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3BF3" w14:textId="77777777" w:rsidR="00D07B78" w:rsidRDefault="00D07B78" w:rsidP="003D6B80">
      <w:pPr>
        <w:spacing w:line="360" w:lineRule="auto"/>
        <w:jc w:val="right"/>
        <w:rPr>
          <w:rFonts w:ascii="Arial" w:hAnsi="Arial" w:cs="Arial"/>
          <w:b/>
          <w:bCs/>
          <w:sz w:val="36"/>
          <w:szCs w:val="36"/>
        </w:rPr>
      </w:pPr>
      <w:r w:rsidRPr="00D07B78">
        <w:rPr>
          <w:rFonts w:ascii="Arial" w:hAnsi="Arial" w:cs="Arial"/>
          <w:b/>
          <w:bCs/>
          <w:sz w:val="36"/>
          <w:szCs w:val="36"/>
        </w:rPr>
        <w:t xml:space="preserve">Original Research Article </w:t>
      </w:r>
    </w:p>
    <w:p w14:paraId="1AD41A6B" w14:textId="77777777" w:rsidR="00D07B78" w:rsidRDefault="00D07B78" w:rsidP="003D6B80">
      <w:pPr>
        <w:spacing w:line="360" w:lineRule="auto"/>
        <w:jc w:val="right"/>
        <w:rPr>
          <w:rFonts w:ascii="Arial" w:hAnsi="Arial" w:cs="Arial"/>
          <w:b/>
          <w:bCs/>
          <w:sz w:val="36"/>
          <w:szCs w:val="36"/>
        </w:rPr>
      </w:pPr>
    </w:p>
    <w:p w14:paraId="05976F80" w14:textId="3A990E9A" w:rsidR="00640E6D" w:rsidRDefault="00150136" w:rsidP="003D6B80">
      <w:pPr>
        <w:spacing w:line="360" w:lineRule="auto"/>
        <w:jc w:val="right"/>
        <w:rPr>
          <w:rFonts w:ascii="Arial" w:hAnsi="Arial" w:cs="Arial"/>
          <w:b/>
          <w:bCs/>
          <w:sz w:val="36"/>
          <w:szCs w:val="36"/>
        </w:rPr>
      </w:pPr>
      <w:r w:rsidRPr="003D6B80">
        <w:rPr>
          <w:rFonts w:ascii="Arial" w:hAnsi="Arial" w:cs="Arial"/>
          <w:b/>
          <w:bCs/>
          <w:sz w:val="36"/>
          <w:szCs w:val="36"/>
        </w:rPr>
        <w:t xml:space="preserve">Knowledge, Practices, and Barriers to Peak Flow Meter Use among Nurses </w:t>
      </w:r>
      <w:r w:rsidR="00B83EE5" w:rsidRPr="00B83EE5">
        <w:rPr>
          <w:rFonts w:ascii="Arial" w:hAnsi="Arial" w:cs="Arial"/>
          <w:b/>
          <w:bCs/>
          <w:sz w:val="36"/>
          <w:szCs w:val="36"/>
          <w:highlight w:val="yellow"/>
        </w:rPr>
        <w:t>in</w:t>
      </w:r>
      <w:r w:rsidRPr="003D6B80">
        <w:rPr>
          <w:rFonts w:ascii="Arial" w:hAnsi="Arial" w:cs="Arial"/>
          <w:b/>
          <w:bCs/>
          <w:sz w:val="36"/>
          <w:szCs w:val="36"/>
        </w:rPr>
        <w:t xml:space="preserve"> a Tertiary Hospital in Ghana</w:t>
      </w:r>
    </w:p>
    <w:p w14:paraId="4B1EF4C9" w14:textId="77777777" w:rsidR="000118F7" w:rsidRDefault="000118F7" w:rsidP="003D6B80">
      <w:pPr>
        <w:spacing w:line="360" w:lineRule="auto"/>
        <w:jc w:val="right"/>
        <w:rPr>
          <w:rFonts w:ascii="Arial" w:hAnsi="Arial" w:cs="Arial"/>
          <w:b/>
          <w:bCs/>
          <w:sz w:val="36"/>
          <w:szCs w:val="36"/>
        </w:rPr>
      </w:pPr>
    </w:p>
    <w:p w14:paraId="70FFA524" w14:textId="77777777" w:rsidR="003D6B80" w:rsidRDefault="003D6B80" w:rsidP="003D6B80">
      <w:pPr>
        <w:pBdr>
          <w:bottom w:val="single" w:sz="6" w:space="1" w:color="auto"/>
        </w:pBdr>
        <w:spacing w:line="360" w:lineRule="auto"/>
        <w:jc w:val="right"/>
        <w:rPr>
          <w:rFonts w:ascii="Arial" w:hAnsi="Arial" w:cs="Arial"/>
          <w:sz w:val="20"/>
          <w:szCs w:val="20"/>
        </w:rPr>
      </w:pPr>
    </w:p>
    <w:p w14:paraId="1A6F5443" w14:textId="77777777" w:rsidR="00474ECF" w:rsidRDefault="00474ECF" w:rsidP="00474ECF">
      <w:pPr>
        <w:pStyle w:val="AbstHead"/>
        <w:spacing w:after="0"/>
        <w:jc w:val="both"/>
        <w:rPr>
          <w:rFonts w:ascii="Arial" w:hAnsi="Arial" w:cs="Arial"/>
        </w:rPr>
      </w:pPr>
      <w:r w:rsidRPr="00FB3A86">
        <w:rPr>
          <w:rFonts w:ascii="Arial" w:hAnsi="Arial" w:cs="Arial"/>
        </w:rPr>
        <w:t>ABSTRACT</w:t>
      </w:r>
    </w:p>
    <w:p w14:paraId="3C003D52" w14:textId="77777777" w:rsidR="00474ECF" w:rsidRPr="00FB3A86" w:rsidRDefault="00474ECF" w:rsidP="00474EC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74ECF" w:rsidRPr="001E44FE" w14:paraId="13A0D65B" w14:textId="77777777" w:rsidTr="003C2A93">
        <w:tc>
          <w:tcPr>
            <w:tcW w:w="9576" w:type="dxa"/>
            <w:shd w:val="clear" w:color="auto" w:fill="F2F2F2"/>
          </w:tcPr>
          <w:p w14:paraId="703D485B" w14:textId="2C13D7A1"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Background:</w:t>
            </w:r>
            <w:r w:rsidRPr="00474ECF">
              <w:rPr>
                <w:rFonts w:ascii="Arial" w:eastAsia="Calibri" w:hAnsi="Arial" w:cs="Arial"/>
                <w:szCs w:val="22"/>
              </w:rPr>
              <w:t xml:space="preserve"> Asthma and chronic obstructive pulmonary disease (COPD) are rising causes of morbidity and mortality in Ghana, yet objective tools for monitoring airflow limitation remain underused. Peak flow meters (PFMs) offer a simple, low-cost method for assessing airway obstruction, </w:t>
            </w:r>
            <w:r w:rsidRPr="00DB73AE">
              <w:rPr>
                <w:rFonts w:ascii="Arial" w:eastAsia="Calibri" w:hAnsi="Arial" w:cs="Arial"/>
                <w:szCs w:val="22"/>
                <w:highlight w:val="yellow"/>
              </w:rPr>
              <w:t>but their utilization by nurse</w:t>
            </w:r>
            <w:r w:rsidR="00DB73AE" w:rsidRPr="00DB73AE">
              <w:rPr>
                <w:rFonts w:ascii="Arial" w:eastAsia="Calibri" w:hAnsi="Arial" w:cs="Arial"/>
                <w:szCs w:val="22"/>
                <w:highlight w:val="yellow"/>
              </w:rPr>
              <w:t xml:space="preserve">s </w:t>
            </w:r>
            <w:r w:rsidRPr="00DB73AE">
              <w:rPr>
                <w:rFonts w:ascii="Arial" w:eastAsia="Calibri" w:hAnsi="Arial" w:cs="Arial"/>
                <w:szCs w:val="22"/>
                <w:highlight w:val="yellow"/>
              </w:rPr>
              <w:t>has not been well documented.</w:t>
            </w:r>
            <w:r w:rsidRPr="00474ECF">
              <w:rPr>
                <w:rFonts w:ascii="Arial" w:eastAsia="Calibri" w:hAnsi="Arial" w:cs="Arial"/>
                <w:szCs w:val="22"/>
              </w:rPr>
              <w:t xml:space="preserve"> </w:t>
            </w:r>
          </w:p>
          <w:p w14:paraId="7A0DB587"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Objective:</w:t>
            </w:r>
            <w:r w:rsidRPr="00474ECF">
              <w:rPr>
                <w:rFonts w:ascii="Arial" w:eastAsia="Calibri" w:hAnsi="Arial" w:cs="Arial"/>
                <w:szCs w:val="22"/>
              </w:rPr>
              <w:t xml:space="preserve"> To assess nurses’ knowledge, practices, and perceived barriers to PFM utilization in the management of respiratory disorders at Komfo Anokye Teaching Hospital (KATH), Ghana. </w:t>
            </w:r>
          </w:p>
          <w:p w14:paraId="7AFA0096"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Methods:</w:t>
            </w:r>
            <w:r w:rsidRPr="00474ECF">
              <w:rPr>
                <w:rFonts w:ascii="Arial" w:eastAsia="Calibri" w:hAnsi="Arial" w:cs="Arial"/>
                <w:szCs w:val="22"/>
              </w:rPr>
              <w:t xml:space="preserve"> A descriptive cross-sectional survey was conducted among 335 registered nurses selected through proportionate stratified sampling from medical, surgical, and emergency units of KATH. Data were collected using a pretested structured questionnaire and analyzed with descriptive statistics (SPSS version 26).</w:t>
            </w:r>
          </w:p>
          <w:p w14:paraId="63F58721"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Results:</w:t>
            </w:r>
            <w:r w:rsidRPr="00474ECF">
              <w:rPr>
                <w:rFonts w:ascii="Arial" w:eastAsia="Calibri" w:hAnsi="Arial" w:cs="Arial"/>
                <w:szCs w:val="22"/>
              </w:rPr>
              <w:t xml:space="preserve"> Knowledge of PFM use was poor: only 55 nurses (16.4%) correctly identified the PFM as a device for measuring airflow limitation and 28 (8.4%) recognized litres per minute as the standard calibration unit. Practical use was similarly limited, with 93 (27.8%) reporting ever using a PFM to assess a patient and 20 (6.0%) documenting peak flow values after bronchodilator administration. Major barriers included work overload (329, 98.2%), high device cost (315, 94.0%), lack of time to teach patients (305, 91.0%), and administrative unavailability of PFMs (304, 90.7%). </w:t>
            </w:r>
          </w:p>
          <w:p w14:paraId="5D4DFAF1" w14:textId="77777777" w:rsidR="00474ECF" w:rsidRPr="00BA1B01" w:rsidRDefault="00474ECF" w:rsidP="00A4766B">
            <w:pPr>
              <w:pStyle w:val="Body"/>
              <w:spacing w:after="0"/>
              <w:rPr>
                <w:rFonts w:ascii="Arial" w:eastAsia="Calibri" w:hAnsi="Arial" w:cs="Arial"/>
                <w:szCs w:val="22"/>
              </w:rPr>
            </w:pPr>
            <w:r w:rsidRPr="00474ECF">
              <w:rPr>
                <w:rFonts w:ascii="Arial" w:eastAsia="Calibri" w:hAnsi="Arial" w:cs="Arial"/>
                <w:b/>
                <w:bCs/>
                <w:szCs w:val="22"/>
              </w:rPr>
              <w:t>Conclusion:</w:t>
            </w:r>
            <w:r w:rsidRPr="00474ECF">
              <w:rPr>
                <w:rFonts w:ascii="Arial" w:eastAsia="Calibri" w:hAnsi="Arial" w:cs="Arial"/>
                <w:szCs w:val="22"/>
              </w:rPr>
              <w:t xml:space="preserve"> Nurses at KATH demonstrated substantial gaps in both knowledge and practice of PFM use despite acknowledging its clinical importance. Integrating PFM training into pre-service nursing curricula, providing regular in-service education, and ensuring consistent device availability are critical to strengthening respiratory care in Ghana.</w:t>
            </w:r>
          </w:p>
        </w:tc>
      </w:tr>
    </w:tbl>
    <w:p w14:paraId="1C4C1CA1" w14:textId="77777777" w:rsidR="003D6B80" w:rsidRDefault="003D6B80" w:rsidP="003D6B80">
      <w:pPr>
        <w:spacing w:line="360" w:lineRule="auto"/>
        <w:jc w:val="right"/>
        <w:rPr>
          <w:rFonts w:ascii="Arial" w:hAnsi="Arial" w:cs="Arial"/>
          <w:sz w:val="20"/>
          <w:szCs w:val="20"/>
        </w:rPr>
      </w:pPr>
    </w:p>
    <w:p w14:paraId="2EF30F7A" w14:textId="3F0B270D" w:rsidR="00474ECF" w:rsidRPr="004E613D" w:rsidRDefault="004E613D" w:rsidP="004E613D">
      <w:pPr>
        <w:spacing w:line="360" w:lineRule="auto"/>
        <w:jc w:val="left"/>
        <w:rPr>
          <w:rFonts w:ascii="Arial" w:hAnsi="Arial" w:cs="Arial"/>
          <w:i/>
          <w:iCs/>
          <w:sz w:val="20"/>
          <w:szCs w:val="20"/>
        </w:rPr>
      </w:pPr>
      <w:r w:rsidRPr="004E613D">
        <w:rPr>
          <w:rFonts w:ascii="Arial" w:hAnsi="Arial" w:cs="Arial"/>
          <w:i/>
          <w:iCs/>
          <w:sz w:val="20"/>
          <w:szCs w:val="20"/>
        </w:rPr>
        <w:t>Keywords: Peak flow meter, respiratory disorders, nurse knowledge, practice, barriers</w:t>
      </w:r>
    </w:p>
    <w:p w14:paraId="3DA57DA2" w14:textId="77777777" w:rsidR="00192F22" w:rsidRPr="00623ECD" w:rsidRDefault="00623ECD" w:rsidP="00C53DD7">
      <w:pPr>
        <w:spacing w:line="360" w:lineRule="auto"/>
        <w:rPr>
          <w:rFonts w:ascii="Arial" w:hAnsi="Arial" w:cs="Arial"/>
          <w:b/>
          <w:bCs/>
          <w:sz w:val="22"/>
        </w:rPr>
      </w:pPr>
      <w:r w:rsidRPr="00623ECD">
        <w:rPr>
          <w:rFonts w:ascii="Arial" w:hAnsi="Arial" w:cs="Arial"/>
          <w:b/>
          <w:bCs/>
          <w:sz w:val="22"/>
        </w:rPr>
        <w:t>1. INTRODUCTION</w:t>
      </w:r>
    </w:p>
    <w:p w14:paraId="10D1802E" w14:textId="099A8A5D" w:rsidR="00CF21E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Chronic respiratory diseases (CRDs), including asthma and chronic obstructive pulmonary disease (COPD), are among the most common non-communicable diseases globally and contribute substantially to morbidity, mortality, and health system costs</w:t>
      </w:r>
      <w:r w:rsidR="001171F3">
        <w:rPr>
          <w:rFonts w:ascii="Arial" w:eastAsia="Times New Roman" w:hAnsi="Arial" w:cs="Arial"/>
          <w:color w:val="auto"/>
          <w:sz w:val="20"/>
          <w:szCs w:val="20"/>
          <w:lang w:eastAsia="en-GB"/>
        </w:rPr>
        <w:t xml:space="preserve"> [1]</w:t>
      </w:r>
      <w:r w:rsidRPr="00623ECD">
        <w:rPr>
          <w:rFonts w:ascii="Arial" w:eastAsia="Times New Roman" w:hAnsi="Arial" w:cs="Arial"/>
          <w:color w:val="auto"/>
          <w:sz w:val="20"/>
          <w:szCs w:val="20"/>
          <w:lang w:eastAsia="en-GB"/>
        </w:rPr>
        <w:t>. In 2019, CRDs were the third leading cause of death worldwide, accounting for approximately 4 million deaths and affecting an estimated 454.6 million people</w:t>
      </w:r>
      <w:r w:rsidR="001171F3">
        <w:rPr>
          <w:rFonts w:ascii="Arial" w:eastAsia="Times New Roman" w:hAnsi="Arial" w:cs="Arial"/>
          <w:color w:val="auto"/>
          <w:sz w:val="20"/>
          <w:szCs w:val="20"/>
          <w:lang w:eastAsia="en-GB"/>
        </w:rPr>
        <w:t xml:space="preserve"> [2]</w:t>
      </w:r>
      <w:r w:rsidRPr="00623ECD">
        <w:rPr>
          <w:rFonts w:ascii="Arial" w:eastAsia="Times New Roman" w:hAnsi="Arial" w:cs="Arial"/>
          <w:color w:val="auto"/>
          <w:sz w:val="20"/>
          <w:szCs w:val="20"/>
          <w:lang w:eastAsia="en-GB"/>
        </w:rPr>
        <w:t>.</w:t>
      </w:r>
      <w:r w:rsidR="00D96B63"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 xml:space="preserve">The burden is especially large in low- and middle-income regions, where risk factors such as tobacco smoke, ambient air pollution, and household solid fuel use are </w:t>
      </w:r>
      <w:r w:rsidRPr="00DB73AE">
        <w:rPr>
          <w:rFonts w:ascii="Arial" w:eastAsia="Times New Roman" w:hAnsi="Arial" w:cs="Arial"/>
          <w:color w:val="auto"/>
          <w:sz w:val="20"/>
          <w:szCs w:val="20"/>
          <w:highlight w:val="yellow"/>
          <w:lang w:eastAsia="en-GB"/>
        </w:rPr>
        <w:t>pr</w:t>
      </w:r>
      <w:r w:rsidR="00DB73AE" w:rsidRPr="00DB73AE">
        <w:rPr>
          <w:rFonts w:ascii="Arial" w:eastAsia="Times New Roman" w:hAnsi="Arial" w:cs="Arial"/>
          <w:color w:val="auto"/>
          <w:sz w:val="20"/>
          <w:szCs w:val="20"/>
          <w:highlight w:val="yellow"/>
          <w:lang w:eastAsia="en-GB"/>
        </w:rPr>
        <w:t>edominant</w:t>
      </w:r>
      <w:r w:rsidR="001171F3">
        <w:rPr>
          <w:rFonts w:ascii="Arial" w:eastAsia="Times New Roman" w:hAnsi="Arial" w:cs="Arial"/>
          <w:color w:val="auto"/>
          <w:sz w:val="20"/>
          <w:szCs w:val="20"/>
          <w:lang w:eastAsia="en-GB"/>
        </w:rPr>
        <w:t xml:space="preserve"> [3].</w:t>
      </w:r>
    </w:p>
    <w:p w14:paraId="502F0D65" w14:textId="1306F4D6"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In asthma and COPD management, objective assessment of lung function is essential</w:t>
      </w:r>
      <w:r w:rsidR="00B757DF"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for diagnosis, monitoring exacerbations, and guiding therapy</w:t>
      </w:r>
      <w:r w:rsidR="001171F3">
        <w:rPr>
          <w:rFonts w:ascii="Arial" w:eastAsia="Times New Roman" w:hAnsi="Arial" w:cs="Arial"/>
          <w:color w:val="auto"/>
          <w:sz w:val="20"/>
          <w:szCs w:val="20"/>
          <w:lang w:eastAsia="en-GB"/>
        </w:rPr>
        <w:t xml:space="preserve"> [4]</w:t>
      </w:r>
      <w:r w:rsidRPr="00623ECD">
        <w:rPr>
          <w:rFonts w:ascii="Arial" w:eastAsia="Times New Roman" w:hAnsi="Arial" w:cs="Arial"/>
          <w:color w:val="auto"/>
          <w:sz w:val="20"/>
          <w:szCs w:val="20"/>
          <w:lang w:eastAsia="en-GB"/>
        </w:rPr>
        <w:t xml:space="preserve">. </w:t>
      </w:r>
      <w:r w:rsidR="0010583F" w:rsidRPr="0010583F">
        <w:rPr>
          <w:rFonts w:ascii="Arial" w:eastAsia="Times New Roman" w:hAnsi="Arial" w:cs="Arial"/>
          <w:color w:val="auto"/>
          <w:sz w:val="20"/>
          <w:szCs w:val="20"/>
          <w:highlight w:val="yellow"/>
          <w:lang w:eastAsia="en-GB"/>
        </w:rPr>
        <w:t xml:space="preserve">Although spirometry remains the gold standard for </w:t>
      </w:r>
      <w:r w:rsidR="0010583F" w:rsidRPr="0010583F">
        <w:rPr>
          <w:rFonts w:ascii="Arial" w:eastAsia="Times New Roman" w:hAnsi="Arial" w:cs="Arial"/>
          <w:color w:val="auto"/>
          <w:sz w:val="20"/>
          <w:szCs w:val="20"/>
          <w:highlight w:val="yellow"/>
          <w:lang w:eastAsia="en-GB"/>
        </w:rPr>
        <w:lastRenderedPageBreak/>
        <w:t>assessing pulmonary function, its high cost, technical complexity, and requirement for trained personnel limit its routine use in many clinical settings</w:t>
      </w:r>
      <w:r w:rsidR="0010583F">
        <w:rPr>
          <w:rFonts w:ascii="Arial" w:eastAsia="Times New Roman" w:hAnsi="Arial" w:cs="Arial"/>
          <w:color w:val="auto"/>
          <w:sz w:val="20"/>
          <w:szCs w:val="20"/>
          <w:lang w:eastAsia="en-GB"/>
        </w:rPr>
        <w:t xml:space="preserve"> </w:t>
      </w:r>
      <w:r w:rsidR="001171F3">
        <w:rPr>
          <w:rFonts w:ascii="Arial" w:eastAsia="Times New Roman" w:hAnsi="Arial" w:cs="Arial"/>
          <w:color w:val="auto"/>
          <w:sz w:val="20"/>
          <w:szCs w:val="20"/>
          <w:lang w:eastAsia="en-GB"/>
        </w:rPr>
        <w:t>[4]</w:t>
      </w:r>
      <w:r w:rsidRPr="00623ECD">
        <w:rPr>
          <w:rFonts w:ascii="Arial" w:eastAsia="Times New Roman" w:hAnsi="Arial" w:cs="Arial"/>
          <w:color w:val="auto"/>
          <w:sz w:val="20"/>
          <w:szCs w:val="20"/>
          <w:lang w:eastAsia="en-GB"/>
        </w:rPr>
        <w:t>. As a more accessible tool, the peak flow meter (PFM) facilitates measurement of peak expiratory flow rate (PEFR)</w:t>
      </w:r>
      <w:r w:rsidR="00920DF7"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allowing for patient self-monitoring and early detection of airflow limitation</w:t>
      </w:r>
      <w:r w:rsidR="00920DF7" w:rsidRPr="00623ECD">
        <w:rPr>
          <w:rFonts w:ascii="Arial" w:eastAsia="Times New Roman" w:hAnsi="Arial" w:cs="Arial"/>
          <w:color w:val="auto"/>
          <w:sz w:val="20"/>
          <w:szCs w:val="20"/>
          <w:lang w:eastAsia="en-GB"/>
        </w:rPr>
        <w:t xml:space="preserve"> </w:t>
      </w:r>
      <w:r w:rsidR="001171F3">
        <w:rPr>
          <w:rFonts w:ascii="Arial" w:eastAsia="Times New Roman" w:hAnsi="Arial" w:cs="Arial"/>
          <w:color w:val="auto"/>
          <w:sz w:val="20"/>
          <w:szCs w:val="20"/>
          <w:lang w:eastAsia="en-GB"/>
        </w:rPr>
        <w:t>[5]</w:t>
      </w:r>
      <w:r w:rsidRPr="00623ECD">
        <w:rPr>
          <w:rFonts w:ascii="Arial" w:eastAsia="Times New Roman" w:hAnsi="Arial" w:cs="Arial"/>
          <w:color w:val="auto"/>
          <w:sz w:val="20"/>
          <w:szCs w:val="20"/>
          <w:lang w:eastAsia="en-GB"/>
        </w:rPr>
        <w:t>.</w:t>
      </w:r>
      <w:r w:rsidR="00497084"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PFMs are</w:t>
      </w:r>
      <w:r w:rsidR="00497084" w:rsidRPr="00623ECD">
        <w:rPr>
          <w:rFonts w:ascii="Arial" w:eastAsia="Times New Roman" w:hAnsi="Arial" w:cs="Arial"/>
          <w:color w:val="auto"/>
          <w:sz w:val="20"/>
          <w:szCs w:val="20"/>
          <w:lang w:eastAsia="en-GB"/>
        </w:rPr>
        <w:t xml:space="preserve"> also</w:t>
      </w:r>
      <w:r w:rsidRPr="00623ECD">
        <w:rPr>
          <w:rFonts w:ascii="Arial" w:eastAsia="Times New Roman" w:hAnsi="Arial" w:cs="Arial"/>
          <w:color w:val="auto"/>
          <w:sz w:val="20"/>
          <w:szCs w:val="20"/>
          <w:lang w:eastAsia="en-GB"/>
        </w:rPr>
        <w:t xml:space="preserve"> inexpensive, portable, and effective for guiding treatment adjustments, especially in resource-limited environments</w:t>
      </w:r>
      <w:r w:rsidR="001171F3">
        <w:rPr>
          <w:rFonts w:ascii="Arial" w:eastAsia="Times New Roman" w:hAnsi="Arial" w:cs="Arial"/>
          <w:color w:val="auto"/>
          <w:sz w:val="20"/>
          <w:szCs w:val="20"/>
          <w:lang w:eastAsia="en-GB"/>
        </w:rPr>
        <w:t xml:space="preserve"> [6]</w:t>
      </w:r>
      <w:r w:rsidR="00497084" w:rsidRPr="00623ECD">
        <w:rPr>
          <w:rFonts w:ascii="Arial" w:hAnsi="Arial" w:cs="Arial"/>
          <w:sz w:val="20"/>
          <w:szCs w:val="20"/>
        </w:rPr>
        <w:t>.</w:t>
      </w:r>
    </w:p>
    <w:p w14:paraId="3821CDBC" w14:textId="4664A378"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In Ghana and the broader West African context, CRDs are increasing yet are often under-diagnosed and under-managed</w:t>
      </w:r>
      <w:r w:rsidR="001171F3">
        <w:rPr>
          <w:rFonts w:ascii="Arial" w:eastAsia="Times New Roman" w:hAnsi="Arial" w:cs="Arial"/>
          <w:color w:val="auto"/>
          <w:sz w:val="20"/>
          <w:szCs w:val="20"/>
          <w:lang w:eastAsia="en-GB"/>
        </w:rPr>
        <w:t xml:space="preserve"> [7]</w:t>
      </w:r>
      <w:r w:rsidRPr="00623ECD">
        <w:rPr>
          <w:rFonts w:ascii="Arial" w:eastAsia="Times New Roman" w:hAnsi="Arial" w:cs="Arial"/>
          <w:color w:val="auto"/>
          <w:sz w:val="20"/>
          <w:szCs w:val="20"/>
          <w:lang w:eastAsia="en-GB"/>
        </w:rPr>
        <w:t>. A recent Global Burden of Disease analysis showed that Ghana had one of the higher age-standardized prevalence rates of COPD among Sub-Saharan African countries</w:t>
      </w:r>
      <w:r w:rsidR="001171F3">
        <w:rPr>
          <w:rFonts w:ascii="Arial" w:eastAsia="Times New Roman" w:hAnsi="Arial" w:cs="Arial"/>
          <w:color w:val="auto"/>
          <w:sz w:val="20"/>
          <w:szCs w:val="20"/>
          <w:lang w:eastAsia="en-GB"/>
        </w:rPr>
        <w:t xml:space="preserve"> [3]</w:t>
      </w:r>
      <w:r w:rsidRPr="00623ECD">
        <w:rPr>
          <w:rFonts w:ascii="Arial" w:eastAsia="Times New Roman" w:hAnsi="Arial" w:cs="Arial"/>
          <w:color w:val="auto"/>
          <w:sz w:val="20"/>
          <w:szCs w:val="20"/>
          <w:lang w:eastAsia="en-GB"/>
        </w:rPr>
        <w:t xml:space="preserve">. However, there is limited published evidence on the level of knowledge among nurses about PFMs, their patterns of PFM usage in clinical settings, or the barriers they face. </w:t>
      </w:r>
      <w:r w:rsidR="00500109">
        <w:rPr>
          <w:rFonts w:ascii="Arial" w:eastAsia="Times New Roman" w:hAnsi="Arial" w:cs="Arial"/>
          <w:color w:val="auto"/>
          <w:sz w:val="20"/>
          <w:szCs w:val="20"/>
          <w:highlight w:val="yellow"/>
          <w:lang w:eastAsia="en-GB"/>
        </w:rPr>
        <w:t>K</w:t>
      </w:r>
      <w:r w:rsidR="00500109" w:rsidRPr="00500109">
        <w:rPr>
          <w:rFonts w:ascii="Arial" w:eastAsia="Times New Roman" w:hAnsi="Arial" w:cs="Arial"/>
          <w:color w:val="auto"/>
          <w:sz w:val="20"/>
          <w:szCs w:val="20"/>
          <w:highlight w:val="yellow"/>
          <w:lang w:eastAsia="en-GB"/>
        </w:rPr>
        <w:t>nowledge among nurses about PFM, its use and interpretation is important as nurses are frequently the</w:t>
      </w:r>
      <w:r w:rsidR="007D1B73">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frontline providers in respiratory care and patient education in tertiary hospitals such as Komfo Anokye Teaching Hospital (KATH).</w:t>
      </w:r>
    </w:p>
    <w:p w14:paraId="03DE6A4F" w14:textId="77777777"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Therefore, this study aimed to assess the knowledge, practice, and perceived barriers related to PFM utilization among nurses at KATH. Understanding these dimensions could inform targeted training, policy interventions, and resource allocation to improve the quality of care for patients with CRDs in Ghana.</w:t>
      </w:r>
    </w:p>
    <w:p w14:paraId="06A11758" w14:textId="77777777" w:rsidR="00C53DD7" w:rsidRPr="003D6B80" w:rsidRDefault="00C53DD7" w:rsidP="00C53DD7">
      <w:pPr>
        <w:spacing w:line="360" w:lineRule="auto"/>
        <w:rPr>
          <w:rFonts w:ascii="Arial" w:eastAsia="Times New Roman" w:hAnsi="Arial" w:cs="Arial"/>
          <w:color w:val="auto"/>
          <w:szCs w:val="24"/>
          <w:lang w:eastAsia="en-GB"/>
        </w:rPr>
      </w:pPr>
    </w:p>
    <w:p w14:paraId="6D0938BF" w14:textId="77777777" w:rsidR="00192F22" w:rsidRPr="00E26A6E" w:rsidRDefault="00E26A6E" w:rsidP="00C53DD7">
      <w:pPr>
        <w:spacing w:line="360" w:lineRule="auto"/>
        <w:rPr>
          <w:rFonts w:ascii="Arial" w:hAnsi="Arial" w:cs="Arial"/>
          <w:b/>
          <w:bCs/>
          <w:sz w:val="22"/>
        </w:rPr>
      </w:pPr>
      <w:r w:rsidRPr="00E26A6E">
        <w:rPr>
          <w:rFonts w:ascii="Arial" w:hAnsi="Arial" w:cs="Arial"/>
          <w:b/>
          <w:bCs/>
          <w:sz w:val="22"/>
        </w:rPr>
        <w:t>2. METHODOLOGY</w:t>
      </w:r>
    </w:p>
    <w:p w14:paraId="15D2F6EB"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2.1 </w:t>
      </w:r>
      <w:r w:rsidR="00E9683E" w:rsidRPr="00E26A6E">
        <w:rPr>
          <w:rFonts w:ascii="Arial" w:eastAsia="Times New Roman" w:hAnsi="Arial" w:cs="Arial"/>
          <w:b/>
          <w:bCs/>
          <w:color w:val="auto"/>
          <w:sz w:val="22"/>
          <w:lang w:eastAsia="en-GB"/>
        </w:rPr>
        <w:t>Study Design</w:t>
      </w:r>
    </w:p>
    <w:p w14:paraId="59574ED7"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A descriptive cross-sectional survey was conducted to assess nurses’ knowledge, practices, and perceived barriers to the utilization of peak flow meters (PFMs) in the management of respiratory disorders.</w:t>
      </w:r>
    </w:p>
    <w:p w14:paraId="05787429"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2.2 </w:t>
      </w:r>
      <w:r w:rsidR="00E9683E" w:rsidRPr="00E26A6E">
        <w:rPr>
          <w:rFonts w:ascii="Arial" w:eastAsia="Times New Roman" w:hAnsi="Arial" w:cs="Arial"/>
          <w:b/>
          <w:bCs/>
          <w:color w:val="auto"/>
          <w:sz w:val="22"/>
          <w:lang w:eastAsia="en-GB"/>
        </w:rPr>
        <w:t>Study Setting</w:t>
      </w:r>
    </w:p>
    <w:p w14:paraId="790D0B81"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 xml:space="preserve">The study was carried out at Komfo Anokye Teaching Hospital (KATH) in Kumasi, Ghana. KATH is a 1,200-bed tertiary referral </w:t>
      </w:r>
      <w:proofErr w:type="spellStart"/>
      <w:r w:rsidRPr="00E26A6E">
        <w:rPr>
          <w:rFonts w:ascii="Arial" w:eastAsia="Times New Roman" w:hAnsi="Arial" w:cs="Arial"/>
          <w:color w:val="auto"/>
          <w:sz w:val="20"/>
          <w:szCs w:val="20"/>
          <w:lang w:eastAsia="en-GB"/>
        </w:rPr>
        <w:t>center</w:t>
      </w:r>
      <w:proofErr w:type="spellEnd"/>
      <w:r w:rsidRPr="00E26A6E">
        <w:rPr>
          <w:rFonts w:ascii="Arial" w:eastAsia="Times New Roman" w:hAnsi="Arial" w:cs="Arial"/>
          <w:color w:val="auto"/>
          <w:sz w:val="20"/>
          <w:szCs w:val="20"/>
          <w:lang w:eastAsia="en-GB"/>
        </w:rPr>
        <w:t xml:space="preserve"> and major teaching facility for the Kwame Nkrumah University of Science and Technology School of Medical Sciences. It provides specialized medical, surgical, and emergency services and receives patients from across the middle and northern zones of Ghana.</w:t>
      </w:r>
    </w:p>
    <w:p w14:paraId="047F4010"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2.3 </w:t>
      </w:r>
      <w:r w:rsidR="00E9683E" w:rsidRPr="00E26A6E">
        <w:rPr>
          <w:rFonts w:ascii="Arial" w:eastAsia="Times New Roman" w:hAnsi="Arial" w:cs="Arial"/>
          <w:b/>
          <w:bCs/>
          <w:color w:val="auto"/>
          <w:sz w:val="22"/>
          <w:lang w:eastAsia="en-GB"/>
        </w:rPr>
        <w:t>Study Population</w:t>
      </w:r>
    </w:p>
    <w:p w14:paraId="20C96461" w14:textId="1409E4B7" w:rsidR="00E9683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 xml:space="preserve">The </w:t>
      </w:r>
      <w:r w:rsidR="000536C1">
        <w:rPr>
          <w:rFonts w:ascii="Arial" w:eastAsia="Times New Roman" w:hAnsi="Arial" w:cs="Arial"/>
          <w:color w:val="auto"/>
          <w:sz w:val="20"/>
          <w:szCs w:val="20"/>
          <w:lang w:eastAsia="en-GB"/>
        </w:rPr>
        <w:t>study</w:t>
      </w:r>
      <w:r w:rsidRPr="00E26A6E">
        <w:rPr>
          <w:rFonts w:ascii="Arial" w:eastAsia="Times New Roman" w:hAnsi="Arial" w:cs="Arial"/>
          <w:color w:val="auto"/>
          <w:sz w:val="20"/>
          <w:szCs w:val="20"/>
          <w:lang w:eastAsia="en-GB"/>
        </w:rPr>
        <w:t xml:space="preserve"> population comprised registered nurses providing direct patient care in medical, surgical, and emergency units where patients with respiratory disorders are commonly managed.</w:t>
      </w:r>
      <w:r w:rsidR="00E26A6E">
        <w:rPr>
          <w:rFonts w:ascii="Arial" w:eastAsia="Times New Roman" w:hAnsi="Arial" w:cs="Arial"/>
          <w:color w:val="auto"/>
          <w:sz w:val="20"/>
          <w:szCs w:val="20"/>
          <w:lang w:eastAsia="en-GB"/>
        </w:rPr>
        <w:t xml:space="preserve"> </w:t>
      </w:r>
      <w:r w:rsidR="000536C1" w:rsidRPr="000536C1">
        <w:rPr>
          <w:rFonts w:ascii="Arial" w:eastAsia="Times New Roman" w:hAnsi="Arial" w:cs="Arial"/>
          <w:color w:val="auto"/>
          <w:sz w:val="20"/>
          <w:szCs w:val="20"/>
          <w:highlight w:val="yellow"/>
          <w:lang w:eastAsia="en-GB"/>
        </w:rPr>
        <w:t>Because nurses</w:t>
      </w:r>
      <w:r w:rsidR="000536C1">
        <w:rPr>
          <w:rFonts w:ascii="Arial" w:eastAsia="Times New Roman" w:hAnsi="Arial" w:cs="Arial"/>
          <w:color w:val="auto"/>
          <w:sz w:val="20"/>
          <w:szCs w:val="20"/>
          <w:highlight w:val="yellow"/>
          <w:lang w:eastAsia="en-GB"/>
        </w:rPr>
        <w:t>’</w:t>
      </w:r>
      <w:r w:rsidR="000536C1" w:rsidRPr="000536C1">
        <w:rPr>
          <w:rFonts w:ascii="Arial" w:eastAsia="Times New Roman" w:hAnsi="Arial" w:cs="Arial"/>
          <w:color w:val="auto"/>
          <w:sz w:val="20"/>
          <w:szCs w:val="20"/>
          <w:highlight w:val="yellow"/>
          <w:lang w:eastAsia="en-GB"/>
        </w:rPr>
        <w:t xml:space="preserve"> exposure to PFM use may vary across departments, efforts were made to include part</w:t>
      </w:r>
      <w:r w:rsidR="000536C1">
        <w:rPr>
          <w:rFonts w:ascii="Arial" w:eastAsia="Times New Roman" w:hAnsi="Arial" w:cs="Arial"/>
          <w:color w:val="auto"/>
          <w:sz w:val="20"/>
          <w:szCs w:val="20"/>
          <w:highlight w:val="yellow"/>
          <w:lang w:eastAsia="en-GB"/>
        </w:rPr>
        <w:t>i</w:t>
      </w:r>
      <w:r w:rsidR="000536C1" w:rsidRPr="000536C1">
        <w:rPr>
          <w:rFonts w:ascii="Arial" w:eastAsia="Times New Roman" w:hAnsi="Arial" w:cs="Arial"/>
          <w:color w:val="auto"/>
          <w:sz w:val="20"/>
          <w:szCs w:val="20"/>
          <w:highlight w:val="yellow"/>
          <w:lang w:eastAsia="en-GB"/>
        </w:rPr>
        <w:t>cipants from all above listed units to capture diverse experiences.</w:t>
      </w:r>
      <w:r w:rsidR="000536C1">
        <w:rPr>
          <w:rFonts w:ascii="Arial" w:eastAsia="Times New Roman" w:hAnsi="Arial" w:cs="Arial"/>
          <w:color w:val="auto"/>
          <w:sz w:val="20"/>
          <w:szCs w:val="20"/>
          <w:lang w:eastAsia="en-GB"/>
        </w:rPr>
        <w:t xml:space="preserve"> </w:t>
      </w:r>
      <w:r w:rsidRPr="00E26A6E">
        <w:rPr>
          <w:rFonts w:ascii="Arial" w:eastAsia="Times New Roman" w:hAnsi="Arial" w:cs="Arial"/>
          <w:color w:val="auto"/>
          <w:sz w:val="20"/>
          <w:szCs w:val="20"/>
          <w:lang w:eastAsia="en-GB"/>
        </w:rPr>
        <w:t>Eligible participants were registered nurses who were on duty during the data collection period and provided informed consent. Student nurses, nurses on leave, and those unwilling to participate were excluded.</w:t>
      </w:r>
    </w:p>
    <w:p w14:paraId="3FFA280E"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2.4 </w:t>
      </w:r>
      <w:r w:rsidR="00E9683E" w:rsidRPr="00E26A6E">
        <w:rPr>
          <w:rFonts w:ascii="Arial" w:eastAsia="Times New Roman" w:hAnsi="Arial" w:cs="Arial"/>
          <w:b/>
          <w:bCs/>
          <w:color w:val="auto"/>
          <w:sz w:val="22"/>
          <w:lang w:eastAsia="en-GB"/>
        </w:rPr>
        <w:t>Sample Size and Sampling Procedure</w:t>
      </w:r>
    </w:p>
    <w:p w14:paraId="7ADF7CB8" w14:textId="77777777" w:rsidR="00C53DD7"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The minimum sample size was calculated using Cochran’s formula for a single proportion, assuming a 50% expected prevalence of adequate knowledge (to maximize sample size), a 95% confidence level, and a 5% margin of error. After adjusting for a 10% non-response rate, a final sample of 335 nurses was targeted.</w:t>
      </w:r>
    </w:p>
    <w:p w14:paraId="0B3FD4FD" w14:textId="77777777" w:rsidR="005074B9" w:rsidRDefault="005074B9" w:rsidP="00C53DD7">
      <w:pPr>
        <w:spacing w:line="360" w:lineRule="auto"/>
        <w:rPr>
          <w:rFonts w:ascii="Arial" w:eastAsia="Times New Roman" w:hAnsi="Arial" w:cs="Arial"/>
          <w:color w:val="auto"/>
          <w:sz w:val="20"/>
          <w:szCs w:val="20"/>
          <w:lang w:eastAsia="en-GB"/>
        </w:rPr>
      </w:pPr>
      <w:r w:rsidRPr="005074B9">
        <w:rPr>
          <w:rFonts w:ascii="Arial" w:eastAsia="Times New Roman" w:hAnsi="Arial" w:cs="Arial"/>
          <w:color w:val="auto"/>
          <w:sz w:val="20"/>
          <w:szCs w:val="20"/>
          <w:highlight w:val="yellow"/>
          <w:lang w:eastAsia="en-GB"/>
        </w:rPr>
        <w:lastRenderedPageBreak/>
        <w:t>Nurses were sampled proportionally from medical, surgical, and emergency wards to ensure representation across the major in-patient care areas. Although surgical nurses are less likely to encounter patients with asthma or COPD compared to medical or emergency nurses, their inclusion was intentional to explore baseline knowledge and potential training gaps in PFM use among all clinical nurses who may encounter such patients during perioperative or emergency situations.</w:t>
      </w:r>
      <w:r w:rsidRPr="005074B9">
        <w:rPr>
          <w:rFonts w:ascii="Arial" w:eastAsia="Times New Roman" w:hAnsi="Arial" w:cs="Arial"/>
          <w:color w:val="auto"/>
          <w:sz w:val="20"/>
          <w:szCs w:val="20"/>
          <w:lang w:eastAsia="en-GB"/>
        </w:rPr>
        <w:t xml:space="preserve"> </w:t>
      </w:r>
    </w:p>
    <w:p w14:paraId="6AC0A4AA" w14:textId="2ADAA43C" w:rsidR="00E9683E" w:rsidRPr="00E26A6E" w:rsidRDefault="00136AAF" w:rsidP="00C53DD7">
      <w:pPr>
        <w:spacing w:line="360" w:lineRule="auto"/>
        <w:rPr>
          <w:rFonts w:ascii="Arial" w:eastAsia="Times New Roman" w:hAnsi="Arial" w:cs="Arial"/>
          <w:color w:val="auto"/>
          <w:sz w:val="20"/>
          <w:szCs w:val="20"/>
          <w:lang w:eastAsia="en-GB"/>
        </w:rPr>
      </w:pPr>
      <w:r w:rsidRPr="00136AAF">
        <w:rPr>
          <w:rFonts w:ascii="Arial" w:eastAsia="Times New Roman" w:hAnsi="Arial" w:cs="Arial"/>
          <w:color w:val="auto"/>
          <w:sz w:val="20"/>
          <w:szCs w:val="20"/>
          <w:highlight w:val="yellow"/>
          <w:lang w:eastAsia="en-GB"/>
        </w:rPr>
        <w:t>Within each unit, participants were selected using simple random sampling from daily duty rosters. To prevent duplication, names of nurses who had already participated were marked and excluded from subsequent rosters during the data collection period. The daily duty roster was used instead of the employee register because it provided the most current list of on-duty nurses, ensuring accessibility and minimizing disruption to patient care.</w:t>
      </w:r>
      <w:r>
        <w:rPr>
          <w:rFonts w:ascii="Arial" w:eastAsia="Times New Roman" w:hAnsi="Arial" w:cs="Arial"/>
          <w:color w:val="auto"/>
          <w:sz w:val="20"/>
          <w:szCs w:val="20"/>
          <w:lang w:eastAsia="en-GB"/>
        </w:rPr>
        <w:t xml:space="preserve"> </w:t>
      </w:r>
    </w:p>
    <w:p w14:paraId="7B79F77A"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2.5 </w:t>
      </w:r>
      <w:r w:rsidR="00E9683E" w:rsidRPr="00E26A6E">
        <w:rPr>
          <w:rFonts w:ascii="Arial" w:eastAsia="Times New Roman" w:hAnsi="Arial" w:cs="Arial"/>
          <w:b/>
          <w:bCs/>
          <w:color w:val="auto"/>
          <w:sz w:val="22"/>
          <w:lang w:eastAsia="en-GB"/>
        </w:rPr>
        <w:t>Data Collection Instrument</w:t>
      </w:r>
    </w:p>
    <w:p w14:paraId="11180ED7" w14:textId="02C4E3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Data w</w:t>
      </w:r>
      <w:r w:rsidR="00EC3D5A"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collected using a structured, self-administered questionnaire developed after a review of relevant literature on PFM knowledge and utilization. The instrument comprised four sections:</w:t>
      </w:r>
      <w:r w:rsidR="00EC3D5A" w:rsidRPr="00E26A6E">
        <w:rPr>
          <w:rFonts w:ascii="Arial" w:eastAsia="Times New Roman" w:hAnsi="Arial" w:cs="Arial"/>
          <w:color w:val="auto"/>
          <w:sz w:val="20"/>
          <w:szCs w:val="20"/>
          <w:lang w:eastAsia="en-GB"/>
        </w:rPr>
        <w:t xml:space="preserve"> d</w:t>
      </w:r>
      <w:r w:rsidRPr="00E26A6E">
        <w:rPr>
          <w:rFonts w:ascii="Arial" w:eastAsia="Times New Roman" w:hAnsi="Arial" w:cs="Arial"/>
          <w:color w:val="auto"/>
          <w:sz w:val="20"/>
          <w:szCs w:val="20"/>
          <w:lang w:eastAsia="en-GB"/>
        </w:rPr>
        <w:t>emographic characteristics (age, sex, rank, years of practice, unit of work);</w:t>
      </w:r>
      <w:r w:rsidR="00EC3D5A" w:rsidRPr="00E26A6E">
        <w:rPr>
          <w:rFonts w:ascii="Arial" w:eastAsia="Times New Roman" w:hAnsi="Arial" w:cs="Arial"/>
          <w:color w:val="auto"/>
          <w:sz w:val="20"/>
          <w:szCs w:val="20"/>
          <w:lang w:eastAsia="en-GB"/>
        </w:rPr>
        <w:t xml:space="preserve"> k</w:t>
      </w:r>
      <w:r w:rsidRPr="00E26A6E">
        <w:rPr>
          <w:rFonts w:ascii="Arial" w:eastAsia="Times New Roman" w:hAnsi="Arial" w:cs="Arial"/>
          <w:color w:val="auto"/>
          <w:sz w:val="20"/>
          <w:szCs w:val="20"/>
          <w:lang w:eastAsia="en-GB"/>
        </w:rPr>
        <w:t xml:space="preserve">nowledge of PFM use (purpose, calibration units, </w:t>
      </w:r>
      <w:proofErr w:type="spellStart"/>
      <w:r w:rsidRPr="00E26A6E">
        <w:rPr>
          <w:rFonts w:ascii="Arial" w:eastAsia="Times New Roman" w:hAnsi="Arial" w:cs="Arial"/>
          <w:color w:val="auto"/>
          <w:sz w:val="20"/>
          <w:szCs w:val="20"/>
          <w:lang w:eastAsia="en-GB"/>
        </w:rPr>
        <w:t>color</w:t>
      </w:r>
      <w:proofErr w:type="spellEnd"/>
      <w:r w:rsidRPr="00E26A6E">
        <w:rPr>
          <w:rFonts w:ascii="Arial" w:eastAsia="Times New Roman" w:hAnsi="Arial" w:cs="Arial"/>
          <w:color w:val="auto"/>
          <w:sz w:val="20"/>
          <w:szCs w:val="20"/>
          <w:lang w:eastAsia="en-GB"/>
        </w:rPr>
        <w:t xml:space="preserve"> zones, clinical indications);</w:t>
      </w:r>
      <w:r w:rsidR="00EC3D5A" w:rsidRPr="00E26A6E">
        <w:rPr>
          <w:rFonts w:ascii="Arial" w:eastAsia="Times New Roman" w:hAnsi="Arial" w:cs="Arial"/>
          <w:color w:val="auto"/>
          <w:sz w:val="20"/>
          <w:szCs w:val="20"/>
          <w:lang w:eastAsia="en-GB"/>
        </w:rPr>
        <w:t xml:space="preserve"> p</w:t>
      </w:r>
      <w:r w:rsidRPr="00E26A6E">
        <w:rPr>
          <w:rFonts w:ascii="Arial" w:eastAsia="Times New Roman" w:hAnsi="Arial" w:cs="Arial"/>
          <w:color w:val="auto"/>
          <w:sz w:val="20"/>
          <w:szCs w:val="20"/>
          <w:lang w:eastAsia="en-GB"/>
        </w:rPr>
        <w:t>ractice of PFM use (experience, patient instruction, documentation); and</w:t>
      </w:r>
      <w:r w:rsidR="00EC3D5A" w:rsidRPr="00E26A6E">
        <w:rPr>
          <w:rFonts w:ascii="Arial" w:eastAsia="Times New Roman" w:hAnsi="Arial" w:cs="Arial"/>
          <w:color w:val="auto"/>
          <w:sz w:val="20"/>
          <w:szCs w:val="20"/>
          <w:lang w:eastAsia="en-GB"/>
        </w:rPr>
        <w:t xml:space="preserve"> p</w:t>
      </w:r>
      <w:r w:rsidRPr="00E26A6E">
        <w:rPr>
          <w:rFonts w:ascii="Arial" w:eastAsia="Times New Roman" w:hAnsi="Arial" w:cs="Arial"/>
          <w:color w:val="auto"/>
          <w:sz w:val="20"/>
          <w:szCs w:val="20"/>
          <w:lang w:eastAsia="en-GB"/>
        </w:rPr>
        <w:t>erceived barriers to PFM utilization.</w:t>
      </w:r>
      <w:r w:rsidR="00EE19F4">
        <w:rPr>
          <w:rFonts w:ascii="Arial" w:eastAsia="Times New Roman" w:hAnsi="Arial" w:cs="Arial"/>
          <w:color w:val="auto"/>
          <w:sz w:val="20"/>
          <w:szCs w:val="20"/>
          <w:lang w:eastAsia="en-GB"/>
        </w:rPr>
        <w:t xml:space="preserve"> </w:t>
      </w:r>
      <w:r w:rsidR="00EE19F4" w:rsidRPr="00EE19F4">
        <w:rPr>
          <w:rFonts w:ascii="Arial" w:eastAsia="Times New Roman" w:hAnsi="Arial" w:cs="Arial"/>
          <w:color w:val="auto"/>
          <w:sz w:val="20"/>
          <w:szCs w:val="20"/>
          <w:highlight w:val="yellow"/>
          <w:lang w:eastAsia="en-GB"/>
        </w:rPr>
        <w:t>The questionnaire included an item on cost as a potential barrier to PFM use. Although the device itself is relatively inexpensive, in many hospital settings the limited procurement budgets, lack of supply chains, and absence of institutional provision make PFMs functionally inaccessible. Therefore, “cost” in this context refers to institutional affordability and availability rather than the retail price of the device.</w:t>
      </w:r>
    </w:p>
    <w:p w14:paraId="62FE09F9" w14:textId="72DB70B4"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 xml:space="preserve">The questionnaire was reviewed by two respiratory nursing specialists and a senior academic to ensure content validity. </w:t>
      </w:r>
      <w:r w:rsidR="005074B9" w:rsidRPr="005074B9">
        <w:rPr>
          <w:rFonts w:ascii="Arial" w:eastAsia="Times New Roman" w:hAnsi="Arial" w:cs="Arial"/>
          <w:color w:val="auto"/>
          <w:sz w:val="20"/>
          <w:szCs w:val="20"/>
          <w:highlight w:val="yellow"/>
          <w:lang w:eastAsia="en-GB"/>
        </w:rPr>
        <w:t xml:space="preserve">The questionnaire was </w:t>
      </w:r>
      <w:r w:rsidR="005074B9" w:rsidRPr="005074B9">
        <w:rPr>
          <w:rFonts w:ascii="Arial" w:eastAsia="Times New Roman" w:hAnsi="Arial" w:cs="Arial"/>
          <w:color w:val="auto"/>
          <w:sz w:val="20"/>
          <w:szCs w:val="20"/>
          <w:highlight w:val="yellow"/>
          <w:lang w:eastAsia="en-GB"/>
        </w:rPr>
        <w:t xml:space="preserve">then </w:t>
      </w:r>
      <w:r w:rsidR="005074B9" w:rsidRPr="005074B9">
        <w:rPr>
          <w:rFonts w:ascii="Arial" w:eastAsia="Times New Roman" w:hAnsi="Arial" w:cs="Arial"/>
          <w:color w:val="auto"/>
          <w:sz w:val="20"/>
          <w:szCs w:val="20"/>
          <w:highlight w:val="yellow"/>
          <w:lang w:eastAsia="en-GB"/>
        </w:rPr>
        <w:t>pre-tested among 20 nurses from medical and emergency wards</w:t>
      </w:r>
      <w:r w:rsidR="005074B9" w:rsidRPr="005074B9">
        <w:rPr>
          <w:rFonts w:ascii="Arial" w:eastAsia="Times New Roman" w:hAnsi="Arial" w:cs="Arial"/>
          <w:color w:val="auto"/>
          <w:sz w:val="20"/>
          <w:szCs w:val="20"/>
          <w:highlight w:val="yellow"/>
          <w:lang w:eastAsia="en-GB"/>
        </w:rPr>
        <w:t xml:space="preserve"> of another facility in Kumasi,</w:t>
      </w:r>
      <w:r w:rsidR="005074B9" w:rsidRPr="005074B9">
        <w:rPr>
          <w:rFonts w:ascii="Arial" w:eastAsia="Times New Roman" w:hAnsi="Arial" w:cs="Arial"/>
          <w:color w:val="auto"/>
          <w:sz w:val="20"/>
          <w:szCs w:val="20"/>
          <w:highlight w:val="yellow"/>
          <w:lang w:eastAsia="en-GB"/>
        </w:rPr>
        <w:t xml:space="preserve"> who were not respiratory-trained. This ensured that the items were comprehensible to general nurses likely to participate in the main study.</w:t>
      </w:r>
      <w:r w:rsidR="005074B9" w:rsidRPr="005074B9">
        <w:rPr>
          <w:rFonts w:ascii="Arial" w:eastAsia="Times New Roman" w:hAnsi="Arial" w:cs="Arial"/>
          <w:color w:val="auto"/>
          <w:sz w:val="20"/>
          <w:szCs w:val="20"/>
          <w:lang w:eastAsia="en-GB"/>
        </w:rPr>
        <w:t xml:space="preserve"> </w:t>
      </w:r>
      <w:r w:rsidRPr="00E26A6E">
        <w:rPr>
          <w:rFonts w:ascii="Arial" w:eastAsia="Times New Roman" w:hAnsi="Arial" w:cs="Arial"/>
          <w:color w:val="auto"/>
          <w:sz w:val="20"/>
          <w:szCs w:val="20"/>
          <w:lang w:eastAsia="en-GB"/>
        </w:rPr>
        <w:t>Minor wording adjustments were made based on feedback. Internal consistency for the knowledge and practice sections was assessed using Cronbach’s alpha, which yielded coefficients of 0.78 and 0.81, respectively, indicating acceptable reliability.</w:t>
      </w:r>
    </w:p>
    <w:p w14:paraId="46D17451"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2.6 </w:t>
      </w:r>
      <w:r w:rsidR="00E9683E" w:rsidRPr="00E26A6E">
        <w:rPr>
          <w:rFonts w:ascii="Arial" w:eastAsia="Times New Roman" w:hAnsi="Arial" w:cs="Arial"/>
          <w:b/>
          <w:bCs/>
          <w:color w:val="auto"/>
          <w:sz w:val="22"/>
          <w:lang w:eastAsia="en-GB"/>
        </w:rPr>
        <w:t>Data Collection Procedure</w:t>
      </w:r>
    </w:p>
    <w:p w14:paraId="6C681F9D"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Data w</w:t>
      </w:r>
      <w:r w:rsidR="00A663A7"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collected over a four-week period (May–June 2023). Research assistants distributed questionnaires to eligible nurses during duty hours and retrieved them immediately after completion to minimize non-response. Questionnaires were checked daily for completeness.</w:t>
      </w:r>
    </w:p>
    <w:p w14:paraId="7191C238"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2.7 </w:t>
      </w:r>
      <w:r w:rsidR="00E9683E" w:rsidRPr="00E26A6E">
        <w:rPr>
          <w:rFonts w:ascii="Arial" w:eastAsia="Times New Roman" w:hAnsi="Arial" w:cs="Arial"/>
          <w:b/>
          <w:bCs/>
          <w:color w:val="auto"/>
          <w:sz w:val="22"/>
          <w:lang w:eastAsia="en-GB"/>
        </w:rPr>
        <w:t>Data Management and Analysis</w:t>
      </w:r>
    </w:p>
    <w:p w14:paraId="7FD4C5AB" w14:textId="77777777" w:rsidR="00E9683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Completed questionnaires were coded and entered into SPSS version 26 (IBM Corp., Armonk, NY). Data w</w:t>
      </w:r>
      <w:r w:rsidR="00A663A7"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cleaned and checked for accuracy. Descriptive statistics (frequencies, percentages, means, and standard deviations) were generated to summarize demographic characteristics, knowledge scores, practice patterns, and barriers.</w:t>
      </w:r>
    </w:p>
    <w:p w14:paraId="2EACD25A" w14:textId="71D44A5D" w:rsidR="007B2A5E" w:rsidRPr="00E26A6E" w:rsidRDefault="007B2A5E" w:rsidP="00C53DD7">
      <w:pPr>
        <w:spacing w:line="360" w:lineRule="auto"/>
        <w:rPr>
          <w:rFonts w:ascii="Arial" w:eastAsia="Times New Roman" w:hAnsi="Arial" w:cs="Arial"/>
          <w:color w:val="auto"/>
          <w:sz w:val="20"/>
          <w:szCs w:val="20"/>
          <w:lang w:eastAsia="en-GB"/>
        </w:rPr>
      </w:pPr>
      <w:r w:rsidRPr="00B60212">
        <w:rPr>
          <w:rFonts w:ascii="Arial" w:eastAsia="Times New Roman" w:hAnsi="Arial" w:cs="Arial"/>
          <w:color w:val="auto"/>
          <w:sz w:val="20"/>
          <w:szCs w:val="20"/>
          <w:highlight w:val="yellow"/>
          <w:lang w:eastAsia="en-GB"/>
        </w:rPr>
        <w:t xml:space="preserve">The findings of this study will inform continuing professional development and </w:t>
      </w:r>
      <w:r w:rsidR="003B55AA" w:rsidRPr="00B60212">
        <w:rPr>
          <w:rFonts w:ascii="Arial" w:eastAsia="Times New Roman" w:hAnsi="Arial" w:cs="Arial"/>
          <w:color w:val="auto"/>
          <w:sz w:val="20"/>
          <w:szCs w:val="20"/>
          <w:highlight w:val="yellow"/>
          <w:lang w:eastAsia="en-GB"/>
        </w:rPr>
        <w:t>i</w:t>
      </w:r>
      <w:r w:rsidR="00EF5F71" w:rsidRPr="00B60212">
        <w:rPr>
          <w:rFonts w:ascii="Arial" w:eastAsia="Times New Roman" w:hAnsi="Arial" w:cs="Arial"/>
          <w:color w:val="auto"/>
          <w:sz w:val="20"/>
          <w:szCs w:val="20"/>
          <w:highlight w:val="yellow"/>
          <w:lang w:eastAsia="en-GB"/>
        </w:rPr>
        <w:t>n</w:t>
      </w:r>
      <w:r w:rsidR="003B55AA" w:rsidRPr="00B60212">
        <w:rPr>
          <w:rFonts w:ascii="Arial" w:eastAsia="Times New Roman" w:hAnsi="Arial" w:cs="Arial"/>
          <w:color w:val="auto"/>
          <w:sz w:val="20"/>
          <w:szCs w:val="20"/>
          <w:highlight w:val="yellow"/>
          <w:lang w:eastAsia="en-GB"/>
        </w:rPr>
        <w:t>-</w:t>
      </w:r>
      <w:r w:rsidR="00EF5F71" w:rsidRPr="00B60212">
        <w:rPr>
          <w:rFonts w:ascii="Arial" w:eastAsia="Times New Roman" w:hAnsi="Arial" w:cs="Arial"/>
          <w:color w:val="auto"/>
          <w:sz w:val="20"/>
          <w:szCs w:val="20"/>
          <w:highlight w:val="yellow"/>
          <w:lang w:eastAsia="en-GB"/>
        </w:rPr>
        <w:t>service</w:t>
      </w:r>
      <w:r w:rsidRPr="00B60212">
        <w:rPr>
          <w:rFonts w:ascii="Arial" w:eastAsia="Times New Roman" w:hAnsi="Arial" w:cs="Arial"/>
          <w:color w:val="auto"/>
          <w:sz w:val="20"/>
          <w:szCs w:val="20"/>
          <w:highlight w:val="yellow"/>
          <w:lang w:eastAsia="en-GB"/>
        </w:rPr>
        <w:t xml:space="preserve"> training programs of nurses on the use of the PFM</w:t>
      </w:r>
      <w:r w:rsidR="00371721" w:rsidRPr="00B60212">
        <w:rPr>
          <w:rFonts w:ascii="Arial" w:eastAsia="Times New Roman" w:hAnsi="Arial" w:cs="Arial"/>
          <w:color w:val="auto"/>
          <w:sz w:val="20"/>
          <w:szCs w:val="20"/>
          <w:highlight w:val="yellow"/>
          <w:lang w:eastAsia="en-GB"/>
        </w:rPr>
        <w:t xml:space="preserve"> at the Komfo Anokye Teaching Hospital. </w:t>
      </w:r>
      <w:r w:rsidR="00BC07FC" w:rsidRPr="00B60212">
        <w:rPr>
          <w:rFonts w:ascii="Arial" w:eastAsia="Times New Roman" w:hAnsi="Arial" w:cs="Arial"/>
          <w:color w:val="auto"/>
          <w:sz w:val="20"/>
          <w:szCs w:val="20"/>
          <w:highlight w:val="yellow"/>
          <w:lang w:eastAsia="en-GB"/>
        </w:rPr>
        <w:t xml:space="preserve">Executive summary of the final </w:t>
      </w:r>
      <w:r w:rsidR="00BC07FC" w:rsidRPr="00B60212">
        <w:rPr>
          <w:rFonts w:ascii="Arial" w:eastAsia="Times New Roman" w:hAnsi="Arial" w:cs="Arial"/>
          <w:color w:val="auto"/>
          <w:sz w:val="20"/>
          <w:szCs w:val="20"/>
          <w:highlight w:val="yellow"/>
          <w:lang w:eastAsia="en-GB"/>
        </w:rPr>
        <w:lastRenderedPageBreak/>
        <w:t>report will be shared with the Hospital’s Director of Nursing and Midwifery Services. However, individual participants will not be identified in any dissemination activities.</w:t>
      </w:r>
    </w:p>
    <w:p w14:paraId="20B01D8B" w14:textId="77777777" w:rsidR="00E26A6E" w:rsidRPr="00F51EEC" w:rsidRDefault="00E26A6E" w:rsidP="00C53DD7">
      <w:pPr>
        <w:spacing w:line="360" w:lineRule="auto"/>
        <w:rPr>
          <w:rFonts w:ascii="Arial" w:eastAsia="Times New Roman" w:hAnsi="Arial" w:cs="Arial"/>
          <w:b/>
          <w:bCs/>
          <w:color w:val="auto"/>
          <w:sz w:val="22"/>
          <w:lang w:eastAsia="en-GB"/>
        </w:rPr>
      </w:pPr>
    </w:p>
    <w:p w14:paraId="1F6A310B"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3. RESULTS</w:t>
      </w:r>
    </w:p>
    <w:p w14:paraId="47E83AC7"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3.1 </w:t>
      </w:r>
      <w:r w:rsidR="004D6231" w:rsidRPr="00E26A6E">
        <w:rPr>
          <w:rFonts w:ascii="Arial" w:hAnsi="Arial" w:cs="Arial"/>
          <w:b/>
          <w:bCs/>
          <w:sz w:val="22"/>
        </w:rPr>
        <w:t>Demographic Characteristics</w:t>
      </w:r>
    </w:p>
    <w:p w14:paraId="3323BE95" w14:textId="77777777" w:rsidR="00C41921" w:rsidRPr="00E26A6E" w:rsidRDefault="004537BD" w:rsidP="00C53DD7">
      <w:pPr>
        <w:spacing w:line="360" w:lineRule="auto"/>
        <w:rPr>
          <w:rFonts w:ascii="Arial" w:hAnsi="Arial" w:cs="Arial"/>
          <w:sz w:val="20"/>
          <w:szCs w:val="20"/>
        </w:rPr>
      </w:pPr>
      <w:r w:rsidRPr="00E26A6E">
        <w:rPr>
          <w:rFonts w:ascii="Arial" w:hAnsi="Arial" w:cs="Arial"/>
          <w:sz w:val="20"/>
          <w:szCs w:val="20"/>
        </w:rPr>
        <w:t xml:space="preserve">A total of 335 nurses participated in the study, yielding a response rate of 95.7%. Table 1 summarizes their demographic characteristics. The largest proportion of participants were aged 30–39 years (n = 165, 49.3%), followed by those aged 20–29 years (n = 70, 20.9%). The majority were male (n = 255, 76.1%). More than half (62.4%) had over 10 years of working experience, and nearly three-quarters (73.2%) held a diploma or degree in nursing. </w:t>
      </w:r>
    </w:p>
    <w:p w14:paraId="7D532F3E" w14:textId="77777777" w:rsidR="00C41921" w:rsidRPr="00E26A6E" w:rsidRDefault="00C41921" w:rsidP="00C53DD7">
      <w:pPr>
        <w:spacing w:line="360" w:lineRule="auto"/>
        <w:rPr>
          <w:rFonts w:ascii="Arial" w:hAnsi="Arial" w:cs="Arial"/>
          <w:sz w:val="20"/>
          <w:szCs w:val="20"/>
        </w:rPr>
      </w:pPr>
    </w:p>
    <w:p w14:paraId="7B486AE9" w14:textId="77777777" w:rsidR="00882E32" w:rsidRPr="00E26A6E" w:rsidRDefault="00882E32" w:rsidP="00C53DD7">
      <w:pPr>
        <w:spacing w:line="360" w:lineRule="auto"/>
        <w:rPr>
          <w:rFonts w:ascii="Arial" w:hAnsi="Arial" w:cs="Arial"/>
          <w:b/>
          <w:bCs/>
          <w:sz w:val="20"/>
          <w:szCs w:val="20"/>
        </w:rPr>
      </w:pPr>
      <w:r w:rsidRPr="00E26A6E">
        <w:rPr>
          <w:rFonts w:ascii="Arial" w:hAnsi="Arial" w:cs="Arial"/>
          <w:b/>
          <w:bCs/>
          <w:sz w:val="20"/>
          <w:szCs w:val="20"/>
        </w:rPr>
        <w:t>Table 1. Demographic Characteristics of Respondents (N = 335)</w:t>
      </w:r>
    </w:p>
    <w:tbl>
      <w:tblPr>
        <w:tblStyle w:val="PlainTable2"/>
        <w:tblW w:w="0" w:type="auto"/>
        <w:tblLook w:val="06A0" w:firstRow="1" w:lastRow="0" w:firstColumn="1" w:lastColumn="0" w:noHBand="1" w:noVBand="1"/>
      </w:tblPr>
      <w:tblGrid>
        <w:gridCol w:w="2217"/>
        <w:gridCol w:w="1539"/>
        <w:gridCol w:w="1661"/>
      </w:tblGrid>
      <w:tr w:rsidR="009A118F" w:rsidRPr="00E26A6E" w14:paraId="688574BC" w14:textId="77777777" w:rsidTr="00516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3A638F"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Characteristic</w:t>
            </w:r>
          </w:p>
        </w:tc>
        <w:tc>
          <w:tcPr>
            <w:tcW w:w="0" w:type="auto"/>
            <w:hideMark/>
          </w:tcPr>
          <w:p w14:paraId="6F0A229D"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Frequency (n)</w:t>
            </w:r>
          </w:p>
        </w:tc>
        <w:tc>
          <w:tcPr>
            <w:tcW w:w="0" w:type="auto"/>
            <w:hideMark/>
          </w:tcPr>
          <w:p w14:paraId="72DECDAE"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Percentage (%)</w:t>
            </w:r>
          </w:p>
        </w:tc>
      </w:tr>
      <w:tr w:rsidR="009A118F" w:rsidRPr="00E26A6E" w14:paraId="37DD0ED6"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62DC391F"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Age (years)</w:t>
            </w:r>
          </w:p>
        </w:tc>
        <w:tc>
          <w:tcPr>
            <w:tcW w:w="0" w:type="auto"/>
          </w:tcPr>
          <w:p w14:paraId="3588388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45ED337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7BF87E6"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368F0C12"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20–29</w:t>
            </w:r>
          </w:p>
        </w:tc>
        <w:tc>
          <w:tcPr>
            <w:tcW w:w="0" w:type="auto"/>
            <w:hideMark/>
          </w:tcPr>
          <w:p w14:paraId="28CEF0B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70</w:t>
            </w:r>
          </w:p>
        </w:tc>
        <w:tc>
          <w:tcPr>
            <w:tcW w:w="0" w:type="auto"/>
            <w:hideMark/>
          </w:tcPr>
          <w:p w14:paraId="25F4B48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20.9</w:t>
            </w:r>
          </w:p>
        </w:tc>
      </w:tr>
      <w:tr w:rsidR="009A118F" w:rsidRPr="00E26A6E" w14:paraId="293ADADD"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9CD540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30–39</w:t>
            </w:r>
          </w:p>
        </w:tc>
        <w:tc>
          <w:tcPr>
            <w:tcW w:w="0" w:type="auto"/>
            <w:hideMark/>
          </w:tcPr>
          <w:p w14:paraId="651C6ED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165</w:t>
            </w:r>
          </w:p>
        </w:tc>
        <w:tc>
          <w:tcPr>
            <w:tcW w:w="0" w:type="auto"/>
            <w:hideMark/>
          </w:tcPr>
          <w:p w14:paraId="0ED5556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49.3</w:t>
            </w:r>
          </w:p>
        </w:tc>
      </w:tr>
      <w:tr w:rsidR="009A118F" w:rsidRPr="00E26A6E" w14:paraId="4FF0454E"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51EB26D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40–49</w:t>
            </w:r>
          </w:p>
        </w:tc>
        <w:tc>
          <w:tcPr>
            <w:tcW w:w="0" w:type="auto"/>
            <w:hideMark/>
          </w:tcPr>
          <w:p w14:paraId="453D64F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40</w:t>
            </w:r>
          </w:p>
        </w:tc>
        <w:tc>
          <w:tcPr>
            <w:tcW w:w="0" w:type="auto"/>
            <w:hideMark/>
          </w:tcPr>
          <w:p w14:paraId="5F580CC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11.9</w:t>
            </w:r>
          </w:p>
        </w:tc>
      </w:tr>
      <w:tr w:rsidR="009A118F" w:rsidRPr="00E26A6E" w14:paraId="6D88C969"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F9F8E96"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≥50</w:t>
            </w:r>
          </w:p>
        </w:tc>
        <w:tc>
          <w:tcPr>
            <w:tcW w:w="0" w:type="auto"/>
            <w:hideMark/>
          </w:tcPr>
          <w:p w14:paraId="372DF4B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60</w:t>
            </w:r>
          </w:p>
        </w:tc>
        <w:tc>
          <w:tcPr>
            <w:tcW w:w="0" w:type="auto"/>
            <w:hideMark/>
          </w:tcPr>
          <w:p w14:paraId="79131E9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17.9</w:t>
            </w:r>
          </w:p>
        </w:tc>
      </w:tr>
      <w:tr w:rsidR="009A118F" w:rsidRPr="00E26A6E" w14:paraId="1A67B9E9"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33A3C372"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Sex</w:t>
            </w:r>
          </w:p>
        </w:tc>
        <w:tc>
          <w:tcPr>
            <w:tcW w:w="0" w:type="auto"/>
          </w:tcPr>
          <w:p w14:paraId="2C8DC17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5543859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D552AB5"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853D5E5"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Male</w:t>
            </w:r>
          </w:p>
        </w:tc>
        <w:tc>
          <w:tcPr>
            <w:tcW w:w="0" w:type="auto"/>
            <w:hideMark/>
          </w:tcPr>
          <w:p w14:paraId="6341792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255</w:t>
            </w:r>
          </w:p>
        </w:tc>
        <w:tc>
          <w:tcPr>
            <w:tcW w:w="0" w:type="auto"/>
            <w:hideMark/>
          </w:tcPr>
          <w:p w14:paraId="61D1812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76.1</w:t>
            </w:r>
          </w:p>
        </w:tc>
      </w:tr>
      <w:tr w:rsidR="009A118F" w:rsidRPr="00E26A6E" w14:paraId="16BB0E1B"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075444AA"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Female</w:t>
            </w:r>
          </w:p>
        </w:tc>
        <w:tc>
          <w:tcPr>
            <w:tcW w:w="0" w:type="auto"/>
            <w:hideMark/>
          </w:tcPr>
          <w:p w14:paraId="46DAD83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80</w:t>
            </w:r>
          </w:p>
        </w:tc>
        <w:tc>
          <w:tcPr>
            <w:tcW w:w="0" w:type="auto"/>
            <w:hideMark/>
          </w:tcPr>
          <w:p w14:paraId="54A69BF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23.9</w:t>
            </w:r>
          </w:p>
        </w:tc>
      </w:tr>
      <w:tr w:rsidR="009A118F" w:rsidRPr="00E26A6E" w14:paraId="10A5B493"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2118E971"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Years of Experience</w:t>
            </w:r>
          </w:p>
        </w:tc>
        <w:tc>
          <w:tcPr>
            <w:tcW w:w="0" w:type="auto"/>
          </w:tcPr>
          <w:p w14:paraId="53C0606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163F2CC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6FC3E7B5"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00D1C8E"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&lt;5</w:t>
            </w:r>
          </w:p>
        </w:tc>
        <w:tc>
          <w:tcPr>
            <w:tcW w:w="0" w:type="auto"/>
            <w:hideMark/>
          </w:tcPr>
          <w:p w14:paraId="520D536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66</w:t>
            </w:r>
          </w:p>
        </w:tc>
        <w:tc>
          <w:tcPr>
            <w:tcW w:w="0" w:type="auto"/>
            <w:hideMark/>
          </w:tcPr>
          <w:p w14:paraId="644615E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19.7</w:t>
            </w:r>
          </w:p>
        </w:tc>
      </w:tr>
      <w:tr w:rsidR="009A118F" w:rsidRPr="00E26A6E" w14:paraId="0A253440"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99CF6F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5–10</w:t>
            </w:r>
          </w:p>
        </w:tc>
        <w:tc>
          <w:tcPr>
            <w:tcW w:w="0" w:type="auto"/>
            <w:hideMark/>
          </w:tcPr>
          <w:p w14:paraId="25BAAD3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60</w:t>
            </w:r>
          </w:p>
        </w:tc>
        <w:tc>
          <w:tcPr>
            <w:tcW w:w="0" w:type="auto"/>
            <w:hideMark/>
          </w:tcPr>
          <w:p w14:paraId="0593976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17.9</w:t>
            </w:r>
          </w:p>
        </w:tc>
      </w:tr>
      <w:tr w:rsidR="009A118F" w:rsidRPr="00E26A6E" w14:paraId="485A542F"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50523432"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&gt;10</w:t>
            </w:r>
          </w:p>
        </w:tc>
        <w:tc>
          <w:tcPr>
            <w:tcW w:w="0" w:type="auto"/>
            <w:hideMark/>
          </w:tcPr>
          <w:p w14:paraId="7CA93DC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209</w:t>
            </w:r>
          </w:p>
        </w:tc>
        <w:tc>
          <w:tcPr>
            <w:tcW w:w="0" w:type="auto"/>
            <w:hideMark/>
          </w:tcPr>
          <w:p w14:paraId="03B4C0E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62.4</w:t>
            </w:r>
          </w:p>
        </w:tc>
      </w:tr>
      <w:tr w:rsidR="009A118F" w:rsidRPr="00E26A6E" w14:paraId="68D366C9"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4C5C743A"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Highest Qualification</w:t>
            </w:r>
          </w:p>
        </w:tc>
        <w:tc>
          <w:tcPr>
            <w:tcW w:w="0" w:type="auto"/>
          </w:tcPr>
          <w:p w14:paraId="11E3B72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67F6241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5723FDFD"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11B2475"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Diploma</w:t>
            </w:r>
          </w:p>
        </w:tc>
        <w:tc>
          <w:tcPr>
            <w:tcW w:w="0" w:type="auto"/>
            <w:hideMark/>
          </w:tcPr>
          <w:p w14:paraId="5952648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145</w:t>
            </w:r>
          </w:p>
        </w:tc>
        <w:tc>
          <w:tcPr>
            <w:tcW w:w="0" w:type="auto"/>
            <w:hideMark/>
          </w:tcPr>
          <w:p w14:paraId="48E6BE6C" w14:textId="2CD7D5FE"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77F8">
              <w:rPr>
                <w:rFonts w:ascii="Arial" w:hAnsi="Arial" w:cs="Arial"/>
                <w:sz w:val="20"/>
                <w:szCs w:val="20"/>
                <w:highlight w:val="yellow"/>
              </w:rPr>
              <w:t>43.</w:t>
            </w:r>
            <w:r w:rsidR="00BA3B08" w:rsidRPr="00B277F8">
              <w:rPr>
                <w:rFonts w:ascii="Arial" w:hAnsi="Arial" w:cs="Arial"/>
                <w:sz w:val="20"/>
                <w:szCs w:val="20"/>
                <w:highlight w:val="yellow"/>
              </w:rPr>
              <w:t>2</w:t>
            </w:r>
          </w:p>
        </w:tc>
      </w:tr>
      <w:tr w:rsidR="009A118F" w:rsidRPr="00E26A6E" w14:paraId="13757215"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AD3BB1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Bachelor’s degree</w:t>
            </w:r>
          </w:p>
        </w:tc>
        <w:tc>
          <w:tcPr>
            <w:tcW w:w="0" w:type="auto"/>
            <w:hideMark/>
          </w:tcPr>
          <w:p w14:paraId="47BC1AB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100</w:t>
            </w:r>
          </w:p>
        </w:tc>
        <w:tc>
          <w:tcPr>
            <w:tcW w:w="0" w:type="auto"/>
            <w:hideMark/>
          </w:tcPr>
          <w:p w14:paraId="1659F0B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29.9</w:t>
            </w:r>
          </w:p>
        </w:tc>
      </w:tr>
      <w:tr w:rsidR="009A118F" w:rsidRPr="00E26A6E" w14:paraId="004E9D79"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BA646EE"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Postgraduate</w:t>
            </w:r>
          </w:p>
        </w:tc>
        <w:tc>
          <w:tcPr>
            <w:tcW w:w="0" w:type="auto"/>
            <w:hideMark/>
          </w:tcPr>
          <w:p w14:paraId="54FBCDE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hideMark/>
          </w:tcPr>
          <w:p w14:paraId="5B16447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26.9</w:t>
            </w:r>
          </w:p>
        </w:tc>
      </w:tr>
    </w:tbl>
    <w:p w14:paraId="62FBDC8F" w14:textId="77777777" w:rsidR="00012F86" w:rsidRPr="00E26A6E" w:rsidRDefault="00012F86" w:rsidP="00C53DD7">
      <w:pPr>
        <w:spacing w:line="360" w:lineRule="auto"/>
        <w:rPr>
          <w:rFonts w:ascii="Arial" w:hAnsi="Arial" w:cs="Arial"/>
          <w:i/>
          <w:iCs/>
          <w:sz w:val="20"/>
          <w:szCs w:val="20"/>
        </w:rPr>
      </w:pPr>
    </w:p>
    <w:p w14:paraId="73493D3A"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3.2 </w:t>
      </w:r>
      <w:r w:rsidR="004D6231" w:rsidRPr="00E26A6E">
        <w:rPr>
          <w:rFonts w:ascii="Arial" w:hAnsi="Arial" w:cs="Arial"/>
          <w:b/>
          <w:bCs/>
          <w:sz w:val="22"/>
        </w:rPr>
        <w:t>Knowledge of Peak Flow Meters</w:t>
      </w:r>
    </w:p>
    <w:p w14:paraId="5BBEDC25" w14:textId="77777777" w:rsidR="00F3353A" w:rsidRPr="00E26A6E" w:rsidRDefault="00F3353A" w:rsidP="00C53DD7">
      <w:pPr>
        <w:spacing w:line="360" w:lineRule="auto"/>
        <w:rPr>
          <w:rFonts w:ascii="Arial" w:hAnsi="Arial" w:cs="Arial"/>
          <w:sz w:val="20"/>
          <w:szCs w:val="20"/>
        </w:rPr>
      </w:pPr>
      <w:r w:rsidRPr="00E26A6E">
        <w:rPr>
          <w:rFonts w:ascii="Arial" w:hAnsi="Arial" w:cs="Arial"/>
          <w:sz w:val="20"/>
          <w:szCs w:val="20"/>
        </w:rPr>
        <w:t>Table 2 presents respondents’ knowledge of peak flow meters (PFMs). Slightly more than half (n = 184, 55%) correctly identified a PFM as a device used to assess airflow limitation. Only 94 (28.1%) knew the correct calibration unit (L/min), and fewer than one-third correctly recognized the color-coding system (n=97; 29%).</w:t>
      </w:r>
    </w:p>
    <w:p w14:paraId="44105DDE" w14:textId="77777777" w:rsidR="00C41921" w:rsidRPr="00E26A6E" w:rsidRDefault="00F3353A" w:rsidP="00C53DD7">
      <w:pPr>
        <w:spacing w:line="360" w:lineRule="auto"/>
        <w:rPr>
          <w:rFonts w:ascii="Arial" w:hAnsi="Arial" w:cs="Arial"/>
          <w:sz w:val="20"/>
          <w:szCs w:val="20"/>
        </w:rPr>
      </w:pPr>
      <w:r w:rsidRPr="00E26A6E">
        <w:rPr>
          <w:rFonts w:ascii="Arial" w:hAnsi="Arial" w:cs="Arial"/>
          <w:sz w:val="20"/>
          <w:szCs w:val="20"/>
        </w:rPr>
        <w:t xml:space="preserve">Nearly half of respondents (n=161; 48.1%) knew that the marker should be placed at the bottom of the scale before use, but only 90 (26.9%) identified the patient’s personal best score as the reliable reference </w:t>
      </w:r>
      <w:r w:rsidRPr="00E26A6E">
        <w:rPr>
          <w:rFonts w:ascii="Arial" w:hAnsi="Arial" w:cs="Arial"/>
          <w:sz w:val="20"/>
          <w:szCs w:val="20"/>
        </w:rPr>
        <w:lastRenderedPageBreak/>
        <w:t>for clinical management.</w:t>
      </w:r>
      <w:r w:rsidR="00020A31" w:rsidRPr="00E26A6E">
        <w:rPr>
          <w:rFonts w:ascii="Arial" w:hAnsi="Arial" w:cs="Arial"/>
          <w:sz w:val="20"/>
          <w:szCs w:val="20"/>
        </w:rPr>
        <w:t xml:space="preserve"> </w:t>
      </w:r>
      <w:r w:rsidRPr="00E26A6E">
        <w:rPr>
          <w:rFonts w:ascii="Arial" w:hAnsi="Arial" w:cs="Arial"/>
          <w:sz w:val="20"/>
          <w:szCs w:val="20"/>
        </w:rPr>
        <w:t>Across the seven scored knowledge items, the estimated mean correct score was 2.36 ± 0.9 (out of 7), reflecting limited knowledge overall.</w:t>
      </w:r>
    </w:p>
    <w:p w14:paraId="42EDF31A" w14:textId="77777777" w:rsidR="00C53DD7" w:rsidRPr="00E26A6E" w:rsidRDefault="00C53DD7" w:rsidP="00C53DD7">
      <w:pPr>
        <w:spacing w:line="360" w:lineRule="auto"/>
        <w:rPr>
          <w:rFonts w:ascii="Arial" w:hAnsi="Arial" w:cs="Arial"/>
          <w:sz w:val="20"/>
          <w:szCs w:val="20"/>
        </w:rPr>
      </w:pPr>
    </w:p>
    <w:p w14:paraId="3D940409" w14:textId="77777777" w:rsidR="00D12FA6" w:rsidRPr="00E26A6E" w:rsidRDefault="00D12FA6" w:rsidP="00C53DD7">
      <w:pPr>
        <w:spacing w:line="360" w:lineRule="auto"/>
        <w:rPr>
          <w:rFonts w:ascii="Arial" w:hAnsi="Arial" w:cs="Arial"/>
          <w:b/>
          <w:bCs/>
          <w:sz w:val="20"/>
          <w:szCs w:val="20"/>
        </w:rPr>
      </w:pPr>
      <w:r w:rsidRPr="00E26A6E">
        <w:rPr>
          <w:rFonts w:ascii="Arial" w:hAnsi="Arial" w:cs="Arial"/>
          <w:b/>
          <w:bCs/>
          <w:sz w:val="20"/>
          <w:szCs w:val="20"/>
        </w:rPr>
        <w:t>Table 2. Knowledge of Peak Flow Meter (PFM) (N = 335)</w:t>
      </w:r>
    </w:p>
    <w:tbl>
      <w:tblPr>
        <w:tblStyle w:val="PlainTable2"/>
        <w:tblW w:w="0" w:type="auto"/>
        <w:tblLook w:val="06A0" w:firstRow="1" w:lastRow="0" w:firstColumn="1" w:lastColumn="0" w:noHBand="1" w:noVBand="1"/>
      </w:tblPr>
      <w:tblGrid>
        <w:gridCol w:w="5607"/>
        <w:gridCol w:w="1228"/>
        <w:gridCol w:w="1295"/>
      </w:tblGrid>
      <w:tr w:rsidR="009A118F" w:rsidRPr="00E26A6E" w14:paraId="737E7218" w14:textId="77777777" w:rsidTr="00CC6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6BB412"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 xml:space="preserve">Item </w:t>
            </w:r>
          </w:p>
        </w:tc>
        <w:tc>
          <w:tcPr>
            <w:tcW w:w="0" w:type="auto"/>
          </w:tcPr>
          <w:p w14:paraId="28E7F879"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Frequency</w:t>
            </w:r>
          </w:p>
        </w:tc>
        <w:tc>
          <w:tcPr>
            <w:tcW w:w="0" w:type="auto"/>
          </w:tcPr>
          <w:p w14:paraId="6633FD04"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Percentage</w:t>
            </w:r>
          </w:p>
        </w:tc>
      </w:tr>
      <w:tr w:rsidR="009A118F" w:rsidRPr="00E26A6E" w14:paraId="6F9B0F3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4EBF548"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What is a peak flow meter?</w:t>
            </w:r>
          </w:p>
        </w:tc>
        <w:tc>
          <w:tcPr>
            <w:tcW w:w="0" w:type="auto"/>
          </w:tcPr>
          <w:p w14:paraId="7B2DC10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2552ABF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62AFE2B2"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2AA2D86B"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Device used to assess oxygen levels in a person</w:t>
            </w:r>
          </w:p>
        </w:tc>
        <w:tc>
          <w:tcPr>
            <w:tcW w:w="0" w:type="auto"/>
          </w:tcPr>
          <w:p w14:paraId="4455400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151</w:t>
            </w:r>
          </w:p>
        </w:tc>
        <w:tc>
          <w:tcPr>
            <w:tcW w:w="0" w:type="auto"/>
          </w:tcPr>
          <w:p w14:paraId="158677D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45</w:t>
            </w:r>
            <w:r w:rsidR="008448B6" w:rsidRPr="00E26A6E">
              <w:rPr>
                <w:rFonts w:ascii="Arial" w:hAnsi="Arial" w:cs="Arial"/>
                <w:sz w:val="20"/>
                <w:szCs w:val="20"/>
              </w:rPr>
              <w:t>.1</w:t>
            </w:r>
          </w:p>
        </w:tc>
      </w:tr>
      <w:tr w:rsidR="009A118F" w:rsidRPr="00E26A6E" w14:paraId="318F8D09"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098A8F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Device used to assess airflow limitations in a person*</w:t>
            </w:r>
          </w:p>
        </w:tc>
        <w:tc>
          <w:tcPr>
            <w:tcW w:w="0" w:type="auto"/>
          </w:tcPr>
          <w:p w14:paraId="4B9717E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184</w:t>
            </w:r>
          </w:p>
        </w:tc>
        <w:tc>
          <w:tcPr>
            <w:tcW w:w="0" w:type="auto"/>
          </w:tcPr>
          <w:p w14:paraId="7E7D8CC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w:t>
            </w:r>
            <w:r w:rsidR="008448B6" w:rsidRPr="00E26A6E">
              <w:rPr>
                <w:rFonts w:ascii="Arial" w:hAnsi="Arial" w:cs="Arial"/>
                <w:sz w:val="20"/>
                <w:szCs w:val="20"/>
              </w:rPr>
              <w:t>4.9</w:t>
            </w:r>
          </w:p>
        </w:tc>
      </w:tr>
      <w:tr w:rsidR="009A118F" w:rsidRPr="00E26A6E" w14:paraId="5EB4CB80"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B224FC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Standardized unit of calibration</w:t>
            </w:r>
          </w:p>
        </w:tc>
        <w:tc>
          <w:tcPr>
            <w:tcW w:w="0" w:type="auto"/>
          </w:tcPr>
          <w:p w14:paraId="1E5BB0B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3E97C03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A118F" w:rsidRPr="00E26A6E" w14:paraId="77FA5AC4"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58EFD413"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Litres per minute (L/</w:t>
            </w:r>
            <w:proofErr w:type="gramStart"/>
            <w:r w:rsidRPr="00E26A6E">
              <w:rPr>
                <w:rFonts w:ascii="Arial" w:hAnsi="Arial" w:cs="Arial"/>
                <w:sz w:val="20"/>
                <w:szCs w:val="20"/>
              </w:rPr>
              <w:t>min)*</w:t>
            </w:r>
            <w:proofErr w:type="gramEnd"/>
          </w:p>
        </w:tc>
        <w:tc>
          <w:tcPr>
            <w:tcW w:w="0" w:type="auto"/>
          </w:tcPr>
          <w:p w14:paraId="03A7D04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26A6E">
              <w:rPr>
                <w:rFonts w:ascii="Arial" w:hAnsi="Arial" w:cs="Arial"/>
                <w:b/>
                <w:bCs/>
                <w:sz w:val="20"/>
                <w:szCs w:val="20"/>
              </w:rPr>
              <w:t>94</w:t>
            </w:r>
          </w:p>
        </w:tc>
        <w:tc>
          <w:tcPr>
            <w:tcW w:w="0" w:type="auto"/>
          </w:tcPr>
          <w:p w14:paraId="57EE9C9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26A6E">
              <w:rPr>
                <w:rFonts w:ascii="Arial" w:hAnsi="Arial" w:cs="Arial"/>
                <w:b/>
                <w:bCs/>
                <w:sz w:val="20"/>
                <w:szCs w:val="20"/>
              </w:rPr>
              <w:t>28</w:t>
            </w:r>
            <w:r w:rsidR="008448B6" w:rsidRPr="00E26A6E">
              <w:rPr>
                <w:rFonts w:ascii="Arial" w:hAnsi="Arial" w:cs="Arial"/>
                <w:b/>
                <w:bCs/>
                <w:sz w:val="20"/>
                <w:szCs w:val="20"/>
              </w:rPr>
              <w:t>.1</w:t>
            </w:r>
          </w:p>
        </w:tc>
      </w:tr>
      <w:tr w:rsidR="009A118F" w:rsidRPr="00E26A6E" w14:paraId="054E9F5D"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A79127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Millilitres per second (ml/hr)</w:t>
            </w:r>
          </w:p>
        </w:tc>
        <w:tc>
          <w:tcPr>
            <w:tcW w:w="0" w:type="auto"/>
          </w:tcPr>
          <w:p w14:paraId="71C5D2B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101</w:t>
            </w:r>
          </w:p>
        </w:tc>
        <w:tc>
          <w:tcPr>
            <w:tcW w:w="0" w:type="auto"/>
          </w:tcPr>
          <w:p w14:paraId="4D31A9D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30</w:t>
            </w:r>
            <w:r w:rsidR="008448B6" w:rsidRPr="00E26A6E">
              <w:rPr>
                <w:rFonts w:ascii="Arial" w:hAnsi="Arial" w:cs="Arial"/>
                <w:sz w:val="20"/>
                <w:szCs w:val="20"/>
              </w:rPr>
              <w:t>.1</w:t>
            </w:r>
          </w:p>
        </w:tc>
      </w:tr>
      <w:tr w:rsidR="009A118F" w:rsidRPr="00E26A6E" w14:paraId="142DE805"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44473F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Mmol/l</w:t>
            </w:r>
          </w:p>
        </w:tc>
        <w:tc>
          <w:tcPr>
            <w:tcW w:w="0" w:type="auto"/>
          </w:tcPr>
          <w:p w14:paraId="4121F25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4E5B007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8448B6" w:rsidRPr="00E26A6E">
              <w:rPr>
                <w:rFonts w:ascii="Arial" w:hAnsi="Arial" w:cs="Arial"/>
                <w:sz w:val="20"/>
                <w:szCs w:val="20"/>
              </w:rPr>
              <w:t>6.9</w:t>
            </w:r>
          </w:p>
        </w:tc>
      </w:tr>
      <w:tr w:rsidR="009A118F" w:rsidRPr="00E26A6E" w14:paraId="43CFDAD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02AB4EC"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14:paraId="416BA8E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50</w:t>
            </w:r>
          </w:p>
        </w:tc>
        <w:tc>
          <w:tcPr>
            <w:tcW w:w="0" w:type="auto"/>
          </w:tcPr>
          <w:p w14:paraId="5A3BD10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w:t>
            </w:r>
            <w:r w:rsidR="008448B6" w:rsidRPr="00E26A6E">
              <w:rPr>
                <w:rFonts w:ascii="Arial" w:hAnsi="Arial" w:cs="Arial"/>
                <w:sz w:val="20"/>
                <w:szCs w:val="20"/>
              </w:rPr>
              <w:t>4.9</w:t>
            </w:r>
          </w:p>
        </w:tc>
      </w:tr>
      <w:tr w:rsidR="009A118F" w:rsidRPr="00E26A6E" w14:paraId="09894519"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80AE191" w14:textId="77777777" w:rsidR="009A118F" w:rsidRPr="00E26A6E" w:rsidRDefault="009A118F" w:rsidP="00C53DD7">
            <w:pPr>
              <w:spacing w:line="360" w:lineRule="auto"/>
              <w:rPr>
                <w:rFonts w:ascii="Arial" w:hAnsi="Arial" w:cs="Arial"/>
                <w:sz w:val="20"/>
                <w:szCs w:val="20"/>
              </w:rPr>
            </w:pPr>
            <w:proofErr w:type="spellStart"/>
            <w:r w:rsidRPr="00E26A6E">
              <w:rPr>
                <w:rFonts w:ascii="Arial" w:hAnsi="Arial" w:cs="Arial"/>
                <w:sz w:val="20"/>
                <w:szCs w:val="20"/>
              </w:rPr>
              <w:t>Colors</w:t>
            </w:r>
            <w:proofErr w:type="spellEnd"/>
            <w:r w:rsidRPr="00E26A6E">
              <w:rPr>
                <w:rFonts w:ascii="Arial" w:hAnsi="Arial" w:cs="Arial"/>
                <w:sz w:val="20"/>
                <w:szCs w:val="20"/>
              </w:rPr>
              <w:t xml:space="preserve"> indicated on the PFM</w:t>
            </w:r>
          </w:p>
        </w:tc>
        <w:tc>
          <w:tcPr>
            <w:tcW w:w="0" w:type="auto"/>
          </w:tcPr>
          <w:p w14:paraId="747C366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5C3F757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0C716619"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22C89C6"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Green, Yellow, Red*</w:t>
            </w:r>
          </w:p>
        </w:tc>
        <w:tc>
          <w:tcPr>
            <w:tcW w:w="0" w:type="auto"/>
          </w:tcPr>
          <w:p w14:paraId="31AE6BE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97</w:t>
            </w:r>
          </w:p>
        </w:tc>
        <w:tc>
          <w:tcPr>
            <w:tcW w:w="0" w:type="auto"/>
          </w:tcPr>
          <w:p w14:paraId="0B6DC02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29</w:t>
            </w:r>
            <w:r w:rsidR="00A720E1" w:rsidRPr="00E26A6E">
              <w:rPr>
                <w:rFonts w:ascii="Arial" w:hAnsi="Arial" w:cs="Arial"/>
                <w:sz w:val="20"/>
                <w:szCs w:val="20"/>
              </w:rPr>
              <w:t>.0</w:t>
            </w:r>
          </w:p>
        </w:tc>
      </w:tr>
      <w:tr w:rsidR="009A118F" w:rsidRPr="00E26A6E" w14:paraId="41312C7A"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75667CF5"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Brown, Orange, White</w:t>
            </w:r>
          </w:p>
        </w:tc>
        <w:tc>
          <w:tcPr>
            <w:tcW w:w="0" w:type="auto"/>
          </w:tcPr>
          <w:p w14:paraId="77D4C5D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47</w:t>
            </w:r>
          </w:p>
        </w:tc>
        <w:tc>
          <w:tcPr>
            <w:tcW w:w="0" w:type="auto"/>
          </w:tcPr>
          <w:p w14:paraId="38B6358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14</w:t>
            </w:r>
            <w:r w:rsidR="00A720E1" w:rsidRPr="00E26A6E">
              <w:rPr>
                <w:rFonts w:ascii="Arial" w:hAnsi="Arial" w:cs="Arial"/>
                <w:sz w:val="20"/>
                <w:szCs w:val="20"/>
              </w:rPr>
              <w:t>.0</w:t>
            </w:r>
          </w:p>
        </w:tc>
      </w:tr>
      <w:tr w:rsidR="009A118F" w:rsidRPr="00E26A6E" w14:paraId="5001CB0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6841E6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Black, blue, violet</w:t>
            </w:r>
          </w:p>
        </w:tc>
        <w:tc>
          <w:tcPr>
            <w:tcW w:w="0" w:type="auto"/>
          </w:tcPr>
          <w:p w14:paraId="658E7C2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191</w:t>
            </w:r>
          </w:p>
        </w:tc>
        <w:tc>
          <w:tcPr>
            <w:tcW w:w="0" w:type="auto"/>
          </w:tcPr>
          <w:p w14:paraId="263EBDB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57</w:t>
            </w:r>
            <w:r w:rsidR="00A720E1" w:rsidRPr="00E26A6E">
              <w:rPr>
                <w:rFonts w:ascii="Arial" w:hAnsi="Arial" w:cs="Arial"/>
                <w:sz w:val="20"/>
                <w:szCs w:val="20"/>
              </w:rPr>
              <w:t>.0</w:t>
            </w:r>
          </w:p>
        </w:tc>
      </w:tr>
      <w:tr w:rsidR="009A118F" w:rsidRPr="00E26A6E" w14:paraId="7EC7347B"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FD5F346"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Starting range of values</w:t>
            </w:r>
          </w:p>
        </w:tc>
        <w:tc>
          <w:tcPr>
            <w:tcW w:w="0" w:type="auto"/>
          </w:tcPr>
          <w:p w14:paraId="7DE2C5A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7FC68AC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72A23298"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3B354F71"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0 – 800*</w:t>
            </w:r>
          </w:p>
        </w:tc>
        <w:tc>
          <w:tcPr>
            <w:tcW w:w="0" w:type="auto"/>
          </w:tcPr>
          <w:p w14:paraId="0735662A"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74</w:t>
            </w:r>
          </w:p>
        </w:tc>
        <w:tc>
          <w:tcPr>
            <w:tcW w:w="0" w:type="auto"/>
          </w:tcPr>
          <w:p w14:paraId="269D110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22</w:t>
            </w:r>
            <w:r w:rsidR="00D37989" w:rsidRPr="00E26A6E">
              <w:rPr>
                <w:rFonts w:ascii="Arial" w:hAnsi="Arial" w:cs="Arial"/>
                <w:sz w:val="20"/>
                <w:szCs w:val="20"/>
              </w:rPr>
              <w:t>.1</w:t>
            </w:r>
          </w:p>
        </w:tc>
      </w:tr>
      <w:tr w:rsidR="009A118F" w:rsidRPr="00E26A6E" w14:paraId="51348880"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37BEC4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60 – 100</w:t>
            </w:r>
          </w:p>
        </w:tc>
        <w:tc>
          <w:tcPr>
            <w:tcW w:w="0" w:type="auto"/>
          </w:tcPr>
          <w:p w14:paraId="542336F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66010BF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D37989" w:rsidRPr="00E26A6E">
              <w:rPr>
                <w:rFonts w:ascii="Arial" w:hAnsi="Arial" w:cs="Arial"/>
                <w:sz w:val="20"/>
                <w:szCs w:val="20"/>
              </w:rPr>
              <w:t>6.9</w:t>
            </w:r>
          </w:p>
        </w:tc>
      </w:tr>
      <w:tr w:rsidR="009A118F" w:rsidRPr="00E26A6E" w14:paraId="2F8B33E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7656FD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1000-2000</w:t>
            </w:r>
          </w:p>
        </w:tc>
        <w:tc>
          <w:tcPr>
            <w:tcW w:w="0" w:type="auto"/>
          </w:tcPr>
          <w:p w14:paraId="397F6C2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171</w:t>
            </w:r>
          </w:p>
        </w:tc>
        <w:tc>
          <w:tcPr>
            <w:tcW w:w="0" w:type="auto"/>
          </w:tcPr>
          <w:p w14:paraId="686616F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51</w:t>
            </w:r>
            <w:r w:rsidR="00D37989" w:rsidRPr="00E26A6E">
              <w:rPr>
                <w:rFonts w:ascii="Arial" w:hAnsi="Arial" w:cs="Arial"/>
                <w:sz w:val="20"/>
                <w:szCs w:val="20"/>
              </w:rPr>
              <w:t>.0</w:t>
            </w:r>
          </w:p>
        </w:tc>
      </w:tr>
      <w:tr w:rsidR="009A118F" w:rsidRPr="00E26A6E" w14:paraId="2FFF8315"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0A522325"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 xml:space="preserve">Meaning of the PFM </w:t>
            </w:r>
            <w:proofErr w:type="spellStart"/>
            <w:r w:rsidRPr="00E26A6E">
              <w:rPr>
                <w:rFonts w:ascii="Arial" w:hAnsi="Arial" w:cs="Arial"/>
                <w:sz w:val="20"/>
                <w:szCs w:val="20"/>
              </w:rPr>
              <w:t>colors</w:t>
            </w:r>
            <w:proofErr w:type="spellEnd"/>
          </w:p>
        </w:tc>
        <w:tc>
          <w:tcPr>
            <w:tcW w:w="0" w:type="auto"/>
          </w:tcPr>
          <w:p w14:paraId="0C1B053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03A36FAA"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5DE6FB93"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8548A8D"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Height, weight, temperature</w:t>
            </w:r>
          </w:p>
        </w:tc>
        <w:tc>
          <w:tcPr>
            <w:tcW w:w="0" w:type="auto"/>
          </w:tcPr>
          <w:p w14:paraId="5E543FD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64</w:t>
            </w:r>
          </w:p>
        </w:tc>
        <w:tc>
          <w:tcPr>
            <w:tcW w:w="0" w:type="auto"/>
          </w:tcPr>
          <w:p w14:paraId="6121848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w:t>
            </w:r>
            <w:r w:rsidR="00965FFF" w:rsidRPr="00E26A6E">
              <w:rPr>
                <w:rFonts w:ascii="Arial" w:hAnsi="Arial" w:cs="Arial"/>
                <w:sz w:val="20"/>
                <w:szCs w:val="20"/>
              </w:rPr>
              <w:t>.1</w:t>
            </w:r>
          </w:p>
        </w:tc>
      </w:tr>
      <w:tr w:rsidR="009A118F" w:rsidRPr="00E26A6E" w14:paraId="70F974E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014E14E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Severe, moderate, mild*</w:t>
            </w:r>
          </w:p>
        </w:tc>
        <w:tc>
          <w:tcPr>
            <w:tcW w:w="0" w:type="auto"/>
          </w:tcPr>
          <w:p w14:paraId="2B84242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076CB8C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965FFF" w:rsidRPr="00E26A6E">
              <w:rPr>
                <w:rFonts w:ascii="Arial" w:hAnsi="Arial" w:cs="Arial"/>
                <w:sz w:val="20"/>
                <w:szCs w:val="20"/>
              </w:rPr>
              <w:t>6.9</w:t>
            </w:r>
          </w:p>
        </w:tc>
      </w:tr>
      <w:tr w:rsidR="009A118F" w:rsidRPr="00E26A6E" w14:paraId="660147B3"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2D05E858"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Small, medium, big</w:t>
            </w:r>
          </w:p>
        </w:tc>
        <w:tc>
          <w:tcPr>
            <w:tcW w:w="0" w:type="auto"/>
          </w:tcPr>
          <w:p w14:paraId="56AF38E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94</w:t>
            </w:r>
          </w:p>
        </w:tc>
        <w:tc>
          <w:tcPr>
            <w:tcW w:w="0" w:type="auto"/>
          </w:tcPr>
          <w:p w14:paraId="1B27EEC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28</w:t>
            </w:r>
            <w:r w:rsidR="00965FFF" w:rsidRPr="00E26A6E">
              <w:rPr>
                <w:rFonts w:ascii="Arial" w:hAnsi="Arial" w:cs="Arial"/>
                <w:sz w:val="20"/>
                <w:szCs w:val="20"/>
              </w:rPr>
              <w:t>.1</w:t>
            </w:r>
          </w:p>
        </w:tc>
      </w:tr>
      <w:tr w:rsidR="009A118F" w:rsidRPr="00E26A6E" w14:paraId="6B0C022E"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A28895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14:paraId="6029133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87</w:t>
            </w:r>
          </w:p>
        </w:tc>
        <w:tc>
          <w:tcPr>
            <w:tcW w:w="0" w:type="auto"/>
          </w:tcPr>
          <w:p w14:paraId="22D1F0B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26</w:t>
            </w:r>
            <w:r w:rsidR="00965FFF" w:rsidRPr="00E26A6E">
              <w:rPr>
                <w:rFonts w:ascii="Arial" w:hAnsi="Arial" w:cs="Arial"/>
                <w:sz w:val="20"/>
                <w:szCs w:val="20"/>
              </w:rPr>
              <w:t>.0</w:t>
            </w:r>
          </w:p>
        </w:tc>
      </w:tr>
      <w:tr w:rsidR="009A118F" w:rsidRPr="00E26A6E" w14:paraId="0A83E7B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6BC81EA"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Placement of marker before use</w:t>
            </w:r>
          </w:p>
        </w:tc>
        <w:tc>
          <w:tcPr>
            <w:tcW w:w="0" w:type="auto"/>
          </w:tcPr>
          <w:p w14:paraId="48D0DAB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0F6400E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52C10ED3"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015C9DF1"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the bottom/zero of the scale*</w:t>
            </w:r>
          </w:p>
        </w:tc>
        <w:tc>
          <w:tcPr>
            <w:tcW w:w="0" w:type="auto"/>
          </w:tcPr>
          <w:p w14:paraId="5923C6D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161</w:t>
            </w:r>
          </w:p>
        </w:tc>
        <w:tc>
          <w:tcPr>
            <w:tcW w:w="0" w:type="auto"/>
          </w:tcPr>
          <w:p w14:paraId="4C90315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48</w:t>
            </w:r>
            <w:r w:rsidR="006158F5" w:rsidRPr="00E26A6E">
              <w:rPr>
                <w:rFonts w:ascii="Arial" w:hAnsi="Arial" w:cs="Arial"/>
                <w:sz w:val="20"/>
                <w:szCs w:val="20"/>
              </w:rPr>
              <w:t>.1</w:t>
            </w:r>
          </w:p>
        </w:tc>
      </w:tr>
      <w:tr w:rsidR="009A118F" w:rsidRPr="00E26A6E" w14:paraId="3C7C92D8"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3628E0A"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60</w:t>
            </w:r>
          </w:p>
        </w:tc>
        <w:tc>
          <w:tcPr>
            <w:tcW w:w="0" w:type="auto"/>
          </w:tcPr>
          <w:p w14:paraId="06F00A3A"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110</w:t>
            </w:r>
          </w:p>
        </w:tc>
        <w:tc>
          <w:tcPr>
            <w:tcW w:w="0" w:type="auto"/>
          </w:tcPr>
          <w:p w14:paraId="41C4F87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w:t>
            </w:r>
            <w:r w:rsidR="006158F5" w:rsidRPr="00E26A6E">
              <w:rPr>
                <w:rFonts w:ascii="Arial" w:hAnsi="Arial" w:cs="Arial"/>
                <w:sz w:val="20"/>
                <w:szCs w:val="20"/>
              </w:rPr>
              <w:t>2.8</w:t>
            </w:r>
          </w:p>
        </w:tc>
      </w:tr>
      <w:tr w:rsidR="009A118F" w:rsidRPr="00E26A6E" w14:paraId="45A0B23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21A495B"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1000</w:t>
            </w:r>
          </w:p>
        </w:tc>
        <w:tc>
          <w:tcPr>
            <w:tcW w:w="0" w:type="auto"/>
          </w:tcPr>
          <w:p w14:paraId="157CD63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64</w:t>
            </w:r>
          </w:p>
        </w:tc>
        <w:tc>
          <w:tcPr>
            <w:tcW w:w="0" w:type="auto"/>
          </w:tcPr>
          <w:p w14:paraId="7132D19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w:t>
            </w:r>
            <w:r w:rsidR="006158F5" w:rsidRPr="00E26A6E">
              <w:rPr>
                <w:rFonts w:ascii="Arial" w:hAnsi="Arial" w:cs="Arial"/>
                <w:sz w:val="20"/>
                <w:szCs w:val="20"/>
              </w:rPr>
              <w:t>.1</w:t>
            </w:r>
          </w:p>
        </w:tc>
      </w:tr>
      <w:tr w:rsidR="009A118F" w:rsidRPr="00E26A6E" w14:paraId="55681E10"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0E14F08"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Reliable scores for further assessment and management</w:t>
            </w:r>
          </w:p>
        </w:tc>
        <w:tc>
          <w:tcPr>
            <w:tcW w:w="0" w:type="auto"/>
          </w:tcPr>
          <w:p w14:paraId="1EA1AD1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3B7A144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0760B70"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16562FD8"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As known and observed by nurse</w:t>
            </w:r>
          </w:p>
        </w:tc>
        <w:tc>
          <w:tcPr>
            <w:tcW w:w="0" w:type="auto"/>
          </w:tcPr>
          <w:p w14:paraId="037637C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168</w:t>
            </w:r>
          </w:p>
        </w:tc>
        <w:tc>
          <w:tcPr>
            <w:tcW w:w="0" w:type="auto"/>
          </w:tcPr>
          <w:p w14:paraId="6945A91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50</w:t>
            </w:r>
            <w:r w:rsidR="00E41455" w:rsidRPr="00E26A6E">
              <w:rPr>
                <w:rFonts w:ascii="Arial" w:hAnsi="Arial" w:cs="Arial"/>
                <w:sz w:val="20"/>
                <w:szCs w:val="20"/>
              </w:rPr>
              <w:t>.1</w:t>
            </w:r>
          </w:p>
        </w:tc>
      </w:tr>
      <w:tr w:rsidR="009A118F" w:rsidRPr="00E26A6E" w14:paraId="3773AAA6"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BA1A73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Patient personal best scores*</w:t>
            </w:r>
          </w:p>
        </w:tc>
        <w:tc>
          <w:tcPr>
            <w:tcW w:w="0" w:type="auto"/>
          </w:tcPr>
          <w:p w14:paraId="4398FFE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5F9D7A8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E41455" w:rsidRPr="00E26A6E">
              <w:rPr>
                <w:rFonts w:ascii="Arial" w:hAnsi="Arial" w:cs="Arial"/>
                <w:sz w:val="20"/>
                <w:szCs w:val="20"/>
              </w:rPr>
              <w:t>6.9</w:t>
            </w:r>
          </w:p>
        </w:tc>
      </w:tr>
      <w:tr w:rsidR="009A118F" w:rsidRPr="00E26A6E" w14:paraId="4A382C61"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B666EF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Patient scores compared to scores shown on the meter</w:t>
            </w:r>
          </w:p>
        </w:tc>
        <w:tc>
          <w:tcPr>
            <w:tcW w:w="0" w:type="auto"/>
          </w:tcPr>
          <w:p w14:paraId="53BB7FE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77</w:t>
            </w:r>
          </w:p>
        </w:tc>
        <w:tc>
          <w:tcPr>
            <w:tcW w:w="0" w:type="auto"/>
          </w:tcPr>
          <w:p w14:paraId="5B258A5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23</w:t>
            </w:r>
            <w:r w:rsidR="00E41455" w:rsidRPr="00E26A6E">
              <w:rPr>
                <w:rFonts w:ascii="Arial" w:hAnsi="Arial" w:cs="Arial"/>
                <w:sz w:val="20"/>
                <w:szCs w:val="20"/>
              </w:rPr>
              <w:t>.0</w:t>
            </w:r>
          </w:p>
        </w:tc>
      </w:tr>
      <w:tr w:rsidR="009A118F" w:rsidRPr="00E26A6E" w14:paraId="3F2D6ACA"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80B4EBE"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Clinical indications for PFM use</w:t>
            </w:r>
          </w:p>
        </w:tc>
        <w:tc>
          <w:tcPr>
            <w:tcW w:w="0" w:type="auto"/>
          </w:tcPr>
          <w:p w14:paraId="14D8B02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57E9CB6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7DCE4D0"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4C669396"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Diagnosing asthma</w:t>
            </w:r>
          </w:p>
        </w:tc>
        <w:tc>
          <w:tcPr>
            <w:tcW w:w="0" w:type="auto"/>
          </w:tcPr>
          <w:p w14:paraId="1638B0E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50</w:t>
            </w:r>
          </w:p>
        </w:tc>
        <w:tc>
          <w:tcPr>
            <w:tcW w:w="0" w:type="auto"/>
          </w:tcPr>
          <w:p w14:paraId="17E7EF8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15</w:t>
            </w:r>
          </w:p>
        </w:tc>
      </w:tr>
      <w:tr w:rsidR="009A118F" w:rsidRPr="00E26A6E" w14:paraId="2A770E1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042C01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Assess severity of asthma*</w:t>
            </w:r>
          </w:p>
        </w:tc>
        <w:tc>
          <w:tcPr>
            <w:tcW w:w="0" w:type="auto"/>
          </w:tcPr>
          <w:p w14:paraId="0BCF81C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74</w:t>
            </w:r>
          </w:p>
        </w:tc>
        <w:tc>
          <w:tcPr>
            <w:tcW w:w="0" w:type="auto"/>
          </w:tcPr>
          <w:p w14:paraId="32B37AB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22</w:t>
            </w:r>
          </w:p>
        </w:tc>
      </w:tr>
      <w:tr w:rsidR="009A118F" w:rsidRPr="00E26A6E" w14:paraId="08507BED"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463E211"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lastRenderedPageBreak/>
              <w:t>Exclude restrictive lung disease*</w:t>
            </w:r>
          </w:p>
        </w:tc>
        <w:tc>
          <w:tcPr>
            <w:tcW w:w="0" w:type="auto"/>
          </w:tcPr>
          <w:p w14:paraId="76E486F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64</w:t>
            </w:r>
          </w:p>
        </w:tc>
        <w:tc>
          <w:tcPr>
            <w:tcW w:w="0" w:type="auto"/>
          </w:tcPr>
          <w:p w14:paraId="381B3F1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w:t>
            </w:r>
          </w:p>
        </w:tc>
      </w:tr>
      <w:tr w:rsidR="009A118F" w:rsidRPr="00E26A6E" w14:paraId="5F656E5E"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2AEDE6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Acute exacerbations*</w:t>
            </w:r>
          </w:p>
        </w:tc>
        <w:tc>
          <w:tcPr>
            <w:tcW w:w="0" w:type="auto"/>
          </w:tcPr>
          <w:p w14:paraId="5997152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1414073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27</w:t>
            </w:r>
          </w:p>
        </w:tc>
      </w:tr>
      <w:tr w:rsidR="009A118F" w:rsidRPr="00E26A6E" w14:paraId="3A43D3D9"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147FE7D"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To change therapy*</w:t>
            </w:r>
          </w:p>
        </w:tc>
        <w:tc>
          <w:tcPr>
            <w:tcW w:w="0" w:type="auto"/>
          </w:tcPr>
          <w:p w14:paraId="51FAE24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34</w:t>
            </w:r>
          </w:p>
        </w:tc>
        <w:tc>
          <w:tcPr>
            <w:tcW w:w="0" w:type="auto"/>
          </w:tcPr>
          <w:p w14:paraId="20C82BC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w:t>
            </w:r>
          </w:p>
        </w:tc>
      </w:tr>
      <w:tr w:rsidR="009A118F" w:rsidRPr="00E26A6E" w14:paraId="1955000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722F6E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Diagnose exercise induced asthma*</w:t>
            </w:r>
          </w:p>
        </w:tc>
        <w:tc>
          <w:tcPr>
            <w:tcW w:w="0" w:type="auto"/>
          </w:tcPr>
          <w:p w14:paraId="736722A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13</w:t>
            </w:r>
          </w:p>
        </w:tc>
        <w:tc>
          <w:tcPr>
            <w:tcW w:w="0" w:type="auto"/>
          </w:tcPr>
          <w:p w14:paraId="56A8807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w:t>
            </w:r>
          </w:p>
        </w:tc>
      </w:tr>
      <w:tr w:rsidR="009A118F" w:rsidRPr="00E26A6E" w14:paraId="6D828688"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CEE686D"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14:paraId="112908A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w:t>
            </w:r>
          </w:p>
        </w:tc>
        <w:tc>
          <w:tcPr>
            <w:tcW w:w="0" w:type="auto"/>
          </w:tcPr>
          <w:p w14:paraId="6E3E77B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w:t>
            </w:r>
          </w:p>
        </w:tc>
      </w:tr>
      <w:tr w:rsidR="009A118F" w:rsidRPr="00E26A6E" w14:paraId="3A5F828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3700951"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Ever been taught to use PFM</w:t>
            </w:r>
          </w:p>
        </w:tc>
        <w:tc>
          <w:tcPr>
            <w:tcW w:w="0" w:type="auto"/>
          </w:tcPr>
          <w:p w14:paraId="3C22304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06A31B6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1AE57BB1"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D1E764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Yes</w:t>
            </w:r>
          </w:p>
        </w:tc>
        <w:tc>
          <w:tcPr>
            <w:tcW w:w="0" w:type="auto"/>
          </w:tcPr>
          <w:p w14:paraId="14ABDBA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312</w:t>
            </w:r>
          </w:p>
        </w:tc>
        <w:tc>
          <w:tcPr>
            <w:tcW w:w="0" w:type="auto"/>
          </w:tcPr>
          <w:p w14:paraId="2016847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93</w:t>
            </w:r>
          </w:p>
        </w:tc>
      </w:tr>
      <w:tr w:rsidR="009A118F" w:rsidRPr="00E26A6E" w14:paraId="0839D62A"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70C6E55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w:t>
            </w:r>
          </w:p>
        </w:tc>
        <w:tc>
          <w:tcPr>
            <w:tcW w:w="0" w:type="auto"/>
          </w:tcPr>
          <w:p w14:paraId="1958B1E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23</w:t>
            </w:r>
          </w:p>
        </w:tc>
        <w:tc>
          <w:tcPr>
            <w:tcW w:w="0" w:type="auto"/>
          </w:tcPr>
          <w:p w14:paraId="7AAE352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w:t>
            </w:r>
          </w:p>
        </w:tc>
      </w:tr>
    </w:tbl>
    <w:p w14:paraId="2DD9B757" w14:textId="2B9BFB70" w:rsidR="00D12FA6" w:rsidRDefault="00C41921" w:rsidP="00C53DD7">
      <w:pPr>
        <w:spacing w:line="360" w:lineRule="auto"/>
        <w:rPr>
          <w:rFonts w:ascii="Arial" w:hAnsi="Arial" w:cs="Arial"/>
          <w:sz w:val="20"/>
          <w:szCs w:val="20"/>
        </w:rPr>
      </w:pPr>
      <w:r w:rsidRPr="00E26A6E">
        <w:rPr>
          <w:rFonts w:ascii="Arial" w:hAnsi="Arial" w:cs="Arial"/>
          <w:sz w:val="20"/>
          <w:szCs w:val="20"/>
        </w:rPr>
        <w:t xml:space="preserve">* </w:t>
      </w:r>
      <w:proofErr w:type="gramStart"/>
      <w:r w:rsidRPr="00E26A6E">
        <w:rPr>
          <w:rFonts w:ascii="Arial" w:hAnsi="Arial" w:cs="Arial"/>
          <w:sz w:val="20"/>
          <w:szCs w:val="20"/>
        </w:rPr>
        <w:t>marked</w:t>
      </w:r>
      <w:proofErr w:type="gramEnd"/>
      <w:r w:rsidRPr="00E26A6E">
        <w:rPr>
          <w:rFonts w:ascii="Arial" w:hAnsi="Arial" w:cs="Arial"/>
          <w:sz w:val="20"/>
          <w:szCs w:val="20"/>
        </w:rPr>
        <w:t xml:space="preserve"> against correct response</w:t>
      </w:r>
      <w:r w:rsidR="0010755E">
        <w:rPr>
          <w:rFonts w:ascii="Arial" w:hAnsi="Arial" w:cs="Arial"/>
          <w:sz w:val="20"/>
          <w:szCs w:val="20"/>
        </w:rPr>
        <w:t xml:space="preserve">. </w:t>
      </w:r>
    </w:p>
    <w:p w14:paraId="05B519D9" w14:textId="6DDD0F88" w:rsidR="0010755E" w:rsidRPr="00E26A6E" w:rsidRDefault="0010755E" w:rsidP="00C53DD7">
      <w:pPr>
        <w:spacing w:line="360" w:lineRule="auto"/>
        <w:rPr>
          <w:rFonts w:ascii="Arial" w:hAnsi="Arial" w:cs="Arial"/>
          <w:sz w:val="20"/>
          <w:szCs w:val="20"/>
        </w:rPr>
      </w:pPr>
      <w:r>
        <w:rPr>
          <w:rFonts w:ascii="Arial" w:hAnsi="Arial" w:cs="Arial"/>
          <w:sz w:val="20"/>
          <w:szCs w:val="20"/>
        </w:rPr>
        <w:t xml:space="preserve">Note: </w:t>
      </w:r>
      <w:r w:rsidRPr="0010755E">
        <w:rPr>
          <w:rFonts w:ascii="Arial" w:hAnsi="Arial" w:cs="Arial"/>
          <w:sz w:val="20"/>
          <w:szCs w:val="20"/>
        </w:rPr>
        <w:t>Each item allowed only a single response per respondent.</w:t>
      </w:r>
      <w:r>
        <w:rPr>
          <w:rFonts w:ascii="Arial" w:hAnsi="Arial" w:cs="Arial"/>
          <w:sz w:val="20"/>
          <w:szCs w:val="20"/>
        </w:rPr>
        <w:t xml:space="preserve"> </w:t>
      </w:r>
    </w:p>
    <w:p w14:paraId="145B5348" w14:textId="77777777" w:rsidR="00BC381C" w:rsidRPr="00E26A6E" w:rsidRDefault="00BC381C" w:rsidP="00C53DD7">
      <w:pPr>
        <w:spacing w:line="360" w:lineRule="auto"/>
        <w:rPr>
          <w:rFonts w:ascii="Arial" w:hAnsi="Arial" w:cs="Arial"/>
          <w:sz w:val="20"/>
          <w:szCs w:val="20"/>
        </w:rPr>
      </w:pPr>
      <w:r w:rsidRPr="00E26A6E">
        <w:rPr>
          <w:rFonts w:ascii="Arial" w:hAnsi="Arial" w:cs="Arial"/>
          <w:b/>
          <w:bCs/>
          <w:sz w:val="20"/>
          <w:szCs w:val="20"/>
        </w:rPr>
        <w:t>Estimated mean knowledge score:</w:t>
      </w:r>
      <w:r w:rsidRPr="00E26A6E">
        <w:rPr>
          <w:rFonts w:ascii="Arial" w:hAnsi="Arial" w:cs="Arial"/>
          <w:sz w:val="20"/>
          <w:szCs w:val="20"/>
        </w:rPr>
        <w:t xml:space="preserve"> 2.36 ± 0.9 (out of 7) </w:t>
      </w:r>
    </w:p>
    <w:p w14:paraId="0E96C05C" w14:textId="77777777" w:rsidR="00C53DD7" w:rsidRPr="00E26A6E" w:rsidRDefault="00C53DD7" w:rsidP="00C53DD7">
      <w:pPr>
        <w:spacing w:line="360" w:lineRule="auto"/>
        <w:rPr>
          <w:rFonts w:ascii="Arial" w:hAnsi="Arial" w:cs="Arial"/>
          <w:sz w:val="20"/>
          <w:szCs w:val="20"/>
        </w:rPr>
      </w:pPr>
    </w:p>
    <w:p w14:paraId="485E3CAC" w14:textId="77777777" w:rsidR="004D6231" w:rsidRPr="00E26A6E" w:rsidRDefault="00E26A6E" w:rsidP="00C53DD7">
      <w:pPr>
        <w:spacing w:line="360" w:lineRule="auto"/>
        <w:rPr>
          <w:rFonts w:ascii="Arial" w:hAnsi="Arial" w:cs="Arial"/>
          <w:b/>
          <w:bCs/>
          <w:sz w:val="22"/>
        </w:rPr>
      </w:pPr>
      <w:r>
        <w:rPr>
          <w:rFonts w:ascii="Arial" w:hAnsi="Arial" w:cs="Arial"/>
          <w:b/>
          <w:bCs/>
          <w:sz w:val="22"/>
        </w:rPr>
        <w:t xml:space="preserve">3.3 </w:t>
      </w:r>
      <w:r w:rsidR="004D6231" w:rsidRPr="00E26A6E">
        <w:rPr>
          <w:rFonts w:ascii="Arial" w:hAnsi="Arial" w:cs="Arial"/>
          <w:b/>
          <w:bCs/>
          <w:sz w:val="22"/>
        </w:rPr>
        <w:t>Practice of PFM Use</w:t>
      </w:r>
    </w:p>
    <w:p w14:paraId="5D8EEDC9" w14:textId="0938F9EA" w:rsidR="00C53DD7" w:rsidRPr="00CF553E" w:rsidRDefault="00211D6D" w:rsidP="00C53DD7">
      <w:pPr>
        <w:spacing w:line="360" w:lineRule="auto"/>
        <w:rPr>
          <w:rFonts w:ascii="Arial" w:hAnsi="Arial" w:cs="Arial"/>
          <w:sz w:val="20"/>
          <w:szCs w:val="20"/>
        </w:rPr>
      </w:pPr>
      <w:r w:rsidRPr="00E26A6E">
        <w:rPr>
          <w:rFonts w:ascii="Arial" w:hAnsi="Arial" w:cs="Arial"/>
          <w:sz w:val="20"/>
          <w:szCs w:val="20"/>
        </w:rPr>
        <w:t>As shown in Table 3,</w:t>
      </w:r>
      <w:r w:rsidR="00CF553E">
        <w:rPr>
          <w:rFonts w:ascii="Arial" w:hAnsi="Arial" w:cs="Arial"/>
          <w:sz w:val="20"/>
          <w:szCs w:val="20"/>
        </w:rPr>
        <w:t xml:space="preserve"> </w:t>
      </w:r>
      <w:r w:rsidR="00CF553E" w:rsidRPr="009B77D3">
        <w:rPr>
          <w:rFonts w:ascii="Arial" w:hAnsi="Arial" w:cs="Arial"/>
          <w:sz w:val="20"/>
          <w:szCs w:val="20"/>
          <w:highlight w:val="yellow"/>
        </w:rPr>
        <w:t>o</w:t>
      </w:r>
      <w:r w:rsidR="00CF553E" w:rsidRPr="009B77D3">
        <w:rPr>
          <w:rFonts w:ascii="Arial" w:hAnsi="Arial" w:cs="Arial"/>
          <w:sz w:val="20"/>
          <w:szCs w:val="20"/>
          <w:highlight w:val="yellow"/>
        </w:rPr>
        <w:t>nly about one-third (34.0%) indicated that they routinely used the highest of three readings as a patient’s personal best value, consistent with standard procedure. Less than one-third had ever used the PFM to assess patients (27.8%) or had recommended its use to patients (27.2%). Similarly, only 26.0% reported positioning patients in the correct upright posture before measurement. Documentation of actual peak flow values after bronchodilator administration (6.0%) and use of the PFM to monitor bronchodilator response (4.8%) were particularly uncommon. These findings indicate that, while some nurses demonstrate awareness of basic procedural steps, the overall integration of PFM into clinical assessment and monitoring remains limited in this setting.</w:t>
      </w:r>
    </w:p>
    <w:p w14:paraId="4F452B7C" w14:textId="31EFBC80" w:rsidR="00D12FA6" w:rsidRPr="00E26A6E" w:rsidRDefault="00D12FA6" w:rsidP="00C53DD7">
      <w:pPr>
        <w:spacing w:line="360" w:lineRule="auto"/>
        <w:rPr>
          <w:rFonts w:ascii="Arial" w:hAnsi="Arial" w:cs="Arial"/>
          <w:b/>
          <w:bCs/>
          <w:sz w:val="20"/>
          <w:szCs w:val="20"/>
        </w:rPr>
      </w:pPr>
      <w:r w:rsidRPr="00E26A6E">
        <w:rPr>
          <w:rFonts w:ascii="Arial" w:hAnsi="Arial" w:cs="Arial"/>
          <w:b/>
          <w:bCs/>
          <w:sz w:val="20"/>
          <w:szCs w:val="20"/>
        </w:rPr>
        <w:t xml:space="preserve">Table </w:t>
      </w:r>
      <w:r w:rsidR="001B1218" w:rsidRPr="00E26A6E">
        <w:rPr>
          <w:rFonts w:ascii="Arial" w:hAnsi="Arial" w:cs="Arial"/>
          <w:b/>
          <w:bCs/>
          <w:sz w:val="20"/>
          <w:szCs w:val="20"/>
        </w:rPr>
        <w:t>3</w:t>
      </w:r>
      <w:r w:rsidRPr="00E26A6E">
        <w:rPr>
          <w:rFonts w:ascii="Arial" w:hAnsi="Arial" w:cs="Arial"/>
          <w:b/>
          <w:bCs/>
          <w:sz w:val="20"/>
          <w:szCs w:val="20"/>
        </w:rPr>
        <w:t>. Practice of PFM Use</w:t>
      </w:r>
      <w:r w:rsidR="00484B7E">
        <w:rPr>
          <w:rFonts w:ascii="Arial" w:hAnsi="Arial" w:cs="Arial"/>
          <w:b/>
          <w:bCs/>
          <w:sz w:val="20"/>
          <w:szCs w:val="20"/>
        </w:rPr>
        <w:t>*</w:t>
      </w:r>
    </w:p>
    <w:tbl>
      <w:tblPr>
        <w:tblStyle w:val="PlainTable2"/>
        <w:tblW w:w="0" w:type="auto"/>
        <w:tblLook w:val="06A0" w:firstRow="1" w:lastRow="0" w:firstColumn="1" w:lastColumn="0" w:noHBand="1" w:noVBand="1"/>
      </w:tblPr>
      <w:tblGrid>
        <w:gridCol w:w="5153"/>
        <w:gridCol w:w="1592"/>
        <w:gridCol w:w="1715"/>
      </w:tblGrid>
      <w:tr w:rsidR="00D12FA6" w:rsidRPr="00E26A6E" w14:paraId="46471F82" w14:textId="77777777" w:rsidTr="00394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3" w:type="dxa"/>
            <w:hideMark/>
          </w:tcPr>
          <w:p w14:paraId="2BA20A5E" w14:textId="77777777" w:rsidR="00D12FA6" w:rsidRPr="00E26A6E" w:rsidRDefault="00D12FA6" w:rsidP="00C53DD7">
            <w:pPr>
              <w:spacing w:line="360" w:lineRule="auto"/>
              <w:rPr>
                <w:rFonts w:ascii="Arial" w:hAnsi="Arial" w:cs="Arial"/>
                <w:sz w:val="20"/>
                <w:szCs w:val="20"/>
              </w:rPr>
            </w:pPr>
            <w:r w:rsidRPr="00E26A6E">
              <w:rPr>
                <w:rFonts w:ascii="Arial" w:hAnsi="Arial" w:cs="Arial"/>
                <w:sz w:val="20"/>
                <w:szCs w:val="20"/>
              </w:rPr>
              <w:t>Practice Item</w:t>
            </w:r>
          </w:p>
        </w:tc>
        <w:tc>
          <w:tcPr>
            <w:tcW w:w="1592" w:type="dxa"/>
            <w:hideMark/>
          </w:tcPr>
          <w:p w14:paraId="02747538" w14:textId="77777777" w:rsidR="00D12FA6" w:rsidRPr="00E26A6E" w:rsidRDefault="001A63EC"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Frequency (</w:t>
            </w:r>
            <w:r w:rsidR="00D12FA6" w:rsidRPr="00E26A6E">
              <w:rPr>
                <w:rFonts w:ascii="Arial" w:hAnsi="Arial" w:cs="Arial"/>
                <w:sz w:val="20"/>
                <w:szCs w:val="20"/>
              </w:rPr>
              <w:t>n</w:t>
            </w:r>
            <w:r w:rsidRPr="00E26A6E">
              <w:rPr>
                <w:rFonts w:ascii="Arial" w:hAnsi="Arial" w:cs="Arial"/>
                <w:sz w:val="20"/>
                <w:szCs w:val="20"/>
              </w:rPr>
              <w:t>)</w:t>
            </w:r>
          </w:p>
        </w:tc>
        <w:tc>
          <w:tcPr>
            <w:tcW w:w="1715" w:type="dxa"/>
            <w:hideMark/>
          </w:tcPr>
          <w:p w14:paraId="48C19A3E" w14:textId="77777777" w:rsidR="00D12FA6" w:rsidRPr="00E26A6E" w:rsidRDefault="001A63EC"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Percentage (</w:t>
            </w:r>
            <w:r w:rsidR="00D12FA6" w:rsidRPr="00E26A6E">
              <w:rPr>
                <w:rFonts w:ascii="Arial" w:hAnsi="Arial" w:cs="Arial"/>
                <w:sz w:val="20"/>
                <w:szCs w:val="20"/>
              </w:rPr>
              <w:t>%</w:t>
            </w:r>
            <w:r w:rsidRPr="00E26A6E">
              <w:rPr>
                <w:rFonts w:ascii="Arial" w:hAnsi="Arial" w:cs="Arial"/>
                <w:sz w:val="20"/>
                <w:szCs w:val="20"/>
              </w:rPr>
              <w:t>)</w:t>
            </w:r>
          </w:p>
        </w:tc>
      </w:tr>
      <w:tr w:rsidR="00C52B89" w:rsidRPr="00E26A6E" w14:paraId="01322BB4" w14:textId="77777777" w:rsidTr="005879DC">
        <w:tc>
          <w:tcPr>
            <w:cnfStyle w:val="001000000000" w:firstRow="0" w:lastRow="0" w:firstColumn="1" w:lastColumn="0" w:oddVBand="0" w:evenVBand="0" w:oddHBand="0" w:evenHBand="0" w:firstRowFirstColumn="0" w:firstRowLastColumn="0" w:lastRowFirstColumn="0" w:lastRowLastColumn="0"/>
            <w:tcW w:w="5153" w:type="dxa"/>
            <w:hideMark/>
          </w:tcPr>
          <w:p w14:paraId="76245920" w14:textId="77777777" w:rsidR="00C52B89" w:rsidRPr="00E26A6E" w:rsidRDefault="00C52B89" w:rsidP="005879DC">
            <w:pPr>
              <w:spacing w:line="360" w:lineRule="auto"/>
              <w:rPr>
                <w:rFonts w:ascii="Arial" w:hAnsi="Arial" w:cs="Arial"/>
                <w:b w:val="0"/>
                <w:bCs w:val="0"/>
                <w:sz w:val="20"/>
                <w:szCs w:val="20"/>
              </w:rPr>
            </w:pPr>
            <w:r w:rsidRPr="00E26A6E">
              <w:rPr>
                <w:rFonts w:ascii="Arial" w:hAnsi="Arial" w:cs="Arial"/>
                <w:b w:val="0"/>
                <w:bCs w:val="0"/>
                <w:sz w:val="20"/>
                <w:szCs w:val="20"/>
              </w:rPr>
              <w:t>Highest of three readings used for personal best</w:t>
            </w:r>
          </w:p>
        </w:tc>
        <w:tc>
          <w:tcPr>
            <w:tcW w:w="1592" w:type="dxa"/>
            <w:hideMark/>
          </w:tcPr>
          <w:p w14:paraId="6B7C0D58" w14:textId="77777777" w:rsidR="00C52B89" w:rsidRPr="00E26A6E" w:rsidRDefault="00C52B89"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114</w:t>
            </w:r>
          </w:p>
        </w:tc>
        <w:tc>
          <w:tcPr>
            <w:tcW w:w="1715" w:type="dxa"/>
            <w:hideMark/>
          </w:tcPr>
          <w:p w14:paraId="1118D864" w14:textId="77777777" w:rsidR="00C52B89" w:rsidRPr="00E26A6E" w:rsidRDefault="00C52B89"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34.0</w:t>
            </w:r>
          </w:p>
        </w:tc>
      </w:tr>
      <w:tr w:rsidR="00D12FA6" w:rsidRPr="00E26A6E" w14:paraId="69A7CCE3" w14:textId="77777777" w:rsidTr="00394666">
        <w:tc>
          <w:tcPr>
            <w:cnfStyle w:val="001000000000" w:firstRow="0" w:lastRow="0" w:firstColumn="1" w:lastColumn="0" w:oddVBand="0" w:evenVBand="0" w:oddHBand="0" w:evenHBand="0" w:firstRowFirstColumn="0" w:firstRowLastColumn="0" w:lastRowFirstColumn="0" w:lastRowLastColumn="0"/>
            <w:tcW w:w="5153" w:type="dxa"/>
            <w:hideMark/>
          </w:tcPr>
          <w:p w14:paraId="319086AF"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Ever used PFM to assess patients</w:t>
            </w:r>
          </w:p>
        </w:tc>
        <w:tc>
          <w:tcPr>
            <w:tcW w:w="1592" w:type="dxa"/>
            <w:hideMark/>
          </w:tcPr>
          <w:p w14:paraId="108BB3DB"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93</w:t>
            </w:r>
          </w:p>
        </w:tc>
        <w:tc>
          <w:tcPr>
            <w:tcW w:w="1715" w:type="dxa"/>
            <w:hideMark/>
          </w:tcPr>
          <w:p w14:paraId="5A7F8896"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27.8</w:t>
            </w:r>
          </w:p>
        </w:tc>
      </w:tr>
      <w:tr w:rsidR="00D12FA6" w:rsidRPr="00E26A6E" w14:paraId="45052FB7" w14:textId="77777777" w:rsidTr="00394666">
        <w:tc>
          <w:tcPr>
            <w:cnfStyle w:val="001000000000" w:firstRow="0" w:lastRow="0" w:firstColumn="1" w:lastColumn="0" w:oddVBand="0" w:evenVBand="0" w:oddHBand="0" w:evenHBand="0" w:firstRowFirstColumn="0" w:firstRowLastColumn="0" w:lastRowFirstColumn="0" w:lastRowLastColumn="0"/>
            <w:tcW w:w="5153" w:type="dxa"/>
            <w:hideMark/>
          </w:tcPr>
          <w:p w14:paraId="656C1DF8"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Ever recommended PFM for patient use</w:t>
            </w:r>
          </w:p>
        </w:tc>
        <w:tc>
          <w:tcPr>
            <w:tcW w:w="1592" w:type="dxa"/>
            <w:hideMark/>
          </w:tcPr>
          <w:p w14:paraId="7FC69672"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91</w:t>
            </w:r>
          </w:p>
        </w:tc>
        <w:tc>
          <w:tcPr>
            <w:tcW w:w="1715" w:type="dxa"/>
            <w:hideMark/>
          </w:tcPr>
          <w:p w14:paraId="00868E13"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27.2</w:t>
            </w:r>
          </w:p>
        </w:tc>
      </w:tr>
      <w:tr w:rsidR="00880655" w:rsidRPr="00E26A6E" w14:paraId="09B521E8" w14:textId="77777777" w:rsidTr="00394666">
        <w:tc>
          <w:tcPr>
            <w:cnfStyle w:val="001000000000" w:firstRow="0" w:lastRow="0" w:firstColumn="1" w:lastColumn="0" w:oddVBand="0" w:evenVBand="0" w:oddHBand="0" w:evenHBand="0" w:firstRowFirstColumn="0" w:firstRowLastColumn="0" w:lastRowFirstColumn="0" w:lastRowLastColumn="0"/>
            <w:tcW w:w="5153" w:type="dxa"/>
            <w:hideMark/>
          </w:tcPr>
          <w:p w14:paraId="5071AF94" w14:textId="77777777" w:rsidR="00880655" w:rsidRPr="00E26A6E" w:rsidRDefault="00880655" w:rsidP="005879DC">
            <w:pPr>
              <w:spacing w:line="360" w:lineRule="auto"/>
              <w:rPr>
                <w:rFonts w:ascii="Arial" w:hAnsi="Arial" w:cs="Arial"/>
                <w:b w:val="0"/>
                <w:bCs w:val="0"/>
                <w:sz w:val="20"/>
                <w:szCs w:val="20"/>
              </w:rPr>
            </w:pPr>
            <w:r w:rsidRPr="00E26A6E">
              <w:rPr>
                <w:rFonts w:ascii="Arial" w:hAnsi="Arial" w:cs="Arial"/>
                <w:b w:val="0"/>
                <w:bCs w:val="0"/>
                <w:sz w:val="20"/>
                <w:szCs w:val="20"/>
              </w:rPr>
              <w:t>Position patient sitting/standing upright before use</w:t>
            </w:r>
          </w:p>
        </w:tc>
        <w:tc>
          <w:tcPr>
            <w:tcW w:w="1592" w:type="dxa"/>
            <w:hideMark/>
          </w:tcPr>
          <w:p w14:paraId="34699A62" w14:textId="77777777" w:rsidR="00880655" w:rsidRPr="00E26A6E" w:rsidRDefault="00880655"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87</w:t>
            </w:r>
          </w:p>
        </w:tc>
        <w:tc>
          <w:tcPr>
            <w:tcW w:w="1715" w:type="dxa"/>
            <w:hideMark/>
          </w:tcPr>
          <w:p w14:paraId="52545E5E" w14:textId="77777777" w:rsidR="00880655" w:rsidRPr="00E26A6E" w:rsidRDefault="00880655"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26.0</w:t>
            </w:r>
          </w:p>
        </w:tc>
      </w:tr>
      <w:tr w:rsidR="00880655" w:rsidRPr="00E26A6E" w14:paraId="2053556A" w14:textId="77777777" w:rsidTr="00394666">
        <w:tc>
          <w:tcPr>
            <w:cnfStyle w:val="001000000000" w:firstRow="0" w:lastRow="0" w:firstColumn="1" w:lastColumn="0" w:oddVBand="0" w:evenVBand="0" w:oddHBand="0" w:evenHBand="0" w:firstRowFirstColumn="0" w:firstRowLastColumn="0" w:lastRowFirstColumn="0" w:lastRowLastColumn="0"/>
            <w:tcW w:w="0" w:type="auto"/>
            <w:hideMark/>
          </w:tcPr>
          <w:p w14:paraId="7CA38A38" w14:textId="77777777" w:rsidR="00880655" w:rsidRPr="00E26A6E" w:rsidRDefault="00880655" w:rsidP="005879DC">
            <w:pPr>
              <w:spacing w:line="360" w:lineRule="auto"/>
              <w:rPr>
                <w:rFonts w:ascii="Arial" w:hAnsi="Arial" w:cs="Arial"/>
                <w:b w:val="0"/>
                <w:bCs w:val="0"/>
                <w:sz w:val="20"/>
                <w:szCs w:val="20"/>
              </w:rPr>
            </w:pPr>
            <w:r w:rsidRPr="00E26A6E">
              <w:rPr>
                <w:rFonts w:ascii="Arial" w:hAnsi="Arial" w:cs="Arial"/>
                <w:b w:val="0"/>
                <w:bCs w:val="0"/>
                <w:sz w:val="20"/>
                <w:szCs w:val="20"/>
              </w:rPr>
              <w:t>Documented actual peak flow value after bronchodilator</w:t>
            </w:r>
          </w:p>
        </w:tc>
        <w:tc>
          <w:tcPr>
            <w:tcW w:w="1592" w:type="dxa"/>
            <w:hideMark/>
          </w:tcPr>
          <w:p w14:paraId="28FA808E" w14:textId="77777777" w:rsidR="00880655" w:rsidRPr="00E26A6E" w:rsidRDefault="00880655"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20</w:t>
            </w:r>
          </w:p>
        </w:tc>
        <w:tc>
          <w:tcPr>
            <w:tcW w:w="1715" w:type="dxa"/>
            <w:hideMark/>
          </w:tcPr>
          <w:p w14:paraId="2D2284F4" w14:textId="77777777" w:rsidR="00880655" w:rsidRPr="00E26A6E" w:rsidRDefault="00880655"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6.0</w:t>
            </w:r>
          </w:p>
        </w:tc>
      </w:tr>
      <w:tr w:rsidR="00D12FA6" w:rsidRPr="00E26A6E" w14:paraId="22E56FD8" w14:textId="77777777" w:rsidTr="00394666">
        <w:tc>
          <w:tcPr>
            <w:cnfStyle w:val="001000000000" w:firstRow="0" w:lastRow="0" w:firstColumn="1" w:lastColumn="0" w:oddVBand="0" w:evenVBand="0" w:oddHBand="0" w:evenHBand="0" w:firstRowFirstColumn="0" w:firstRowLastColumn="0" w:lastRowFirstColumn="0" w:lastRowLastColumn="0"/>
            <w:tcW w:w="5153" w:type="dxa"/>
            <w:hideMark/>
          </w:tcPr>
          <w:p w14:paraId="73045DE3"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Used PFM to monitor bronchodilator response</w:t>
            </w:r>
          </w:p>
        </w:tc>
        <w:tc>
          <w:tcPr>
            <w:tcW w:w="1592" w:type="dxa"/>
            <w:hideMark/>
          </w:tcPr>
          <w:p w14:paraId="0992D40A"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w:t>
            </w:r>
          </w:p>
        </w:tc>
        <w:tc>
          <w:tcPr>
            <w:tcW w:w="1715" w:type="dxa"/>
            <w:hideMark/>
          </w:tcPr>
          <w:p w14:paraId="60DD3FCC"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4.8</w:t>
            </w:r>
          </w:p>
        </w:tc>
      </w:tr>
    </w:tbl>
    <w:p w14:paraId="6B2BE6E6" w14:textId="11EDF7FD" w:rsidR="00D12FA6" w:rsidRDefault="0010755E" w:rsidP="00C53DD7">
      <w:pPr>
        <w:spacing w:line="360" w:lineRule="auto"/>
        <w:rPr>
          <w:rFonts w:ascii="Arial" w:hAnsi="Arial" w:cs="Arial"/>
          <w:sz w:val="20"/>
          <w:szCs w:val="20"/>
        </w:rPr>
      </w:pPr>
      <w:r>
        <w:rPr>
          <w:rFonts w:ascii="Arial" w:hAnsi="Arial" w:cs="Arial"/>
          <w:sz w:val="20"/>
          <w:szCs w:val="20"/>
        </w:rPr>
        <w:t xml:space="preserve">Note: </w:t>
      </w:r>
      <w:r w:rsidRPr="0010755E">
        <w:rPr>
          <w:rFonts w:ascii="Arial" w:hAnsi="Arial" w:cs="Arial"/>
          <w:sz w:val="20"/>
          <w:szCs w:val="20"/>
        </w:rPr>
        <w:t>Each item allowed only a single response per respondent.</w:t>
      </w:r>
    </w:p>
    <w:p w14:paraId="2A054C8B" w14:textId="6C804F16" w:rsidR="00484B7E" w:rsidRPr="00E26A6E" w:rsidRDefault="00484B7E" w:rsidP="00C53DD7">
      <w:pPr>
        <w:spacing w:line="360" w:lineRule="auto"/>
        <w:rPr>
          <w:rFonts w:ascii="Arial" w:hAnsi="Arial" w:cs="Arial"/>
          <w:sz w:val="20"/>
          <w:szCs w:val="20"/>
        </w:rPr>
      </w:pPr>
      <w:r>
        <w:rPr>
          <w:rFonts w:ascii="Arial" w:hAnsi="Arial" w:cs="Arial"/>
          <w:sz w:val="20"/>
          <w:szCs w:val="20"/>
        </w:rPr>
        <w:t>*This question permitted study participants multiple responses.</w:t>
      </w:r>
    </w:p>
    <w:p w14:paraId="0E46087F"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3.4 </w:t>
      </w:r>
      <w:r w:rsidR="004D6231" w:rsidRPr="00E26A6E">
        <w:rPr>
          <w:rFonts w:ascii="Arial" w:hAnsi="Arial" w:cs="Arial"/>
          <w:b/>
          <w:bCs/>
          <w:sz w:val="22"/>
        </w:rPr>
        <w:t>Barriers to PFM Utilization</w:t>
      </w:r>
    </w:p>
    <w:p w14:paraId="2FC0A077" w14:textId="748B32BE" w:rsidR="008800E0" w:rsidRPr="003F591B" w:rsidRDefault="008800E0" w:rsidP="00C53DD7">
      <w:pPr>
        <w:spacing w:line="360" w:lineRule="auto"/>
        <w:rPr>
          <w:rFonts w:ascii="Arial" w:hAnsi="Arial" w:cs="Arial"/>
          <w:sz w:val="20"/>
          <w:szCs w:val="20"/>
        </w:rPr>
      </w:pPr>
      <w:r w:rsidRPr="003F591B">
        <w:rPr>
          <w:rFonts w:ascii="Arial" w:hAnsi="Arial" w:cs="Arial"/>
          <w:sz w:val="20"/>
          <w:szCs w:val="20"/>
        </w:rPr>
        <w:t>Table 4 summarizes the barriers reported by respondents. The most cited barriers were</w:t>
      </w:r>
      <w:r w:rsidR="00EE19F4">
        <w:rPr>
          <w:rFonts w:ascii="Arial" w:hAnsi="Arial" w:cs="Arial"/>
          <w:sz w:val="20"/>
          <w:szCs w:val="20"/>
        </w:rPr>
        <w:t xml:space="preserve"> heavy workload (n=329, 98.2%), high device cost (n=315, 94%),</w:t>
      </w:r>
      <w:r w:rsidR="00626C82">
        <w:rPr>
          <w:rFonts w:ascii="Arial" w:hAnsi="Arial" w:cs="Arial"/>
          <w:sz w:val="20"/>
          <w:szCs w:val="20"/>
        </w:rPr>
        <w:t xml:space="preserve"> patients focus on readings alone (n=310, 92.5%)</w:t>
      </w:r>
      <w:r w:rsidR="00EE19F4">
        <w:rPr>
          <w:rFonts w:ascii="Arial" w:hAnsi="Arial" w:cs="Arial"/>
          <w:sz w:val="20"/>
          <w:szCs w:val="20"/>
        </w:rPr>
        <w:t xml:space="preserve"> and lack of time to teach patients (n=305, 91%). </w:t>
      </w:r>
      <w:r w:rsidR="00C756F7" w:rsidRPr="00EE19F4">
        <w:rPr>
          <w:rFonts w:ascii="Arial" w:hAnsi="Arial" w:cs="Arial"/>
          <w:sz w:val="20"/>
          <w:szCs w:val="20"/>
          <w:highlight w:val="yellow"/>
        </w:rPr>
        <w:t>Although the PFM is relatively low-cost, cost-related barriers reflect institutional procurement limitations rather than the retail price of the device.</w:t>
      </w:r>
      <w:r w:rsidR="00C756F7">
        <w:rPr>
          <w:rFonts w:ascii="Arial" w:hAnsi="Arial" w:cs="Arial"/>
          <w:sz w:val="20"/>
          <w:szCs w:val="20"/>
        </w:rPr>
        <w:t xml:space="preserve"> </w:t>
      </w:r>
      <w:r w:rsidRPr="003F591B">
        <w:rPr>
          <w:rFonts w:ascii="Arial" w:hAnsi="Arial" w:cs="Arial"/>
          <w:sz w:val="20"/>
          <w:szCs w:val="20"/>
        </w:rPr>
        <w:t>Other challenges included</w:t>
      </w:r>
      <w:r w:rsidR="00C756F7">
        <w:rPr>
          <w:rFonts w:ascii="Arial" w:hAnsi="Arial" w:cs="Arial"/>
          <w:sz w:val="20"/>
          <w:szCs w:val="20"/>
        </w:rPr>
        <w:t xml:space="preserve"> practitioner reluctance to use it (n=105, 31.3%) or recommend it (245, 73.1%). </w:t>
      </w:r>
    </w:p>
    <w:p w14:paraId="0BD8D524" w14:textId="77777777" w:rsidR="00882E32" w:rsidRPr="003F591B" w:rsidRDefault="00882E32" w:rsidP="00C53DD7">
      <w:pPr>
        <w:spacing w:line="360" w:lineRule="auto"/>
        <w:rPr>
          <w:rFonts w:ascii="Arial" w:hAnsi="Arial" w:cs="Arial"/>
          <w:b/>
          <w:bCs/>
          <w:sz w:val="20"/>
          <w:szCs w:val="20"/>
        </w:rPr>
      </w:pPr>
      <w:r w:rsidRPr="003F591B">
        <w:rPr>
          <w:rFonts w:ascii="Arial" w:hAnsi="Arial" w:cs="Arial"/>
          <w:b/>
          <w:bCs/>
          <w:sz w:val="20"/>
          <w:szCs w:val="20"/>
        </w:rPr>
        <w:lastRenderedPageBreak/>
        <w:t xml:space="preserve">Table </w:t>
      </w:r>
      <w:r w:rsidR="001B1218" w:rsidRPr="003F591B">
        <w:rPr>
          <w:rFonts w:ascii="Arial" w:hAnsi="Arial" w:cs="Arial"/>
          <w:b/>
          <w:bCs/>
          <w:sz w:val="20"/>
          <w:szCs w:val="20"/>
        </w:rPr>
        <w:t>4</w:t>
      </w:r>
      <w:r w:rsidRPr="003F591B">
        <w:rPr>
          <w:rFonts w:ascii="Arial" w:hAnsi="Arial" w:cs="Arial"/>
          <w:b/>
          <w:bCs/>
          <w:sz w:val="20"/>
          <w:szCs w:val="20"/>
        </w:rPr>
        <w:t>. Barriers to PFM Utilization (N = 335)</w:t>
      </w:r>
    </w:p>
    <w:tbl>
      <w:tblPr>
        <w:tblStyle w:val="PlainTable2"/>
        <w:tblW w:w="0" w:type="auto"/>
        <w:tblLook w:val="07A0" w:firstRow="1" w:lastRow="0" w:firstColumn="1" w:lastColumn="1" w:noHBand="1" w:noVBand="1"/>
      </w:tblPr>
      <w:tblGrid>
        <w:gridCol w:w="5665"/>
        <w:gridCol w:w="1620"/>
        <w:gridCol w:w="1890"/>
      </w:tblGrid>
      <w:tr w:rsidR="00882E32" w:rsidRPr="003F591B" w14:paraId="3BC9BF5B" w14:textId="77777777" w:rsidTr="00CC6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18758CBD" w14:textId="77777777" w:rsidR="00882E32" w:rsidRPr="003F591B" w:rsidRDefault="00882E32" w:rsidP="00C53DD7">
            <w:pPr>
              <w:spacing w:line="360" w:lineRule="auto"/>
              <w:rPr>
                <w:rFonts w:ascii="Arial" w:hAnsi="Arial" w:cs="Arial"/>
                <w:sz w:val="20"/>
                <w:szCs w:val="20"/>
              </w:rPr>
            </w:pPr>
            <w:r w:rsidRPr="003F591B">
              <w:rPr>
                <w:rFonts w:ascii="Arial" w:hAnsi="Arial" w:cs="Arial"/>
                <w:sz w:val="20"/>
                <w:szCs w:val="20"/>
              </w:rPr>
              <w:t>Barrier</w:t>
            </w:r>
          </w:p>
        </w:tc>
        <w:tc>
          <w:tcPr>
            <w:tcW w:w="1620" w:type="dxa"/>
            <w:hideMark/>
          </w:tcPr>
          <w:p w14:paraId="70A4ED26" w14:textId="34040094" w:rsidR="00882E32" w:rsidRPr="003F591B" w:rsidRDefault="00882E32"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Yes</w:t>
            </w:r>
          </w:p>
        </w:tc>
        <w:tc>
          <w:tcPr>
            <w:cnfStyle w:val="000100000000" w:firstRow="0" w:lastRow="0" w:firstColumn="0" w:lastColumn="1" w:oddVBand="0" w:evenVBand="0" w:oddHBand="0" w:evenHBand="0" w:firstRowFirstColumn="0" w:firstRowLastColumn="0" w:lastRowFirstColumn="0" w:lastRowLastColumn="0"/>
            <w:tcW w:w="1890" w:type="dxa"/>
            <w:hideMark/>
          </w:tcPr>
          <w:p w14:paraId="022AB761" w14:textId="77777777" w:rsidR="00882E32" w:rsidRPr="003F591B" w:rsidRDefault="00882E32" w:rsidP="00C53DD7">
            <w:pPr>
              <w:spacing w:line="360" w:lineRule="auto"/>
              <w:rPr>
                <w:rFonts w:ascii="Arial" w:hAnsi="Arial" w:cs="Arial"/>
                <w:sz w:val="20"/>
                <w:szCs w:val="20"/>
              </w:rPr>
            </w:pPr>
            <w:r w:rsidRPr="003F591B">
              <w:rPr>
                <w:rFonts w:ascii="Arial" w:hAnsi="Arial" w:cs="Arial"/>
                <w:sz w:val="20"/>
                <w:szCs w:val="20"/>
              </w:rPr>
              <w:t xml:space="preserve">No </w:t>
            </w:r>
          </w:p>
        </w:tc>
      </w:tr>
      <w:tr w:rsidR="00047A61" w:rsidRPr="003F591B" w14:paraId="75D4B82B" w14:textId="77777777" w:rsidTr="00CC6FFB">
        <w:tc>
          <w:tcPr>
            <w:cnfStyle w:val="001000000000" w:firstRow="0" w:lastRow="0" w:firstColumn="1" w:lastColumn="0" w:oddVBand="0" w:evenVBand="0" w:oddHBand="0" w:evenHBand="0" w:firstRowFirstColumn="0" w:firstRowLastColumn="0" w:lastRowFirstColumn="0" w:lastRowLastColumn="0"/>
            <w:tcW w:w="5665" w:type="dxa"/>
          </w:tcPr>
          <w:p w14:paraId="45BEEBF7" w14:textId="77777777" w:rsidR="00047A61" w:rsidRPr="003F591B" w:rsidRDefault="00047A61" w:rsidP="00C53DD7">
            <w:pPr>
              <w:spacing w:line="360" w:lineRule="auto"/>
              <w:rPr>
                <w:rFonts w:ascii="Arial" w:hAnsi="Arial" w:cs="Arial"/>
                <w:b w:val="0"/>
                <w:bCs w:val="0"/>
                <w:sz w:val="20"/>
                <w:szCs w:val="20"/>
              </w:rPr>
            </w:pPr>
          </w:p>
        </w:tc>
        <w:tc>
          <w:tcPr>
            <w:tcW w:w="1620" w:type="dxa"/>
          </w:tcPr>
          <w:p w14:paraId="486F2E68" w14:textId="77777777" w:rsidR="00047A61" w:rsidRPr="003F591B" w:rsidRDefault="00047A61"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n (%)</w:t>
            </w:r>
          </w:p>
        </w:tc>
        <w:tc>
          <w:tcPr>
            <w:cnfStyle w:val="000100000000" w:firstRow="0" w:lastRow="0" w:firstColumn="0" w:lastColumn="1" w:oddVBand="0" w:evenVBand="0" w:oddHBand="0" w:evenHBand="0" w:firstRowFirstColumn="0" w:firstRowLastColumn="0" w:lastRowFirstColumn="0" w:lastRowLastColumn="0"/>
            <w:tcW w:w="1890" w:type="dxa"/>
          </w:tcPr>
          <w:p w14:paraId="6C543727" w14:textId="77777777" w:rsidR="00047A61" w:rsidRPr="003F591B" w:rsidRDefault="00047A61" w:rsidP="00C53DD7">
            <w:pPr>
              <w:spacing w:line="360" w:lineRule="auto"/>
              <w:rPr>
                <w:rFonts w:ascii="Arial" w:hAnsi="Arial" w:cs="Arial"/>
                <w:b w:val="0"/>
                <w:bCs w:val="0"/>
                <w:sz w:val="20"/>
                <w:szCs w:val="20"/>
              </w:rPr>
            </w:pPr>
            <w:r w:rsidRPr="003F591B">
              <w:rPr>
                <w:rFonts w:ascii="Arial" w:hAnsi="Arial" w:cs="Arial"/>
                <w:b w:val="0"/>
                <w:bCs w:val="0"/>
                <w:sz w:val="20"/>
                <w:szCs w:val="20"/>
              </w:rPr>
              <w:t>n (%)</w:t>
            </w:r>
          </w:p>
        </w:tc>
      </w:tr>
      <w:tr w:rsidR="00882E32" w:rsidRPr="003F591B" w14:paraId="7FB7FF12"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7CAA4420"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Work overload</w:t>
            </w:r>
          </w:p>
        </w:tc>
        <w:tc>
          <w:tcPr>
            <w:tcW w:w="1620" w:type="dxa"/>
            <w:hideMark/>
          </w:tcPr>
          <w:p w14:paraId="2B047F3B"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329 (98.2)</w:t>
            </w:r>
          </w:p>
        </w:tc>
        <w:tc>
          <w:tcPr>
            <w:cnfStyle w:val="000100000000" w:firstRow="0" w:lastRow="0" w:firstColumn="0" w:lastColumn="1" w:oddVBand="0" w:evenVBand="0" w:oddHBand="0" w:evenHBand="0" w:firstRowFirstColumn="0" w:firstRowLastColumn="0" w:lastRowFirstColumn="0" w:lastRowLastColumn="0"/>
            <w:tcW w:w="1890" w:type="dxa"/>
            <w:hideMark/>
          </w:tcPr>
          <w:p w14:paraId="6691BACC"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6 (1.8)</w:t>
            </w:r>
          </w:p>
        </w:tc>
      </w:tr>
      <w:tr w:rsidR="00882E32" w:rsidRPr="003F591B" w14:paraId="3E4A6F83"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50C14302"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High device cost</w:t>
            </w:r>
          </w:p>
        </w:tc>
        <w:tc>
          <w:tcPr>
            <w:tcW w:w="1620" w:type="dxa"/>
            <w:hideMark/>
          </w:tcPr>
          <w:p w14:paraId="21348C1B"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315 (94.0)</w:t>
            </w:r>
          </w:p>
        </w:tc>
        <w:tc>
          <w:tcPr>
            <w:cnfStyle w:val="000100000000" w:firstRow="0" w:lastRow="0" w:firstColumn="0" w:lastColumn="1" w:oddVBand="0" w:evenVBand="0" w:oddHBand="0" w:evenHBand="0" w:firstRowFirstColumn="0" w:firstRowLastColumn="0" w:lastRowFirstColumn="0" w:lastRowLastColumn="0"/>
            <w:tcW w:w="1890" w:type="dxa"/>
            <w:hideMark/>
          </w:tcPr>
          <w:p w14:paraId="77EF9C4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20 (6.0)</w:t>
            </w:r>
          </w:p>
        </w:tc>
      </w:tr>
      <w:tr w:rsidR="009A22D2" w:rsidRPr="003F591B" w14:paraId="70229CFC" w14:textId="77777777" w:rsidTr="004E129E">
        <w:tc>
          <w:tcPr>
            <w:cnfStyle w:val="001000000000" w:firstRow="0" w:lastRow="0" w:firstColumn="1" w:lastColumn="0" w:oddVBand="0" w:evenVBand="0" w:oddHBand="0" w:evenHBand="0" w:firstRowFirstColumn="0" w:firstRowLastColumn="0" w:lastRowFirstColumn="0" w:lastRowLastColumn="0"/>
            <w:tcW w:w="5665" w:type="dxa"/>
            <w:hideMark/>
          </w:tcPr>
          <w:p w14:paraId="5259E4F9"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Patients focus only on numbers</w:t>
            </w:r>
          </w:p>
        </w:tc>
        <w:tc>
          <w:tcPr>
            <w:tcW w:w="1620" w:type="dxa"/>
            <w:hideMark/>
          </w:tcPr>
          <w:p w14:paraId="5DB20796" w14:textId="77777777" w:rsidR="009A22D2" w:rsidRPr="003F591B" w:rsidRDefault="009A22D2" w:rsidP="004E129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310 (92.5)</w:t>
            </w:r>
          </w:p>
        </w:tc>
        <w:tc>
          <w:tcPr>
            <w:cnfStyle w:val="000100000000" w:firstRow="0" w:lastRow="0" w:firstColumn="0" w:lastColumn="1" w:oddVBand="0" w:evenVBand="0" w:oddHBand="0" w:evenHBand="0" w:firstRowFirstColumn="0" w:firstRowLastColumn="0" w:lastRowFirstColumn="0" w:lastRowLastColumn="0"/>
            <w:tcW w:w="1890" w:type="dxa"/>
            <w:hideMark/>
          </w:tcPr>
          <w:p w14:paraId="11D9EB3F"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25 (7.5)</w:t>
            </w:r>
          </w:p>
        </w:tc>
      </w:tr>
      <w:tr w:rsidR="00882E32" w:rsidRPr="003F591B" w14:paraId="215409A6"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48A4BED8"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Lack of time to teach patients</w:t>
            </w:r>
          </w:p>
        </w:tc>
        <w:tc>
          <w:tcPr>
            <w:tcW w:w="1620" w:type="dxa"/>
            <w:hideMark/>
          </w:tcPr>
          <w:p w14:paraId="733A3E88"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305 (91.0)</w:t>
            </w:r>
          </w:p>
        </w:tc>
        <w:tc>
          <w:tcPr>
            <w:cnfStyle w:val="000100000000" w:firstRow="0" w:lastRow="0" w:firstColumn="0" w:lastColumn="1" w:oddVBand="0" w:evenVBand="0" w:oddHBand="0" w:evenHBand="0" w:firstRowFirstColumn="0" w:firstRowLastColumn="0" w:lastRowFirstColumn="0" w:lastRowLastColumn="0"/>
            <w:tcW w:w="1890" w:type="dxa"/>
            <w:hideMark/>
          </w:tcPr>
          <w:p w14:paraId="1C7DCDFC"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30 (9.0)</w:t>
            </w:r>
          </w:p>
        </w:tc>
      </w:tr>
      <w:tr w:rsidR="00882E32" w:rsidRPr="003F591B" w14:paraId="0A0D65F2"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3002FBA0"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Administrative unavailability</w:t>
            </w:r>
          </w:p>
        </w:tc>
        <w:tc>
          <w:tcPr>
            <w:tcW w:w="1620" w:type="dxa"/>
            <w:hideMark/>
          </w:tcPr>
          <w:p w14:paraId="7D7BE630"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304 (90.7)</w:t>
            </w:r>
          </w:p>
        </w:tc>
        <w:tc>
          <w:tcPr>
            <w:cnfStyle w:val="000100000000" w:firstRow="0" w:lastRow="0" w:firstColumn="0" w:lastColumn="1" w:oddVBand="0" w:evenVBand="0" w:oddHBand="0" w:evenHBand="0" w:firstRowFirstColumn="0" w:firstRowLastColumn="0" w:lastRowFirstColumn="0" w:lastRowLastColumn="0"/>
            <w:tcW w:w="1890" w:type="dxa"/>
            <w:hideMark/>
          </w:tcPr>
          <w:p w14:paraId="153AC11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31 (9.3)</w:t>
            </w:r>
          </w:p>
        </w:tc>
      </w:tr>
      <w:tr w:rsidR="00882E32" w:rsidRPr="003F591B" w14:paraId="7BCC75CA"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3F0CB44E"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Concern about contaminated mouthpiece</w:t>
            </w:r>
          </w:p>
        </w:tc>
        <w:tc>
          <w:tcPr>
            <w:tcW w:w="1620" w:type="dxa"/>
            <w:hideMark/>
          </w:tcPr>
          <w:p w14:paraId="656DE16F"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301 (89.9)</w:t>
            </w:r>
          </w:p>
        </w:tc>
        <w:tc>
          <w:tcPr>
            <w:cnfStyle w:val="000100000000" w:firstRow="0" w:lastRow="0" w:firstColumn="0" w:lastColumn="1" w:oddVBand="0" w:evenVBand="0" w:oddHBand="0" w:evenHBand="0" w:firstRowFirstColumn="0" w:firstRowLastColumn="0" w:lastRowFirstColumn="0" w:lastRowLastColumn="0"/>
            <w:tcW w:w="1890" w:type="dxa"/>
            <w:hideMark/>
          </w:tcPr>
          <w:p w14:paraId="436E5C0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34 (10.1)</w:t>
            </w:r>
          </w:p>
        </w:tc>
      </w:tr>
      <w:tr w:rsidR="00882E32" w:rsidRPr="003F591B" w14:paraId="1F3CF409"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6DCFC802"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Difficulty reading figures</w:t>
            </w:r>
          </w:p>
        </w:tc>
        <w:tc>
          <w:tcPr>
            <w:tcW w:w="1620" w:type="dxa"/>
            <w:hideMark/>
          </w:tcPr>
          <w:p w14:paraId="5738D7DB"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250 (74.6)</w:t>
            </w:r>
          </w:p>
        </w:tc>
        <w:tc>
          <w:tcPr>
            <w:cnfStyle w:val="000100000000" w:firstRow="0" w:lastRow="0" w:firstColumn="0" w:lastColumn="1" w:oddVBand="0" w:evenVBand="0" w:oddHBand="0" w:evenHBand="0" w:firstRowFirstColumn="0" w:firstRowLastColumn="0" w:lastRowFirstColumn="0" w:lastRowLastColumn="0"/>
            <w:tcW w:w="1890" w:type="dxa"/>
            <w:hideMark/>
          </w:tcPr>
          <w:p w14:paraId="3ABDD263"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85 (25.4)</w:t>
            </w:r>
          </w:p>
        </w:tc>
      </w:tr>
      <w:tr w:rsidR="009A22D2" w:rsidRPr="003F591B" w14:paraId="369BA4B4" w14:textId="77777777" w:rsidTr="004E129E">
        <w:tc>
          <w:tcPr>
            <w:cnfStyle w:val="001000000000" w:firstRow="0" w:lastRow="0" w:firstColumn="1" w:lastColumn="0" w:oddVBand="0" w:evenVBand="0" w:oddHBand="0" w:evenHBand="0" w:firstRowFirstColumn="0" w:firstRowLastColumn="0" w:lastRowFirstColumn="0" w:lastRowLastColumn="0"/>
            <w:tcW w:w="5665" w:type="dxa"/>
            <w:hideMark/>
          </w:tcPr>
          <w:p w14:paraId="5CDABFCE"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Poor patient compliance</w:t>
            </w:r>
          </w:p>
        </w:tc>
        <w:tc>
          <w:tcPr>
            <w:tcW w:w="1620" w:type="dxa"/>
            <w:hideMark/>
          </w:tcPr>
          <w:p w14:paraId="4EFD32FA" w14:textId="77777777" w:rsidR="009A22D2" w:rsidRPr="003F591B" w:rsidRDefault="009A22D2" w:rsidP="004E129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289 (86.3)</w:t>
            </w:r>
          </w:p>
        </w:tc>
        <w:tc>
          <w:tcPr>
            <w:cnfStyle w:val="000100000000" w:firstRow="0" w:lastRow="0" w:firstColumn="0" w:lastColumn="1" w:oddVBand="0" w:evenVBand="0" w:oddHBand="0" w:evenHBand="0" w:firstRowFirstColumn="0" w:firstRowLastColumn="0" w:lastRowFirstColumn="0" w:lastRowLastColumn="0"/>
            <w:tcW w:w="1890" w:type="dxa"/>
            <w:hideMark/>
          </w:tcPr>
          <w:p w14:paraId="6299854C"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46 (13.7)</w:t>
            </w:r>
          </w:p>
        </w:tc>
      </w:tr>
      <w:tr w:rsidR="009A22D2" w:rsidRPr="003F591B" w14:paraId="3CD1FCB4" w14:textId="77777777" w:rsidTr="004E129E">
        <w:tc>
          <w:tcPr>
            <w:cnfStyle w:val="001000000000" w:firstRow="0" w:lastRow="0" w:firstColumn="1" w:lastColumn="0" w:oddVBand="0" w:evenVBand="0" w:oddHBand="0" w:evenHBand="0" w:firstRowFirstColumn="0" w:firstRowLastColumn="0" w:lastRowFirstColumn="0" w:lastRowLastColumn="0"/>
            <w:tcW w:w="5665" w:type="dxa"/>
            <w:hideMark/>
          </w:tcPr>
          <w:p w14:paraId="2BC8E8AF"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Practitioner would not recommend</w:t>
            </w:r>
          </w:p>
        </w:tc>
        <w:tc>
          <w:tcPr>
            <w:tcW w:w="1620" w:type="dxa"/>
            <w:hideMark/>
          </w:tcPr>
          <w:p w14:paraId="55934F59" w14:textId="77777777" w:rsidR="009A22D2" w:rsidRPr="003F591B" w:rsidRDefault="009A22D2" w:rsidP="004E129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245 (73.1)</w:t>
            </w:r>
          </w:p>
        </w:tc>
        <w:tc>
          <w:tcPr>
            <w:cnfStyle w:val="000100000000" w:firstRow="0" w:lastRow="0" w:firstColumn="0" w:lastColumn="1" w:oddVBand="0" w:evenVBand="0" w:oddHBand="0" w:evenHBand="0" w:firstRowFirstColumn="0" w:firstRowLastColumn="0" w:lastRowFirstColumn="0" w:lastRowLastColumn="0"/>
            <w:tcW w:w="1890" w:type="dxa"/>
            <w:hideMark/>
          </w:tcPr>
          <w:p w14:paraId="0F57F801"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90 (26.9)</w:t>
            </w:r>
          </w:p>
        </w:tc>
      </w:tr>
      <w:tr w:rsidR="00882E32" w:rsidRPr="003F591B" w14:paraId="1BFD65F8"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006ACF78"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Practitioner reluctance</w:t>
            </w:r>
          </w:p>
        </w:tc>
        <w:tc>
          <w:tcPr>
            <w:tcW w:w="1620" w:type="dxa"/>
            <w:hideMark/>
          </w:tcPr>
          <w:p w14:paraId="1CA5EC0A"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105 (31.3)</w:t>
            </w:r>
          </w:p>
        </w:tc>
        <w:tc>
          <w:tcPr>
            <w:cnfStyle w:val="000100000000" w:firstRow="0" w:lastRow="0" w:firstColumn="0" w:lastColumn="1" w:oddVBand="0" w:evenVBand="0" w:oddHBand="0" w:evenHBand="0" w:firstRowFirstColumn="0" w:firstRowLastColumn="0" w:lastRowFirstColumn="0" w:lastRowLastColumn="0"/>
            <w:tcW w:w="1890" w:type="dxa"/>
            <w:hideMark/>
          </w:tcPr>
          <w:p w14:paraId="245CED04"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230 (68.7)</w:t>
            </w:r>
          </w:p>
        </w:tc>
      </w:tr>
    </w:tbl>
    <w:p w14:paraId="20217337" w14:textId="77777777" w:rsidR="004D6231" w:rsidRDefault="004D6231" w:rsidP="00C53DD7">
      <w:pPr>
        <w:spacing w:line="360" w:lineRule="auto"/>
        <w:rPr>
          <w:rFonts w:ascii="Arial" w:hAnsi="Arial" w:cs="Arial"/>
          <w:sz w:val="20"/>
          <w:szCs w:val="20"/>
        </w:rPr>
      </w:pPr>
    </w:p>
    <w:p w14:paraId="3E4DB635" w14:textId="77777777" w:rsidR="00A464DA" w:rsidRPr="003F591B" w:rsidRDefault="00A464DA" w:rsidP="00C53DD7">
      <w:pPr>
        <w:spacing w:line="360" w:lineRule="auto"/>
        <w:rPr>
          <w:rFonts w:ascii="Arial" w:hAnsi="Arial" w:cs="Arial"/>
          <w:sz w:val="20"/>
          <w:szCs w:val="20"/>
        </w:rPr>
      </w:pPr>
    </w:p>
    <w:p w14:paraId="4653F60E" w14:textId="77777777" w:rsidR="004D6231" w:rsidRPr="003F591B" w:rsidRDefault="003F591B" w:rsidP="00C53DD7">
      <w:pPr>
        <w:spacing w:line="360" w:lineRule="auto"/>
        <w:rPr>
          <w:rFonts w:ascii="Arial" w:hAnsi="Arial" w:cs="Arial"/>
          <w:b/>
          <w:bCs/>
          <w:sz w:val="22"/>
        </w:rPr>
      </w:pPr>
      <w:r w:rsidRPr="003F591B">
        <w:rPr>
          <w:rFonts w:ascii="Arial" w:hAnsi="Arial" w:cs="Arial"/>
          <w:b/>
          <w:bCs/>
          <w:sz w:val="22"/>
        </w:rPr>
        <w:t>4. DISCUSSION</w:t>
      </w:r>
    </w:p>
    <w:p w14:paraId="5500FFBB" w14:textId="77777777" w:rsidR="00121166" w:rsidRPr="00121166" w:rsidRDefault="00121166" w:rsidP="00121166">
      <w:pPr>
        <w:spacing w:line="360" w:lineRule="auto"/>
        <w:rPr>
          <w:rFonts w:ascii="Arial" w:hAnsi="Arial" w:cs="Arial"/>
          <w:sz w:val="20"/>
          <w:szCs w:val="20"/>
        </w:rPr>
      </w:pPr>
      <w:r w:rsidRPr="00121166">
        <w:rPr>
          <w:rFonts w:ascii="Arial" w:hAnsi="Arial" w:cs="Arial"/>
          <w:sz w:val="20"/>
          <w:szCs w:val="20"/>
        </w:rPr>
        <w:t>This study revealed substantial gaps in nurses’ knowledge and practice of peak flow meter (PFM) use at Komfo Anokye Teaching Hospital (KATH), alongside systemic and individual barriers that hinder its adoption. When compared to studies from other regions, the findings underscore persistent but variable challenges in respiratory diagnostic capacity among nursing staff.</w:t>
      </w:r>
    </w:p>
    <w:p w14:paraId="4606191B" w14:textId="23DCB7F2" w:rsidR="00121166" w:rsidRPr="00121166" w:rsidRDefault="00121166" w:rsidP="00121166">
      <w:pPr>
        <w:spacing w:line="360" w:lineRule="auto"/>
        <w:rPr>
          <w:rFonts w:ascii="Arial" w:hAnsi="Arial" w:cs="Arial"/>
          <w:sz w:val="20"/>
          <w:szCs w:val="20"/>
        </w:rPr>
      </w:pPr>
      <w:r w:rsidRPr="00121166">
        <w:rPr>
          <w:rFonts w:ascii="Arial" w:hAnsi="Arial" w:cs="Arial"/>
          <w:sz w:val="20"/>
          <w:szCs w:val="20"/>
        </w:rPr>
        <w:t>Only 54.9 % of nurses correctly identified the purpose of the PFM (air-flow limitation), and fewer correctly knew the standard unit (28.1 %) or the colour-coding systems used (29.0 %). These low levels of knowledge mirror data from sub-Saharan Africa</w:t>
      </w:r>
      <w:r>
        <w:rPr>
          <w:rFonts w:ascii="Arial" w:hAnsi="Arial" w:cs="Arial"/>
          <w:sz w:val="20"/>
          <w:szCs w:val="20"/>
        </w:rPr>
        <w:t>.</w:t>
      </w:r>
      <w:r w:rsidRPr="00121166">
        <w:rPr>
          <w:rFonts w:ascii="Arial" w:hAnsi="Arial" w:cs="Arial"/>
          <w:sz w:val="20"/>
          <w:szCs w:val="20"/>
        </w:rPr>
        <w:t xml:space="preserve"> </w:t>
      </w:r>
      <w:r>
        <w:rPr>
          <w:rFonts w:ascii="Arial" w:hAnsi="Arial" w:cs="Arial"/>
          <w:sz w:val="20"/>
          <w:szCs w:val="20"/>
        </w:rPr>
        <w:t>F</w:t>
      </w:r>
      <w:r w:rsidRPr="00121166">
        <w:rPr>
          <w:rFonts w:ascii="Arial" w:hAnsi="Arial" w:cs="Arial"/>
          <w:sz w:val="20"/>
          <w:szCs w:val="20"/>
        </w:rPr>
        <w:t>or example, a study in Nigeria reported that less than 40% of healthcare providers had ever used a PFM and their knowledge of device operation was poor</w:t>
      </w:r>
      <w:r w:rsidR="007D1E8E">
        <w:rPr>
          <w:rFonts w:ascii="Arial" w:hAnsi="Arial" w:cs="Arial"/>
          <w:sz w:val="20"/>
          <w:szCs w:val="20"/>
        </w:rPr>
        <w:t xml:space="preserve"> [8]</w:t>
      </w:r>
      <w:r w:rsidRPr="00121166">
        <w:rPr>
          <w:rFonts w:ascii="Arial" w:hAnsi="Arial" w:cs="Arial"/>
          <w:sz w:val="20"/>
          <w:szCs w:val="20"/>
        </w:rPr>
        <w:t>. Notably, training programmes in Lagos showed significant improvements in post-training knowledge, indicating that targeted educational interventions can substantially close such gaps</w:t>
      </w:r>
      <w:r w:rsidR="007D1E8E">
        <w:rPr>
          <w:rFonts w:ascii="Arial" w:hAnsi="Arial" w:cs="Arial"/>
          <w:sz w:val="20"/>
          <w:szCs w:val="20"/>
        </w:rPr>
        <w:t xml:space="preserve"> [9]</w:t>
      </w:r>
      <w:r w:rsidRPr="00121166">
        <w:rPr>
          <w:rFonts w:ascii="Arial" w:hAnsi="Arial" w:cs="Arial"/>
          <w:sz w:val="20"/>
          <w:szCs w:val="20"/>
        </w:rPr>
        <w:t>.</w:t>
      </w:r>
    </w:p>
    <w:p w14:paraId="67D77CC3" w14:textId="31A07D0D" w:rsidR="00121166" w:rsidRPr="00121166" w:rsidRDefault="00121166" w:rsidP="00121166">
      <w:pPr>
        <w:spacing w:line="360" w:lineRule="auto"/>
        <w:rPr>
          <w:rFonts w:ascii="Arial" w:hAnsi="Arial" w:cs="Arial"/>
          <w:sz w:val="20"/>
          <w:szCs w:val="20"/>
        </w:rPr>
      </w:pPr>
      <w:r w:rsidRPr="00D072ED">
        <w:rPr>
          <w:rFonts w:ascii="Arial" w:hAnsi="Arial" w:cs="Arial"/>
          <w:sz w:val="20"/>
          <w:szCs w:val="20"/>
          <w:highlight w:val="yellow"/>
        </w:rPr>
        <w:t>In high-income settings, more integrated use of PFMs has been documented. For example, a pilot study in England demonstrated the use of digital technology enabling nurses to monitor patients’ PFM readings remotely and adjust therapy, thereby embedding PFM monitoring into routine care pathways</w:t>
      </w:r>
      <w:r w:rsidR="007D1E8E">
        <w:rPr>
          <w:rFonts w:ascii="Arial" w:hAnsi="Arial" w:cs="Arial"/>
          <w:sz w:val="20"/>
          <w:szCs w:val="20"/>
          <w:highlight w:val="yellow"/>
        </w:rPr>
        <w:t xml:space="preserve"> [10]</w:t>
      </w:r>
      <w:r w:rsidR="007B62F3">
        <w:rPr>
          <w:rFonts w:ascii="Arial" w:hAnsi="Arial" w:cs="Arial"/>
          <w:sz w:val="20"/>
          <w:szCs w:val="20"/>
        </w:rPr>
        <w:t xml:space="preserve">. </w:t>
      </w:r>
      <w:r w:rsidRPr="007B62F3">
        <w:rPr>
          <w:rFonts w:ascii="Arial" w:hAnsi="Arial" w:cs="Arial"/>
          <w:sz w:val="20"/>
          <w:szCs w:val="20"/>
          <w:highlight w:val="yellow"/>
        </w:rPr>
        <w:t xml:space="preserve">Further, nursing-practice guidance from the UK emphasises that the PFM is a simple, affordable, and widely available tool which can be taught quickly and should support self-management of asthma </w:t>
      </w:r>
      <w:r w:rsidR="008F6B20">
        <w:rPr>
          <w:rFonts w:ascii="Arial" w:hAnsi="Arial" w:cs="Arial"/>
          <w:sz w:val="20"/>
          <w:szCs w:val="20"/>
          <w:highlight w:val="yellow"/>
        </w:rPr>
        <w:t>[12]</w:t>
      </w:r>
      <w:r w:rsidR="007B62F3" w:rsidRPr="00CA29DA">
        <w:rPr>
          <w:rFonts w:ascii="Arial" w:hAnsi="Arial" w:cs="Arial"/>
          <w:sz w:val="20"/>
          <w:szCs w:val="20"/>
          <w:highlight w:val="yellow"/>
        </w:rPr>
        <w:t>.</w:t>
      </w:r>
      <w:r w:rsidRPr="00CA29DA">
        <w:rPr>
          <w:rFonts w:ascii="Arial" w:hAnsi="Arial" w:cs="Arial"/>
          <w:sz w:val="20"/>
          <w:szCs w:val="20"/>
          <w:highlight w:val="yellow"/>
        </w:rPr>
        <w:t xml:space="preserve"> In contrast, the relative unfamiliarity and minimal use of PFMs in our Ghanaian cohort highlight a notable knowledge–practice gap: whereas nurses in more resource-rich settings may have PFM integrated in protocols and supported by digital or educational infrastructure, nurses in KATH appear to lack these supports.</w:t>
      </w:r>
    </w:p>
    <w:p w14:paraId="5ED7284E" w14:textId="1DCD1782" w:rsidR="00121166" w:rsidRPr="00121166" w:rsidRDefault="00121166" w:rsidP="00121166">
      <w:pPr>
        <w:spacing w:line="360" w:lineRule="auto"/>
        <w:rPr>
          <w:rFonts w:ascii="Arial" w:hAnsi="Arial" w:cs="Arial"/>
          <w:sz w:val="20"/>
          <w:szCs w:val="20"/>
        </w:rPr>
      </w:pPr>
      <w:r w:rsidRPr="00121166">
        <w:rPr>
          <w:rFonts w:ascii="Arial" w:hAnsi="Arial" w:cs="Arial"/>
          <w:sz w:val="20"/>
          <w:szCs w:val="20"/>
        </w:rPr>
        <w:t xml:space="preserve">Although over one-quarter of respondents in this study reported ever using or recommending PFMs, very few employed them for monitoring bronchodilator responsiveness or documented actual peak flow values. This pattern is consistent with evidence from other LMICs: for example, a study among nurses in Nigeria </w:t>
      </w:r>
      <w:r w:rsidRPr="00121166">
        <w:rPr>
          <w:rFonts w:ascii="Arial" w:hAnsi="Arial" w:cs="Arial"/>
          <w:sz w:val="20"/>
          <w:szCs w:val="20"/>
        </w:rPr>
        <w:lastRenderedPageBreak/>
        <w:t>found usage rates around 14 % for frequent PFM use</w:t>
      </w:r>
      <w:r w:rsidR="007D1E8E">
        <w:rPr>
          <w:rFonts w:ascii="Arial" w:hAnsi="Arial" w:cs="Arial"/>
          <w:sz w:val="20"/>
          <w:szCs w:val="20"/>
        </w:rPr>
        <w:t xml:space="preserve"> [8]</w:t>
      </w:r>
      <w:r w:rsidRPr="00121166">
        <w:rPr>
          <w:rFonts w:ascii="Arial" w:hAnsi="Arial" w:cs="Arial"/>
          <w:sz w:val="20"/>
          <w:szCs w:val="20"/>
        </w:rPr>
        <w:t>. Such low utilisation suggests that PFMs are not yet embedded in routine nursing practice in Ghana, despite evidence that regular use enhances monitoring of disease exacerbations and supports patient self-management.</w:t>
      </w:r>
    </w:p>
    <w:p w14:paraId="71182812" w14:textId="1B17043E" w:rsidR="00723940" w:rsidRDefault="00121166" w:rsidP="00121166">
      <w:pPr>
        <w:spacing w:line="360" w:lineRule="auto"/>
        <w:rPr>
          <w:rFonts w:ascii="Arial" w:hAnsi="Arial" w:cs="Arial"/>
          <w:sz w:val="20"/>
          <w:szCs w:val="20"/>
        </w:rPr>
      </w:pPr>
      <w:r w:rsidRPr="00121166">
        <w:rPr>
          <w:rFonts w:ascii="Arial" w:hAnsi="Arial" w:cs="Arial"/>
          <w:sz w:val="20"/>
          <w:szCs w:val="20"/>
        </w:rPr>
        <w:t>Systemic barriers, including lack of devices, cost concerns, workload pressures, and insufficient training time, were commonly reported. These findings align with reports from Ghana and other LMICs, where respiratory care services and device availability are often constrained by policy, funding, and workforce factors</w:t>
      </w:r>
      <w:r w:rsidR="007D1E8E">
        <w:rPr>
          <w:rFonts w:ascii="Arial" w:hAnsi="Arial" w:cs="Arial"/>
          <w:sz w:val="20"/>
          <w:szCs w:val="20"/>
        </w:rPr>
        <w:t xml:space="preserve"> [11]</w:t>
      </w:r>
      <w:r w:rsidRPr="00121166">
        <w:rPr>
          <w:rFonts w:ascii="Arial" w:hAnsi="Arial" w:cs="Arial"/>
          <w:sz w:val="20"/>
          <w:szCs w:val="20"/>
        </w:rPr>
        <w:t>. Nurses also cited individual barriers</w:t>
      </w:r>
      <w:r w:rsidR="00660A3A">
        <w:rPr>
          <w:rFonts w:ascii="Arial" w:hAnsi="Arial" w:cs="Arial"/>
          <w:sz w:val="20"/>
          <w:szCs w:val="20"/>
        </w:rPr>
        <w:t xml:space="preserve"> </w:t>
      </w:r>
      <w:r w:rsidRPr="00121166">
        <w:rPr>
          <w:rFonts w:ascii="Arial" w:hAnsi="Arial" w:cs="Arial"/>
          <w:sz w:val="20"/>
          <w:szCs w:val="20"/>
        </w:rPr>
        <w:t>such as difficulty interpreting results</w:t>
      </w:r>
      <w:r w:rsidR="00660A3A">
        <w:rPr>
          <w:rFonts w:ascii="Arial" w:hAnsi="Arial" w:cs="Arial"/>
          <w:sz w:val="20"/>
          <w:szCs w:val="20"/>
        </w:rPr>
        <w:t xml:space="preserve">, </w:t>
      </w:r>
      <w:r w:rsidRPr="00121166">
        <w:rPr>
          <w:rFonts w:ascii="Arial" w:hAnsi="Arial" w:cs="Arial"/>
          <w:sz w:val="20"/>
          <w:szCs w:val="20"/>
        </w:rPr>
        <w:t>indicating that even when devices are available, user confidence and competence may be lacking.</w:t>
      </w:r>
    </w:p>
    <w:p w14:paraId="74CC0423" w14:textId="0E74B6E9" w:rsidR="00121166" w:rsidRDefault="00121166" w:rsidP="00121166">
      <w:pPr>
        <w:spacing w:line="360" w:lineRule="auto"/>
        <w:rPr>
          <w:rFonts w:ascii="Arial" w:hAnsi="Arial" w:cs="Arial"/>
          <w:sz w:val="20"/>
          <w:szCs w:val="20"/>
        </w:rPr>
      </w:pPr>
      <w:r w:rsidRPr="00121166">
        <w:rPr>
          <w:rFonts w:ascii="Arial" w:hAnsi="Arial" w:cs="Arial"/>
          <w:sz w:val="20"/>
          <w:szCs w:val="20"/>
        </w:rPr>
        <w:t>To improve PFM utilisation in Ghana, several strategic steps are recommended. Firstly, PFM training should be integrated into both pre-service nursing curricula and regular continuing professional development (CPD) programmes, using hands-on workshops, simulation, and competency assessments. Secondly, institutional procurement policies should ensure consistent availability of PFMs in wards managing asthma, COPD, and other respiratory conditions, and protocols should mandate their use. Thirdly, leveraging digital platforms</w:t>
      </w:r>
      <w:r w:rsidR="00544EBD">
        <w:rPr>
          <w:rFonts w:ascii="Arial" w:hAnsi="Arial" w:cs="Arial"/>
          <w:sz w:val="20"/>
          <w:szCs w:val="20"/>
        </w:rPr>
        <w:t xml:space="preserve"> </w:t>
      </w:r>
      <w:r w:rsidRPr="00121166">
        <w:rPr>
          <w:rFonts w:ascii="Arial" w:hAnsi="Arial" w:cs="Arial"/>
          <w:sz w:val="20"/>
          <w:szCs w:val="20"/>
        </w:rPr>
        <w:t>may enhance monitoring, feedback, and uptake of PFM use in this setting. By aligning education, device availability, and protocol integration, Ghanaian nursing practice may move closer to global standards of respiratory care.</w:t>
      </w:r>
    </w:p>
    <w:p w14:paraId="21589013" w14:textId="77777777" w:rsidR="00756990" w:rsidRPr="003F591B" w:rsidRDefault="003F591B" w:rsidP="00C53DD7">
      <w:pPr>
        <w:spacing w:line="360" w:lineRule="auto"/>
        <w:rPr>
          <w:rFonts w:ascii="Arial" w:hAnsi="Arial" w:cs="Arial"/>
          <w:b/>
          <w:bCs/>
          <w:sz w:val="22"/>
        </w:rPr>
      </w:pPr>
      <w:r w:rsidRPr="003F591B">
        <w:rPr>
          <w:rFonts w:ascii="Arial" w:hAnsi="Arial" w:cs="Arial"/>
          <w:b/>
          <w:bCs/>
          <w:sz w:val="22"/>
        </w:rPr>
        <w:t>5. LIMITATIONS</w:t>
      </w:r>
    </w:p>
    <w:p w14:paraId="42C43116" w14:textId="77777777" w:rsidR="00B7245E" w:rsidRDefault="00B7245E" w:rsidP="00C53DD7">
      <w:pPr>
        <w:spacing w:line="360" w:lineRule="auto"/>
        <w:rPr>
          <w:rFonts w:ascii="Arial" w:hAnsi="Arial" w:cs="Arial"/>
          <w:sz w:val="20"/>
          <w:szCs w:val="20"/>
        </w:rPr>
      </w:pPr>
      <w:r w:rsidRPr="00B7245E">
        <w:rPr>
          <w:rFonts w:ascii="Arial" w:hAnsi="Arial" w:cs="Arial"/>
          <w:sz w:val="20"/>
          <w:szCs w:val="20"/>
        </w:rPr>
        <w:t xml:space="preserve">This study is limited by its cross-sectional design and single-site setting, which constrain generalizability. Data were self-reported and therefore subject to recall and social desirability bias. </w:t>
      </w:r>
      <w:r w:rsidRPr="00B7245E">
        <w:rPr>
          <w:rFonts w:ascii="Arial" w:hAnsi="Arial" w:cs="Arial"/>
          <w:sz w:val="20"/>
          <w:szCs w:val="20"/>
          <w:highlight w:val="yellow"/>
        </w:rPr>
        <w:t>Differences in exposure to PFMs among nurses in various wards could also have influenced reported knowledge and practice; however, the inclusion of nurses from diverse units may have minimized this effect. In addition, the study did not explore in depth the underlying reasons for the reported barriers to PFM use, nor did it statistically compare these barriers across the emergency, medical, and surgical wards.</w:t>
      </w:r>
      <w:r w:rsidRPr="00B7245E">
        <w:rPr>
          <w:rFonts w:ascii="Arial" w:hAnsi="Arial" w:cs="Arial"/>
          <w:sz w:val="20"/>
          <w:szCs w:val="20"/>
        </w:rPr>
        <w:t xml:space="preserve"> Future research should therefore involve multiple centres, include observational or audit data on PFM use, and examine both the effects of structured training interventions and the contextual factors influencing PFM utilization in different clinical areas.</w:t>
      </w:r>
    </w:p>
    <w:p w14:paraId="410E93A4" w14:textId="77777777" w:rsidR="004D6231" w:rsidRPr="003F591B" w:rsidRDefault="003F591B" w:rsidP="00C53DD7">
      <w:pPr>
        <w:spacing w:line="360" w:lineRule="auto"/>
        <w:rPr>
          <w:rFonts w:ascii="Arial" w:hAnsi="Arial" w:cs="Arial"/>
          <w:b/>
          <w:bCs/>
          <w:sz w:val="22"/>
        </w:rPr>
      </w:pPr>
      <w:r w:rsidRPr="003F591B">
        <w:rPr>
          <w:rFonts w:ascii="Arial" w:hAnsi="Arial" w:cs="Arial"/>
          <w:b/>
          <w:bCs/>
          <w:sz w:val="22"/>
        </w:rPr>
        <w:t>6. CONCLUSION</w:t>
      </w:r>
    </w:p>
    <w:p w14:paraId="6742D3BE" w14:textId="77777777" w:rsidR="004D6231" w:rsidRDefault="004D6231" w:rsidP="00C53DD7">
      <w:pPr>
        <w:spacing w:line="360" w:lineRule="auto"/>
        <w:rPr>
          <w:rFonts w:ascii="Arial" w:hAnsi="Arial" w:cs="Arial"/>
          <w:sz w:val="20"/>
          <w:szCs w:val="20"/>
        </w:rPr>
      </w:pPr>
      <w:r w:rsidRPr="003F591B">
        <w:rPr>
          <w:rFonts w:ascii="Arial" w:hAnsi="Arial" w:cs="Arial"/>
          <w:sz w:val="20"/>
          <w:szCs w:val="20"/>
        </w:rPr>
        <w:t xml:space="preserve">Despite the recognized clinical value of PFMs, knowledge and utilization among nurses at KATH remain low, and systemic barriers persist. Addressing these gaps through education, resource allocation, and institutional policy changes </w:t>
      </w:r>
      <w:r w:rsidR="00D55453" w:rsidRPr="003F591B">
        <w:rPr>
          <w:rFonts w:ascii="Arial" w:hAnsi="Arial" w:cs="Arial"/>
          <w:sz w:val="20"/>
          <w:szCs w:val="20"/>
        </w:rPr>
        <w:t>may</w:t>
      </w:r>
      <w:r w:rsidRPr="003F591B">
        <w:rPr>
          <w:rFonts w:ascii="Arial" w:hAnsi="Arial" w:cs="Arial"/>
          <w:sz w:val="20"/>
          <w:szCs w:val="20"/>
        </w:rPr>
        <w:t xml:space="preserve"> improv</w:t>
      </w:r>
      <w:r w:rsidR="00D55453" w:rsidRPr="003F591B">
        <w:rPr>
          <w:rFonts w:ascii="Arial" w:hAnsi="Arial" w:cs="Arial"/>
          <w:sz w:val="20"/>
          <w:szCs w:val="20"/>
        </w:rPr>
        <w:t>e</w:t>
      </w:r>
      <w:r w:rsidRPr="003F591B">
        <w:rPr>
          <w:rFonts w:ascii="Arial" w:hAnsi="Arial" w:cs="Arial"/>
          <w:sz w:val="20"/>
          <w:szCs w:val="20"/>
        </w:rPr>
        <w:t xml:space="preserve"> the quality of respiratory care in Ghana.</w:t>
      </w:r>
    </w:p>
    <w:p w14:paraId="783CEB20" w14:textId="77777777" w:rsidR="007E29AF" w:rsidRDefault="007E29AF" w:rsidP="00C53DD7">
      <w:pPr>
        <w:spacing w:line="360" w:lineRule="auto"/>
        <w:rPr>
          <w:rFonts w:ascii="Arial" w:hAnsi="Arial" w:cs="Arial"/>
          <w:b/>
          <w:bCs/>
          <w:sz w:val="22"/>
        </w:rPr>
      </w:pPr>
    </w:p>
    <w:p w14:paraId="3BDC66E8" w14:textId="29E6043A" w:rsidR="00F51EEC" w:rsidRPr="00A36AAA" w:rsidRDefault="00F51EEC" w:rsidP="00C53DD7">
      <w:pPr>
        <w:spacing w:line="360" w:lineRule="auto"/>
        <w:rPr>
          <w:rFonts w:ascii="Arial" w:hAnsi="Arial" w:cs="Arial"/>
          <w:b/>
          <w:bCs/>
          <w:sz w:val="22"/>
        </w:rPr>
      </w:pPr>
      <w:r w:rsidRPr="00A36AAA">
        <w:rPr>
          <w:rFonts w:ascii="Arial" w:hAnsi="Arial" w:cs="Arial"/>
          <w:b/>
          <w:bCs/>
          <w:sz w:val="22"/>
        </w:rPr>
        <w:t>ETHICAL APPROVAL</w:t>
      </w:r>
    </w:p>
    <w:p w14:paraId="1164A78E" w14:textId="77777777" w:rsidR="00F51EEC" w:rsidRPr="00F51EEC" w:rsidRDefault="00F51EEC"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Ethical approval was obtained from the Komfo Anokye Teaching Hospital Institutional Review Board (Reference No. KATH IRB/AP/039/23. Permission to conduct the study was granted by the Nursing Directorate of KATH. Written informed consent was obtained from all participants. Questionnaires were completed anonymously and stored securely to ensure confidentiality.</w:t>
      </w:r>
    </w:p>
    <w:p w14:paraId="4A2483D4" w14:textId="77777777" w:rsidR="007E29AF" w:rsidRDefault="007E29AF" w:rsidP="00E37CD4">
      <w:pPr>
        <w:rPr>
          <w:highlight w:val="yellow"/>
        </w:rPr>
      </w:pPr>
    </w:p>
    <w:p w14:paraId="6000A00B" w14:textId="54152475" w:rsidR="00E37CD4" w:rsidRPr="00740879" w:rsidRDefault="00E37CD4" w:rsidP="00E37CD4">
      <w:pPr>
        <w:rPr>
          <w:highlight w:val="yellow"/>
        </w:rPr>
      </w:pPr>
      <w:r w:rsidRPr="00740879">
        <w:rPr>
          <w:highlight w:val="yellow"/>
        </w:rPr>
        <w:lastRenderedPageBreak/>
        <w:t>Disclaimer (Artificial intelligence)</w:t>
      </w:r>
    </w:p>
    <w:p w14:paraId="4E9AB2E3" w14:textId="2A96FD46" w:rsidR="00E37CD4" w:rsidRPr="00740879" w:rsidRDefault="00E37CD4" w:rsidP="00E37CD4">
      <w:pPr>
        <w:rPr>
          <w:highlight w:val="yellow"/>
        </w:rPr>
      </w:pPr>
      <w:r w:rsidRPr="00740879">
        <w:rPr>
          <w:highlight w:val="yellow"/>
        </w:rPr>
        <w:t xml:space="preserve">Authors hereby declare that NO generative AI technologies have been used during the writing editing of this manuscript. </w:t>
      </w:r>
    </w:p>
    <w:p w14:paraId="5D7C9AD2" w14:textId="77777777" w:rsidR="00F51EEC" w:rsidRPr="003F591B" w:rsidRDefault="00F51EEC" w:rsidP="00C53DD7">
      <w:pPr>
        <w:spacing w:line="360" w:lineRule="auto"/>
        <w:rPr>
          <w:rFonts w:ascii="Arial" w:hAnsi="Arial" w:cs="Arial"/>
          <w:sz w:val="20"/>
          <w:szCs w:val="20"/>
        </w:rPr>
      </w:pPr>
    </w:p>
    <w:p w14:paraId="104C58E3" w14:textId="77777777" w:rsidR="00D928E9" w:rsidRPr="003F591B" w:rsidRDefault="0018345D" w:rsidP="00C53DD7">
      <w:pPr>
        <w:spacing w:line="360" w:lineRule="auto"/>
        <w:rPr>
          <w:rFonts w:ascii="Arial" w:hAnsi="Arial" w:cs="Arial"/>
          <w:b/>
          <w:bCs/>
          <w:sz w:val="22"/>
        </w:rPr>
      </w:pPr>
      <w:r w:rsidRPr="003F591B">
        <w:rPr>
          <w:rFonts w:ascii="Arial" w:hAnsi="Arial" w:cs="Arial"/>
          <w:b/>
          <w:bCs/>
          <w:sz w:val="22"/>
        </w:rPr>
        <w:t>REFERENCES</w:t>
      </w:r>
    </w:p>
    <w:p w14:paraId="7AF775EA" w14:textId="5025CD41" w:rsidR="007D1E8E" w:rsidRPr="007D1E8E" w:rsidRDefault="007D1E8E" w:rsidP="007D1E8E">
      <w:pPr>
        <w:pStyle w:val="ListParagraph"/>
        <w:numPr>
          <w:ilvl w:val="0"/>
          <w:numId w:val="10"/>
        </w:numPr>
        <w:spacing w:line="360" w:lineRule="auto"/>
        <w:rPr>
          <w:rFonts w:ascii="Arial" w:hAnsi="Arial" w:cs="Arial"/>
          <w:i/>
          <w:iCs/>
          <w:sz w:val="20"/>
          <w:szCs w:val="20"/>
        </w:rPr>
      </w:pPr>
      <w:r w:rsidRPr="007D1E8E">
        <w:rPr>
          <w:rFonts w:ascii="Arial" w:hAnsi="Arial" w:cs="Arial"/>
          <w:sz w:val="20"/>
          <w:szCs w:val="20"/>
        </w:rPr>
        <w:t>Labaki, W. W., &amp; Han, M. K. (2020). Chronic respiratory diseases: a global view. </w:t>
      </w:r>
      <w:r w:rsidRPr="007D1E8E">
        <w:rPr>
          <w:rFonts w:ascii="Arial" w:hAnsi="Arial" w:cs="Arial"/>
          <w:i/>
          <w:iCs/>
          <w:sz w:val="20"/>
          <w:szCs w:val="20"/>
        </w:rPr>
        <w:t xml:space="preserve">The Lancet. </w:t>
      </w:r>
    </w:p>
    <w:p w14:paraId="02739CEE" w14:textId="77777777" w:rsidR="007D1E8E" w:rsidRDefault="007D1E8E" w:rsidP="007D1E8E">
      <w:pPr>
        <w:spacing w:line="360" w:lineRule="auto"/>
        <w:ind w:firstLine="720"/>
      </w:pPr>
      <w:r w:rsidRPr="001473D1">
        <w:rPr>
          <w:rFonts w:ascii="Arial" w:hAnsi="Arial" w:cs="Arial"/>
          <w:i/>
          <w:iCs/>
          <w:sz w:val="20"/>
          <w:szCs w:val="20"/>
        </w:rPr>
        <w:t>Respiratory medicine</w:t>
      </w:r>
      <w:r w:rsidRPr="001473D1">
        <w:rPr>
          <w:rFonts w:ascii="Arial" w:hAnsi="Arial" w:cs="Arial"/>
          <w:sz w:val="20"/>
          <w:szCs w:val="20"/>
        </w:rPr>
        <w:t>, </w:t>
      </w:r>
      <w:r w:rsidRPr="001473D1">
        <w:rPr>
          <w:rFonts w:ascii="Arial" w:hAnsi="Arial" w:cs="Arial"/>
          <w:i/>
          <w:iCs/>
          <w:sz w:val="20"/>
          <w:szCs w:val="20"/>
        </w:rPr>
        <w:t>8</w:t>
      </w:r>
      <w:r w:rsidRPr="001473D1">
        <w:rPr>
          <w:rFonts w:ascii="Arial" w:hAnsi="Arial" w:cs="Arial"/>
          <w:sz w:val="20"/>
          <w:szCs w:val="20"/>
        </w:rPr>
        <w:t xml:space="preserve">(6), 531–533. </w:t>
      </w:r>
      <w:hyperlink r:id="rId7" w:history="1">
        <w:r w:rsidRPr="001473D1">
          <w:rPr>
            <w:rStyle w:val="Hyperlink"/>
            <w:rFonts w:ascii="Arial" w:hAnsi="Arial" w:cs="Arial"/>
            <w:sz w:val="20"/>
            <w:szCs w:val="20"/>
          </w:rPr>
          <w:t>https://doi.org/10.1016/S2213-2600(20)30157-0</w:t>
        </w:r>
      </w:hyperlink>
    </w:p>
    <w:p w14:paraId="4C6B23C3" w14:textId="77777777" w:rsidR="007D1E8E" w:rsidRPr="007D1E8E" w:rsidRDefault="007D1E8E" w:rsidP="007D1E8E">
      <w:pPr>
        <w:pStyle w:val="ListParagraph"/>
        <w:numPr>
          <w:ilvl w:val="0"/>
          <w:numId w:val="10"/>
        </w:numPr>
        <w:spacing w:line="360" w:lineRule="auto"/>
        <w:rPr>
          <w:rFonts w:ascii="Arial" w:hAnsi="Arial" w:cs="Arial"/>
          <w:sz w:val="20"/>
          <w:szCs w:val="20"/>
        </w:rPr>
      </w:pPr>
      <w:r w:rsidRPr="007D1E8E">
        <w:rPr>
          <w:rFonts w:ascii="Arial" w:hAnsi="Arial" w:cs="Arial"/>
          <w:sz w:val="20"/>
          <w:szCs w:val="20"/>
        </w:rPr>
        <w:t xml:space="preserve">Sara Momtazmanesh*, Sahar Saeedi Moghaddam*, Seyyed-Hadi Ghamari, Elaheh Malakan </w:t>
      </w:r>
    </w:p>
    <w:p w14:paraId="4547D2D2" w14:textId="77777777" w:rsidR="007D1E8E" w:rsidRPr="007D1E8E" w:rsidRDefault="007D1E8E" w:rsidP="007D1E8E">
      <w:pPr>
        <w:pStyle w:val="ListParagraph"/>
        <w:spacing w:line="360" w:lineRule="auto"/>
        <w:rPr>
          <w:rFonts w:ascii="Arial" w:hAnsi="Arial" w:cs="Arial"/>
          <w:sz w:val="20"/>
          <w:szCs w:val="20"/>
        </w:rPr>
      </w:pPr>
      <w:r w:rsidRPr="007D1E8E">
        <w:rPr>
          <w:rFonts w:ascii="Arial" w:hAnsi="Arial" w:cs="Arial"/>
          <w:sz w:val="20"/>
          <w:szCs w:val="20"/>
        </w:rPr>
        <w:t xml:space="preserve">Rad, Negar Rezaei, Parnian </w:t>
      </w:r>
      <w:proofErr w:type="spellStart"/>
      <w:r w:rsidRPr="007D1E8E">
        <w:rPr>
          <w:rFonts w:ascii="Arial" w:hAnsi="Arial" w:cs="Arial"/>
          <w:sz w:val="20"/>
          <w:szCs w:val="20"/>
        </w:rPr>
        <w:t>Shobeiri</w:t>
      </w:r>
      <w:proofErr w:type="spellEnd"/>
      <w:r w:rsidRPr="007D1E8E">
        <w:rPr>
          <w:rFonts w:ascii="Arial" w:hAnsi="Arial" w:cs="Arial"/>
          <w:sz w:val="20"/>
          <w:szCs w:val="20"/>
        </w:rPr>
        <w:t xml:space="preserve">, et al. (2023). Global burden of chronic respiratory diseases and risk factors, 1990–2019: an update from the Global Burden of Disease Study 2019. </w:t>
      </w:r>
      <w:proofErr w:type="spellStart"/>
      <w:r w:rsidRPr="007D1E8E">
        <w:rPr>
          <w:rFonts w:ascii="Arial" w:hAnsi="Arial" w:cs="Arial"/>
          <w:sz w:val="20"/>
          <w:szCs w:val="20"/>
        </w:rPr>
        <w:t>eClinicalMedicine</w:t>
      </w:r>
      <w:proofErr w:type="spellEnd"/>
      <w:r w:rsidRPr="007D1E8E">
        <w:rPr>
          <w:rFonts w:ascii="Arial" w:hAnsi="Arial" w:cs="Arial"/>
          <w:sz w:val="20"/>
          <w:szCs w:val="20"/>
        </w:rPr>
        <w:t xml:space="preserve"> 2023;59: 101936. </w:t>
      </w:r>
      <w:hyperlink r:id="rId8" w:history="1">
        <w:r w:rsidRPr="007D1E8E">
          <w:rPr>
            <w:rStyle w:val="Hyperlink"/>
            <w:rFonts w:ascii="Arial" w:hAnsi="Arial" w:cs="Arial"/>
            <w:sz w:val="20"/>
            <w:szCs w:val="20"/>
          </w:rPr>
          <w:t>https://doi.org/10.1016/j.eclinm.2023.101936</w:t>
        </w:r>
      </w:hyperlink>
    </w:p>
    <w:p w14:paraId="55B74F9B" w14:textId="77777777" w:rsidR="007D1E8E" w:rsidRPr="007D1E8E" w:rsidRDefault="007D1E8E" w:rsidP="007D1E8E">
      <w:pPr>
        <w:pStyle w:val="ListParagraph"/>
        <w:numPr>
          <w:ilvl w:val="0"/>
          <w:numId w:val="10"/>
        </w:numPr>
        <w:spacing w:line="360" w:lineRule="auto"/>
        <w:rPr>
          <w:rFonts w:ascii="Arial" w:hAnsi="Arial" w:cs="Arial"/>
          <w:sz w:val="20"/>
          <w:szCs w:val="20"/>
        </w:rPr>
      </w:pPr>
      <w:proofErr w:type="spellStart"/>
      <w:r w:rsidRPr="007D1E8E">
        <w:rPr>
          <w:rFonts w:ascii="Arial" w:hAnsi="Arial" w:cs="Arial"/>
          <w:sz w:val="20"/>
          <w:szCs w:val="20"/>
        </w:rPr>
        <w:t>Alemayohu</w:t>
      </w:r>
      <w:proofErr w:type="spellEnd"/>
      <w:r w:rsidRPr="007D1E8E">
        <w:rPr>
          <w:rFonts w:ascii="Arial" w:hAnsi="Arial" w:cs="Arial"/>
          <w:sz w:val="20"/>
          <w:szCs w:val="20"/>
        </w:rPr>
        <w:t xml:space="preserve">, M. A., Zanolin, M. E., </w:t>
      </w:r>
      <w:proofErr w:type="spellStart"/>
      <w:r w:rsidRPr="007D1E8E">
        <w:rPr>
          <w:rFonts w:ascii="Arial" w:hAnsi="Arial" w:cs="Arial"/>
          <w:sz w:val="20"/>
          <w:szCs w:val="20"/>
        </w:rPr>
        <w:t>Cazzoletti</w:t>
      </w:r>
      <w:proofErr w:type="spellEnd"/>
      <w:r w:rsidRPr="007D1E8E">
        <w:rPr>
          <w:rFonts w:ascii="Arial" w:hAnsi="Arial" w:cs="Arial"/>
          <w:sz w:val="20"/>
          <w:szCs w:val="20"/>
        </w:rPr>
        <w:t xml:space="preserve">, L., Nyasulu, P., Garcia-Larsen, V., &amp; GBD 2019 </w:t>
      </w:r>
    </w:p>
    <w:p w14:paraId="7475BEFA" w14:textId="77777777" w:rsidR="007D1E8E" w:rsidRPr="007D1E8E" w:rsidRDefault="007D1E8E" w:rsidP="007D1E8E">
      <w:pPr>
        <w:pStyle w:val="ListParagraph"/>
        <w:spacing w:line="360" w:lineRule="auto"/>
        <w:rPr>
          <w:rFonts w:ascii="Arial" w:hAnsi="Arial" w:cs="Arial"/>
          <w:sz w:val="20"/>
          <w:szCs w:val="20"/>
        </w:rPr>
      </w:pPr>
      <w:r w:rsidRPr="007D1E8E">
        <w:rPr>
          <w:rFonts w:ascii="Arial" w:hAnsi="Arial" w:cs="Arial"/>
          <w:sz w:val="20"/>
          <w:szCs w:val="20"/>
        </w:rPr>
        <w:t xml:space="preserve">Sub-Saharan COPD Collaborators (2023). Burden and risk factors of chronic obstructive pulmonary disease in Sub-Saharan African countries, 1990-2019: a systematic analysis for the Global Burden of disease study 2019. </w:t>
      </w:r>
      <w:proofErr w:type="spellStart"/>
      <w:r w:rsidRPr="007D1E8E">
        <w:rPr>
          <w:rFonts w:ascii="Arial" w:hAnsi="Arial" w:cs="Arial"/>
          <w:sz w:val="20"/>
          <w:szCs w:val="20"/>
        </w:rPr>
        <w:t>EClinicalMedicine</w:t>
      </w:r>
      <w:proofErr w:type="spellEnd"/>
      <w:r w:rsidRPr="007D1E8E">
        <w:rPr>
          <w:rFonts w:ascii="Arial" w:hAnsi="Arial" w:cs="Arial"/>
          <w:sz w:val="20"/>
          <w:szCs w:val="20"/>
        </w:rPr>
        <w:t xml:space="preserve">, 64, 102215. </w:t>
      </w:r>
      <w:hyperlink r:id="rId9" w:history="1">
        <w:r w:rsidRPr="007D1E8E">
          <w:rPr>
            <w:rStyle w:val="Hyperlink"/>
            <w:rFonts w:ascii="Arial" w:hAnsi="Arial" w:cs="Arial"/>
            <w:sz w:val="20"/>
            <w:szCs w:val="20"/>
          </w:rPr>
          <w:t>https://doi.org/10.1016/j.eclinm.2023.102215</w:t>
        </w:r>
      </w:hyperlink>
    </w:p>
    <w:p w14:paraId="7963726C" w14:textId="77777777" w:rsidR="00E20A2A" w:rsidRPr="00E20A2A" w:rsidRDefault="00E20A2A" w:rsidP="00E20A2A">
      <w:pPr>
        <w:pStyle w:val="ListParagraph"/>
        <w:numPr>
          <w:ilvl w:val="0"/>
          <w:numId w:val="10"/>
        </w:numPr>
        <w:spacing w:line="360" w:lineRule="auto"/>
        <w:rPr>
          <w:rFonts w:ascii="Arial" w:hAnsi="Arial" w:cs="Arial"/>
          <w:sz w:val="20"/>
          <w:szCs w:val="20"/>
        </w:rPr>
      </w:pPr>
      <w:proofErr w:type="spellStart"/>
      <w:r w:rsidRPr="00E20A2A">
        <w:rPr>
          <w:rFonts w:ascii="Arial" w:hAnsi="Arial" w:cs="Arial"/>
          <w:sz w:val="20"/>
          <w:szCs w:val="20"/>
        </w:rPr>
        <w:t>Asthma+LungUK</w:t>
      </w:r>
      <w:proofErr w:type="spellEnd"/>
      <w:r w:rsidRPr="00E20A2A">
        <w:rPr>
          <w:rFonts w:ascii="Arial" w:hAnsi="Arial" w:cs="Arial"/>
          <w:sz w:val="20"/>
          <w:szCs w:val="20"/>
        </w:rPr>
        <w:t xml:space="preserve"> (2025). Diagnosing COPD. </w:t>
      </w:r>
      <w:proofErr w:type="spellStart"/>
      <w:r w:rsidRPr="00E20A2A">
        <w:rPr>
          <w:rFonts w:ascii="Arial" w:hAnsi="Arial" w:cs="Arial"/>
          <w:sz w:val="20"/>
          <w:szCs w:val="20"/>
        </w:rPr>
        <w:t>Asthma+LungUK</w:t>
      </w:r>
      <w:proofErr w:type="spellEnd"/>
      <w:r w:rsidRPr="00E20A2A">
        <w:rPr>
          <w:rFonts w:ascii="Arial" w:hAnsi="Arial" w:cs="Arial"/>
          <w:sz w:val="20"/>
          <w:szCs w:val="20"/>
        </w:rPr>
        <w:t xml:space="preserve">. </w:t>
      </w:r>
    </w:p>
    <w:p w14:paraId="7729983C" w14:textId="6AF441E6" w:rsidR="00E20A2A" w:rsidRPr="00E20A2A" w:rsidRDefault="00E20A2A" w:rsidP="00E20A2A">
      <w:pPr>
        <w:pStyle w:val="ListParagraph"/>
        <w:spacing w:line="360" w:lineRule="auto"/>
        <w:rPr>
          <w:rFonts w:ascii="Arial" w:hAnsi="Arial" w:cs="Arial"/>
          <w:sz w:val="20"/>
          <w:szCs w:val="20"/>
        </w:rPr>
      </w:pPr>
      <w:hyperlink r:id="rId10" w:history="1">
        <w:r w:rsidRPr="00CB0C8D">
          <w:rPr>
            <w:rStyle w:val="Hyperlink"/>
            <w:rFonts w:ascii="Arial" w:hAnsi="Arial" w:cs="Arial"/>
            <w:sz w:val="20"/>
            <w:szCs w:val="20"/>
          </w:rPr>
          <w:t>https://www.asthmaandlung.org.uk/healthcare-professionals/copd/diagnosing-copd</w:t>
        </w:r>
      </w:hyperlink>
      <w:r w:rsidRPr="00E20A2A">
        <w:rPr>
          <w:rFonts w:ascii="Arial" w:hAnsi="Arial" w:cs="Arial"/>
          <w:sz w:val="20"/>
          <w:szCs w:val="20"/>
        </w:rPr>
        <w:t xml:space="preserve"> </w:t>
      </w:r>
    </w:p>
    <w:p w14:paraId="0FAC6A3B" w14:textId="77777777" w:rsidR="00DB332A" w:rsidRPr="00DB332A" w:rsidRDefault="00DB332A" w:rsidP="00DB332A">
      <w:pPr>
        <w:pStyle w:val="ListParagraph"/>
        <w:numPr>
          <w:ilvl w:val="0"/>
          <w:numId w:val="10"/>
        </w:numPr>
        <w:spacing w:line="360" w:lineRule="auto"/>
        <w:rPr>
          <w:rFonts w:ascii="Arial" w:hAnsi="Arial" w:cs="Arial"/>
          <w:sz w:val="20"/>
          <w:szCs w:val="20"/>
        </w:rPr>
      </w:pPr>
      <w:r w:rsidRPr="00DB332A">
        <w:rPr>
          <w:rFonts w:ascii="Arial" w:hAnsi="Arial" w:cs="Arial"/>
          <w:sz w:val="20"/>
          <w:szCs w:val="20"/>
        </w:rPr>
        <w:t xml:space="preserve">DeVrieze BW, Goldin J, Giwa AO. Peak Flow Rate Measurement. [Updated 2024 Oct 6]. In: </w:t>
      </w:r>
    </w:p>
    <w:p w14:paraId="647403C4" w14:textId="77777777" w:rsidR="00DB332A" w:rsidRPr="00DB332A" w:rsidRDefault="00DB332A" w:rsidP="00DB332A">
      <w:pPr>
        <w:pStyle w:val="ListParagraph"/>
        <w:spacing w:line="360" w:lineRule="auto"/>
        <w:rPr>
          <w:rFonts w:ascii="Arial" w:hAnsi="Arial" w:cs="Arial"/>
          <w:sz w:val="20"/>
          <w:szCs w:val="20"/>
        </w:rPr>
      </w:pPr>
      <w:r w:rsidRPr="00DB332A">
        <w:rPr>
          <w:rFonts w:ascii="Arial" w:hAnsi="Arial" w:cs="Arial"/>
          <w:sz w:val="20"/>
          <w:szCs w:val="20"/>
        </w:rPr>
        <w:t xml:space="preserve">StatPearls [Internet]. Treasure Island (FL): StatPearls Publishing; 2025 Jan-. Available from: </w:t>
      </w:r>
      <w:hyperlink r:id="rId11" w:history="1">
        <w:r w:rsidRPr="00DB332A">
          <w:rPr>
            <w:rStyle w:val="Hyperlink"/>
            <w:rFonts w:ascii="Arial" w:hAnsi="Arial" w:cs="Arial"/>
            <w:sz w:val="20"/>
            <w:szCs w:val="20"/>
          </w:rPr>
          <w:t>https://www.ncbi.nlm.nih.gov/books/NBK459325/</w:t>
        </w:r>
      </w:hyperlink>
    </w:p>
    <w:p w14:paraId="63A581A8" w14:textId="77777777" w:rsidR="00DB332A" w:rsidRPr="00DB332A" w:rsidRDefault="00DB332A" w:rsidP="00DB332A">
      <w:pPr>
        <w:pStyle w:val="ListParagraph"/>
        <w:numPr>
          <w:ilvl w:val="0"/>
          <w:numId w:val="10"/>
        </w:numPr>
        <w:spacing w:line="360" w:lineRule="auto"/>
        <w:rPr>
          <w:rFonts w:ascii="Arial" w:hAnsi="Arial" w:cs="Arial"/>
          <w:sz w:val="20"/>
          <w:szCs w:val="20"/>
        </w:rPr>
      </w:pPr>
      <w:r w:rsidRPr="00DB332A">
        <w:rPr>
          <w:rFonts w:ascii="Arial" w:hAnsi="Arial" w:cs="Arial"/>
          <w:sz w:val="20"/>
          <w:szCs w:val="20"/>
        </w:rPr>
        <w:t xml:space="preserve">Hajia, A. (2012). Knowledge, attitude and practice of nurses toward peak expiratory flow meter in </w:t>
      </w:r>
    </w:p>
    <w:p w14:paraId="5F6C07FC" w14:textId="77777777" w:rsidR="00DB332A" w:rsidRPr="00DB332A" w:rsidRDefault="00DB332A" w:rsidP="00DB332A">
      <w:pPr>
        <w:pStyle w:val="ListParagraph"/>
        <w:spacing w:line="360" w:lineRule="auto"/>
        <w:rPr>
          <w:rFonts w:ascii="Arial" w:hAnsi="Arial" w:cs="Arial"/>
          <w:sz w:val="20"/>
          <w:szCs w:val="20"/>
        </w:rPr>
      </w:pPr>
      <w:r w:rsidRPr="00DB332A">
        <w:rPr>
          <w:rFonts w:ascii="Arial" w:hAnsi="Arial" w:cs="Arial"/>
          <w:sz w:val="20"/>
          <w:szCs w:val="20"/>
        </w:rPr>
        <w:t xml:space="preserve">primary health care </w:t>
      </w:r>
      <w:proofErr w:type="spellStart"/>
      <w:r w:rsidRPr="00DB332A">
        <w:rPr>
          <w:rFonts w:ascii="Arial" w:hAnsi="Arial" w:cs="Arial"/>
          <w:sz w:val="20"/>
          <w:szCs w:val="20"/>
        </w:rPr>
        <w:t>centers</w:t>
      </w:r>
      <w:proofErr w:type="spellEnd"/>
      <w:r w:rsidRPr="00DB332A">
        <w:rPr>
          <w:rFonts w:ascii="Arial" w:hAnsi="Arial" w:cs="Arial"/>
          <w:sz w:val="20"/>
          <w:szCs w:val="20"/>
        </w:rPr>
        <w:t xml:space="preserve"> in Kuwait. </w:t>
      </w:r>
      <w:r w:rsidRPr="00DB332A">
        <w:rPr>
          <w:rFonts w:ascii="Arial" w:hAnsi="Arial" w:cs="Arial"/>
          <w:i/>
          <w:iCs/>
          <w:sz w:val="20"/>
          <w:szCs w:val="20"/>
        </w:rPr>
        <w:t>Alexandria Journal of Medicine</w:t>
      </w:r>
      <w:r w:rsidRPr="00DB332A">
        <w:rPr>
          <w:rFonts w:ascii="Arial" w:hAnsi="Arial" w:cs="Arial"/>
          <w:sz w:val="20"/>
          <w:szCs w:val="20"/>
        </w:rPr>
        <w:t>, </w:t>
      </w:r>
      <w:r w:rsidRPr="00DB332A">
        <w:rPr>
          <w:rFonts w:ascii="Arial" w:hAnsi="Arial" w:cs="Arial"/>
          <w:i/>
          <w:iCs/>
          <w:sz w:val="20"/>
          <w:szCs w:val="20"/>
        </w:rPr>
        <w:t>47</w:t>
      </w:r>
      <w:r w:rsidRPr="00DB332A">
        <w:rPr>
          <w:rFonts w:ascii="Arial" w:hAnsi="Arial" w:cs="Arial"/>
          <w:sz w:val="20"/>
          <w:szCs w:val="20"/>
        </w:rPr>
        <w:t xml:space="preserve">(3). </w:t>
      </w:r>
      <w:hyperlink r:id="rId12" w:history="1">
        <w:r w:rsidRPr="00DB332A">
          <w:rPr>
            <w:rStyle w:val="Hyperlink"/>
            <w:rFonts w:ascii="Arial" w:hAnsi="Arial" w:cs="Arial"/>
            <w:sz w:val="20"/>
            <w:szCs w:val="20"/>
          </w:rPr>
          <w:t>https://doi.org/10.4314/bafm.v47i3</w:t>
        </w:r>
      </w:hyperlink>
      <w:r w:rsidRPr="00DB332A">
        <w:rPr>
          <w:rFonts w:ascii="Arial" w:hAnsi="Arial" w:cs="Arial"/>
          <w:sz w:val="20"/>
          <w:szCs w:val="20"/>
        </w:rPr>
        <w:t xml:space="preserve"> </w:t>
      </w:r>
    </w:p>
    <w:p w14:paraId="5AD3183C" w14:textId="77777777" w:rsidR="00F138E8" w:rsidRPr="00F138E8" w:rsidRDefault="00F138E8" w:rsidP="00F138E8">
      <w:pPr>
        <w:pStyle w:val="ListParagraph"/>
        <w:numPr>
          <w:ilvl w:val="0"/>
          <w:numId w:val="10"/>
        </w:numPr>
        <w:spacing w:line="360" w:lineRule="auto"/>
        <w:rPr>
          <w:rFonts w:ascii="Arial" w:hAnsi="Arial" w:cs="Arial"/>
          <w:sz w:val="20"/>
          <w:szCs w:val="20"/>
        </w:rPr>
      </w:pPr>
      <w:r w:rsidRPr="00F138E8">
        <w:rPr>
          <w:rFonts w:ascii="Arial" w:hAnsi="Arial" w:cs="Arial"/>
          <w:sz w:val="20"/>
          <w:szCs w:val="20"/>
        </w:rPr>
        <w:t xml:space="preserve">World Health Organization (2024). Ghana Steps Report 2023: Nationwide Non-Communicable </w:t>
      </w:r>
    </w:p>
    <w:p w14:paraId="6F558C43" w14:textId="77777777" w:rsidR="00F138E8" w:rsidRPr="00F138E8" w:rsidRDefault="00F138E8" w:rsidP="00F138E8">
      <w:pPr>
        <w:pStyle w:val="ListParagraph"/>
        <w:spacing w:line="360" w:lineRule="auto"/>
        <w:rPr>
          <w:rFonts w:ascii="Arial" w:hAnsi="Arial" w:cs="Arial"/>
          <w:sz w:val="20"/>
          <w:szCs w:val="20"/>
        </w:rPr>
      </w:pPr>
      <w:r w:rsidRPr="00F138E8">
        <w:rPr>
          <w:rFonts w:ascii="Arial" w:hAnsi="Arial" w:cs="Arial"/>
          <w:sz w:val="20"/>
          <w:szCs w:val="20"/>
        </w:rPr>
        <w:t>Diseases Risk Factors Assessment Using the World Health Organization’s Stepwise Approach in Ghana. World Health Organization. Accra.</w:t>
      </w:r>
    </w:p>
    <w:p w14:paraId="694B2819" w14:textId="77777777" w:rsidR="00E00FDB" w:rsidRPr="00E00FDB" w:rsidRDefault="00E00FDB" w:rsidP="00E00FDB">
      <w:pPr>
        <w:pStyle w:val="ListParagraph"/>
        <w:numPr>
          <w:ilvl w:val="0"/>
          <w:numId w:val="10"/>
        </w:numPr>
        <w:spacing w:line="360" w:lineRule="auto"/>
        <w:rPr>
          <w:rFonts w:ascii="Arial" w:hAnsi="Arial" w:cs="Arial"/>
          <w:sz w:val="20"/>
          <w:szCs w:val="20"/>
        </w:rPr>
      </w:pPr>
      <w:r w:rsidRPr="00E00FDB">
        <w:rPr>
          <w:rFonts w:ascii="Arial" w:hAnsi="Arial" w:cs="Arial"/>
          <w:sz w:val="20"/>
          <w:szCs w:val="20"/>
        </w:rPr>
        <w:t xml:space="preserve">Adeniyi, B. O., Adebayo, A. M., Ilesanmi, O. S., Obaseki, D. O., </w:t>
      </w:r>
      <w:proofErr w:type="spellStart"/>
      <w:r w:rsidRPr="00E00FDB">
        <w:rPr>
          <w:rFonts w:ascii="Arial" w:hAnsi="Arial" w:cs="Arial"/>
          <w:sz w:val="20"/>
          <w:szCs w:val="20"/>
        </w:rPr>
        <w:t>Akinwalere</w:t>
      </w:r>
      <w:proofErr w:type="spellEnd"/>
      <w:r w:rsidRPr="00E00FDB">
        <w:rPr>
          <w:rFonts w:ascii="Arial" w:hAnsi="Arial" w:cs="Arial"/>
          <w:sz w:val="20"/>
          <w:szCs w:val="20"/>
        </w:rPr>
        <w:t xml:space="preserve">, O. O., &amp; </w:t>
      </w:r>
      <w:proofErr w:type="spellStart"/>
      <w:r w:rsidRPr="00E00FDB">
        <w:rPr>
          <w:rFonts w:ascii="Arial" w:hAnsi="Arial" w:cs="Arial"/>
          <w:sz w:val="20"/>
          <w:szCs w:val="20"/>
        </w:rPr>
        <w:t>Erhabor</w:t>
      </w:r>
      <w:proofErr w:type="spellEnd"/>
      <w:r w:rsidRPr="00E00FDB">
        <w:rPr>
          <w:rFonts w:ascii="Arial" w:hAnsi="Arial" w:cs="Arial"/>
          <w:sz w:val="20"/>
          <w:szCs w:val="20"/>
        </w:rPr>
        <w:t xml:space="preserve">, </w:t>
      </w:r>
    </w:p>
    <w:p w14:paraId="034E347B" w14:textId="77777777" w:rsidR="00E00FDB" w:rsidRPr="00E00FDB" w:rsidRDefault="00E00FDB" w:rsidP="00E00FDB">
      <w:pPr>
        <w:pStyle w:val="ListParagraph"/>
        <w:spacing w:line="360" w:lineRule="auto"/>
        <w:rPr>
          <w:rFonts w:ascii="Arial" w:hAnsi="Arial" w:cs="Arial"/>
          <w:sz w:val="20"/>
          <w:szCs w:val="20"/>
        </w:rPr>
      </w:pPr>
      <w:r w:rsidRPr="00E00FDB">
        <w:rPr>
          <w:rFonts w:ascii="Arial" w:hAnsi="Arial" w:cs="Arial"/>
          <w:sz w:val="20"/>
          <w:szCs w:val="20"/>
        </w:rPr>
        <w:t>G. E. (2018). Knowledge of spacer device, peak flow meter and inhaler technique (MDIs) among health care providers: an evaluation of doctors and nurses. </w:t>
      </w:r>
      <w:r w:rsidRPr="00E00FDB">
        <w:rPr>
          <w:rFonts w:ascii="Arial" w:hAnsi="Arial" w:cs="Arial"/>
          <w:i/>
          <w:iCs/>
          <w:sz w:val="20"/>
          <w:szCs w:val="20"/>
        </w:rPr>
        <w:t>Ghana medical journal</w:t>
      </w:r>
      <w:r w:rsidRPr="00E00FDB">
        <w:rPr>
          <w:rFonts w:ascii="Arial" w:hAnsi="Arial" w:cs="Arial"/>
          <w:sz w:val="20"/>
          <w:szCs w:val="20"/>
        </w:rPr>
        <w:t>, </w:t>
      </w:r>
      <w:r w:rsidRPr="00E00FDB">
        <w:rPr>
          <w:rFonts w:ascii="Arial" w:hAnsi="Arial" w:cs="Arial"/>
          <w:i/>
          <w:iCs/>
          <w:sz w:val="20"/>
          <w:szCs w:val="20"/>
        </w:rPr>
        <w:t>52</w:t>
      </w:r>
      <w:r w:rsidRPr="00E00FDB">
        <w:rPr>
          <w:rFonts w:ascii="Arial" w:hAnsi="Arial" w:cs="Arial"/>
          <w:sz w:val="20"/>
          <w:szCs w:val="20"/>
        </w:rPr>
        <w:t xml:space="preserve">(1), 15–21. </w:t>
      </w:r>
      <w:hyperlink r:id="rId13" w:history="1">
        <w:r w:rsidRPr="00E00FDB">
          <w:rPr>
            <w:rStyle w:val="Hyperlink"/>
            <w:rFonts w:ascii="Arial" w:hAnsi="Arial" w:cs="Arial"/>
            <w:sz w:val="20"/>
            <w:szCs w:val="20"/>
          </w:rPr>
          <w:t>https://doi.org/10.4314/gmj.v52i1.4</w:t>
        </w:r>
      </w:hyperlink>
    </w:p>
    <w:p w14:paraId="04597C2C" w14:textId="77777777" w:rsidR="00E00FDB" w:rsidRPr="00E00FDB" w:rsidRDefault="00E00FDB" w:rsidP="00E00FDB">
      <w:pPr>
        <w:pStyle w:val="ListParagraph"/>
        <w:numPr>
          <w:ilvl w:val="0"/>
          <w:numId w:val="10"/>
        </w:numPr>
        <w:spacing w:line="360" w:lineRule="auto"/>
        <w:rPr>
          <w:rFonts w:ascii="Arial" w:hAnsi="Arial" w:cs="Arial"/>
          <w:sz w:val="20"/>
          <w:szCs w:val="20"/>
        </w:rPr>
      </w:pPr>
      <w:r w:rsidRPr="00E00FDB">
        <w:rPr>
          <w:rFonts w:ascii="Arial" w:hAnsi="Arial" w:cs="Arial"/>
          <w:sz w:val="20"/>
          <w:szCs w:val="20"/>
        </w:rPr>
        <w:t xml:space="preserve">Adeyeye, O. O., </w:t>
      </w:r>
      <w:proofErr w:type="spellStart"/>
      <w:r w:rsidRPr="00E00FDB">
        <w:rPr>
          <w:rFonts w:ascii="Arial" w:hAnsi="Arial" w:cs="Arial"/>
          <w:sz w:val="20"/>
          <w:szCs w:val="20"/>
        </w:rPr>
        <w:t>Kuyinu</w:t>
      </w:r>
      <w:proofErr w:type="spellEnd"/>
      <w:r w:rsidRPr="00E00FDB">
        <w:rPr>
          <w:rFonts w:ascii="Arial" w:hAnsi="Arial" w:cs="Arial"/>
          <w:sz w:val="20"/>
          <w:szCs w:val="20"/>
        </w:rPr>
        <w:t xml:space="preserve">, Y. A., </w:t>
      </w:r>
      <w:proofErr w:type="spellStart"/>
      <w:r w:rsidRPr="00E00FDB">
        <w:rPr>
          <w:rFonts w:ascii="Arial" w:hAnsi="Arial" w:cs="Arial"/>
          <w:sz w:val="20"/>
          <w:szCs w:val="20"/>
        </w:rPr>
        <w:t>Bamisile</w:t>
      </w:r>
      <w:proofErr w:type="spellEnd"/>
      <w:r w:rsidRPr="00E00FDB">
        <w:rPr>
          <w:rFonts w:ascii="Arial" w:hAnsi="Arial" w:cs="Arial"/>
          <w:sz w:val="20"/>
          <w:szCs w:val="20"/>
        </w:rPr>
        <w:t xml:space="preserve">, R. T., </w:t>
      </w:r>
      <w:proofErr w:type="spellStart"/>
      <w:r w:rsidRPr="00E00FDB">
        <w:rPr>
          <w:rFonts w:ascii="Arial" w:hAnsi="Arial" w:cs="Arial"/>
          <w:sz w:val="20"/>
          <w:szCs w:val="20"/>
        </w:rPr>
        <w:t>Oghama</w:t>
      </w:r>
      <w:proofErr w:type="spellEnd"/>
      <w:r w:rsidRPr="00E00FDB">
        <w:rPr>
          <w:rFonts w:ascii="Arial" w:hAnsi="Arial" w:cs="Arial"/>
          <w:sz w:val="20"/>
          <w:szCs w:val="20"/>
        </w:rPr>
        <w:t xml:space="preserve">, C. I. (2015). A preliminary assessment </w:t>
      </w:r>
    </w:p>
    <w:p w14:paraId="77FD4E9E" w14:textId="77777777" w:rsidR="00E00FDB" w:rsidRPr="00E00FDB" w:rsidRDefault="00E00FDB" w:rsidP="00E00FDB">
      <w:pPr>
        <w:pStyle w:val="ListParagraph"/>
        <w:spacing w:line="360" w:lineRule="auto"/>
        <w:rPr>
          <w:rFonts w:ascii="Arial" w:hAnsi="Arial" w:cs="Arial"/>
          <w:sz w:val="20"/>
          <w:szCs w:val="20"/>
        </w:rPr>
      </w:pPr>
      <w:r w:rsidRPr="00E00FDB">
        <w:rPr>
          <w:rFonts w:ascii="Arial" w:hAnsi="Arial" w:cs="Arial"/>
          <w:sz w:val="20"/>
          <w:szCs w:val="20"/>
        </w:rPr>
        <w:t>of nurses’ asthma education needs and the effect of a training programme in an urban tertiary healthcare facility. African Journal of Respiratory Medicine, 10(2).</w:t>
      </w:r>
    </w:p>
    <w:p w14:paraId="4BBDEACD" w14:textId="581A2335" w:rsidR="00E00FDB" w:rsidRPr="00E00FDB" w:rsidRDefault="00E00FDB" w:rsidP="00E00FDB">
      <w:pPr>
        <w:pStyle w:val="ListParagraph"/>
        <w:spacing w:line="360" w:lineRule="auto"/>
        <w:rPr>
          <w:rFonts w:ascii="Arial" w:hAnsi="Arial" w:cs="Arial"/>
          <w:sz w:val="20"/>
          <w:szCs w:val="20"/>
        </w:rPr>
      </w:pPr>
      <w:hyperlink r:id="rId14" w:history="1">
        <w:r w:rsidRPr="00CB0C8D">
          <w:rPr>
            <w:rStyle w:val="Hyperlink"/>
            <w:rFonts w:ascii="Arial" w:hAnsi="Arial" w:cs="Arial"/>
            <w:sz w:val="20"/>
            <w:szCs w:val="20"/>
          </w:rPr>
          <w:t>https://www.africanjournalofrespiratorymedicine.com/articles/AJRM%20March%2015%20.pdf</w:t>
        </w:r>
      </w:hyperlink>
    </w:p>
    <w:p w14:paraId="37158926" w14:textId="77777777" w:rsidR="00E00FDB" w:rsidRPr="00E00FDB" w:rsidRDefault="00E00FDB" w:rsidP="00E00FDB">
      <w:pPr>
        <w:pStyle w:val="ListParagraph"/>
        <w:numPr>
          <w:ilvl w:val="0"/>
          <w:numId w:val="10"/>
        </w:numPr>
        <w:spacing w:line="360" w:lineRule="auto"/>
        <w:rPr>
          <w:rFonts w:ascii="Arial" w:hAnsi="Arial" w:cs="Arial"/>
          <w:sz w:val="20"/>
          <w:szCs w:val="20"/>
        </w:rPr>
      </w:pPr>
      <w:r w:rsidRPr="00E00FDB">
        <w:rPr>
          <w:rFonts w:ascii="Arial" w:hAnsi="Arial" w:cs="Arial"/>
          <w:sz w:val="20"/>
          <w:szCs w:val="20"/>
        </w:rPr>
        <w:t xml:space="preserve">Smith S-LN, Swift H, Tweddle S et al (2024) Peak flow monitoring using digital technology to improve patient self-management and asthma control in primary care: a pilot. Primary Health Care. </w:t>
      </w:r>
      <w:proofErr w:type="spellStart"/>
      <w:r w:rsidRPr="00E00FDB">
        <w:rPr>
          <w:rFonts w:ascii="Arial" w:hAnsi="Arial" w:cs="Arial"/>
          <w:sz w:val="20"/>
          <w:szCs w:val="20"/>
        </w:rPr>
        <w:t>doi</w:t>
      </w:r>
      <w:proofErr w:type="spellEnd"/>
      <w:r w:rsidRPr="00E00FDB">
        <w:rPr>
          <w:rFonts w:ascii="Arial" w:hAnsi="Arial" w:cs="Arial"/>
          <w:sz w:val="20"/>
          <w:szCs w:val="20"/>
        </w:rPr>
        <w:t>: 10.7748/</w:t>
      </w:r>
      <w:proofErr w:type="gramStart"/>
      <w:r w:rsidRPr="00E00FDB">
        <w:rPr>
          <w:rFonts w:ascii="Arial" w:hAnsi="Arial" w:cs="Arial"/>
          <w:sz w:val="20"/>
          <w:szCs w:val="20"/>
        </w:rPr>
        <w:t>phc.2024.e</w:t>
      </w:r>
      <w:proofErr w:type="gramEnd"/>
      <w:r w:rsidRPr="00E00FDB">
        <w:rPr>
          <w:rFonts w:ascii="Arial" w:hAnsi="Arial" w:cs="Arial"/>
          <w:sz w:val="20"/>
          <w:szCs w:val="20"/>
        </w:rPr>
        <w:t>1833</w:t>
      </w:r>
    </w:p>
    <w:p w14:paraId="5937EDA1" w14:textId="77777777" w:rsidR="00E00FDB" w:rsidRPr="00E00FDB" w:rsidRDefault="00E00FDB" w:rsidP="00E00FDB">
      <w:pPr>
        <w:pStyle w:val="ListParagraph"/>
        <w:numPr>
          <w:ilvl w:val="0"/>
          <w:numId w:val="10"/>
        </w:numPr>
        <w:spacing w:line="360" w:lineRule="auto"/>
        <w:rPr>
          <w:rFonts w:ascii="Arial" w:hAnsi="Arial" w:cs="Arial"/>
          <w:sz w:val="20"/>
          <w:szCs w:val="20"/>
        </w:rPr>
      </w:pPr>
      <w:r w:rsidRPr="00E00FDB">
        <w:rPr>
          <w:rFonts w:ascii="Arial" w:hAnsi="Arial" w:cs="Arial"/>
          <w:sz w:val="20"/>
          <w:szCs w:val="20"/>
        </w:rPr>
        <w:lastRenderedPageBreak/>
        <w:t xml:space="preserve">Ghana Thoracic Society (2025). Welcome to the Ghana Thoracic Society. Ghana Thoracic </w:t>
      </w:r>
    </w:p>
    <w:p w14:paraId="3C6AC6FD" w14:textId="77777777" w:rsidR="008F6B20" w:rsidRDefault="00E00FDB" w:rsidP="008F6B20">
      <w:pPr>
        <w:pStyle w:val="ListParagraph"/>
        <w:spacing w:line="360" w:lineRule="auto"/>
        <w:rPr>
          <w:rFonts w:ascii="Arial" w:hAnsi="Arial" w:cs="Arial"/>
          <w:sz w:val="20"/>
          <w:szCs w:val="20"/>
        </w:rPr>
      </w:pPr>
      <w:r w:rsidRPr="00E00FDB">
        <w:rPr>
          <w:rFonts w:ascii="Arial" w:hAnsi="Arial" w:cs="Arial"/>
          <w:sz w:val="20"/>
          <w:szCs w:val="20"/>
        </w:rPr>
        <w:t xml:space="preserve">Society. </w:t>
      </w:r>
      <w:hyperlink r:id="rId15" w:history="1">
        <w:r w:rsidRPr="00E00FDB">
          <w:rPr>
            <w:rStyle w:val="Hyperlink"/>
            <w:rFonts w:ascii="Arial" w:hAnsi="Arial" w:cs="Arial"/>
            <w:sz w:val="20"/>
            <w:szCs w:val="20"/>
          </w:rPr>
          <w:t>https://ghanathoracicsociety.com/</w:t>
        </w:r>
      </w:hyperlink>
      <w:r w:rsidRPr="00E00FDB">
        <w:rPr>
          <w:rFonts w:ascii="Arial" w:hAnsi="Arial" w:cs="Arial"/>
          <w:sz w:val="20"/>
          <w:szCs w:val="20"/>
        </w:rPr>
        <w:t xml:space="preserve"> </w:t>
      </w:r>
    </w:p>
    <w:p w14:paraId="09E1BE9C" w14:textId="61C8095D" w:rsidR="002A02CC" w:rsidRPr="008F6B20" w:rsidRDefault="008D5709" w:rsidP="008F6B20">
      <w:pPr>
        <w:pStyle w:val="ListParagraph"/>
        <w:numPr>
          <w:ilvl w:val="0"/>
          <w:numId w:val="10"/>
        </w:numPr>
        <w:spacing w:line="360" w:lineRule="auto"/>
        <w:rPr>
          <w:rFonts w:ascii="Arial" w:hAnsi="Arial" w:cs="Arial"/>
          <w:sz w:val="20"/>
          <w:szCs w:val="20"/>
        </w:rPr>
      </w:pPr>
      <w:r w:rsidRPr="008F6B20">
        <w:rPr>
          <w:rFonts w:ascii="Arial" w:hAnsi="Arial" w:cs="Arial"/>
          <w:sz w:val="20"/>
          <w:szCs w:val="20"/>
        </w:rPr>
        <w:t xml:space="preserve">Lamb K, Theodore D, Bhutta BS. Spirometry. [Updated 2023 Aug 17]. In: StatPearls [Internet]. </w:t>
      </w:r>
    </w:p>
    <w:p w14:paraId="0095303A" w14:textId="75E2485C" w:rsidR="009314EE" w:rsidRPr="001473D1" w:rsidRDefault="008D5709" w:rsidP="007E29AF">
      <w:pPr>
        <w:spacing w:line="360" w:lineRule="auto"/>
        <w:ind w:left="720"/>
        <w:rPr>
          <w:rFonts w:ascii="Arial" w:hAnsi="Arial" w:cs="Arial"/>
          <w:sz w:val="20"/>
          <w:szCs w:val="20"/>
        </w:rPr>
      </w:pPr>
      <w:r w:rsidRPr="001473D1">
        <w:rPr>
          <w:rFonts w:ascii="Arial" w:hAnsi="Arial" w:cs="Arial"/>
          <w:sz w:val="20"/>
          <w:szCs w:val="20"/>
        </w:rPr>
        <w:t xml:space="preserve">Treasure Island (FL): StatPearls Publishing; 2025 Jan-. Available from: </w:t>
      </w:r>
      <w:hyperlink r:id="rId16" w:history="1">
        <w:r w:rsidR="002A02CC" w:rsidRPr="001473D1">
          <w:rPr>
            <w:rStyle w:val="Hyperlink"/>
            <w:rFonts w:ascii="Arial" w:hAnsi="Arial" w:cs="Arial"/>
            <w:sz w:val="20"/>
            <w:szCs w:val="20"/>
          </w:rPr>
          <w:t>https://www.ncbi.nlm.nih.gov/books/NBK560526/</w:t>
        </w:r>
      </w:hyperlink>
    </w:p>
    <w:sectPr w:rsidR="009314EE" w:rsidRPr="001473D1" w:rsidSect="00113AC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51E2" w14:textId="77777777" w:rsidR="00D328DE" w:rsidRDefault="00D328DE" w:rsidP="0059411F">
      <w:r>
        <w:separator/>
      </w:r>
    </w:p>
  </w:endnote>
  <w:endnote w:type="continuationSeparator" w:id="0">
    <w:p w14:paraId="0C2A84B9" w14:textId="77777777" w:rsidR="00D328DE" w:rsidRDefault="00D328DE" w:rsidP="0059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6D62" w14:textId="77777777" w:rsidR="000C3ABC" w:rsidRDefault="000C3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20975"/>
      <w:docPartObj>
        <w:docPartGallery w:val="Page Numbers (Bottom of Page)"/>
        <w:docPartUnique/>
      </w:docPartObj>
    </w:sdtPr>
    <w:sdtEndPr>
      <w:rPr>
        <w:noProof/>
      </w:rPr>
    </w:sdtEndPr>
    <w:sdtContent>
      <w:p w14:paraId="4A495B01" w14:textId="77777777" w:rsidR="0059411F" w:rsidRDefault="005941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514AB" w14:textId="77777777" w:rsidR="0059411F" w:rsidRDefault="00594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4AC" w14:textId="77777777" w:rsidR="000C3ABC" w:rsidRDefault="000C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0042" w14:textId="77777777" w:rsidR="00D328DE" w:rsidRDefault="00D328DE" w:rsidP="0059411F">
      <w:r>
        <w:separator/>
      </w:r>
    </w:p>
  </w:footnote>
  <w:footnote w:type="continuationSeparator" w:id="0">
    <w:p w14:paraId="5E537DE9" w14:textId="77777777" w:rsidR="00D328DE" w:rsidRDefault="00D328DE" w:rsidP="0059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6A7C" w14:textId="36831BAC" w:rsidR="000C3ABC" w:rsidRDefault="00000000">
    <w:pPr>
      <w:pStyle w:val="Header"/>
    </w:pPr>
    <w:r>
      <w:rPr>
        <w:noProof/>
      </w:rPr>
      <w:pict w14:anchorId="7F8BF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4"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C2C5" w14:textId="36DAD505" w:rsidR="000C3ABC" w:rsidRDefault="00000000">
    <w:pPr>
      <w:pStyle w:val="Header"/>
    </w:pPr>
    <w:r>
      <w:rPr>
        <w:noProof/>
      </w:rPr>
      <w:pict w14:anchorId="52739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5"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C07C" w14:textId="79DBC7F8" w:rsidR="000C3ABC" w:rsidRDefault="00000000">
    <w:pPr>
      <w:pStyle w:val="Header"/>
    </w:pPr>
    <w:r>
      <w:rPr>
        <w:noProof/>
      </w:rPr>
      <w:pict w14:anchorId="671A5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3"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EF5"/>
    <w:multiLevelType w:val="multilevel"/>
    <w:tmpl w:val="432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C4669"/>
    <w:multiLevelType w:val="multilevel"/>
    <w:tmpl w:val="EBEE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078A8"/>
    <w:multiLevelType w:val="multilevel"/>
    <w:tmpl w:val="49DE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87A29"/>
    <w:multiLevelType w:val="multilevel"/>
    <w:tmpl w:val="6D9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C61D7"/>
    <w:multiLevelType w:val="hybridMultilevel"/>
    <w:tmpl w:val="D39249E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115028"/>
    <w:multiLevelType w:val="multilevel"/>
    <w:tmpl w:val="8386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685645"/>
    <w:multiLevelType w:val="multilevel"/>
    <w:tmpl w:val="ABDE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F1CF4"/>
    <w:multiLevelType w:val="hybridMultilevel"/>
    <w:tmpl w:val="E9DA0E5E"/>
    <w:lvl w:ilvl="0" w:tplc="4EBCFCD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9151F"/>
    <w:multiLevelType w:val="multilevel"/>
    <w:tmpl w:val="FADC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812F1"/>
    <w:multiLevelType w:val="multilevel"/>
    <w:tmpl w:val="981A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444191">
    <w:abstractNumId w:val="1"/>
  </w:num>
  <w:num w:numId="2" w16cid:durableId="1792701190">
    <w:abstractNumId w:val="6"/>
  </w:num>
  <w:num w:numId="3" w16cid:durableId="46924997">
    <w:abstractNumId w:val="8"/>
  </w:num>
  <w:num w:numId="4" w16cid:durableId="857701040">
    <w:abstractNumId w:val="9"/>
  </w:num>
  <w:num w:numId="5" w16cid:durableId="714541841">
    <w:abstractNumId w:val="7"/>
  </w:num>
  <w:num w:numId="6" w16cid:durableId="1371800965">
    <w:abstractNumId w:val="3"/>
  </w:num>
  <w:num w:numId="7" w16cid:durableId="1005091131">
    <w:abstractNumId w:val="2"/>
  </w:num>
  <w:num w:numId="8" w16cid:durableId="726757617">
    <w:abstractNumId w:val="0"/>
  </w:num>
  <w:num w:numId="9" w16cid:durableId="711080782">
    <w:abstractNumId w:val="5"/>
  </w:num>
  <w:num w:numId="10" w16cid:durableId="2065517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36"/>
    <w:rsid w:val="000020B0"/>
    <w:rsid w:val="0001183A"/>
    <w:rsid w:val="000118F7"/>
    <w:rsid w:val="00012F86"/>
    <w:rsid w:val="00020A31"/>
    <w:rsid w:val="00021444"/>
    <w:rsid w:val="00024688"/>
    <w:rsid w:val="00045082"/>
    <w:rsid w:val="00047A61"/>
    <w:rsid w:val="000536C1"/>
    <w:rsid w:val="00064B93"/>
    <w:rsid w:val="00081C72"/>
    <w:rsid w:val="000830C7"/>
    <w:rsid w:val="000A0C8F"/>
    <w:rsid w:val="000C26BD"/>
    <w:rsid w:val="000C3ABC"/>
    <w:rsid w:val="000C4BD8"/>
    <w:rsid w:val="000E01B1"/>
    <w:rsid w:val="0010583F"/>
    <w:rsid w:val="0010755E"/>
    <w:rsid w:val="00113AC0"/>
    <w:rsid w:val="001171F3"/>
    <w:rsid w:val="00121166"/>
    <w:rsid w:val="0013241F"/>
    <w:rsid w:val="00132D49"/>
    <w:rsid w:val="00136AAF"/>
    <w:rsid w:val="0014442F"/>
    <w:rsid w:val="001473D1"/>
    <w:rsid w:val="00150136"/>
    <w:rsid w:val="00160AAC"/>
    <w:rsid w:val="0018345D"/>
    <w:rsid w:val="00183DA1"/>
    <w:rsid w:val="00186D68"/>
    <w:rsid w:val="00192F22"/>
    <w:rsid w:val="001A2958"/>
    <w:rsid w:val="001A63EC"/>
    <w:rsid w:val="001A7760"/>
    <w:rsid w:val="001B1218"/>
    <w:rsid w:val="001E41E7"/>
    <w:rsid w:val="001E5A67"/>
    <w:rsid w:val="001F604F"/>
    <w:rsid w:val="00211D6D"/>
    <w:rsid w:val="0025599E"/>
    <w:rsid w:val="00272464"/>
    <w:rsid w:val="002746DD"/>
    <w:rsid w:val="002A02CC"/>
    <w:rsid w:val="002A1BEA"/>
    <w:rsid w:val="002C0BCF"/>
    <w:rsid w:val="002D4A77"/>
    <w:rsid w:val="002D51C1"/>
    <w:rsid w:val="002F1899"/>
    <w:rsid w:val="003100EF"/>
    <w:rsid w:val="003148C3"/>
    <w:rsid w:val="00315C98"/>
    <w:rsid w:val="003360A7"/>
    <w:rsid w:val="003532BF"/>
    <w:rsid w:val="00371721"/>
    <w:rsid w:val="00394666"/>
    <w:rsid w:val="003A3EAF"/>
    <w:rsid w:val="003B4411"/>
    <w:rsid w:val="003B55AA"/>
    <w:rsid w:val="003B59E6"/>
    <w:rsid w:val="003C28A5"/>
    <w:rsid w:val="003C3175"/>
    <w:rsid w:val="003D6B80"/>
    <w:rsid w:val="003F591B"/>
    <w:rsid w:val="00421F01"/>
    <w:rsid w:val="00440F54"/>
    <w:rsid w:val="00441AD8"/>
    <w:rsid w:val="00442136"/>
    <w:rsid w:val="004537BD"/>
    <w:rsid w:val="004579B2"/>
    <w:rsid w:val="00461B5D"/>
    <w:rsid w:val="0046249F"/>
    <w:rsid w:val="0046443F"/>
    <w:rsid w:val="0046755F"/>
    <w:rsid w:val="00472175"/>
    <w:rsid w:val="00474ECF"/>
    <w:rsid w:val="004811E5"/>
    <w:rsid w:val="0048375A"/>
    <w:rsid w:val="00484B7E"/>
    <w:rsid w:val="0049633E"/>
    <w:rsid w:val="00497084"/>
    <w:rsid w:val="004A3771"/>
    <w:rsid w:val="004D170E"/>
    <w:rsid w:val="004D4EC0"/>
    <w:rsid w:val="004D6231"/>
    <w:rsid w:val="004E4E5A"/>
    <w:rsid w:val="004E613D"/>
    <w:rsid w:val="00500109"/>
    <w:rsid w:val="005074B9"/>
    <w:rsid w:val="00513C7B"/>
    <w:rsid w:val="005142D5"/>
    <w:rsid w:val="005169C0"/>
    <w:rsid w:val="00521452"/>
    <w:rsid w:val="00540942"/>
    <w:rsid w:val="00542577"/>
    <w:rsid w:val="00544EBD"/>
    <w:rsid w:val="00547145"/>
    <w:rsid w:val="00547894"/>
    <w:rsid w:val="00552FF4"/>
    <w:rsid w:val="0055366C"/>
    <w:rsid w:val="00561042"/>
    <w:rsid w:val="005843E8"/>
    <w:rsid w:val="00585565"/>
    <w:rsid w:val="0059411F"/>
    <w:rsid w:val="00594FA7"/>
    <w:rsid w:val="005C3186"/>
    <w:rsid w:val="005E3EDE"/>
    <w:rsid w:val="005F6D45"/>
    <w:rsid w:val="00613F3D"/>
    <w:rsid w:val="006158F5"/>
    <w:rsid w:val="00623ECD"/>
    <w:rsid w:val="00625FEC"/>
    <w:rsid w:val="00626C82"/>
    <w:rsid w:val="00640E6D"/>
    <w:rsid w:val="00647A55"/>
    <w:rsid w:val="00660A3A"/>
    <w:rsid w:val="00671024"/>
    <w:rsid w:val="006721DC"/>
    <w:rsid w:val="006816BB"/>
    <w:rsid w:val="00692EE3"/>
    <w:rsid w:val="00694F3B"/>
    <w:rsid w:val="00695AFB"/>
    <w:rsid w:val="006C6336"/>
    <w:rsid w:val="006D5C14"/>
    <w:rsid w:val="006F5C23"/>
    <w:rsid w:val="00721131"/>
    <w:rsid w:val="00723940"/>
    <w:rsid w:val="00743336"/>
    <w:rsid w:val="00753F60"/>
    <w:rsid w:val="00756990"/>
    <w:rsid w:val="00765D28"/>
    <w:rsid w:val="00787DAA"/>
    <w:rsid w:val="00790589"/>
    <w:rsid w:val="007A5F05"/>
    <w:rsid w:val="007B2A5E"/>
    <w:rsid w:val="007B62F3"/>
    <w:rsid w:val="007D1B73"/>
    <w:rsid w:val="007D1E8E"/>
    <w:rsid w:val="007E29AF"/>
    <w:rsid w:val="007F6607"/>
    <w:rsid w:val="00801785"/>
    <w:rsid w:val="0080458A"/>
    <w:rsid w:val="00805CEA"/>
    <w:rsid w:val="008108FB"/>
    <w:rsid w:val="008202A4"/>
    <w:rsid w:val="008205E2"/>
    <w:rsid w:val="00821D20"/>
    <w:rsid w:val="008436D0"/>
    <w:rsid w:val="008448B6"/>
    <w:rsid w:val="008678F3"/>
    <w:rsid w:val="008800E0"/>
    <w:rsid w:val="00880655"/>
    <w:rsid w:val="00882E32"/>
    <w:rsid w:val="008875CD"/>
    <w:rsid w:val="00887A60"/>
    <w:rsid w:val="0089177C"/>
    <w:rsid w:val="008918BF"/>
    <w:rsid w:val="008A7321"/>
    <w:rsid w:val="008D5709"/>
    <w:rsid w:val="008D5D2D"/>
    <w:rsid w:val="008F6B20"/>
    <w:rsid w:val="0090793A"/>
    <w:rsid w:val="00912058"/>
    <w:rsid w:val="009170AB"/>
    <w:rsid w:val="00920DF7"/>
    <w:rsid w:val="00925BB9"/>
    <w:rsid w:val="009314EE"/>
    <w:rsid w:val="00965786"/>
    <w:rsid w:val="00965FFF"/>
    <w:rsid w:val="00972455"/>
    <w:rsid w:val="0099587D"/>
    <w:rsid w:val="00995C0B"/>
    <w:rsid w:val="009A118F"/>
    <w:rsid w:val="009A22D2"/>
    <w:rsid w:val="009A740D"/>
    <w:rsid w:val="009B77D3"/>
    <w:rsid w:val="009C114C"/>
    <w:rsid w:val="009E028B"/>
    <w:rsid w:val="00A01746"/>
    <w:rsid w:val="00A03193"/>
    <w:rsid w:val="00A36AAA"/>
    <w:rsid w:val="00A464DA"/>
    <w:rsid w:val="00A4766B"/>
    <w:rsid w:val="00A53BAA"/>
    <w:rsid w:val="00A663A7"/>
    <w:rsid w:val="00A720E1"/>
    <w:rsid w:val="00A81158"/>
    <w:rsid w:val="00A96A8D"/>
    <w:rsid w:val="00A976CA"/>
    <w:rsid w:val="00A97A2B"/>
    <w:rsid w:val="00AD6F35"/>
    <w:rsid w:val="00AE04E6"/>
    <w:rsid w:val="00AE5201"/>
    <w:rsid w:val="00AF0F17"/>
    <w:rsid w:val="00B024AD"/>
    <w:rsid w:val="00B277F8"/>
    <w:rsid w:val="00B32F80"/>
    <w:rsid w:val="00B35C12"/>
    <w:rsid w:val="00B45C99"/>
    <w:rsid w:val="00B60212"/>
    <w:rsid w:val="00B7245E"/>
    <w:rsid w:val="00B73E9D"/>
    <w:rsid w:val="00B754F0"/>
    <w:rsid w:val="00B757DF"/>
    <w:rsid w:val="00B80B8F"/>
    <w:rsid w:val="00B83EE5"/>
    <w:rsid w:val="00BA3B08"/>
    <w:rsid w:val="00BB754B"/>
    <w:rsid w:val="00BB7986"/>
    <w:rsid w:val="00BC07FC"/>
    <w:rsid w:val="00BC0E39"/>
    <w:rsid w:val="00BC381C"/>
    <w:rsid w:val="00BC5652"/>
    <w:rsid w:val="00BF15D3"/>
    <w:rsid w:val="00C0327F"/>
    <w:rsid w:val="00C20AC2"/>
    <w:rsid w:val="00C34CF5"/>
    <w:rsid w:val="00C41921"/>
    <w:rsid w:val="00C41BD5"/>
    <w:rsid w:val="00C4439A"/>
    <w:rsid w:val="00C52B89"/>
    <w:rsid w:val="00C53DD7"/>
    <w:rsid w:val="00C75066"/>
    <w:rsid w:val="00C756F7"/>
    <w:rsid w:val="00C87681"/>
    <w:rsid w:val="00C925AA"/>
    <w:rsid w:val="00CA29DA"/>
    <w:rsid w:val="00CC1883"/>
    <w:rsid w:val="00CC6FFB"/>
    <w:rsid w:val="00CD3984"/>
    <w:rsid w:val="00CF081A"/>
    <w:rsid w:val="00CF21E5"/>
    <w:rsid w:val="00CF2480"/>
    <w:rsid w:val="00CF4497"/>
    <w:rsid w:val="00CF553E"/>
    <w:rsid w:val="00D04BD3"/>
    <w:rsid w:val="00D072ED"/>
    <w:rsid w:val="00D07B78"/>
    <w:rsid w:val="00D10A35"/>
    <w:rsid w:val="00D12FA6"/>
    <w:rsid w:val="00D16CB2"/>
    <w:rsid w:val="00D328DE"/>
    <w:rsid w:val="00D37989"/>
    <w:rsid w:val="00D55453"/>
    <w:rsid w:val="00D851C9"/>
    <w:rsid w:val="00D928E9"/>
    <w:rsid w:val="00D92FE4"/>
    <w:rsid w:val="00D939FE"/>
    <w:rsid w:val="00D96B63"/>
    <w:rsid w:val="00DA002C"/>
    <w:rsid w:val="00DA10A9"/>
    <w:rsid w:val="00DB332A"/>
    <w:rsid w:val="00DB73AE"/>
    <w:rsid w:val="00DC6E7A"/>
    <w:rsid w:val="00DD1131"/>
    <w:rsid w:val="00E00FDB"/>
    <w:rsid w:val="00E015C6"/>
    <w:rsid w:val="00E125CB"/>
    <w:rsid w:val="00E20836"/>
    <w:rsid w:val="00E20A2A"/>
    <w:rsid w:val="00E21F3A"/>
    <w:rsid w:val="00E26067"/>
    <w:rsid w:val="00E26A6E"/>
    <w:rsid w:val="00E37CD4"/>
    <w:rsid w:val="00E41455"/>
    <w:rsid w:val="00E5594A"/>
    <w:rsid w:val="00E67413"/>
    <w:rsid w:val="00E677FD"/>
    <w:rsid w:val="00E8274C"/>
    <w:rsid w:val="00E9683E"/>
    <w:rsid w:val="00E9747A"/>
    <w:rsid w:val="00EA195A"/>
    <w:rsid w:val="00EA77EB"/>
    <w:rsid w:val="00EB5C86"/>
    <w:rsid w:val="00EC04AA"/>
    <w:rsid w:val="00EC3D5A"/>
    <w:rsid w:val="00EE19F4"/>
    <w:rsid w:val="00EF5F71"/>
    <w:rsid w:val="00EF608E"/>
    <w:rsid w:val="00F00019"/>
    <w:rsid w:val="00F127DA"/>
    <w:rsid w:val="00F138E8"/>
    <w:rsid w:val="00F15D32"/>
    <w:rsid w:val="00F3353A"/>
    <w:rsid w:val="00F51EEC"/>
    <w:rsid w:val="00F60488"/>
    <w:rsid w:val="00F74A0A"/>
    <w:rsid w:val="00F848D3"/>
    <w:rsid w:val="00FA3DD9"/>
    <w:rsid w:val="00FB54A4"/>
    <w:rsid w:val="00FC2442"/>
    <w:rsid w:val="00FD061A"/>
    <w:rsid w:val="00FD6698"/>
    <w:rsid w:val="00FE3AC9"/>
    <w:rsid w:val="00FF4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7FA"/>
  <w15:chartTrackingRefBased/>
  <w15:docId w15:val="{EA552EF1-6483-484E-9975-60A64AD9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D7"/>
    <w:pPr>
      <w:spacing w:after="0" w:line="240" w:lineRule="auto"/>
      <w:contextualSpacing/>
      <w:jc w:val="both"/>
    </w:pPr>
    <w:rPr>
      <w:rFonts w:ascii="Times New Roman" w:hAnsi="Times New Roman"/>
      <w:color w:val="000000" w:themeColor="text1"/>
      <w:sz w:val="24"/>
      <w14:ligatures w14:val="none"/>
    </w:rPr>
  </w:style>
  <w:style w:type="paragraph" w:styleId="Heading1">
    <w:name w:val="heading 1"/>
    <w:basedOn w:val="Normal"/>
    <w:next w:val="Normal"/>
    <w:link w:val="Heading1Char"/>
    <w:autoRedefine/>
    <w:uiPriority w:val="9"/>
    <w:qFormat/>
    <w:rsid w:val="005E3EDE"/>
    <w:pPr>
      <w:keepNext/>
      <w:keepLines/>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5E3EDE"/>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1501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1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01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01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1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1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1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DE"/>
    <w:rPr>
      <w:rFonts w:ascii="Times New Roman" w:eastAsiaTheme="majorEastAsia" w:hAnsi="Times New Roman" w:cstheme="majorBidi"/>
      <w:b/>
      <w:color w:val="000000" w:themeColor="text1"/>
      <w:kern w:val="0"/>
      <w:sz w:val="24"/>
      <w:szCs w:val="40"/>
      <w14:ligatures w14:val="none"/>
    </w:rPr>
  </w:style>
  <w:style w:type="character" w:customStyle="1" w:styleId="Heading2Char">
    <w:name w:val="Heading 2 Char"/>
    <w:basedOn w:val="DefaultParagraphFont"/>
    <w:link w:val="Heading2"/>
    <w:uiPriority w:val="9"/>
    <w:semiHidden/>
    <w:rsid w:val="005E3EDE"/>
    <w:rPr>
      <w:rFonts w:ascii="Times New Roman" w:eastAsiaTheme="majorEastAsia" w:hAnsi="Times New Roman"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semiHidden/>
    <w:rsid w:val="00150136"/>
    <w:rPr>
      <w:rFonts w:eastAsiaTheme="majorEastAsia" w:cstheme="majorBidi"/>
      <w:color w:val="2F5496" w:themeColor="accent1" w:themeShade="BF"/>
      <w:sz w:val="28"/>
      <w:szCs w:val="28"/>
      <w14:ligatures w14:val="none"/>
    </w:rPr>
  </w:style>
  <w:style w:type="character" w:customStyle="1" w:styleId="Heading4Char">
    <w:name w:val="Heading 4 Char"/>
    <w:basedOn w:val="DefaultParagraphFont"/>
    <w:link w:val="Heading4"/>
    <w:uiPriority w:val="9"/>
    <w:semiHidden/>
    <w:rsid w:val="00150136"/>
    <w:rPr>
      <w:rFonts w:eastAsiaTheme="majorEastAsia" w:cstheme="majorBidi"/>
      <w:i/>
      <w:iCs/>
      <w:color w:val="2F5496" w:themeColor="accent1" w:themeShade="BF"/>
      <w:sz w:val="24"/>
      <w14:ligatures w14:val="none"/>
    </w:rPr>
  </w:style>
  <w:style w:type="character" w:customStyle="1" w:styleId="Heading5Char">
    <w:name w:val="Heading 5 Char"/>
    <w:basedOn w:val="DefaultParagraphFont"/>
    <w:link w:val="Heading5"/>
    <w:uiPriority w:val="9"/>
    <w:semiHidden/>
    <w:rsid w:val="00150136"/>
    <w:rPr>
      <w:rFonts w:eastAsiaTheme="majorEastAsia" w:cstheme="majorBidi"/>
      <w:color w:val="2F5496" w:themeColor="accent1" w:themeShade="BF"/>
      <w:sz w:val="24"/>
      <w14:ligatures w14:val="none"/>
    </w:rPr>
  </w:style>
  <w:style w:type="character" w:customStyle="1" w:styleId="Heading6Char">
    <w:name w:val="Heading 6 Char"/>
    <w:basedOn w:val="DefaultParagraphFont"/>
    <w:link w:val="Heading6"/>
    <w:uiPriority w:val="9"/>
    <w:semiHidden/>
    <w:rsid w:val="00150136"/>
    <w:rPr>
      <w:rFonts w:eastAsiaTheme="majorEastAsia" w:cstheme="majorBidi"/>
      <w:i/>
      <w:iCs/>
      <w:color w:val="595959" w:themeColor="text1" w:themeTint="A6"/>
      <w:sz w:val="24"/>
      <w14:ligatures w14:val="none"/>
    </w:rPr>
  </w:style>
  <w:style w:type="character" w:customStyle="1" w:styleId="Heading7Char">
    <w:name w:val="Heading 7 Char"/>
    <w:basedOn w:val="DefaultParagraphFont"/>
    <w:link w:val="Heading7"/>
    <w:uiPriority w:val="9"/>
    <w:semiHidden/>
    <w:rsid w:val="00150136"/>
    <w:rPr>
      <w:rFonts w:eastAsiaTheme="majorEastAsia" w:cstheme="majorBidi"/>
      <w:color w:val="595959" w:themeColor="text1" w:themeTint="A6"/>
      <w:sz w:val="24"/>
      <w14:ligatures w14:val="none"/>
    </w:rPr>
  </w:style>
  <w:style w:type="character" w:customStyle="1" w:styleId="Heading8Char">
    <w:name w:val="Heading 8 Char"/>
    <w:basedOn w:val="DefaultParagraphFont"/>
    <w:link w:val="Heading8"/>
    <w:uiPriority w:val="9"/>
    <w:semiHidden/>
    <w:rsid w:val="00150136"/>
    <w:rPr>
      <w:rFonts w:eastAsiaTheme="majorEastAsia" w:cstheme="majorBidi"/>
      <w:i/>
      <w:iCs/>
      <w:color w:val="272727" w:themeColor="text1" w:themeTint="D8"/>
      <w:sz w:val="24"/>
      <w14:ligatures w14:val="none"/>
    </w:rPr>
  </w:style>
  <w:style w:type="character" w:customStyle="1" w:styleId="Heading9Char">
    <w:name w:val="Heading 9 Char"/>
    <w:basedOn w:val="DefaultParagraphFont"/>
    <w:link w:val="Heading9"/>
    <w:uiPriority w:val="9"/>
    <w:semiHidden/>
    <w:rsid w:val="00150136"/>
    <w:rPr>
      <w:rFonts w:eastAsiaTheme="majorEastAsia" w:cstheme="majorBidi"/>
      <w:color w:val="272727" w:themeColor="text1" w:themeTint="D8"/>
      <w:sz w:val="24"/>
      <w14:ligatures w14:val="none"/>
    </w:rPr>
  </w:style>
  <w:style w:type="paragraph" w:styleId="Title">
    <w:name w:val="Title"/>
    <w:basedOn w:val="Normal"/>
    <w:next w:val="Normal"/>
    <w:link w:val="TitleChar"/>
    <w:uiPriority w:val="10"/>
    <w:qFormat/>
    <w:rsid w:val="00150136"/>
    <w:pPr>
      <w:spacing w:after="80"/>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013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1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136"/>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150136"/>
    <w:pPr>
      <w:spacing w:before="160"/>
      <w:jc w:val="center"/>
    </w:pPr>
    <w:rPr>
      <w:i/>
      <w:iCs/>
      <w:color w:val="404040" w:themeColor="text1" w:themeTint="BF"/>
    </w:rPr>
  </w:style>
  <w:style w:type="character" w:customStyle="1" w:styleId="QuoteChar">
    <w:name w:val="Quote Char"/>
    <w:basedOn w:val="DefaultParagraphFont"/>
    <w:link w:val="Quote"/>
    <w:uiPriority w:val="29"/>
    <w:rsid w:val="00150136"/>
    <w:rPr>
      <w:rFonts w:ascii="Times New Roman" w:hAnsi="Times New Roman"/>
      <w:i/>
      <w:iCs/>
      <w:color w:val="404040" w:themeColor="text1" w:themeTint="BF"/>
      <w:sz w:val="24"/>
      <w14:ligatures w14:val="none"/>
    </w:rPr>
  </w:style>
  <w:style w:type="paragraph" w:styleId="ListParagraph">
    <w:name w:val="List Paragraph"/>
    <w:basedOn w:val="Normal"/>
    <w:uiPriority w:val="34"/>
    <w:qFormat/>
    <w:rsid w:val="00150136"/>
    <w:pPr>
      <w:ind w:left="720"/>
    </w:pPr>
  </w:style>
  <w:style w:type="character" w:styleId="IntenseEmphasis">
    <w:name w:val="Intense Emphasis"/>
    <w:basedOn w:val="DefaultParagraphFont"/>
    <w:uiPriority w:val="21"/>
    <w:qFormat/>
    <w:rsid w:val="00150136"/>
    <w:rPr>
      <w:i/>
      <w:iCs/>
      <w:color w:val="2F5496" w:themeColor="accent1" w:themeShade="BF"/>
    </w:rPr>
  </w:style>
  <w:style w:type="paragraph" w:styleId="IntenseQuote">
    <w:name w:val="Intense Quote"/>
    <w:basedOn w:val="Normal"/>
    <w:next w:val="Normal"/>
    <w:link w:val="IntenseQuoteChar"/>
    <w:uiPriority w:val="30"/>
    <w:qFormat/>
    <w:rsid w:val="00150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136"/>
    <w:rPr>
      <w:rFonts w:ascii="Times New Roman" w:hAnsi="Times New Roman"/>
      <w:i/>
      <w:iCs/>
      <w:color w:val="2F5496" w:themeColor="accent1" w:themeShade="BF"/>
      <w:sz w:val="24"/>
      <w14:ligatures w14:val="none"/>
    </w:rPr>
  </w:style>
  <w:style w:type="character" w:styleId="IntenseReference">
    <w:name w:val="Intense Reference"/>
    <w:basedOn w:val="DefaultParagraphFont"/>
    <w:uiPriority w:val="32"/>
    <w:qFormat/>
    <w:rsid w:val="00150136"/>
    <w:rPr>
      <w:b/>
      <w:bCs/>
      <w:smallCaps/>
      <w:color w:val="2F5496" w:themeColor="accent1" w:themeShade="BF"/>
      <w:spacing w:val="5"/>
    </w:rPr>
  </w:style>
  <w:style w:type="table" w:styleId="TableGrid">
    <w:name w:val="Table Grid"/>
    <w:basedOn w:val="TableNormal"/>
    <w:uiPriority w:val="39"/>
    <w:rsid w:val="00D1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F22"/>
    <w:rPr>
      <w:color w:val="0563C1" w:themeColor="hyperlink"/>
      <w:u w:val="single"/>
    </w:rPr>
  </w:style>
  <w:style w:type="character" w:styleId="UnresolvedMention">
    <w:name w:val="Unresolved Mention"/>
    <w:basedOn w:val="DefaultParagraphFont"/>
    <w:uiPriority w:val="99"/>
    <w:semiHidden/>
    <w:unhideWhenUsed/>
    <w:rsid w:val="00192F22"/>
    <w:rPr>
      <w:color w:val="605E5C"/>
      <w:shd w:val="clear" w:color="auto" w:fill="E1DFDD"/>
    </w:rPr>
  </w:style>
  <w:style w:type="paragraph" w:styleId="Header">
    <w:name w:val="header"/>
    <w:basedOn w:val="Normal"/>
    <w:link w:val="HeaderChar"/>
    <w:uiPriority w:val="99"/>
    <w:unhideWhenUsed/>
    <w:rsid w:val="0059411F"/>
    <w:pPr>
      <w:tabs>
        <w:tab w:val="center" w:pos="4513"/>
        <w:tab w:val="right" w:pos="9026"/>
      </w:tabs>
    </w:pPr>
  </w:style>
  <w:style w:type="character" w:customStyle="1" w:styleId="HeaderChar">
    <w:name w:val="Header Char"/>
    <w:basedOn w:val="DefaultParagraphFont"/>
    <w:link w:val="Header"/>
    <w:uiPriority w:val="99"/>
    <w:rsid w:val="0059411F"/>
    <w:rPr>
      <w:rFonts w:ascii="Times New Roman" w:hAnsi="Times New Roman"/>
      <w:color w:val="000000" w:themeColor="text1"/>
      <w:sz w:val="24"/>
      <w14:ligatures w14:val="none"/>
    </w:rPr>
  </w:style>
  <w:style w:type="paragraph" w:styleId="Footer">
    <w:name w:val="footer"/>
    <w:basedOn w:val="Normal"/>
    <w:link w:val="FooterChar"/>
    <w:uiPriority w:val="99"/>
    <w:unhideWhenUsed/>
    <w:rsid w:val="0059411F"/>
    <w:pPr>
      <w:tabs>
        <w:tab w:val="center" w:pos="4513"/>
        <w:tab w:val="right" w:pos="9026"/>
      </w:tabs>
    </w:pPr>
  </w:style>
  <w:style w:type="character" w:customStyle="1" w:styleId="FooterChar">
    <w:name w:val="Footer Char"/>
    <w:basedOn w:val="DefaultParagraphFont"/>
    <w:link w:val="Footer"/>
    <w:uiPriority w:val="99"/>
    <w:rsid w:val="0059411F"/>
    <w:rPr>
      <w:rFonts w:ascii="Times New Roman" w:hAnsi="Times New Roman"/>
      <w:color w:val="000000" w:themeColor="text1"/>
      <w:sz w:val="24"/>
      <w14:ligatures w14:val="none"/>
    </w:rPr>
  </w:style>
  <w:style w:type="character" w:styleId="FollowedHyperlink">
    <w:name w:val="FollowedHyperlink"/>
    <w:basedOn w:val="DefaultParagraphFont"/>
    <w:uiPriority w:val="99"/>
    <w:semiHidden/>
    <w:unhideWhenUsed/>
    <w:rsid w:val="005843E8"/>
    <w:rPr>
      <w:color w:val="954F72" w:themeColor="followedHyperlink"/>
      <w:u w:val="single"/>
    </w:rPr>
  </w:style>
  <w:style w:type="table" w:styleId="PlainTable2">
    <w:name w:val="Plain Table 2"/>
    <w:basedOn w:val="TableNormal"/>
    <w:uiPriority w:val="42"/>
    <w:rsid w:val="00CC6F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rsid w:val="00474ECF"/>
    <w:pPr>
      <w:spacing w:after="240"/>
      <w:contextualSpacing w:val="0"/>
    </w:pPr>
    <w:rPr>
      <w:rFonts w:ascii="Helvetica" w:eastAsia="Times New Roman" w:hAnsi="Helvetica" w:cs="Times New Roman"/>
      <w:color w:val="auto"/>
      <w:sz w:val="20"/>
      <w:szCs w:val="20"/>
      <w:lang w:val="en-US"/>
    </w:rPr>
  </w:style>
  <w:style w:type="paragraph" w:customStyle="1" w:styleId="AbstHead">
    <w:name w:val="Abst Head"/>
    <w:basedOn w:val="Normal"/>
    <w:rsid w:val="00474ECF"/>
    <w:pPr>
      <w:keepNext/>
      <w:spacing w:after="240"/>
      <w:contextualSpacing w:val="0"/>
      <w:jc w:val="left"/>
    </w:pPr>
    <w:rPr>
      <w:rFonts w:ascii="Helvetica" w:eastAsia="Times New Roman" w:hAnsi="Helvetica" w:cs="Times New Roman"/>
      <w:b/>
      <w:caps/>
      <w:color w:val="auto"/>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clinm.2023.101936" TargetMode="External"/><Relationship Id="rId13" Type="http://schemas.openxmlformats.org/officeDocument/2006/relationships/hyperlink" Target="https://doi.org/10.4314/gmj.v52i1.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S2213-2600(20)30157-0" TargetMode="External"/><Relationship Id="rId12" Type="http://schemas.openxmlformats.org/officeDocument/2006/relationships/hyperlink" Target="https://doi.org/10.4314/bafm.v47i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books/NBK56052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45932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hanathoracicsociety.com/" TargetMode="External"/><Relationship Id="rId23" Type="http://schemas.openxmlformats.org/officeDocument/2006/relationships/fontTable" Target="fontTable.xml"/><Relationship Id="rId10" Type="http://schemas.openxmlformats.org/officeDocument/2006/relationships/hyperlink" Target="https://www.asthmaandlung.org.uk/healthcare-professionals/copd/diagnosing-cop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eclinm.2023.102215" TargetMode="External"/><Relationship Id="rId14" Type="http://schemas.openxmlformats.org/officeDocument/2006/relationships/hyperlink" Target="https://www.africanjournalofrespiratorymedicine.com/articles/AJRM%20March%2015%20.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2025-11-03T02:12:00Z</dcterms:created>
  <dcterms:modified xsi:type="dcterms:W3CDTF">2025-11-03T02:12:00Z</dcterms:modified>
</cp:coreProperties>
</file>