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2A97" w14:textId="77777777" w:rsidR="005800A7" w:rsidRDefault="005800A7" w:rsidP="004279B5">
      <w:pPr>
        <w:jc w:val="right"/>
        <w:rPr>
          <w:rFonts w:asciiTheme="minorBidi" w:hAnsiTheme="minorBidi" w:cstheme="minorBidi"/>
          <w:b/>
          <w:bCs/>
          <w:sz w:val="22"/>
          <w:szCs w:val="22"/>
        </w:rPr>
      </w:pPr>
      <w:bookmarkStart w:id="0" w:name="_Hlk208540705"/>
      <w:r w:rsidRPr="005800A7">
        <w:rPr>
          <w:rFonts w:asciiTheme="minorBidi" w:hAnsiTheme="minorBidi" w:cstheme="minorBidi"/>
          <w:b/>
          <w:bCs/>
          <w:sz w:val="22"/>
          <w:szCs w:val="22"/>
        </w:rPr>
        <w:t xml:space="preserve">Commentary </w:t>
      </w:r>
    </w:p>
    <w:p w14:paraId="2D683B76" w14:textId="77777777" w:rsidR="005800A7" w:rsidRDefault="005800A7" w:rsidP="004279B5">
      <w:pPr>
        <w:jc w:val="right"/>
        <w:rPr>
          <w:rFonts w:asciiTheme="minorBidi" w:hAnsiTheme="minorBidi" w:cstheme="minorBidi"/>
          <w:b/>
          <w:bCs/>
          <w:sz w:val="22"/>
          <w:szCs w:val="22"/>
        </w:rPr>
      </w:pPr>
    </w:p>
    <w:p w14:paraId="4412903F" w14:textId="5F8FDEEE" w:rsidR="003C5C5E" w:rsidRDefault="003C5C5E" w:rsidP="004279B5">
      <w:pPr>
        <w:jc w:val="right"/>
        <w:rPr>
          <w:rFonts w:asciiTheme="minorBidi" w:hAnsiTheme="minorBidi" w:cstheme="minorBidi"/>
          <w:b/>
          <w:bCs/>
          <w:sz w:val="22"/>
          <w:szCs w:val="22"/>
        </w:rPr>
      </w:pPr>
      <w:r w:rsidRPr="004279B5">
        <w:rPr>
          <w:rFonts w:asciiTheme="minorBidi" w:hAnsiTheme="minorBidi" w:cstheme="minorBidi"/>
          <w:b/>
          <w:bCs/>
          <w:sz w:val="22"/>
          <w:szCs w:val="22"/>
        </w:rPr>
        <w:t>From Policy to Pastoralists: Rethinking Iron–Folate Supplementation Strategies in Ghana</w:t>
      </w:r>
    </w:p>
    <w:p w14:paraId="2534E0F2" w14:textId="77777777" w:rsidR="00DE3BFB" w:rsidRPr="004279B5" w:rsidRDefault="00DE3BFB" w:rsidP="004279B5">
      <w:pPr>
        <w:jc w:val="right"/>
        <w:rPr>
          <w:rFonts w:asciiTheme="minorBidi" w:hAnsiTheme="minorBidi" w:cstheme="minorBidi"/>
          <w:b/>
          <w:bCs/>
          <w:sz w:val="22"/>
          <w:szCs w:val="22"/>
        </w:rPr>
      </w:pPr>
    </w:p>
    <w:bookmarkEnd w:id="0"/>
    <w:p w14:paraId="6DF52506" w14:textId="77777777" w:rsidR="008A7613" w:rsidRDefault="008A7613" w:rsidP="004279B5">
      <w:pPr>
        <w:pStyle w:val="Copyright"/>
        <w:spacing w:after="0" w:line="240" w:lineRule="auto"/>
        <w:jc w:val="both"/>
        <w:rPr>
          <w:rFonts w:asciiTheme="minorBidi" w:hAnsiTheme="minorBidi" w:cstheme="minorBidi"/>
          <w:sz w:val="22"/>
          <w:szCs w:val="22"/>
        </w:rPr>
      </w:pPr>
    </w:p>
    <w:p w14:paraId="5A7DE43D" w14:textId="3EFF949D" w:rsidR="004A4BAF" w:rsidRPr="004279B5" w:rsidRDefault="00000000" w:rsidP="004279B5">
      <w:pPr>
        <w:pStyle w:val="Copyright"/>
        <w:spacing w:after="0" w:line="240" w:lineRule="auto"/>
        <w:jc w:val="both"/>
        <w:rPr>
          <w:rFonts w:asciiTheme="minorBidi" w:hAnsiTheme="minorBidi" w:cstheme="minorBidi"/>
          <w:sz w:val="22"/>
          <w:szCs w:val="22"/>
        </w:rPr>
      </w:pPr>
      <w:r>
        <w:rPr>
          <w:rFonts w:asciiTheme="minorBidi" w:hAnsiTheme="minorBidi" w:cstheme="minorBidi"/>
          <w:sz w:val="22"/>
          <w:szCs w:val="22"/>
        </w:rPr>
      </w:r>
      <w:r>
        <w:rPr>
          <w:rFonts w:asciiTheme="minorBidi" w:hAnsiTheme="minorBidi" w:cstheme="minorBidi"/>
          <w:sz w:val="22"/>
          <w:szCs w:val="22"/>
        </w:rPr>
        <w:pict w14:anchorId="0FEC072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A100055" w14:textId="77777777" w:rsidR="004A4BAF" w:rsidRPr="004279B5" w:rsidRDefault="00B01FCD" w:rsidP="004279B5">
      <w:pPr>
        <w:pStyle w:val="Copyright"/>
        <w:spacing w:after="0" w:line="240" w:lineRule="auto"/>
        <w:jc w:val="both"/>
        <w:rPr>
          <w:rFonts w:asciiTheme="minorBidi" w:hAnsiTheme="minorBidi" w:cstheme="minorBidi"/>
          <w:b/>
          <w:bCs/>
          <w:sz w:val="22"/>
          <w:szCs w:val="22"/>
        </w:rPr>
      </w:pPr>
      <w:r w:rsidRPr="004279B5">
        <w:rPr>
          <w:rFonts w:asciiTheme="minorBidi" w:hAnsiTheme="minorBidi" w:cstheme="minorBidi"/>
          <w:b/>
          <w:bCs/>
          <w:sz w:val="22"/>
          <w:szCs w:val="22"/>
        </w:rPr>
        <w:t>ABSTRACT</w:t>
      </w:r>
    </w:p>
    <w:p w14:paraId="76A6E294" w14:textId="025D22E3" w:rsidR="00B01FCD" w:rsidRPr="004279B5" w:rsidRDefault="0066510A" w:rsidP="004279B5">
      <w:pPr>
        <w:pStyle w:val="Copyright"/>
        <w:spacing w:after="0" w:line="240" w:lineRule="auto"/>
        <w:jc w:val="both"/>
        <w:rPr>
          <w:rFonts w:asciiTheme="minorBidi" w:hAnsiTheme="minorBidi" w:cstheme="minorBidi"/>
          <w:b/>
          <w:bCs/>
          <w:sz w:val="22"/>
          <w:szCs w:val="22"/>
        </w:rPr>
      </w:pPr>
      <w:r w:rsidRPr="004279B5">
        <w:rPr>
          <w:rFonts w:asciiTheme="minorBidi" w:hAnsiTheme="minorBidi" w:cstheme="minorBidi"/>
          <w:b/>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279B5" w14:paraId="71141705" w14:textId="77777777" w:rsidTr="003C5C5E">
        <w:tc>
          <w:tcPr>
            <w:tcW w:w="8424" w:type="dxa"/>
            <w:shd w:val="clear" w:color="auto" w:fill="F2F2F2"/>
          </w:tcPr>
          <w:p w14:paraId="27D6A285" w14:textId="77777777" w:rsidR="00B523BF" w:rsidRDefault="00B523BF" w:rsidP="004279B5">
            <w:pPr>
              <w:pStyle w:val="Body"/>
              <w:spacing w:after="0"/>
              <w:rPr>
                <w:rFonts w:asciiTheme="minorBidi" w:eastAsia="Calibri" w:hAnsiTheme="minorBidi" w:cstheme="minorBidi"/>
                <w:b/>
                <w:sz w:val="22"/>
                <w:szCs w:val="22"/>
              </w:rPr>
            </w:pPr>
          </w:p>
          <w:p w14:paraId="482E88A3" w14:textId="4783C274" w:rsidR="003C5C5E" w:rsidRPr="004279B5" w:rsidRDefault="00B523BF" w:rsidP="004279B5">
            <w:pPr>
              <w:pStyle w:val="Body"/>
              <w:spacing w:after="0"/>
              <w:rPr>
                <w:rFonts w:asciiTheme="minorBidi" w:hAnsiTheme="minorBidi" w:cstheme="minorBidi"/>
                <w:sz w:val="22"/>
                <w:szCs w:val="22"/>
              </w:rPr>
            </w:pPr>
            <w:r w:rsidRPr="00E650EA">
              <w:rPr>
                <w:rFonts w:asciiTheme="minorBidi" w:eastAsia="Calibri" w:hAnsiTheme="minorBidi" w:cstheme="minorBidi"/>
                <w:b/>
                <w:sz w:val="22"/>
                <w:szCs w:val="22"/>
                <w:highlight w:val="yellow"/>
              </w:rPr>
              <w:t xml:space="preserve">Background:  </w:t>
            </w:r>
            <w:r w:rsidRPr="00E650EA">
              <w:rPr>
                <w:rFonts w:asciiTheme="minorBidi" w:eastAsia="Calibri" w:hAnsiTheme="minorBidi" w:cstheme="minorBidi"/>
                <w:bCs/>
                <w:sz w:val="22"/>
                <w:szCs w:val="22"/>
                <w:highlight w:val="yellow"/>
              </w:rPr>
              <w:t xml:space="preserve">Iron deficiency </w:t>
            </w:r>
            <w:proofErr w:type="spellStart"/>
            <w:r w:rsidRPr="00E650EA">
              <w:rPr>
                <w:rFonts w:asciiTheme="minorBidi" w:eastAsia="Calibri" w:hAnsiTheme="minorBidi" w:cstheme="minorBidi"/>
                <w:bCs/>
                <w:sz w:val="22"/>
                <w:szCs w:val="22"/>
                <w:highlight w:val="yellow"/>
              </w:rPr>
              <w:t>anaemia</w:t>
            </w:r>
            <w:proofErr w:type="spellEnd"/>
            <w:r w:rsidRPr="00E650EA">
              <w:rPr>
                <w:rFonts w:asciiTheme="minorBidi" w:eastAsia="Calibri" w:hAnsiTheme="minorBidi" w:cstheme="minorBidi"/>
                <w:bCs/>
                <w:sz w:val="22"/>
                <w:szCs w:val="22"/>
                <w:highlight w:val="yellow"/>
              </w:rPr>
              <w:t xml:space="preserve"> remains a pressing global health challenge, disproportionately affecting low- and middle-income countries where poverty, dietary insufficiencies, and health inequities intersect</w:t>
            </w:r>
            <w:r w:rsidRPr="00E650EA">
              <w:rPr>
                <w:rFonts w:asciiTheme="minorBidi" w:eastAsia="Calibri" w:hAnsiTheme="minorBidi" w:cstheme="minorBidi"/>
                <w:bCs/>
                <w:sz w:val="22"/>
                <w:szCs w:val="22"/>
                <w:highlight w:val="yellow"/>
              </w:rPr>
              <w:t>.</w:t>
            </w:r>
            <w:r w:rsidRPr="00B523BF">
              <w:rPr>
                <w:rFonts w:asciiTheme="minorBidi" w:eastAsia="Calibri" w:hAnsiTheme="minorBidi" w:cstheme="minorBidi"/>
                <w:b/>
                <w:sz w:val="22"/>
                <w:szCs w:val="22"/>
              </w:rPr>
              <w:t xml:space="preserve"> </w:t>
            </w:r>
            <w:r w:rsidR="003C5C5E" w:rsidRPr="004279B5">
              <w:rPr>
                <w:rFonts w:asciiTheme="minorBidi" w:hAnsiTheme="minorBidi" w:cstheme="minorBidi"/>
                <w:sz w:val="22"/>
                <w:szCs w:val="22"/>
              </w:rPr>
              <w:t xml:space="preserve">Iron–folate supplementation (IFAS) is critical for reducing maternal </w:t>
            </w:r>
            <w:proofErr w:type="spellStart"/>
            <w:r w:rsidRPr="00E650EA">
              <w:rPr>
                <w:rFonts w:asciiTheme="minorBidi" w:hAnsiTheme="minorBidi" w:cstheme="minorBidi"/>
                <w:sz w:val="22"/>
                <w:szCs w:val="22"/>
                <w:highlight w:val="yellow"/>
              </w:rPr>
              <w:t>anaemia</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and improving pregnancy outcomes. Yet adherence remains a persistent challenge in many low-resource and </w:t>
            </w:r>
            <w:proofErr w:type="spellStart"/>
            <w:r w:rsidRPr="00E650EA">
              <w:rPr>
                <w:rFonts w:asciiTheme="minorBidi" w:hAnsiTheme="minorBidi" w:cstheme="minorBidi"/>
                <w:sz w:val="22"/>
                <w:szCs w:val="22"/>
                <w:highlight w:val="yellow"/>
              </w:rPr>
              <w:t>marginalised</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populations. Recent evidence from Ghana among Fulani pregnant women highlights both progress and persisting barriers: while nearly half accessed supplements, only one-third adhered to the regimen. This commentary situates these findings within broader evidence from Sub-Saharan Africa, identifying cultural, socioeconomic, and logistical determinants of adherence. </w:t>
            </w:r>
          </w:p>
          <w:p w14:paraId="23E77BA5" w14:textId="3396C685" w:rsidR="00E650EA" w:rsidRPr="00E650EA" w:rsidRDefault="00E650EA" w:rsidP="004279B5">
            <w:pPr>
              <w:pStyle w:val="Body"/>
              <w:spacing w:after="0"/>
              <w:rPr>
                <w:rFonts w:asciiTheme="minorBidi" w:eastAsia="Calibri" w:hAnsiTheme="minorBidi" w:cstheme="minorBidi"/>
                <w:b/>
                <w:sz w:val="22"/>
                <w:szCs w:val="22"/>
                <w:highlight w:val="yellow"/>
              </w:rPr>
            </w:pPr>
            <w:r w:rsidRPr="00833D5E">
              <w:rPr>
                <w:rFonts w:asciiTheme="minorBidi" w:eastAsia="Calibri" w:hAnsiTheme="minorBidi" w:cstheme="minorBidi"/>
                <w:b/>
                <w:sz w:val="22"/>
                <w:szCs w:val="22"/>
                <w:highlight w:val="yellow"/>
              </w:rPr>
              <w:t>Aims</w:t>
            </w:r>
            <w:r w:rsidRPr="00833D5E">
              <w:rPr>
                <w:rFonts w:asciiTheme="minorBidi" w:eastAsia="Calibri" w:hAnsiTheme="minorBidi" w:cstheme="minorBidi"/>
                <w:bCs/>
                <w:sz w:val="22"/>
                <w:szCs w:val="22"/>
                <w:highlight w:val="yellow"/>
              </w:rPr>
              <w:t>:</w:t>
            </w:r>
            <w:r w:rsidRPr="00833D5E">
              <w:rPr>
                <w:rFonts w:asciiTheme="minorBidi" w:eastAsia="Calibri" w:hAnsiTheme="minorBidi" w:cstheme="minorBidi"/>
                <w:bCs/>
                <w:sz w:val="22"/>
                <w:szCs w:val="22"/>
                <w:highlight w:val="yellow"/>
              </w:rPr>
              <w:t xml:space="preserve"> This commentary article aims to </w:t>
            </w:r>
            <w:r>
              <w:rPr>
                <w:rFonts w:asciiTheme="minorBidi" w:eastAsia="Calibri" w:hAnsiTheme="minorBidi" w:cstheme="minorBidi"/>
                <w:bCs/>
                <w:sz w:val="22"/>
                <w:szCs w:val="22"/>
                <w:highlight w:val="yellow"/>
              </w:rPr>
              <w:t>rethink iron–folate</w:t>
            </w:r>
            <w:r w:rsidRPr="00833D5E">
              <w:rPr>
                <w:rFonts w:asciiTheme="minorBidi" w:eastAsia="Calibri" w:hAnsiTheme="minorBidi" w:cstheme="minorBidi"/>
                <w:bCs/>
                <w:sz w:val="22"/>
                <w:szCs w:val="22"/>
                <w:highlight w:val="yellow"/>
              </w:rPr>
              <w:t xml:space="preserve"> </w:t>
            </w:r>
            <w:r w:rsidRPr="00833D5E">
              <w:rPr>
                <w:rFonts w:asciiTheme="minorBidi" w:eastAsia="Calibri" w:hAnsiTheme="minorBidi" w:cstheme="minorBidi"/>
                <w:bCs/>
                <w:sz w:val="22"/>
                <w:szCs w:val="22"/>
                <w:highlight w:val="yellow"/>
              </w:rPr>
              <w:t>s</w:t>
            </w:r>
            <w:r w:rsidRPr="00833D5E">
              <w:rPr>
                <w:rFonts w:asciiTheme="minorBidi" w:eastAsia="Calibri" w:hAnsiTheme="minorBidi" w:cstheme="minorBidi"/>
                <w:bCs/>
                <w:sz w:val="22"/>
                <w:szCs w:val="22"/>
                <w:highlight w:val="yellow"/>
              </w:rPr>
              <w:t xml:space="preserve">upplementation </w:t>
            </w:r>
            <w:r w:rsidRPr="00833D5E">
              <w:rPr>
                <w:rFonts w:asciiTheme="minorBidi" w:eastAsia="Calibri" w:hAnsiTheme="minorBidi" w:cstheme="minorBidi"/>
                <w:bCs/>
                <w:sz w:val="22"/>
                <w:szCs w:val="22"/>
                <w:highlight w:val="yellow"/>
              </w:rPr>
              <w:t>s</w:t>
            </w:r>
            <w:r w:rsidRPr="00833D5E">
              <w:rPr>
                <w:rFonts w:asciiTheme="minorBidi" w:eastAsia="Calibri" w:hAnsiTheme="minorBidi" w:cstheme="minorBidi"/>
                <w:bCs/>
                <w:sz w:val="22"/>
                <w:szCs w:val="22"/>
                <w:highlight w:val="yellow"/>
              </w:rPr>
              <w:t xml:space="preserve">trategies in </w:t>
            </w:r>
            <w:r w:rsidRPr="00833D5E">
              <w:rPr>
                <w:rFonts w:asciiTheme="minorBidi" w:eastAsia="Calibri" w:hAnsiTheme="minorBidi" w:cstheme="minorBidi"/>
                <w:bCs/>
                <w:sz w:val="22"/>
                <w:szCs w:val="22"/>
                <w:highlight w:val="yellow"/>
              </w:rPr>
              <w:t>Ghana</w:t>
            </w:r>
            <w:r w:rsidRPr="00833D5E">
              <w:rPr>
                <w:rFonts w:asciiTheme="minorBidi" w:eastAsia="Calibri" w:hAnsiTheme="minorBidi" w:cstheme="minorBidi"/>
                <w:b/>
                <w:sz w:val="22"/>
                <w:szCs w:val="22"/>
                <w:highlight w:val="yellow"/>
              </w:rPr>
              <w:t>.</w:t>
            </w:r>
          </w:p>
          <w:p w14:paraId="7C3E6E7C" w14:textId="77777777" w:rsidR="00E650EA" w:rsidRPr="00E650EA" w:rsidRDefault="00E650EA" w:rsidP="004279B5">
            <w:pPr>
              <w:pStyle w:val="Body"/>
              <w:spacing w:after="0"/>
              <w:rPr>
                <w:rFonts w:asciiTheme="minorBidi" w:eastAsia="Calibri" w:hAnsiTheme="minorBidi" w:cstheme="minorBidi"/>
                <w:b/>
                <w:sz w:val="22"/>
                <w:szCs w:val="22"/>
                <w:highlight w:val="yellow"/>
              </w:rPr>
            </w:pPr>
          </w:p>
          <w:p w14:paraId="5C6C220C" w14:textId="77777777" w:rsidR="00E650EA" w:rsidRDefault="00E650EA" w:rsidP="004279B5">
            <w:pPr>
              <w:pStyle w:val="Body"/>
              <w:spacing w:after="0"/>
              <w:rPr>
                <w:rFonts w:asciiTheme="minorBidi" w:eastAsia="Calibri" w:hAnsiTheme="minorBidi" w:cstheme="minorBidi"/>
                <w:b/>
                <w:sz w:val="22"/>
                <w:szCs w:val="22"/>
                <w:highlight w:val="yellow"/>
              </w:rPr>
            </w:pPr>
          </w:p>
          <w:p w14:paraId="7595F8E8" w14:textId="02218EB3" w:rsidR="00BA1B01" w:rsidRPr="004279B5" w:rsidRDefault="00B523BF" w:rsidP="004279B5">
            <w:pPr>
              <w:pStyle w:val="Body"/>
              <w:spacing w:after="0"/>
              <w:rPr>
                <w:rFonts w:asciiTheme="minorBidi" w:eastAsia="Calibri" w:hAnsiTheme="minorBidi" w:cstheme="minorBidi"/>
                <w:sz w:val="22"/>
                <w:szCs w:val="22"/>
              </w:rPr>
            </w:pPr>
            <w:r w:rsidRPr="00E650EA">
              <w:rPr>
                <w:rFonts w:asciiTheme="minorBidi" w:eastAsia="Calibri" w:hAnsiTheme="minorBidi" w:cstheme="minorBidi"/>
                <w:b/>
                <w:sz w:val="22"/>
                <w:szCs w:val="22"/>
                <w:highlight w:val="yellow"/>
              </w:rPr>
              <w:t>Methodology:</w:t>
            </w:r>
            <w:r w:rsidRPr="00B523BF">
              <w:rPr>
                <w:rFonts w:asciiTheme="minorBidi" w:eastAsia="Calibri" w:hAnsiTheme="minorBidi" w:cstheme="minorBidi"/>
                <w:b/>
                <w:sz w:val="22"/>
                <w:szCs w:val="22"/>
              </w:rPr>
              <w:t xml:space="preserve"> </w:t>
            </w:r>
            <w:r w:rsidR="00BA1B01" w:rsidRPr="004279B5">
              <w:rPr>
                <w:rFonts w:asciiTheme="minorBidi" w:eastAsia="Calibri" w:hAnsiTheme="minorBidi" w:cstheme="minorBidi"/>
                <w:sz w:val="22"/>
                <w:szCs w:val="22"/>
              </w:rPr>
              <w:t xml:space="preserve"> </w:t>
            </w:r>
            <w:r w:rsidR="003C5C5E" w:rsidRPr="004279B5">
              <w:rPr>
                <w:rFonts w:asciiTheme="minorBidi" w:eastAsia="Calibri" w:hAnsiTheme="minorBidi" w:cstheme="minorBidi"/>
                <w:sz w:val="22"/>
                <w:szCs w:val="22"/>
              </w:rPr>
              <w:t>The published paper was among Fulani pregnant women in Ghana in 2022.</w:t>
            </w:r>
          </w:p>
          <w:p w14:paraId="157AD392" w14:textId="31711BE9" w:rsidR="00BA1B01" w:rsidRPr="004279B5" w:rsidRDefault="003C5C5E"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sz w:val="22"/>
                <w:szCs w:val="22"/>
              </w:rPr>
              <w:t>We isolated the results from a published article and compared it with similar articles to draw policy directions and inform context-sensitive interventions.</w:t>
            </w:r>
          </w:p>
          <w:p w14:paraId="7D107613" w14:textId="05D9A111" w:rsidR="003C5C5E" w:rsidRPr="004279B5" w:rsidRDefault="00BA1B01" w:rsidP="004279B5">
            <w:pPr>
              <w:pStyle w:val="Body"/>
              <w:spacing w:after="0"/>
              <w:rPr>
                <w:rFonts w:asciiTheme="minorBidi" w:hAnsiTheme="minorBidi" w:cstheme="minorBidi"/>
                <w:sz w:val="22"/>
                <w:szCs w:val="22"/>
              </w:rPr>
            </w:pPr>
            <w:r w:rsidRPr="004279B5">
              <w:rPr>
                <w:rFonts w:asciiTheme="minorBidi" w:eastAsia="Calibri" w:hAnsiTheme="minorBidi" w:cstheme="minorBidi"/>
                <w:b/>
                <w:bCs/>
                <w:sz w:val="22"/>
                <w:szCs w:val="22"/>
              </w:rPr>
              <w:t>Results:</w:t>
            </w:r>
            <w:r w:rsidRPr="004279B5">
              <w:rPr>
                <w:rFonts w:asciiTheme="minorBidi" w:eastAsia="Calibri" w:hAnsiTheme="minorBidi" w:cstheme="minorBidi"/>
                <w:sz w:val="22"/>
                <w:szCs w:val="22"/>
              </w:rPr>
              <w:t xml:space="preserve"> </w:t>
            </w:r>
            <w:r w:rsidR="003C5C5E" w:rsidRPr="004279B5">
              <w:rPr>
                <w:rFonts w:asciiTheme="minorBidi" w:hAnsiTheme="minorBidi" w:cstheme="minorBidi"/>
                <w:sz w:val="22"/>
                <w:szCs w:val="22"/>
              </w:rPr>
              <w:t xml:space="preserve">We argue that without tailored, </w:t>
            </w:r>
            <w:r w:rsidR="00B523BF" w:rsidRPr="00E650EA">
              <w:rPr>
                <w:rFonts w:asciiTheme="minorBidi" w:hAnsiTheme="minorBidi" w:cstheme="minorBidi"/>
                <w:sz w:val="22"/>
                <w:szCs w:val="22"/>
                <w:highlight w:val="yellow"/>
              </w:rPr>
              <w:t>community-</w:t>
            </w:r>
            <w:proofErr w:type="spellStart"/>
            <w:r w:rsidR="00B523BF" w:rsidRPr="00E650EA">
              <w:rPr>
                <w:rFonts w:asciiTheme="minorBidi" w:hAnsiTheme="minorBidi" w:cstheme="minorBidi"/>
                <w:sz w:val="22"/>
                <w:szCs w:val="22"/>
                <w:highlight w:val="yellow"/>
              </w:rPr>
              <w:t>centred</w:t>
            </w:r>
            <w:proofErr w:type="spellEnd"/>
            <w:r w:rsidR="003C5C5E" w:rsidRPr="004279B5">
              <w:rPr>
                <w:rFonts w:asciiTheme="minorBidi" w:hAnsiTheme="minorBidi" w:cstheme="minorBidi"/>
                <w:sz w:val="22"/>
                <w:szCs w:val="22"/>
              </w:rPr>
              <w:t xml:space="preserve"> approaches including spousal engagement, culturally sensitive education, reminder systems, and strengthened supply chains, current strategies risk excluding pastoral and nomadic women from essential maternal health interventions.</w:t>
            </w:r>
          </w:p>
          <w:p w14:paraId="294D43E1" w14:textId="603783E2" w:rsidR="003C5C5E"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bCs/>
                <w:sz w:val="22"/>
                <w:szCs w:val="22"/>
              </w:rPr>
              <w:t>Conclusion:</w:t>
            </w:r>
            <w:r w:rsidRPr="004279B5">
              <w:rPr>
                <w:rFonts w:asciiTheme="minorBidi" w:eastAsia="Calibri" w:hAnsiTheme="minorBidi" w:cstheme="minorBidi"/>
                <w:sz w:val="22"/>
                <w:szCs w:val="22"/>
              </w:rPr>
              <w:t xml:space="preserve"> </w:t>
            </w:r>
            <w:r w:rsidR="003C5C5E" w:rsidRPr="004279B5">
              <w:rPr>
                <w:rFonts w:asciiTheme="minorBidi" w:hAnsiTheme="minorBidi" w:cstheme="minorBidi"/>
                <w:sz w:val="22"/>
                <w:szCs w:val="22"/>
              </w:rPr>
              <w:t xml:space="preserve">Addressing these inequities is central to achieving the Sustainable Development Goal (SDG) commitment of “leaving no one </w:t>
            </w:r>
            <w:proofErr w:type="spellStart"/>
            <w:r w:rsidR="003C5C5E" w:rsidRPr="004279B5">
              <w:rPr>
                <w:rFonts w:asciiTheme="minorBidi" w:hAnsiTheme="minorBidi" w:cstheme="minorBidi"/>
                <w:sz w:val="22"/>
                <w:szCs w:val="22"/>
              </w:rPr>
              <w:t>behind</w:t>
            </w:r>
            <w:proofErr w:type="gramStart"/>
            <w:r w:rsidR="003C5C5E" w:rsidRPr="004279B5">
              <w:rPr>
                <w:rFonts w:asciiTheme="minorBidi" w:hAnsiTheme="minorBidi" w:cstheme="minorBidi"/>
                <w:sz w:val="22"/>
                <w:szCs w:val="22"/>
              </w:rPr>
              <w:t>.”</w:t>
            </w:r>
            <w:r w:rsidR="00B523BF" w:rsidRPr="00E650EA">
              <w:rPr>
                <w:rFonts w:asciiTheme="minorBidi" w:hAnsiTheme="minorBidi" w:cstheme="minorBidi"/>
                <w:sz w:val="22"/>
                <w:szCs w:val="22"/>
                <w:highlight w:val="yellow"/>
              </w:rPr>
              <w:t>The</w:t>
            </w:r>
            <w:proofErr w:type="spellEnd"/>
            <w:proofErr w:type="gramEnd"/>
            <w:r w:rsidR="00B523BF" w:rsidRPr="00E650EA">
              <w:rPr>
                <w:rFonts w:asciiTheme="minorBidi" w:hAnsiTheme="minorBidi" w:cstheme="minorBidi"/>
                <w:sz w:val="22"/>
                <w:szCs w:val="22"/>
                <w:highlight w:val="yellow"/>
              </w:rPr>
              <w:t xml:space="preserve"> Fulani study provides a critical lens on maternal health inequities in Ghana. It reveals that adherence to IFAS is not merely a question of individual compliance but a reflection of systemic, cultural, and socioeconomic barriers.</w:t>
            </w:r>
            <w:r w:rsidR="00B523BF" w:rsidRPr="00B523BF">
              <w:rPr>
                <w:rFonts w:asciiTheme="minorBidi" w:hAnsiTheme="minorBidi" w:cstheme="minorBidi"/>
                <w:sz w:val="22"/>
                <w:szCs w:val="22"/>
              </w:rPr>
              <w:t xml:space="preserve"> </w:t>
            </w:r>
          </w:p>
          <w:p w14:paraId="3F8F21E5" w14:textId="25C85E8A" w:rsidR="003C5C5E" w:rsidRPr="004279B5" w:rsidRDefault="003C5C5E" w:rsidP="004279B5">
            <w:pPr>
              <w:pStyle w:val="Body"/>
              <w:spacing w:after="0"/>
              <w:rPr>
                <w:rFonts w:asciiTheme="minorBidi" w:eastAsia="Calibri" w:hAnsiTheme="minorBidi" w:cstheme="minorBidi"/>
                <w:sz w:val="22"/>
                <w:szCs w:val="22"/>
              </w:rPr>
            </w:pPr>
          </w:p>
        </w:tc>
      </w:tr>
    </w:tbl>
    <w:p w14:paraId="3DBDFE0D" w14:textId="3542FE1C" w:rsidR="00A24E7E" w:rsidRPr="004279B5" w:rsidRDefault="00A24E7E" w:rsidP="004279B5">
      <w:pPr>
        <w:jc w:val="both"/>
        <w:rPr>
          <w:rFonts w:asciiTheme="minorBidi" w:hAnsiTheme="minorBidi" w:cstheme="minorBidi"/>
          <w:b/>
          <w:bCs/>
          <w:sz w:val="22"/>
          <w:szCs w:val="22"/>
        </w:rPr>
      </w:pPr>
      <w:r w:rsidRPr="004279B5">
        <w:rPr>
          <w:rFonts w:asciiTheme="minorBidi" w:hAnsiTheme="minorBidi" w:cstheme="minorBidi"/>
          <w:i/>
          <w:sz w:val="22"/>
          <w:szCs w:val="22"/>
        </w:rPr>
        <w:t>Keywords</w:t>
      </w:r>
      <w:r w:rsidR="003C5C5E" w:rsidRPr="004279B5">
        <w:rPr>
          <w:rFonts w:asciiTheme="minorBidi" w:hAnsiTheme="minorBidi" w:cstheme="minorBidi"/>
          <w:i/>
          <w:sz w:val="22"/>
          <w:szCs w:val="22"/>
        </w:rPr>
        <w:t xml:space="preserve">: </w:t>
      </w:r>
      <w:r w:rsidR="003C5C5E" w:rsidRPr="004279B5">
        <w:rPr>
          <w:rFonts w:asciiTheme="minorBidi" w:hAnsiTheme="minorBidi" w:cstheme="minorBidi"/>
          <w:sz w:val="22"/>
          <w:szCs w:val="22"/>
        </w:rPr>
        <w:t>Iron–Folate Supplementation, Fulani, Pregnancy, Ghana, Maternal Health, Public Health Policy</w:t>
      </w:r>
    </w:p>
    <w:p w14:paraId="50FBAD81" w14:textId="77777777" w:rsidR="00505F06" w:rsidRPr="004279B5" w:rsidRDefault="00505F06" w:rsidP="004279B5">
      <w:pPr>
        <w:pStyle w:val="Body"/>
        <w:spacing w:after="0"/>
        <w:rPr>
          <w:rFonts w:asciiTheme="minorBidi" w:hAnsiTheme="minorBidi" w:cstheme="minorBidi"/>
          <w:i/>
          <w:sz w:val="22"/>
          <w:szCs w:val="22"/>
        </w:rPr>
      </w:pPr>
    </w:p>
    <w:p w14:paraId="623BFD96" w14:textId="73247367" w:rsidR="007F7B32" w:rsidRPr="004279B5" w:rsidRDefault="00902823" w:rsidP="004279B5">
      <w:pPr>
        <w:pStyle w:val="AbstHead"/>
        <w:spacing w:after="0"/>
        <w:jc w:val="both"/>
        <w:rPr>
          <w:rFonts w:asciiTheme="minorBidi" w:hAnsiTheme="minorBidi" w:cstheme="minorBidi"/>
          <w:szCs w:val="22"/>
        </w:rPr>
      </w:pPr>
      <w:r w:rsidRPr="004279B5">
        <w:rPr>
          <w:rFonts w:asciiTheme="minorBidi" w:hAnsiTheme="minorBidi" w:cstheme="minorBidi"/>
          <w:szCs w:val="22"/>
        </w:rPr>
        <w:t xml:space="preserve">1. </w:t>
      </w:r>
      <w:r w:rsidR="00B01FCD" w:rsidRPr="004279B5">
        <w:rPr>
          <w:rFonts w:asciiTheme="minorBidi" w:hAnsiTheme="minorBidi" w:cstheme="minorBidi"/>
          <w:szCs w:val="22"/>
        </w:rPr>
        <w:t>INTRODUCTION</w:t>
      </w:r>
      <w:r w:rsidR="007F7B32" w:rsidRPr="004279B5">
        <w:rPr>
          <w:rFonts w:asciiTheme="minorBidi" w:hAnsiTheme="minorBidi" w:cstheme="minorBidi"/>
          <w:szCs w:val="22"/>
        </w:rPr>
        <w:t xml:space="preserve"> </w:t>
      </w:r>
    </w:p>
    <w:p w14:paraId="327C4786" w14:textId="77777777" w:rsidR="00790ADA" w:rsidRPr="004279B5" w:rsidRDefault="00790ADA" w:rsidP="004279B5">
      <w:pPr>
        <w:pStyle w:val="AbstHead"/>
        <w:spacing w:after="0"/>
        <w:jc w:val="both"/>
        <w:rPr>
          <w:rFonts w:asciiTheme="minorBidi" w:hAnsiTheme="minorBidi" w:cstheme="minorBidi"/>
          <w:szCs w:val="22"/>
        </w:rPr>
      </w:pPr>
    </w:p>
    <w:p w14:paraId="20E3B111" w14:textId="13AC9C87" w:rsidR="003C5C5E" w:rsidRPr="004279B5" w:rsidRDefault="00B523BF" w:rsidP="004279B5">
      <w:pPr>
        <w:jc w:val="both"/>
        <w:rPr>
          <w:rFonts w:asciiTheme="minorBidi" w:hAnsiTheme="minorBidi" w:cstheme="minorBidi"/>
          <w:sz w:val="22"/>
          <w:szCs w:val="22"/>
        </w:rPr>
      </w:pPr>
      <w:proofErr w:type="spellStart"/>
      <w:r w:rsidRPr="00E650EA">
        <w:rPr>
          <w:rFonts w:asciiTheme="minorBidi" w:hAnsiTheme="minorBidi" w:cstheme="minorBidi"/>
          <w:sz w:val="22"/>
          <w:szCs w:val="22"/>
          <w:highlight w:val="yellow"/>
        </w:rPr>
        <w:t>Anaemia</w:t>
      </w:r>
      <w:proofErr w:type="spellEnd"/>
      <w:r w:rsidRPr="00E650EA">
        <w:rPr>
          <w:rFonts w:asciiTheme="minorBidi" w:hAnsiTheme="minorBidi" w:cstheme="minorBidi"/>
          <w:sz w:val="22"/>
          <w:szCs w:val="22"/>
          <w:highlight w:val="yellow"/>
        </w:rPr>
        <w:t xml:space="preserve"> </w:t>
      </w:r>
      <w:r w:rsidRPr="00E650EA">
        <w:rPr>
          <w:rFonts w:asciiTheme="minorBidi" w:hAnsiTheme="minorBidi" w:cstheme="minorBidi"/>
          <w:sz w:val="22"/>
          <w:szCs w:val="22"/>
          <w:highlight w:val="yellow"/>
        </w:rPr>
        <w:t xml:space="preserve">is a condition in which the </w:t>
      </w:r>
      <w:proofErr w:type="spellStart"/>
      <w:r w:rsidRPr="00E650EA">
        <w:rPr>
          <w:rFonts w:asciiTheme="minorBidi" w:hAnsiTheme="minorBidi" w:cstheme="minorBidi"/>
          <w:sz w:val="22"/>
          <w:szCs w:val="22"/>
          <w:highlight w:val="yellow"/>
        </w:rPr>
        <w:t>haemoglobin</w:t>
      </w:r>
      <w:proofErr w:type="spellEnd"/>
      <w:r w:rsidRPr="00E650EA">
        <w:rPr>
          <w:rFonts w:asciiTheme="minorBidi" w:hAnsiTheme="minorBidi" w:cstheme="minorBidi"/>
          <w:sz w:val="22"/>
          <w:szCs w:val="22"/>
          <w:highlight w:val="yellow"/>
        </w:rPr>
        <w:t xml:space="preserve"> (Hb) concentration of the blood is lower than normal for a person's age, gender, and</w:t>
      </w:r>
      <w:r w:rsidRPr="00E650EA">
        <w:rPr>
          <w:rFonts w:asciiTheme="minorBidi" w:hAnsiTheme="minorBidi" w:cstheme="minorBidi"/>
          <w:sz w:val="22"/>
          <w:szCs w:val="22"/>
          <w:highlight w:val="yellow"/>
        </w:rPr>
        <w:t xml:space="preserve"> </w:t>
      </w:r>
      <w:r w:rsidRPr="00E650EA">
        <w:rPr>
          <w:rFonts w:asciiTheme="minorBidi" w:hAnsiTheme="minorBidi" w:cstheme="minorBidi"/>
          <w:sz w:val="22"/>
          <w:szCs w:val="22"/>
          <w:highlight w:val="yellow"/>
        </w:rPr>
        <w:t>environment,</w:t>
      </w:r>
      <w:r w:rsidRPr="00E650EA">
        <w:rPr>
          <w:rFonts w:asciiTheme="minorBidi" w:hAnsiTheme="minorBidi" w:cstheme="minorBidi"/>
          <w:sz w:val="22"/>
          <w:szCs w:val="22"/>
          <w:highlight w:val="yellow"/>
        </w:rPr>
        <w:t xml:space="preserve"> </w:t>
      </w:r>
      <w:r w:rsidRPr="00E650EA">
        <w:rPr>
          <w:rFonts w:asciiTheme="minorBidi" w:hAnsiTheme="minorBidi" w:cstheme="minorBidi"/>
          <w:sz w:val="22"/>
          <w:szCs w:val="22"/>
          <w:highlight w:val="yellow"/>
        </w:rPr>
        <w:t xml:space="preserve">resulting in a </w:t>
      </w:r>
      <w:r w:rsidRPr="00E650EA">
        <w:rPr>
          <w:rFonts w:asciiTheme="minorBidi" w:hAnsiTheme="minorBidi" w:cstheme="minorBidi"/>
          <w:sz w:val="22"/>
          <w:szCs w:val="22"/>
          <w:highlight w:val="yellow"/>
        </w:rPr>
        <w:t>decrease in</w:t>
      </w:r>
      <w:r w:rsidRPr="00E650EA">
        <w:rPr>
          <w:rFonts w:asciiTheme="minorBidi" w:hAnsiTheme="minorBidi" w:cstheme="minorBidi"/>
          <w:sz w:val="22"/>
          <w:szCs w:val="22"/>
          <w:highlight w:val="yellow"/>
        </w:rPr>
        <w:t xml:space="preserve"> the </w:t>
      </w:r>
      <w:r w:rsidRPr="00E650EA">
        <w:rPr>
          <w:rFonts w:asciiTheme="minorBidi" w:hAnsiTheme="minorBidi" w:cstheme="minorBidi"/>
          <w:sz w:val="22"/>
          <w:szCs w:val="22"/>
          <w:highlight w:val="yellow"/>
        </w:rPr>
        <w:t>oxygen-carrying</w:t>
      </w:r>
      <w:r w:rsidRPr="00E650EA">
        <w:rPr>
          <w:rFonts w:asciiTheme="minorBidi" w:hAnsiTheme="minorBidi" w:cstheme="minorBidi"/>
          <w:sz w:val="22"/>
          <w:szCs w:val="22"/>
          <w:highlight w:val="yellow"/>
        </w:rPr>
        <w:t xml:space="preserve"> capacity of the blood</w:t>
      </w:r>
      <w:r>
        <w:rPr>
          <w:rFonts w:asciiTheme="minorBidi" w:hAnsiTheme="minorBidi" w:cstheme="minorBidi"/>
          <w:sz w:val="22"/>
          <w:szCs w:val="22"/>
          <w:highlight w:val="yellow"/>
        </w:rPr>
        <w:t xml:space="preserve"> </w:t>
      </w:r>
      <w:r w:rsidRPr="00E650EA">
        <w:rPr>
          <w:rFonts w:asciiTheme="minorBidi" w:hAnsiTheme="minorBidi" w:cstheme="minorBidi"/>
          <w:sz w:val="22"/>
          <w:szCs w:val="22"/>
          <w:highlight w:val="yellow"/>
        </w:rPr>
        <w:t>(Tiwari &amp; Linson, 2021)</w:t>
      </w:r>
      <w:r w:rsidRPr="00E650EA">
        <w:rPr>
          <w:rFonts w:asciiTheme="minorBidi" w:hAnsiTheme="minorBidi" w:cstheme="minorBidi"/>
          <w:sz w:val="22"/>
          <w:szCs w:val="22"/>
          <w:highlight w:val="yellow"/>
        </w:rPr>
        <w:t>.</w:t>
      </w:r>
      <w:r>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Iron deficiency </w:t>
      </w:r>
      <w:proofErr w:type="spellStart"/>
      <w:r w:rsidRPr="00E650EA">
        <w:rPr>
          <w:rFonts w:asciiTheme="minorBidi" w:hAnsiTheme="minorBidi" w:cstheme="minorBidi"/>
          <w:sz w:val="22"/>
          <w:szCs w:val="22"/>
          <w:highlight w:val="yellow"/>
        </w:rPr>
        <w:t>anaemia</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remains a pressing global health challenge, disproportionately affecting low- and middle-income countries where poverty, dietary insufficiencies, </w:t>
      </w:r>
      <w:r w:rsidR="003C5C5E" w:rsidRPr="004279B5">
        <w:rPr>
          <w:rFonts w:asciiTheme="minorBidi" w:hAnsiTheme="minorBidi" w:cstheme="minorBidi"/>
          <w:sz w:val="22"/>
          <w:szCs w:val="22"/>
        </w:rPr>
        <w:lastRenderedPageBreak/>
        <w:t xml:space="preserve">and health inequities intersect [1,2]. In Ghana, adherence to iron–folate supplementation during pregnancy hovers around 59.4% [3], yet </w:t>
      </w:r>
      <w:proofErr w:type="spellStart"/>
      <w:r w:rsidRPr="00E650EA">
        <w:rPr>
          <w:rFonts w:asciiTheme="minorBidi" w:hAnsiTheme="minorBidi" w:cstheme="minorBidi"/>
          <w:sz w:val="22"/>
          <w:szCs w:val="22"/>
          <w:highlight w:val="yellow"/>
        </w:rPr>
        <w:t>marginalised</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groups such as the Fulani (semi-nomadic pastoralists) face unique barriers. A recent study by Salifu and colleagues [4] provides rare insight into these dynamics, underscoring the urgency of rethinking public health strategies in underserved populations.</w:t>
      </w:r>
    </w:p>
    <w:p w14:paraId="2701FE47" w14:textId="77777777" w:rsidR="00790ADA" w:rsidRPr="004279B5" w:rsidRDefault="00790ADA" w:rsidP="004279B5">
      <w:pPr>
        <w:pStyle w:val="Body"/>
        <w:spacing w:after="0"/>
        <w:rPr>
          <w:rFonts w:asciiTheme="minorBidi" w:hAnsiTheme="minorBidi" w:cstheme="minorBidi"/>
          <w:sz w:val="22"/>
          <w:szCs w:val="22"/>
        </w:rPr>
      </w:pPr>
    </w:p>
    <w:p w14:paraId="7F5C3FF0" w14:textId="48576BC5" w:rsidR="004279B5" w:rsidRPr="004279B5" w:rsidRDefault="004279B5" w:rsidP="004279B5">
      <w:pPr>
        <w:jc w:val="both"/>
        <w:rPr>
          <w:rFonts w:asciiTheme="minorBidi" w:hAnsiTheme="minorBidi" w:cstheme="minorBidi"/>
          <w:sz w:val="22"/>
          <w:szCs w:val="22"/>
        </w:rPr>
      </w:pPr>
      <w:r>
        <w:rPr>
          <w:rFonts w:asciiTheme="minorBidi" w:hAnsiTheme="minorBidi" w:cstheme="minorBidi"/>
          <w:b/>
          <w:bCs/>
          <w:sz w:val="22"/>
          <w:szCs w:val="22"/>
        </w:rPr>
        <w:t xml:space="preserve">2. </w:t>
      </w:r>
      <w:r w:rsidRPr="004279B5">
        <w:rPr>
          <w:rFonts w:asciiTheme="minorBidi" w:hAnsiTheme="minorBidi" w:cstheme="minorBidi"/>
          <w:b/>
          <w:bCs/>
          <w:sz w:val="22"/>
          <w:szCs w:val="22"/>
        </w:rPr>
        <w:t>CRITICAL INSIGHTS FROM THE GHANAIAN FULANI STUDY</w:t>
      </w:r>
    </w:p>
    <w:p w14:paraId="441174C0" w14:textId="1F8DCCF2"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 xml:space="preserve">The findings are sobering, in that only 35.5% of Fulani pregnant women adhered to IFAS despite 47.7% accessing supplements [4]. </w:t>
      </w:r>
      <w:r w:rsidR="00B523BF" w:rsidRPr="00E650EA">
        <w:rPr>
          <w:rFonts w:ascii="Arial" w:hAnsi="Arial" w:cs="Arial"/>
          <w:sz w:val="19"/>
          <w:szCs w:val="19"/>
          <w:highlight w:val="yellow"/>
          <w:shd w:val="clear" w:color="auto" w:fill="FFFFFF"/>
        </w:rPr>
        <w:t>In pregnant women</w:t>
      </w:r>
      <w:r w:rsidR="00B523BF" w:rsidRPr="00E650EA">
        <w:rPr>
          <w:rFonts w:ascii="Arial" w:hAnsi="Arial" w:cs="Arial"/>
          <w:sz w:val="19"/>
          <w:szCs w:val="19"/>
          <w:highlight w:val="yellow"/>
          <w:shd w:val="clear" w:color="auto" w:fill="FFFFFF"/>
        </w:rPr>
        <w:t>,</w:t>
      </w:r>
      <w:r w:rsidR="00B523BF" w:rsidRPr="00E650EA">
        <w:rPr>
          <w:rFonts w:ascii="Arial" w:hAnsi="Arial" w:cs="Arial"/>
          <w:sz w:val="19"/>
          <w:szCs w:val="19"/>
          <w:highlight w:val="yellow"/>
          <w:shd w:val="clear" w:color="auto" w:fill="FFFFFF"/>
        </w:rPr>
        <w:t xml:space="preserve"> </w:t>
      </w:r>
      <w:proofErr w:type="spellStart"/>
      <w:r w:rsidR="00B523BF" w:rsidRPr="00E650EA">
        <w:rPr>
          <w:rFonts w:ascii="Arial" w:hAnsi="Arial" w:cs="Arial"/>
          <w:sz w:val="19"/>
          <w:szCs w:val="19"/>
          <w:highlight w:val="yellow"/>
          <w:shd w:val="clear" w:color="auto" w:fill="FFFFFF"/>
        </w:rPr>
        <w:t>anaemia</w:t>
      </w:r>
      <w:proofErr w:type="spellEnd"/>
      <w:r w:rsidR="00B523BF" w:rsidRPr="00E650EA">
        <w:rPr>
          <w:rFonts w:ascii="Arial" w:hAnsi="Arial" w:cs="Arial"/>
          <w:sz w:val="19"/>
          <w:szCs w:val="19"/>
          <w:highlight w:val="yellow"/>
          <w:shd w:val="clear" w:color="auto" w:fill="FFFFFF"/>
        </w:rPr>
        <w:t xml:space="preserve"> is defined as a </w:t>
      </w:r>
      <w:proofErr w:type="spellStart"/>
      <w:r w:rsidR="00B523BF" w:rsidRPr="00E650EA">
        <w:rPr>
          <w:rFonts w:ascii="Arial" w:hAnsi="Arial" w:cs="Arial"/>
          <w:sz w:val="19"/>
          <w:szCs w:val="19"/>
          <w:highlight w:val="yellow"/>
          <w:shd w:val="clear" w:color="auto" w:fill="FFFFFF"/>
        </w:rPr>
        <w:t>haemoglobin</w:t>
      </w:r>
      <w:proofErr w:type="spellEnd"/>
      <w:r w:rsidR="00B523BF" w:rsidRPr="00E650EA">
        <w:rPr>
          <w:rFonts w:ascii="Arial" w:hAnsi="Arial" w:cs="Arial"/>
          <w:sz w:val="19"/>
          <w:szCs w:val="19"/>
          <w:highlight w:val="yellow"/>
          <w:shd w:val="clear" w:color="auto" w:fill="FFFFFF"/>
        </w:rPr>
        <w:t xml:space="preserve"> concentration of less than 11 </w:t>
      </w:r>
      <w:r w:rsidR="00B523BF" w:rsidRPr="00E650EA">
        <w:rPr>
          <w:rFonts w:ascii="Arial" w:hAnsi="Arial" w:cs="Arial"/>
          <w:sz w:val="19"/>
          <w:szCs w:val="19"/>
          <w:highlight w:val="yellow"/>
          <w:shd w:val="clear" w:color="auto" w:fill="FFFFFF"/>
        </w:rPr>
        <w:t>g/</w:t>
      </w:r>
      <w:r w:rsidR="00B523BF" w:rsidRPr="00E650EA">
        <w:rPr>
          <w:rFonts w:ascii="Arial" w:hAnsi="Arial" w:cs="Arial"/>
          <w:sz w:val="19"/>
          <w:szCs w:val="19"/>
          <w:highlight w:val="yellow"/>
          <w:shd w:val="clear" w:color="auto" w:fill="FFFFFF"/>
        </w:rPr>
        <w:t xml:space="preserve">dL and less than </w:t>
      </w:r>
      <w:r w:rsidR="00B523BF" w:rsidRPr="00E650EA">
        <w:rPr>
          <w:rFonts w:ascii="Arial" w:hAnsi="Arial" w:cs="Arial"/>
          <w:sz w:val="19"/>
          <w:szCs w:val="19"/>
          <w:highlight w:val="yellow"/>
          <w:shd w:val="clear" w:color="auto" w:fill="FFFFFF"/>
        </w:rPr>
        <w:t>andlessthan10.5g/</w:t>
      </w:r>
      <w:r w:rsidR="00B523BF" w:rsidRPr="00E650EA">
        <w:rPr>
          <w:rFonts w:ascii="Arial" w:hAnsi="Arial" w:cs="Arial"/>
          <w:sz w:val="19"/>
          <w:szCs w:val="19"/>
          <w:highlight w:val="yellow"/>
          <w:shd w:val="clear" w:color="auto" w:fill="FFFFFF"/>
        </w:rPr>
        <w:t>dL in the second trimester</w:t>
      </w:r>
      <w:r w:rsidR="00B523BF" w:rsidRPr="00E650EA">
        <w:rPr>
          <w:rFonts w:ascii="Arial" w:hAnsi="Arial" w:cs="Arial"/>
          <w:sz w:val="19"/>
          <w:szCs w:val="19"/>
          <w:highlight w:val="yellow"/>
          <w:shd w:val="clear" w:color="auto" w:fill="FFFFFF"/>
        </w:rPr>
        <w:t>.</w:t>
      </w:r>
      <w:r w:rsidR="00B523BF" w:rsidRPr="00E650EA">
        <w:rPr>
          <w:rFonts w:ascii="Arial" w:hAnsi="Arial" w:cs="Arial"/>
          <w:sz w:val="19"/>
          <w:szCs w:val="19"/>
          <w:highlight w:val="yellow"/>
          <w:shd w:val="clear" w:color="auto" w:fill="FFFFFF"/>
        </w:rPr>
        <w:t xml:space="preserve"> In both the </w:t>
      </w:r>
      <w:proofErr w:type="spellStart"/>
      <w:r w:rsidR="00B523BF" w:rsidRPr="00E650EA">
        <w:rPr>
          <w:rFonts w:ascii="Arial" w:hAnsi="Arial" w:cs="Arial"/>
          <w:sz w:val="19"/>
          <w:szCs w:val="19"/>
          <w:highlight w:val="yellow"/>
          <w:shd w:val="clear" w:color="auto" w:fill="FFFFFF"/>
        </w:rPr>
        <w:t>industrialised</w:t>
      </w:r>
      <w:proofErr w:type="spellEnd"/>
      <w:r w:rsidR="00B523BF" w:rsidRPr="00E650EA">
        <w:rPr>
          <w:rFonts w:ascii="Arial" w:hAnsi="Arial" w:cs="Arial"/>
          <w:sz w:val="19"/>
          <w:szCs w:val="19"/>
          <w:highlight w:val="yellow"/>
          <w:shd w:val="clear" w:color="auto" w:fill="FFFFFF"/>
        </w:rPr>
        <w:t xml:space="preserve"> and developing world</w:t>
      </w:r>
      <w:r w:rsidR="00B523BF" w:rsidRPr="00E650EA">
        <w:rPr>
          <w:rFonts w:ascii="Arial" w:hAnsi="Arial" w:cs="Arial"/>
          <w:sz w:val="19"/>
          <w:szCs w:val="19"/>
          <w:highlight w:val="yellow"/>
          <w:shd w:val="clear" w:color="auto" w:fill="FFFFFF"/>
        </w:rPr>
        <w:t>,</w:t>
      </w:r>
      <w:r w:rsidR="00B523BF" w:rsidRPr="00E650EA">
        <w:rPr>
          <w:rFonts w:ascii="Arial" w:hAnsi="Arial" w:cs="Arial"/>
          <w:sz w:val="19"/>
          <w:szCs w:val="19"/>
          <w:highlight w:val="yellow"/>
          <w:shd w:val="clear" w:color="auto" w:fill="FFFFFF"/>
        </w:rPr>
        <w:t xml:space="preserve"> iron-deficiency </w:t>
      </w:r>
      <w:proofErr w:type="spellStart"/>
      <w:r w:rsidR="00B523BF" w:rsidRPr="00E650EA">
        <w:rPr>
          <w:rFonts w:ascii="Arial" w:hAnsi="Arial" w:cs="Arial"/>
          <w:sz w:val="19"/>
          <w:szCs w:val="19"/>
          <w:highlight w:val="yellow"/>
          <w:shd w:val="clear" w:color="auto" w:fill="FFFFFF"/>
        </w:rPr>
        <w:t>anaemia</w:t>
      </w:r>
      <w:proofErr w:type="spellEnd"/>
      <w:r w:rsidR="00B523BF" w:rsidRPr="00E650EA">
        <w:rPr>
          <w:rFonts w:ascii="Arial" w:hAnsi="Arial" w:cs="Arial"/>
          <w:sz w:val="19"/>
          <w:szCs w:val="19"/>
          <w:highlight w:val="yellow"/>
          <w:shd w:val="clear" w:color="auto" w:fill="FFFFFF"/>
        </w:rPr>
        <w:t xml:space="preserve"> is the commonest cause of </w:t>
      </w:r>
      <w:proofErr w:type="spellStart"/>
      <w:r w:rsidR="00B523BF" w:rsidRPr="00E650EA">
        <w:rPr>
          <w:rFonts w:ascii="Arial" w:hAnsi="Arial" w:cs="Arial"/>
          <w:sz w:val="19"/>
          <w:szCs w:val="19"/>
          <w:highlight w:val="yellow"/>
          <w:shd w:val="clear" w:color="auto" w:fill="FFFFFF"/>
        </w:rPr>
        <w:t>anaemia</w:t>
      </w:r>
      <w:proofErr w:type="spellEnd"/>
      <w:r w:rsidR="00B523BF" w:rsidRPr="00E650EA">
        <w:rPr>
          <w:rFonts w:ascii="Arial" w:hAnsi="Arial" w:cs="Arial"/>
          <w:sz w:val="19"/>
          <w:szCs w:val="19"/>
          <w:highlight w:val="yellow"/>
          <w:shd w:val="clear" w:color="auto" w:fill="FFFFFF"/>
        </w:rPr>
        <w:t xml:space="preserve"> </w:t>
      </w:r>
      <w:r w:rsidR="00B523BF" w:rsidRPr="00E650EA">
        <w:rPr>
          <w:rFonts w:ascii="Arial" w:hAnsi="Arial" w:cs="Arial"/>
          <w:sz w:val="19"/>
          <w:szCs w:val="19"/>
          <w:highlight w:val="yellow"/>
          <w:shd w:val="clear" w:color="auto" w:fill="FFFFFF"/>
        </w:rPr>
        <w:t xml:space="preserve">(Surendhar </w:t>
      </w:r>
      <w:r w:rsidR="00B523BF" w:rsidRPr="00E650EA">
        <w:rPr>
          <w:rFonts w:ascii="Arial" w:hAnsi="Arial" w:cs="Arial"/>
          <w:i/>
          <w:iCs/>
          <w:sz w:val="19"/>
          <w:szCs w:val="19"/>
          <w:highlight w:val="yellow"/>
          <w:shd w:val="clear" w:color="auto" w:fill="FFFFFF"/>
        </w:rPr>
        <w:t>et al</w:t>
      </w:r>
      <w:r w:rsidR="00B523BF" w:rsidRPr="00E650EA">
        <w:rPr>
          <w:rFonts w:ascii="Arial" w:hAnsi="Arial" w:cs="Arial"/>
          <w:sz w:val="19"/>
          <w:szCs w:val="19"/>
          <w:highlight w:val="yellow"/>
          <w:shd w:val="clear" w:color="auto" w:fill="FFFFFF"/>
        </w:rPr>
        <w:t>., 2024)</w:t>
      </w:r>
      <w:r w:rsidR="00B523BF" w:rsidRPr="00E650EA">
        <w:rPr>
          <w:rFonts w:ascii="Arial" w:hAnsi="Arial" w:cs="Arial"/>
          <w:sz w:val="19"/>
          <w:szCs w:val="19"/>
          <w:highlight w:val="yellow"/>
          <w:shd w:val="clear" w:color="auto" w:fill="FFFFFF"/>
        </w:rPr>
        <w:t>.</w:t>
      </w:r>
      <w:r w:rsidR="00B523BF">
        <w:rPr>
          <w:rFonts w:ascii="Arial" w:hAnsi="Arial" w:cs="Arial"/>
          <w:sz w:val="19"/>
          <w:szCs w:val="19"/>
          <w:shd w:val="clear" w:color="auto" w:fill="FFFFFF"/>
        </w:rPr>
        <w:t xml:space="preserve"> Forgetfulness</w:t>
      </w:r>
      <w:r w:rsidRPr="004279B5">
        <w:rPr>
          <w:rFonts w:asciiTheme="minorBidi" w:hAnsiTheme="minorBidi" w:cstheme="minorBidi"/>
          <w:sz w:val="22"/>
          <w:szCs w:val="22"/>
        </w:rPr>
        <w:t xml:space="preserve"> (25.7%) and stock-outs (20.0%) were the leading barriers, compounded by poor knowledge (65.4%). These results echo broader patterns of limited supply reliability and low awareness but add a crucial cultural dimension: spousal occupation and income significantly predicted adherence. This suggests that, in pastoral settings, household economic stability and gender roles weigh as heavily as clinical advice.</w:t>
      </w:r>
    </w:p>
    <w:p w14:paraId="6CDAB104" w14:textId="77777777" w:rsidR="004279B5" w:rsidRPr="004279B5" w:rsidRDefault="004279B5" w:rsidP="004279B5">
      <w:pPr>
        <w:jc w:val="both"/>
        <w:rPr>
          <w:rFonts w:asciiTheme="minorBidi" w:hAnsiTheme="minorBidi" w:cstheme="minorBidi"/>
          <w:sz w:val="22"/>
          <w:szCs w:val="22"/>
        </w:rPr>
      </w:pPr>
    </w:p>
    <w:p w14:paraId="6CB8D425" w14:textId="634CD606"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3. </w:t>
      </w:r>
      <w:r w:rsidRPr="004279B5">
        <w:rPr>
          <w:rFonts w:asciiTheme="minorBidi" w:hAnsiTheme="minorBidi" w:cstheme="minorBidi"/>
          <w:b/>
          <w:bCs/>
          <w:sz w:val="22"/>
          <w:szCs w:val="22"/>
        </w:rPr>
        <w:t>COMPARATIVE EVIDENCE ACROSS AFRICA</w:t>
      </w:r>
    </w:p>
    <w:p w14:paraId="09AF8CF3" w14:textId="77777777"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Findings from Eastern Sudan reveal higher adherence rates, attributed to structured antenatal care and health education [5]. Similarly, Ethiopian data showed moderate adherence (56.5%), with early antenatal registration emerging as a key predictor [6]. These comparisons demonstrate that while inadequate knowledge is a universal barrier, the Ghanaian Fulani experience is distinct: mobility, economic precarity, and spousal influence play defining roles.</w:t>
      </w:r>
    </w:p>
    <w:p w14:paraId="4FF42164" w14:textId="77777777" w:rsidR="004279B5" w:rsidRPr="004279B5" w:rsidRDefault="004279B5" w:rsidP="004279B5">
      <w:pPr>
        <w:jc w:val="both"/>
        <w:rPr>
          <w:rFonts w:asciiTheme="minorBidi" w:hAnsiTheme="minorBidi" w:cstheme="minorBidi"/>
          <w:sz w:val="22"/>
          <w:szCs w:val="22"/>
        </w:rPr>
      </w:pPr>
    </w:p>
    <w:p w14:paraId="2EBF0358" w14:textId="7453BB7B" w:rsidR="00EF5838" w:rsidRPr="004279B5" w:rsidRDefault="004279B5" w:rsidP="004279B5">
      <w:pPr>
        <w:jc w:val="both"/>
        <w:rPr>
          <w:rFonts w:asciiTheme="minorBidi" w:hAnsiTheme="minorBidi" w:cstheme="minorBidi"/>
          <w:sz w:val="22"/>
          <w:szCs w:val="22"/>
        </w:rPr>
      </w:pPr>
      <w:r>
        <w:rPr>
          <w:rFonts w:asciiTheme="minorBidi" w:hAnsiTheme="minorBidi" w:cstheme="minorBidi"/>
          <w:b/>
          <w:bCs/>
          <w:sz w:val="22"/>
          <w:szCs w:val="22"/>
        </w:rPr>
        <w:t xml:space="preserve">4. </w:t>
      </w:r>
      <w:r w:rsidRPr="004279B5">
        <w:rPr>
          <w:rFonts w:asciiTheme="minorBidi" w:hAnsiTheme="minorBidi" w:cstheme="minorBidi"/>
          <w:b/>
          <w:bCs/>
          <w:sz w:val="22"/>
          <w:szCs w:val="22"/>
        </w:rPr>
        <w:t>IMPLICATIONS FOR PUBLIC POLICY AND PRACTICE</w:t>
      </w:r>
    </w:p>
    <w:p w14:paraId="70F0223B" w14:textId="1DFC320A" w:rsidR="00EF5838" w:rsidRDefault="00EF5838" w:rsidP="004279B5">
      <w:pPr>
        <w:jc w:val="both"/>
        <w:rPr>
          <w:rFonts w:asciiTheme="minorBidi" w:hAnsiTheme="minorBidi" w:cstheme="minorBidi"/>
          <w:b/>
          <w:bCs/>
          <w:sz w:val="22"/>
          <w:szCs w:val="22"/>
        </w:rPr>
      </w:pPr>
      <w:r w:rsidRPr="004279B5">
        <w:rPr>
          <w:rFonts w:asciiTheme="minorBidi" w:hAnsiTheme="minorBidi" w:cstheme="minorBidi"/>
          <w:sz w:val="22"/>
          <w:szCs w:val="22"/>
        </w:rPr>
        <w:t xml:space="preserve">To close these gaps, we recommend culturally tailored education delivered through community leaders, using Fulani languages and oral communication traditions. Also, family-inclusive strategies engaging husbands to reshape household decision-making around maternal health </w:t>
      </w:r>
      <w:r w:rsidR="004279B5" w:rsidRPr="004279B5">
        <w:rPr>
          <w:rFonts w:asciiTheme="minorBidi" w:hAnsiTheme="minorBidi" w:cstheme="minorBidi"/>
          <w:sz w:val="22"/>
          <w:szCs w:val="22"/>
        </w:rPr>
        <w:t>are</w:t>
      </w:r>
      <w:r w:rsidRPr="004279B5">
        <w:rPr>
          <w:rFonts w:asciiTheme="minorBidi" w:hAnsiTheme="minorBidi" w:cstheme="minorBidi"/>
          <w:sz w:val="22"/>
          <w:szCs w:val="22"/>
        </w:rPr>
        <w:t xml:space="preserve"> crucial. Additionally, digital or low-tech reminders (e.g., mobile SMS, pictorial calendars) to address forgetfulness and strengthened supply chains ensuring reliable supplement availability in remote pastoral areas could help </w:t>
      </w:r>
      <w:r w:rsidR="00B523BF" w:rsidRPr="00E650EA">
        <w:rPr>
          <w:rFonts w:asciiTheme="minorBidi" w:hAnsiTheme="minorBidi" w:cstheme="minorBidi"/>
          <w:sz w:val="22"/>
          <w:szCs w:val="22"/>
          <w:highlight w:val="yellow"/>
        </w:rPr>
        <w:t>bridge</w:t>
      </w:r>
      <w:r w:rsidR="00B523BF" w:rsidRPr="004279B5">
        <w:rPr>
          <w:rFonts w:asciiTheme="minorBidi" w:hAnsiTheme="minorBidi" w:cstheme="minorBidi"/>
          <w:sz w:val="22"/>
          <w:szCs w:val="22"/>
        </w:rPr>
        <w:t xml:space="preserve"> </w:t>
      </w:r>
      <w:r w:rsidRPr="004279B5">
        <w:rPr>
          <w:rFonts w:asciiTheme="minorBidi" w:hAnsiTheme="minorBidi" w:cstheme="minorBidi"/>
          <w:sz w:val="22"/>
          <w:szCs w:val="22"/>
        </w:rPr>
        <w:t>this gap. Nonetheless, mobile health services to reach nomadic populations outside of static facilities equally aid in addressing this challenge</w:t>
      </w:r>
      <w:r w:rsidRPr="004279B5">
        <w:rPr>
          <w:rFonts w:asciiTheme="minorBidi" w:hAnsiTheme="minorBidi" w:cstheme="minorBidi"/>
          <w:b/>
          <w:bCs/>
          <w:sz w:val="22"/>
          <w:szCs w:val="22"/>
        </w:rPr>
        <w:t>.</w:t>
      </w:r>
    </w:p>
    <w:p w14:paraId="000DE64B" w14:textId="77777777" w:rsidR="004279B5" w:rsidRPr="004279B5" w:rsidRDefault="004279B5" w:rsidP="004279B5">
      <w:pPr>
        <w:jc w:val="both"/>
        <w:rPr>
          <w:rFonts w:asciiTheme="minorBidi" w:hAnsiTheme="minorBidi" w:cstheme="minorBidi"/>
          <w:b/>
          <w:bCs/>
          <w:sz w:val="22"/>
          <w:szCs w:val="22"/>
        </w:rPr>
      </w:pPr>
    </w:p>
    <w:p w14:paraId="475E146A" w14:textId="5FE09F3F"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5. </w:t>
      </w:r>
      <w:r w:rsidRPr="004279B5">
        <w:rPr>
          <w:rFonts w:asciiTheme="minorBidi" w:hAnsiTheme="minorBidi" w:cstheme="minorBidi"/>
          <w:b/>
          <w:bCs/>
          <w:sz w:val="22"/>
          <w:szCs w:val="22"/>
        </w:rPr>
        <w:t>IMPLICATIONS FOR NURSING PRACTICE, EDUCATION AND RESEARCH</w:t>
      </w:r>
    </w:p>
    <w:p w14:paraId="7F41FE65" w14:textId="77777777"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In summary, this paper not only draws attention to the significant challenges in ensuring effective iron-folate acid supplementation among Fulani pregnant women but also highlights the complex interplay between health systems, cultural practices, and socioeconomic factors. It serves as an important call to action for tailored, community-specific interventions that bridge the gap between clinical recommendations and real-world practice. The current findings can help health care providers, especially nurses, to manage adherence challenges in iron-folate supplementation among pregnant women, particularly in underserved pastoral communities, by implementing culturally tailored education, strengthening supply-</w:t>
      </w:r>
      <w:r w:rsidRPr="004279B5">
        <w:rPr>
          <w:rFonts w:asciiTheme="minorBidi" w:hAnsiTheme="minorBidi" w:cstheme="minorBidi"/>
          <w:sz w:val="22"/>
          <w:szCs w:val="22"/>
        </w:rPr>
        <w:lastRenderedPageBreak/>
        <w:t>chain reliability, and incorporating spousal engagement strategies into maternal care practices.</w:t>
      </w:r>
    </w:p>
    <w:p w14:paraId="6BBF1752" w14:textId="77777777" w:rsidR="004279B5" w:rsidRPr="004279B5" w:rsidRDefault="004279B5" w:rsidP="004279B5">
      <w:pPr>
        <w:jc w:val="both"/>
        <w:rPr>
          <w:rFonts w:asciiTheme="minorBidi" w:hAnsiTheme="minorBidi" w:cstheme="minorBidi"/>
          <w:sz w:val="22"/>
          <w:szCs w:val="22"/>
        </w:rPr>
      </w:pPr>
    </w:p>
    <w:p w14:paraId="21C96B5E" w14:textId="5160E895"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6. </w:t>
      </w:r>
      <w:r w:rsidRPr="004279B5">
        <w:rPr>
          <w:rFonts w:asciiTheme="minorBidi" w:hAnsiTheme="minorBidi" w:cstheme="minorBidi"/>
          <w:b/>
          <w:bCs/>
          <w:sz w:val="22"/>
          <w:szCs w:val="22"/>
        </w:rPr>
        <w:t>LIMITATIONS AND FUTURE RESEARCH</w:t>
      </w:r>
    </w:p>
    <w:p w14:paraId="4728C698" w14:textId="152BC7AC"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 xml:space="preserve">The cross-sectional design and </w:t>
      </w:r>
      <w:proofErr w:type="spellStart"/>
      <w:r w:rsidR="00B523BF" w:rsidRPr="00E650EA">
        <w:rPr>
          <w:rFonts w:asciiTheme="minorBidi" w:hAnsiTheme="minorBidi" w:cstheme="minorBidi"/>
          <w:sz w:val="22"/>
          <w:szCs w:val="22"/>
          <w:highlight w:val="yellow"/>
        </w:rPr>
        <w:t>localised</w:t>
      </w:r>
      <w:proofErr w:type="spellEnd"/>
      <w:r w:rsidR="00B523BF" w:rsidRPr="00E650EA">
        <w:rPr>
          <w:rFonts w:asciiTheme="minorBidi" w:hAnsiTheme="minorBidi" w:cstheme="minorBidi"/>
          <w:sz w:val="22"/>
          <w:szCs w:val="22"/>
          <w:highlight w:val="yellow"/>
        </w:rPr>
        <w:t xml:space="preserve"> </w:t>
      </w:r>
      <w:r w:rsidRPr="004279B5">
        <w:rPr>
          <w:rFonts w:asciiTheme="minorBidi" w:hAnsiTheme="minorBidi" w:cstheme="minorBidi"/>
          <w:sz w:val="22"/>
          <w:szCs w:val="22"/>
        </w:rPr>
        <w:t xml:space="preserve">focus of Salifu et al. [4] limit causal inference and generalizability. Larger, longitudinal studies and qualitative inquiries are needed to explore deeper cultural nuances. </w:t>
      </w:r>
      <w:proofErr w:type="spellStart"/>
      <w:r w:rsidR="00B523BF" w:rsidRPr="00E650EA">
        <w:rPr>
          <w:rFonts w:asciiTheme="minorBidi" w:hAnsiTheme="minorBidi" w:cstheme="minorBidi"/>
          <w:sz w:val="22"/>
          <w:szCs w:val="22"/>
          <w:highlight w:val="yellow"/>
        </w:rPr>
        <w:t>Randomised</w:t>
      </w:r>
      <w:proofErr w:type="spellEnd"/>
      <w:r w:rsidR="00B523BF" w:rsidRPr="00E650EA">
        <w:rPr>
          <w:rFonts w:asciiTheme="minorBidi" w:hAnsiTheme="minorBidi" w:cstheme="minorBidi"/>
          <w:sz w:val="22"/>
          <w:szCs w:val="22"/>
          <w:highlight w:val="yellow"/>
        </w:rPr>
        <w:t xml:space="preserve"> </w:t>
      </w:r>
      <w:r w:rsidRPr="004279B5">
        <w:rPr>
          <w:rFonts w:asciiTheme="minorBidi" w:hAnsiTheme="minorBidi" w:cstheme="minorBidi"/>
          <w:sz w:val="22"/>
          <w:szCs w:val="22"/>
        </w:rPr>
        <w:t>interventions that integrate spousal engagement or reminder tools could also test context-specific solutions.</w:t>
      </w:r>
    </w:p>
    <w:p w14:paraId="757002FE" w14:textId="77777777" w:rsidR="004279B5" w:rsidRPr="004279B5" w:rsidRDefault="004279B5" w:rsidP="004279B5">
      <w:pPr>
        <w:jc w:val="both"/>
        <w:rPr>
          <w:rFonts w:asciiTheme="minorBidi" w:hAnsiTheme="minorBidi" w:cstheme="minorBidi"/>
          <w:sz w:val="22"/>
          <w:szCs w:val="22"/>
        </w:rPr>
      </w:pPr>
    </w:p>
    <w:p w14:paraId="235E79FE" w14:textId="1C6B3500" w:rsidR="00B01FCD" w:rsidRPr="004279B5" w:rsidRDefault="004279B5" w:rsidP="004279B5">
      <w:pPr>
        <w:pStyle w:val="ConcHead"/>
        <w:spacing w:after="0"/>
        <w:jc w:val="both"/>
        <w:rPr>
          <w:rFonts w:asciiTheme="minorBidi" w:hAnsiTheme="minorBidi" w:cstheme="minorBidi"/>
          <w:szCs w:val="22"/>
        </w:rPr>
      </w:pPr>
      <w:r>
        <w:rPr>
          <w:rFonts w:asciiTheme="minorBidi" w:hAnsiTheme="minorBidi" w:cstheme="minorBidi"/>
          <w:szCs w:val="22"/>
        </w:rPr>
        <w:t>7</w:t>
      </w:r>
      <w:r w:rsidR="00000F8F" w:rsidRPr="004279B5">
        <w:rPr>
          <w:rFonts w:asciiTheme="minorBidi" w:hAnsiTheme="minorBidi" w:cstheme="minorBidi"/>
          <w:szCs w:val="22"/>
        </w:rPr>
        <w:t xml:space="preserve">. </w:t>
      </w:r>
      <w:r w:rsidR="00B523BF" w:rsidRPr="00E650EA">
        <w:rPr>
          <w:rFonts w:asciiTheme="minorBidi" w:hAnsiTheme="minorBidi" w:cstheme="minorBidi"/>
          <w:szCs w:val="22"/>
          <w:highlight w:val="yellow"/>
        </w:rPr>
        <w:t>Conclusions</w:t>
      </w:r>
    </w:p>
    <w:p w14:paraId="7A7AD824" w14:textId="77777777" w:rsidR="00790ADA" w:rsidRPr="004279B5" w:rsidRDefault="00790ADA" w:rsidP="004279B5">
      <w:pPr>
        <w:pStyle w:val="ConcHead"/>
        <w:spacing w:after="0"/>
        <w:jc w:val="both"/>
        <w:rPr>
          <w:rFonts w:asciiTheme="minorBidi" w:hAnsiTheme="minorBidi" w:cstheme="minorBidi"/>
          <w:szCs w:val="22"/>
        </w:rPr>
      </w:pPr>
    </w:p>
    <w:p w14:paraId="66136572" w14:textId="57DD1119" w:rsidR="003C5C5E" w:rsidRPr="004279B5" w:rsidRDefault="003C5C5E" w:rsidP="004279B5">
      <w:pPr>
        <w:jc w:val="both"/>
        <w:rPr>
          <w:rFonts w:asciiTheme="minorBidi" w:hAnsiTheme="minorBidi" w:cstheme="minorBidi"/>
          <w:sz w:val="22"/>
          <w:szCs w:val="22"/>
        </w:rPr>
      </w:pPr>
      <w:r w:rsidRPr="004279B5">
        <w:rPr>
          <w:rFonts w:asciiTheme="minorBidi" w:hAnsiTheme="minorBidi" w:cstheme="minorBidi"/>
          <w:sz w:val="22"/>
          <w:szCs w:val="22"/>
        </w:rPr>
        <w:t>The Fulani study provides a critical lens on maternal health inequities in Ghana. It reveals that adherence to IFAS is not merely a question of individual compliance but a reflection of systemic, cultural, and socioeconomic barriers. To meet SDG targets on maternal health, policymakers must adopt context-sensitive, family-inclusive, and supply-driven approaches. Only then can iron–folate supplementation and broader reproductive health services effectively reach women at the margins.</w:t>
      </w:r>
    </w:p>
    <w:p w14:paraId="2F14ABE3" w14:textId="77777777" w:rsidR="00790ADA" w:rsidRPr="004279B5" w:rsidRDefault="00790ADA" w:rsidP="004279B5">
      <w:pPr>
        <w:pStyle w:val="Body"/>
        <w:spacing w:after="0"/>
        <w:rPr>
          <w:rFonts w:asciiTheme="minorBidi" w:hAnsiTheme="minorBidi" w:cstheme="minorBidi"/>
          <w:sz w:val="22"/>
          <w:szCs w:val="22"/>
        </w:rPr>
      </w:pPr>
    </w:p>
    <w:p w14:paraId="38CD2F16" w14:textId="77777777" w:rsidR="002B685A" w:rsidRPr="004279B5" w:rsidRDefault="002B685A" w:rsidP="004279B5">
      <w:pPr>
        <w:pStyle w:val="ReferHead"/>
        <w:spacing w:after="0"/>
        <w:jc w:val="both"/>
        <w:rPr>
          <w:rFonts w:asciiTheme="minorBidi" w:hAnsiTheme="minorBidi" w:cstheme="minorBidi"/>
          <w:b w:val="0"/>
          <w:caps w:val="0"/>
          <w:szCs w:val="22"/>
        </w:rPr>
      </w:pPr>
    </w:p>
    <w:p w14:paraId="32943948" w14:textId="50EFC3EC" w:rsidR="002B685A" w:rsidRPr="004279B5" w:rsidRDefault="002B685A" w:rsidP="004279B5">
      <w:pPr>
        <w:pStyle w:val="ReferHead"/>
        <w:spacing w:after="0"/>
        <w:jc w:val="both"/>
        <w:rPr>
          <w:rFonts w:asciiTheme="minorBidi" w:hAnsiTheme="minorBidi" w:cstheme="minorBidi"/>
          <w:bCs/>
          <w:szCs w:val="22"/>
        </w:rPr>
      </w:pPr>
      <w:r w:rsidRPr="004279B5">
        <w:rPr>
          <w:rFonts w:asciiTheme="minorBidi" w:hAnsiTheme="minorBidi" w:cstheme="minorBidi"/>
          <w:bCs/>
          <w:szCs w:val="22"/>
        </w:rPr>
        <w:t xml:space="preserve">Consent </w:t>
      </w:r>
    </w:p>
    <w:p w14:paraId="7B665446" w14:textId="77777777" w:rsidR="002B685A" w:rsidRPr="004279B5" w:rsidRDefault="002B685A" w:rsidP="004279B5">
      <w:pPr>
        <w:pStyle w:val="ReferHead"/>
        <w:spacing w:after="0"/>
        <w:jc w:val="both"/>
        <w:rPr>
          <w:rFonts w:asciiTheme="minorBidi" w:hAnsiTheme="minorBidi" w:cstheme="minorBidi"/>
          <w:bCs/>
          <w:szCs w:val="22"/>
        </w:rPr>
      </w:pPr>
    </w:p>
    <w:p w14:paraId="325F17B0" w14:textId="7A48AA22" w:rsidR="001A29D8" w:rsidRPr="004279B5" w:rsidRDefault="004A4BAF" w:rsidP="004279B5">
      <w:pPr>
        <w:pStyle w:val="ReferHead"/>
        <w:spacing w:after="0"/>
        <w:jc w:val="both"/>
        <w:rPr>
          <w:rFonts w:asciiTheme="minorBidi" w:hAnsiTheme="minorBidi" w:cstheme="minorBidi"/>
          <w:b w:val="0"/>
          <w:caps w:val="0"/>
          <w:szCs w:val="22"/>
          <w:u w:val="single"/>
        </w:rPr>
      </w:pPr>
      <w:r w:rsidRPr="004279B5">
        <w:rPr>
          <w:rFonts w:asciiTheme="minorBidi" w:hAnsiTheme="minorBidi" w:cstheme="minorBidi"/>
          <w:b w:val="0"/>
          <w:caps w:val="0"/>
          <w:szCs w:val="22"/>
        </w:rPr>
        <w:t>Not Applicable</w:t>
      </w:r>
    </w:p>
    <w:p w14:paraId="3339D6D7" w14:textId="77777777" w:rsidR="005C784C" w:rsidRPr="004279B5" w:rsidRDefault="005C784C" w:rsidP="004279B5">
      <w:pPr>
        <w:pStyle w:val="ReferHead"/>
        <w:spacing w:after="0"/>
        <w:jc w:val="both"/>
        <w:rPr>
          <w:rFonts w:asciiTheme="minorBidi" w:hAnsiTheme="minorBidi" w:cstheme="minorBidi"/>
          <w:b w:val="0"/>
          <w:caps w:val="0"/>
          <w:szCs w:val="22"/>
        </w:rPr>
      </w:pPr>
    </w:p>
    <w:p w14:paraId="4CF3B6B1" w14:textId="511E74EB" w:rsidR="005C784C" w:rsidRPr="004279B5" w:rsidRDefault="005C784C" w:rsidP="004279B5">
      <w:pPr>
        <w:pStyle w:val="ReferHead"/>
        <w:spacing w:after="0"/>
        <w:jc w:val="both"/>
        <w:rPr>
          <w:rFonts w:asciiTheme="minorBidi" w:hAnsiTheme="minorBidi" w:cstheme="minorBidi"/>
          <w:bCs/>
          <w:szCs w:val="22"/>
        </w:rPr>
      </w:pPr>
      <w:r w:rsidRPr="004279B5">
        <w:rPr>
          <w:rFonts w:asciiTheme="minorBidi" w:hAnsiTheme="minorBidi" w:cstheme="minorBidi"/>
          <w:bCs/>
          <w:szCs w:val="22"/>
        </w:rPr>
        <w:t xml:space="preserve">Ethical approval </w:t>
      </w:r>
    </w:p>
    <w:p w14:paraId="3CB4942B" w14:textId="77777777" w:rsidR="005C784C" w:rsidRPr="004279B5" w:rsidRDefault="005C784C" w:rsidP="004279B5">
      <w:pPr>
        <w:pStyle w:val="ReferHead"/>
        <w:spacing w:after="0"/>
        <w:jc w:val="both"/>
        <w:rPr>
          <w:rFonts w:asciiTheme="minorBidi" w:hAnsiTheme="minorBidi" w:cstheme="minorBidi"/>
          <w:bCs/>
          <w:szCs w:val="22"/>
        </w:rPr>
      </w:pPr>
    </w:p>
    <w:p w14:paraId="3E748EEB" w14:textId="78E0BD91" w:rsidR="0041027F" w:rsidRDefault="004A4BAF" w:rsidP="004279B5">
      <w:pPr>
        <w:pStyle w:val="ReferHead"/>
        <w:spacing w:after="0"/>
        <w:jc w:val="both"/>
        <w:rPr>
          <w:rFonts w:asciiTheme="minorBidi" w:hAnsiTheme="minorBidi" w:cstheme="minorBidi"/>
          <w:b w:val="0"/>
          <w:caps w:val="0"/>
          <w:szCs w:val="22"/>
        </w:rPr>
      </w:pPr>
      <w:r w:rsidRPr="004279B5">
        <w:rPr>
          <w:rFonts w:asciiTheme="minorBidi" w:hAnsiTheme="minorBidi" w:cstheme="minorBidi"/>
          <w:b w:val="0"/>
          <w:caps w:val="0"/>
          <w:szCs w:val="22"/>
        </w:rPr>
        <w:t>Not Applicable</w:t>
      </w:r>
    </w:p>
    <w:p w14:paraId="3B205D76" w14:textId="77777777" w:rsidR="000578AA" w:rsidRDefault="000578AA" w:rsidP="004279B5">
      <w:pPr>
        <w:pStyle w:val="ReferHead"/>
        <w:spacing w:after="0"/>
        <w:jc w:val="both"/>
        <w:rPr>
          <w:rFonts w:asciiTheme="minorBidi" w:hAnsiTheme="minorBidi" w:cstheme="minorBidi"/>
          <w:b w:val="0"/>
          <w:caps w:val="0"/>
          <w:szCs w:val="22"/>
        </w:rPr>
      </w:pPr>
    </w:p>
    <w:p w14:paraId="21A2AE5E" w14:textId="77777777" w:rsidR="000578AA" w:rsidRDefault="000578AA" w:rsidP="004279B5">
      <w:pPr>
        <w:pStyle w:val="ReferHead"/>
        <w:spacing w:after="0"/>
        <w:jc w:val="both"/>
        <w:rPr>
          <w:rFonts w:asciiTheme="minorBidi" w:hAnsiTheme="minorBidi" w:cstheme="minorBidi"/>
          <w:b w:val="0"/>
          <w:caps w:val="0"/>
          <w:szCs w:val="22"/>
        </w:rPr>
      </w:pPr>
    </w:p>
    <w:p w14:paraId="73E64452" w14:textId="77777777" w:rsidR="000578AA" w:rsidRPr="004279B5" w:rsidRDefault="000578AA" w:rsidP="000578AA">
      <w:pPr>
        <w:pStyle w:val="DefAcrHead"/>
        <w:spacing w:after="0"/>
        <w:jc w:val="both"/>
        <w:rPr>
          <w:rFonts w:asciiTheme="minorBidi" w:hAnsiTheme="minorBidi" w:cstheme="minorBidi"/>
          <w:szCs w:val="22"/>
        </w:rPr>
      </w:pPr>
      <w:r w:rsidRPr="004279B5">
        <w:rPr>
          <w:rFonts w:asciiTheme="minorBidi" w:hAnsiTheme="minorBidi" w:cstheme="minorBidi"/>
          <w:szCs w:val="22"/>
        </w:rPr>
        <w:t>Definitions, Acronyms, Abbreviations</w:t>
      </w:r>
    </w:p>
    <w:p w14:paraId="63D7F8BF" w14:textId="77777777"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 xml:space="preserve">IFAS </w:t>
      </w:r>
      <w:r>
        <w:rPr>
          <w:rFonts w:asciiTheme="minorBidi" w:hAnsiTheme="minorBidi" w:cstheme="minorBidi"/>
          <w:sz w:val="22"/>
          <w:szCs w:val="22"/>
        </w:rPr>
        <w:t xml:space="preserve">= </w:t>
      </w:r>
      <w:r w:rsidRPr="004279B5">
        <w:rPr>
          <w:rFonts w:asciiTheme="minorBidi" w:hAnsiTheme="minorBidi" w:cstheme="minorBidi"/>
          <w:sz w:val="22"/>
          <w:szCs w:val="22"/>
        </w:rPr>
        <w:t>Iron Folic Acid Supplementation</w:t>
      </w:r>
    </w:p>
    <w:p w14:paraId="6F6E9412" w14:textId="77777777"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WHO</w:t>
      </w:r>
      <w:r>
        <w:rPr>
          <w:rFonts w:asciiTheme="minorBidi" w:hAnsiTheme="minorBidi" w:cstheme="minorBidi"/>
          <w:sz w:val="22"/>
          <w:szCs w:val="22"/>
        </w:rPr>
        <w:t xml:space="preserve"> =</w:t>
      </w:r>
      <w:r w:rsidRPr="004279B5">
        <w:rPr>
          <w:rFonts w:asciiTheme="minorBidi" w:hAnsiTheme="minorBidi" w:cstheme="minorBidi"/>
          <w:sz w:val="22"/>
          <w:szCs w:val="22"/>
        </w:rPr>
        <w:t xml:space="preserve"> World Health Organization</w:t>
      </w:r>
    </w:p>
    <w:p w14:paraId="42B016C7" w14:textId="5429B363" w:rsidR="000578AA" w:rsidRDefault="000578AA" w:rsidP="004279B5">
      <w:pPr>
        <w:pStyle w:val="ReferHead"/>
        <w:spacing w:after="0"/>
        <w:jc w:val="both"/>
        <w:rPr>
          <w:rFonts w:asciiTheme="minorBidi" w:hAnsiTheme="minorBidi" w:cstheme="minorBidi"/>
          <w:b w:val="0"/>
          <w:caps w:val="0"/>
          <w:szCs w:val="22"/>
          <w:u w:val="single"/>
        </w:rPr>
      </w:pPr>
    </w:p>
    <w:p w14:paraId="5ED3B4B4" w14:textId="7AC85220" w:rsidR="005D52E3" w:rsidRDefault="005D52E3" w:rsidP="004279B5">
      <w:pPr>
        <w:pStyle w:val="ReferHead"/>
        <w:spacing w:after="0"/>
        <w:jc w:val="both"/>
        <w:rPr>
          <w:rFonts w:asciiTheme="minorBidi" w:hAnsiTheme="minorBidi" w:cstheme="minorBidi"/>
          <w:b w:val="0"/>
          <w:caps w:val="0"/>
          <w:szCs w:val="22"/>
          <w:u w:val="single"/>
        </w:rPr>
      </w:pPr>
    </w:p>
    <w:p w14:paraId="0E91F806" w14:textId="77777777" w:rsidR="005D52E3" w:rsidRPr="00270720" w:rsidRDefault="005D52E3" w:rsidP="005D52E3">
      <w:pPr>
        <w:rPr>
          <w:highlight w:val="yellow"/>
        </w:rPr>
      </w:pPr>
      <w:r w:rsidRPr="00270720">
        <w:rPr>
          <w:highlight w:val="yellow"/>
        </w:rPr>
        <w:t>Disclaimer (Artificial intelligence)</w:t>
      </w:r>
    </w:p>
    <w:p w14:paraId="10E4C07F" w14:textId="77777777" w:rsidR="005D52E3" w:rsidRPr="00270720" w:rsidRDefault="005D52E3" w:rsidP="005D52E3">
      <w:pPr>
        <w:rPr>
          <w:highlight w:val="yellow"/>
        </w:rPr>
      </w:pPr>
    </w:p>
    <w:p w14:paraId="32B97219" w14:textId="77777777" w:rsidR="005D52E3" w:rsidRPr="00270720" w:rsidRDefault="005D52E3" w:rsidP="005D52E3">
      <w:pPr>
        <w:rPr>
          <w:highlight w:val="yellow"/>
        </w:rPr>
      </w:pPr>
      <w:r w:rsidRPr="00270720">
        <w:rPr>
          <w:highlight w:val="yellow"/>
        </w:rPr>
        <w:t xml:space="preserve">Option 1: </w:t>
      </w:r>
    </w:p>
    <w:p w14:paraId="0F5AF822" w14:textId="77777777" w:rsidR="005D52E3" w:rsidRPr="00270720" w:rsidRDefault="005D52E3" w:rsidP="005D52E3">
      <w:pPr>
        <w:rPr>
          <w:highlight w:val="yellow"/>
        </w:rPr>
      </w:pPr>
    </w:p>
    <w:p w14:paraId="2FEDFC08" w14:textId="77777777" w:rsidR="005D52E3" w:rsidRPr="00270720" w:rsidRDefault="005D52E3" w:rsidP="005D52E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7EA83EA" w14:textId="77777777" w:rsidR="005D52E3" w:rsidRPr="00270720" w:rsidRDefault="005D52E3" w:rsidP="005D52E3">
      <w:pPr>
        <w:rPr>
          <w:highlight w:val="yellow"/>
        </w:rPr>
      </w:pPr>
    </w:p>
    <w:p w14:paraId="5AD38D03" w14:textId="77777777" w:rsidR="005D52E3" w:rsidRPr="00270720" w:rsidRDefault="005D52E3" w:rsidP="005D52E3">
      <w:pPr>
        <w:rPr>
          <w:highlight w:val="yellow"/>
        </w:rPr>
      </w:pPr>
      <w:r w:rsidRPr="00270720">
        <w:rPr>
          <w:highlight w:val="yellow"/>
        </w:rPr>
        <w:t xml:space="preserve">Option 2: </w:t>
      </w:r>
    </w:p>
    <w:p w14:paraId="00D5803D" w14:textId="77777777" w:rsidR="005D52E3" w:rsidRPr="00270720" w:rsidRDefault="005D52E3" w:rsidP="005D52E3">
      <w:pPr>
        <w:rPr>
          <w:highlight w:val="yellow"/>
        </w:rPr>
      </w:pPr>
    </w:p>
    <w:p w14:paraId="19A556F7" w14:textId="77777777" w:rsidR="005D52E3" w:rsidRPr="00270720" w:rsidRDefault="005D52E3" w:rsidP="005D52E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05FB0C" w14:textId="77777777" w:rsidR="005D52E3" w:rsidRPr="00270720" w:rsidRDefault="005D52E3" w:rsidP="005D52E3">
      <w:pPr>
        <w:rPr>
          <w:highlight w:val="yellow"/>
        </w:rPr>
      </w:pPr>
    </w:p>
    <w:p w14:paraId="3B7D0557" w14:textId="77777777" w:rsidR="005D52E3" w:rsidRPr="00270720" w:rsidRDefault="005D52E3" w:rsidP="005D52E3">
      <w:pPr>
        <w:rPr>
          <w:highlight w:val="yellow"/>
        </w:rPr>
      </w:pPr>
      <w:r w:rsidRPr="00270720">
        <w:rPr>
          <w:highlight w:val="yellow"/>
        </w:rPr>
        <w:t>Details of the AI usage are given below:</w:t>
      </w:r>
    </w:p>
    <w:p w14:paraId="4642B425" w14:textId="77777777" w:rsidR="005D52E3" w:rsidRPr="00270720" w:rsidRDefault="005D52E3" w:rsidP="005D52E3">
      <w:pPr>
        <w:rPr>
          <w:highlight w:val="yellow"/>
        </w:rPr>
      </w:pPr>
      <w:r w:rsidRPr="00270720">
        <w:rPr>
          <w:highlight w:val="yellow"/>
        </w:rPr>
        <w:lastRenderedPageBreak/>
        <w:t>1.</w:t>
      </w:r>
    </w:p>
    <w:p w14:paraId="0805CB9B" w14:textId="77777777" w:rsidR="005D52E3" w:rsidRPr="00270720" w:rsidRDefault="005D52E3" w:rsidP="005D52E3">
      <w:pPr>
        <w:rPr>
          <w:highlight w:val="yellow"/>
        </w:rPr>
      </w:pPr>
      <w:r w:rsidRPr="00270720">
        <w:rPr>
          <w:highlight w:val="yellow"/>
        </w:rPr>
        <w:t>2.</w:t>
      </w:r>
    </w:p>
    <w:p w14:paraId="6160BCD1" w14:textId="77777777" w:rsidR="005D52E3" w:rsidRPr="00270720" w:rsidRDefault="005D52E3" w:rsidP="005D52E3">
      <w:r w:rsidRPr="00270720">
        <w:rPr>
          <w:highlight w:val="yellow"/>
        </w:rPr>
        <w:t>3.</w:t>
      </w:r>
    </w:p>
    <w:p w14:paraId="720395AD" w14:textId="77777777" w:rsidR="005D52E3" w:rsidRPr="004279B5" w:rsidRDefault="005D52E3" w:rsidP="004279B5">
      <w:pPr>
        <w:pStyle w:val="ReferHead"/>
        <w:spacing w:after="0"/>
        <w:jc w:val="both"/>
        <w:rPr>
          <w:rFonts w:asciiTheme="minorBidi" w:hAnsiTheme="minorBidi" w:cstheme="minorBidi"/>
          <w:b w:val="0"/>
          <w:caps w:val="0"/>
          <w:szCs w:val="22"/>
          <w:u w:val="single"/>
        </w:rPr>
      </w:pPr>
    </w:p>
    <w:p w14:paraId="189B9E26" w14:textId="77777777" w:rsidR="00860000" w:rsidRPr="004279B5" w:rsidRDefault="00860000" w:rsidP="004279B5">
      <w:pPr>
        <w:pStyle w:val="ReferHead"/>
        <w:spacing w:after="0"/>
        <w:jc w:val="both"/>
        <w:rPr>
          <w:rFonts w:asciiTheme="minorBidi" w:hAnsiTheme="minorBidi" w:cstheme="minorBidi"/>
          <w:szCs w:val="22"/>
        </w:rPr>
      </w:pPr>
    </w:p>
    <w:p w14:paraId="250EC3F0" w14:textId="77777777" w:rsidR="00B01FCD" w:rsidRPr="004279B5" w:rsidRDefault="00B01FCD" w:rsidP="004279B5">
      <w:pPr>
        <w:pStyle w:val="ReferHead"/>
        <w:spacing w:after="0"/>
        <w:jc w:val="both"/>
        <w:rPr>
          <w:rFonts w:asciiTheme="minorBidi" w:hAnsiTheme="minorBidi" w:cstheme="minorBidi"/>
          <w:szCs w:val="22"/>
        </w:rPr>
      </w:pPr>
      <w:r w:rsidRPr="004279B5">
        <w:rPr>
          <w:rFonts w:asciiTheme="minorBidi" w:hAnsiTheme="minorBidi" w:cstheme="minorBidi"/>
          <w:szCs w:val="22"/>
        </w:rPr>
        <w:t>References</w:t>
      </w:r>
    </w:p>
    <w:p w14:paraId="427FA781" w14:textId="77777777" w:rsidR="00790ADA" w:rsidRPr="004279B5" w:rsidRDefault="00790ADA" w:rsidP="004279B5">
      <w:pPr>
        <w:pStyle w:val="ReferHead"/>
        <w:spacing w:after="0"/>
        <w:jc w:val="both"/>
        <w:rPr>
          <w:rFonts w:asciiTheme="minorBidi" w:hAnsiTheme="minorBidi" w:cstheme="minorBidi"/>
          <w:szCs w:val="22"/>
        </w:rPr>
      </w:pPr>
    </w:p>
    <w:p w14:paraId="3C1ABE6D" w14:textId="7A771A8D"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Chathuranga G, Balasuriya T, Perera R. </w:t>
      </w:r>
      <w:proofErr w:type="spellStart"/>
      <w:r w:rsidRPr="004279B5">
        <w:rPr>
          <w:rFonts w:asciiTheme="minorBidi" w:hAnsiTheme="minorBidi" w:cstheme="minorBidi"/>
          <w:sz w:val="22"/>
          <w:szCs w:val="22"/>
        </w:rPr>
        <w:t>Anaemia</w:t>
      </w:r>
      <w:proofErr w:type="spellEnd"/>
      <w:r w:rsidRPr="004279B5">
        <w:rPr>
          <w:rFonts w:asciiTheme="minorBidi" w:hAnsiTheme="minorBidi" w:cstheme="minorBidi"/>
          <w:sz w:val="22"/>
          <w:szCs w:val="22"/>
        </w:rPr>
        <w:t xml:space="preserve"> among female undergraduates residing in the hostels of University of Sri Jayewardenepura, Sri Lanka. </w:t>
      </w:r>
      <w:r w:rsidR="004279B5" w:rsidRPr="004279B5">
        <w:rPr>
          <w:rFonts w:asciiTheme="minorBidi" w:hAnsiTheme="minorBidi" w:cstheme="minorBidi"/>
          <w:sz w:val="22"/>
          <w:szCs w:val="22"/>
        </w:rPr>
        <w:t>2014</w:t>
      </w:r>
      <w:r w:rsidR="004279B5">
        <w:rPr>
          <w:rFonts w:asciiTheme="minorBidi" w:hAnsiTheme="minorBidi" w:cstheme="minorBidi"/>
          <w:sz w:val="22"/>
          <w:szCs w:val="22"/>
        </w:rPr>
        <w:t xml:space="preserve">; </w:t>
      </w:r>
      <w:r w:rsidRPr="004279B5">
        <w:rPr>
          <w:rFonts w:asciiTheme="minorBidi" w:hAnsiTheme="minorBidi" w:cstheme="minorBidi"/>
          <w:sz w:val="22"/>
          <w:szCs w:val="22"/>
        </w:rPr>
        <w:t xml:space="preserve">Anemia. https:// </w:t>
      </w:r>
      <w:proofErr w:type="spellStart"/>
      <w:r w:rsidRPr="004279B5">
        <w:rPr>
          <w:rFonts w:asciiTheme="minorBidi" w:hAnsiTheme="minorBidi" w:cstheme="minorBidi"/>
          <w:sz w:val="22"/>
          <w:szCs w:val="22"/>
        </w:rPr>
        <w:t>doi</w:t>
      </w:r>
      <w:proofErr w:type="spellEnd"/>
      <w:r w:rsidRPr="004279B5">
        <w:rPr>
          <w:rFonts w:asciiTheme="minorBidi" w:hAnsiTheme="minorBidi" w:cstheme="minorBidi"/>
          <w:sz w:val="22"/>
          <w:szCs w:val="22"/>
        </w:rPr>
        <w:t>. org/ 10. 1155/ 2014/ 526308.</w:t>
      </w:r>
    </w:p>
    <w:p w14:paraId="690825ED" w14:textId="04467039"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ACC/SCN. What Works? A review of the efficacy and effectiveness of nutrition interventions, Allen, L.H. and Gillespie, S.R. ACC/SCN: Geneva in collaboration with the Asian Development Bank, Manila. </w:t>
      </w:r>
      <w:r w:rsidR="004279B5">
        <w:rPr>
          <w:rFonts w:asciiTheme="minorBidi" w:hAnsiTheme="minorBidi" w:cstheme="minorBidi"/>
          <w:sz w:val="22"/>
          <w:szCs w:val="22"/>
        </w:rPr>
        <w:t>2001.</w:t>
      </w:r>
    </w:p>
    <w:p w14:paraId="78A3D620" w14:textId="7B1A588B"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proofErr w:type="spellStart"/>
      <w:r w:rsidRPr="004279B5">
        <w:rPr>
          <w:rFonts w:asciiTheme="minorBidi" w:hAnsiTheme="minorBidi" w:cstheme="minorBidi"/>
          <w:sz w:val="22"/>
          <w:szCs w:val="22"/>
        </w:rPr>
        <w:t>Yawson</w:t>
      </w:r>
      <w:proofErr w:type="spellEnd"/>
      <w:r w:rsidRPr="004279B5">
        <w:rPr>
          <w:rFonts w:asciiTheme="minorBidi" w:hAnsiTheme="minorBidi" w:cstheme="minorBidi"/>
          <w:sz w:val="22"/>
          <w:szCs w:val="22"/>
        </w:rPr>
        <w:t xml:space="preserve"> AE, </w:t>
      </w:r>
      <w:proofErr w:type="spellStart"/>
      <w:r w:rsidRPr="004279B5">
        <w:rPr>
          <w:rFonts w:asciiTheme="minorBidi" w:hAnsiTheme="minorBidi" w:cstheme="minorBidi"/>
          <w:sz w:val="22"/>
          <w:szCs w:val="22"/>
        </w:rPr>
        <w:t>Amoaful</w:t>
      </w:r>
      <w:proofErr w:type="spellEnd"/>
      <w:r w:rsidRPr="004279B5">
        <w:rPr>
          <w:rFonts w:asciiTheme="minorBidi" w:hAnsiTheme="minorBidi" w:cstheme="minorBidi"/>
          <w:sz w:val="22"/>
          <w:szCs w:val="22"/>
        </w:rPr>
        <w:t xml:space="preserve"> EO, Senaya LK, </w:t>
      </w:r>
      <w:proofErr w:type="spellStart"/>
      <w:r w:rsidRPr="004279B5">
        <w:rPr>
          <w:rFonts w:asciiTheme="minorBidi" w:hAnsiTheme="minorBidi" w:cstheme="minorBidi"/>
          <w:sz w:val="22"/>
          <w:szCs w:val="22"/>
        </w:rPr>
        <w:t>Yawson</w:t>
      </w:r>
      <w:proofErr w:type="spellEnd"/>
      <w:r w:rsidRPr="004279B5">
        <w:rPr>
          <w:rFonts w:asciiTheme="minorBidi" w:hAnsiTheme="minorBidi" w:cstheme="minorBidi"/>
          <w:sz w:val="22"/>
          <w:szCs w:val="22"/>
        </w:rPr>
        <w:t xml:space="preserve"> AO, Aboagye PK, Mahama AB, et al. The lancet series nutritional interventions in Ghana: a determinants analysis approach to inform nutrition strategic planning. </w:t>
      </w:r>
      <w:r w:rsidR="004279B5">
        <w:rPr>
          <w:rFonts w:asciiTheme="minorBidi" w:hAnsiTheme="minorBidi" w:cstheme="minorBidi"/>
          <w:sz w:val="22"/>
          <w:szCs w:val="22"/>
        </w:rPr>
        <w:t xml:space="preserve">2017; </w:t>
      </w:r>
      <w:r w:rsidRPr="004279B5">
        <w:rPr>
          <w:rFonts w:asciiTheme="minorBidi" w:hAnsiTheme="minorBidi" w:cstheme="minorBidi"/>
          <w:sz w:val="22"/>
          <w:szCs w:val="22"/>
        </w:rPr>
        <w:t xml:space="preserve">BMC </w:t>
      </w:r>
      <w:proofErr w:type="spellStart"/>
      <w:r w:rsidRPr="004279B5">
        <w:rPr>
          <w:rFonts w:asciiTheme="minorBidi" w:hAnsiTheme="minorBidi" w:cstheme="minorBidi"/>
          <w:sz w:val="22"/>
          <w:szCs w:val="22"/>
        </w:rPr>
        <w:t>Nutr</w:t>
      </w:r>
      <w:proofErr w:type="spellEnd"/>
      <w:r w:rsidRPr="004279B5">
        <w:rPr>
          <w:rFonts w:asciiTheme="minorBidi" w:hAnsiTheme="minorBidi" w:cstheme="minorBidi"/>
          <w:sz w:val="22"/>
          <w:szCs w:val="22"/>
        </w:rPr>
        <w:t xml:space="preserve"> 3:1–8.</w:t>
      </w:r>
    </w:p>
    <w:p w14:paraId="405A9272" w14:textId="07CBAEDB"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Salifu Y, Agyeman YN, </w:t>
      </w:r>
      <w:proofErr w:type="spellStart"/>
      <w:r w:rsidRPr="004279B5">
        <w:rPr>
          <w:rFonts w:asciiTheme="minorBidi" w:hAnsiTheme="minorBidi" w:cstheme="minorBidi"/>
          <w:sz w:val="22"/>
          <w:szCs w:val="22"/>
        </w:rPr>
        <w:t>Lasong</w:t>
      </w:r>
      <w:proofErr w:type="spellEnd"/>
      <w:r w:rsidRPr="004279B5">
        <w:rPr>
          <w:rFonts w:asciiTheme="minorBidi" w:hAnsiTheme="minorBidi" w:cstheme="minorBidi"/>
          <w:sz w:val="22"/>
          <w:szCs w:val="22"/>
        </w:rPr>
        <w:t xml:space="preserve"> J. Adherence to and predictors of iron-folate acid supplementation among pregnant women in a pastoral population in Ghana: A community-based cross-sectional study. </w:t>
      </w:r>
      <w:r w:rsidR="004279B5">
        <w:rPr>
          <w:rFonts w:asciiTheme="minorBidi" w:hAnsiTheme="minorBidi" w:cstheme="minorBidi"/>
          <w:sz w:val="22"/>
          <w:szCs w:val="22"/>
        </w:rPr>
        <w:t xml:space="preserve">2024; </w:t>
      </w:r>
      <w:proofErr w:type="spellStart"/>
      <w:r w:rsidRPr="004279B5">
        <w:rPr>
          <w:rFonts w:asciiTheme="minorBidi" w:hAnsiTheme="minorBidi" w:cstheme="minorBidi"/>
          <w:i/>
          <w:iCs/>
          <w:sz w:val="22"/>
          <w:szCs w:val="22"/>
        </w:rPr>
        <w:t>Reprod</w:t>
      </w:r>
      <w:proofErr w:type="spellEnd"/>
      <w:r w:rsidRPr="004279B5">
        <w:rPr>
          <w:rFonts w:asciiTheme="minorBidi" w:hAnsiTheme="minorBidi" w:cstheme="minorBidi"/>
          <w:i/>
          <w:iCs/>
          <w:sz w:val="22"/>
          <w:szCs w:val="22"/>
        </w:rPr>
        <w:t xml:space="preserve"> Health, 21</w:t>
      </w:r>
      <w:r w:rsidRPr="004279B5">
        <w:rPr>
          <w:rFonts w:asciiTheme="minorBidi" w:hAnsiTheme="minorBidi" w:cstheme="minorBidi"/>
          <w:sz w:val="22"/>
          <w:szCs w:val="22"/>
        </w:rPr>
        <w:t xml:space="preserve">(165). </w:t>
      </w:r>
      <w:hyperlink r:id="rId8" w:history="1">
        <w:r w:rsidRPr="004279B5">
          <w:rPr>
            <w:rStyle w:val="Hyperlink"/>
            <w:rFonts w:asciiTheme="minorBidi" w:hAnsiTheme="minorBidi" w:cstheme="minorBidi"/>
            <w:sz w:val="22"/>
            <w:szCs w:val="22"/>
          </w:rPr>
          <w:t>https://reproductive-health-journal.biomedcentral.com/articles/10.1186/s12978-024-01877-z</w:t>
        </w:r>
      </w:hyperlink>
    </w:p>
    <w:p w14:paraId="6DB0ECF6" w14:textId="24C8ED63"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Saeed MS, Adam GK, Hussein SM, </w:t>
      </w:r>
      <w:proofErr w:type="spellStart"/>
      <w:r w:rsidRPr="004279B5">
        <w:rPr>
          <w:rFonts w:asciiTheme="minorBidi" w:hAnsiTheme="minorBidi" w:cstheme="minorBidi"/>
          <w:sz w:val="22"/>
          <w:szCs w:val="22"/>
        </w:rPr>
        <w:t>AlHabardi</w:t>
      </w:r>
      <w:proofErr w:type="spellEnd"/>
      <w:r w:rsidRPr="004279B5">
        <w:rPr>
          <w:rFonts w:asciiTheme="minorBidi" w:hAnsiTheme="minorBidi" w:cstheme="minorBidi"/>
          <w:sz w:val="22"/>
          <w:szCs w:val="22"/>
        </w:rPr>
        <w:t xml:space="preserve"> N, Adam I. Prevalence and factors associated with adherence to iron-folic acid supplementation among pregnant women in Eastern Sudan: A cross-sectional study.</w:t>
      </w:r>
      <w:r w:rsidR="004279B5">
        <w:rPr>
          <w:rFonts w:asciiTheme="minorBidi" w:hAnsiTheme="minorBidi" w:cstheme="minorBidi"/>
          <w:sz w:val="22"/>
          <w:szCs w:val="22"/>
        </w:rPr>
        <w:t xml:space="preserve"> 2024;</w:t>
      </w:r>
      <w:r w:rsidRPr="004279B5">
        <w:rPr>
          <w:rFonts w:asciiTheme="minorBidi" w:hAnsiTheme="minorBidi" w:cstheme="minorBidi"/>
          <w:sz w:val="22"/>
          <w:szCs w:val="22"/>
        </w:rPr>
        <w:t xml:space="preserve"> </w:t>
      </w:r>
      <w:r w:rsidRPr="004279B5">
        <w:rPr>
          <w:rFonts w:asciiTheme="minorBidi" w:hAnsiTheme="minorBidi" w:cstheme="minorBidi"/>
          <w:i/>
          <w:iCs/>
          <w:sz w:val="22"/>
          <w:szCs w:val="22"/>
        </w:rPr>
        <w:t>Pat Pref Adher, 18</w:t>
      </w:r>
      <w:r w:rsidRPr="004279B5">
        <w:rPr>
          <w:rFonts w:asciiTheme="minorBidi" w:hAnsiTheme="minorBidi" w:cstheme="minorBidi"/>
          <w:sz w:val="22"/>
          <w:szCs w:val="22"/>
        </w:rPr>
        <w:t xml:space="preserve">, 1665–1674. </w:t>
      </w:r>
      <w:hyperlink r:id="rId9" w:history="1">
        <w:r w:rsidRPr="004279B5">
          <w:rPr>
            <w:rStyle w:val="Hyperlink"/>
            <w:rFonts w:asciiTheme="minorBidi" w:hAnsiTheme="minorBidi" w:cstheme="minorBidi"/>
            <w:sz w:val="22"/>
            <w:szCs w:val="22"/>
          </w:rPr>
          <w:t>https://doi.org/10.2147/PPA.S476738</w:t>
        </w:r>
      </w:hyperlink>
    </w:p>
    <w:p w14:paraId="377F997F" w14:textId="7F324351" w:rsidR="004A4BAF" w:rsidRPr="00E650EA"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Tefera AA, Ibrahim NA, Umer AA.</w:t>
      </w:r>
      <w:r w:rsidR="004279B5">
        <w:rPr>
          <w:rFonts w:asciiTheme="minorBidi" w:hAnsiTheme="minorBidi" w:cstheme="minorBidi"/>
          <w:sz w:val="22"/>
          <w:szCs w:val="22"/>
        </w:rPr>
        <w:t xml:space="preserve"> </w:t>
      </w:r>
      <w:r w:rsidRPr="004279B5">
        <w:rPr>
          <w:rFonts w:asciiTheme="minorBidi" w:hAnsiTheme="minorBidi" w:cstheme="minorBidi"/>
          <w:sz w:val="22"/>
          <w:szCs w:val="22"/>
        </w:rPr>
        <w:t>Adherence to iron and folate supplementation and associated factors among women attending antenatal care in public health facilities during the COVID-19 pandemic in Ethiopia.</w:t>
      </w:r>
      <w:r w:rsidR="004279B5">
        <w:rPr>
          <w:rFonts w:asciiTheme="minorBidi" w:hAnsiTheme="minorBidi" w:cstheme="minorBidi"/>
          <w:sz w:val="22"/>
          <w:szCs w:val="22"/>
        </w:rPr>
        <w:t xml:space="preserve"> 2023;</w:t>
      </w:r>
      <w:r w:rsidRPr="004279B5">
        <w:rPr>
          <w:rFonts w:asciiTheme="minorBidi" w:hAnsiTheme="minorBidi" w:cstheme="minorBidi"/>
          <w:sz w:val="22"/>
          <w:szCs w:val="22"/>
        </w:rPr>
        <w:t xml:space="preserve"> </w:t>
      </w:r>
      <w:r w:rsidRPr="004279B5">
        <w:rPr>
          <w:rFonts w:asciiTheme="minorBidi" w:hAnsiTheme="minorBidi" w:cstheme="minorBidi"/>
          <w:i/>
          <w:iCs/>
          <w:sz w:val="22"/>
          <w:szCs w:val="22"/>
        </w:rPr>
        <w:t>PLOS Glob Public Health</w:t>
      </w:r>
      <w:r w:rsidRPr="004279B5">
        <w:rPr>
          <w:rFonts w:asciiTheme="minorBidi" w:hAnsiTheme="minorBidi" w:cstheme="minorBidi"/>
          <w:sz w:val="22"/>
          <w:szCs w:val="22"/>
        </w:rPr>
        <w:t xml:space="preserve">. </w:t>
      </w:r>
      <w:hyperlink r:id="rId10" w:history="1">
        <w:r w:rsidRPr="004279B5">
          <w:rPr>
            <w:rStyle w:val="Hyperlink"/>
            <w:rFonts w:asciiTheme="minorBidi" w:hAnsiTheme="minorBidi" w:cstheme="minorBidi"/>
            <w:sz w:val="22"/>
            <w:szCs w:val="22"/>
          </w:rPr>
          <w:t>https://doi.org/10.1371/journal.pgph.0000825</w:t>
        </w:r>
      </w:hyperlink>
    </w:p>
    <w:p w14:paraId="1BD1978E" w14:textId="77777777" w:rsidR="00B523BF" w:rsidRPr="00E650EA" w:rsidRDefault="00B523BF" w:rsidP="00602A9D">
      <w:pPr>
        <w:numPr>
          <w:ilvl w:val="0"/>
          <w:numId w:val="31"/>
        </w:numPr>
        <w:jc w:val="both"/>
        <w:rPr>
          <w:rFonts w:asciiTheme="minorBidi" w:hAnsiTheme="minorBidi" w:cstheme="minorBidi"/>
          <w:sz w:val="22"/>
          <w:szCs w:val="22"/>
          <w:highlight w:val="yellow"/>
        </w:rPr>
      </w:pPr>
      <w:r w:rsidRPr="00E650EA">
        <w:rPr>
          <w:rFonts w:asciiTheme="minorBidi" w:hAnsiTheme="minorBidi" w:cstheme="minorBidi"/>
          <w:sz w:val="22"/>
          <w:szCs w:val="22"/>
          <w:highlight w:val="yellow"/>
        </w:rPr>
        <w:t xml:space="preserve">Tiwari, J., &amp; Linson, C. C. (2021). A study on prevalence of anemia among pregnant women attending antenatal clinic at rural health </w:t>
      </w:r>
      <w:proofErr w:type="spellStart"/>
      <w:r w:rsidRPr="00E650EA">
        <w:rPr>
          <w:rFonts w:asciiTheme="minorBidi" w:hAnsiTheme="minorBidi" w:cstheme="minorBidi"/>
          <w:sz w:val="22"/>
          <w:szCs w:val="22"/>
          <w:highlight w:val="yellow"/>
        </w:rPr>
        <w:t>centre</w:t>
      </w:r>
      <w:proofErr w:type="spellEnd"/>
      <w:r w:rsidRPr="00E650EA">
        <w:rPr>
          <w:rFonts w:asciiTheme="minorBidi" w:hAnsiTheme="minorBidi" w:cstheme="minorBidi"/>
          <w:sz w:val="22"/>
          <w:szCs w:val="22"/>
          <w:highlight w:val="yellow"/>
        </w:rPr>
        <w:t xml:space="preserve"> (RHC) and hospital, Jabalpur City, M.P. Journal of Pharmaceutical Research International, 33(49B), 335–342.</w:t>
      </w:r>
      <w:r w:rsidRPr="00E650EA">
        <w:rPr>
          <w:rFonts w:asciiTheme="minorBidi" w:hAnsiTheme="minorBidi" w:cstheme="minorBidi"/>
          <w:sz w:val="22"/>
          <w:szCs w:val="22"/>
          <w:highlight w:val="yellow"/>
        </w:rPr>
        <w:t xml:space="preserve">   </w:t>
      </w:r>
    </w:p>
    <w:p w14:paraId="08CF13CB" w14:textId="56E5CC97" w:rsidR="004D4277" w:rsidRPr="00B523BF" w:rsidRDefault="00B523BF" w:rsidP="00B523BF">
      <w:pPr>
        <w:pStyle w:val="Appendix"/>
        <w:spacing w:after="0"/>
        <w:jc w:val="both"/>
        <w:rPr>
          <w:rFonts w:asciiTheme="minorBidi" w:hAnsiTheme="minorBidi" w:cstheme="minorBidi"/>
          <w:b w:val="0"/>
          <w:szCs w:val="22"/>
        </w:rPr>
      </w:pPr>
      <w:r w:rsidRPr="00E650EA">
        <w:rPr>
          <w:rFonts w:asciiTheme="minorBidi" w:hAnsiTheme="minorBidi" w:cstheme="minorBidi"/>
          <w:szCs w:val="22"/>
          <w:highlight w:val="yellow"/>
        </w:rPr>
        <w:t xml:space="preserve">Surendhar, A., Bharath, G., Gunaseelan, R., Karthikeyan, U., &amp; Santhana Kumar, M. (2024). Is anemia in pregnant women an emerging crisis? A study carried from southern coastal public teaching hospital, India. Asian Research Journal of </w:t>
      </w:r>
      <w:proofErr w:type="spellStart"/>
      <w:r w:rsidRPr="00E650EA">
        <w:rPr>
          <w:rFonts w:asciiTheme="minorBidi" w:hAnsiTheme="minorBidi" w:cstheme="minorBidi"/>
          <w:szCs w:val="22"/>
          <w:highlight w:val="yellow"/>
        </w:rPr>
        <w:t>Gynaecology</w:t>
      </w:r>
      <w:proofErr w:type="spellEnd"/>
      <w:r w:rsidRPr="00E650EA">
        <w:rPr>
          <w:rFonts w:asciiTheme="minorBidi" w:hAnsiTheme="minorBidi" w:cstheme="minorBidi"/>
          <w:szCs w:val="22"/>
          <w:highlight w:val="yellow"/>
        </w:rPr>
        <w:t xml:space="preserve"> and Obstetrics, 7(1), 374–380.</w:t>
      </w:r>
      <w:r>
        <w:rPr>
          <w:rFonts w:asciiTheme="minorBidi" w:hAnsiTheme="minorBidi" w:cstheme="minorBidi"/>
          <w:szCs w:val="22"/>
        </w:rPr>
        <w:t xml:space="preserve">  </w:t>
      </w:r>
      <w:r w:rsidRPr="00B523BF">
        <w:rPr>
          <w:rFonts w:asciiTheme="minorBidi" w:hAnsiTheme="minorBidi" w:cstheme="minorBidi"/>
          <w:szCs w:val="22"/>
        </w:rPr>
        <w:t xml:space="preserve"> </w:t>
      </w:r>
      <w:r w:rsidRPr="00B523BF">
        <w:rPr>
          <w:rFonts w:asciiTheme="minorBidi" w:hAnsiTheme="minorBidi" w:cstheme="minorBidi"/>
          <w:szCs w:val="22"/>
        </w:rPr>
        <w:tab/>
      </w:r>
    </w:p>
    <w:p w14:paraId="03DCD74A" w14:textId="2DAE1835" w:rsidR="00B523BF" w:rsidRPr="004279B5" w:rsidRDefault="00B523BF" w:rsidP="00E650EA">
      <w:pPr>
        <w:pStyle w:val="Appendix"/>
        <w:numPr>
          <w:ilvl w:val="0"/>
          <w:numId w:val="31"/>
        </w:numPr>
        <w:spacing w:after="0"/>
        <w:jc w:val="both"/>
        <w:rPr>
          <w:rFonts w:asciiTheme="minorBidi" w:hAnsiTheme="minorBidi" w:cstheme="minorBidi"/>
          <w:b w:val="0"/>
          <w:szCs w:val="22"/>
        </w:rPr>
        <w:sectPr w:rsidR="00B523BF" w:rsidRPr="004279B5" w:rsidSect="008A76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4A3BD9AB" w14:textId="77777777" w:rsidR="00B01FCD" w:rsidRPr="004279B5" w:rsidRDefault="00B01FCD" w:rsidP="004279B5">
      <w:pPr>
        <w:pStyle w:val="Appendix"/>
        <w:spacing w:after="0"/>
        <w:jc w:val="both"/>
        <w:rPr>
          <w:rFonts w:asciiTheme="minorBidi" w:hAnsiTheme="minorBidi" w:cstheme="minorBidi"/>
          <w:b w:val="0"/>
          <w:szCs w:val="22"/>
        </w:rPr>
      </w:pPr>
    </w:p>
    <w:sectPr w:rsidR="00B01FCD" w:rsidRPr="004279B5" w:rsidSect="008A76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B3E7" w14:textId="77777777" w:rsidR="00751646" w:rsidRDefault="00751646" w:rsidP="00C37E61">
      <w:r>
        <w:separator/>
      </w:r>
    </w:p>
  </w:endnote>
  <w:endnote w:type="continuationSeparator" w:id="0">
    <w:p w14:paraId="45BC2CCB" w14:textId="77777777" w:rsidR="00751646" w:rsidRDefault="007516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43" w14:textId="77777777" w:rsidR="008A7613" w:rsidRDefault="008A7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AD7D" w14:textId="77777777" w:rsidR="008A7613" w:rsidRDefault="008A7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878" w14:textId="77777777" w:rsidR="008A7613" w:rsidRDefault="008A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5D67" w14:textId="77777777" w:rsidR="00751646" w:rsidRDefault="00751646" w:rsidP="00C37E61">
      <w:r>
        <w:separator/>
      </w:r>
    </w:p>
  </w:footnote>
  <w:footnote w:type="continuationSeparator" w:id="0">
    <w:p w14:paraId="743C0BCD" w14:textId="77777777" w:rsidR="00751646" w:rsidRDefault="007516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526" w14:textId="2FC7425F" w:rsidR="008A7613" w:rsidRDefault="00000000">
    <w:pPr>
      <w:pStyle w:val="Header"/>
    </w:pPr>
    <w:r>
      <w:rPr>
        <w:noProof/>
      </w:rPr>
      <w:pict w14:anchorId="37A4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E6DC" w14:textId="68FED402" w:rsidR="008A7613" w:rsidRDefault="00000000">
    <w:pPr>
      <w:pStyle w:val="Header"/>
    </w:pPr>
    <w:r>
      <w:rPr>
        <w:noProof/>
      </w:rPr>
      <w:pict w14:anchorId="1E3EC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99F4" w14:textId="09650E58" w:rsidR="008A7613" w:rsidRDefault="00000000">
    <w:pPr>
      <w:pStyle w:val="Header"/>
    </w:pPr>
    <w:r>
      <w:rPr>
        <w:noProof/>
      </w:rPr>
      <w:pict w14:anchorId="0D18B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55688"/>
    <w:multiLevelType w:val="hybridMultilevel"/>
    <w:tmpl w:val="B218F306"/>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412375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257092">
    <w:abstractNumId w:val="15"/>
  </w:num>
  <w:num w:numId="3" w16cid:durableId="1492258349">
    <w:abstractNumId w:val="23"/>
  </w:num>
  <w:num w:numId="4" w16cid:durableId="823844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3443406">
    <w:abstractNumId w:val="7"/>
  </w:num>
  <w:num w:numId="6" w16cid:durableId="1409696659">
    <w:abstractNumId w:val="6"/>
  </w:num>
  <w:num w:numId="7" w16cid:durableId="740493642">
    <w:abstractNumId w:val="1"/>
  </w:num>
  <w:num w:numId="8" w16cid:durableId="964241076">
    <w:abstractNumId w:val="12"/>
  </w:num>
  <w:num w:numId="9" w16cid:durableId="1779135695">
    <w:abstractNumId w:val="25"/>
  </w:num>
  <w:num w:numId="10" w16cid:durableId="631137195">
    <w:abstractNumId w:val="2"/>
  </w:num>
  <w:num w:numId="11" w16cid:durableId="129330262">
    <w:abstractNumId w:val="18"/>
  </w:num>
  <w:num w:numId="12" w16cid:durableId="1114520408">
    <w:abstractNumId w:val="3"/>
  </w:num>
  <w:num w:numId="13" w16cid:durableId="51735357">
    <w:abstractNumId w:val="17"/>
  </w:num>
  <w:num w:numId="14" w16cid:durableId="490021224">
    <w:abstractNumId w:val="8"/>
  </w:num>
  <w:num w:numId="15" w16cid:durableId="622033240">
    <w:abstractNumId w:val="21"/>
  </w:num>
  <w:num w:numId="16" w16cid:durableId="482505140">
    <w:abstractNumId w:val="5"/>
  </w:num>
  <w:num w:numId="17" w16cid:durableId="1587957458">
    <w:abstractNumId w:val="22"/>
  </w:num>
  <w:num w:numId="18" w16cid:durableId="1188954822">
    <w:abstractNumId w:val="14"/>
  </w:num>
  <w:num w:numId="19" w16cid:durableId="437919716">
    <w:abstractNumId w:val="29"/>
  </w:num>
  <w:num w:numId="20" w16cid:durableId="1565408565">
    <w:abstractNumId w:val="11"/>
  </w:num>
  <w:num w:numId="21" w16cid:durableId="968441382">
    <w:abstractNumId w:val="9"/>
  </w:num>
  <w:num w:numId="22" w16cid:durableId="280036786">
    <w:abstractNumId w:val="13"/>
  </w:num>
  <w:num w:numId="23" w16cid:durableId="632294655">
    <w:abstractNumId w:val="19"/>
  </w:num>
  <w:num w:numId="24" w16cid:durableId="333075024">
    <w:abstractNumId w:val="26"/>
  </w:num>
  <w:num w:numId="25" w16cid:durableId="863858125">
    <w:abstractNumId w:val="4"/>
  </w:num>
  <w:num w:numId="26" w16cid:durableId="62534487">
    <w:abstractNumId w:val="16"/>
  </w:num>
  <w:num w:numId="27" w16cid:durableId="888152133">
    <w:abstractNumId w:val="20"/>
  </w:num>
  <w:num w:numId="28" w16cid:durableId="2001349919">
    <w:abstractNumId w:val="27"/>
  </w:num>
  <w:num w:numId="29" w16cid:durableId="1416316271">
    <w:abstractNumId w:val="24"/>
  </w:num>
  <w:num w:numId="30" w16cid:durableId="361635752">
    <w:abstractNumId w:val="10"/>
  </w:num>
  <w:num w:numId="31" w16cid:durableId="20382353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NzUzMTYyszAzNTZW0lEKTi0uzszPAykwrAUAshI7LiwAAAA="/>
  </w:docVars>
  <w:rsids>
    <w:rsidRoot w:val="00AA6219"/>
    <w:rsid w:val="00000F8F"/>
    <w:rsid w:val="00030174"/>
    <w:rsid w:val="0004579C"/>
    <w:rsid w:val="000578A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6F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C5E"/>
    <w:rsid w:val="003C6258"/>
    <w:rsid w:val="003E2904"/>
    <w:rsid w:val="00401927"/>
    <w:rsid w:val="0041027F"/>
    <w:rsid w:val="00412475"/>
    <w:rsid w:val="00423789"/>
    <w:rsid w:val="004279B5"/>
    <w:rsid w:val="00440F43"/>
    <w:rsid w:val="00441B6F"/>
    <w:rsid w:val="00446221"/>
    <w:rsid w:val="00450E62"/>
    <w:rsid w:val="004539DB"/>
    <w:rsid w:val="00471A80"/>
    <w:rsid w:val="004844F9"/>
    <w:rsid w:val="004A4BAF"/>
    <w:rsid w:val="004D305E"/>
    <w:rsid w:val="004D4277"/>
    <w:rsid w:val="00502516"/>
    <w:rsid w:val="00505F06"/>
    <w:rsid w:val="00506828"/>
    <w:rsid w:val="00524ED8"/>
    <w:rsid w:val="0053056E"/>
    <w:rsid w:val="00554FDA"/>
    <w:rsid w:val="005800A7"/>
    <w:rsid w:val="005C784C"/>
    <w:rsid w:val="005D17F6"/>
    <w:rsid w:val="005D52E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646"/>
    <w:rsid w:val="00754C9A"/>
    <w:rsid w:val="0075514B"/>
    <w:rsid w:val="0075599A"/>
    <w:rsid w:val="00761D52"/>
    <w:rsid w:val="0077749E"/>
    <w:rsid w:val="00790ADA"/>
    <w:rsid w:val="007D2288"/>
    <w:rsid w:val="007E088F"/>
    <w:rsid w:val="007F7B32"/>
    <w:rsid w:val="00804BC2"/>
    <w:rsid w:val="0081431A"/>
    <w:rsid w:val="0083216F"/>
    <w:rsid w:val="00833D5E"/>
    <w:rsid w:val="00860000"/>
    <w:rsid w:val="00863BD3"/>
    <w:rsid w:val="008641ED"/>
    <w:rsid w:val="00866D66"/>
    <w:rsid w:val="008671C6"/>
    <w:rsid w:val="00875803"/>
    <w:rsid w:val="00875FFE"/>
    <w:rsid w:val="00886091"/>
    <w:rsid w:val="008A761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2C7"/>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3B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6592"/>
    <w:rsid w:val="00CD6755"/>
    <w:rsid w:val="00CD6856"/>
    <w:rsid w:val="00CE0089"/>
    <w:rsid w:val="00CE793C"/>
    <w:rsid w:val="00CF193C"/>
    <w:rsid w:val="00D173F1"/>
    <w:rsid w:val="00D74CB0"/>
    <w:rsid w:val="00D8295D"/>
    <w:rsid w:val="00D90E6C"/>
    <w:rsid w:val="00DC2A65"/>
    <w:rsid w:val="00DE15F0"/>
    <w:rsid w:val="00DE3BFB"/>
    <w:rsid w:val="00DE5663"/>
    <w:rsid w:val="00DE78AA"/>
    <w:rsid w:val="00E053D0"/>
    <w:rsid w:val="00E15994"/>
    <w:rsid w:val="00E3114E"/>
    <w:rsid w:val="00E31A70"/>
    <w:rsid w:val="00E35B02"/>
    <w:rsid w:val="00E650EA"/>
    <w:rsid w:val="00E66496"/>
    <w:rsid w:val="00E66B35"/>
    <w:rsid w:val="00E66E10"/>
    <w:rsid w:val="00E769F6"/>
    <w:rsid w:val="00E8407C"/>
    <w:rsid w:val="00E84F3C"/>
    <w:rsid w:val="00EA012C"/>
    <w:rsid w:val="00EC6A55"/>
    <w:rsid w:val="00ED0288"/>
    <w:rsid w:val="00EE52CB"/>
    <w:rsid w:val="00EE6DCE"/>
    <w:rsid w:val="00EF581D"/>
    <w:rsid w:val="00EF5838"/>
    <w:rsid w:val="00EF7FD8"/>
    <w:rsid w:val="00F06F59"/>
    <w:rsid w:val="00F17988"/>
    <w:rsid w:val="00F43699"/>
    <w:rsid w:val="00F469F0"/>
    <w:rsid w:val="00F53273"/>
    <w:rsid w:val="00F755E4"/>
    <w:rsid w:val="00F77D02"/>
    <w:rsid w:val="00FB3A86"/>
    <w:rsid w:val="00FC004A"/>
    <w:rsid w:val="00FD36C8"/>
    <w:rsid w:val="00FE5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895A1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816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C5C5E"/>
    <w:pPr>
      <w:ind w:left="720"/>
      <w:contextualSpacing/>
    </w:pPr>
  </w:style>
  <w:style w:type="character" w:customStyle="1" w:styleId="Heading3Char">
    <w:name w:val="Heading 3 Char"/>
    <w:basedOn w:val="DefaultParagraphFont"/>
    <w:link w:val="Heading3"/>
    <w:semiHidden/>
    <w:rsid w:val="002816F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523B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roductive-health-journal.biomedcentral.com/articles/10.1186/s12978-024-01877-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371/journal.pgph.0000825" TargetMode="External"/><Relationship Id="rId4" Type="http://schemas.openxmlformats.org/officeDocument/2006/relationships/settings" Target="settings.xml"/><Relationship Id="rId9" Type="http://schemas.openxmlformats.org/officeDocument/2006/relationships/hyperlink" Target="https://doi.org/10.2147/PPA.S47673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F80A-3D1B-46F1-9ABE-CB3E2C35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4</Pages>
  <Words>1318</Words>
  <Characters>8467</Characters>
  <Application>Microsoft Office Word</Application>
  <DocSecurity>0</DocSecurity>
  <Lines>192</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22</cp:revision>
  <cp:lastPrinted>1999-07-06T11:00:00Z</cp:lastPrinted>
  <dcterms:created xsi:type="dcterms:W3CDTF">2014-10-25T14:34:00Z</dcterms:created>
  <dcterms:modified xsi:type="dcterms:W3CDTF">2025-09-25T12:32:00Z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71b02c6b-27fd-4c58-9af7-226295610591</vt:lpwstr>
  </property>
</Properties>
</file>