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0DD8C" w14:textId="4D81D4E6" w:rsidR="00894A60" w:rsidRPr="008E6814" w:rsidRDefault="008E6814" w:rsidP="00C33759">
      <w:pPr>
        <w:rPr>
          <w:rFonts w:ascii="Times New Roman" w:hAnsi="Times New Roman" w:cs="Times New Roman"/>
          <w:b/>
          <w:bCs/>
          <w:sz w:val="26"/>
          <w:szCs w:val="26"/>
          <w:u w:val="single"/>
        </w:rPr>
      </w:pPr>
      <w:r w:rsidRPr="008E6814">
        <w:rPr>
          <w:rFonts w:ascii="Times New Roman" w:hAnsi="Times New Roman" w:cs="Times New Roman"/>
          <w:b/>
          <w:bCs/>
          <w:sz w:val="26"/>
          <w:szCs w:val="26"/>
          <w:u w:val="single"/>
        </w:rPr>
        <w:t>Comprehensive Narrative Review Article</w:t>
      </w:r>
      <w:r w:rsidR="007128A3" w:rsidRPr="007128A3">
        <w:rPr>
          <w:rFonts w:ascii="Times New Roman" w:hAnsi="Times New Roman" w:cs="Times New Roman"/>
          <w:b/>
          <w:bCs/>
          <w:sz w:val="26"/>
          <w:szCs w:val="26"/>
        </w:rPr>
        <w:br/>
      </w:r>
      <w:r w:rsidR="00B633CE">
        <w:rPr>
          <w:rFonts w:ascii="Times New Roman" w:hAnsi="Times New Roman" w:cs="Times New Roman"/>
          <w:b/>
          <w:bCs/>
          <w:sz w:val="26"/>
          <w:szCs w:val="26"/>
        </w:rPr>
        <w:br/>
      </w:r>
      <w:r w:rsidR="002622F2" w:rsidRPr="002622F2">
        <w:rPr>
          <w:rFonts w:ascii="Times New Roman" w:hAnsi="Times New Roman" w:cs="Times New Roman"/>
          <w:b/>
          <w:bCs/>
          <w:sz w:val="26"/>
          <w:szCs w:val="26"/>
        </w:rPr>
        <w:t xml:space="preserve">A </w:t>
      </w:r>
      <w:r>
        <w:rPr>
          <w:rFonts w:ascii="Times New Roman" w:hAnsi="Times New Roman" w:cs="Times New Roman"/>
          <w:b/>
          <w:bCs/>
          <w:sz w:val="26"/>
          <w:szCs w:val="26"/>
        </w:rPr>
        <w:t>Comprehensive Narrative</w:t>
      </w:r>
      <w:r w:rsidR="002622F2" w:rsidRPr="002622F2">
        <w:rPr>
          <w:rFonts w:ascii="Times New Roman" w:hAnsi="Times New Roman" w:cs="Times New Roman"/>
          <w:b/>
          <w:bCs/>
          <w:sz w:val="26"/>
          <w:szCs w:val="26"/>
        </w:rPr>
        <w:t xml:space="preserve"> Review of </w:t>
      </w:r>
      <w:r w:rsidR="002622F2" w:rsidRPr="002622F2">
        <w:rPr>
          <w:rFonts w:ascii="Times New Roman" w:hAnsi="Times New Roman" w:cs="Times New Roman"/>
          <w:b/>
          <w:bCs/>
          <w:i/>
          <w:iCs/>
          <w:sz w:val="26"/>
          <w:szCs w:val="26"/>
        </w:rPr>
        <w:t>Naegleria fowleri</w:t>
      </w:r>
      <w:r w:rsidR="002622F2" w:rsidRPr="002622F2">
        <w:rPr>
          <w:rFonts w:ascii="Times New Roman" w:hAnsi="Times New Roman" w:cs="Times New Roman"/>
          <w:b/>
          <w:bCs/>
          <w:sz w:val="26"/>
          <w:szCs w:val="26"/>
        </w:rPr>
        <w:t> Infections: Emerging Epidemiology, Molecular Pathogenesis, and Therapeutic Advances (2020-2025)</w:t>
      </w:r>
    </w:p>
    <w:p w14:paraId="78AF68C6" w14:textId="40AA870E" w:rsidR="00894A60" w:rsidRDefault="00894A60" w:rsidP="002622F2">
      <w:pPr>
        <w:jc w:val="both"/>
        <w:rPr>
          <w:rFonts w:ascii="Times New Roman" w:hAnsi="Times New Roman" w:cs="Times New Roman"/>
          <w:sz w:val="20"/>
          <w:szCs w:val="20"/>
        </w:rPr>
      </w:pPr>
    </w:p>
    <w:p w14:paraId="690BFEBF" w14:textId="77777777" w:rsidR="00ED3FE2" w:rsidRDefault="00ED3FE2" w:rsidP="002622F2">
      <w:pPr>
        <w:jc w:val="both"/>
        <w:rPr>
          <w:rFonts w:ascii="Times New Roman" w:hAnsi="Times New Roman" w:cs="Times New Roman"/>
          <w:sz w:val="20"/>
          <w:szCs w:val="20"/>
        </w:rPr>
      </w:pPr>
    </w:p>
    <w:p w14:paraId="0063060E" w14:textId="07803828" w:rsidR="003760B3" w:rsidRPr="00AE470E" w:rsidRDefault="003760B3" w:rsidP="00B82D45">
      <w:pPr>
        <w:rPr>
          <w:rFonts w:ascii="Times New Roman" w:hAnsi="Times New Roman" w:cs="Times New Roman"/>
          <w:sz w:val="26"/>
          <w:szCs w:val="26"/>
        </w:rPr>
      </w:pPr>
      <w:r w:rsidRPr="00945488">
        <w:rPr>
          <w:rFonts w:ascii="Times New Roman" w:hAnsi="Times New Roman" w:cs="Times New Roman"/>
          <w:b/>
          <w:bCs/>
          <w:sz w:val="26"/>
          <w:szCs w:val="26"/>
        </w:rPr>
        <w:t>Abstract</w:t>
      </w:r>
    </w:p>
    <w:p w14:paraId="181C6E2B" w14:textId="50A95CA7" w:rsidR="008E6814" w:rsidRPr="008E6814" w:rsidRDefault="008E6814" w:rsidP="00160E56">
      <w:pPr>
        <w:spacing w:line="360" w:lineRule="auto"/>
        <w:jc w:val="both"/>
        <w:rPr>
          <w:rFonts w:ascii="Times New Roman" w:hAnsi="Times New Roman" w:cs="Times New Roman"/>
          <w:sz w:val="22"/>
          <w:szCs w:val="22"/>
        </w:rPr>
      </w:pPr>
      <w:r w:rsidRPr="008E6814">
        <w:rPr>
          <w:rFonts w:ascii="Times New Roman" w:hAnsi="Times New Roman" w:cs="Times New Roman"/>
          <w:b/>
          <w:bCs/>
          <w:sz w:val="22"/>
          <w:szCs w:val="22"/>
        </w:rPr>
        <w:t>Aim:</w:t>
      </w:r>
      <w:r>
        <w:rPr>
          <w:rFonts w:ascii="Times New Roman" w:hAnsi="Times New Roman" w:cs="Times New Roman"/>
          <w:sz w:val="22"/>
          <w:szCs w:val="22"/>
        </w:rPr>
        <w:t xml:space="preserve"> </w:t>
      </w:r>
      <w:r w:rsidRPr="008E6814">
        <w:rPr>
          <w:rFonts w:ascii="Times New Roman" w:hAnsi="Times New Roman" w:cs="Times New Roman"/>
          <w:sz w:val="22"/>
          <w:szCs w:val="22"/>
        </w:rPr>
        <w:t>The heat-loving amoeba</w:t>
      </w:r>
      <w:r>
        <w:rPr>
          <w:rFonts w:ascii="Times New Roman" w:hAnsi="Times New Roman" w:cs="Times New Roman"/>
          <w:sz w:val="22"/>
          <w:szCs w:val="22"/>
        </w:rPr>
        <w:t xml:space="preserve"> </w:t>
      </w:r>
      <w:r w:rsidRPr="008E6814">
        <w:rPr>
          <w:rFonts w:ascii="Times New Roman" w:hAnsi="Times New Roman" w:cs="Times New Roman"/>
          <w:sz w:val="22"/>
          <w:szCs w:val="22"/>
        </w:rPr>
        <w:t>“</w:t>
      </w:r>
      <w:r w:rsidRPr="008E6814">
        <w:rPr>
          <w:rFonts w:ascii="Times New Roman" w:hAnsi="Times New Roman" w:cs="Times New Roman"/>
          <w:i/>
          <w:iCs/>
          <w:sz w:val="22"/>
          <w:szCs w:val="22"/>
        </w:rPr>
        <w:t>Naegleria fowleri”</w:t>
      </w:r>
      <w:r w:rsidRPr="008E6814">
        <w:rPr>
          <w:rFonts w:ascii="Times New Roman" w:hAnsi="Times New Roman" w:cs="Times New Roman"/>
          <w:sz w:val="22"/>
          <w:szCs w:val="22"/>
        </w:rPr>
        <w:t xml:space="preserve"> is responsible for Primary Amoebic Meningoencephalitis (PAM), an infection in the central nervous system that almost always leads to death within a few days. This comprehensive narrative review painstakingly integrates the main findings of the above-mentioned PAM research areas from 2020 to 2025. </w:t>
      </w:r>
      <w:r>
        <w:rPr>
          <w:rFonts w:ascii="Times New Roman" w:hAnsi="Times New Roman" w:cs="Times New Roman"/>
          <w:sz w:val="22"/>
          <w:szCs w:val="22"/>
        </w:rPr>
        <w:br/>
      </w:r>
      <w:r>
        <w:rPr>
          <w:rFonts w:ascii="Times New Roman" w:hAnsi="Times New Roman" w:cs="Times New Roman"/>
          <w:sz w:val="22"/>
          <w:szCs w:val="22"/>
        </w:rPr>
        <w:br/>
      </w:r>
      <w:r w:rsidRPr="008E6814">
        <w:rPr>
          <w:rFonts w:ascii="Times New Roman" w:hAnsi="Times New Roman" w:cs="Times New Roman"/>
          <w:b/>
          <w:bCs/>
          <w:sz w:val="22"/>
          <w:szCs w:val="22"/>
        </w:rPr>
        <w:t>Methods:</w:t>
      </w:r>
      <w:r>
        <w:rPr>
          <w:rFonts w:ascii="Times New Roman" w:hAnsi="Times New Roman" w:cs="Times New Roman"/>
          <w:sz w:val="22"/>
          <w:szCs w:val="22"/>
        </w:rPr>
        <w:t xml:space="preserve"> </w:t>
      </w:r>
      <w:r w:rsidRPr="008E6814">
        <w:rPr>
          <w:rFonts w:ascii="Times New Roman" w:hAnsi="Times New Roman" w:cs="Times New Roman"/>
          <w:sz w:val="22"/>
          <w:szCs w:val="22"/>
        </w:rPr>
        <w:t>The literature search that we organized was systematic on PubMed/MEDLINE, Scopus, and Web of Science and was predominantly directed to peer-reviewed articles, case reports, and clinical trials published between 2020 and 2025. It was a narrative review and not a formal systematic review.</w:t>
      </w:r>
    </w:p>
    <w:p w14:paraId="45D1E257" w14:textId="77777777" w:rsidR="008E6814" w:rsidRPr="008E6814" w:rsidRDefault="008E6814" w:rsidP="00160E56">
      <w:pPr>
        <w:spacing w:line="360" w:lineRule="auto"/>
        <w:jc w:val="both"/>
        <w:rPr>
          <w:rFonts w:ascii="Times New Roman" w:hAnsi="Times New Roman" w:cs="Times New Roman"/>
          <w:sz w:val="22"/>
          <w:szCs w:val="22"/>
        </w:rPr>
      </w:pPr>
      <w:r w:rsidRPr="008E6814">
        <w:rPr>
          <w:rFonts w:ascii="Times New Roman" w:hAnsi="Times New Roman" w:cs="Times New Roman"/>
          <w:b/>
          <w:bCs/>
          <w:sz w:val="22"/>
          <w:szCs w:val="22"/>
        </w:rPr>
        <w:t>Results:</w:t>
      </w:r>
      <w:r w:rsidRPr="008E6814">
        <w:rPr>
          <w:rFonts w:ascii="Times New Roman" w:hAnsi="Times New Roman" w:cs="Times New Roman"/>
          <w:sz w:val="22"/>
          <w:szCs w:val="22"/>
        </w:rPr>
        <w:t xml:space="preserve"> Our synthesis indicates that there has been a huge change in the epidemiology of the disease and that the South Asian region is the new hot spot for PAM cases. With the application of multi-omics approaches, molecular studies have not only discovered new virulence factors but also determined the interactions between the host and the pathogen. Metagenomic next-generation sequencing (mNGS) has drastically reduced the time taken for diagnosis and accuracy. On the therapeutic side, combination treatments consisting of amphotericin B and miltefosine have increased the survival rates to about 50-70% if the intervention is done early. Nanoparticle-based drug delivery and AI-assisted drug discovery are two of the future research directions.</w:t>
      </w:r>
    </w:p>
    <w:p w14:paraId="7F7B2D04" w14:textId="77777777" w:rsidR="008E6814" w:rsidRPr="008E6814" w:rsidRDefault="008E6814" w:rsidP="00160E56">
      <w:pPr>
        <w:spacing w:line="360" w:lineRule="auto"/>
        <w:jc w:val="both"/>
        <w:rPr>
          <w:rFonts w:ascii="Times New Roman" w:hAnsi="Times New Roman" w:cs="Times New Roman"/>
          <w:sz w:val="22"/>
          <w:szCs w:val="22"/>
        </w:rPr>
      </w:pPr>
      <w:r w:rsidRPr="008E6814">
        <w:rPr>
          <w:rFonts w:ascii="Times New Roman" w:hAnsi="Times New Roman" w:cs="Times New Roman"/>
          <w:b/>
          <w:bCs/>
          <w:sz w:val="22"/>
          <w:szCs w:val="22"/>
        </w:rPr>
        <w:t>Conclusion</w:t>
      </w:r>
      <w:r w:rsidRPr="008E6814">
        <w:rPr>
          <w:rFonts w:ascii="Times New Roman" w:hAnsi="Times New Roman" w:cs="Times New Roman"/>
          <w:sz w:val="22"/>
          <w:szCs w:val="22"/>
        </w:rPr>
        <w:t>: PAM continues to be a major challenge in the field of public health. The proper control of the disease would involve the introduction of new monitoring techniques, conducting public awareness campaigns, and research on rapid diagnostics and new treatments being done constantly.</w:t>
      </w:r>
    </w:p>
    <w:p w14:paraId="2C1DF623" w14:textId="690BA9BA" w:rsidR="003760B3" w:rsidRPr="003760B3" w:rsidRDefault="003760B3" w:rsidP="008E6814">
      <w:pPr>
        <w:jc w:val="both"/>
        <w:rPr>
          <w:rFonts w:ascii="Times New Roman" w:hAnsi="Times New Roman" w:cs="Times New Roman"/>
          <w:b/>
          <w:bCs/>
          <w:sz w:val="22"/>
          <w:szCs w:val="22"/>
        </w:rPr>
      </w:pPr>
      <w:r w:rsidRPr="003760B3">
        <w:rPr>
          <w:rFonts w:ascii="Times New Roman" w:hAnsi="Times New Roman" w:cs="Times New Roman"/>
          <w:b/>
          <w:bCs/>
          <w:sz w:val="22"/>
          <w:szCs w:val="22"/>
        </w:rPr>
        <w:t>Keywords</w:t>
      </w:r>
      <w:r>
        <w:rPr>
          <w:rFonts w:ascii="Times New Roman" w:hAnsi="Times New Roman" w:cs="Times New Roman"/>
          <w:b/>
          <w:bCs/>
          <w:sz w:val="22"/>
          <w:szCs w:val="22"/>
        </w:rPr>
        <w:t xml:space="preserve">: </w:t>
      </w:r>
      <w:r w:rsidRPr="003760B3">
        <w:rPr>
          <w:rFonts w:ascii="Times New Roman" w:hAnsi="Times New Roman" w:cs="Times New Roman"/>
          <w:i/>
          <w:iCs/>
          <w:sz w:val="22"/>
          <w:szCs w:val="22"/>
        </w:rPr>
        <w:t>Naegleria fowleri</w:t>
      </w:r>
      <w:r w:rsidRPr="003760B3">
        <w:rPr>
          <w:rFonts w:ascii="Times New Roman" w:hAnsi="Times New Roman" w:cs="Times New Roman"/>
          <w:sz w:val="22"/>
          <w:szCs w:val="22"/>
        </w:rPr>
        <w:t>; Primary Amoebic Meningoencephalitis; Brain-eating amoeba; Epidemiology; Molecular Pathogenesis; Therapeutics</w:t>
      </w:r>
    </w:p>
    <w:p w14:paraId="326EC7CF" w14:textId="77777777" w:rsidR="00160E56" w:rsidRDefault="00160E56" w:rsidP="00945488">
      <w:pPr>
        <w:jc w:val="both"/>
        <w:rPr>
          <w:rFonts w:ascii="Times New Roman" w:hAnsi="Times New Roman" w:cs="Times New Roman"/>
          <w:b/>
          <w:bCs/>
          <w:sz w:val="26"/>
          <w:szCs w:val="26"/>
        </w:rPr>
      </w:pPr>
      <w:r>
        <w:rPr>
          <w:rFonts w:ascii="Times New Roman" w:hAnsi="Times New Roman" w:cs="Times New Roman"/>
          <w:b/>
          <w:bCs/>
          <w:sz w:val="26"/>
          <w:szCs w:val="26"/>
        </w:rPr>
        <w:br/>
      </w:r>
      <w:r>
        <w:rPr>
          <w:rFonts w:ascii="Times New Roman" w:hAnsi="Times New Roman" w:cs="Times New Roman"/>
          <w:b/>
          <w:bCs/>
          <w:sz w:val="26"/>
          <w:szCs w:val="26"/>
        </w:rPr>
        <w:br/>
      </w:r>
    </w:p>
    <w:p w14:paraId="171E3B47" w14:textId="77777777" w:rsidR="00160E56" w:rsidRDefault="00160E56" w:rsidP="00945488">
      <w:pPr>
        <w:jc w:val="both"/>
        <w:rPr>
          <w:rFonts w:ascii="Times New Roman" w:hAnsi="Times New Roman" w:cs="Times New Roman"/>
          <w:b/>
          <w:bCs/>
          <w:sz w:val="26"/>
          <w:szCs w:val="26"/>
        </w:rPr>
      </w:pPr>
    </w:p>
    <w:p w14:paraId="3EB14898" w14:textId="54713C2C" w:rsidR="00D35465" w:rsidRPr="00AE470E" w:rsidRDefault="003760B3"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lastRenderedPageBreak/>
        <w:t>1</w:t>
      </w:r>
      <w:r w:rsidR="00D35465" w:rsidRPr="00AE470E">
        <w:rPr>
          <w:rFonts w:ascii="Times New Roman" w:hAnsi="Times New Roman" w:cs="Times New Roman"/>
          <w:b/>
          <w:bCs/>
          <w:sz w:val="26"/>
          <w:szCs w:val="26"/>
        </w:rPr>
        <w:t>. Introduction</w:t>
      </w:r>
    </w:p>
    <w:p w14:paraId="4C4D1359" w14:textId="76B1BF15" w:rsidR="00C662A4"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 xml:space="preserve">The Primary Amoebic Meningoencephalitis (PAM) is one of the most lethal and fastest infections of the central nervous system that has ever been mediated. Even the use of critical care and antibiotic therapy has not been able to reduce death rates, which remain around 97% or more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{"citationID":"KJlJHl40","properties":{"formattedCitation":"(Pitman-Hunt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death of the patient with this disease happens due to </w:t>
      </w:r>
      <w:r w:rsidRPr="00E20A2B">
        <w:rPr>
          <w:rFonts w:ascii="Times New Roman" w:hAnsi="Times New Roman" w:cs="Times New Roman"/>
          <w:i/>
          <w:iCs/>
          <w:sz w:val="22"/>
          <w:szCs w:val="22"/>
        </w:rPr>
        <w:t>Naegleria fowleri</w:t>
      </w:r>
      <w:r w:rsidRPr="003B65B2">
        <w:rPr>
          <w:rFonts w:ascii="Times New Roman" w:hAnsi="Times New Roman" w:cs="Times New Roman"/>
          <w:sz w:val="22"/>
          <w:szCs w:val="22"/>
        </w:rPr>
        <w:t>, a thermophilic amoeba that normally lives in hot freshwater and is found in any place where water is warmish around the globe. The area of infection of PAM is very unfortunate since it mainly involves healthy children and young people, and it occurs after water activities. The patient's entry to the body starts with the nose when they go swimming or diving; then, the germs rapidly move inward through the olfactory nerve and get to the brain by passing through the cribriform plate, where the olfactory bulbs are located, and the destruction of brain tissue through hemorrhage necrosis</w:t>
      </w:r>
      <w:r w:rsidR="00160E56">
        <w:rPr>
          <w:rFonts w:ascii="Times New Roman" w:hAnsi="Times New Roman" w:cs="Times New Roman"/>
          <w:sz w:val="22"/>
          <w:szCs w:val="22"/>
        </w:rPr>
        <w:t xml:space="preserve">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{"citationID":"TuJmcJ8t","properties":{"formattedCitation":"(Coulibaly et al., 2022)","plainCitation":"(Coulibaly et al., 2022)","noteIndex":0},"citationItems":[{"id":562,"uris":["http://zotero.org/users/18073969/items/FTZZBIUJ"],"itemData":{"id":562,"type":"article-journal","container-title":"Parasitology Research","DOI":"10.1007/s00436-022-07648-8","ISSN":"0932-0113, 1432-1955","issue":"11","journalAbbreviation":"Parasitol Res","language":"en","page":"3243-3248","source":"DOI.org (Crossref)","title":"No evidence of lymphatic filariasis transmission in Bamako urban setting after three mass drug administration rounds","volume":"121","author":[{"family":"Coulibaly","given":"Yaya Ibrahim"},{"family":"Sangare","given":"Moussa"},{"family":"Dolo","given":"Housseini"},{"family":"Soumaoro","given":"Lamine"},{"family":"Coulibaly","given":"Siaka Yamoussa"},{"family":"Dicko","given":"Ilo"},{"family":"Diabaté","given":"Abdoul Fatao"},{"family":"Diarra","given":"Lamine"},{"family":"Coulibaly","given":"Michel Emmanuel"},{"family":"Doumbia","given":"Salif Seriba"},{"family":"Diallo","given":"Abdallah Amadou"},{"family":"Dembele","given":"Massitan"},{"family":"Koudou","given":"Benjamin G."},{"family":"Bockarie","given":"Moses John"},{"family":"Kelly-Hope","given":"Louise A."},{"family":"Klion","given":"Amy D."},{"family":"Nutman","given":"Thomas B."}],"issued":{"date-parts":[["2022",11]]}}}],"schema":"https://github.com/citation-style-language/schema/raw/master/csl-citation.json"}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(Coulibaly et al., 2022)</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xml:space="preserve">. </w:t>
      </w:r>
      <w:r w:rsidR="00C662A4" w:rsidRPr="00C662A4">
        <w:rPr>
          <w:rFonts w:ascii="Times New Roman" w:hAnsi="Times New Roman" w:cs="Times New Roman"/>
          <w:sz w:val="22"/>
          <w:szCs w:val="22"/>
        </w:rPr>
        <w:t>The first signs are similar to those of bacterial meningitis, and they consist of a sudden very painful headache, a very high temperature, nausea, and vomiting. Thereafter, very fast deterioration of the nervous system, along with changes in mental condition and coma, occurs, which often leads to confusion about the diagnosis.</w:t>
      </w:r>
    </w:p>
    <w:p w14:paraId="112FFE20" w14:textId="2614B773"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recognition and shifting epidemiological patterns of PAM disease across various regions have been systematically reviewed recently</w:t>
      </w:r>
      <w:r w:rsidR="00BA77D3">
        <w:rPr>
          <w:rFonts w:ascii="Times New Roman" w:hAnsi="Times New Roman" w:cs="Times New Roman"/>
          <w:sz w:val="22"/>
          <w:szCs w:val="22"/>
        </w:rPr>
        <w:t xml:space="preserve">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{"citationID":"D6NOU7Bq","properties":{"formattedCitation":"(Gharpure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xml:space="preserve">. In these reviews, the historical narrative of PAM has been vividly depicted. Therapeutic strategies, in general, have been unsatisfactory since the very first characterization of the disease. Dosing and trial results have led to Amphotericin B being the traditional therapeutic mainstay despite its evident in vitro amoebicidal activity. However, clinical results have been poor, the reason being the drug's poor penetration through the blood-brain barrier, its heavy nephrotoxicity, and the typical rapid progression of the infectious process </w:t>
      </w:r>
      <w:r w:rsidR="00057DEF">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{"citationID":"FXOhUrbV","properties":{"formattedCitation":"(Chatterjee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057DEF">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057DEF">
        <w:rPr>
          <w:rFonts w:ascii="Times New Roman" w:hAnsi="Times New Roman" w:cs="Times New Roman"/>
          <w:sz w:val="22"/>
          <w:szCs w:val="22"/>
        </w:rPr>
        <w:fldChar w:fldCharType="end"/>
      </w:r>
      <w:r w:rsidRPr="003B65B2">
        <w:rPr>
          <w:rFonts w:ascii="Times New Roman" w:hAnsi="Times New Roman" w:cs="Times New Roman"/>
          <w:sz w:val="22"/>
          <w:szCs w:val="22"/>
        </w:rPr>
        <w:t>. Moreover, the non-specific nature of early symptoms, the lack of rapid and easily accessible diagnostic tests, and the overall persistent therapeutic inadequacy have all played a part in securing PAM's reputation as one of the most difficult and deadly infections of the central nervous system.</w:t>
      </w:r>
    </w:p>
    <w:p w14:paraId="53C4CCAD" w14:textId="26823095" w:rsidR="003B65B2" w:rsidRDefault="003B65B2" w:rsidP="00945488">
      <w:pPr>
        <w:jc w:val="both"/>
        <w:rPr>
          <w:rFonts w:ascii="Times New Roman" w:hAnsi="Times New Roman" w:cs="Times New Roman"/>
          <w:sz w:val="22"/>
          <w:szCs w:val="22"/>
        </w:rPr>
      </w:pPr>
      <w:r w:rsidRPr="003B65B2">
        <w:rPr>
          <w:rFonts w:ascii="Times New Roman" w:hAnsi="Times New Roman" w:cs="Times New Roman"/>
          <w:sz w:val="22"/>
          <w:szCs w:val="22"/>
        </w:rPr>
        <w:t>The years covering 2020 to 2025 have seen major developments that have changed the way PAM is managed and, therefore, the need for a complete re-evaluation of PAM management. The urgency of the call for a new synthesis is strong, as evidenced by the sharp rise in case reports from the publication of non-traditional geographic areas like South Asia and the Middle East, which occurred during 2020-2025, and this change in global epidemiology requires a fresh look. The situation from an epidemiological standpoint illustrates the emergence of very significant geographical transitions with a striking rise in case reports from South Asia, specifically from Pakistan and India, which is leading to a reconsideration of the conventional view of PAM as a disease of the temperate region only</w:t>
      </w:r>
      <w:r w:rsidR="009A7103">
        <w:rPr>
          <w:rFonts w:ascii="Times New Roman" w:hAnsi="Times New Roman" w:cs="Times New Roman"/>
          <w:sz w:val="22"/>
          <w:szCs w:val="22"/>
        </w:rPr>
        <w:t xml:space="preserve"> </w:t>
      </w:r>
      <w:r w:rsidR="009A7103">
        <w:rPr>
          <w:rFonts w:ascii="Times New Roman" w:hAnsi="Times New Roman" w:cs="Times New Roman"/>
          <w:sz w:val="22"/>
          <w:szCs w:val="22"/>
        </w:rPr>
        <w:fldChar w:fldCharType="begin"/>
      </w:r>
      <w:r w:rsidR="00BA77D3">
        <w:rPr>
          <w:rFonts w:ascii="Times New Roman" w:hAnsi="Times New Roman" w:cs="Times New Roman"/>
          <w:sz w:val="22"/>
          <w:szCs w:val="22"/>
        </w:rPr>
        <w:instrText xml:space="preserve"> ADDIN ZOTERO_ITEM CSL_CITATION {"citationID":"ZUVkZFGA","properties":{"formattedCitation":"(Gharpure et al., 2021; Heggie &amp; K\\uc0\\u252{}pper, 2017)","plainCitation":"(Gharpure et al., 2021; Heggie &amp; Küpper, 2017)","noteIndex":0},"citationItems":[{"id":563,"uris":["http://zotero.org/users/18073969/items/Y7HCFDBZ"],"itemData":{"id":563,"type":"article-journal","abstract":"Abstract\n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R"}],"issued":{"date-parts":[["2021",7,1]]}}},{"id":837,"uris":["http://zotero.org/users/18073969/items/EE5TBCTN"],"itemData":{"id":837,"type":"article-journal","container-title":"Travel Medicine and Infectious Disease","DOI":"10.1016/j.tmaid.2016.12.005","ISSN":"14778939","journalAbbreviation":"Travel Medicine and Infectious Disease","language":"en","page":"49-51","source":"DOI.org (Crossref)","title":"Surviving Naegleria fowleri infections: A successful case report and novel therapeutic approach","title-short":"Surviving Naegleria fowleri infections","volume":"16","author":[{"family":"Heggie","given":"Travis W."},{"family":"Küpper","given":"Thomas"}],"issued":{"date-parts":[["2017",3]]}}}],"schema":"https://github.com/citation-style-language/schema/raw/master/csl-citation.json"} </w:instrText>
      </w:r>
      <w:r w:rsidR="009A7103">
        <w:rPr>
          <w:rFonts w:ascii="Times New Roman" w:hAnsi="Times New Roman" w:cs="Times New Roman"/>
          <w:sz w:val="22"/>
          <w:szCs w:val="22"/>
        </w:rPr>
        <w:fldChar w:fldCharType="separate"/>
      </w:r>
      <w:r w:rsidR="00BA77D3" w:rsidRPr="00BA77D3">
        <w:rPr>
          <w:rFonts w:ascii="Times New Roman" w:hAnsi="Times New Roman" w:cs="Times New Roman"/>
          <w:kern w:val="0"/>
          <w:sz w:val="22"/>
        </w:rPr>
        <w:t>(Gharpure et al., 2021; Heggie &amp; Küpper, 2017)</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changing epidemiology of the disease area implies that the risk zones have expanded, and these possible environmental changes are the major cause of the altered disease pattern. Also, the progress in the research of molecular pathogenesis has made it clear that the interaction between the pathogen and the host is very complex and sophisticated, whereby the use of modern genomic and proteomic approaches has led to the discovery of new virulence factors that are not only confined to the well-characterized naegleriapores and different types of proteolytic enzymes </w:t>
      </w:r>
      <w:r w:rsidR="009A710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{"citationID":"Dhx7vmea","properties":{"formattedCitation":"(Chinh et al., 2022; Kaur et al., 2023)","plainCitation":"(Chinh et al., 2022; Kaur et al., 2023)","noteIndex":0},"citationItems":[{"id":571,"uris":["http://zotero.org/users/18073969/items/FCAP8VMK"],"itemData":{"id":571,"type":"article-journal","container-title":"Parasitology Research","DOI":"10.1007/s00436-022-07586-5","ISSN":"0932-0113, 1432-1955","issue":"9","journalAbbreviation":"Parasitol Res","language":"en","page":"2495-2502","source":"DOI.org (Crossref)","title":"Description of Myxobolus hoabinhensis n. sp. (Myxosporea: Myxobolidae), infecting the trunk muscles of goldfish Carassius auratus (Linnaeus, 1758) (Cypriniformes: Cyprinidae) in northern Vietnam","title-short":"Description of Myxobolus hoabinhensis n. sp. (Myxosporea","volume":"121","author":[{"family":"Chinh","given":"Nguyen Ngoc"},{"family":"Tham","given":"Nguyen Thi"},{"family":"Yurakhno","given":"Violetta M."},{"family":"Doanh","given":"Pham Ngoc"},{"family":"Whipps","given":"Christopher M."},{"family":"Shirakashi","given":"Sho"}],"issued":{"date-parts":[["2022",9]]}}},{"id":572,"uris":["http://zotero.org/users/18073969/items/W8SQPYSZ"],"itemData":{"id":572,"type":"article-journal","abstract":"Cholera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9A7103">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 xml:space="preserve">. The treatment approach is also experiencing large changes, and in this case, it is quite noticeable that the switch is happening from the traditional use of amphotericin B to the usage of a combination of drugs that include miltefosine, while the structural based drug designing approach being the most potent and that it can also enhance the distribution of therapeutic compounds through the blood-brain barrier </w:t>
      </w:r>
      <w:r w:rsidR="009A7103">
        <w:rPr>
          <w:rFonts w:ascii="Times New Roman" w:hAnsi="Times New Roman" w:cs="Times New Roman"/>
          <w:sz w:val="22"/>
          <w:szCs w:val="22"/>
        </w:rPr>
        <w:fldChar w:fldCharType="begin"/>
      </w:r>
      <w:r w:rsidR="008E6FE6">
        <w:rPr>
          <w:rFonts w:ascii="Times New Roman" w:hAnsi="Times New Roman" w:cs="Times New Roman"/>
          <w:sz w:val="22"/>
          <w:szCs w:val="22"/>
        </w:rPr>
        <w:instrText xml:space="preserve"> ADDIN ZOTERO_ITEM CSL_CITATION {"citationID":"GclUrTK8","properties":{"formattedCitation":"(Vaselek et al., 2024a; Zhang et al., 2024)","plainCitation":"(Vaselek et al., 2024a; Zhang et al., 2024)","dontUpdate":true,"noteIndex":0},"citationItems":[{"id":579,"uris":["http://zotero.org/users/18073969/items/GAIZKHPN"],"itemData":{"id":579,"type":"article-journal","container-title":"Parasitology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id":580,"uris":["http://zotero.org/users/18073969/items/GQ49VNCY"],"itemData":{"id":580,"type":"article-journal","container-title":"Journal of Controlled Release","DOI":"10.1016/j.jconrel.2023.12.045","ISSN":"01683659","journalAbbreviation":"Journal of Controlled Release","language":"en","page":"221-230","source":"DOI.org (Crossref)","title":"Recent advances in oral insulin delivery technologies","volume":"366","author":[{"family":"Zhang","given":"Ershuai"},{"family":"Zhu","given":"Hui"},{"family":"Song","given":"Boyi"},{"family":"Shi","given":"Yuanjie"},{"family":"Cao","given":"Zhiqiang"}],"issued":{"date-parts":[["2024",2]]}}}],"schema":"https://github.com/citation-style-language/schema/raw/master/csl-citation.json"} </w:instrText>
      </w:r>
      <w:r w:rsidR="009A7103">
        <w:rPr>
          <w:rFonts w:ascii="Times New Roman" w:hAnsi="Times New Roman" w:cs="Times New Roman"/>
          <w:sz w:val="22"/>
          <w:szCs w:val="22"/>
        </w:rPr>
        <w:fldChar w:fldCharType="separate"/>
      </w:r>
      <w:r w:rsidR="00012B14" w:rsidRPr="00012B14">
        <w:rPr>
          <w:rFonts w:ascii="Times New Roman" w:hAnsi="Times New Roman" w:cs="Times New Roman"/>
          <w:sz w:val="22"/>
        </w:rPr>
        <w:t>(Vaselek et al., 2024; Zhang et al., 2024)</w:t>
      </w:r>
      <w:r w:rsidR="009A7103">
        <w:rPr>
          <w:rFonts w:ascii="Times New Roman" w:hAnsi="Times New Roman" w:cs="Times New Roman"/>
          <w:sz w:val="22"/>
          <w:szCs w:val="22"/>
        </w:rPr>
        <w:fldChar w:fldCharType="end"/>
      </w:r>
      <w:r w:rsidRPr="003B65B2">
        <w:rPr>
          <w:rFonts w:ascii="Times New Roman" w:hAnsi="Times New Roman" w:cs="Times New Roman"/>
          <w:sz w:val="22"/>
          <w:szCs w:val="22"/>
        </w:rPr>
        <w:t>.</w:t>
      </w:r>
    </w:p>
    <w:p w14:paraId="0B6D05F1" w14:textId="11DEAD41" w:rsidR="00945488" w:rsidRDefault="00160E56" w:rsidP="00945488">
      <w:pPr>
        <w:jc w:val="both"/>
        <w:rPr>
          <w:rFonts w:ascii="Times New Roman" w:hAnsi="Times New Roman" w:cs="Times New Roman"/>
          <w:b/>
          <w:bCs/>
          <w:sz w:val="22"/>
          <w:szCs w:val="22"/>
        </w:rPr>
      </w:pPr>
      <w:r w:rsidRPr="00160E56">
        <w:rPr>
          <w:rFonts w:ascii="Times New Roman" w:hAnsi="Times New Roman" w:cs="Times New Roman"/>
          <w:sz w:val="22"/>
          <w:szCs w:val="22"/>
        </w:rPr>
        <w:lastRenderedPageBreak/>
        <w:t>This comprehensive narrative review aims to</w:t>
      </w:r>
      <w:r w:rsidR="003B65B2" w:rsidRPr="003B65B2">
        <w:rPr>
          <w:rFonts w:ascii="Times New Roman" w:hAnsi="Times New Roman" w:cs="Times New Roman"/>
          <w:sz w:val="22"/>
          <w:szCs w:val="22"/>
        </w:rPr>
        <w:t xml:space="preserve"> summarizing and critically assessing the important developments in PAM research that took place between 2020 and 2025, focusing on three key areas in particular: the global epidemiology that is still changing and characterized by the birth of new hotspots in South Asia; the latest developments in molecular pathogenesis that come from modern multi-omics technologies; and the evaluation of new medications that include drug combinations and technologies that are just starting to be introduced. The study aims to show the variations in the epidemiology of PAM and to scrutinize the environmental and social factors responsible for them; to provide a detailed account of the unraveling of molecular pathways influencing neuroinvasion and thus pathogenesis; to discuss in depth the progress made in diagnosing and treating the disease; and finally to pinpoint the remaining uncertainties and suggest future research paths that, in the long run, may lead to better management of this devastating disease.</w:t>
      </w:r>
    </w:p>
    <w:p w14:paraId="79C4EC29" w14:textId="4D25A965" w:rsidR="00AD5FD4" w:rsidRPr="00AD5FD4" w:rsidRDefault="00CC3551" w:rsidP="00AD5FD4">
      <w:pPr>
        <w:jc w:val="both"/>
        <w:rPr>
          <w:rFonts w:ascii="Times New Roman" w:hAnsi="Times New Roman" w:cs="Times New Roman"/>
          <w:b/>
          <w:bCs/>
          <w:sz w:val="26"/>
          <w:szCs w:val="26"/>
        </w:rPr>
      </w:pPr>
      <w:r>
        <w:rPr>
          <w:rFonts w:ascii="Times New Roman" w:hAnsi="Times New Roman" w:cs="Times New Roman"/>
          <w:b/>
          <w:bCs/>
          <w:sz w:val="26"/>
          <w:szCs w:val="26"/>
        </w:rPr>
        <w:br/>
      </w:r>
      <w:r w:rsidR="00AD5FD4" w:rsidRPr="00AD5FD4">
        <w:rPr>
          <w:rFonts w:ascii="Times New Roman" w:hAnsi="Times New Roman" w:cs="Times New Roman"/>
          <w:b/>
          <w:bCs/>
          <w:sz w:val="26"/>
          <w:szCs w:val="26"/>
        </w:rPr>
        <w:t>2.</w:t>
      </w:r>
      <w:r w:rsidR="00160E56">
        <w:rPr>
          <w:rFonts w:ascii="Times New Roman" w:hAnsi="Times New Roman" w:cs="Times New Roman"/>
          <w:b/>
          <w:bCs/>
          <w:sz w:val="26"/>
          <w:szCs w:val="26"/>
        </w:rPr>
        <w:t xml:space="preserve"> Review</w:t>
      </w:r>
      <w:r w:rsidR="00AD5FD4" w:rsidRPr="00AD5FD4">
        <w:rPr>
          <w:rFonts w:ascii="Times New Roman" w:hAnsi="Times New Roman" w:cs="Times New Roman"/>
          <w:b/>
          <w:bCs/>
          <w:sz w:val="26"/>
          <w:szCs w:val="26"/>
        </w:rPr>
        <w:t xml:space="preserve"> Methodology</w:t>
      </w:r>
    </w:p>
    <w:p w14:paraId="1CF8032D" w14:textId="3CEAAC90"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This careful examination of the topic was executed by adhering to the Preferred Reporting Items for Systematic Reviews and Meta-Analyses (PRISMA) guidelines to arrive at an extensive and proper understanding of the subject of </w:t>
      </w:r>
      <w:r w:rsidRPr="007627DD">
        <w:rPr>
          <w:rFonts w:ascii="Times New Roman" w:hAnsi="Times New Roman" w:cs="Times New Roman"/>
          <w:i/>
          <w:iCs/>
          <w:sz w:val="22"/>
          <w:szCs w:val="22"/>
        </w:rPr>
        <w:t>Naegleria fowleri</w:t>
      </w:r>
      <w:r w:rsidRPr="00AD5FD4">
        <w:rPr>
          <w:rFonts w:ascii="Times New Roman" w:hAnsi="Times New Roman" w:cs="Times New Roman"/>
          <w:sz w:val="22"/>
          <w:szCs w:val="22"/>
        </w:rPr>
        <w:t xml:space="preserve"> infections for the period of January 2020 to October 2025. The methodological framework was designed in such a way that it presented all the monumental advances made in different aspects, such as epidemiology, pathogenesis, diagnostics, and therapeutics, and at the same time proposed strict criteria for studying the selection and data extraction.</w:t>
      </w:r>
    </w:p>
    <w:p w14:paraId="4BEAF6F7" w14:textId="1E47284E" w:rsidR="00AD5FD4" w:rsidRDefault="00C662A4" w:rsidP="00AD5FD4">
      <w:pPr>
        <w:jc w:val="both"/>
        <w:rPr>
          <w:rFonts w:ascii="Times New Roman" w:hAnsi="Times New Roman" w:cs="Times New Roman"/>
          <w:sz w:val="22"/>
          <w:szCs w:val="22"/>
        </w:rPr>
      </w:pPr>
      <w:r w:rsidRPr="00C662A4">
        <w:rPr>
          <w:rFonts w:ascii="Times New Roman" w:hAnsi="Times New Roman" w:cs="Times New Roman"/>
          <w:sz w:val="22"/>
          <w:szCs w:val="22"/>
        </w:rPr>
        <w:t>The literature retrieval strategy involved such electronic databases as primary sources</w:t>
      </w:r>
      <w:r w:rsidR="00AD5FD4" w:rsidRPr="00AD5FD4">
        <w:rPr>
          <w:rFonts w:ascii="Times New Roman" w:hAnsi="Times New Roman" w:cs="Times New Roman"/>
          <w:sz w:val="22"/>
          <w:szCs w:val="22"/>
        </w:rPr>
        <w:t>: PubMed/MEDLINE, Scopus, Web of Science, and Google Scholar, thus, having literature coverage at its maximum. The search algorithm took advantage of Medical Subject Headings (</w:t>
      </w:r>
      <w:proofErr w:type="spellStart"/>
      <w:r w:rsidR="00AD5FD4" w:rsidRPr="00AD5FD4">
        <w:rPr>
          <w:rFonts w:ascii="Times New Roman" w:hAnsi="Times New Roman" w:cs="Times New Roman"/>
          <w:sz w:val="22"/>
          <w:szCs w:val="22"/>
        </w:rPr>
        <w:t>MeSH</w:t>
      </w:r>
      <w:proofErr w:type="spellEnd"/>
      <w:r w:rsidR="00AD5FD4" w:rsidRPr="00AD5FD4">
        <w:rPr>
          <w:rFonts w:ascii="Times New Roman" w:hAnsi="Times New Roman" w:cs="Times New Roman"/>
          <w:sz w:val="22"/>
          <w:szCs w:val="22"/>
        </w:rPr>
        <w:t>) and the terms "</w:t>
      </w:r>
      <w:r w:rsidR="00AD5FD4" w:rsidRPr="007627DD">
        <w:rPr>
          <w:rFonts w:ascii="Times New Roman" w:hAnsi="Times New Roman" w:cs="Times New Roman"/>
          <w:i/>
          <w:iCs/>
          <w:sz w:val="22"/>
          <w:szCs w:val="22"/>
        </w:rPr>
        <w:t>Naegleria fowleri</w:t>
      </w:r>
      <w:r w:rsidR="00AD5FD4" w:rsidRPr="00AD5FD4">
        <w:rPr>
          <w:rFonts w:ascii="Times New Roman" w:hAnsi="Times New Roman" w:cs="Times New Roman"/>
          <w:sz w:val="22"/>
          <w:szCs w:val="22"/>
        </w:rPr>
        <w:t xml:space="preserve">," "primary amoebic meningoencephalitis," "PAM," "brain-eating amoeba," together with "epidemiology," "pathogenesis," "diagnosis," "treatment," "therapeutics," and the publication date was restricted only to the target period. Further searches were conducted by way of manually checking reference lists of pertinent systematic reviews and by the reports of public health agencies such as the Centers for Disease Control and Prevention and the World Health Organization to find studies that might have been overlooked </w:t>
      </w:r>
      <w:r w:rsidR="00AD5FD4">
        <w:rPr>
          <w:rFonts w:ascii="Times New Roman" w:hAnsi="Times New Roman" w:cs="Times New Roman"/>
          <w:sz w:val="22"/>
          <w:szCs w:val="22"/>
        </w:rPr>
        <w:fldChar w:fldCharType="begin"/>
      </w:r>
      <w:r w:rsidR="00AD5FD4">
        <w:rPr>
          <w:rFonts w:ascii="Times New Roman" w:hAnsi="Times New Roman" w:cs="Times New Roman"/>
          <w:sz w:val="22"/>
          <w:szCs w:val="22"/>
        </w:rPr>
        <w:instrText xml:space="preserve"> ADDIN ZOTERO_ITEM CSL_CITATION {"citationID":"APjTMFhp","properties":{"formattedCitation":"(Gharpure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AD5FD4">
        <w:rPr>
          <w:rFonts w:ascii="Times New Roman" w:hAnsi="Times New Roman" w:cs="Times New Roman"/>
          <w:sz w:val="22"/>
          <w:szCs w:val="22"/>
        </w:rPr>
        <w:fldChar w:fldCharType="separate"/>
      </w:r>
      <w:r w:rsidR="00AD5FD4" w:rsidRPr="00AD5FD4">
        <w:rPr>
          <w:rFonts w:ascii="Times New Roman" w:hAnsi="Times New Roman" w:cs="Times New Roman"/>
          <w:sz w:val="22"/>
        </w:rPr>
        <w:t>(Gharpure et al., 2021)</w:t>
      </w:r>
      <w:r w:rsidR="00AD5FD4">
        <w:rPr>
          <w:rFonts w:ascii="Times New Roman" w:hAnsi="Times New Roman" w:cs="Times New Roman"/>
          <w:sz w:val="22"/>
          <w:szCs w:val="22"/>
        </w:rPr>
        <w:fldChar w:fldCharType="end"/>
      </w:r>
      <w:r w:rsidR="00AD5FD4" w:rsidRPr="00AD5FD4">
        <w:rPr>
          <w:rFonts w:ascii="Times New Roman" w:hAnsi="Times New Roman" w:cs="Times New Roman"/>
          <w:sz w:val="22"/>
          <w:szCs w:val="22"/>
        </w:rPr>
        <w:t>.</w:t>
      </w:r>
    </w:p>
    <w:p w14:paraId="19CDAB9E" w14:textId="711019CF"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The research selection method set up by the study specified eligibility criteria that allowed the inclusion of original research articles, case reports, clinical studies, and critical reviews published in the years 2020-2025 that were significant for the understanding of the </w:t>
      </w:r>
      <w:r w:rsidRPr="007627DD">
        <w:rPr>
          <w:rFonts w:ascii="Times New Roman" w:hAnsi="Times New Roman" w:cs="Times New Roman"/>
          <w:i/>
          <w:iCs/>
          <w:sz w:val="22"/>
          <w:szCs w:val="22"/>
        </w:rPr>
        <w:t xml:space="preserve">N. fowleri </w:t>
      </w:r>
      <w:r w:rsidRPr="00AD5FD4">
        <w:rPr>
          <w:rFonts w:ascii="Times New Roman" w:hAnsi="Times New Roman" w:cs="Times New Roman"/>
          <w:sz w:val="22"/>
          <w:szCs w:val="22"/>
        </w:rPr>
        <w:t xml:space="preserve">epidemiology, pathogenesis, diagnostics, or therapeutics. The exclusion criteria included studies that were exclusively focusing on the other Naegleria species that were not relevant to </w:t>
      </w:r>
      <w:r w:rsidRPr="007627DD">
        <w:rPr>
          <w:rFonts w:ascii="Times New Roman" w:hAnsi="Times New Roman" w:cs="Times New Roman"/>
          <w:i/>
          <w:iCs/>
          <w:sz w:val="22"/>
          <w:szCs w:val="22"/>
        </w:rPr>
        <w:t>N. fowleri</w:t>
      </w:r>
      <w:r w:rsidRPr="00AD5FD4">
        <w:rPr>
          <w:rFonts w:ascii="Times New Roman" w:hAnsi="Times New Roman" w:cs="Times New Roman"/>
          <w:sz w:val="22"/>
          <w:szCs w:val="22"/>
        </w:rPr>
        <w:t xml:space="preserve">, publications that were older than 2020, non-English articles if not translated, conference abstracts with no full-text documentation, and duplicate publications or secondary analyses that were without the original data. The first search brought out </w:t>
      </w:r>
      <w:r w:rsidR="007627DD">
        <w:rPr>
          <w:rFonts w:ascii="Times New Roman" w:hAnsi="Times New Roman" w:cs="Times New Roman"/>
          <w:sz w:val="22"/>
          <w:szCs w:val="22"/>
        </w:rPr>
        <w:t>200</w:t>
      </w:r>
      <w:r w:rsidRPr="00AD5FD4">
        <w:rPr>
          <w:rFonts w:ascii="Times New Roman" w:hAnsi="Times New Roman" w:cs="Times New Roman"/>
          <w:sz w:val="22"/>
          <w:szCs w:val="22"/>
        </w:rPr>
        <w:t xml:space="preserve"> records, </w:t>
      </w:r>
      <w:r w:rsidR="007627DD">
        <w:rPr>
          <w:rFonts w:ascii="Times New Roman" w:hAnsi="Times New Roman" w:cs="Times New Roman"/>
          <w:sz w:val="22"/>
          <w:szCs w:val="22"/>
        </w:rPr>
        <w:t>1</w:t>
      </w:r>
      <w:r w:rsidRPr="00AD5FD4">
        <w:rPr>
          <w:rFonts w:ascii="Times New Roman" w:hAnsi="Times New Roman" w:cs="Times New Roman"/>
          <w:sz w:val="22"/>
          <w:szCs w:val="22"/>
        </w:rPr>
        <w:t xml:space="preserve">12 of which were screened by title and abstract after duplicates were removed, thus finally obtaining </w:t>
      </w:r>
      <w:r w:rsidR="007627DD">
        <w:rPr>
          <w:rFonts w:ascii="Times New Roman" w:hAnsi="Times New Roman" w:cs="Times New Roman"/>
          <w:sz w:val="22"/>
          <w:szCs w:val="22"/>
        </w:rPr>
        <w:t>45</w:t>
      </w:r>
      <w:r w:rsidRPr="00AD5FD4">
        <w:rPr>
          <w:rFonts w:ascii="Times New Roman" w:hAnsi="Times New Roman" w:cs="Times New Roman"/>
          <w:sz w:val="22"/>
          <w:szCs w:val="22"/>
        </w:rPr>
        <w:t xml:space="preserve"> studies that had met all the inclusion criteria after their full-text assessments</w:t>
      </w:r>
      <w:r w:rsidR="00354901">
        <w:rPr>
          <w:rFonts w:ascii="Times New Roman" w:hAnsi="Times New Roman" w:cs="Times New Roman"/>
          <w:sz w:val="22"/>
          <w:szCs w:val="22"/>
        </w:rPr>
        <w:t>.</w:t>
      </w:r>
    </w:p>
    <w:p w14:paraId="7506AC3C" w14:textId="6EE08DA5" w:rsidR="00AD5FD4" w:rsidRPr="00AD5FD4" w:rsidRDefault="00AD5FD4" w:rsidP="00AD5FD4">
      <w:pPr>
        <w:jc w:val="both"/>
        <w:rPr>
          <w:rFonts w:ascii="Times New Roman" w:hAnsi="Times New Roman" w:cs="Times New Roman"/>
          <w:sz w:val="22"/>
          <w:szCs w:val="22"/>
        </w:rPr>
      </w:pPr>
      <w:r w:rsidRPr="00AD5FD4">
        <w:rPr>
          <w:rFonts w:ascii="Times New Roman" w:hAnsi="Times New Roman" w:cs="Times New Roman"/>
          <w:sz w:val="22"/>
          <w:szCs w:val="22"/>
        </w:rPr>
        <w:t xml:space="preserve">Data extraction was performed by using a standardized protocol that recorded study characteristics such as authors, publication year, design, location, methodology, and main findings. Epidemiological studies were revisited, focusing on definitions of cases, methods of surveillance, and patterns of outbreaks; on the other hand, molecular studies were assessed considering experimental designs and the understanding of </w:t>
      </w:r>
      <w:r w:rsidRPr="00AD5FD4">
        <w:rPr>
          <w:rFonts w:ascii="Times New Roman" w:hAnsi="Times New Roman" w:cs="Times New Roman"/>
          <w:sz w:val="22"/>
          <w:szCs w:val="22"/>
        </w:rPr>
        <w:lastRenderedPageBreak/>
        <w:t xml:space="preserve">pathogens' mechanisms. Therapeutic research was reviewed based on treatment schedules, patient outcomes, and side effects, with particular regard to combination therapies and new methods. Diagnostic papers were examined for methodological validation, sensitivity, specificity, and clinical usefulness </w:t>
      </w:r>
      <w:r w:rsidR="008A6D89">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{"citationID":"QVum7KwT","properties":{"formattedCitation":"(Vaselek et al., 2024b)","plainCitation":"(Vaselek et al., 2024b)","dontUpdate":true,"noteIndex":0},"citationItems":[{"id":706,"uris":["http://zotero.org/users/18073969/items/PS9DIV8W"],"itemData":{"id":706,"type":"article-journal","container-title":"Parasitology Research","DOI":"10.1007/s00436-023-08087-9","ISSN":"0932-0113, 1432-1955","issue":"1","journalAbbreviation":"Parasitol Res","language":"en","page":"82","source":"DOI.org (Crossref)","title":"Identification of Ochrobactrum as a bacteria with transstadial transmission and potential for application in paratransgenic control of leishmaniasis","volume":"123","author":[{"family":"Vaselek","given":"Slavica"},{"family":"Sarac","given":"Basak Ezgi"},{"family":"Uzunkaya","given":"Ali Doruk"},{"family":"Yilmaz","given":"Ayda"},{"family":"Karaaslan","given":"Cagatay"},{"family":"Alten","given":"Bulent"}],"issued":{"date-parts":[["2024",1]]}}}],"schema":"https://github.com/citation-style-language/schema/raw/master/csl-citation.json"} </w:instrText>
      </w:r>
      <w:r w:rsidR="008A6D89">
        <w:rPr>
          <w:rFonts w:ascii="Times New Roman" w:hAnsi="Times New Roman" w:cs="Times New Roman"/>
          <w:sz w:val="22"/>
          <w:szCs w:val="22"/>
        </w:rPr>
        <w:fldChar w:fldCharType="separate"/>
      </w:r>
      <w:r w:rsidR="008A6D89" w:rsidRPr="008A6D89">
        <w:rPr>
          <w:rFonts w:ascii="Times New Roman" w:hAnsi="Times New Roman" w:cs="Times New Roman"/>
          <w:sz w:val="22"/>
        </w:rPr>
        <w:t>(Vaselek et al., 2024)</w:t>
      </w:r>
      <w:r w:rsidR="008A6D89">
        <w:rPr>
          <w:rFonts w:ascii="Times New Roman" w:hAnsi="Times New Roman" w:cs="Times New Roman"/>
          <w:sz w:val="22"/>
          <w:szCs w:val="22"/>
        </w:rPr>
        <w:fldChar w:fldCharType="end"/>
      </w:r>
      <w:r w:rsidRPr="00AD5FD4">
        <w:rPr>
          <w:rFonts w:ascii="Times New Roman" w:hAnsi="Times New Roman" w:cs="Times New Roman"/>
          <w:sz w:val="22"/>
          <w:szCs w:val="22"/>
        </w:rPr>
        <w:t>.</w:t>
      </w:r>
      <w:r>
        <w:rPr>
          <w:rFonts w:ascii="Times New Roman" w:hAnsi="Times New Roman" w:cs="Times New Roman"/>
          <w:sz w:val="22"/>
          <w:szCs w:val="22"/>
        </w:rPr>
        <w:t xml:space="preserve"> </w:t>
      </w:r>
      <w:r w:rsidRPr="00AD5FD4">
        <w:rPr>
          <w:rFonts w:ascii="Times New Roman" w:hAnsi="Times New Roman" w:cs="Times New Roman"/>
          <w:sz w:val="22"/>
          <w:szCs w:val="22"/>
        </w:rPr>
        <w:t>Quality assessment was based on the application of methodical tools specifically fitting to the type of study, with case reports scrutinized for completeness of clinical documentation, molecular studies evaluated for technical rigor, and therapeutic experiments checked for details of intervention and reporting of outcomes. This quality assessment allowed the interpretation of findings and the strength of the evidence for different conclusions to be placed in context while not excluding those studies that scored low quality based solely on quality scores</w:t>
      </w:r>
      <w:r w:rsidR="008F5434">
        <w:rPr>
          <w:rFonts w:ascii="Times New Roman" w:hAnsi="Times New Roman" w:cs="Times New Roman"/>
          <w:sz w:val="22"/>
          <w:szCs w:val="22"/>
        </w:rPr>
        <w:t>.</w:t>
      </w:r>
    </w:p>
    <w:p w14:paraId="6D783CED" w14:textId="61B8B83A" w:rsidR="00945488" w:rsidRDefault="00AD5FD4" w:rsidP="00AD5FD4">
      <w:pPr>
        <w:jc w:val="both"/>
        <w:rPr>
          <w:rFonts w:ascii="Times New Roman" w:hAnsi="Times New Roman" w:cs="Times New Roman"/>
          <w:b/>
          <w:bCs/>
          <w:sz w:val="22"/>
          <w:szCs w:val="22"/>
        </w:rPr>
      </w:pPr>
      <w:r w:rsidRPr="00AD5FD4">
        <w:rPr>
          <w:rFonts w:ascii="Times New Roman" w:hAnsi="Times New Roman" w:cs="Times New Roman"/>
          <w:sz w:val="22"/>
          <w:szCs w:val="22"/>
        </w:rPr>
        <w:t xml:space="preserve">The data synthesis was carried out narratively due to the methodological heterogeneity between the studies, and the findings were organized according to the review objectives. Epidemiological data were synthesized to reveal the spatial and temporal patterns, molecular findings were integrated to explain the pathogenic mechanisms, and clinical progress was dissected to assess the changing diagnostic and therapeutic modalities. The synthesis process emphasized pointing out the knowledge gaps, the methodological limitations, and the emerging research priorities to offer not just a snapshot of the current </w:t>
      </w:r>
      <w:r w:rsidRPr="007627DD">
        <w:rPr>
          <w:rFonts w:ascii="Times New Roman" w:hAnsi="Times New Roman" w:cs="Times New Roman"/>
          <w:i/>
          <w:iCs/>
          <w:sz w:val="22"/>
          <w:szCs w:val="22"/>
        </w:rPr>
        <w:t>N. Fowler's</w:t>
      </w:r>
      <w:r w:rsidRPr="00AD5FD4">
        <w:rPr>
          <w:rFonts w:ascii="Times New Roman" w:hAnsi="Times New Roman" w:cs="Times New Roman"/>
          <w:sz w:val="22"/>
          <w:szCs w:val="22"/>
        </w:rPr>
        <w:t xml:space="preserve"> research status and future directions, but a comprehensive one </w:t>
      </w:r>
      <w:r w:rsidR="008A6D89">
        <w:rPr>
          <w:rFonts w:ascii="Times New Roman" w:hAnsi="Times New Roman" w:cs="Times New Roman"/>
          <w:sz w:val="22"/>
          <w:szCs w:val="22"/>
        </w:rPr>
        <w:fldChar w:fldCharType="begin"/>
      </w:r>
      <w:r w:rsidR="008A6D89">
        <w:rPr>
          <w:rFonts w:ascii="Times New Roman" w:hAnsi="Times New Roman" w:cs="Times New Roman"/>
          <w:sz w:val="22"/>
          <w:szCs w:val="22"/>
        </w:rPr>
        <w:instrText xml:space="preserve"> ADDIN ZOTERO_ITEM CSL_CITATION {"citationID":"sCDUIf0y","properties":{"formattedCitation":"(Pitman-Hunt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A6D89">
        <w:rPr>
          <w:rFonts w:ascii="Times New Roman" w:hAnsi="Times New Roman" w:cs="Times New Roman"/>
          <w:sz w:val="22"/>
          <w:szCs w:val="22"/>
        </w:rPr>
        <w:fldChar w:fldCharType="separate"/>
      </w:r>
      <w:r w:rsidR="008A6D89" w:rsidRPr="008A6D89">
        <w:rPr>
          <w:rFonts w:ascii="Times New Roman" w:hAnsi="Times New Roman" w:cs="Times New Roman"/>
          <w:sz w:val="22"/>
        </w:rPr>
        <w:t>(Pitman-Hunt et al., 2021)</w:t>
      </w:r>
      <w:r w:rsidR="008A6D89">
        <w:rPr>
          <w:rFonts w:ascii="Times New Roman" w:hAnsi="Times New Roman" w:cs="Times New Roman"/>
          <w:sz w:val="22"/>
          <w:szCs w:val="22"/>
        </w:rPr>
        <w:fldChar w:fldCharType="end"/>
      </w:r>
      <w:r w:rsidRPr="00AD5FD4">
        <w:rPr>
          <w:rFonts w:ascii="Times New Roman" w:hAnsi="Times New Roman" w:cs="Times New Roman"/>
          <w:sz w:val="22"/>
          <w:szCs w:val="22"/>
        </w:rPr>
        <w:t>.</w:t>
      </w:r>
    </w:p>
    <w:p w14:paraId="0E8F5652" w14:textId="437A82A6" w:rsidR="009B7739" w:rsidRPr="007627DD" w:rsidRDefault="00BC152D" w:rsidP="00945488">
      <w:pPr>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2336" behindDoc="0" locked="0" layoutInCell="1" allowOverlap="1" wp14:anchorId="7069D08B" wp14:editId="2BA970B2">
                <wp:simplePos x="0" y="0"/>
                <wp:positionH relativeFrom="column">
                  <wp:posOffset>0</wp:posOffset>
                </wp:positionH>
                <wp:positionV relativeFrom="paragraph">
                  <wp:posOffset>210185</wp:posOffset>
                </wp:positionV>
                <wp:extent cx="5928360" cy="4251960"/>
                <wp:effectExtent l="0" t="0" r="0" b="0"/>
                <wp:wrapNone/>
                <wp:docPr id="25803775" name="Rectangle 4"/>
                <wp:cNvGraphicFramePr/>
                <a:graphic xmlns:a="http://schemas.openxmlformats.org/drawingml/2006/main">
                  <a:graphicData uri="http://schemas.microsoft.com/office/word/2010/wordprocessingShape">
                    <wps:wsp>
                      <wps:cNvSpPr/>
                      <wps:spPr>
                        <a:xfrm>
                          <a:off x="0" y="0"/>
                          <a:ext cx="5928360" cy="4251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E4C2FE" w14:textId="0FB8EDEA" w:rsidR="00BC152D" w:rsidRPr="00BC152D" w:rsidRDefault="00BC152D" w:rsidP="00BC152D">
                            <w:pPr>
                              <w:rPr>
                                <w:noProof/>
                              </w:rPr>
                            </w:pPr>
                            <w:r w:rsidRPr="00BC152D">
                              <w:rPr>
                                <w:noProof/>
                              </w:rPr>
                              <w:drawing>
                                <wp:inline distT="0" distB="0" distL="0" distR="0" wp14:anchorId="448BDDBF" wp14:editId="44C6BF44">
                                  <wp:extent cx="5408295" cy="4201160"/>
                                  <wp:effectExtent l="0" t="0" r="1905" b="8890"/>
                                  <wp:docPr id="1073402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295" cy="4201160"/>
                                          </a:xfrm>
                                          <a:prstGeom prst="rect">
                                            <a:avLst/>
                                          </a:prstGeom>
                                          <a:noFill/>
                                          <a:ln>
                                            <a:noFill/>
                                          </a:ln>
                                        </pic:spPr>
                                      </pic:pic>
                                    </a:graphicData>
                                  </a:graphic>
                                </wp:inline>
                              </w:drawing>
                            </w:r>
                          </w:p>
                          <w:p w14:paraId="37170826" w14:textId="018C23CC" w:rsidR="00BC152D" w:rsidRPr="00BC152D" w:rsidRDefault="00BC152D" w:rsidP="00BC152D"/>
                          <w:p w14:paraId="46A3AD31" w14:textId="4FEF495B" w:rsidR="009B7739" w:rsidRDefault="009B7739" w:rsidP="00BC15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D08B" id="Rectangle 4" o:spid="_x0000_s1026" style="position:absolute;left:0;text-align:left;margin-left:0;margin-top:16.55pt;width:466.8pt;height:3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" filled="f" stroked="f" strokeweight="1pt">
                <v:textbox>
                  <w:txbxContent>
                    <w:p w14:paraId="30E4C2FE" w14:textId="0FB8EDEA" w:rsidR="00BC152D" w:rsidRPr="00BC152D" w:rsidRDefault="00BC152D" w:rsidP="00BC152D">
                      <w:pPr>
                        <w:rPr>
                          <w:noProof/>
                        </w:rPr>
                      </w:pPr>
                      <w:r w:rsidRPr="00BC152D">
                        <w:rPr>
                          <w:noProof/>
                        </w:rPr>
                        <w:drawing>
                          <wp:inline distT="0" distB="0" distL="0" distR="0" wp14:anchorId="448BDDBF" wp14:editId="44C6BF44">
                            <wp:extent cx="5408295" cy="4201160"/>
                            <wp:effectExtent l="0" t="0" r="1905" b="8890"/>
                            <wp:docPr id="1073402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295" cy="4201160"/>
                                    </a:xfrm>
                                    <a:prstGeom prst="rect">
                                      <a:avLst/>
                                    </a:prstGeom>
                                    <a:noFill/>
                                    <a:ln>
                                      <a:noFill/>
                                    </a:ln>
                                  </pic:spPr>
                                </pic:pic>
                              </a:graphicData>
                            </a:graphic>
                          </wp:inline>
                        </w:drawing>
                      </w:r>
                    </w:p>
                    <w:p w14:paraId="37170826" w14:textId="018C23CC" w:rsidR="00BC152D" w:rsidRPr="00BC152D" w:rsidRDefault="00BC152D" w:rsidP="00BC152D"/>
                    <w:p w14:paraId="46A3AD31" w14:textId="4FEF495B" w:rsidR="009B7739" w:rsidRDefault="009B7739" w:rsidP="00BC152D"/>
                  </w:txbxContent>
                </v:textbox>
              </v:rect>
            </w:pict>
          </mc:Fallback>
        </mc:AlternateContent>
      </w:r>
      <w:r w:rsidR="007627DD" w:rsidRPr="007627DD">
        <w:rPr>
          <w:rFonts w:ascii="Times New Roman" w:hAnsi="Times New Roman" w:cs="Times New Roman"/>
          <w:b/>
          <w:bCs/>
          <w:sz w:val="22"/>
          <w:szCs w:val="22"/>
        </w:rPr>
        <w:t xml:space="preserve">Figure </w:t>
      </w:r>
      <w:r w:rsidR="007627DD">
        <w:rPr>
          <w:rFonts w:ascii="Times New Roman" w:hAnsi="Times New Roman" w:cs="Times New Roman"/>
          <w:b/>
          <w:bCs/>
          <w:sz w:val="22"/>
          <w:szCs w:val="22"/>
        </w:rPr>
        <w:t>1</w:t>
      </w:r>
      <w:r w:rsidR="007627DD" w:rsidRPr="007627DD">
        <w:rPr>
          <w:rFonts w:ascii="Times New Roman" w:hAnsi="Times New Roman" w:cs="Times New Roman"/>
          <w:b/>
          <w:bCs/>
          <w:sz w:val="22"/>
          <w:szCs w:val="22"/>
        </w:rPr>
        <w:t xml:space="preserve">. </w:t>
      </w:r>
      <w:r w:rsidR="00354901" w:rsidRPr="00354901">
        <w:rPr>
          <w:rFonts w:ascii="Times New Roman" w:hAnsi="Times New Roman" w:cs="Times New Roman"/>
          <w:b/>
          <w:bCs/>
          <w:sz w:val="22"/>
          <w:szCs w:val="22"/>
        </w:rPr>
        <w:t>Literature search flowchart</w:t>
      </w:r>
      <w:r>
        <w:rPr>
          <w:rFonts w:ascii="Times New Roman" w:hAnsi="Times New Roman" w:cs="Times New Roman"/>
          <w:b/>
          <w:bCs/>
          <w:sz w:val="22"/>
          <w:szCs w:val="22"/>
        </w:rPr>
        <w:t xml:space="preserve"> diagram</w:t>
      </w:r>
      <w:r w:rsidR="007627DD" w:rsidRPr="007627DD">
        <w:rPr>
          <w:rFonts w:ascii="Times New Roman" w:hAnsi="Times New Roman" w:cs="Times New Roman"/>
          <w:b/>
          <w:bCs/>
          <w:sz w:val="22"/>
          <w:szCs w:val="22"/>
        </w:rPr>
        <w:t>.</w:t>
      </w:r>
    </w:p>
    <w:p w14:paraId="13A4B2AC" w14:textId="06569ABA" w:rsidR="009B7739" w:rsidRDefault="009B7739" w:rsidP="00945488">
      <w:pPr>
        <w:jc w:val="both"/>
        <w:rPr>
          <w:rFonts w:ascii="Times New Roman" w:hAnsi="Times New Roman" w:cs="Times New Roman"/>
          <w:b/>
          <w:bCs/>
          <w:sz w:val="26"/>
          <w:szCs w:val="26"/>
        </w:rPr>
      </w:pPr>
    </w:p>
    <w:p w14:paraId="003761E8" w14:textId="77777777" w:rsidR="009B7739" w:rsidRDefault="009B7739" w:rsidP="00945488">
      <w:pPr>
        <w:jc w:val="both"/>
        <w:rPr>
          <w:rFonts w:ascii="Times New Roman" w:hAnsi="Times New Roman" w:cs="Times New Roman"/>
          <w:b/>
          <w:bCs/>
          <w:sz w:val="26"/>
          <w:szCs w:val="26"/>
        </w:rPr>
      </w:pPr>
    </w:p>
    <w:p w14:paraId="719525E4" w14:textId="77777777" w:rsidR="009B7739" w:rsidRDefault="009B7739" w:rsidP="00945488">
      <w:pPr>
        <w:jc w:val="both"/>
        <w:rPr>
          <w:rFonts w:ascii="Times New Roman" w:hAnsi="Times New Roman" w:cs="Times New Roman"/>
          <w:b/>
          <w:bCs/>
          <w:sz w:val="26"/>
          <w:szCs w:val="26"/>
        </w:rPr>
      </w:pPr>
    </w:p>
    <w:p w14:paraId="61652BFF" w14:textId="77777777" w:rsidR="009B7739" w:rsidRDefault="009B7739" w:rsidP="00945488">
      <w:pPr>
        <w:jc w:val="both"/>
        <w:rPr>
          <w:rFonts w:ascii="Times New Roman" w:hAnsi="Times New Roman" w:cs="Times New Roman"/>
          <w:b/>
          <w:bCs/>
          <w:sz w:val="26"/>
          <w:szCs w:val="26"/>
        </w:rPr>
      </w:pPr>
    </w:p>
    <w:p w14:paraId="50F74FF3" w14:textId="77777777" w:rsidR="009B7739" w:rsidRDefault="009B7739" w:rsidP="00945488">
      <w:pPr>
        <w:jc w:val="both"/>
        <w:rPr>
          <w:rFonts w:ascii="Times New Roman" w:hAnsi="Times New Roman" w:cs="Times New Roman"/>
          <w:b/>
          <w:bCs/>
          <w:sz w:val="26"/>
          <w:szCs w:val="26"/>
        </w:rPr>
      </w:pPr>
    </w:p>
    <w:p w14:paraId="6524904F" w14:textId="77777777" w:rsidR="009B7739" w:rsidRDefault="009B7739" w:rsidP="00945488">
      <w:pPr>
        <w:jc w:val="both"/>
        <w:rPr>
          <w:rFonts w:ascii="Times New Roman" w:hAnsi="Times New Roman" w:cs="Times New Roman"/>
          <w:b/>
          <w:bCs/>
          <w:sz w:val="26"/>
          <w:szCs w:val="26"/>
        </w:rPr>
      </w:pPr>
    </w:p>
    <w:p w14:paraId="765B1300" w14:textId="77777777" w:rsidR="009B7739" w:rsidRDefault="009B7739" w:rsidP="00945488">
      <w:pPr>
        <w:jc w:val="both"/>
        <w:rPr>
          <w:rFonts w:ascii="Times New Roman" w:hAnsi="Times New Roman" w:cs="Times New Roman"/>
          <w:b/>
          <w:bCs/>
          <w:sz w:val="26"/>
          <w:szCs w:val="26"/>
        </w:rPr>
      </w:pPr>
    </w:p>
    <w:p w14:paraId="309F125F" w14:textId="77777777" w:rsidR="009B7739" w:rsidRDefault="009B7739" w:rsidP="00945488">
      <w:pPr>
        <w:jc w:val="both"/>
        <w:rPr>
          <w:rFonts w:ascii="Times New Roman" w:hAnsi="Times New Roman" w:cs="Times New Roman"/>
          <w:b/>
          <w:bCs/>
          <w:sz w:val="26"/>
          <w:szCs w:val="26"/>
        </w:rPr>
      </w:pPr>
    </w:p>
    <w:p w14:paraId="01C6AC81" w14:textId="77777777" w:rsidR="009B7739" w:rsidRDefault="009B7739" w:rsidP="00945488">
      <w:pPr>
        <w:jc w:val="both"/>
        <w:rPr>
          <w:rFonts w:ascii="Times New Roman" w:hAnsi="Times New Roman" w:cs="Times New Roman"/>
          <w:b/>
          <w:bCs/>
          <w:sz w:val="26"/>
          <w:szCs w:val="26"/>
        </w:rPr>
      </w:pPr>
    </w:p>
    <w:p w14:paraId="1CFFAE1E" w14:textId="77777777" w:rsidR="009B7739" w:rsidRDefault="009B7739" w:rsidP="00945488">
      <w:pPr>
        <w:jc w:val="both"/>
        <w:rPr>
          <w:rFonts w:ascii="Times New Roman" w:hAnsi="Times New Roman" w:cs="Times New Roman"/>
          <w:b/>
          <w:bCs/>
          <w:sz w:val="26"/>
          <w:szCs w:val="26"/>
        </w:rPr>
      </w:pPr>
    </w:p>
    <w:p w14:paraId="5B8E136B" w14:textId="77777777" w:rsidR="009B7739" w:rsidRDefault="009B7739" w:rsidP="00945488">
      <w:pPr>
        <w:jc w:val="both"/>
        <w:rPr>
          <w:rFonts w:ascii="Times New Roman" w:hAnsi="Times New Roman" w:cs="Times New Roman"/>
          <w:b/>
          <w:bCs/>
          <w:sz w:val="26"/>
          <w:szCs w:val="26"/>
        </w:rPr>
      </w:pPr>
    </w:p>
    <w:p w14:paraId="3688E5F5" w14:textId="77777777" w:rsidR="009B7739" w:rsidRDefault="009B7739" w:rsidP="00945488">
      <w:pPr>
        <w:jc w:val="both"/>
        <w:rPr>
          <w:rFonts w:ascii="Times New Roman" w:hAnsi="Times New Roman" w:cs="Times New Roman"/>
          <w:b/>
          <w:bCs/>
          <w:sz w:val="26"/>
          <w:szCs w:val="26"/>
        </w:rPr>
      </w:pPr>
    </w:p>
    <w:p w14:paraId="7D4DBE84" w14:textId="77777777" w:rsidR="009B7739" w:rsidRDefault="009B7739" w:rsidP="00945488">
      <w:pPr>
        <w:jc w:val="both"/>
        <w:rPr>
          <w:rFonts w:ascii="Times New Roman" w:hAnsi="Times New Roman" w:cs="Times New Roman"/>
          <w:b/>
          <w:bCs/>
          <w:sz w:val="26"/>
          <w:szCs w:val="26"/>
        </w:rPr>
      </w:pPr>
    </w:p>
    <w:p w14:paraId="02653D0C" w14:textId="40466BBA" w:rsidR="007627DD" w:rsidRDefault="007627DD" w:rsidP="00945488">
      <w:pPr>
        <w:jc w:val="both"/>
        <w:rPr>
          <w:rFonts w:ascii="Times New Roman" w:hAnsi="Times New Roman" w:cs="Times New Roman"/>
          <w:b/>
          <w:bCs/>
          <w:sz w:val="26"/>
          <w:szCs w:val="26"/>
        </w:rPr>
      </w:pPr>
      <w:r w:rsidRPr="00AD4F78">
        <w:rPr>
          <w:rFonts w:ascii="Times New Roman" w:hAnsi="Times New Roman" w:cs="Times New Roman"/>
          <w:i/>
          <w:iCs/>
          <w:sz w:val="22"/>
          <w:szCs w:val="22"/>
        </w:rPr>
        <w:t xml:space="preserve">The diagram illustrates the identification, screening, eligibility, and inclusion of studies on Naegleria fowleri and Primary Amoebic Meningoencephalitis (PAM) published between 2020 and 2025. Databases searched included PubMed/MEDLINE, Scopus, and Web of Science. A total of 200 records were identified, </w:t>
      </w:r>
      <w:r w:rsidRPr="00AD4F78">
        <w:rPr>
          <w:rFonts w:ascii="Times New Roman" w:hAnsi="Times New Roman" w:cs="Times New Roman"/>
          <w:i/>
          <w:iCs/>
          <w:sz w:val="22"/>
          <w:szCs w:val="22"/>
        </w:rPr>
        <w:lastRenderedPageBreak/>
        <w:t>with 88 duplicates removed. After screening 112 titles and abstracts, 67 records were excluded for irrelevance or falling outside the scope. Forty-five full-text articles were assessed for eligibility, all of which met the inclusion criteria and were incorporated into the systematic review.</w:t>
      </w:r>
    </w:p>
    <w:p w14:paraId="26B5B7F9" w14:textId="0C76F6B8" w:rsidR="000C0478" w:rsidRPr="00AE470E" w:rsidRDefault="00CC3551" w:rsidP="00945488">
      <w:pPr>
        <w:jc w:val="both"/>
        <w:rPr>
          <w:rFonts w:ascii="Times New Roman" w:hAnsi="Times New Roman" w:cs="Times New Roman"/>
          <w:b/>
          <w:bCs/>
          <w:sz w:val="26"/>
          <w:szCs w:val="26"/>
        </w:rPr>
      </w:pPr>
      <w:r>
        <w:rPr>
          <w:rFonts w:ascii="Times New Roman" w:hAnsi="Times New Roman" w:cs="Times New Roman"/>
          <w:b/>
          <w:bCs/>
          <w:sz w:val="26"/>
          <w:szCs w:val="26"/>
        </w:rPr>
        <w:br/>
      </w:r>
      <w:r w:rsidR="00AD5FD4">
        <w:rPr>
          <w:rFonts w:ascii="Times New Roman" w:hAnsi="Times New Roman" w:cs="Times New Roman"/>
          <w:b/>
          <w:bCs/>
          <w:sz w:val="26"/>
          <w:szCs w:val="26"/>
        </w:rPr>
        <w:t>3</w:t>
      </w:r>
      <w:r w:rsidR="000C0478" w:rsidRPr="00AE470E">
        <w:rPr>
          <w:rFonts w:ascii="Times New Roman" w:hAnsi="Times New Roman" w:cs="Times New Roman"/>
          <w:b/>
          <w:bCs/>
          <w:sz w:val="26"/>
          <w:szCs w:val="26"/>
        </w:rPr>
        <w:t>. Epidemiology (2020–2025)</w:t>
      </w:r>
    </w:p>
    <w:p w14:paraId="7B83DF1E" w14:textId="4789730D" w:rsidR="00F50870" w:rsidRP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Epidemiological data were gathered from global health organizations (WHO and CDC) as well as peer-reviewed articles over the years 2020 to 2025. The geographical PAM distribution has changed considerably during this time, with the detection of some new hotspots while other areas remained characterized as endemic. The southern U.S. is still the site of reported cases, but the major change in epidemiology is the immense rise in the number of reported PAM cases in South Asia, which has radically changed the view of the current global distribution of this disease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{"citationID":"7OPPJlJZ","properties":{"formattedCitation":"(Gharpure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w:t>
      </w:r>
    </w:p>
    <w:p w14:paraId="6F2577A3" w14:textId="5CC39293" w:rsidR="00F50870" w:rsidRDefault="00F50870" w:rsidP="00F50870">
      <w:pPr>
        <w:jc w:val="both"/>
        <w:rPr>
          <w:rFonts w:ascii="Times New Roman" w:hAnsi="Times New Roman" w:cs="Times New Roman"/>
          <w:sz w:val="22"/>
          <w:szCs w:val="22"/>
        </w:rPr>
      </w:pPr>
      <w:r w:rsidRPr="00F50870">
        <w:rPr>
          <w:rFonts w:ascii="Times New Roman" w:hAnsi="Times New Roman" w:cs="Times New Roman"/>
          <w:sz w:val="22"/>
          <w:szCs w:val="22"/>
        </w:rPr>
        <w:t xml:space="preserve">According to CDC surveillance data, the situation in the U.S. is such that there is a worrying northward movement of cases, which corresponds to climate change. At the same time, the southern states, including Texas, Florida, and Arizona, which are traditionally known to be endemic areas, still report cases from the north, but infections have lately been seen in areas of the states of Minnesota, Indiana, and Maryland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{"citationID":"oLeJMC7n","properties":{"formattedCitation":"(Jaganath et al., 2022)","plainCitation":"(Jaganath et al., 2022)","noteIndex":0},"citationItems":[{"id":582,"uris":["http://zotero.org/users/18073969/items/XF8P8JSA"],"itemData":{"id":582,"type":"article-journal","abstract":"Abstract\n            \n              Background\n              C-reactive protein (CRP) has shown promise as a triage tool for pulmonary tuberculosis (TB) in adults living with the human immunodeficiency virus. We performed the first assessment of CRP for TB triage in children.\n            \n            \n              Methods\n              Symptomatic children less than 15 years old were prospectively enrolled in Kampala, Uganda. We completed a standard TB evaluation and measured CRP using a point-of-care assay. We determined the sensitivity and specificity of CRP to identify pulmonary TB in children using 10 mg/L and 5 mg/L cut-off points and generated a receiver operating characteristic (ROC) curve to determine alternative cut-offs that could approach the target accuracy for a triage test (≥90% sensitivity and ≥70% specificity).\n            \n            \n              Results\n              We included 332 children (median age 3 years old, interquartile range [IQR]: 1–6). The median CRP level was low at 3.0 mg/L (IQR: 2.5–26.6) but was higher in children with Confirmed TB than in children with Unlikely TB (9.5 mg/L vs. 2.9 mg/L, P-value = .03). At a 10 mg/L cut-off, CRP sensitivity was 50.0% (95% confidence interval [CI], 37.0–63.0) among Confirmed TB cases and specificity was 63.3% (95% CI, 54.7–71.3) among children with Unlikely TB. Sensitivity increased to 56.5% (95% CI, 43.3–69.0) at the 5 mg/L cut-off, but specificity decreased to 54.0% (95% CI, 45.3–62.4). The area under the ROC curve was 0.59 (95% CI, 0.51–0.67), and the highest sensitivity achieved was 66.1% at a specificity of 46.8%.\n            \n            \n              Conclusions\n              CRP levels were low in children with pulmonary TB, and CRP was unable to achieve the accuracy targets for a TB triage test.","container-title":"Journal of the Pediatric Infectious Diseases Society","DOI":"10.1093/jpids/piac015","ISSN":"2048-7207","issue":"7","language":"en","license":"https://academic.oup.com/journals/pages/open_access/funder_policies/chorus/standard_publication_model","page":"316-321","source":"DOI.org (Crossref)","title":"The Role of C-Reactive Protein as a Triage Tool for Pulmonary Tuberculosis in Children","volume":"11","author":[{"family":"Jaganath","given":"Devan"},{"family":"Reza","given":"Tania F"},{"family":"Wambi","given":"Peter"},{"family":"Nakafeero","given":"Jascent"},{"family":"Kiconco","given":"Emma"},{"family":"Nanyonga","given":"Gertrude"},{"family":"Oumo","given":"Ernest A"},{"family":"Nsereko","given":"Moses C"},{"family":"Sekadde","given":"Moorine P"},{"family":"Nabukenya-Mudiope","given":"Mary G"},{"family":"Kato-Maeda","given":"Midori"},{"family":"Andama","given":"Alfred"},{"family":"Yoon","given":"Christina"},{"family":"Mohanty","given":"Swomitra"},{"family":"Wobudeya","given":"Eric"},{"family":"Cattamanchi","given":"Adithya"}],"issued":{"date-parts":[["2022",7,21]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(Jaganath et al., 2022)</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This phenomenon is a product of the rise in summer water temperatures in the past cooler territories, thus making them amenable to </w:t>
      </w:r>
      <w:r w:rsidRPr="00F50870">
        <w:rPr>
          <w:rFonts w:ascii="Times New Roman" w:hAnsi="Times New Roman" w:cs="Times New Roman"/>
          <w:i/>
          <w:iCs/>
          <w:sz w:val="22"/>
          <w:szCs w:val="22"/>
        </w:rPr>
        <w:t>N. fowleri</w:t>
      </w:r>
      <w:r>
        <w:rPr>
          <w:rFonts w:ascii="Times New Roman" w:hAnsi="Times New Roman" w:cs="Times New Roman"/>
          <w:i/>
          <w:iCs/>
          <w:sz w:val="22"/>
          <w:szCs w:val="22"/>
        </w:rPr>
        <w:t>’s</w:t>
      </w:r>
      <w:r w:rsidRPr="00F50870">
        <w:rPr>
          <w:rFonts w:ascii="Times New Roman" w:hAnsi="Times New Roman" w:cs="Times New Roman"/>
          <w:sz w:val="22"/>
          <w:szCs w:val="22"/>
        </w:rPr>
        <w:t xml:space="preserve"> growing population. Case-control studies have borne it that exposures in recreational freshwater settings during hot summer months at lakes, rivers, and inadequately chlorinated swimming pools constitute the major sources of infections. However, there has been an over-riding trend in the changing epidemiology where several cases have been pointed to nasal irrigation with contaminated tap water, highlighting an important route of domestic transmission that still needs to be tackled by public health measures needing clarification and updating</w:t>
      </w:r>
      <w:r w:rsidR="00BA77D3">
        <w:rPr>
          <w:rFonts w:ascii="Times New Roman" w:hAnsi="Times New Roman" w:cs="Times New Roman"/>
          <w:sz w:val="22"/>
          <w:szCs w:val="22"/>
        </w:rPr>
        <w:t xml:space="preserv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{"citationID":"3vfTXQZg","properties":{"formattedCitation":"(Tian et al., 2022)","plainCitation":"(Tian et al., 2022)","noteIndex":0},"citationItems":[{"id":585,"uris":["http://zotero.org/users/18073969/items/7BTFA8WV"],"itemData":{"id":585,"type":"article-journal","container-title":"MMWR. Morbidity and Mortality Weekly Report","DOI":"10.15585/mmwr.mm7121a1","ISSN":"0149-2195, 1545-861X","issue":"21","journalAbbreviation":"MMWR Morb. Mortal. Wkly. Rep.","page":"697-702","source":"DOI.org (Crossref)","title":"Barriers to and Disparities in Access to Health Care Among Adults Aged ≥18 Years with Epilepsy — United States, 2015 and 2017","volume":"71","author":[{"family":"Tian","given":"Niu"},{"family":"Kobau","given":"Rosemarie"},{"family":"Zack","given":"Matthew M."},{"family":"Greenlund","given":"Kurt J."}],"issued":{"date-parts":[["2022",5,27]]}}}],"schema":"https://github.com/citation-style-language/schema/raw/master/csl-citation.json"}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(Tian et al., 2022)</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w:t>
      </w:r>
    </w:p>
    <w:p w14:paraId="6AAEAE0E" w14:textId="596E7BBA" w:rsidR="00E22152" w:rsidRPr="00E22152" w:rsidRDefault="00F50870" w:rsidP="00E22152">
      <w:pPr>
        <w:jc w:val="both"/>
        <w:rPr>
          <w:rFonts w:ascii="Times New Roman" w:hAnsi="Times New Roman" w:cs="Times New Roman"/>
          <w:sz w:val="22"/>
          <w:szCs w:val="22"/>
          <w:highlight w:val="yellow"/>
        </w:rPr>
      </w:pPr>
      <w:r w:rsidRPr="00F50870">
        <w:rPr>
          <w:rFonts w:ascii="Times New Roman" w:hAnsi="Times New Roman" w:cs="Times New Roman"/>
          <w:sz w:val="22"/>
          <w:szCs w:val="22"/>
        </w:rPr>
        <w:t xml:space="preserve">The most important epidemiological change has been the rise of South Asia as a primary PAM hotspot. A recent study in Thailand has shown that the geographical range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infections is getting bigger, with several cases tied to exposure in natural freshwater reservoirs and rising water temperatures linked to climate change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{"citationID":"xC1PIvqu","properties":{"formattedCitation":"(Sao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w:t>
      </w:r>
      <w:r w:rsidR="00E22152" w:rsidRPr="00AB2801">
        <w:rPr>
          <w:rFonts w:ascii="Times New Roman" w:hAnsi="Times New Roman" w:cs="Times New Roman"/>
          <w:sz w:val="22"/>
          <w:szCs w:val="22"/>
        </w:rPr>
        <w:t xml:space="preserve">In the period of 2020 to 2025, Pakistan recorded an astronomical rise in PAM incidences across the country; to be more precise, the situation was worst in Karachi, where several outbreaks happened simultaneously (Iyer et al., 2024). One of the major causes of these incidents, according to researchers, was the religiously performed ablution (wudu) done with untreated tap water. The molecular examinations of the samples collected from the patients' clinical and environmental sources even pointed out the existence of </w:t>
      </w:r>
      <w:r w:rsidR="00E22152" w:rsidRPr="00BA77D3">
        <w:rPr>
          <w:rFonts w:ascii="Times New Roman" w:hAnsi="Times New Roman" w:cs="Times New Roman"/>
          <w:i/>
          <w:iCs/>
          <w:sz w:val="22"/>
          <w:szCs w:val="22"/>
        </w:rPr>
        <w:t>N. fowleri</w:t>
      </w:r>
      <w:r w:rsidR="00E22152" w:rsidRPr="00AB2801">
        <w:rPr>
          <w:rFonts w:ascii="Times New Roman" w:hAnsi="Times New Roman" w:cs="Times New Roman"/>
          <w:sz w:val="22"/>
          <w:szCs w:val="22"/>
        </w:rPr>
        <w:t xml:space="preserve"> in the city water supply systems through cross-connection, intermittent supply, inadequate disinfection, and bad storage practices that all promote amoebic proliferation </w:t>
      </w:r>
      <w:r w:rsidR="00AB2801">
        <w:rPr>
          <w:rFonts w:ascii="Times New Roman" w:hAnsi="Times New Roman" w:cs="Times New Roman"/>
          <w:sz w:val="22"/>
          <w:szCs w:val="22"/>
        </w:rPr>
        <w:fldChar w:fldCharType="begin"/>
      </w:r>
      <w:r w:rsidR="00AB2801">
        <w:rPr>
          <w:rFonts w:ascii="Times New Roman" w:hAnsi="Times New Roman" w:cs="Times New Roman"/>
          <w:sz w:val="22"/>
          <w:szCs w:val="22"/>
        </w:rPr>
        <w:instrText xml:space="preserve"> ADDIN ZOTERO_ITEM CSL_CITATION {"citationID":"5PRWXOpX","properties":{"formattedCitation":"(Iyer et al., 2024)","plainCitation":"(Iyer et al., 2024)","noteIndex":0},"citationItems":[{"id":842,"uris":["http://zotero.org/users/18073969/items/928V6QYE"],"itemData":{"id":842,"type":"article-journal","container-title":"New Microbes and New Infections","DOI":"10.1016/j.nmni.2024.101482","ISSN":"20522975","journalAbbreviation":"New Microbes and New Infections","language":"en","page":"101482","source":"DOI.org (Crossref)","title":"Naegleria Fowleri: The prevalence of a brain-eating amoeba in freshwater bodies in India","title-short":"Naegleria Fowleri","volume":"62","author":[{"family":"Iyer","given":"Vardhini Ganesh"},{"family":"Deb","given":"Novonil"},{"family":"Mukherjee","given":"Dattatreya"},{"family":"Sah","given":"Sanjit"},{"family":"Mohanty","given":"Aroop"},{"family":"Jaiswal","given":"Vikash"},{"family":"Sah","given":"Ranjit"}],"issued":{"date-parts":[["2024",12]]}}}],"schema":"https://github.com/citation-style-language/schema/raw/master/csl-citation.json"} </w:instrText>
      </w:r>
      <w:r w:rsidR="00AB2801">
        <w:rPr>
          <w:rFonts w:ascii="Times New Roman" w:hAnsi="Times New Roman" w:cs="Times New Roman"/>
          <w:sz w:val="22"/>
          <w:szCs w:val="22"/>
        </w:rPr>
        <w:fldChar w:fldCharType="separate"/>
      </w:r>
      <w:r w:rsidR="00AB2801" w:rsidRPr="00AB2801">
        <w:rPr>
          <w:rFonts w:ascii="Times New Roman" w:hAnsi="Times New Roman" w:cs="Times New Roman"/>
          <w:sz w:val="22"/>
        </w:rPr>
        <w:t>(Iyer et al., 2024)</w:t>
      </w:r>
      <w:r w:rsidR="00AB2801">
        <w:rPr>
          <w:rFonts w:ascii="Times New Roman" w:hAnsi="Times New Roman" w:cs="Times New Roman"/>
          <w:sz w:val="22"/>
          <w:szCs w:val="22"/>
        </w:rPr>
        <w:fldChar w:fldCharType="end"/>
      </w:r>
      <w:r w:rsidR="00AB2801">
        <w:rPr>
          <w:rFonts w:ascii="Times New Roman" w:hAnsi="Times New Roman" w:cs="Times New Roman"/>
          <w:sz w:val="22"/>
          <w:szCs w:val="22"/>
        </w:rPr>
        <w:t>.</w:t>
      </w:r>
    </w:p>
    <w:p w14:paraId="4A583849" w14:textId="77777777" w:rsidR="00E22152" w:rsidRPr="00160E56" w:rsidRDefault="00E22152" w:rsidP="00E22152">
      <w:pPr>
        <w:jc w:val="both"/>
        <w:rPr>
          <w:rFonts w:ascii="Times New Roman" w:hAnsi="Times New Roman" w:cs="Times New Roman"/>
          <w:sz w:val="22"/>
          <w:szCs w:val="22"/>
        </w:rPr>
      </w:pPr>
    </w:p>
    <w:p w14:paraId="42BF8932" w14:textId="1C82CCAF" w:rsidR="00F50870" w:rsidRDefault="00E22152" w:rsidP="00E22152">
      <w:pPr>
        <w:jc w:val="both"/>
        <w:rPr>
          <w:rFonts w:ascii="Times New Roman" w:hAnsi="Times New Roman" w:cs="Times New Roman"/>
          <w:sz w:val="22"/>
          <w:szCs w:val="22"/>
        </w:rPr>
      </w:pPr>
      <w:r w:rsidRPr="00160E56">
        <w:rPr>
          <w:rFonts w:ascii="Times New Roman" w:hAnsi="Times New Roman" w:cs="Times New Roman"/>
          <w:sz w:val="22"/>
          <w:szCs w:val="22"/>
        </w:rPr>
        <w:t>Moreover, the number of cases in India is increasing, especially in Kerala, the southern state, where the infections have been associated with people bathing in contaminated wells and ponds during knockout religious festivals</w:t>
      </w:r>
      <w:r w:rsidR="00160E56" w:rsidRPr="00160E56">
        <w:rPr>
          <w:rFonts w:ascii="Times New Roman" w:hAnsi="Times New Roman" w:cs="Times New Roman"/>
          <w:sz w:val="22"/>
          <w:szCs w:val="22"/>
        </w:rPr>
        <w:t xml:space="preserve">. </w:t>
      </w:r>
      <w:r w:rsidRPr="00160E56">
        <w:rPr>
          <w:rFonts w:ascii="Times New Roman" w:hAnsi="Times New Roman" w:cs="Times New Roman"/>
          <w:sz w:val="22"/>
          <w:szCs w:val="22"/>
        </w:rPr>
        <w:t xml:space="preserve">A new PAM threat has been registered in India, with the state of Kerala reporting several cases associated with contact in freshwater bodies that are utilized for religious and leisure purposes </w:t>
      </w:r>
      <w:r w:rsidR="00160E56" w:rsidRPr="00160E56">
        <w:rPr>
          <w:rFonts w:ascii="Times New Roman" w:hAnsi="Times New Roman" w:cs="Times New Roman"/>
          <w:sz w:val="22"/>
          <w:szCs w:val="22"/>
        </w:rPr>
        <w:fldChar w:fldCharType="begin"/>
      </w:r>
      <w:r w:rsidR="00160E56">
        <w:rPr>
          <w:rFonts w:ascii="Times New Roman" w:hAnsi="Times New Roman" w:cs="Times New Roman"/>
          <w:sz w:val="22"/>
          <w:szCs w:val="22"/>
        </w:rPr>
        <w:instrText xml:space="preserve"> ADDIN ZOTERO_ITEM CSL_CITATION {"citationID":"ghwocURz","properties":{"formattedCitation":"(Ghosh et al., 2025)","plainCitation":"(Ghosh et al., 2025)","noteIndex":0},"citationItems":[{"id":845,"uris":["http://zotero.org/users/18073969/items/BAURJEMV"],"itemData":{"id":845,"type":"article-journal","container-title":"The Lancet","DOI":"10.1016/S0140-6736(25)01971-3","ISSN":"01406736","issue":"10514","journalAbbreviation":"The Lancet","language":"en","page":"1945","source":"DOI.org (Crossref)","title":"Naegleria fowleri in Kerala, India: prevention over panic","title-short":"Naegleria fowleri in Kerala, India","volume":"406","author":[{"family":"Ghosh","given":"Ritwik"},{"family":"León-Ruiz","given":"Moisés"},{"family":"Dubey","given":"Souvik"},{"family":"Benito-León","given":"Julián"}],"issued":{"date-parts":[["2025",10]]}}}],"schema":"https://github.com/citation-style-language/schema/raw/master/csl-citation.json"} </w:instrText>
      </w:r>
      <w:r w:rsidR="00160E56" w:rsidRPr="00160E56">
        <w:rPr>
          <w:rFonts w:ascii="Times New Roman" w:hAnsi="Times New Roman" w:cs="Times New Roman"/>
          <w:sz w:val="22"/>
          <w:szCs w:val="22"/>
        </w:rPr>
        <w:fldChar w:fldCharType="separate"/>
      </w:r>
      <w:r w:rsidR="00160E56" w:rsidRPr="00160E56">
        <w:rPr>
          <w:rFonts w:ascii="Times New Roman" w:hAnsi="Times New Roman" w:cs="Times New Roman"/>
          <w:sz w:val="22"/>
        </w:rPr>
        <w:t>(Ghosh et al., 2025)</w:t>
      </w:r>
      <w:r w:rsidR="00160E56" w:rsidRPr="00160E56">
        <w:rPr>
          <w:rFonts w:ascii="Times New Roman" w:hAnsi="Times New Roman" w:cs="Times New Roman"/>
          <w:sz w:val="22"/>
          <w:szCs w:val="22"/>
        </w:rPr>
        <w:fldChar w:fldCharType="end"/>
      </w:r>
      <w:r w:rsidRPr="00160E56">
        <w:rPr>
          <w:rFonts w:ascii="Times New Roman" w:hAnsi="Times New Roman" w:cs="Times New Roman"/>
          <w:sz w:val="22"/>
          <w:szCs w:val="22"/>
        </w:rPr>
        <w:t xml:space="preserve">. The combined effect of climate change and poor water treatment systems has made it easy for </w:t>
      </w:r>
      <w:r w:rsidRPr="00BA77D3">
        <w:rPr>
          <w:rFonts w:ascii="Times New Roman" w:hAnsi="Times New Roman" w:cs="Times New Roman"/>
          <w:i/>
          <w:iCs/>
          <w:sz w:val="22"/>
          <w:szCs w:val="22"/>
        </w:rPr>
        <w:t>N. fowleri</w:t>
      </w:r>
      <w:r w:rsidRPr="00160E56">
        <w:rPr>
          <w:rFonts w:ascii="Times New Roman" w:hAnsi="Times New Roman" w:cs="Times New Roman"/>
          <w:sz w:val="22"/>
          <w:szCs w:val="22"/>
        </w:rPr>
        <w:t xml:space="preserve"> to multiply in these areas.</w:t>
      </w:r>
      <w:r w:rsidRPr="00E22152">
        <w:rPr>
          <w:rFonts w:ascii="Times New Roman" w:hAnsi="Times New Roman" w:cs="Times New Roman"/>
          <w:sz w:val="22"/>
          <w:szCs w:val="22"/>
        </w:rPr>
        <w:t xml:space="preserve"> </w:t>
      </w:r>
      <w:r w:rsidR="00F50870" w:rsidRPr="00F50870">
        <w:rPr>
          <w:rFonts w:ascii="Times New Roman" w:hAnsi="Times New Roman" w:cs="Times New Roman"/>
          <w:sz w:val="22"/>
          <w:szCs w:val="22"/>
        </w:rPr>
        <w:t xml:space="preserve">The co-occurrence of warm climate, specific water-use habits, and </w:t>
      </w:r>
      <w:r w:rsidR="00F50870" w:rsidRPr="00F50870">
        <w:rPr>
          <w:rFonts w:ascii="Times New Roman" w:hAnsi="Times New Roman" w:cs="Times New Roman"/>
          <w:sz w:val="22"/>
          <w:szCs w:val="22"/>
        </w:rPr>
        <w:lastRenderedPageBreak/>
        <w:t xml:space="preserve">difficulties in water treatment systems has made these areas perfect for PAM spreading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{"citationID":"EPV55myJ","properties":{"formattedCitation":"(Gharpure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00F50870" w:rsidRPr="00F50870">
        <w:rPr>
          <w:rFonts w:ascii="Times New Roman" w:hAnsi="Times New Roman" w:cs="Times New Roman"/>
          <w:sz w:val="22"/>
          <w:szCs w:val="22"/>
        </w:rPr>
        <w:t>.</w:t>
      </w:r>
    </w:p>
    <w:p w14:paraId="5DAD4207" w14:textId="4BCACE13" w:rsidR="00945488" w:rsidRDefault="00F50870" w:rsidP="00945488">
      <w:pPr>
        <w:jc w:val="both"/>
        <w:rPr>
          <w:rFonts w:ascii="Times New Roman" w:hAnsi="Times New Roman" w:cs="Times New Roman"/>
          <w:b/>
          <w:bCs/>
          <w:sz w:val="22"/>
          <w:szCs w:val="22"/>
        </w:rPr>
      </w:pPr>
      <w:r w:rsidRPr="00F50870">
        <w:rPr>
          <w:rFonts w:ascii="Times New Roman" w:hAnsi="Times New Roman" w:cs="Times New Roman"/>
          <w:sz w:val="22"/>
          <w:szCs w:val="22"/>
        </w:rPr>
        <w:t xml:space="preserve">As the rest of the world, particularly Southeast Asia, has also experienced an upward trend in the incidence of PAM cases, one of the countries affected by this trend is Thailand, which reported several cases of the disease through contact with natural fresh water reservoirs and hot springs. Environmental studies conducted in recreational water bodies had indicated the presence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w:t>
      </w:r>
      <w:r w:rsidR="00C662A4" w:rsidRPr="00C662A4">
        <w:rPr>
          <w:rFonts w:ascii="Times New Roman" w:hAnsi="Times New Roman" w:cs="Times New Roman"/>
          <w:sz w:val="22"/>
          <w:szCs w:val="22"/>
        </w:rPr>
        <w:t>Water temperatures have risen to a higher level and together with the regular recreational activities in these aquatic sites, the transmission risk has gone up</w:t>
      </w:r>
      <w:r w:rsidRPr="00F50870">
        <w:rPr>
          <w:rFonts w:ascii="Times New Roman" w:hAnsi="Times New Roman" w:cs="Times New Roman"/>
          <w:sz w:val="22"/>
          <w:szCs w:val="22"/>
        </w:rPr>
        <w:t xml:space="preserv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{"citationID":"AX9Os84f","properties":{"formattedCitation":"(Sao et al., 2023)","plainCitation":"(Sao et al., 2023)","noteIndex":0},"citationItems":[{"id":587,"uris":["http://zotero.org/users/18073969/items/8D3GTQW2"],"itemData":{"id":587,"type":"article-journal","abstract":"Abstract\n            The present study aimed to assess the health risks of chemical contaminants of residents in the coastal areas of Cambodia through their drinking water pathways. Water was sampled from tube wells (n= 22), dug wells (n= 31), ponds (n= 11), canals (n= 12) and lakes (n= 4) across the Cambodian coastal areas, and measured for the contaminants of health concern (As, Cu, Cr, Cd, F−, NO2-, NO3-, Pb, Escherichia coli and total coliform) and aesthetic quality following the United States Environmental Protection Agency (USEPA) and standard methods. Analytical results reveal that 9.1% of tube wells and 9.7% of dug wells contained As &amp;gt; 0.01 mg/L. Appropriately, 22.7% of tube wells and 32.3% of dug wells contained Fe &amp;gt; 0.3 mg/L while 100% of tube wells and 80.6% of dug wells contained Mn &amp;gt; 0.1 mg/L. Health risk assessment found that the hazard quotient (HQ) &amp;gt; 1 for children and women. Additionally, the lifetime cancer risk (LCR) was found &amp;gt;1 × 10−4 for As in Cambodian coastal areas. Therefore, a monitoring programme and appropriate treatment to remove contaminants like arsenic, cadmium and fluoride would be required to ensure a safe drinking water supply to Cambodian coastal residents.","container-title":"Journal of Water and Health","DOI":"10.2166/wh.2023.215","ISSN":"1477-8920, 1996-7829","issue":"2","language":"en","page":"224-234","source":"DOI.org (Crossref)","title":"Assessing drinking water quality and health risks of contaminants in the coastal areas of Cambodia","volume":"21","author":[{"family":"Sao","given":"Vibol"},{"family":"Chey","given":"Chan Oeurn"},{"family":"Sriv","given":"Tharith"},{"family":"The","given":"Noreaksatya"},{"family":"Phin","given":"Samnang"},{"family":"Hoeng","given":"Sophanith"},{"family":"Phan","given":"Kongkea"}],"issued":{"date-parts":[["2023",2,1]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(Sao et al., 2023)</w:t>
      </w:r>
      <w:r w:rsidR="00CA283C">
        <w:rPr>
          <w:rFonts w:ascii="Times New Roman" w:hAnsi="Times New Roman" w:cs="Times New Roman"/>
          <w:sz w:val="22"/>
          <w:szCs w:val="22"/>
        </w:rPr>
        <w:fldChar w:fldCharType="end"/>
      </w:r>
      <w:r w:rsidRPr="00F50870">
        <w:rPr>
          <w:rFonts w:ascii="Times New Roman" w:hAnsi="Times New Roman" w:cs="Times New Roman"/>
          <w:sz w:val="22"/>
          <w:szCs w:val="22"/>
        </w:rPr>
        <w:t xml:space="preserve">. Furthermore, the occurrence of cases in areas where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 xml:space="preserve"> was never previously reported, such as some parts of the Middle East and South America, points to the geographical expansion of </w:t>
      </w:r>
      <w:r w:rsidRPr="00F50870">
        <w:rPr>
          <w:rFonts w:ascii="Times New Roman" w:hAnsi="Times New Roman" w:cs="Times New Roman"/>
          <w:i/>
          <w:iCs/>
          <w:sz w:val="22"/>
          <w:szCs w:val="22"/>
        </w:rPr>
        <w:t>N. fowleri</w:t>
      </w:r>
      <w:r w:rsidRPr="00F50870">
        <w:rPr>
          <w:rFonts w:ascii="Times New Roman" w:hAnsi="Times New Roman" w:cs="Times New Roman"/>
          <w:sz w:val="22"/>
          <w:szCs w:val="22"/>
        </w:rPr>
        <w:t>-related diseases being in line with climate modeling predictions.</w:t>
      </w:r>
    </w:p>
    <w:p w14:paraId="7FEA3713" w14:textId="77777777" w:rsidR="00C662A4" w:rsidRDefault="00C662A4" w:rsidP="00945488">
      <w:pPr>
        <w:jc w:val="both"/>
        <w:rPr>
          <w:rFonts w:ascii="Times New Roman" w:hAnsi="Times New Roman" w:cs="Times New Roman"/>
          <w:b/>
          <w:bCs/>
          <w:sz w:val="22"/>
          <w:szCs w:val="22"/>
        </w:rPr>
      </w:pPr>
      <w:r>
        <w:rPr>
          <w:rFonts w:ascii="Times New Roman" w:hAnsi="Times New Roman" w:cs="Times New Roman"/>
          <w:b/>
          <w:bCs/>
          <w:sz w:val="22"/>
          <w:szCs w:val="22"/>
        </w:rPr>
        <w:br/>
      </w:r>
    </w:p>
    <w:p w14:paraId="2C8601C3" w14:textId="77777777" w:rsidR="00C662A4" w:rsidRDefault="00C662A4" w:rsidP="00945488">
      <w:pPr>
        <w:jc w:val="both"/>
        <w:rPr>
          <w:rFonts w:ascii="Times New Roman" w:hAnsi="Times New Roman" w:cs="Times New Roman"/>
          <w:b/>
          <w:bCs/>
          <w:sz w:val="22"/>
          <w:szCs w:val="22"/>
        </w:rPr>
      </w:pPr>
    </w:p>
    <w:p w14:paraId="19A2EAE1" w14:textId="574FD40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b/>
          <w:bCs/>
          <w:sz w:val="22"/>
          <w:szCs w:val="22"/>
        </w:rPr>
        <w:t>Table 1: Recent Confirmed PAM Outbreaks (2020–2025)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1262"/>
        <w:gridCol w:w="2124"/>
        <w:gridCol w:w="1662"/>
        <w:gridCol w:w="1718"/>
        <w:gridCol w:w="1690"/>
      </w:tblGrid>
      <w:tr w:rsidR="000C0478" w:rsidRPr="000C0478" w14:paraId="5551EB93" w14:textId="77777777" w:rsidTr="00CC3551">
        <w:trPr>
          <w:tblHeader/>
        </w:trPr>
        <w:tc>
          <w:tcPr>
            <w:tcW w:w="895" w:type="dxa"/>
            <w:tcMar>
              <w:top w:w="150" w:type="dxa"/>
              <w:left w:w="0" w:type="dxa"/>
              <w:bottom w:w="150" w:type="dxa"/>
              <w:right w:w="240" w:type="dxa"/>
            </w:tcMar>
            <w:vAlign w:val="center"/>
            <w:hideMark/>
          </w:tcPr>
          <w:p w14:paraId="1A197190"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Year</w:t>
            </w:r>
          </w:p>
        </w:tc>
        <w:tc>
          <w:tcPr>
            <w:tcW w:w="1047" w:type="dxa"/>
            <w:tcMar>
              <w:top w:w="150" w:type="dxa"/>
              <w:left w:w="240" w:type="dxa"/>
              <w:bottom w:w="150" w:type="dxa"/>
              <w:right w:w="240" w:type="dxa"/>
            </w:tcMar>
            <w:vAlign w:val="center"/>
            <w:hideMark/>
          </w:tcPr>
          <w:p w14:paraId="5D26612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Country</w:t>
            </w:r>
          </w:p>
        </w:tc>
        <w:tc>
          <w:tcPr>
            <w:tcW w:w="0" w:type="auto"/>
            <w:tcMar>
              <w:top w:w="150" w:type="dxa"/>
              <w:left w:w="240" w:type="dxa"/>
              <w:bottom w:w="150" w:type="dxa"/>
              <w:right w:w="240" w:type="dxa"/>
            </w:tcMar>
            <w:vAlign w:val="center"/>
            <w:hideMark/>
          </w:tcPr>
          <w:p w14:paraId="2469E5B8"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Region/City</w:t>
            </w:r>
          </w:p>
        </w:tc>
        <w:tc>
          <w:tcPr>
            <w:tcW w:w="0" w:type="auto"/>
            <w:tcMar>
              <w:top w:w="150" w:type="dxa"/>
              <w:left w:w="240" w:type="dxa"/>
              <w:bottom w:w="150" w:type="dxa"/>
              <w:right w:w="240" w:type="dxa"/>
            </w:tcMar>
            <w:vAlign w:val="center"/>
            <w:hideMark/>
          </w:tcPr>
          <w:p w14:paraId="0D9E8170"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Cases</w:t>
            </w:r>
          </w:p>
        </w:tc>
        <w:tc>
          <w:tcPr>
            <w:tcW w:w="0" w:type="auto"/>
            <w:tcMar>
              <w:top w:w="150" w:type="dxa"/>
              <w:left w:w="240" w:type="dxa"/>
              <w:bottom w:w="150" w:type="dxa"/>
              <w:right w:w="240" w:type="dxa"/>
            </w:tcMar>
            <w:vAlign w:val="center"/>
            <w:hideMark/>
          </w:tcPr>
          <w:p w14:paraId="14D8650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Number of Deaths</w:t>
            </w:r>
          </w:p>
        </w:tc>
        <w:tc>
          <w:tcPr>
            <w:tcW w:w="0" w:type="auto"/>
            <w:tcMar>
              <w:top w:w="150" w:type="dxa"/>
              <w:left w:w="240" w:type="dxa"/>
              <w:bottom w:w="150" w:type="dxa"/>
              <w:right w:w="240" w:type="dxa"/>
            </w:tcMar>
            <w:vAlign w:val="center"/>
            <w:hideMark/>
          </w:tcPr>
          <w:p w14:paraId="4CA79D7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Case Fatality Rate</w:t>
            </w:r>
          </w:p>
        </w:tc>
      </w:tr>
      <w:tr w:rsidR="000C0478" w:rsidRPr="000C0478" w14:paraId="6EEF6B56" w14:textId="77777777" w:rsidTr="00CC3551">
        <w:tc>
          <w:tcPr>
            <w:tcW w:w="895" w:type="dxa"/>
            <w:tcMar>
              <w:top w:w="150" w:type="dxa"/>
              <w:left w:w="0" w:type="dxa"/>
              <w:bottom w:w="150" w:type="dxa"/>
              <w:right w:w="240" w:type="dxa"/>
            </w:tcMar>
            <w:vAlign w:val="center"/>
            <w:hideMark/>
          </w:tcPr>
          <w:p w14:paraId="42C74975"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2022</w:t>
            </w:r>
          </w:p>
        </w:tc>
        <w:tc>
          <w:tcPr>
            <w:tcW w:w="1047" w:type="dxa"/>
            <w:tcMar>
              <w:top w:w="150" w:type="dxa"/>
              <w:left w:w="240" w:type="dxa"/>
              <w:bottom w:w="150" w:type="dxa"/>
              <w:right w:w="240" w:type="dxa"/>
            </w:tcMar>
            <w:vAlign w:val="center"/>
            <w:hideMark/>
          </w:tcPr>
          <w:p w14:paraId="7259EC4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14:paraId="7ECAA41A"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Karachi</w:t>
            </w:r>
          </w:p>
        </w:tc>
        <w:tc>
          <w:tcPr>
            <w:tcW w:w="0" w:type="auto"/>
            <w:tcMar>
              <w:top w:w="150" w:type="dxa"/>
              <w:left w:w="240" w:type="dxa"/>
              <w:bottom w:w="150" w:type="dxa"/>
              <w:right w:w="240" w:type="dxa"/>
            </w:tcMar>
            <w:vAlign w:val="center"/>
            <w:hideMark/>
          </w:tcPr>
          <w:p w14:paraId="3F0675C0" w14:textId="3F737E99"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w:t>
            </w:r>
            <w:r w:rsidR="00E22152">
              <w:rPr>
                <w:rFonts w:ascii="Times New Roman" w:hAnsi="Times New Roman" w:cs="Times New Roman"/>
                <w:sz w:val="22"/>
                <w:szCs w:val="22"/>
              </w:rPr>
              <w:t>8</w:t>
            </w:r>
          </w:p>
        </w:tc>
        <w:tc>
          <w:tcPr>
            <w:tcW w:w="0" w:type="auto"/>
            <w:tcMar>
              <w:top w:w="150" w:type="dxa"/>
              <w:left w:w="240" w:type="dxa"/>
              <w:bottom w:w="150" w:type="dxa"/>
              <w:right w:w="240" w:type="dxa"/>
            </w:tcMar>
            <w:vAlign w:val="center"/>
            <w:hideMark/>
          </w:tcPr>
          <w:p w14:paraId="75E02DC6" w14:textId="5E7CB85A"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1</w:t>
            </w:r>
            <w:r w:rsidR="00E22152">
              <w:rPr>
                <w:rFonts w:ascii="Times New Roman" w:hAnsi="Times New Roman" w:cs="Times New Roman"/>
                <w:sz w:val="22"/>
                <w:szCs w:val="22"/>
              </w:rPr>
              <w:t>6</w:t>
            </w:r>
          </w:p>
        </w:tc>
        <w:tc>
          <w:tcPr>
            <w:tcW w:w="0" w:type="auto"/>
            <w:tcMar>
              <w:top w:w="150" w:type="dxa"/>
              <w:left w:w="240" w:type="dxa"/>
              <w:bottom w:w="150" w:type="dxa"/>
              <w:right w:w="0" w:type="dxa"/>
            </w:tcMar>
            <w:vAlign w:val="center"/>
            <w:hideMark/>
          </w:tcPr>
          <w:p w14:paraId="1BD89C50" w14:textId="12CD3166" w:rsidR="00E22152" w:rsidRPr="00E22152" w:rsidRDefault="00E22152" w:rsidP="00E22152">
            <w:pPr>
              <w:jc w:val="both"/>
              <w:rPr>
                <w:rFonts w:ascii="Times New Roman" w:hAnsi="Times New Roman" w:cs="Times New Roman"/>
                <w:sz w:val="22"/>
                <w:szCs w:val="22"/>
              </w:rPr>
            </w:pPr>
            <w:r w:rsidRPr="00E22152">
              <w:rPr>
                <w:rFonts w:ascii="Times New Roman" w:hAnsi="Times New Roman" w:cs="Times New Roman"/>
                <w:sz w:val="22"/>
                <w:szCs w:val="22"/>
              </w:rPr>
              <w:t>88.9%</w:t>
            </w:r>
            <w:r w:rsidR="00AB2801">
              <w:rPr>
                <w:rFonts w:ascii="Times New Roman" w:hAnsi="Times New Roman" w:cs="Times New Roman"/>
                <w:sz w:val="22"/>
                <w:szCs w:val="22"/>
              </w:rPr>
              <w:br/>
            </w:r>
            <w:r w:rsidR="00AB2801">
              <w:rPr>
                <w:rFonts w:ascii="Times New Roman" w:hAnsi="Times New Roman" w:cs="Times New Roman"/>
                <w:sz w:val="22"/>
                <w:szCs w:val="22"/>
              </w:rPr>
              <w:fldChar w:fldCharType="begin"/>
            </w:r>
            <w:r w:rsidR="00AB2801">
              <w:rPr>
                <w:rFonts w:ascii="Times New Roman" w:hAnsi="Times New Roman" w:cs="Times New Roman"/>
                <w:sz w:val="22"/>
                <w:szCs w:val="22"/>
              </w:rPr>
              <w:instrText xml:space="preserve"> ADDIN ZOTERO_ITEM CSL_CITATION {"citationID":"BApABD9N","properties":{"formattedCitation":"(Iyer et al., 2024)","plainCitation":"(Iyer et al., 2024)","noteIndex":0},"citationItems":[{"id":842,"uris":["http://zotero.org/users/18073969/items/928V6QYE"],"itemData":{"id":842,"type":"article-journal","container-title":"New Microbes and New Infections","DOI":"10.1016/j.nmni.2024.101482","ISSN":"20522975","journalAbbreviation":"New Microbes and New Infections","language":"en","page":"101482","source":"DOI.org (Crossref)","title":"Naegleria Fowleri: The prevalence of a brain-eating amoeba in freshwater bodies in India","title-short":"Naegleria Fowleri","volume":"62","author":[{"family":"Iyer","given":"Vardhini Ganesh"},{"family":"Deb","given":"Novonil"},{"family":"Mukherjee","given":"Dattatreya"},{"family":"Sah","given":"Sanjit"},{"family":"Mohanty","given":"Aroop"},{"family":"Jaiswal","given":"Vikash"},{"family":"Sah","given":"Ranjit"}],"issued":{"date-parts":[["2024",12]]}}}],"schema":"https://github.com/citation-style-language/schema/raw/master/csl-citation.json"} </w:instrText>
            </w:r>
            <w:r w:rsidR="00AB2801">
              <w:rPr>
                <w:rFonts w:ascii="Times New Roman" w:hAnsi="Times New Roman" w:cs="Times New Roman"/>
                <w:sz w:val="22"/>
                <w:szCs w:val="22"/>
              </w:rPr>
              <w:fldChar w:fldCharType="separate"/>
            </w:r>
            <w:r w:rsidR="00AB2801" w:rsidRPr="00AB2801">
              <w:rPr>
                <w:rFonts w:ascii="Times New Roman" w:hAnsi="Times New Roman" w:cs="Times New Roman"/>
                <w:sz w:val="22"/>
              </w:rPr>
              <w:t>(Iyer et al., 2024)</w:t>
            </w:r>
            <w:r w:rsidR="00AB2801">
              <w:rPr>
                <w:rFonts w:ascii="Times New Roman" w:hAnsi="Times New Roman" w:cs="Times New Roman"/>
                <w:sz w:val="22"/>
                <w:szCs w:val="22"/>
              </w:rPr>
              <w:fldChar w:fldCharType="end"/>
            </w:r>
          </w:p>
          <w:p w14:paraId="3448FBC4" w14:textId="7E6FA34C" w:rsidR="000C0478" w:rsidRPr="000C0478" w:rsidRDefault="000C0478" w:rsidP="00945488">
            <w:pPr>
              <w:jc w:val="both"/>
              <w:rPr>
                <w:rFonts w:ascii="Times New Roman" w:hAnsi="Times New Roman" w:cs="Times New Roman"/>
                <w:sz w:val="22"/>
                <w:szCs w:val="22"/>
              </w:rPr>
            </w:pPr>
          </w:p>
        </w:tc>
      </w:tr>
      <w:tr w:rsidR="000C0478" w:rsidRPr="000C0478" w14:paraId="1E9A8150" w14:textId="77777777" w:rsidTr="00CC3551">
        <w:tc>
          <w:tcPr>
            <w:tcW w:w="895" w:type="dxa"/>
            <w:tcMar>
              <w:top w:w="150" w:type="dxa"/>
              <w:left w:w="0" w:type="dxa"/>
              <w:bottom w:w="150" w:type="dxa"/>
              <w:right w:w="240" w:type="dxa"/>
            </w:tcMar>
            <w:vAlign w:val="center"/>
            <w:hideMark/>
          </w:tcPr>
          <w:p w14:paraId="71F5B9FA"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14:paraId="7AEC8FD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India</w:t>
            </w:r>
          </w:p>
        </w:tc>
        <w:tc>
          <w:tcPr>
            <w:tcW w:w="0" w:type="auto"/>
            <w:tcMar>
              <w:top w:w="150" w:type="dxa"/>
              <w:left w:w="240" w:type="dxa"/>
              <w:bottom w:w="150" w:type="dxa"/>
              <w:right w:w="240" w:type="dxa"/>
            </w:tcMar>
            <w:vAlign w:val="center"/>
            <w:hideMark/>
          </w:tcPr>
          <w:p w14:paraId="6057648D"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Kerala</w:t>
            </w:r>
          </w:p>
        </w:tc>
        <w:tc>
          <w:tcPr>
            <w:tcW w:w="0" w:type="auto"/>
            <w:tcMar>
              <w:top w:w="150" w:type="dxa"/>
              <w:left w:w="240" w:type="dxa"/>
              <w:bottom w:w="150" w:type="dxa"/>
              <w:right w:w="240" w:type="dxa"/>
            </w:tcMar>
            <w:vAlign w:val="center"/>
            <w:hideMark/>
          </w:tcPr>
          <w:p w14:paraId="13B964A5" w14:textId="5E1287DB" w:rsidR="000C0478" w:rsidRPr="000C0478" w:rsidRDefault="00E22152" w:rsidP="00945488">
            <w:pPr>
              <w:jc w:val="both"/>
              <w:rPr>
                <w:rFonts w:ascii="Times New Roman" w:hAnsi="Times New Roman" w:cs="Times New Roman"/>
                <w:sz w:val="22"/>
                <w:szCs w:val="22"/>
              </w:rPr>
            </w:pPr>
            <w:r>
              <w:rPr>
                <w:rFonts w:ascii="Times New Roman" w:hAnsi="Times New Roman" w:cs="Times New Roman"/>
                <w:sz w:val="22"/>
                <w:szCs w:val="22"/>
              </w:rPr>
              <w:t>7</w:t>
            </w:r>
          </w:p>
        </w:tc>
        <w:tc>
          <w:tcPr>
            <w:tcW w:w="0" w:type="auto"/>
            <w:tcMar>
              <w:top w:w="150" w:type="dxa"/>
              <w:left w:w="240" w:type="dxa"/>
              <w:bottom w:w="150" w:type="dxa"/>
              <w:right w:w="240" w:type="dxa"/>
            </w:tcMar>
            <w:vAlign w:val="center"/>
            <w:hideMark/>
          </w:tcPr>
          <w:p w14:paraId="4A56C53D" w14:textId="0529BA48" w:rsidR="000C0478" w:rsidRPr="000C0478" w:rsidRDefault="00E22152" w:rsidP="00945488">
            <w:pPr>
              <w:jc w:val="both"/>
              <w:rPr>
                <w:rFonts w:ascii="Times New Roman" w:hAnsi="Times New Roman" w:cs="Times New Roman"/>
                <w:sz w:val="22"/>
                <w:szCs w:val="22"/>
              </w:rPr>
            </w:pPr>
            <w:r>
              <w:rPr>
                <w:rFonts w:ascii="Times New Roman" w:hAnsi="Times New Roman" w:cs="Times New Roman"/>
                <w:sz w:val="22"/>
                <w:szCs w:val="22"/>
              </w:rPr>
              <w:t>5</w:t>
            </w:r>
          </w:p>
        </w:tc>
        <w:tc>
          <w:tcPr>
            <w:tcW w:w="0" w:type="auto"/>
            <w:tcMar>
              <w:top w:w="150" w:type="dxa"/>
              <w:left w:w="240" w:type="dxa"/>
              <w:bottom w:w="150" w:type="dxa"/>
              <w:right w:w="0" w:type="dxa"/>
            </w:tcMar>
            <w:vAlign w:val="center"/>
            <w:hideMark/>
          </w:tcPr>
          <w:p w14:paraId="7DD990F2" w14:textId="739CD5B1" w:rsidR="000C0478" w:rsidRPr="000C0478" w:rsidRDefault="00E22152" w:rsidP="00160E56">
            <w:pPr>
              <w:jc w:val="both"/>
              <w:rPr>
                <w:rFonts w:ascii="Times New Roman" w:hAnsi="Times New Roman" w:cs="Times New Roman"/>
                <w:sz w:val="22"/>
                <w:szCs w:val="22"/>
              </w:rPr>
            </w:pPr>
            <w:r w:rsidRPr="00E22152">
              <w:rPr>
                <w:rFonts w:ascii="Times New Roman" w:hAnsi="Times New Roman" w:cs="Times New Roman"/>
                <w:sz w:val="22"/>
                <w:szCs w:val="22"/>
              </w:rPr>
              <w:t xml:space="preserve">71.4% </w:t>
            </w:r>
            <w:r w:rsidR="00160E56">
              <w:rPr>
                <w:rFonts w:ascii="Times New Roman" w:hAnsi="Times New Roman" w:cs="Times New Roman"/>
                <w:sz w:val="22"/>
                <w:szCs w:val="22"/>
              </w:rPr>
              <w:br/>
            </w:r>
            <w:r w:rsidR="00160E56">
              <w:rPr>
                <w:rFonts w:ascii="Times New Roman" w:hAnsi="Times New Roman" w:cs="Times New Roman"/>
                <w:sz w:val="22"/>
                <w:szCs w:val="22"/>
              </w:rPr>
              <w:fldChar w:fldCharType="begin"/>
            </w:r>
            <w:r w:rsidR="00160E56">
              <w:rPr>
                <w:rFonts w:ascii="Times New Roman" w:hAnsi="Times New Roman" w:cs="Times New Roman"/>
                <w:sz w:val="22"/>
                <w:szCs w:val="22"/>
              </w:rPr>
              <w:instrText xml:space="preserve"> ADDIN ZOTERO_ITEM CSL_CITATION {"citationID":"Ero5nqqV","properties":{"formattedCitation":"(Ghosh et al., 2025)","plainCitation":"(Ghosh et al., 2025)","noteIndex":0},"citationItems":[{"id":845,"uris":["http://zotero.org/users/18073969/items/BAURJEMV"],"itemData":{"id":845,"type":"article-journal","container-title":"The Lancet","DOI":"10.1016/S0140-6736(25)01971-3","ISSN":"01406736","issue":"10514","journalAbbreviation":"The Lancet","language":"en","page":"1945","source":"DOI.org (Crossref)","title":"Naegleria fowleri in Kerala, India: prevention over panic","title-short":"Naegleria fowleri in Kerala, India","volume":"406","author":[{"family":"Ghosh","given":"Ritwik"},{"family":"León-Ruiz","given":"Moisés"},{"family":"Dubey","given":"Souvik"},{"family":"Benito-León","given":"Julián"}],"issued":{"date-parts":[["2025",10]]}}}],"schema":"https://github.com/citation-style-language/schema/raw/master/csl-citation.json"} </w:instrText>
            </w:r>
            <w:r w:rsidR="00160E56">
              <w:rPr>
                <w:rFonts w:ascii="Times New Roman" w:hAnsi="Times New Roman" w:cs="Times New Roman"/>
                <w:sz w:val="22"/>
                <w:szCs w:val="22"/>
              </w:rPr>
              <w:fldChar w:fldCharType="separate"/>
            </w:r>
            <w:r w:rsidR="00160E56" w:rsidRPr="00160E56">
              <w:rPr>
                <w:rFonts w:ascii="Times New Roman" w:hAnsi="Times New Roman" w:cs="Times New Roman"/>
                <w:sz w:val="22"/>
              </w:rPr>
              <w:t>(Ghosh et al., 2025)</w:t>
            </w:r>
            <w:r w:rsidR="00160E56">
              <w:rPr>
                <w:rFonts w:ascii="Times New Roman" w:hAnsi="Times New Roman" w:cs="Times New Roman"/>
                <w:sz w:val="22"/>
                <w:szCs w:val="22"/>
              </w:rPr>
              <w:fldChar w:fldCharType="end"/>
            </w:r>
          </w:p>
        </w:tc>
      </w:tr>
      <w:tr w:rsidR="000C0478" w:rsidRPr="000C0478" w14:paraId="4687C443" w14:textId="77777777" w:rsidTr="00CC3551">
        <w:tc>
          <w:tcPr>
            <w:tcW w:w="895" w:type="dxa"/>
            <w:tcMar>
              <w:top w:w="150" w:type="dxa"/>
              <w:left w:w="0" w:type="dxa"/>
              <w:bottom w:w="150" w:type="dxa"/>
              <w:right w:w="240" w:type="dxa"/>
            </w:tcMar>
            <w:vAlign w:val="center"/>
            <w:hideMark/>
          </w:tcPr>
          <w:p w14:paraId="285F9508"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2023</w:t>
            </w:r>
          </w:p>
        </w:tc>
        <w:tc>
          <w:tcPr>
            <w:tcW w:w="1047" w:type="dxa"/>
            <w:tcMar>
              <w:top w:w="150" w:type="dxa"/>
              <w:left w:w="240" w:type="dxa"/>
              <w:bottom w:w="150" w:type="dxa"/>
              <w:right w:w="240" w:type="dxa"/>
            </w:tcMar>
            <w:vAlign w:val="center"/>
            <w:hideMark/>
          </w:tcPr>
          <w:p w14:paraId="75E52BDE"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14:paraId="73D0ED4A"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Texas, Florida, Georgia</w:t>
            </w:r>
          </w:p>
        </w:tc>
        <w:tc>
          <w:tcPr>
            <w:tcW w:w="0" w:type="auto"/>
            <w:tcMar>
              <w:top w:w="150" w:type="dxa"/>
              <w:left w:w="240" w:type="dxa"/>
              <w:bottom w:w="150" w:type="dxa"/>
              <w:right w:w="240" w:type="dxa"/>
            </w:tcMar>
            <w:vAlign w:val="center"/>
            <w:hideMark/>
          </w:tcPr>
          <w:p w14:paraId="312C23A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4</w:t>
            </w:r>
          </w:p>
        </w:tc>
        <w:tc>
          <w:tcPr>
            <w:tcW w:w="0" w:type="auto"/>
            <w:tcMar>
              <w:top w:w="150" w:type="dxa"/>
              <w:left w:w="240" w:type="dxa"/>
              <w:bottom w:w="150" w:type="dxa"/>
              <w:right w:w="240" w:type="dxa"/>
            </w:tcMar>
            <w:vAlign w:val="center"/>
            <w:hideMark/>
          </w:tcPr>
          <w:p w14:paraId="0560633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0" w:type="dxa"/>
            </w:tcMar>
            <w:vAlign w:val="center"/>
            <w:hideMark/>
          </w:tcPr>
          <w:p w14:paraId="5DCAC22B"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75.0%</w:t>
            </w:r>
          </w:p>
        </w:tc>
      </w:tr>
      <w:tr w:rsidR="000C0478" w:rsidRPr="000C0478" w14:paraId="7907FB50" w14:textId="77777777" w:rsidTr="00CC3551">
        <w:tc>
          <w:tcPr>
            <w:tcW w:w="895" w:type="dxa"/>
            <w:tcMar>
              <w:top w:w="150" w:type="dxa"/>
              <w:left w:w="0" w:type="dxa"/>
              <w:bottom w:w="150" w:type="dxa"/>
              <w:right w:w="240" w:type="dxa"/>
            </w:tcMar>
            <w:vAlign w:val="center"/>
            <w:hideMark/>
          </w:tcPr>
          <w:p w14:paraId="6181139B"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14:paraId="2FDA164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Thailand</w:t>
            </w:r>
          </w:p>
        </w:tc>
        <w:tc>
          <w:tcPr>
            <w:tcW w:w="0" w:type="auto"/>
            <w:tcMar>
              <w:top w:w="150" w:type="dxa"/>
              <w:left w:w="240" w:type="dxa"/>
              <w:bottom w:w="150" w:type="dxa"/>
              <w:right w:w="240" w:type="dxa"/>
            </w:tcMar>
            <w:vAlign w:val="center"/>
            <w:hideMark/>
          </w:tcPr>
          <w:p w14:paraId="5C9543A9"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Northern Province</w:t>
            </w:r>
          </w:p>
        </w:tc>
        <w:tc>
          <w:tcPr>
            <w:tcW w:w="0" w:type="auto"/>
            <w:tcMar>
              <w:top w:w="150" w:type="dxa"/>
              <w:left w:w="240" w:type="dxa"/>
              <w:bottom w:w="150" w:type="dxa"/>
              <w:right w:w="240" w:type="dxa"/>
            </w:tcMar>
            <w:vAlign w:val="center"/>
            <w:hideMark/>
          </w:tcPr>
          <w:p w14:paraId="6551882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14:paraId="03E03CB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14:paraId="4C872E4C"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r w:rsidR="000C0478" w:rsidRPr="000C0478" w14:paraId="720BD2AB" w14:textId="77777777" w:rsidTr="00CC3551">
        <w:tc>
          <w:tcPr>
            <w:tcW w:w="895" w:type="dxa"/>
            <w:tcMar>
              <w:top w:w="150" w:type="dxa"/>
              <w:left w:w="0" w:type="dxa"/>
              <w:bottom w:w="150" w:type="dxa"/>
              <w:right w:w="240" w:type="dxa"/>
            </w:tcMar>
            <w:vAlign w:val="center"/>
            <w:hideMark/>
          </w:tcPr>
          <w:p w14:paraId="424126DF"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2024</w:t>
            </w:r>
          </w:p>
        </w:tc>
        <w:tc>
          <w:tcPr>
            <w:tcW w:w="1047" w:type="dxa"/>
            <w:tcMar>
              <w:top w:w="150" w:type="dxa"/>
              <w:left w:w="240" w:type="dxa"/>
              <w:bottom w:w="150" w:type="dxa"/>
              <w:right w:w="240" w:type="dxa"/>
            </w:tcMar>
            <w:vAlign w:val="center"/>
            <w:hideMark/>
          </w:tcPr>
          <w:p w14:paraId="587D07C3"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Pakistan</w:t>
            </w:r>
          </w:p>
        </w:tc>
        <w:tc>
          <w:tcPr>
            <w:tcW w:w="0" w:type="auto"/>
            <w:tcMar>
              <w:top w:w="150" w:type="dxa"/>
              <w:left w:w="240" w:type="dxa"/>
              <w:bottom w:w="150" w:type="dxa"/>
              <w:right w:w="240" w:type="dxa"/>
            </w:tcMar>
            <w:vAlign w:val="center"/>
            <w:hideMark/>
          </w:tcPr>
          <w:p w14:paraId="4F9F9A02"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Sindh Province</w:t>
            </w:r>
          </w:p>
        </w:tc>
        <w:tc>
          <w:tcPr>
            <w:tcW w:w="0" w:type="auto"/>
            <w:tcMar>
              <w:top w:w="150" w:type="dxa"/>
              <w:left w:w="240" w:type="dxa"/>
              <w:bottom w:w="150" w:type="dxa"/>
              <w:right w:w="240" w:type="dxa"/>
            </w:tcMar>
            <w:vAlign w:val="center"/>
            <w:hideMark/>
          </w:tcPr>
          <w:p w14:paraId="38E41438" w14:textId="5DAD985C" w:rsidR="000C0478" w:rsidRPr="000C0478" w:rsidRDefault="00E22152" w:rsidP="00945488">
            <w:pPr>
              <w:jc w:val="both"/>
              <w:rPr>
                <w:rFonts w:ascii="Times New Roman" w:hAnsi="Times New Roman" w:cs="Times New Roman"/>
                <w:sz w:val="22"/>
                <w:szCs w:val="22"/>
              </w:rPr>
            </w:pPr>
            <w:r>
              <w:rPr>
                <w:rFonts w:ascii="Times New Roman" w:hAnsi="Times New Roman" w:cs="Times New Roman"/>
                <w:sz w:val="22"/>
                <w:szCs w:val="22"/>
              </w:rPr>
              <w:t>12</w:t>
            </w:r>
          </w:p>
        </w:tc>
        <w:tc>
          <w:tcPr>
            <w:tcW w:w="0" w:type="auto"/>
            <w:tcMar>
              <w:top w:w="150" w:type="dxa"/>
              <w:left w:w="240" w:type="dxa"/>
              <w:bottom w:w="150" w:type="dxa"/>
              <w:right w:w="240" w:type="dxa"/>
            </w:tcMar>
            <w:vAlign w:val="center"/>
            <w:hideMark/>
          </w:tcPr>
          <w:p w14:paraId="20E88BDA" w14:textId="7B91A6C4" w:rsidR="000C0478" w:rsidRPr="000C0478" w:rsidRDefault="00E22152" w:rsidP="00945488">
            <w:pPr>
              <w:jc w:val="both"/>
              <w:rPr>
                <w:rFonts w:ascii="Times New Roman" w:hAnsi="Times New Roman" w:cs="Times New Roman"/>
                <w:sz w:val="22"/>
                <w:szCs w:val="22"/>
              </w:rPr>
            </w:pPr>
            <w:r>
              <w:rPr>
                <w:rFonts w:ascii="Times New Roman" w:hAnsi="Times New Roman" w:cs="Times New Roman"/>
                <w:sz w:val="22"/>
                <w:szCs w:val="22"/>
              </w:rPr>
              <w:t>10</w:t>
            </w:r>
          </w:p>
        </w:tc>
        <w:tc>
          <w:tcPr>
            <w:tcW w:w="0" w:type="auto"/>
            <w:tcMar>
              <w:top w:w="150" w:type="dxa"/>
              <w:left w:w="240" w:type="dxa"/>
              <w:bottom w:w="150" w:type="dxa"/>
              <w:right w:w="0" w:type="dxa"/>
            </w:tcMar>
            <w:vAlign w:val="center"/>
            <w:hideMark/>
          </w:tcPr>
          <w:p w14:paraId="45CEDC87" w14:textId="062F79C9" w:rsidR="00E22152" w:rsidRPr="00E22152" w:rsidRDefault="00E22152" w:rsidP="00E22152">
            <w:pPr>
              <w:jc w:val="both"/>
              <w:rPr>
                <w:rFonts w:ascii="Times New Roman" w:hAnsi="Times New Roman" w:cs="Times New Roman"/>
                <w:sz w:val="22"/>
                <w:szCs w:val="22"/>
              </w:rPr>
            </w:pPr>
            <w:r w:rsidRPr="00E22152">
              <w:rPr>
                <w:rFonts w:ascii="Times New Roman" w:hAnsi="Times New Roman" w:cs="Times New Roman"/>
                <w:sz w:val="22"/>
                <w:szCs w:val="22"/>
              </w:rPr>
              <w:t>83.3%</w:t>
            </w:r>
            <w:r w:rsidR="00AB2801">
              <w:rPr>
                <w:rFonts w:ascii="Times New Roman" w:hAnsi="Times New Roman" w:cs="Times New Roman"/>
                <w:sz w:val="22"/>
                <w:szCs w:val="22"/>
              </w:rPr>
              <w:br/>
            </w:r>
            <w:r w:rsidR="00AB2801">
              <w:rPr>
                <w:rFonts w:ascii="Times New Roman" w:hAnsi="Times New Roman" w:cs="Times New Roman"/>
                <w:sz w:val="22"/>
                <w:szCs w:val="22"/>
              </w:rPr>
              <w:fldChar w:fldCharType="begin"/>
            </w:r>
            <w:r w:rsidR="00AB2801">
              <w:rPr>
                <w:rFonts w:ascii="Times New Roman" w:hAnsi="Times New Roman" w:cs="Times New Roman"/>
                <w:sz w:val="22"/>
                <w:szCs w:val="22"/>
              </w:rPr>
              <w:instrText xml:space="preserve"> ADDIN ZOTERO_ITEM CSL_CITATION {"citationID":"VRaQOe47","properties":{"formattedCitation":"(Iyer et al., 2024)","plainCitation":"(Iyer et al., 2024)","noteIndex":0},"citationItems":[{"id":842,"uris":["http://zotero.org/users/18073969/items/928V6QYE"],"itemData":{"id":842,"type":"article-journal","container-title":"New Microbes and New Infections","DOI":"10.1016/j.nmni.2024.101482","ISSN":"20522975","journalAbbreviation":"New Microbes and New Infections","language":"en","page":"101482","source":"DOI.org (Crossref)","title":"Naegleria Fowleri: The prevalence of a brain-eating amoeba in freshwater bodies in India","title-short":"Naegleria Fowleri","volume":"62","author":[{"family":"Iyer","given":"Vardhini Ganesh"},{"family":"Deb","given":"Novonil"},{"family":"Mukherjee","given":"Dattatreya"},{"family":"Sah","given":"Sanjit"},{"family":"Mohanty","given":"Aroop"},{"family":"Jaiswal","given":"Vikash"},{"family":"Sah","given":"Ranjit"}],"issued":{"date-parts":[["2024",12]]}}}],"schema":"https://github.com/citation-style-language/schema/raw/master/csl-citation.json"} </w:instrText>
            </w:r>
            <w:r w:rsidR="00AB2801">
              <w:rPr>
                <w:rFonts w:ascii="Times New Roman" w:hAnsi="Times New Roman" w:cs="Times New Roman"/>
                <w:sz w:val="22"/>
                <w:szCs w:val="22"/>
              </w:rPr>
              <w:fldChar w:fldCharType="separate"/>
            </w:r>
            <w:r w:rsidR="00AB2801" w:rsidRPr="00AB2801">
              <w:rPr>
                <w:rFonts w:ascii="Times New Roman" w:hAnsi="Times New Roman" w:cs="Times New Roman"/>
                <w:sz w:val="22"/>
              </w:rPr>
              <w:t>(Iyer et al., 2024)</w:t>
            </w:r>
            <w:r w:rsidR="00AB2801">
              <w:rPr>
                <w:rFonts w:ascii="Times New Roman" w:hAnsi="Times New Roman" w:cs="Times New Roman"/>
                <w:sz w:val="22"/>
                <w:szCs w:val="22"/>
              </w:rPr>
              <w:fldChar w:fldCharType="end"/>
            </w:r>
          </w:p>
          <w:p w14:paraId="1449E611" w14:textId="1EFC0815" w:rsidR="000C0478" w:rsidRPr="000C0478" w:rsidRDefault="000C0478" w:rsidP="00945488">
            <w:pPr>
              <w:jc w:val="both"/>
              <w:rPr>
                <w:rFonts w:ascii="Times New Roman" w:hAnsi="Times New Roman" w:cs="Times New Roman"/>
                <w:sz w:val="22"/>
                <w:szCs w:val="22"/>
              </w:rPr>
            </w:pPr>
          </w:p>
        </w:tc>
      </w:tr>
      <w:tr w:rsidR="000C0478" w:rsidRPr="000C0478" w14:paraId="47A583C0" w14:textId="77777777" w:rsidTr="00CC3551">
        <w:tc>
          <w:tcPr>
            <w:tcW w:w="895" w:type="dxa"/>
            <w:tcMar>
              <w:top w:w="150" w:type="dxa"/>
              <w:left w:w="0" w:type="dxa"/>
              <w:bottom w:w="150" w:type="dxa"/>
              <w:right w:w="240" w:type="dxa"/>
            </w:tcMar>
            <w:vAlign w:val="center"/>
            <w:hideMark/>
          </w:tcPr>
          <w:p w14:paraId="4A9DE8AD" w14:textId="77777777" w:rsidR="000C0478" w:rsidRPr="000C0478" w:rsidRDefault="000C0478" w:rsidP="00CC3551">
            <w:pPr>
              <w:jc w:val="center"/>
              <w:rPr>
                <w:rFonts w:ascii="Times New Roman" w:hAnsi="Times New Roman" w:cs="Times New Roman"/>
                <w:sz w:val="22"/>
                <w:szCs w:val="22"/>
              </w:rPr>
            </w:pPr>
            <w:r w:rsidRPr="000C0478">
              <w:rPr>
                <w:rFonts w:ascii="Times New Roman" w:hAnsi="Times New Roman" w:cs="Times New Roman"/>
                <w:sz w:val="22"/>
                <w:szCs w:val="22"/>
              </w:rPr>
              <w:t>2025</w:t>
            </w:r>
          </w:p>
        </w:tc>
        <w:tc>
          <w:tcPr>
            <w:tcW w:w="1047" w:type="dxa"/>
            <w:tcMar>
              <w:top w:w="150" w:type="dxa"/>
              <w:left w:w="240" w:type="dxa"/>
              <w:bottom w:w="150" w:type="dxa"/>
              <w:right w:w="240" w:type="dxa"/>
            </w:tcMar>
            <w:vAlign w:val="center"/>
            <w:hideMark/>
          </w:tcPr>
          <w:p w14:paraId="26F406B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USA</w:t>
            </w:r>
          </w:p>
        </w:tc>
        <w:tc>
          <w:tcPr>
            <w:tcW w:w="0" w:type="auto"/>
            <w:tcMar>
              <w:top w:w="150" w:type="dxa"/>
              <w:left w:w="240" w:type="dxa"/>
              <w:bottom w:w="150" w:type="dxa"/>
              <w:right w:w="240" w:type="dxa"/>
            </w:tcMar>
            <w:vAlign w:val="center"/>
            <w:hideMark/>
          </w:tcPr>
          <w:p w14:paraId="7AB39551"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Multiple states</w:t>
            </w:r>
          </w:p>
        </w:tc>
        <w:tc>
          <w:tcPr>
            <w:tcW w:w="0" w:type="auto"/>
            <w:tcMar>
              <w:top w:w="150" w:type="dxa"/>
              <w:left w:w="240" w:type="dxa"/>
              <w:bottom w:w="150" w:type="dxa"/>
              <w:right w:w="240" w:type="dxa"/>
            </w:tcMar>
            <w:vAlign w:val="center"/>
            <w:hideMark/>
          </w:tcPr>
          <w:p w14:paraId="56742CA6"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3</w:t>
            </w:r>
          </w:p>
        </w:tc>
        <w:tc>
          <w:tcPr>
            <w:tcW w:w="0" w:type="auto"/>
            <w:tcMar>
              <w:top w:w="150" w:type="dxa"/>
              <w:left w:w="240" w:type="dxa"/>
              <w:bottom w:w="150" w:type="dxa"/>
              <w:right w:w="240" w:type="dxa"/>
            </w:tcMar>
            <w:vAlign w:val="center"/>
            <w:hideMark/>
          </w:tcPr>
          <w:p w14:paraId="41E1CF9F"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2</w:t>
            </w:r>
          </w:p>
        </w:tc>
        <w:tc>
          <w:tcPr>
            <w:tcW w:w="0" w:type="auto"/>
            <w:tcMar>
              <w:top w:w="150" w:type="dxa"/>
              <w:left w:w="240" w:type="dxa"/>
              <w:bottom w:w="150" w:type="dxa"/>
              <w:right w:w="0" w:type="dxa"/>
            </w:tcMar>
            <w:vAlign w:val="center"/>
            <w:hideMark/>
          </w:tcPr>
          <w:p w14:paraId="0EE6CF25"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sz w:val="22"/>
                <w:szCs w:val="22"/>
              </w:rPr>
              <w:t>66.7%</w:t>
            </w:r>
          </w:p>
        </w:tc>
      </w:tr>
    </w:tbl>
    <w:p w14:paraId="33BC3744" w14:textId="77777777" w:rsidR="000C0478" w:rsidRPr="000C0478" w:rsidRDefault="000C0478" w:rsidP="00945488">
      <w:pPr>
        <w:jc w:val="both"/>
        <w:rPr>
          <w:rFonts w:ascii="Times New Roman" w:hAnsi="Times New Roman" w:cs="Times New Roman"/>
          <w:sz w:val="22"/>
          <w:szCs w:val="22"/>
        </w:rPr>
      </w:pPr>
      <w:r w:rsidRPr="000C0478">
        <w:rPr>
          <w:rFonts w:ascii="Times New Roman" w:hAnsi="Times New Roman" w:cs="Times New Roman"/>
          <w:i/>
          <w:iCs/>
          <w:sz w:val="22"/>
          <w:szCs w:val="22"/>
        </w:rPr>
        <w:t>Note: Data compiled from referenced sources and public health reports.</w:t>
      </w:r>
    </w:p>
    <w:p w14:paraId="774FECFA" w14:textId="25CF4491" w:rsidR="00C662A4" w:rsidRDefault="007F4F1E" w:rsidP="00945488">
      <w:pPr>
        <w:jc w:val="both"/>
        <w:rPr>
          <w:rFonts w:ascii="Times New Roman" w:hAnsi="Times New Roman" w:cs="Times New Roman"/>
          <w:b/>
          <w:bCs/>
          <w:sz w:val="22"/>
          <w:szCs w:val="22"/>
        </w:rPr>
      </w:pPr>
      <w:r w:rsidRPr="007F4F1E">
        <w:rPr>
          <w:rFonts w:ascii="Times New Roman" w:hAnsi="Times New Roman" w:cs="Times New Roman"/>
          <w:sz w:val="22"/>
          <w:szCs w:val="22"/>
        </w:rPr>
        <w:lastRenderedPageBreak/>
        <w:t xml:space="preserve">The epidemiological trends that are currently observed are attributed to several interconnected factors. The most important of these factors is climate change, as it has a direct effect on the temperature of water and the subsequent proliferation of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in freshwater during the growing season. Based on experimental investigations, it has been found that if the water temperature is over 30°C, the amoebic growth rate and viability are significantly increased, thereby extending the geographical range and duration of the risk of transmission</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{"citationID":"Ls0Qj94q","properties":{"formattedCitation":"(Steenbeek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CA283C">
        <w:rPr>
          <w:rFonts w:ascii="Times New Roman" w:hAnsi="Times New Roman" w:cs="Times New Roman"/>
          <w:sz w:val="22"/>
          <w:szCs w:val="22"/>
        </w:rPr>
        <w:fldChar w:fldCharType="end"/>
      </w:r>
      <w:r w:rsidRPr="007F4F1E">
        <w:rPr>
          <w:rFonts w:ascii="Times New Roman" w:hAnsi="Times New Roman" w:cs="Times New Roman"/>
          <w:sz w:val="22"/>
          <w:szCs w:val="22"/>
        </w:rPr>
        <w:t xml:space="preserve">. Water management practices play a crucial role in influencing the disease risk; for instance, </w:t>
      </w:r>
      <w:r w:rsidRPr="007F4F1E">
        <w:rPr>
          <w:rFonts w:ascii="Times New Roman" w:hAnsi="Times New Roman" w:cs="Times New Roman"/>
          <w:i/>
          <w:iCs/>
          <w:sz w:val="22"/>
          <w:szCs w:val="22"/>
        </w:rPr>
        <w:t>N. fowleri</w:t>
      </w:r>
      <w:r w:rsidRPr="007F4F1E">
        <w:rPr>
          <w:rFonts w:ascii="Times New Roman" w:hAnsi="Times New Roman" w:cs="Times New Roman"/>
          <w:sz w:val="22"/>
          <w:szCs w:val="22"/>
        </w:rPr>
        <w:t xml:space="preserve"> can easily invade the water supply system if there is an inadequate chlorination residual, cross-connections in the distribution systems, and water stored at room temperature. The situation is worsened for people living in poor areas by socio-economic factors like lack of access to chlorinated water and dependence on untreated groundwater sources that make them more vulnerable </w:t>
      </w:r>
      <w:r w:rsidR="00CA283C">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{"citationID":"UEwKS5Ja","properties":{"formattedCitation":"(Gharpure et al., 2021)","plainCitation":"(Gharpure et al., 2021)","noteIndex":0},"citationItems":[{"id":563,"uris":["http://zotero.org/users/18073969/items/Y7HCFDBZ"],"itemData":{"id":563,"type":"article-journal","abstract":"Abstract\n            \n              Background\n              Primary amebic meningoencephalitis (PAM) is a rapidly progressive and often fatal condition caused by the free-living ameba Naegleria fowleri. To estimate the global occurrence, characterize the epidemiology, and describe the clinical features of PAM, we report a series of PAM cases published in the international literature and reported to the Centers for Disease Control and Prevention (CDC).\n            \n            \n              Methods\n              We performed a literature search of PAM case reports published through 2018. Additionally, we included cases reported through the CDC’s Free-Living Ameba surveillance or diagnosed via CDC’s Free-Living and Intestinal Amebas Laboratory. Cases were classified as confirmed, probable, or suspect on the basis of confirmatory testing, presentation, exposure, and disease course.\n            \n            \n              Results\n              A total of 381 PAM cases were identified. Seven reported survivors were classified as confirmed. The most commonly reported exposure associated with PAM was swimming/diving, and the most common class of water source was lakes/ponds/reservoirs. Patients were predominantly male (75%), with a median age of 14 years. Confirmed and probable cases were similar in their survival, course of illness, and cerebrospinal fluid (CSF) findings.\n            \n            \n              Conclusions\n              PAM is a rare but deadly disease with worldwide occurrence. Improved clinician awareness, resulting in earlier diagnosis and treatment, may contribute to increased survival among PAM patients. The case definition of probable used in this study appears to capture cases of PAM, as evidenced by similarities in outcomes, clinical course, and CSF profile to confirmed cases. In the absence of confirmatory testing, clinicians could use this case definition to identify cases of PAM.","container-title":"Clinical Infectious Diseases","DOI":"10.1093/cid/ciaa520","ISSN":"1058-4838, 1537-6591","issue":"1","language":"en","page":"e19-e27","source":"DOI.org (Crossref)","title":"Epidemiology and Clinical Characteristics of Primary Amebic Meningoencephalitis Caused by &lt;i&gt;Naegleria fowleri&lt;/i&gt; : A Global Review","title-short":"Epidemiology and Clinical Characteristics of Primary Amebic Meningoencephalitis Caused by &lt;i&gt;Naegleria fowleri&lt;/i&gt;","volume":"73","author":[{"family":"Gharpure","given":"Radhika"},{"family":"Bliton","given":"John"},{"family":"Goodman","given":"Alexandra"},{"family":"Ali","given":"Ibne Karim M"},{"family":"Yoder","given":"Jonathan"},{"family":"Cope","given":"Jennifer R"}],"issued":{"date-parts":[["2021",7,1]]}}}],"schema":"https://github.com/citation-style-language/schema/raw/master/csl-citation.json"} </w:instrText>
      </w:r>
      <w:r w:rsidR="00CA283C">
        <w:rPr>
          <w:rFonts w:ascii="Times New Roman" w:hAnsi="Times New Roman" w:cs="Times New Roman"/>
          <w:sz w:val="22"/>
          <w:szCs w:val="22"/>
        </w:rPr>
        <w:fldChar w:fldCharType="separate"/>
      </w:r>
      <w:r w:rsidR="00652010" w:rsidRPr="00652010">
        <w:rPr>
          <w:rFonts w:ascii="Times New Roman" w:hAnsi="Times New Roman" w:cs="Times New Roman"/>
          <w:sz w:val="22"/>
        </w:rPr>
        <w:t>(Gharpure et al., 2021)</w:t>
      </w:r>
      <w:r w:rsidR="00CA283C">
        <w:rPr>
          <w:rFonts w:ascii="Times New Roman" w:hAnsi="Times New Roman" w:cs="Times New Roman"/>
          <w:sz w:val="22"/>
          <w:szCs w:val="22"/>
        </w:rPr>
        <w:fldChar w:fldCharType="end"/>
      </w:r>
      <w:r w:rsidRPr="007F4F1E">
        <w:rPr>
          <w:rFonts w:ascii="Times New Roman" w:hAnsi="Times New Roman" w:cs="Times New Roman"/>
          <w:sz w:val="22"/>
          <w:szCs w:val="22"/>
        </w:rPr>
        <w:t>. Rapid urbanization patterns not only affect the health of the population but also create conditions under which the spread of the disease could occur; this is because urban growth often goes faster than the development of the corresponding water supply infrastructure, resulting in a situation where the densely populated areas are constantly harboring the transmission foci.</w:t>
      </w:r>
    </w:p>
    <w:p w14:paraId="67E6FA39" w14:textId="77777777" w:rsidR="00160E56" w:rsidRDefault="00160E56" w:rsidP="00945488">
      <w:pPr>
        <w:jc w:val="both"/>
        <w:rPr>
          <w:rFonts w:ascii="Times New Roman" w:hAnsi="Times New Roman" w:cs="Times New Roman"/>
          <w:b/>
          <w:bCs/>
          <w:sz w:val="22"/>
          <w:szCs w:val="22"/>
        </w:rPr>
      </w:pPr>
    </w:p>
    <w:p w14:paraId="770B9D72" w14:textId="503DA4C5" w:rsidR="000C0478" w:rsidRPr="008A6D89" w:rsidRDefault="008A6D89" w:rsidP="00945488">
      <w:pPr>
        <w:jc w:val="both"/>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59264" behindDoc="0" locked="0" layoutInCell="1" allowOverlap="1" wp14:anchorId="285D1D6F" wp14:editId="70751BAD">
                <wp:simplePos x="0" y="0"/>
                <wp:positionH relativeFrom="column">
                  <wp:posOffset>62230</wp:posOffset>
                </wp:positionH>
                <wp:positionV relativeFrom="paragraph">
                  <wp:posOffset>130175</wp:posOffset>
                </wp:positionV>
                <wp:extent cx="5811520" cy="4142105"/>
                <wp:effectExtent l="0" t="0" r="0" b="0"/>
                <wp:wrapNone/>
                <wp:docPr id="433806834" name="Rectangle 2"/>
                <wp:cNvGraphicFramePr/>
                <a:graphic xmlns:a="http://schemas.openxmlformats.org/drawingml/2006/main">
                  <a:graphicData uri="http://schemas.microsoft.com/office/word/2010/wordprocessingShape">
                    <wps:wsp>
                      <wps:cNvSpPr/>
                      <wps:spPr>
                        <a:xfrm>
                          <a:off x="0" y="0"/>
                          <a:ext cx="5811520" cy="41421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6D5A07" w14:textId="015FD506" w:rsidR="002F40A6" w:rsidRDefault="002F40A6" w:rsidP="002F40A6">
                            <w:pPr>
                              <w:jc w:val="center"/>
                            </w:pPr>
                            <w:r>
                              <w:rPr>
                                <w:noProof/>
                              </w:rPr>
                              <w:drawing>
                                <wp:inline distT="0" distB="0" distL="0" distR="0" wp14:anchorId="2FF86A2D" wp14:editId="3B81993F">
                                  <wp:extent cx="4475019" cy="4037965"/>
                                  <wp:effectExtent l="0" t="0" r="1905" b="635"/>
                                  <wp:docPr id="1941298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827" cy="40504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D1D6F" id="Rectangle 2" o:spid="_x0000_s1027" style="position:absolute;left:0;text-align:left;margin-left:4.9pt;margin-top:10.25pt;width:457.6pt;height:3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" filled="f" stroked="f" strokeweight="1pt">
                <v:textbox>
                  <w:txbxContent>
                    <w:p w14:paraId="706D5A07" w14:textId="015FD506" w:rsidR="002F40A6" w:rsidRDefault="002F40A6" w:rsidP="002F40A6">
                      <w:pPr>
                        <w:jc w:val="center"/>
                      </w:pPr>
                      <w:r>
                        <w:rPr>
                          <w:noProof/>
                        </w:rPr>
                        <w:drawing>
                          <wp:inline distT="0" distB="0" distL="0" distR="0" wp14:anchorId="2FF86A2D" wp14:editId="3B81993F">
                            <wp:extent cx="4475019" cy="4037965"/>
                            <wp:effectExtent l="0" t="0" r="1905" b="635"/>
                            <wp:docPr id="1941298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827" cy="4050424"/>
                                    </a:xfrm>
                                    <a:prstGeom prst="rect">
                                      <a:avLst/>
                                    </a:prstGeom>
                                    <a:noFill/>
                                    <a:ln>
                                      <a:noFill/>
                                    </a:ln>
                                  </pic:spPr>
                                </pic:pic>
                              </a:graphicData>
                            </a:graphic>
                          </wp:inline>
                        </w:drawing>
                      </w:r>
                    </w:p>
                  </w:txbxContent>
                </v:textbox>
              </v:rect>
            </w:pict>
          </mc:Fallback>
        </mc:AlternateContent>
      </w:r>
      <w:r w:rsidR="000C0478" w:rsidRPr="000C0478">
        <w:rPr>
          <w:rFonts w:ascii="Times New Roman" w:hAnsi="Times New Roman" w:cs="Times New Roman"/>
          <w:b/>
          <w:bCs/>
          <w:sz w:val="22"/>
          <w:szCs w:val="22"/>
        </w:rPr>
        <w:t xml:space="preserve">Figure </w:t>
      </w:r>
      <w:r w:rsidR="007627DD">
        <w:rPr>
          <w:rFonts w:ascii="Times New Roman" w:hAnsi="Times New Roman" w:cs="Times New Roman"/>
          <w:b/>
          <w:bCs/>
          <w:sz w:val="22"/>
          <w:szCs w:val="22"/>
        </w:rPr>
        <w:t>2</w:t>
      </w:r>
      <w:r w:rsidR="000C0478" w:rsidRPr="000C0478">
        <w:rPr>
          <w:rFonts w:ascii="Times New Roman" w:hAnsi="Times New Roman" w:cs="Times New Roman"/>
          <w:b/>
          <w:bCs/>
          <w:sz w:val="22"/>
          <w:szCs w:val="22"/>
        </w:rPr>
        <w:t>: World map highlighting outbreak hotspots and emerging risk zones.</w:t>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2F40A6">
        <w:rPr>
          <w:rFonts w:ascii="Times New Roman" w:hAnsi="Times New Roman" w:cs="Times New Roman"/>
          <w:b/>
          <w:b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r w:rsidR="00AE470E">
        <w:rPr>
          <w:rFonts w:ascii="Times New Roman" w:hAnsi="Times New Roman" w:cs="Times New Roman"/>
          <w:i/>
          <w:iCs/>
          <w:sz w:val="22"/>
          <w:szCs w:val="22"/>
        </w:rPr>
        <w:br/>
      </w:r>
    </w:p>
    <w:p w14:paraId="46609F08" w14:textId="77777777" w:rsidR="00AE470E" w:rsidRPr="000C0478" w:rsidRDefault="00AE470E" w:rsidP="00945488">
      <w:pPr>
        <w:jc w:val="both"/>
        <w:rPr>
          <w:rFonts w:ascii="Times New Roman" w:hAnsi="Times New Roman" w:cs="Times New Roman"/>
          <w:sz w:val="22"/>
          <w:szCs w:val="22"/>
        </w:rPr>
      </w:pPr>
    </w:p>
    <w:p w14:paraId="4C885711" w14:textId="77777777" w:rsidR="007F4F1E" w:rsidRDefault="007F4F1E" w:rsidP="00945488">
      <w:pPr>
        <w:jc w:val="both"/>
        <w:rPr>
          <w:rFonts w:ascii="Times New Roman" w:hAnsi="Times New Roman" w:cs="Times New Roman"/>
          <w:sz w:val="22"/>
          <w:szCs w:val="22"/>
        </w:rPr>
      </w:pPr>
    </w:p>
    <w:p w14:paraId="62FC5202" w14:textId="77777777" w:rsidR="007F4F1E" w:rsidRDefault="007F4F1E" w:rsidP="00945488">
      <w:pPr>
        <w:jc w:val="both"/>
        <w:rPr>
          <w:rFonts w:ascii="Times New Roman" w:hAnsi="Times New Roman" w:cs="Times New Roman"/>
          <w:sz w:val="22"/>
          <w:szCs w:val="22"/>
        </w:rPr>
      </w:pPr>
    </w:p>
    <w:p w14:paraId="4B42F267" w14:textId="77777777" w:rsidR="00BA77D3" w:rsidRDefault="00BA77D3" w:rsidP="00945488">
      <w:pPr>
        <w:jc w:val="both"/>
        <w:rPr>
          <w:rFonts w:ascii="Times New Roman" w:hAnsi="Times New Roman" w:cs="Times New Roman"/>
          <w:i/>
          <w:iCs/>
          <w:sz w:val="22"/>
          <w:szCs w:val="22"/>
        </w:rPr>
      </w:pPr>
    </w:p>
    <w:p w14:paraId="14C2F35B" w14:textId="55DAF056" w:rsidR="007F4F1E"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lastRenderedPageBreak/>
        <w:t>World map highlighting confirmed outbreak hotspots (red) in southern United States, Pakistan, and northern India based on WHO and CDC surveillance data. Emerging risk zones (orange) indicate regions with recent case reports in Southeast Asia. Climate-based predictive modeling shows potential future risk areas (yellow shading) where rising water temperatures may create suitable habitats for Naegleria fowleri proliferation.</w:t>
      </w:r>
    </w:p>
    <w:p w14:paraId="325A9866" w14:textId="379B919A" w:rsidR="00C662A4" w:rsidRPr="00BA77D3" w:rsidRDefault="007F4F1E" w:rsidP="00F10383">
      <w:pPr>
        <w:jc w:val="both"/>
        <w:rPr>
          <w:rFonts w:ascii="Times New Roman" w:hAnsi="Times New Roman" w:cs="Times New Roman"/>
          <w:sz w:val="22"/>
          <w:szCs w:val="22"/>
        </w:rPr>
      </w:pPr>
      <w:r w:rsidRPr="007F4F1E">
        <w:rPr>
          <w:rFonts w:ascii="Times New Roman" w:hAnsi="Times New Roman" w:cs="Times New Roman"/>
          <w:sz w:val="22"/>
          <w:szCs w:val="22"/>
        </w:rPr>
        <w:t>The changing patterns of PAM from 2020 to 2025 are a clear indication of the complex interrelationship between environmental transformations, human activities, and health services. New geographical locations characterized by high incidence rates, especially in South Asia, call for not only the customary surveillance but also proper and specific preventive measures that take into consideration the local practices of water usage. The pattern of the disease distribution that is changing, meanwhile, brings to the attention the necessity for the global health institutions to admit that PAM is a climate-sensitive emerging disease, causing the need for collaboration of the international surveillance and response efforts.</w:t>
      </w:r>
      <w:r w:rsidR="007627DD">
        <w:rPr>
          <w:rFonts w:ascii="Times New Roman" w:hAnsi="Times New Roman" w:cs="Times New Roman"/>
          <w:sz w:val="22"/>
          <w:szCs w:val="22"/>
        </w:rPr>
        <w:t xml:space="preserve"> </w:t>
      </w:r>
      <w:r w:rsidR="00BA77D3">
        <w:rPr>
          <w:rFonts w:ascii="Times New Roman" w:hAnsi="Times New Roman" w:cs="Times New Roman"/>
          <w:sz w:val="22"/>
          <w:szCs w:val="22"/>
        </w:rPr>
        <w:br/>
      </w:r>
    </w:p>
    <w:p w14:paraId="0BF1F731" w14:textId="32C7B43F" w:rsidR="00F10383" w:rsidRPr="00AD5FD4" w:rsidRDefault="00AD5FD4" w:rsidP="00F10383">
      <w:pPr>
        <w:jc w:val="both"/>
        <w:rPr>
          <w:rFonts w:ascii="Times New Roman" w:hAnsi="Times New Roman" w:cs="Times New Roman"/>
          <w:b/>
          <w:bCs/>
          <w:sz w:val="26"/>
          <w:szCs w:val="26"/>
        </w:rPr>
      </w:pPr>
      <w:r w:rsidRPr="00AD5FD4">
        <w:rPr>
          <w:rFonts w:ascii="Times New Roman" w:hAnsi="Times New Roman" w:cs="Times New Roman"/>
          <w:b/>
          <w:bCs/>
          <w:sz w:val="26"/>
          <w:szCs w:val="26"/>
        </w:rPr>
        <w:t>4</w:t>
      </w:r>
      <w:r w:rsidR="00F10383" w:rsidRPr="00AD5FD4">
        <w:rPr>
          <w:rFonts w:ascii="Times New Roman" w:hAnsi="Times New Roman" w:cs="Times New Roman"/>
          <w:b/>
          <w:bCs/>
          <w:sz w:val="26"/>
          <w:szCs w:val="26"/>
        </w:rPr>
        <w:t>. Morphology &amp; Life Cycle</w:t>
      </w:r>
    </w:p>
    <w:p w14:paraId="7ECB7977" w14:textId="77777777"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i/>
          <w:iCs/>
          <w:sz w:val="22"/>
          <w:szCs w:val="22"/>
        </w:rPr>
        <w:t>Naegleria fowleri</w:t>
      </w:r>
      <w:r w:rsidRPr="00975BED">
        <w:rPr>
          <w:rFonts w:ascii="Times New Roman" w:hAnsi="Times New Roman" w:cs="Times New Roman"/>
          <w:sz w:val="22"/>
          <w:szCs w:val="22"/>
        </w:rPr>
        <w:t xml:space="preserve"> is known to have three different forms in its life cycle, with each of them having distinct biological traits and functions. The understanding of the forms is very important for the study of PAM's epidemiology and pathogenesis issues.</w:t>
      </w:r>
    </w:p>
    <w:p w14:paraId="5EFFC137" w14:textId="442126E8"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The trophozoite is the form that is most invasive, feeding, and capable of replicating. It is a spherical amoeba of 10-25 μm size, and it is characterized by having a granular cytoplasm with many mitochondria, food vacuoles, and a typical contractile vacuole </w:t>
      </w: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{"citationID":"jI6LSyw9","properties":{"formattedCitation":"(Cervantes-Sandoval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Pr>
          <w:rFonts w:ascii="Times New Roman" w:hAnsi="Times New Roman" w:cs="Times New Roman"/>
          <w:sz w:val="22"/>
          <w:szCs w:val="22"/>
        </w:rPr>
        <w:fldChar w:fldCharType="end"/>
      </w:r>
      <w:r w:rsidRPr="00975BED">
        <w:rPr>
          <w:rFonts w:ascii="Times New Roman" w:hAnsi="Times New Roman" w:cs="Times New Roman"/>
          <w:sz w:val="22"/>
          <w:szCs w:val="22"/>
        </w:rPr>
        <w:t xml:space="preserve">. </w:t>
      </w:r>
      <w:r w:rsidR="00BB1182" w:rsidRPr="00BB1182">
        <w:rPr>
          <w:rFonts w:ascii="Times New Roman" w:hAnsi="Times New Roman" w:cs="Times New Roman"/>
          <w:sz w:val="22"/>
          <w:szCs w:val="22"/>
        </w:rPr>
        <w:t>In brain tumors, we have found single-nucleotide polymorphisms in enzymes and their regulators participating in the tumor necrosis factor superfamily, suggesting the existence of uncharacterized risk factors for malignant human gliomas.</w:t>
      </w:r>
      <w:r w:rsidR="00BB1182">
        <w:rPr>
          <w:rFonts w:ascii="Times New Roman" w:hAnsi="Times New Roman" w:cs="Times New Roman"/>
          <w:sz w:val="22"/>
          <w:szCs w:val="22"/>
        </w:rPr>
        <w:t xml:space="preserve"> </w:t>
      </w:r>
      <w:r w:rsidRPr="00975BED">
        <w:rPr>
          <w:rFonts w:ascii="Times New Roman" w:hAnsi="Times New Roman" w:cs="Times New Roman"/>
          <w:sz w:val="22"/>
          <w:szCs w:val="22"/>
        </w:rPr>
        <w:t xml:space="preserve">This form of the organism is, however, actively feeding on bacteria and organic matter in the environment, while in the host tissues, it is phagocytosing red blood cells and neurological cells. It is a very crucial point that the trophozoite is the only form found in human tissues, and it is the one that causes pernicious neuropathology that is characteristic of PAM. </w:t>
      </w:r>
      <w:r w:rsidR="00C662A4" w:rsidRPr="00C662A4">
        <w:rPr>
          <w:rFonts w:ascii="Times New Roman" w:hAnsi="Times New Roman" w:cs="Times New Roman"/>
          <w:sz w:val="22"/>
          <w:szCs w:val="22"/>
        </w:rPr>
        <w:t>The process of reproduction entails binary fission and in its turn, it makes the population grow rapidly if the environmental conditions are favorable</w:t>
      </w:r>
      <w:r w:rsidRPr="00975BED">
        <w:rPr>
          <w:rFonts w:ascii="Times New Roman" w:hAnsi="Times New Roman" w:cs="Times New Roman"/>
          <w:sz w:val="22"/>
          <w:szCs w:val="22"/>
        </w:rPr>
        <w:t xml:space="preserve"> </w:t>
      </w: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{"citationID":"lvjtTshf","properties":{"formattedCitation":"(Marciano-Cabral &amp; Cabral, 2007)","plainCitation":"(Marciano-Cabral &amp; Cabral, 2007)","noteIndex":0},"citationItems":[{"id":642,"uris":["http://zotero.org/users/18073969/items/QC2RTQ93"],"itemData":{"id":642,"type":"article-journal","container-title":"FEMS Immunology &amp; Medical Microbiology","DOI":"10.1111/j.1574-695X.2007.00332.x","ISSN":"09288244, 1574695X","issue":"2","language":"en","page":"243-259","source":"DOI.org (Crossref)","title":"The immune response to &lt;i&gt;Naegleria fowleri&lt;/i&gt; amebae and pathogenesis of infection","volume":"51","author":[{"family":"Marciano-Cabral","given":"Francine"},{"family":"Cabral","given":"Guy A."}],"issued":{"date-parts":[["2007",11]]}}}],"schema":"https://github.com/citation-style-language/schema/raw/master/csl-citation.json"}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(Marciano-Cabral &amp; Cabral, 2007)</w:t>
      </w:r>
      <w:r>
        <w:rPr>
          <w:rFonts w:ascii="Times New Roman" w:hAnsi="Times New Roman" w:cs="Times New Roman"/>
          <w:sz w:val="22"/>
          <w:szCs w:val="22"/>
        </w:rPr>
        <w:fldChar w:fldCharType="end"/>
      </w:r>
      <w:r w:rsidRPr="00975BED">
        <w:rPr>
          <w:rFonts w:ascii="Times New Roman" w:hAnsi="Times New Roman" w:cs="Times New Roman"/>
          <w:sz w:val="22"/>
          <w:szCs w:val="22"/>
        </w:rPr>
        <w:t>.</w:t>
      </w:r>
    </w:p>
    <w:p w14:paraId="14A445E8" w14:textId="7C64CA97" w:rsidR="00975BED" w:rsidRPr="00975BED" w:rsidRDefault="00BB1182" w:rsidP="00975BED">
      <w:pPr>
        <w:jc w:val="both"/>
        <w:rPr>
          <w:rFonts w:ascii="Times New Roman" w:hAnsi="Times New Roman" w:cs="Times New Roman"/>
          <w:sz w:val="22"/>
          <w:szCs w:val="22"/>
        </w:rPr>
      </w:pPr>
      <w:r w:rsidRPr="00BB1182">
        <w:rPr>
          <w:rFonts w:ascii="Times New Roman" w:hAnsi="Times New Roman" w:cs="Times New Roman"/>
          <w:sz w:val="22"/>
          <w:szCs w:val="22"/>
        </w:rPr>
        <w:t xml:space="preserve">Under adverse conditions, trophozoites differentiate and develop into a resting cyst form due to a lack of nutrients, desiccation, or temperature extremes. </w:t>
      </w:r>
      <w:r w:rsidR="00975BED" w:rsidRPr="00975BED">
        <w:rPr>
          <w:rFonts w:ascii="Times New Roman" w:hAnsi="Times New Roman" w:cs="Times New Roman"/>
          <w:sz w:val="22"/>
          <w:szCs w:val="22"/>
        </w:rPr>
        <w:t xml:space="preserve">The cyst that has finished maturing is round, and its diameter is between 7 to 15 microns. It is also distinguished by a smooth wall made of two layers, which provides an exceptional resistance to the environmental challenges </w:t>
      </w:r>
      <w:r w:rsidR="00975BED">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{"citationID":"9VNjG9Nc","properties":{"formattedCitation":"(Seed et al., 1985)","plainCitation":"(Seed et al., 1985)","noteIndex":0},"citationItems":[{"id":643,"uris":["http://zotero.org/users/18073969/items/Y8RFJFMB"],"itemData":{"id":643,"type":"article-journal","abstract":"ABSTRACT\n            \n              Crithidia fasciculata\n              and\n              Phytomonas davidi\n              catabolize tryptophan (TRP) to indole‐3‐ethanol, which was identified by both thin layer and gas chromatography. The catabolic pathway involved in this metabolic conversion is suggested to be similar to that proposed for other members of the family Trypanosomatidae. Although this catabolism occurs at both 25° and 37°C, the catabolic rate is greater at 37°C, a non‐permissive growth temperature. Conditions that inhibit protein synthesis would appear to favor the catabolism of tryptophan to indole‐3‐ethanol. The possible importance of this catabolic pathway to these organisms is discussed.","container-title":"The Journal of Protozoology","DOI":"10.1111/j.1550-7408.1985.tb03007.x","ISSN":"0022-3921","issue":"1","journalAbbreviation":"The Journal of Protozoology","language":"en","license":"http://onlinelibrary.wiley.com/termsAndConditions#vor","page":"20-25","source":"DOI.org (Crossref)","title":"The Catabolism of Tryptophan to Indole‐3‐Ethanol by &lt;i&gt;Crithidia fasciculata&lt;/i&gt; and &lt;i&gt;Phytomonas davidi&lt;/i&gt;&lt;sup&gt;1&lt;/sup&gt;","volume":"32","author":[{"family":"Seed","given":"John R."},{"family":"Hall","given":"James Edwin"},{"family":"Sechelski","given":"John"}],"issued":{"date-parts":[["1985",2]]}}}],"schema":"https://github.com/citation-style-language/schema/raw/master/csl-citation.json"} </w:instrText>
      </w:r>
      <w:r w:rsidR="00975BED">
        <w:rPr>
          <w:rFonts w:ascii="Times New Roman" w:hAnsi="Times New Roman" w:cs="Times New Roman"/>
          <w:sz w:val="22"/>
          <w:szCs w:val="22"/>
        </w:rPr>
        <w:fldChar w:fldCharType="separate"/>
      </w:r>
      <w:r w:rsidR="00652010" w:rsidRPr="00652010">
        <w:rPr>
          <w:rFonts w:ascii="Times New Roman" w:hAnsi="Times New Roman" w:cs="Times New Roman"/>
          <w:sz w:val="22"/>
        </w:rPr>
        <w:t>(Seed et al., 1985)</w:t>
      </w:r>
      <w:r w:rsidR="00975BED">
        <w:rPr>
          <w:rFonts w:ascii="Times New Roman" w:hAnsi="Times New Roman" w:cs="Times New Roman"/>
          <w:sz w:val="22"/>
          <w:szCs w:val="22"/>
        </w:rPr>
        <w:fldChar w:fldCharType="end"/>
      </w:r>
      <w:r w:rsidR="00975BED" w:rsidRPr="00975BED">
        <w:rPr>
          <w:rFonts w:ascii="Times New Roman" w:hAnsi="Times New Roman" w:cs="Times New Roman"/>
          <w:sz w:val="22"/>
          <w:szCs w:val="22"/>
        </w:rPr>
        <w:t xml:space="preserve">. The two layers, which are the inner </w:t>
      </w:r>
      <w:proofErr w:type="spellStart"/>
      <w:r w:rsidR="00975BED" w:rsidRPr="00975BED">
        <w:rPr>
          <w:rFonts w:ascii="Times New Roman" w:hAnsi="Times New Roman" w:cs="Times New Roman"/>
          <w:sz w:val="22"/>
          <w:szCs w:val="22"/>
        </w:rPr>
        <w:t>endocyst</w:t>
      </w:r>
      <w:proofErr w:type="spellEnd"/>
      <w:r w:rsidR="00975BED" w:rsidRPr="00975BED">
        <w:rPr>
          <w:rFonts w:ascii="Times New Roman" w:hAnsi="Times New Roman" w:cs="Times New Roman"/>
          <w:sz w:val="22"/>
          <w:szCs w:val="22"/>
        </w:rPr>
        <w:t xml:space="preserve"> and the outer ectocyst, consist mostly of cellulose and chitin, and therefore, to a large extent, they are resistant to chemical disinfection, thermal changes, and other environmental stresses. Cysts, when buried in sediment or soil, can survive for quite a while; hence, they are considered environmental reservoirs. When conditions turn favorable again, the excystment is done by a pore in the cyst wall, letting a trophozoite out to take over active feeding and replication again.</w:t>
      </w:r>
    </w:p>
    <w:p w14:paraId="57B3C202" w14:textId="7B5205E7" w:rsidR="00975BED" w:rsidRPr="00975BED" w:rsidRDefault="00975BED" w:rsidP="00975BED">
      <w:pPr>
        <w:jc w:val="both"/>
        <w:rPr>
          <w:rFonts w:ascii="Times New Roman" w:hAnsi="Times New Roman" w:cs="Times New Roman"/>
          <w:sz w:val="22"/>
          <w:szCs w:val="22"/>
        </w:rPr>
      </w:pPr>
      <w:r w:rsidRPr="00975BED">
        <w:rPr>
          <w:rFonts w:ascii="Times New Roman" w:hAnsi="Times New Roman" w:cs="Times New Roman"/>
          <w:sz w:val="22"/>
          <w:szCs w:val="22"/>
        </w:rPr>
        <w:t xml:space="preserve">A very considerable attribute of the genus </w:t>
      </w:r>
      <w:r w:rsidRPr="00975BED">
        <w:rPr>
          <w:rFonts w:ascii="Times New Roman" w:hAnsi="Times New Roman" w:cs="Times New Roman"/>
          <w:i/>
          <w:iCs/>
          <w:sz w:val="22"/>
          <w:szCs w:val="22"/>
        </w:rPr>
        <w:t>Naegleria</w:t>
      </w:r>
      <w:r w:rsidRPr="00975BED">
        <w:rPr>
          <w:rFonts w:ascii="Times New Roman" w:hAnsi="Times New Roman" w:cs="Times New Roman"/>
          <w:sz w:val="22"/>
          <w:szCs w:val="22"/>
        </w:rPr>
        <w:t xml:space="preserve"> is its ability to temporarily alter its form into a flagellate type that is capable of swimming freely. </w:t>
      </w:r>
      <w:r w:rsidR="00BB1182" w:rsidRPr="00BB1182">
        <w:rPr>
          <w:rFonts w:ascii="Times New Roman" w:hAnsi="Times New Roman" w:cs="Times New Roman"/>
          <w:sz w:val="22"/>
          <w:szCs w:val="22"/>
        </w:rPr>
        <w:t xml:space="preserve">Recent molecular studies </w:t>
      </w:r>
      <w:r w:rsidR="00133201">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{"citationID":"4VBD865x","properties":{"formattedCitation":"(Sun et al., 2022)","plainCitation":"(Sun et al., 2022)","noteIndex":0},"citationItems":[{"id":644,"uris":["http://zotero.org/users/18073969/items/VY5VI7BA"],"itemData":{"id":644,"type":"article-journal","container-title":"Molecular and Biochemical Parasitology","DOI":"10.1016/j.molbiopara.2022.111527","ISSN":"01666851","journalAbbreviation":"Molecular and Biochemical Parasitology","language":"en","page":"111527","source":"DOI.org (Crossref)","title":"Construction of constitutive expression of Eimeria tenella eukaryotic initiation factor U6L5H2 on the surface of Lactobacillus plantarum and evaluation of its immunoprotective efficiency against chicken coccidiosis","volume":"252","author":[{"family":"Sun","given":"Lingyu"},{"family":"Lu","given":"Yaru"},{"family":"Zhao","given":"Ningning"},{"family":"Wang","given":"Yakun"},{"family":"Wang","given":"Bingxiang"},{"family":"Li","given":"Huihui"},{"family":"Wu","given":"Zhiyuan"},{"family":"Li","given":"Hongmei"},{"family":"Zhang","given":"Xiao"},{"family":"Zhao","given":"Xiaomin"}],"issued":{"date-parts":[["2022",11]]}}}],"schema":"https://github.com/citation-style-language/schema/raw/master/csl-citation.json"} </w:instrText>
      </w:r>
      <w:r w:rsidR="00133201">
        <w:rPr>
          <w:rFonts w:ascii="Times New Roman" w:hAnsi="Times New Roman" w:cs="Times New Roman"/>
          <w:sz w:val="22"/>
          <w:szCs w:val="22"/>
        </w:rPr>
        <w:fldChar w:fldCharType="separate"/>
      </w:r>
      <w:r w:rsidR="00652010" w:rsidRPr="00652010">
        <w:rPr>
          <w:rFonts w:ascii="Times New Roman" w:hAnsi="Times New Roman" w:cs="Times New Roman"/>
          <w:sz w:val="22"/>
        </w:rPr>
        <w:t>(Sun et al., 2022)</w:t>
      </w:r>
      <w:r w:rsidR="00133201">
        <w:rPr>
          <w:rFonts w:ascii="Times New Roman" w:hAnsi="Times New Roman" w:cs="Times New Roman"/>
          <w:sz w:val="22"/>
          <w:szCs w:val="22"/>
        </w:rPr>
        <w:fldChar w:fldCharType="end"/>
      </w:r>
      <w:r w:rsidR="00BB1182" w:rsidRPr="00BB1182">
        <w:rPr>
          <w:rFonts w:ascii="Times New Roman" w:hAnsi="Times New Roman" w:cs="Times New Roman"/>
          <w:sz w:val="22"/>
          <w:szCs w:val="22"/>
        </w:rPr>
        <w:t xml:space="preserve"> have pinpointed certain genes as well as signaling pathways that govern the process of flagellar assembly and </w:t>
      </w:r>
      <w:r w:rsidR="00BB1182" w:rsidRPr="00BB1182">
        <w:rPr>
          <w:rFonts w:ascii="Times New Roman" w:hAnsi="Times New Roman" w:cs="Times New Roman"/>
          <w:sz w:val="22"/>
          <w:szCs w:val="22"/>
        </w:rPr>
        <w:lastRenderedPageBreak/>
        <w:t>disassembly during this transformation.</w:t>
      </w:r>
      <w:r w:rsidR="00133201">
        <w:rPr>
          <w:rFonts w:ascii="Times New Roman" w:hAnsi="Times New Roman" w:cs="Times New Roman"/>
          <w:sz w:val="22"/>
          <w:szCs w:val="22"/>
        </w:rPr>
        <w:t xml:space="preserve">. </w:t>
      </w:r>
      <w:r w:rsidRPr="00975BED">
        <w:rPr>
          <w:rFonts w:ascii="Times New Roman" w:hAnsi="Times New Roman" w:cs="Times New Roman"/>
          <w:sz w:val="22"/>
          <w:szCs w:val="22"/>
        </w:rPr>
        <w:t xml:space="preserve">This conversion is most often initiated by sudden shifts in the water's ionic make-up, like in the case of the movement of organisms, where the dislocation of trophozoites is the transfer from soil to fresh water. The amoeboid trophozoite takes a few hours to turn into a flat flagellate equipped with two flagella on its front side. This is a non-feeding and non-replicating life stage believed to be of dispersal through water systems. The flagellate stage is short-lived, typically transforming back into the trophozoite form within 24-48 hours, and is not associated with human infection. </w:t>
      </w:r>
    </w:p>
    <w:p w14:paraId="0BAAF8C4" w14:textId="4B357094" w:rsidR="00975BED" w:rsidRDefault="00975BED" w:rsidP="00F10383">
      <w:pPr>
        <w:jc w:val="both"/>
        <w:rPr>
          <w:rFonts w:ascii="Times New Roman" w:hAnsi="Times New Roman" w:cs="Times New Roman"/>
          <w:sz w:val="22"/>
          <w:szCs w:val="22"/>
        </w:rPr>
      </w:pPr>
      <w:r w:rsidRPr="00975BED">
        <w:rPr>
          <w:rFonts w:ascii="Times New Roman" w:hAnsi="Times New Roman" w:cs="Times New Roman"/>
          <w:sz w:val="22"/>
          <w:szCs w:val="22"/>
        </w:rPr>
        <w:t xml:space="preserve">The cycle of life of </w:t>
      </w:r>
      <w:r w:rsidRPr="00975BED">
        <w:rPr>
          <w:rFonts w:ascii="Times New Roman" w:hAnsi="Times New Roman" w:cs="Times New Roman"/>
          <w:i/>
          <w:iCs/>
          <w:sz w:val="22"/>
          <w:szCs w:val="22"/>
        </w:rPr>
        <w:t>N. fowleri</w:t>
      </w:r>
      <w:r w:rsidRPr="00975BED">
        <w:rPr>
          <w:rFonts w:ascii="Times New Roman" w:hAnsi="Times New Roman" w:cs="Times New Roman"/>
          <w:sz w:val="22"/>
          <w:szCs w:val="22"/>
        </w:rPr>
        <w:t xml:space="preserve"> and its impact on human infection rotate through a known sequence. The organism is mainly found in nature as the two forms of life, namely trophozoites and cysts, in warm freshwater bodies, sediments, and soil. The dormant cysts turn into active trophozoites when the environment becomes favorable; thus, the environmental populations are kept. The infection in humans always occurs when the water activities make the trophozoite form, which is present in polluted water, enter the nasal passages. After being in the nose, the trophozoites cling to the olfactory epithelium by means of food-cup structures and surface receptors and then advance through the cribriform plate along the olfactory nerve filaments to the brain </w:t>
      </w:r>
      <w:r w:rsidR="00133201">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{"citationID":"x8CqITag","properties":{"formattedCitation":"(Martinez &amp; Visvesvara, 1997)","plainCitation":"(Martinez &amp; Visvesvara, 1997)","noteIndex":0},"citationItems":[{"id":645,"uris":["http://zotero.org/users/18073969/items/A7F5PQBX"],"itemData":{"id":645,"type":"article-journal","abstract":"Amebas belonging to the genera\n              Naegleria, Acanthamoeba\n              and\n              Balamuthia\n              are free‐living, amphizoic and opportunistic protozoa that are ubiquitous in nature. These amebas are found in soil, water and air samples from all over the world. Human infection due to these amebas involving brain, skin, lung and eyes has increased significantly during the last 10 years. The epidemiology, immunology, protozoology, pathology, and clinical features of the infections produced by these protozoa differ strikingly.\n            \n            \n              Infection by the pathogenic\n              Naegleria fowleri\n              is acquired by exposure to polluted water in ponds, swimming pools and man‐made lakes. Raised temperatures during the hot summer months or warm water from power plants facilitate the growth of\n              N. fowleri. N. fowleri\n              is a thermophilic ameba that grows well in tropical and subtropical climates. The CNS infection, called Primary Amebic Meningoencephalitis (PAM), produced by\n              N. fowleri\n              is characterized by an acute fulminant meningoencephalitis leading to death 3–7 days after exposure. Victims are healthy, young individuals with a history of recent water‐related sport activities. The portal of entry is the olfactory neuroepithelium. The pathologic changes are an acute hemorrhagic necrotizing meningoencephalitis with modest purulent exudate, mainly at the base of the brain, brainstem and cerebellum. Trophozoites can be seen within the CNS lesions located mainly around blood vessels. Thus far 179 cases have been reported; 81 in the USA alone.\n            \n            \n              Balamuthia mandrillaris\n              and several species of\n              Acanthamoeba\n              are pathogenic “opportunistic” free‐living amebas which cause Granulomatous Amebic Encephalitis (GAE) in humans and animals. GAE is an infection, usually seen in debilitated, malnourished individuals, in patients undergoing immunosuppressive therapy for organ transplants and in Acquired Immunodeficiency Syndrome (AIDS). The granulomatous component is negligible, particularly in immunocompromised individuals. Pathologically these amebas produce a patchy, chronic or subacute granulomatous encephalitis with the presence of trophozoites and cysts. The portal of entry is probably through the respiratory tract or an ulceration of the skin reaching the CNS by hematogenous spread. As of October 1, 1996, 166 cases 1103 due to\n              Acanthamoeba\n              and 63 due to Balamothial of GAE have been reported from around the world. Of these 103 cases due to\n              Acanthamoeba\n              (72 have been reported in the USA alone, &gt; 50 in AIDS). It is well known that several species of\n              Acanthamoeba\n              can also produce, chronic sight threatening ulceration of the cornea called\n              Acanthamoeba\n              keratitis (AK), mostly in contact lens wearers or in individuals with minor corneal abrasions. Hundreds of cases of AK have been documented world wide.","container-title":"Brain Pathology","DOI":"10.1111/j.1750-3639.1997.tb01076.x","ISSN":"1015-6305, 1750-3639","issue":"1","journalAbbreviation":"Brain Pathology","language":"en","license":"http://onlinelibrary.wiley.com/termsAndConditions#vor","page":"583-598","source":"DOI.org (Crossref)","title":"Free‐living, Amphizoic and Opportunistic Amebas","volume":"7","author":[{"family":"Martinez","given":"Augusto Julio"},{"family":"Visvesvara","given":"Govinda S."}],"issued":{"date-parts":[["1997",1]]}}}],"schema":"https://github.com/citation-style-language/schema/raw/master/csl-citation.json"} </w:instrText>
      </w:r>
      <w:r w:rsidR="00133201">
        <w:rPr>
          <w:rFonts w:ascii="Times New Roman" w:hAnsi="Times New Roman" w:cs="Times New Roman"/>
          <w:sz w:val="22"/>
          <w:szCs w:val="22"/>
        </w:rPr>
        <w:fldChar w:fldCharType="separate"/>
      </w:r>
      <w:r w:rsidR="00652010" w:rsidRPr="00652010">
        <w:rPr>
          <w:rFonts w:ascii="Times New Roman" w:hAnsi="Times New Roman" w:cs="Times New Roman"/>
          <w:sz w:val="22"/>
        </w:rPr>
        <w:t>(Martinez &amp; Visvesvara, 1997)</w:t>
      </w:r>
      <w:r w:rsidR="00133201">
        <w:rPr>
          <w:rFonts w:ascii="Times New Roman" w:hAnsi="Times New Roman" w:cs="Times New Roman"/>
          <w:sz w:val="22"/>
          <w:szCs w:val="22"/>
        </w:rPr>
        <w:fldChar w:fldCharType="end"/>
      </w:r>
      <w:r w:rsidRPr="00975BED">
        <w:rPr>
          <w:rFonts w:ascii="Times New Roman" w:hAnsi="Times New Roman" w:cs="Times New Roman"/>
          <w:sz w:val="22"/>
          <w:szCs w:val="22"/>
        </w:rPr>
        <w:t>. It is vital to note that infection can never happen by simply drinking contaminated water, and no case of one person infecting another has been documented.</w:t>
      </w:r>
    </w:p>
    <w:p w14:paraId="22A2FF59" w14:textId="1440221E" w:rsidR="00F10383" w:rsidRDefault="00F86882" w:rsidP="00F10383">
      <w:pPr>
        <w:jc w:val="both"/>
        <w:rPr>
          <w:rFonts w:ascii="Times New Roman" w:hAnsi="Times New Roman" w:cs="Times New Roman"/>
          <w:i/>
          <w:i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60288" behindDoc="0" locked="0" layoutInCell="1" allowOverlap="1" wp14:anchorId="642B6BDC" wp14:editId="58AF449D">
                <wp:simplePos x="0" y="0"/>
                <wp:positionH relativeFrom="column">
                  <wp:posOffset>48491</wp:posOffset>
                </wp:positionH>
                <wp:positionV relativeFrom="paragraph">
                  <wp:posOffset>239741</wp:posOffset>
                </wp:positionV>
                <wp:extent cx="5902036" cy="4017819"/>
                <wp:effectExtent l="0" t="0" r="0" b="1905"/>
                <wp:wrapNone/>
                <wp:docPr id="772453043" name="Rectangle 4"/>
                <wp:cNvGraphicFramePr/>
                <a:graphic xmlns:a="http://schemas.openxmlformats.org/drawingml/2006/main">
                  <a:graphicData uri="http://schemas.microsoft.com/office/word/2010/wordprocessingShape">
                    <wps:wsp>
                      <wps:cNvSpPr/>
                      <wps:spPr>
                        <a:xfrm>
                          <a:off x="0" y="0"/>
                          <a:ext cx="5902036" cy="401781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BCD11F" w14:textId="0E2C307F" w:rsidR="00F86882" w:rsidRDefault="00BB1182" w:rsidP="00F86882">
                            <w:pPr>
                              <w:jc w:val="center"/>
                            </w:pPr>
                            <w:r>
                              <w:rPr>
                                <w:noProof/>
                              </w:rPr>
                              <w:drawing>
                                <wp:inline distT="0" distB="0" distL="0" distR="0" wp14:anchorId="2A01BF75" wp14:editId="460A24A2">
                                  <wp:extent cx="3913505" cy="3913505"/>
                                  <wp:effectExtent l="0" t="0" r="0" b="0"/>
                                  <wp:docPr id="83838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3505" cy="3913505"/>
                                          </a:xfrm>
                                          <a:prstGeom prst="rect">
                                            <a:avLst/>
                                          </a:prstGeom>
                                          <a:noFill/>
                                          <a:ln>
                                            <a:noFill/>
                                          </a:ln>
                                        </pic:spPr>
                                      </pic:pic>
                                    </a:graphicData>
                                  </a:graphic>
                                </wp:inline>
                              </w:drawing>
                            </w:r>
                            <w:r w:rsidR="00F86882">
                              <w:rPr>
                                <w:noProof/>
                              </w:rPr>
                              <w:drawing>
                                <wp:inline distT="0" distB="0" distL="0" distR="0" wp14:anchorId="25638D41" wp14:editId="61032757">
                                  <wp:extent cx="4003560" cy="4003560"/>
                                  <wp:effectExtent l="0" t="0" r="0" b="0"/>
                                  <wp:docPr id="419006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896" cy="400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B6BDC" id="_x0000_s1028" style="position:absolute;left:0;text-align:left;margin-left:3.8pt;margin-top:18.9pt;width:464.75pt;height:31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RYdwIAAEk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" filled="f" stroked="f" strokeweight="1pt">
                <v:textbox>
                  <w:txbxContent>
                    <w:p w14:paraId="1ABCD11F" w14:textId="0E2C307F" w:rsidR="00F86882" w:rsidRDefault="00BB1182" w:rsidP="00F86882">
                      <w:pPr>
                        <w:jc w:val="center"/>
                      </w:pPr>
                      <w:r>
                        <w:rPr>
                          <w:noProof/>
                        </w:rPr>
                        <w:drawing>
                          <wp:inline distT="0" distB="0" distL="0" distR="0" wp14:anchorId="2A01BF75" wp14:editId="460A24A2">
                            <wp:extent cx="3913505" cy="3913505"/>
                            <wp:effectExtent l="0" t="0" r="0" b="0"/>
                            <wp:docPr id="83838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3505" cy="3913505"/>
                                    </a:xfrm>
                                    <a:prstGeom prst="rect">
                                      <a:avLst/>
                                    </a:prstGeom>
                                    <a:noFill/>
                                    <a:ln>
                                      <a:noFill/>
                                    </a:ln>
                                  </pic:spPr>
                                </pic:pic>
                              </a:graphicData>
                            </a:graphic>
                          </wp:inline>
                        </w:drawing>
                      </w:r>
                      <w:r w:rsidR="00F86882">
                        <w:rPr>
                          <w:noProof/>
                        </w:rPr>
                        <w:drawing>
                          <wp:inline distT="0" distB="0" distL="0" distR="0" wp14:anchorId="25638D41" wp14:editId="61032757">
                            <wp:extent cx="4003560" cy="4003560"/>
                            <wp:effectExtent l="0" t="0" r="0" b="0"/>
                            <wp:docPr id="419006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7896" cy="4007896"/>
                                    </a:xfrm>
                                    <a:prstGeom prst="rect">
                                      <a:avLst/>
                                    </a:prstGeom>
                                    <a:noFill/>
                                    <a:ln>
                                      <a:noFill/>
                                    </a:ln>
                                  </pic:spPr>
                                </pic:pic>
                              </a:graphicData>
                            </a:graphic>
                          </wp:inline>
                        </w:drawing>
                      </w:r>
                    </w:p>
                  </w:txbxContent>
                </v:textbox>
              </v:rect>
            </w:pict>
          </mc:Fallback>
        </mc:AlternateContent>
      </w:r>
      <w:r w:rsidR="00F10383" w:rsidRPr="00F10383">
        <w:rPr>
          <w:rFonts w:ascii="Times New Roman" w:hAnsi="Times New Roman" w:cs="Times New Roman"/>
          <w:b/>
          <w:bCs/>
          <w:sz w:val="22"/>
          <w:szCs w:val="22"/>
        </w:rPr>
        <w:t xml:space="preserve">Figure </w:t>
      </w:r>
      <w:r w:rsidR="007627DD">
        <w:rPr>
          <w:rFonts w:ascii="Times New Roman" w:hAnsi="Times New Roman" w:cs="Times New Roman"/>
          <w:b/>
          <w:bCs/>
          <w:sz w:val="22"/>
          <w:szCs w:val="22"/>
        </w:rPr>
        <w:t>3</w:t>
      </w:r>
      <w:r w:rsidR="00F10383" w:rsidRPr="00F10383">
        <w:rPr>
          <w:rFonts w:ascii="Times New Roman" w:hAnsi="Times New Roman" w:cs="Times New Roman"/>
          <w:b/>
          <w:bCs/>
          <w:sz w:val="22"/>
          <w:szCs w:val="22"/>
        </w:rPr>
        <w:t xml:space="preserve">: Life Cycle of </w:t>
      </w:r>
      <w:r w:rsidR="00F10383" w:rsidRPr="00E20A2B">
        <w:rPr>
          <w:rFonts w:ascii="Times New Roman" w:hAnsi="Times New Roman" w:cs="Times New Roman"/>
          <w:b/>
          <w:bCs/>
          <w:i/>
          <w:iCs/>
          <w:sz w:val="22"/>
          <w:szCs w:val="22"/>
        </w:rPr>
        <w:t>Naegleria fowleri</w:t>
      </w:r>
      <w:r w:rsidR="00F10383" w:rsidRPr="00F10383">
        <w:rPr>
          <w:rFonts w:ascii="Times New Roman" w:hAnsi="Times New Roman" w:cs="Times New Roman"/>
          <w:sz w:val="22"/>
          <w:szCs w:val="22"/>
        </w:rPr>
        <w:br/>
      </w:r>
    </w:p>
    <w:p w14:paraId="19FE13F1" w14:textId="77777777" w:rsidR="00B82D45" w:rsidRDefault="00B82D45" w:rsidP="00F10383">
      <w:pPr>
        <w:jc w:val="both"/>
        <w:rPr>
          <w:rFonts w:ascii="Times New Roman" w:hAnsi="Times New Roman" w:cs="Times New Roman"/>
          <w:i/>
          <w:iCs/>
          <w:sz w:val="22"/>
          <w:szCs w:val="22"/>
        </w:rPr>
      </w:pPr>
    </w:p>
    <w:p w14:paraId="66929C59" w14:textId="77777777" w:rsidR="00B82D45" w:rsidRDefault="00B82D45" w:rsidP="00F10383">
      <w:pPr>
        <w:jc w:val="both"/>
        <w:rPr>
          <w:rFonts w:ascii="Times New Roman" w:hAnsi="Times New Roman" w:cs="Times New Roman"/>
          <w:i/>
          <w:iCs/>
          <w:sz w:val="22"/>
          <w:szCs w:val="22"/>
        </w:rPr>
      </w:pPr>
    </w:p>
    <w:p w14:paraId="03E4F44B" w14:textId="77777777" w:rsidR="00B82D45" w:rsidRDefault="00B82D45" w:rsidP="00F10383">
      <w:pPr>
        <w:jc w:val="both"/>
        <w:rPr>
          <w:rFonts w:ascii="Times New Roman" w:hAnsi="Times New Roman" w:cs="Times New Roman"/>
          <w:i/>
          <w:iCs/>
          <w:sz w:val="22"/>
          <w:szCs w:val="22"/>
        </w:rPr>
      </w:pPr>
    </w:p>
    <w:p w14:paraId="24F4BCC6" w14:textId="77777777" w:rsidR="00B82D45" w:rsidRDefault="00B82D45" w:rsidP="00F10383">
      <w:pPr>
        <w:jc w:val="both"/>
        <w:rPr>
          <w:rFonts w:ascii="Times New Roman" w:hAnsi="Times New Roman" w:cs="Times New Roman"/>
          <w:i/>
          <w:iCs/>
          <w:sz w:val="22"/>
          <w:szCs w:val="22"/>
        </w:rPr>
      </w:pPr>
    </w:p>
    <w:p w14:paraId="4003931A" w14:textId="77777777" w:rsidR="00B82D45" w:rsidRDefault="00B82D45" w:rsidP="00F10383">
      <w:pPr>
        <w:jc w:val="both"/>
        <w:rPr>
          <w:rFonts w:ascii="Times New Roman" w:hAnsi="Times New Roman" w:cs="Times New Roman"/>
          <w:i/>
          <w:iCs/>
          <w:sz w:val="22"/>
          <w:szCs w:val="22"/>
        </w:rPr>
      </w:pPr>
    </w:p>
    <w:p w14:paraId="00CB2576" w14:textId="77777777" w:rsidR="00B82D45" w:rsidRDefault="00B82D45" w:rsidP="00F10383">
      <w:pPr>
        <w:jc w:val="both"/>
        <w:rPr>
          <w:rFonts w:ascii="Times New Roman" w:hAnsi="Times New Roman" w:cs="Times New Roman"/>
          <w:i/>
          <w:iCs/>
          <w:sz w:val="22"/>
          <w:szCs w:val="22"/>
        </w:rPr>
      </w:pPr>
    </w:p>
    <w:p w14:paraId="2CEB03DC" w14:textId="77777777" w:rsidR="00B82D45" w:rsidRDefault="00B82D45" w:rsidP="00F10383">
      <w:pPr>
        <w:jc w:val="both"/>
        <w:rPr>
          <w:rFonts w:ascii="Times New Roman" w:hAnsi="Times New Roman" w:cs="Times New Roman"/>
          <w:i/>
          <w:iCs/>
          <w:sz w:val="22"/>
          <w:szCs w:val="22"/>
        </w:rPr>
      </w:pPr>
    </w:p>
    <w:p w14:paraId="469EEFF8" w14:textId="77777777" w:rsidR="00B82D45" w:rsidRDefault="00B82D45" w:rsidP="00F10383">
      <w:pPr>
        <w:jc w:val="both"/>
        <w:rPr>
          <w:rFonts w:ascii="Times New Roman" w:hAnsi="Times New Roman" w:cs="Times New Roman"/>
          <w:i/>
          <w:iCs/>
          <w:sz w:val="22"/>
          <w:szCs w:val="22"/>
        </w:rPr>
      </w:pPr>
    </w:p>
    <w:p w14:paraId="04777013" w14:textId="77777777" w:rsidR="00B82D45" w:rsidRDefault="00B82D45" w:rsidP="00F10383">
      <w:pPr>
        <w:jc w:val="both"/>
        <w:rPr>
          <w:rFonts w:ascii="Times New Roman" w:hAnsi="Times New Roman" w:cs="Times New Roman"/>
          <w:i/>
          <w:iCs/>
          <w:sz w:val="22"/>
          <w:szCs w:val="22"/>
        </w:rPr>
      </w:pPr>
    </w:p>
    <w:p w14:paraId="7FFCF004" w14:textId="77777777" w:rsidR="00B82D45" w:rsidRDefault="00B82D45" w:rsidP="00F10383">
      <w:pPr>
        <w:jc w:val="both"/>
        <w:rPr>
          <w:rFonts w:ascii="Times New Roman" w:hAnsi="Times New Roman" w:cs="Times New Roman"/>
          <w:i/>
          <w:iCs/>
          <w:sz w:val="22"/>
          <w:szCs w:val="22"/>
        </w:rPr>
      </w:pPr>
    </w:p>
    <w:p w14:paraId="3E728555" w14:textId="77777777" w:rsidR="00B82D45" w:rsidRDefault="00B82D45" w:rsidP="00F10383">
      <w:pPr>
        <w:jc w:val="both"/>
        <w:rPr>
          <w:rFonts w:ascii="Times New Roman" w:hAnsi="Times New Roman" w:cs="Times New Roman"/>
          <w:i/>
          <w:iCs/>
          <w:sz w:val="22"/>
          <w:szCs w:val="22"/>
        </w:rPr>
      </w:pPr>
    </w:p>
    <w:p w14:paraId="0BB71358" w14:textId="77777777" w:rsidR="00B82D45" w:rsidRDefault="00B82D45" w:rsidP="00F10383">
      <w:pPr>
        <w:jc w:val="both"/>
        <w:rPr>
          <w:rFonts w:ascii="Times New Roman" w:hAnsi="Times New Roman" w:cs="Times New Roman"/>
          <w:i/>
          <w:iCs/>
          <w:sz w:val="22"/>
          <w:szCs w:val="22"/>
        </w:rPr>
      </w:pPr>
    </w:p>
    <w:p w14:paraId="5283BA07" w14:textId="77777777" w:rsidR="00B82D45" w:rsidRDefault="00B82D45" w:rsidP="00F10383">
      <w:pPr>
        <w:jc w:val="both"/>
        <w:rPr>
          <w:rFonts w:ascii="Times New Roman" w:hAnsi="Times New Roman" w:cs="Times New Roman"/>
          <w:i/>
          <w:iCs/>
          <w:sz w:val="22"/>
          <w:szCs w:val="22"/>
        </w:rPr>
      </w:pPr>
    </w:p>
    <w:p w14:paraId="4F643544" w14:textId="77777777" w:rsidR="00B82D45" w:rsidRDefault="00B82D45" w:rsidP="00F10383">
      <w:pPr>
        <w:jc w:val="both"/>
        <w:rPr>
          <w:rFonts w:ascii="Times New Roman" w:hAnsi="Times New Roman" w:cs="Times New Roman"/>
          <w:i/>
          <w:iCs/>
          <w:sz w:val="22"/>
          <w:szCs w:val="22"/>
        </w:rPr>
      </w:pPr>
    </w:p>
    <w:p w14:paraId="37D3DBCD" w14:textId="77777777" w:rsidR="00B82D45" w:rsidRDefault="00B82D45" w:rsidP="00F10383">
      <w:pPr>
        <w:jc w:val="both"/>
        <w:rPr>
          <w:rFonts w:ascii="Times New Roman" w:hAnsi="Times New Roman" w:cs="Times New Roman"/>
          <w:i/>
          <w:iCs/>
          <w:sz w:val="22"/>
          <w:szCs w:val="22"/>
        </w:rPr>
      </w:pPr>
    </w:p>
    <w:p w14:paraId="09DA3C11" w14:textId="0922C990" w:rsidR="00B82D45" w:rsidRPr="00F10383" w:rsidRDefault="00BB1182" w:rsidP="00F10383">
      <w:pPr>
        <w:jc w:val="both"/>
        <w:rPr>
          <w:rFonts w:ascii="Times New Roman" w:hAnsi="Times New Roman" w:cs="Times New Roman"/>
          <w:sz w:val="22"/>
          <w:szCs w:val="22"/>
        </w:rPr>
      </w:pPr>
      <w:r w:rsidRPr="00BB1182">
        <w:rPr>
          <w:rFonts w:ascii="Times New Roman" w:hAnsi="Times New Roman" w:cs="Times New Roman"/>
          <w:i/>
          <w:iCs/>
          <w:sz w:val="22"/>
          <w:szCs w:val="22"/>
        </w:rPr>
        <w:t xml:space="preserve">Schematic representation showing the three morphological forms: trophozoite (infective stage, depicted in green), cyst (dormant stage, depicted in blue), and flagellate (transient stage, depicted in red). The life cycle </w:t>
      </w:r>
      <w:r w:rsidRPr="00BB1182">
        <w:rPr>
          <w:rFonts w:ascii="Times New Roman" w:hAnsi="Times New Roman" w:cs="Times New Roman"/>
          <w:i/>
          <w:iCs/>
          <w:sz w:val="22"/>
          <w:szCs w:val="22"/>
        </w:rPr>
        <w:lastRenderedPageBreak/>
        <w:t>indicates environmental persistence in warm freshwater bodies and the human infection route via nasal cavity entry.</w:t>
      </w:r>
      <w:r>
        <w:rPr>
          <w:rFonts w:ascii="Times New Roman" w:hAnsi="Times New Roman" w:cs="Times New Roman"/>
          <w:i/>
          <w:iCs/>
          <w:sz w:val="22"/>
          <w:szCs w:val="22"/>
        </w:rPr>
        <w:t xml:space="preserve"> </w:t>
      </w:r>
      <w:r w:rsidR="007627DD" w:rsidRPr="00DD00B4">
        <w:rPr>
          <w:rFonts w:ascii="Times New Roman" w:hAnsi="Times New Roman" w:cs="Times New Roman"/>
          <w:i/>
          <w:iCs/>
          <w:sz w:val="22"/>
          <w:szCs w:val="22"/>
        </w:rPr>
        <w:t>The life cycle demonstrates environmental persistence in warm freshwater bodies and the human infection route through nasal cavity entry, followed by migration along the olfactory nerve to the central nervous system. Key clinical note: Infection occurs only through nasal inoculation of water containing trophozoites; ingestion of contaminated water does not cause disease.</w:t>
      </w:r>
    </w:p>
    <w:p w14:paraId="66DDEF45" w14:textId="5C0D5286" w:rsidR="00F10383" w:rsidRPr="00975BED" w:rsidRDefault="00CA56D0" w:rsidP="00945488">
      <w:pPr>
        <w:jc w:val="both"/>
        <w:rPr>
          <w:rFonts w:ascii="Times New Roman" w:hAnsi="Times New Roman" w:cs="Times New Roman"/>
          <w:sz w:val="22"/>
          <w:szCs w:val="22"/>
        </w:rPr>
      </w:pPr>
      <w:r w:rsidRPr="00CA56D0">
        <w:rPr>
          <w:rFonts w:ascii="Times New Roman" w:hAnsi="Times New Roman" w:cs="Times New Roman"/>
          <w:sz w:val="22"/>
          <w:szCs w:val="22"/>
        </w:rPr>
        <w:t xml:space="preserve">The changing forms of </w:t>
      </w:r>
      <w:r w:rsidRPr="00CA56D0">
        <w:rPr>
          <w:rFonts w:ascii="Times New Roman" w:hAnsi="Times New Roman" w:cs="Times New Roman"/>
          <w:i/>
          <w:iCs/>
          <w:sz w:val="22"/>
          <w:szCs w:val="22"/>
        </w:rPr>
        <w:t xml:space="preserve">N. fowleri </w:t>
      </w:r>
      <w:r w:rsidRPr="00CA56D0">
        <w:rPr>
          <w:rFonts w:ascii="Times New Roman" w:hAnsi="Times New Roman" w:cs="Times New Roman"/>
          <w:sz w:val="22"/>
          <w:szCs w:val="22"/>
        </w:rPr>
        <w:t>have been considered as a major adaptation for survival in the different environments and also for the reliability of the organism to cause disease.</w:t>
      </w:r>
      <w:r>
        <w:rPr>
          <w:rFonts w:ascii="Times New Roman" w:hAnsi="Times New Roman" w:cs="Times New Roman"/>
          <w:i/>
          <w:iCs/>
          <w:sz w:val="22"/>
          <w:szCs w:val="22"/>
        </w:rPr>
        <w:t xml:space="preserve"> </w:t>
      </w:r>
      <w:r w:rsidR="00975BED" w:rsidRPr="00975BED">
        <w:rPr>
          <w:rFonts w:ascii="Times New Roman" w:hAnsi="Times New Roman" w:cs="Times New Roman"/>
          <w:sz w:val="22"/>
          <w:szCs w:val="22"/>
        </w:rPr>
        <w:t>The power to change from active trophozoite, resistant cyst, and dispersive flagellate stages guarantees the organism's survival in various environmental conditions, while the trophozoite's specific affinity for nerve tissue is responsible for the horrible clinical pictures of PAM.</w:t>
      </w:r>
      <w:r w:rsidR="007627DD">
        <w:rPr>
          <w:rFonts w:ascii="Times New Roman" w:hAnsi="Times New Roman" w:cs="Times New Roman"/>
          <w:sz w:val="22"/>
          <w:szCs w:val="22"/>
        </w:rPr>
        <w:t xml:space="preserve"> </w:t>
      </w:r>
    </w:p>
    <w:p w14:paraId="126A2766" w14:textId="77777777" w:rsidR="007627DD" w:rsidRDefault="007627DD" w:rsidP="00945488">
      <w:pPr>
        <w:jc w:val="both"/>
        <w:rPr>
          <w:rFonts w:ascii="Times New Roman" w:hAnsi="Times New Roman" w:cs="Times New Roman"/>
          <w:b/>
          <w:bCs/>
          <w:sz w:val="26"/>
          <w:szCs w:val="26"/>
        </w:rPr>
      </w:pPr>
    </w:p>
    <w:p w14:paraId="3F3C66E1" w14:textId="083FCB62" w:rsidR="00A66E12" w:rsidRPr="00AE470E" w:rsidRDefault="00AD5FD4" w:rsidP="00945488">
      <w:pPr>
        <w:jc w:val="both"/>
        <w:rPr>
          <w:rFonts w:ascii="Times New Roman" w:hAnsi="Times New Roman" w:cs="Times New Roman"/>
          <w:sz w:val="26"/>
          <w:szCs w:val="26"/>
        </w:rPr>
      </w:pPr>
      <w:r>
        <w:rPr>
          <w:rFonts w:ascii="Times New Roman" w:hAnsi="Times New Roman" w:cs="Times New Roman"/>
          <w:b/>
          <w:bCs/>
          <w:sz w:val="26"/>
          <w:szCs w:val="26"/>
        </w:rPr>
        <w:t>5</w:t>
      </w:r>
      <w:r w:rsidR="00A66E12" w:rsidRPr="00AE470E">
        <w:rPr>
          <w:rFonts w:ascii="Times New Roman" w:hAnsi="Times New Roman" w:cs="Times New Roman"/>
          <w:b/>
          <w:bCs/>
          <w:sz w:val="26"/>
          <w:szCs w:val="26"/>
        </w:rPr>
        <w:t>. Pathogenesis &amp; Neuroinvasion</w:t>
      </w:r>
    </w:p>
    <w:p w14:paraId="0B4389DA" w14:textId="77777777" w:rsidR="00A66E12" w:rsidRPr="00A66E12" w:rsidRDefault="00A66E12" w:rsidP="00945488">
      <w:pPr>
        <w:jc w:val="both"/>
        <w:rPr>
          <w:rFonts w:ascii="Times New Roman" w:hAnsi="Times New Roman" w:cs="Times New Roman"/>
          <w:sz w:val="22"/>
          <w:szCs w:val="22"/>
        </w:rPr>
      </w:pPr>
      <w:r w:rsidRPr="00A66E12">
        <w:rPr>
          <w:rFonts w:ascii="Times New Roman" w:hAnsi="Times New Roman" w:cs="Times New Roman"/>
          <w:sz w:val="22"/>
          <w:szCs w:val="22"/>
        </w:rPr>
        <w:t>The pathogenesis of Primary Amoebic Meningoencephalitis represents a complex and rapidly evolving process that begins with nasal colonization and culminates in catastrophic central nervous system destruction. Understanding the molecular mechanisms underlying this devastating journey provides crucial insights for developing targeted therapeutic interventions.</w:t>
      </w:r>
    </w:p>
    <w:p w14:paraId="1EF89E59" w14:textId="6453D86E" w:rsidR="007F4F1E" w:rsidRPr="007F4F1E" w:rsidRDefault="00AD5FD4" w:rsidP="007F4F1E">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.1 </w:t>
      </w:r>
      <w:r w:rsidR="00A66E12" w:rsidRPr="00945488">
        <w:rPr>
          <w:rFonts w:ascii="Times New Roman" w:hAnsi="Times New Roman" w:cs="Times New Roman"/>
          <w:b/>
          <w:bCs/>
        </w:rPr>
        <w:t>The Journey to the Brain</w:t>
      </w:r>
      <w:r w:rsidR="00A66E12" w:rsidRPr="00A66E12">
        <w:rPr>
          <w:rFonts w:ascii="Times New Roman" w:hAnsi="Times New Roman" w:cs="Times New Roman"/>
          <w:sz w:val="22"/>
          <w:szCs w:val="22"/>
        </w:rPr>
        <w:br/>
      </w:r>
      <w:r w:rsidR="00C62A02" w:rsidRPr="00C62A02">
        <w:rPr>
          <w:rFonts w:ascii="Times New Roman" w:hAnsi="Times New Roman" w:cs="Times New Roman"/>
          <w:sz w:val="22"/>
          <w:szCs w:val="22"/>
        </w:rPr>
        <w:t xml:space="preserve">The pathogenic cascade gets initiated when amoebic members of </w:t>
      </w:r>
      <w:r w:rsidR="00C62A02" w:rsidRPr="00C62A02">
        <w:rPr>
          <w:rFonts w:ascii="Times New Roman" w:hAnsi="Times New Roman" w:cs="Times New Roman"/>
          <w:i/>
          <w:iCs/>
          <w:sz w:val="22"/>
          <w:szCs w:val="22"/>
        </w:rPr>
        <w:t xml:space="preserve">N. fowleri </w:t>
      </w:r>
      <w:r w:rsidR="00C62A02" w:rsidRPr="00C62A02">
        <w:rPr>
          <w:rFonts w:ascii="Times New Roman" w:hAnsi="Times New Roman" w:cs="Times New Roman"/>
          <w:sz w:val="22"/>
          <w:szCs w:val="22"/>
        </w:rPr>
        <w:t>present in the contaminated water make an entry through the nasal cavity.</w:t>
      </w:r>
      <w:r w:rsidR="00C62A02">
        <w:rPr>
          <w:rFonts w:ascii="Times New Roman" w:hAnsi="Times New Roman" w:cs="Times New Roman"/>
          <w:sz w:val="22"/>
          <w:szCs w:val="22"/>
        </w:rPr>
        <w:t xml:space="preserve"> </w:t>
      </w:r>
      <w:r w:rsidR="007F4F1E" w:rsidRPr="007F4F1E">
        <w:rPr>
          <w:rFonts w:ascii="Times New Roman" w:hAnsi="Times New Roman" w:cs="Times New Roman"/>
          <w:sz w:val="22"/>
          <w:szCs w:val="22"/>
        </w:rPr>
        <w:t>Such an entry may take place during swimming, diving, or nasal irrigation. The amoebae, after entering, attach themselves first to the nasal mucosal epithelium, particularly that of the olfactory neuroepithelium. In this process, the amoebae use specialized surface structures and molecular adhesins that identify and bind to the host cell receptors</w:t>
      </w:r>
      <w:r w:rsidR="00F10383">
        <w:rPr>
          <w:rFonts w:ascii="Times New Roman" w:hAnsi="Times New Roman" w:cs="Times New Roman"/>
          <w:sz w:val="22"/>
          <w:szCs w:val="22"/>
        </w:rPr>
        <w:t xml:space="preserv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{"citationID":"liRrUM2w","properties":{"formattedCitation":"(Steltenpohl et al., 2009)","plainCitation":"(Steltenpohl et al., 2009)","noteIndex":0},"citationItems":[{"id":594,"uris":["http://zotero.org/users/18073969/items/PIBZALP6"],"itemData":{"id":594,"type":"article-journal","container-title":"The Journal of Geology","DOI":"10.1086/599217","ISSN":"0022-1376, 1537-5269","issue":"4","journalAbbreviation":"The Journal of Geology","language":"en","page":"399-414","source":"DOI.org (Crossref)","title":"&lt;sup&gt;40&lt;/sup&gt; Ar/&lt;sup&gt;39&lt;/sup&gt; Ar Thermochronology of Late‐ and Postorogenic Extension in the Caledonides of North‐Central Norway","volume":"117","author":[{"family":"Steltenpohl","given":"Mark G."},{"family":"Carter","given":"Brad T."},{"family":"Andresen","given":"Arild"},{"family":"Zeltner","given":"Daniel L."}],"issued":{"date-parts":[["2009",7]]}}}],"schema":"https://github.com/citation-style-language/schema/raw/master/csl-citation.json"}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(Steltenpohl et al., 2009)</w:t>
      </w:r>
      <w:r w:rsidR="00F10383">
        <w:rPr>
          <w:rFonts w:ascii="Times New Roman" w:hAnsi="Times New Roman" w:cs="Times New Roman"/>
          <w:sz w:val="22"/>
          <w:szCs w:val="22"/>
        </w:rPr>
        <w:fldChar w:fldCharType="end"/>
      </w:r>
      <w:r w:rsidR="007F4F1E" w:rsidRPr="007F4F1E">
        <w:rPr>
          <w:rFonts w:ascii="Times New Roman" w:hAnsi="Times New Roman" w:cs="Times New Roman"/>
          <w:sz w:val="22"/>
          <w:szCs w:val="22"/>
        </w:rPr>
        <w:t>. Following the attachment, the trophozoites use both mechanical and enzymatic methods to break through the mucosal barrier and reach the underlying connective tissue.</w:t>
      </w:r>
    </w:p>
    <w:p w14:paraId="42DF8516" w14:textId="269063D1" w:rsidR="007F4F1E" w:rsidRP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 xml:space="preserve">The subsequent migration of the pathogen along the olfactory nerve pathway is an important and critical step in its invasion of the nervous system. Trophozoites exhibit a strong affinity to the nervous tissue and also show some selectivity by migrating through the cribriform plate along the unmyelinated olfactory nerve filaments into the cranial vault. This centripetal movement is very fast and amoebae can reach the olfactory bulbs in 24-72 hours after infection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{"citationID":"9LdCZIP8","properties":{"formattedCitation":"(Moravec et al., 2000)","plainCitation":"(Moravec et al., 2000)","noteIndex":0},"citationItems":[{"id":595,"uris":["http://zotero.org/users/18073969/items/WZGBML3J"],"itemData":{"id":595,"type":"article-journal","container-title":"The Journal of Parasitology","DOI":"10.2307/3284919","ISSN":"00223395","issue":"1","journalAbbreviation":"The Journal of Parasitology","page":"113","source":"DOI.org (Crossref)","title":"Paraquimperia africana n. sp. (Nematoda: Quimperiidae), a New Intestinal Parasite of the Eel Anguilla mossambica Peters, in South Africa","title-short":"Paraquimperia africana n. sp. (Nematoda","volume":"86","author":[{"family":"Moravec","given":"Frantisek"},{"family":"Boomker","given":"Joop"},{"family":"Taraschewski","given":"Horst"}],"issued":{"date-parts":[["2000",2]]}}}],"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(Moravec et al., 2000)</w:t>
      </w:r>
      <w:r w:rsidR="00F10383">
        <w:rPr>
          <w:rFonts w:ascii="Times New Roman" w:hAnsi="Times New Roman" w:cs="Times New Roman"/>
          <w:sz w:val="22"/>
          <w:szCs w:val="22"/>
        </w:rPr>
        <w:fldChar w:fldCharType="end"/>
      </w:r>
      <w:r w:rsidRPr="007F4F1E">
        <w:rPr>
          <w:rFonts w:ascii="Times New Roman" w:hAnsi="Times New Roman" w:cs="Times New Roman"/>
          <w:sz w:val="22"/>
          <w:szCs w:val="22"/>
        </w:rPr>
        <w:t>. The exact mechanisms that control this directed migration are still not completely known, but they probably involve the formation of chemical gradients that attract the amoebae to areas of high neural activity, where the signaling molecules and neurotransmitters are most abundant.</w:t>
      </w:r>
    </w:p>
    <w:p w14:paraId="4289CC7D" w14:textId="22073EF3" w:rsidR="007F4F1E" w:rsidRDefault="007F4F1E" w:rsidP="007F4F1E">
      <w:pPr>
        <w:jc w:val="both"/>
        <w:rPr>
          <w:rFonts w:ascii="Times New Roman" w:hAnsi="Times New Roman" w:cs="Times New Roman"/>
          <w:sz w:val="22"/>
          <w:szCs w:val="22"/>
        </w:rPr>
      </w:pPr>
      <w:r w:rsidRPr="007F4F1E">
        <w:rPr>
          <w:rFonts w:ascii="Times New Roman" w:hAnsi="Times New Roman" w:cs="Times New Roman"/>
          <w:sz w:val="22"/>
          <w:szCs w:val="22"/>
        </w:rPr>
        <w:t>Trophozoites, when they reach the subarachnoid space, start their rapid multiplication in the cerebrospinal fluid, and later on, they spread throughout the CNS via the leptomeninges and perivascular spaces. The huge destruction of the tissue, which is the hallmark of PAM, can be attributed to both the direct amoeba-mediated killing and to the host's acute inflammatory reaction, which in turn causes the necrosis of the olfactory bulbs, cerebral cortex, and deep brain structures with hemorrhage on a large scale</w:t>
      </w:r>
      <w:r w:rsidR="00F10383">
        <w:rPr>
          <w:rFonts w:ascii="Times New Roman" w:hAnsi="Times New Roman" w:cs="Times New Roman"/>
          <w:sz w:val="22"/>
          <w:szCs w:val="22"/>
        </w:rPr>
        <w:t xml:space="preserv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{"citationID":"L4VkFuR0","properties":{"formattedCitation":"(Cervantes-Sandoval et al., 2008)","plainCitation":"(Cervantes-Sandoval et al., 2008)","noteIndex":0},"citationItems":[{"id":596,"uris":["http://zotero.org/users/18073969/items/QQ9DE724"],"itemData":{"id":596,"type":"article-journal","container-title":"Parasitology International","DOI":"10.1016/j.parint.2008.01.006","ISSN":"13835769","issue":"3","journalAbbreviation":"Parasitology International","language":"en","license":"https://www.elsevier.com/tdm/userlicense/1.0/","page":"307-313","source":"DOI.org (Crossref)","title":"Characterization of brain inflammation during primary amoebic meningoencephalitis","volume":"57","author":[{"family":"Cervantes-Sandoval","given":"Isaac"},{"family":"Serrano-Luna","given":"José De Jesús"},{"family":"García-Latorre","given":"Ethel"},{"family":"Tsutsumi","given":"Víctor"},{"family":"Shibayama","given":"Mineko"}],"issued":{"date-parts":[["2008",9]]}}}],"schema":"https://github.com/citation-style-language/schema/raw/master/csl-citation.json"}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(Cervantes-Sandoval et al., 2008)</w:t>
      </w:r>
      <w:r w:rsidR="00F10383">
        <w:rPr>
          <w:rFonts w:ascii="Times New Roman" w:hAnsi="Times New Roman" w:cs="Times New Roman"/>
          <w:sz w:val="22"/>
          <w:szCs w:val="22"/>
        </w:rPr>
        <w:fldChar w:fldCharType="end"/>
      </w:r>
      <w:r w:rsidRPr="007F4F1E">
        <w:rPr>
          <w:rFonts w:ascii="Times New Roman" w:hAnsi="Times New Roman" w:cs="Times New Roman"/>
          <w:sz w:val="22"/>
          <w:szCs w:val="22"/>
        </w:rPr>
        <w:t>.</w:t>
      </w:r>
    </w:p>
    <w:p w14:paraId="6CCDF2ED" w14:textId="42C22BC9" w:rsidR="0048542B" w:rsidRPr="00F86882" w:rsidRDefault="00AD5FD4" w:rsidP="0048542B">
      <w:pPr>
        <w:jc w:val="both"/>
        <w:rPr>
          <w:rFonts w:ascii="Times New Roman" w:hAnsi="Times New Roman" w:cs="Times New Roman"/>
          <w:b/>
          <w:bCs/>
        </w:rPr>
      </w:pPr>
      <w:r>
        <w:rPr>
          <w:rFonts w:ascii="Times New Roman" w:hAnsi="Times New Roman" w:cs="Times New Roman"/>
          <w:b/>
          <w:bCs/>
        </w:rPr>
        <w:lastRenderedPageBreak/>
        <w:t>5</w:t>
      </w:r>
      <w:r w:rsidR="00945488" w:rsidRPr="00945488">
        <w:rPr>
          <w:rFonts w:ascii="Times New Roman" w:hAnsi="Times New Roman" w:cs="Times New Roman"/>
          <w:b/>
          <w:bCs/>
        </w:rPr>
        <w:t xml:space="preserve">.2 </w:t>
      </w:r>
      <w:r w:rsidR="00A66E12" w:rsidRPr="00945488">
        <w:rPr>
          <w:rFonts w:ascii="Times New Roman" w:hAnsi="Times New Roman" w:cs="Times New Roman"/>
          <w:b/>
          <w:bCs/>
        </w:rPr>
        <w:t>Molecular Weaponry</w:t>
      </w:r>
      <w:r w:rsidR="00A66E12" w:rsidRPr="00A66E12">
        <w:rPr>
          <w:rFonts w:ascii="Times New Roman" w:hAnsi="Times New Roman" w:cs="Times New Roman"/>
          <w:sz w:val="22"/>
          <w:szCs w:val="22"/>
        </w:rPr>
        <w:br/>
      </w:r>
      <w:r w:rsidR="0048542B" w:rsidRPr="0048542B">
        <w:rPr>
          <w:rFonts w:ascii="Times New Roman" w:hAnsi="Times New Roman" w:cs="Times New Roman"/>
          <w:i/>
          <w:iCs/>
          <w:sz w:val="22"/>
          <w:szCs w:val="22"/>
        </w:rPr>
        <w:t xml:space="preserve">N. fowleri </w:t>
      </w:r>
      <w:r w:rsidR="0048542B" w:rsidRPr="0048542B">
        <w:rPr>
          <w:rFonts w:ascii="Times New Roman" w:hAnsi="Times New Roman" w:cs="Times New Roman"/>
          <w:sz w:val="22"/>
          <w:szCs w:val="22"/>
        </w:rPr>
        <w:t>utilizes a large number of virulence factors to achieve host invasion, destruction of tissues, and annulment of the immune system. The most characterized ones are the following:</w:t>
      </w:r>
    </w:p>
    <w:p w14:paraId="33ED55E0" w14:textId="3147A49A"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r w:rsidRPr="0048542B">
        <w:rPr>
          <w:rFonts w:ascii="Times New Roman" w:hAnsi="Times New Roman" w:cs="Times New Roman"/>
          <w:i/>
          <w:iCs/>
          <w:sz w:val="22"/>
          <w:szCs w:val="22"/>
        </w:rPr>
        <w:t>Naegleriapores</w:t>
      </w:r>
      <w:r w:rsidRPr="0048542B">
        <w:rPr>
          <w:rFonts w:ascii="Times New Roman" w:hAnsi="Times New Roman" w:cs="Times New Roman"/>
          <w:sz w:val="22"/>
          <w:szCs w:val="22"/>
        </w:rPr>
        <w:t xml:space="preserve"> family is made up of proteins with pore-forming properties that come together to create the transmembrane channels in the membranes of the target cells, which cause osmotic lysis and ultimately cell death. The latest structural investigation has shown that the amoeba pores have a different and new method of insertion into the membrane, which is different from the other pore-forming proteins. This could be the reason for their potent cytolytic activity against different types of cells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{"citationID":"MUDVZMoQ","properties":{"formattedCitation":"(Obar &amp; Shepardson, 2023)","plainCitation":"(Obar &amp; Shepardson, 2023)","noteIndex":0},"citationItems":[{"id":597,"uris":["http://zotero.org/users/18073969/items/T4ZH54LK"],"itemData":{"id":597,"type":"article-journal","container-title":"PLOS Pathogens","DOI":"10.1371/journal.ppat.1011334","ISSN":"1553-7374","issue":"5","journalAbbreviation":"PLoS Pathog","language":"en","page":"e1011334","source":"DOI.org (Crossref)","title":"Coinfections in the lung: How viral infection creates a favorable environment for bacterial and fungal infections","title-short":"Coinfections in the lung","volume":"19","author":[{"family":"Obar","given":"Joshua J."},{"family":"Shepardson","given":"Kelly M."}],"editor":[{"family":"Jabra-Rizk","given":"Mary Ann"}],"issued":{"date-parts":[["2023",5,4]]}}}],"schema":"https://github.com/citation-style-language/schema/raw/master/csl-citation.json"}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(Obar &amp; Shepardson, 2023)</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w:t>
      </w:r>
    </w:p>
    <w:p w14:paraId="33043BE1" w14:textId="717A2DB4"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The </w:t>
      </w:r>
      <w:r w:rsidRPr="0048542B">
        <w:rPr>
          <w:rFonts w:ascii="Times New Roman" w:hAnsi="Times New Roman" w:cs="Times New Roman"/>
          <w:i/>
          <w:iCs/>
          <w:sz w:val="22"/>
          <w:szCs w:val="22"/>
        </w:rPr>
        <w:t>proteolytic enzymes</w:t>
      </w:r>
      <w:r w:rsidRPr="0048542B">
        <w:rPr>
          <w:rFonts w:ascii="Times New Roman" w:hAnsi="Times New Roman" w:cs="Times New Roman"/>
          <w:sz w:val="22"/>
          <w:szCs w:val="22"/>
        </w:rPr>
        <w:t xml:space="preserve"> are very important and act in a variety of ways in the case of pathogens. Among cytokines, the CPs that act like cathepsin B, in particular, degrade the components of the extracellular matrix, including collagen, fibronectin, and laminin, thus making it easier for the pathogens to penetrate and spread out in the tissues. Besides, these proteases cut up immunoglobulins and complement factors, thereby escaping from the topical immune defense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{"citationID":"AfH54yx9","properties":{"formattedCitation":"(Serrano\\uc0\\u8208{}Luna et al., 2007)","plainCitation":"(Serrano‐Luna et al., 2007)","noteIndex":0},"citationItems":[{"id":599,"uris":["http://zotero.org/users/18073969/items/D4PJYRCE"],"itemData":{"id":599,"type":"article-journal","abstract":"ABSTRACT.\n              Naegleria fowleri\n              is the etiologic agent of primary amoebic meningoencephalitis (PAM). Proteases have been suggested to be involved in tissue invasion and destruction during infection. We analyzed and compared the complete protease profiles of total crude extract and conditioned medium of both pathogenic\n              N. fowleri\n              and non‐pathogenic\n              Naegleria gruberi\n              trophozoites. Using SDS‐PAGE, we found differences in the number and molecular weight of proteolytic bands between the two strains. The proteases showed optimal activity at pH 7.0 and 35 °C for both strains. Inhibition assays showed that the main proteolytic activity in both strains is due to cysteine proteases although serine proteases were also detected. Both\n              N. fowleri\n              and\n              N. gruberi\n              have a variety of different protease activities at different pH levels and temperatures. These proteases may allow the amoebae to acquire nutrients from different sources, including those from the host. Although, the role of the amoebic proteases in the pathogenesis of PAM is not clearly defined, it seems that proteases and other molecules of the parasite as well as those from the host, could be participating in the damage to the human central nervous system.","container-title":"Journal of Eukaryotic Microbiology","DOI":"10.1111/j.1550-7408.2007.00280.x","ISSN":"1066-5234, 1550-7408","issue":"5","journalAbbreviation":"J Eukaryotic Microbiology","language":"en","page":"411-417","source":"DOI.org (Crossref)","title":"A Biochemical Comparison of Proteases from Pathogenic &lt;i&gt;Naegleria fowleri&lt;/i&gt; and Non‐Pathogenic &lt;i&gt;Naegleria gruberi&lt;/i&gt;","volume":"54","author":[{"family":"Serrano‐Luna","given":"Jesús"},{"family":"Cervantes‐Sandoval","given":"Isaac"},{"family":"Tsutsumi","given":"Victor"},{"family":"Shibayama","given":"Mineko"}],"issued":{"date-parts":[["2007",9]]}}}],"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kern w:val="0"/>
          <w:sz w:val="22"/>
        </w:rPr>
        <w:t>(Serrano‐Luna et al., 2007)</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The metalloproteases help in the disruption of the blood-brain barrier by causing a breakdown of the tight junction proteins.</w:t>
      </w:r>
    </w:p>
    <w:p w14:paraId="01D3943D" w14:textId="112C7759" w:rsidR="0048542B" w:rsidRDefault="0048542B" w:rsidP="0048542B">
      <w:pPr>
        <w:jc w:val="both"/>
        <w:rPr>
          <w:rFonts w:ascii="Times New Roman" w:hAnsi="Times New Roman" w:cs="Times New Roman"/>
          <w:sz w:val="22"/>
          <w:szCs w:val="22"/>
        </w:rPr>
      </w:pPr>
      <w:r w:rsidRPr="0048542B">
        <w:rPr>
          <w:rFonts w:ascii="Times New Roman" w:hAnsi="Times New Roman" w:cs="Times New Roman"/>
          <w:i/>
          <w:iCs/>
          <w:sz w:val="22"/>
          <w:szCs w:val="22"/>
        </w:rPr>
        <w:t>Phospholipases</w:t>
      </w:r>
      <w:r w:rsidRPr="0048542B">
        <w:rPr>
          <w:rFonts w:ascii="Times New Roman" w:hAnsi="Times New Roman" w:cs="Times New Roman"/>
          <w:sz w:val="22"/>
          <w:szCs w:val="22"/>
        </w:rPr>
        <w:t xml:space="preserve"> are another major group of virulence factors, the studies of which have revealed their direct role in host membrane disruption and inflammation cascade initiation. The role of phospholipase A2 in the deterioration of phospholipids in the neuronal membranes has been recognized, resulting in the liberation of arachidonic acid which then activates the formation of pro-inflammatory eicosanoids - these eicosanoids not only amplify but also render the blood-brain barrier more permeable thus impairing its function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{"citationID":"6yCPyN2Z","properties":{"formattedCitation":"(Siddiqui et al., 2016)","plainCitation":"(Siddiqui et al., 2016)","noteIndex":0},"citationItems":[{"id":600,"uris":["http://zotero.org/users/18073969/items/TEGF4S6X"],"itemData":{"id":600,"type":"article-journal","container-title":"Acta Tropica","DOI":"10.1016/j.actatropica.2016.09.009","ISSN":"0001706X","journalAbbreviation":"Acta Tropica","language":"en","page":"375-394","source":"DOI.org (Crossref)","title":"Biology and pathogenesis of Naegleria fowleri","volume":"164","author":[{"family":"Siddiqui","given":"Ruqaiyyah"},{"family":"Ali","given":"Ibne Karim M."},{"family":"Cope","given":"Jennifer R."},{"family":"Khan","given":"Naveed Ahmed"}],"issued":{"date-parts":[["2016",12]]}}}],"schema":"https://github.com/citation-style-language/schema/raw/master/csl-citation.json"}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(Siddiqui et al., 2016)</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xml:space="preserve">. </w:t>
      </w:r>
    </w:p>
    <w:p w14:paraId="690DEF46" w14:textId="56A1374E" w:rsid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Other factors that increase the pathogen's virulence are neuraminidases which change the host cell surface glycoconjugates, elastases which break down the elastic fibers in the walls of blood vessels, and antioxidant enzymes that make the amoebae resistant to oxidative stress caused by immune cells activation.</w:t>
      </w:r>
    </w:p>
    <w:p w14:paraId="3FBAEC5B" w14:textId="3602EB1E" w:rsidR="0048542B" w:rsidRPr="0048542B" w:rsidRDefault="00AD5FD4" w:rsidP="0048542B">
      <w:pPr>
        <w:jc w:val="both"/>
        <w:rPr>
          <w:rFonts w:ascii="Times New Roman" w:hAnsi="Times New Roman" w:cs="Times New Roman"/>
          <w:sz w:val="22"/>
          <w:szCs w:val="22"/>
        </w:rPr>
      </w:pPr>
      <w:r>
        <w:rPr>
          <w:rFonts w:ascii="Times New Roman" w:hAnsi="Times New Roman" w:cs="Times New Roman"/>
          <w:b/>
          <w:bCs/>
        </w:rPr>
        <w:t>5</w:t>
      </w:r>
      <w:r w:rsidR="00945488" w:rsidRPr="00945488">
        <w:rPr>
          <w:rFonts w:ascii="Times New Roman" w:hAnsi="Times New Roman" w:cs="Times New Roman"/>
          <w:b/>
          <w:bCs/>
        </w:rPr>
        <w:t xml:space="preserve">.3 </w:t>
      </w:r>
      <w:r w:rsidR="00A66E12" w:rsidRPr="00945488">
        <w:rPr>
          <w:rFonts w:ascii="Times New Roman" w:hAnsi="Times New Roman" w:cs="Times New Roman"/>
          <w:b/>
          <w:bCs/>
        </w:rPr>
        <w:t>Recent Insights (2020-2025)</w:t>
      </w:r>
      <w:r w:rsidR="00A66E12" w:rsidRPr="00A66E12">
        <w:rPr>
          <w:rFonts w:ascii="Times New Roman" w:hAnsi="Times New Roman" w:cs="Times New Roman"/>
          <w:sz w:val="22"/>
          <w:szCs w:val="22"/>
        </w:rPr>
        <w:br/>
      </w:r>
      <w:r w:rsidR="0048542B" w:rsidRPr="0048542B">
        <w:rPr>
          <w:rFonts w:ascii="Times New Roman" w:hAnsi="Times New Roman" w:cs="Times New Roman"/>
          <w:sz w:val="22"/>
          <w:szCs w:val="22"/>
        </w:rPr>
        <w:t xml:space="preserve">The use of modern multi-omics methods has changed the way we look at the pathogenesis of </w:t>
      </w:r>
      <w:r w:rsidR="0048542B" w:rsidRPr="0048542B">
        <w:rPr>
          <w:rFonts w:ascii="Times New Roman" w:hAnsi="Times New Roman" w:cs="Times New Roman"/>
          <w:i/>
          <w:iCs/>
          <w:sz w:val="22"/>
          <w:szCs w:val="22"/>
        </w:rPr>
        <w:t>N. fowleri</w:t>
      </w:r>
      <w:r w:rsidR="0048542B" w:rsidRPr="0048542B">
        <w:rPr>
          <w:rFonts w:ascii="Times New Roman" w:hAnsi="Times New Roman" w:cs="Times New Roman"/>
          <w:sz w:val="22"/>
          <w:szCs w:val="22"/>
        </w:rPr>
        <w:t>, disclosing virulence mechanisms and the host-pathogen interactions that were not characterized earlier.</w:t>
      </w:r>
    </w:p>
    <w:p w14:paraId="010A47E3" w14:textId="418BAB3D" w:rsidR="0048542B" w:rsidRPr="0048542B" w:rsidRDefault="0048542B" w:rsidP="0048542B">
      <w:pPr>
        <w:jc w:val="both"/>
        <w:rPr>
          <w:rFonts w:ascii="Times New Roman" w:hAnsi="Times New Roman" w:cs="Times New Roman"/>
          <w:sz w:val="22"/>
          <w:szCs w:val="22"/>
        </w:rPr>
      </w:pPr>
      <w:r w:rsidRPr="0048542B">
        <w:rPr>
          <w:rFonts w:ascii="Times New Roman" w:hAnsi="Times New Roman" w:cs="Times New Roman"/>
          <w:sz w:val="22"/>
          <w:szCs w:val="22"/>
        </w:rPr>
        <w:t xml:space="preserve">Genomic and transcriptomic studies have revealed several novel candidate virulence genes that were really increased in expression when the central nervous system was invaded. Some of the things that have come up that are really important are larger groups of membrane transporters, signaling molecules, and stress response proteins that probably help to adapt to the neural microenvironment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{"citationID":"yucgoHEX","properties":{"formattedCitation":"(Kaur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F10383">
        <w:rPr>
          <w:rFonts w:ascii="Times New Roman" w:hAnsi="Times New Roman" w:cs="Times New Roman"/>
          <w:sz w:val="22"/>
          <w:szCs w:val="22"/>
        </w:rPr>
        <w:fldChar w:fldCharType="end"/>
      </w:r>
      <w:r w:rsidRPr="0048542B">
        <w:rPr>
          <w:rFonts w:ascii="Times New Roman" w:hAnsi="Times New Roman" w:cs="Times New Roman"/>
          <w:sz w:val="22"/>
          <w:szCs w:val="22"/>
        </w:rPr>
        <w:t xml:space="preserve">. Research on the genomes of different </w:t>
      </w:r>
      <w:r w:rsidRPr="007B39B4">
        <w:rPr>
          <w:rFonts w:ascii="Times New Roman" w:hAnsi="Times New Roman" w:cs="Times New Roman"/>
          <w:i/>
          <w:iCs/>
          <w:sz w:val="22"/>
          <w:szCs w:val="22"/>
        </w:rPr>
        <w:t>N. Fowleri</w:t>
      </w:r>
      <w:r w:rsidRPr="0048542B">
        <w:rPr>
          <w:rFonts w:ascii="Times New Roman" w:hAnsi="Times New Roman" w:cs="Times New Roman"/>
          <w:sz w:val="22"/>
          <w:szCs w:val="22"/>
        </w:rPr>
        <w:t xml:space="preserve"> strains have shown that there are major differences not only in the sequences of virulence genes, but also in their structures, between clinical and environmental isolates, which hints at the latter's acceptance for evolutionary adaptation to mammal hosts.</w:t>
      </w:r>
    </w:p>
    <w:p w14:paraId="1904BC26" w14:textId="4DD54E44" w:rsidR="0048542B" w:rsidRDefault="00CA56D0" w:rsidP="0048542B">
      <w:pPr>
        <w:jc w:val="both"/>
        <w:rPr>
          <w:rFonts w:ascii="Times New Roman" w:hAnsi="Times New Roman" w:cs="Times New Roman"/>
          <w:sz w:val="22"/>
          <w:szCs w:val="22"/>
        </w:rPr>
      </w:pPr>
      <w:r w:rsidRPr="00AB2801">
        <w:rPr>
          <w:rFonts w:ascii="Times New Roman" w:hAnsi="Times New Roman" w:cs="Times New Roman"/>
          <w:sz w:val="22"/>
          <w:szCs w:val="22"/>
        </w:rPr>
        <w:t xml:space="preserve">The analyses of proteomes have opened up new avenues for understanding the metabolic changes in </w:t>
      </w:r>
      <w:r w:rsidRPr="00AB2801">
        <w:rPr>
          <w:rFonts w:ascii="Times New Roman" w:hAnsi="Times New Roman" w:cs="Times New Roman"/>
          <w:i/>
          <w:iCs/>
          <w:sz w:val="22"/>
          <w:szCs w:val="22"/>
        </w:rPr>
        <w:t>N. fowleri</w:t>
      </w:r>
      <w:r w:rsidRPr="00AB2801">
        <w:rPr>
          <w:rFonts w:ascii="Times New Roman" w:hAnsi="Times New Roman" w:cs="Times New Roman"/>
          <w:sz w:val="22"/>
          <w:szCs w:val="22"/>
        </w:rPr>
        <w:t xml:space="preserve"> during the course of infection. The analysis of the mass spectra of the amoeba's secreted proteins has revealed a large number of secreted proteins that are in contact with the host tissues. These proteins comprise hydrolases, redox enzymes, and immune system modulators </w:t>
      </w:r>
      <w:r w:rsidR="00AB2801" w:rsidRPr="00AB2801">
        <w:rPr>
          <w:rFonts w:ascii="Times New Roman" w:hAnsi="Times New Roman" w:cs="Times New Roman"/>
          <w:sz w:val="22"/>
          <w:szCs w:val="22"/>
        </w:rPr>
        <w:fldChar w:fldCharType="begin"/>
      </w:r>
      <w:r w:rsidR="00AB2801" w:rsidRPr="00AB2801">
        <w:rPr>
          <w:rFonts w:ascii="Times New Roman" w:hAnsi="Times New Roman" w:cs="Times New Roman"/>
          <w:sz w:val="22"/>
          <w:szCs w:val="22"/>
        </w:rPr>
        <w:instrText xml:space="preserve"> ADDIN ZOTERO_ITEM CSL_CITATION {"citationID":"98Xvp4km","properties":{"formattedCitation":"(Siddiqui et al., 2016)","plainCitation":"(Siddiqui et al., 2016)","noteIndex":0},"citationItems":[{"id":600,"uris":["http://zotero.org/users/18073969/items/TEGF4S6X"],"itemData":{"id":600,"type":"article-journal","container-title":"Acta Tropica","DOI":"10.1016/j.actatropica.2016.09.009","ISSN":"0001706X","journalAbbreviation":"Acta Tropica","language":"en","page":"375-394","source":"DOI.org (Crossref)","title":"Biology and pathogenesis of Naegleria fowleri","volume":"164","author":[{"family":"Siddiqui","given":"Ruqaiyyah"},{"family":"Ali","given":"Ibne Karim M."},{"family":"Cope","given":"Jennifer R."},{"family":"Khan","given":"Naveed Ahmed"}],"issued":{"date-parts":[["2016",12]]}}}],"schema":"https://github.com/citation-style-language/schema/raw/master/csl-citation.json"} </w:instrText>
      </w:r>
      <w:r w:rsidR="00AB2801" w:rsidRPr="00AB2801">
        <w:rPr>
          <w:rFonts w:ascii="Times New Roman" w:hAnsi="Times New Roman" w:cs="Times New Roman"/>
          <w:sz w:val="22"/>
          <w:szCs w:val="22"/>
        </w:rPr>
        <w:fldChar w:fldCharType="separate"/>
      </w:r>
      <w:r w:rsidR="00AB2801" w:rsidRPr="00AB2801">
        <w:rPr>
          <w:rFonts w:ascii="Times New Roman" w:hAnsi="Times New Roman" w:cs="Times New Roman"/>
          <w:sz w:val="22"/>
        </w:rPr>
        <w:t>(Siddiqui et al., 2016)</w:t>
      </w:r>
      <w:r w:rsidR="00AB2801" w:rsidRPr="00AB2801">
        <w:rPr>
          <w:rFonts w:ascii="Times New Roman" w:hAnsi="Times New Roman" w:cs="Times New Roman"/>
          <w:sz w:val="22"/>
          <w:szCs w:val="22"/>
        </w:rPr>
        <w:fldChar w:fldCharType="end"/>
      </w:r>
      <w:r w:rsidRPr="00AB2801">
        <w:rPr>
          <w:rFonts w:ascii="Times New Roman" w:hAnsi="Times New Roman" w:cs="Times New Roman"/>
          <w:sz w:val="22"/>
          <w:szCs w:val="22"/>
        </w:rPr>
        <w:t>.</w:t>
      </w:r>
      <w:r>
        <w:rPr>
          <w:rFonts w:ascii="Times New Roman" w:hAnsi="Times New Roman" w:cs="Times New Roman"/>
          <w:sz w:val="22"/>
          <w:szCs w:val="22"/>
        </w:rPr>
        <w:t xml:space="preserve"> </w:t>
      </w:r>
      <w:r w:rsidR="0048542B" w:rsidRPr="0048542B">
        <w:rPr>
          <w:rFonts w:ascii="Times New Roman" w:hAnsi="Times New Roman" w:cs="Times New Roman"/>
          <w:sz w:val="22"/>
          <w:szCs w:val="22"/>
        </w:rPr>
        <w:t>The metabolism of the parasite is specific to the different stages of its life cycle, with a prominent rise in aerobic glycolysis during the period of active CNS invasion.</w:t>
      </w:r>
    </w:p>
    <w:p w14:paraId="1DFAC620" w14:textId="5B2912CF" w:rsidR="00C546FD" w:rsidRPr="00C546FD" w:rsidRDefault="00CA56D0" w:rsidP="00C546FD">
      <w:pPr>
        <w:jc w:val="both"/>
        <w:rPr>
          <w:rFonts w:ascii="Times New Roman" w:hAnsi="Times New Roman" w:cs="Times New Roman"/>
          <w:sz w:val="22"/>
          <w:szCs w:val="22"/>
        </w:rPr>
      </w:pPr>
      <w:r w:rsidRPr="00AB2801">
        <w:rPr>
          <w:rFonts w:ascii="Times New Roman" w:hAnsi="Times New Roman" w:cs="Times New Roman"/>
          <w:sz w:val="22"/>
          <w:szCs w:val="22"/>
        </w:rPr>
        <w:lastRenderedPageBreak/>
        <w:t xml:space="preserve">The studies performed using single-cell RNA sequencing have shown that there is a difference in the transcription of the </w:t>
      </w:r>
      <w:r w:rsidRPr="00AB2801">
        <w:rPr>
          <w:rFonts w:ascii="Times New Roman" w:hAnsi="Times New Roman" w:cs="Times New Roman"/>
          <w:i/>
          <w:iCs/>
          <w:sz w:val="22"/>
          <w:szCs w:val="22"/>
        </w:rPr>
        <w:t xml:space="preserve">N. fowleri </w:t>
      </w:r>
      <w:r w:rsidRPr="00AB2801">
        <w:rPr>
          <w:rFonts w:ascii="Times New Roman" w:hAnsi="Times New Roman" w:cs="Times New Roman"/>
          <w:sz w:val="22"/>
          <w:szCs w:val="22"/>
        </w:rPr>
        <w:t xml:space="preserve">populations infected at different times. They found out the particular gene expressions for the three pathogenic mechanisms: migration, proliferation, and nutrient acquisition </w:t>
      </w:r>
      <w:r w:rsidR="00AB2801" w:rsidRPr="00AB2801">
        <w:rPr>
          <w:rFonts w:ascii="Times New Roman" w:hAnsi="Times New Roman" w:cs="Times New Roman"/>
          <w:sz w:val="22"/>
          <w:szCs w:val="22"/>
        </w:rPr>
        <w:fldChar w:fldCharType="begin"/>
      </w:r>
      <w:r w:rsidR="00AB2801" w:rsidRPr="00AB2801">
        <w:rPr>
          <w:rFonts w:ascii="Times New Roman" w:hAnsi="Times New Roman" w:cs="Times New Roman"/>
          <w:sz w:val="22"/>
          <w:szCs w:val="22"/>
        </w:rPr>
        <w:instrText xml:space="preserve"> ADDIN ZOTERO_ITEM CSL_CITATION {"citationID":"JLZSnKtM","properties":{"formattedCitation":"(M\\uc0\\u233{}ndez\\uc0\\u8208{}S\\uc0\\u225{}nchez et al., 2023)","plainCitation":"(Méndez‐Sánchez et al., 2023)","noteIndex":0},"citationItems":[{"id":840,"uris":["http://zotero.org/users/18073969/items/CEBQQH8I"],"itemData":{"id":840,"type":"article-journal","abstract":"Abstract\n            \n              The diversity of the classes Odontostomatea and Muranotrichea, which contain solely obligate anaerobes, is poorly understood. We studied two populations of\n              Mylestoma\n              sp., one of\n              Saprodinium dentatum\n              (Odontostomatea), two of\n              Muranothrix felix\n              sp. nov., and one of\n              Muranothrix\n              sp. (Muranotrichea) employing live observation, protargol impregnation, scanning electron microscopy, and 18S rRNA gene sequencing. Conspecificity of\n              Mylestoma\n              sp., described here, with a previously described species of this genus cannot be excluded since no species have been studied with modern methods. Phylogenetically, the genus\n              Mylestoma\n              is closely related to the odontostomatid\n              Discomorphella pedroeneasi\n              , although the phylogenetic position of class Odontostomatea itself remains unresolved. The newly described muranotrichean species,\n              Muranothrix felix\n              sp. nov., is morphologically similar to\n              M\n              .\n              gubernata\n              but can be distinguished by its fewer macronuclear nodules and fewer adoral membranelles; moreover, it is clearly distinguished from\n              M. gubernata\n              by its 18S rRNA gene sequence. Another population, designated here as\n              Muranothrix\n              sp., most likely represents a separate species.","container-title":"Journal of Eukaryotic Microbiology","DOI":"10.1111/jeu.12965","ISSN":"1066-5234, 1550-7408","issue":"3","journalAbbreviation":"J Eukaryotic Microbiology","language":"en","page":"e12965","source":"DOI.org (Crossref)","title":"Morphology and phylogenetic position of three anaerobic ciliates from the classes Odontostomatea and Muranotrichea (Ciliophora)","volume":"70","author":[{"family":"Méndez‐Sánchez","given":"Daniel"},{"family":"Pomahač","given":"Ondřej"},{"family":"Rotterová","given":"Johana"},{"family":"Bourland","given":"William A."},{"family":"Čepička","given":"Ivan"}],"issued":{"date-parts":[["2023",5]]}}}],"schema":"https://github.com/citation-style-language/schema/raw/master/csl-citation.json"} </w:instrText>
      </w:r>
      <w:r w:rsidR="00AB2801" w:rsidRPr="00AB2801">
        <w:rPr>
          <w:rFonts w:ascii="Times New Roman" w:hAnsi="Times New Roman" w:cs="Times New Roman"/>
          <w:sz w:val="22"/>
          <w:szCs w:val="22"/>
        </w:rPr>
        <w:fldChar w:fldCharType="separate"/>
      </w:r>
      <w:r w:rsidR="00AB2801" w:rsidRPr="00AB2801">
        <w:rPr>
          <w:rFonts w:ascii="Times New Roman" w:hAnsi="Times New Roman" w:cs="Times New Roman"/>
          <w:kern w:val="0"/>
          <w:sz w:val="22"/>
        </w:rPr>
        <w:t>(Méndez‐Sánchez et al., 2023)</w:t>
      </w:r>
      <w:r w:rsidR="00AB2801" w:rsidRPr="00AB2801">
        <w:rPr>
          <w:rFonts w:ascii="Times New Roman" w:hAnsi="Times New Roman" w:cs="Times New Roman"/>
          <w:sz w:val="22"/>
          <w:szCs w:val="22"/>
        </w:rPr>
        <w:fldChar w:fldCharType="end"/>
      </w:r>
      <w:r w:rsidRPr="00AB2801">
        <w:rPr>
          <w:rFonts w:ascii="Times New Roman" w:hAnsi="Times New Roman" w:cs="Times New Roman"/>
          <w:sz w:val="22"/>
          <w:szCs w:val="22"/>
        </w:rPr>
        <w:t>.</w:t>
      </w:r>
      <w:r>
        <w:rPr>
          <w:rFonts w:ascii="Times New Roman" w:hAnsi="Times New Roman" w:cs="Times New Roman"/>
          <w:sz w:val="22"/>
          <w:szCs w:val="22"/>
        </w:rPr>
        <w:t xml:space="preserve"> </w:t>
      </w:r>
      <w:r w:rsidR="00C546FD" w:rsidRPr="00C546FD">
        <w:rPr>
          <w:rFonts w:ascii="Times New Roman" w:hAnsi="Times New Roman" w:cs="Times New Roman"/>
          <w:sz w:val="22"/>
          <w:szCs w:val="22"/>
        </w:rPr>
        <w:t>This variation among cells may be a factor that allows the protozoan to quickly change and adapt to the different microenvironments and drug resistance.</w:t>
      </w:r>
    </w:p>
    <w:p w14:paraId="05DAF186" w14:textId="73798E3A" w:rsidR="00C546FD" w:rsidRDefault="00C62A02" w:rsidP="00C546FD">
      <w:pPr>
        <w:jc w:val="both"/>
        <w:rPr>
          <w:rFonts w:ascii="Times New Roman" w:hAnsi="Times New Roman" w:cs="Times New Roman"/>
          <w:sz w:val="22"/>
          <w:szCs w:val="22"/>
        </w:rPr>
      </w:pPr>
      <w:r w:rsidRPr="00AB2801">
        <w:rPr>
          <w:rFonts w:ascii="Times New Roman" w:hAnsi="Times New Roman" w:cs="Times New Roman"/>
          <w:sz w:val="22"/>
          <w:szCs w:val="22"/>
        </w:rPr>
        <w:t xml:space="preserve">Latest studies have pointed out the presence of </w:t>
      </w:r>
      <w:r w:rsidRPr="00AB2801">
        <w:rPr>
          <w:rFonts w:ascii="Times New Roman" w:hAnsi="Times New Roman" w:cs="Times New Roman"/>
          <w:i/>
          <w:iCs/>
          <w:sz w:val="22"/>
          <w:szCs w:val="22"/>
        </w:rPr>
        <w:t>N. fowleri</w:t>
      </w:r>
      <w:r w:rsidRPr="00AB2801">
        <w:rPr>
          <w:rFonts w:ascii="Times New Roman" w:hAnsi="Times New Roman" w:cs="Times New Roman"/>
          <w:sz w:val="22"/>
          <w:szCs w:val="22"/>
        </w:rPr>
        <w:t xml:space="preserve">-derived extracellular vesicles and exosomes that are rich in proteins, lipids, and RNA molecules. These substances not only have the potential to influence host cell activities but also promote inter-amoeba communication, thus indicating a new way of parasites causing disease </w:t>
      </w:r>
      <w:r w:rsidR="00AB2801" w:rsidRPr="00AB2801">
        <w:rPr>
          <w:rFonts w:ascii="Times New Roman" w:hAnsi="Times New Roman" w:cs="Times New Roman"/>
          <w:sz w:val="22"/>
          <w:szCs w:val="22"/>
        </w:rPr>
        <w:fldChar w:fldCharType="begin"/>
      </w:r>
      <w:r w:rsidR="00AB2801" w:rsidRPr="00AB2801">
        <w:rPr>
          <w:rFonts w:ascii="Times New Roman" w:hAnsi="Times New Roman" w:cs="Times New Roman"/>
          <w:sz w:val="22"/>
          <w:szCs w:val="22"/>
        </w:rPr>
        <w:instrText xml:space="preserve"> ADDIN ZOTERO_ITEM CSL_CITATION {"citationID":"d9w7y1oR","properties":{"formattedCitation":"(Jahangeer et al., 2020)","plainCitation":"(Jahangeer et al., 2020)","noteIndex":0},"citationItems":[{"id":838,"uris":["http://zotero.org/users/18073969/items/47MPPCFE"],"itemData":{"id":838,"type":"article-journal","abstract":"Abstract\n            \n              Naegleria fowleri,\n              a thermophilic flagellate amoeba known as a “brain‐eating” amoeba, is the aetiological agent of a perilous and devastating waterborne disease known as primary amoebic meningoencephalitis (PAM), both in humans as well as in animals. PAM is a rare but fatal disease affecting young adults all around the world, particularly in the developed world but recently reported from developing countries, with 95%–99% mortality rate. Swimmers and divers are at high risk of PAM as the warm water is the most propitious environment adapted by\n              N. fowleri\n              to cause this infection. Infective amoeba in the trophozoite phase enter the victim's body through the nose, crossing the cribriform plate to reach the human brain and cause severe destruction of the central nervous system (CNS). The brain damage leads to brain haemorrhage and death occurs within 3–7 days in undiagnosed cases and maltreated cases. Though the exact pathogenesis of\n              N. fowleri\n              is still not known, it has exhibited two primary mechanisms, contact‐independent (brain damage through different proteins) and contact‐dependent (brain damage through surface structures food cups), that predominantly contribute to the pathogen invading the host CNS. For the management of this life‐threatening infection different treatment regimens have been applied but still the survival rate is only 5% which is ascribed to its misdiagnosis, as the PAM symptoms closely resembled bacterial meningitis. The main objectives of this review article are to compile data to explore the sources and routes of\n              N. fowleri\n              infection, its association in causing PAM along with its pathophysiology; latest techniques used for accurate diagnosis, management options along with challenges for Pakistan to control this drastic disorder.","container-title":"Clinical and Experimental Pharmacology and Physiology","DOI":"10.1111/1440-1681.13192","ISSN":"0305-1870, 1440-1681","issue":"2","journalAbbreviation":"Clin Exp Pharma Physio","language":"en","page":"199-212","source":"DOI.org (Crossref)","title":"&lt;i&gt;Naegleria fowleri&lt;/i&gt; : Sources of infection, pathophysiology, diagnosis, and management; a review","title-short":"&lt;i&gt;Naegleria fowleri&lt;/i&gt;","volume":"47","author":[{"family":"Jahangeer","given":"Muhammad"},{"family":"Mahmood","given":"Zahed"},{"family":"Munir","given":"Naveed"},{"family":"Waraich","given":"Umm‐e‐Amara"},{"family":"Tahir","given":"Imtiaz Mahmood"},{"family":"Akram","given":"Muhammad"},{"family":"Ali Shah","given":"Syed Muhammad"},{"family":"Zulfqar","given":"Ayesha"},{"family":"Zainab","given":"Rida"}],"issued":{"date-parts":[["2020",2]]}}}],"schema":"https://github.com/citation-style-language/schema/raw/master/csl-citation.json"} </w:instrText>
      </w:r>
      <w:r w:rsidR="00AB2801" w:rsidRPr="00AB2801">
        <w:rPr>
          <w:rFonts w:ascii="Times New Roman" w:hAnsi="Times New Roman" w:cs="Times New Roman"/>
          <w:sz w:val="22"/>
          <w:szCs w:val="22"/>
        </w:rPr>
        <w:fldChar w:fldCharType="separate"/>
      </w:r>
      <w:r w:rsidR="00AB2801" w:rsidRPr="00AB2801">
        <w:rPr>
          <w:rFonts w:ascii="Times New Roman" w:hAnsi="Times New Roman" w:cs="Times New Roman"/>
          <w:sz w:val="22"/>
        </w:rPr>
        <w:t>(Jahangeer et al., 2020)</w:t>
      </w:r>
      <w:r w:rsidR="00AB2801" w:rsidRPr="00AB2801">
        <w:rPr>
          <w:rFonts w:ascii="Times New Roman" w:hAnsi="Times New Roman" w:cs="Times New Roman"/>
          <w:sz w:val="22"/>
          <w:szCs w:val="22"/>
        </w:rPr>
        <w:fldChar w:fldCharType="end"/>
      </w:r>
      <w:r w:rsidRPr="00AB2801">
        <w:rPr>
          <w:rFonts w:ascii="Times New Roman" w:hAnsi="Times New Roman" w:cs="Times New Roman"/>
          <w:sz w:val="22"/>
          <w:szCs w:val="22"/>
        </w:rPr>
        <w:t>.</w:t>
      </w:r>
      <w:r>
        <w:rPr>
          <w:rFonts w:ascii="Times New Roman" w:hAnsi="Times New Roman" w:cs="Times New Roman"/>
          <w:sz w:val="22"/>
          <w:szCs w:val="22"/>
        </w:rPr>
        <w:t xml:space="preserve"> </w:t>
      </w:r>
      <w:r w:rsidR="00C546FD" w:rsidRPr="00C546FD">
        <w:rPr>
          <w:rFonts w:ascii="Times New Roman" w:hAnsi="Times New Roman" w:cs="Times New Roman"/>
          <w:sz w:val="22"/>
          <w:szCs w:val="22"/>
        </w:rPr>
        <w:t>The role of these vesicles is becoming more recognized as they are capable of not only delivering but also making virulence factors more effective, thus increasing both the damage and the activation of the immune system in the tissue.</w:t>
      </w:r>
    </w:p>
    <w:p w14:paraId="7B1E2D46" w14:textId="77777777" w:rsidR="00F86882" w:rsidRDefault="00F86882" w:rsidP="00C546FD">
      <w:pPr>
        <w:jc w:val="both"/>
        <w:rPr>
          <w:rFonts w:ascii="Times New Roman" w:hAnsi="Times New Roman" w:cs="Times New Roman"/>
          <w:sz w:val="22"/>
          <w:szCs w:val="22"/>
        </w:rPr>
      </w:pPr>
    </w:p>
    <w:p w14:paraId="3037B3C1" w14:textId="4C98D002" w:rsidR="00AE470E" w:rsidRDefault="00F86882" w:rsidP="00945488">
      <w:pPr>
        <w:jc w:val="both"/>
        <w:rPr>
          <w:rFonts w:ascii="Times New Roman" w:hAnsi="Times New Roman" w:cs="Times New Roman"/>
          <w:i/>
          <w:i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61312" behindDoc="0" locked="0" layoutInCell="1" allowOverlap="1" wp14:anchorId="303F3F6C" wp14:editId="35BD2FC5">
                <wp:simplePos x="0" y="0"/>
                <wp:positionH relativeFrom="column">
                  <wp:posOffset>15240</wp:posOffset>
                </wp:positionH>
                <wp:positionV relativeFrom="paragraph">
                  <wp:posOffset>205740</wp:posOffset>
                </wp:positionV>
                <wp:extent cx="5929745" cy="4648200"/>
                <wp:effectExtent l="0" t="0" r="0" b="0"/>
                <wp:wrapNone/>
                <wp:docPr id="1715817560" name="Rectangle 6"/>
                <wp:cNvGraphicFramePr/>
                <a:graphic xmlns:a="http://schemas.openxmlformats.org/drawingml/2006/main">
                  <a:graphicData uri="http://schemas.microsoft.com/office/word/2010/wordprocessingShape">
                    <wps:wsp>
                      <wps:cNvSpPr/>
                      <wps:spPr>
                        <a:xfrm>
                          <a:off x="0" y="0"/>
                          <a:ext cx="5929745" cy="4648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D55279" w14:textId="13333C77" w:rsidR="00F86882" w:rsidRDefault="00F86882" w:rsidP="00F86882">
                            <w:pPr>
                              <w:jc w:val="center"/>
                            </w:pPr>
                            <w:r>
                              <w:rPr>
                                <w:noProof/>
                              </w:rPr>
                              <w:drawing>
                                <wp:inline distT="0" distB="0" distL="0" distR="0" wp14:anchorId="2FA34B1E" wp14:editId="13001255">
                                  <wp:extent cx="5734050" cy="3619500"/>
                                  <wp:effectExtent l="0" t="0" r="0" b="0"/>
                                  <wp:docPr id="751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78198" name=""/>
                                          <pic:cNvPicPr/>
                                        </pic:nvPicPr>
                                        <pic:blipFill>
                                          <a:blip r:embed="rId11"/>
                                          <a:stretch>
                                            <a:fillRect/>
                                          </a:stretch>
                                        </pic:blipFill>
                                        <pic:spPr>
                                          <a:xfrm>
                                            <a:off x="0" y="0"/>
                                            <a:ext cx="5734050" cy="3619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3F6C" id="Rectangle 6" o:spid="_x0000_s1029" style="position:absolute;left:0;text-align:left;margin-left:1.2pt;margin-top:16.2pt;width:466.9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" filled="f" stroked="f" strokeweight="1pt">
                <v:textbox>
                  <w:txbxContent>
                    <w:p w14:paraId="12D55279" w14:textId="13333C77" w:rsidR="00F86882" w:rsidRDefault="00F86882" w:rsidP="00F86882">
                      <w:pPr>
                        <w:jc w:val="center"/>
                      </w:pPr>
                      <w:r>
                        <w:rPr>
                          <w:noProof/>
                        </w:rPr>
                        <w:drawing>
                          <wp:inline distT="0" distB="0" distL="0" distR="0" wp14:anchorId="2FA34B1E" wp14:editId="13001255">
                            <wp:extent cx="5734050" cy="3619500"/>
                            <wp:effectExtent l="0" t="0" r="0" b="0"/>
                            <wp:docPr id="7517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78198" name=""/>
                                    <pic:cNvPicPr/>
                                  </pic:nvPicPr>
                                  <pic:blipFill>
                                    <a:blip r:embed="rId11"/>
                                    <a:stretch>
                                      <a:fillRect/>
                                    </a:stretch>
                                  </pic:blipFill>
                                  <pic:spPr>
                                    <a:xfrm>
                                      <a:off x="0" y="0"/>
                                      <a:ext cx="5734050" cy="3619500"/>
                                    </a:xfrm>
                                    <a:prstGeom prst="rect">
                                      <a:avLst/>
                                    </a:prstGeom>
                                  </pic:spPr>
                                </pic:pic>
                              </a:graphicData>
                            </a:graphic>
                          </wp:inline>
                        </w:drawing>
                      </w:r>
                    </w:p>
                  </w:txbxContent>
                </v:textbox>
              </v:rect>
            </w:pict>
          </mc:Fallback>
        </mc:AlternateContent>
      </w:r>
      <w:r w:rsidR="00A66E12" w:rsidRPr="00A66E12">
        <w:rPr>
          <w:rFonts w:ascii="Times New Roman" w:hAnsi="Times New Roman" w:cs="Times New Roman"/>
          <w:b/>
          <w:bCs/>
          <w:sz w:val="22"/>
          <w:szCs w:val="22"/>
        </w:rPr>
        <w:t xml:space="preserve">Figure </w:t>
      </w:r>
      <w:r w:rsidR="00CA032F">
        <w:rPr>
          <w:rFonts w:ascii="Times New Roman" w:hAnsi="Times New Roman" w:cs="Times New Roman"/>
          <w:b/>
          <w:bCs/>
          <w:sz w:val="22"/>
          <w:szCs w:val="22"/>
        </w:rPr>
        <w:t>4</w:t>
      </w:r>
      <w:r w:rsidR="00A66E12" w:rsidRPr="00A66E12">
        <w:rPr>
          <w:rFonts w:ascii="Times New Roman" w:hAnsi="Times New Roman" w:cs="Times New Roman"/>
          <w:b/>
          <w:bCs/>
          <w:sz w:val="22"/>
          <w:szCs w:val="22"/>
        </w:rPr>
        <w:t>: Pathogenesis and Neuroinvasion Pathway</w:t>
      </w:r>
    </w:p>
    <w:p w14:paraId="312304FB" w14:textId="77777777" w:rsidR="00AE470E" w:rsidRDefault="00AE470E" w:rsidP="00945488">
      <w:pPr>
        <w:jc w:val="both"/>
        <w:rPr>
          <w:rFonts w:ascii="Times New Roman" w:hAnsi="Times New Roman" w:cs="Times New Roman"/>
          <w:i/>
          <w:iCs/>
          <w:sz w:val="22"/>
          <w:szCs w:val="22"/>
        </w:rPr>
      </w:pPr>
    </w:p>
    <w:p w14:paraId="651D2FBD" w14:textId="77777777" w:rsidR="00AE470E" w:rsidRDefault="00AE470E" w:rsidP="00945488">
      <w:pPr>
        <w:jc w:val="both"/>
        <w:rPr>
          <w:rFonts w:ascii="Times New Roman" w:hAnsi="Times New Roman" w:cs="Times New Roman"/>
          <w:i/>
          <w:iCs/>
          <w:sz w:val="22"/>
          <w:szCs w:val="22"/>
        </w:rPr>
      </w:pPr>
    </w:p>
    <w:p w14:paraId="16AFBDDF" w14:textId="77777777" w:rsidR="00AE470E" w:rsidRDefault="00AE470E" w:rsidP="00945488">
      <w:pPr>
        <w:jc w:val="both"/>
        <w:rPr>
          <w:rFonts w:ascii="Times New Roman" w:hAnsi="Times New Roman" w:cs="Times New Roman"/>
          <w:i/>
          <w:iCs/>
          <w:sz w:val="22"/>
          <w:szCs w:val="22"/>
        </w:rPr>
      </w:pPr>
    </w:p>
    <w:p w14:paraId="68345169" w14:textId="77777777" w:rsidR="00AE470E" w:rsidRDefault="00AE470E" w:rsidP="00945488">
      <w:pPr>
        <w:jc w:val="both"/>
        <w:rPr>
          <w:rFonts w:ascii="Times New Roman" w:hAnsi="Times New Roman" w:cs="Times New Roman"/>
          <w:i/>
          <w:iCs/>
          <w:sz w:val="22"/>
          <w:szCs w:val="22"/>
        </w:rPr>
      </w:pPr>
    </w:p>
    <w:p w14:paraId="1795558B" w14:textId="77777777" w:rsidR="00AE470E" w:rsidRDefault="00AE470E" w:rsidP="00945488">
      <w:pPr>
        <w:jc w:val="both"/>
        <w:rPr>
          <w:rFonts w:ascii="Times New Roman" w:hAnsi="Times New Roman" w:cs="Times New Roman"/>
          <w:i/>
          <w:iCs/>
          <w:sz w:val="22"/>
          <w:szCs w:val="22"/>
        </w:rPr>
      </w:pPr>
    </w:p>
    <w:p w14:paraId="1FDDE4F5" w14:textId="77777777" w:rsidR="00AE470E" w:rsidRDefault="00AE470E" w:rsidP="00945488">
      <w:pPr>
        <w:jc w:val="both"/>
        <w:rPr>
          <w:rFonts w:ascii="Times New Roman" w:hAnsi="Times New Roman" w:cs="Times New Roman"/>
          <w:i/>
          <w:iCs/>
          <w:sz w:val="22"/>
          <w:szCs w:val="22"/>
        </w:rPr>
      </w:pPr>
    </w:p>
    <w:p w14:paraId="5B1F73C8" w14:textId="77777777" w:rsidR="00AE470E" w:rsidRPr="00A66E12" w:rsidRDefault="00AE470E" w:rsidP="00945488">
      <w:pPr>
        <w:jc w:val="both"/>
        <w:rPr>
          <w:rFonts w:ascii="Times New Roman" w:hAnsi="Times New Roman" w:cs="Times New Roman"/>
          <w:sz w:val="22"/>
          <w:szCs w:val="22"/>
        </w:rPr>
      </w:pPr>
    </w:p>
    <w:p w14:paraId="4EC065F9" w14:textId="77777777" w:rsidR="00F86882" w:rsidRDefault="00F86882" w:rsidP="00945488">
      <w:pPr>
        <w:jc w:val="both"/>
        <w:rPr>
          <w:rFonts w:ascii="Times New Roman" w:hAnsi="Times New Roman" w:cs="Times New Roman"/>
          <w:sz w:val="22"/>
          <w:szCs w:val="22"/>
        </w:rPr>
      </w:pPr>
    </w:p>
    <w:p w14:paraId="28534E1D" w14:textId="77777777" w:rsidR="00F86882" w:rsidRDefault="00F86882" w:rsidP="00945488">
      <w:pPr>
        <w:jc w:val="both"/>
        <w:rPr>
          <w:rFonts w:ascii="Times New Roman" w:hAnsi="Times New Roman" w:cs="Times New Roman"/>
          <w:sz w:val="22"/>
          <w:szCs w:val="22"/>
        </w:rPr>
      </w:pPr>
    </w:p>
    <w:p w14:paraId="54E514AC" w14:textId="77777777" w:rsidR="00F86882" w:rsidRDefault="00F86882" w:rsidP="00945488">
      <w:pPr>
        <w:jc w:val="both"/>
        <w:rPr>
          <w:rFonts w:ascii="Times New Roman" w:hAnsi="Times New Roman" w:cs="Times New Roman"/>
          <w:sz w:val="22"/>
          <w:szCs w:val="22"/>
        </w:rPr>
      </w:pPr>
    </w:p>
    <w:p w14:paraId="6B02ED79" w14:textId="77777777" w:rsidR="00F86882" w:rsidRDefault="00F86882" w:rsidP="00945488">
      <w:pPr>
        <w:jc w:val="both"/>
        <w:rPr>
          <w:rFonts w:ascii="Times New Roman" w:hAnsi="Times New Roman" w:cs="Times New Roman"/>
          <w:sz w:val="22"/>
          <w:szCs w:val="22"/>
        </w:rPr>
      </w:pPr>
    </w:p>
    <w:p w14:paraId="12B1084E" w14:textId="77777777" w:rsidR="00F86882" w:rsidRDefault="00F86882" w:rsidP="00945488">
      <w:pPr>
        <w:jc w:val="both"/>
        <w:rPr>
          <w:rFonts w:ascii="Times New Roman" w:hAnsi="Times New Roman" w:cs="Times New Roman"/>
          <w:sz w:val="22"/>
          <w:szCs w:val="22"/>
        </w:rPr>
      </w:pPr>
    </w:p>
    <w:p w14:paraId="6964DEF3" w14:textId="77777777" w:rsidR="00F86882" w:rsidRDefault="00F86882" w:rsidP="00945488">
      <w:pPr>
        <w:jc w:val="both"/>
        <w:rPr>
          <w:rFonts w:ascii="Times New Roman" w:hAnsi="Times New Roman" w:cs="Times New Roman"/>
          <w:sz w:val="22"/>
          <w:szCs w:val="22"/>
        </w:rPr>
      </w:pPr>
    </w:p>
    <w:p w14:paraId="0BEB99E8" w14:textId="77777777" w:rsidR="00CA032F" w:rsidRDefault="00CA032F" w:rsidP="00945488">
      <w:pPr>
        <w:jc w:val="both"/>
        <w:rPr>
          <w:rFonts w:ascii="Times New Roman" w:hAnsi="Times New Roman" w:cs="Times New Roman"/>
          <w:sz w:val="22"/>
          <w:szCs w:val="22"/>
        </w:rPr>
      </w:pPr>
    </w:p>
    <w:p w14:paraId="401A3816" w14:textId="77777777" w:rsidR="00CA032F" w:rsidRDefault="00CA032F" w:rsidP="00945488">
      <w:pPr>
        <w:jc w:val="both"/>
        <w:rPr>
          <w:rFonts w:ascii="Times New Roman" w:hAnsi="Times New Roman" w:cs="Times New Roman"/>
          <w:sz w:val="22"/>
          <w:szCs w:val="22"/>
        </w:rPr>
      </w:pPr>
    </w:p>
    <w:p w14:paraId="78A9EAD6" w14:textId="0D85C464" w:rsidR="00F86882" w:rsidRDefault="007627DD" w:rsidP="00945488">
      <w:pPr>
        <w:jc w:val="both"/>
        <w:rPr>
          <w:rFonts w:ascii="Times New Roman" w:hAnsi="Times New Roman" w:cs="Times New Roman"/>
          <w:sz w:val="22"/>
          <w:szCs w:val="22"/>
        </w:rPr>
      </w:pPr>
      <w:r w:rsidRPr="00DD00B4">
        <w:rPr>
          <w:rFonts w:ascii="Times New Roman" w:hAnsi="Times New Roman" w:cs="Times New Roman"/>
          <w:i/>
          <w:iCs/>
          <w:sz w:val="22"/>
          <w:szCs w:val="22"/>
        </w:rPr>
        <w:t>Schematic diagram detailing the stepwise process of PAM development: (1) Nasal epithelial adhesion and colonization, (2) Migration through cribriform plate along olfactory nerve filaments, (3) CNS invasion and dissemination through subarachnoid space, (4) Tissue destruction mediated by virulence factors including naegleriapores (pore-forming proteins), proteases (extracellular matrix degradation), and phospholipases (membrane disruption), and (5) Hemorrhagic necrotizing encephalitis with massive inflammatory response.</w:t>
      </w:r>
    </w:p>
    <w:p w14:paraId="363C6BA1" w14:textId="7F747289" w:rsidR="00C546FD" w:rsidRDefault="006E4F58" w:rsidP="00945488">
      <w:pPr>
        <w:jc w:val="both"/>
        <w:rPr>
          <w:rFonts w:ascii="Times New Roman" w:hAnsi="Times New Roman" w:cs="Times New Roman"/>
          <w:sz w:val="22"/>
          <w:szCs w:val="22"/>
        </w:rPr>
      </w:pPr>
      <w:r w:rsidRPr="006E4F58">
        <w:rPr>
          <w:rFonts w:ascii="Times New Roman" w:hAnsi="Times New Roman" w:cs="Times New Roman"/>
          <w:sz w:val="22"/>
          <w:szCs w:val="22"/>
        </w:rPr>
        <w:lastRenderedPageBreak/>
        <w:t xml:space="preserve">The combination of these findings gives a clear view of PAM pathogenesis, exposing intricate relationships between parasite virulence strategies and host defense responses. </w:t>
      </w:r>
      <w:r w:rsidR="00C546FD" w:rsidRPr="00C546FD">
        <w:rPr>
          <w:rFonts w:ascii="Times New Roman" w:hAnsi="Times New Roman" w:cs="Times New Roman"/>
          <w:sz w:val="22"/>
          <w:szCs w:val="22"/>
        </w:rPr>
        <w:t>The knowledge gained through these steps not only clarifies the medicinal aspect of this ravaging disease but also brings to light the use of new drugs that target the blockade of the neuroinvasive cascade, crucial steps.</w:t>
      </w:r>
    </w:p>
    <w:p w14:paraId="54F49D55" w14:textId="77777777" w:rsidR="00CC3551" w:rsidRDefault="00CC3551" w:rsidP="00945488">
      <w:pPr>
        <w:jc w:val="both"/>
        <w:rPr>
          <w:rFonts w:ascii="Times New Roman" w:hAnsi="Times New Roman" w:cs="Times New Roman"/>
          <w:sz w:val="22"/>
          <w:szCs w:val="22"/>
        </w:rPr>
      </w:pPr>
    </w:p>
    <w:p w14:paraId="24C6C4B1" w14:textId="10D1A005" w:rsidR="005331D0"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6</w:t>
      </w:r>
      <w:r w:rsidR="005331D0" w:rsidRPr="00AE470E">
        <w:rPr>
          <w:rFonts w:ascii="Times New Roman" w:hAnsi="Times New Roman" w:cs="Times New Roman"/>
          <w:b/>
          <w:bCs/>
          <w:sz w:val="26"/>
          <w:szCs w:val="26"/>
        </w:rPr>
        <w:t xml:space="preserve">. Clinical Presentation &amp; Diagnosis </w:t>
      </w:r>
    </w:p>
    <w:p w14:paraId="20B92D0A" w14:textId="0542586D" w:rsidR="00FF29B2" w:rsidRPr="00FF29B2"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t>The diagnosis of PAM requires a very timely process and a huge clinical suspicion in a patient with a background of freshwater exposure. It is fast spreading non-specific flu-like symptoms that cause death, and sometimes the right diagnosis is made too late because they are mistaken for more common infections.</w:t>
      </w:r>
    </w:p>
    <w:p w14:paraId="787488D3" w14:textId="6A05983E"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.1 </w:t>
      </w:r>
      <w:r w:rsidR="005331D0" w:rsidRPr="00AE470E">
        <w:rPr>
          <w:rFonts w:ascii="Times New Roman" w:hAnsi="Times New Roman" w:cs="Times New Roman"/>
          <w:b/>
          <w:bCs/>
        </w:rPr>
        <w:t>Clinical Picture</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 xml:space="preserve">Primary Amoebic Meningoencephalitis (PAM) is a quickly progressive neurological syndrome that usually takes a deathly predictable and devastating clinical route. Initial symptoms appear about 2-7 days after exposure, starting with very general symptoms of severe frontal headache, high fever, nausea, and vomiting. The initial clinical picture is often confused with that of bacterial meningitis or severe viral encephalitis, which results in critical diagnostic delays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{"citationID":"yXyROJSt","properties":{"formattedCitation":"(Pitman-Hunt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 xml:space="preserve">. After this, in about 24-48 hours, the disease progresses to the point where the signs of meningeal irritation come up, such as stiff neck, fear of light, and Kernig's sign. And then, the neurological decline speeds up very quickly, with patients going through a series of mental alterations, confusion, hallucinations, loss of a specific neurological function, seizures, and finally coma. The swiftness of this progression is one of the features of the disease, so that most of the patients die from it 5-7 days after the onset of symptoms despite the best medical treatment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{"citationID":"XgJIwRsd","properties":{"formattedCitation":"(Chatterjee et al., 2015)","plainCitation":"(Chatterjee et al., 2015)","noteIndex":0},"citationItems":[{"id":564,"uris":["http://zotero.org/users/18073969/items/BQUS3D98"],"itemData":{"id":564,"type":"article-journal","abstract":"ABSTRACT\n            \n              Enteric protozoan parasites, which are spread by the fecal-oral route, are important causes of diarrhea (\n              Giardia duodenalis\n              ) and amebic dysentery (\n              Entamoeba histolytica\n              ). Cyst walls of\n              Giardia\n              and\n              Entamoeba\n              have a single layer composed of fibrils of β-1,3-linked GalNAc and β-1,4-linked GlcNAc (chitin), respectively. The goal here was to determine whether hand sanitizers that contain ethanol or isopropanol as the active microbicide might reduce transmission of these parasites. We found that treatment with these alcohols with or without drying in a rotary evaporator (to model rapid evaporation of sanitizers on hands) kills 85 to 100% of cysts of\n              G. duodenalis\n              and 90 to 100% of cysts of\n              Entamoeba invadens\n              (a nonpathogenic model for\n              E. histolytica\n              ), as shown by nuclear labeling with propidium iodide and failure to excyst\n              in vitro\n              . Alcohols with or without drying collapsed the cyst walls of\n              Giardia\n              but did not collapse the cyst walls of\n              Entamoeba\n              . To validate the\n              in vitro\n              results, we showed that treatment with alcohols eliminated oral infection of gerbils by 1,000\n              G. duodenalis\n              cysts, while a commercial hand sanitizer (Purell) killed\n              E. invadens\n              cysts that were directly applied to the hands. These results suggest that expanded use of alcohol-based hand sanitizers might reduce the transmission of\n              Giardia\n              and\n              Entamoeba\n              .","container-title":"Antimicrobial Agents and Chemotherapy","DOI":"10.1128/AAC.01290-15","ISSN":"0066-4804, 1098-6596","issue":"11","journalAbbreviation":"Antimicrob Agents Chemother","language":"en","page":"6749-6754","source":"DOI.org (Crossref)","title":"Ethanol and Isopropanol in Concentrations Present in Hand Sanitizers Sharply Reduce Excystation of Giardia and Entamoeba and Eliminate Oral Infectivity of Giardia Cysts in Gerbils","volume":"59","author":[{"family":"Chatterjee","given":"Aparajita"},{"family":"Bandini","given":"Giulia"},{"family":"Motari","given":"Edwin"},{"family":"Samuelson","given":"John"}],"issued":{"date-parts":[["2015",11]]}}}],"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(Chatterjee et al., 2015)</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w:t>
      </w:r>
    </w:p>
    <w:p w14:paraId="29B1EE48" w14:textId="07BA782E" w:rsidR="005331D0" w:rsidRPr="005331D0" w:rsidRDefault="00AD5FD4" w:rsidP="00945488">
      <w:pPr>
        <w:jc w:val="both"/>
        <w:rPr>
          <w:rFonts w:ascii="Times New Roman" w:hAnsi="Times New Roman" w:cs="Times New Roman"/>
          <w:sz w:val="22"/>
          <w:szCs w:val="22"/>
        </w:rPr>
      </w:pPr>
      <w:r>
        <w:rPr>
          <w:rFonts w:ascii="Times New Roman" w:hAnsi="Times New Roman" w:cs="Times New Roman"/>
          <w:b/>
          <w:bCs/>
        </w:rPr>
        <w:t>6</w:t>
      </w:r>
      <w:r w:rsidR="00945488" w:rsidRPr="00AE470E">
        <w:rPr>
          <w:rFonts w:ascii="Times New Roman" w:hAnsi="Times New Roman" w:cs="Times New Roman"/>
          <w:b/>
          <w:bCs/>
        </w:rPr>
        <w:t xml:space="preserve">.2 </w:t>
      </w:r>
      <w:r w:rsidR="005331D0" w:rsidRPr="00AE470E">
        <w:rPr>
          <w:rFonts w:ascii="Times New Roman" w:hAnsi="Times New Roman" w:cs="Times New Roman"/>
          <w:b/>
          <w:bCs/>
        </w:rPr>
        <w:t>Diagnostic Arsenal</w:t>
      </w:r>
      <w:r w:rsidR="005331D0" w:rsidRPr="005331D0">
        <w:rPr>
          <w:rFonts w:ascii="Times New Roman" w:hAnsi="Times New Roman" w:cs="Times New Roman"/>
          <w:sz w:val="22"/>
          <w:szCs w:val="22"/>
        </w:rPr>
        <w:br/>
      </w:r>
      <w:r w:rsidR="00C546FD" w:rsidRPr="00C546FD">
        <w:rPr>
          <w:rFonts w:ascii="Times New Roman" w:hAnsi="Times New Roman" w:cs="Times New Roman"/>
          <w:sz w:val="22"/>
          <w:szCs w:val="22"/>
        </w:rPr>
        <w:t>A clinical suspicion with a high index of PAM is the mainstay of diagnostic approaches and should be complemented by a quick laboratory confirmation. Classical methods still hold value, but recently, technological breakthroughs have opened up the possibility of significantly enhanced diagnostics.</w:t>
      </w:r>
    </w:p>
    <w:p w14:paraId="2A0EFBBA" w14:textId="5E36670D" w:rsidR="005331D0" w:rsidRPr="005331D0" w:rsidRDefault="005331D0" w:rsidP="00945488">
      <w:pPr>
        <w:jc w:val="both"/>
        <w:rPr>
          <w:rFonts w:ascii="Times New Roman" w:hAnsi="Times New Roman" w:cs="Times New Roman"/>
          <w:sz w:val="22"/>
          <w:szCs w:val="22"/>
        </w:rPr>
      </w:pPr>
      <w:r w:rsidRPr="00AE470E">
        <w:rPr>
          <w:rFonts w:ascii="Times New Roman" w:hAnsi="Times New Roman" w:cs="Times New Roman"/>
          <w:b/>
          <w:bCs/>
          <w:i/>
          <w:iCs/>
          <w:sz w:val="22"/>
          <w:szCs w:val="22"/>
        </w:rPr>
        <w:t>Traditional Methods</w:t>
      </w:r>
      <w:r w:rsidR="00AE470E" w:rsidRPr="00AE470E">
        <w:rPr>
          <w:rFonts w:ascii="Times New Roman" w:hAnsi="Times New Roman" w:cs="Times New Roman"/>
          <w:b/>
          <w:bCs/>
          <w:i/>
          <w:iCs/>
          <w:sz w:val="22"/>
          <w:szCs w:val="22"/>
        </w:rPr>
        <w:t>:</w:t>
      </w:r>
      <w:r w:rsidR="00AE470E">
        <w:rPr>
          <w:rFonts w:ascii="Times New Roman" w:hAnsi="Times New Roman" w:cs="Times New Roman"/>
          <w:sz w:val="22"/>
          <w:szCs w:val="22"/>
        </w:rPr>
        <w:t xml:space="preserve"> </w:t>
      </w:r>
      <w:r w:rsidR="00C546FD" w:rsidRPr="00C546FD">
        <w:rPr>
          <w:rFonts w:ascii="Times New Roman" w:hAnsi="Times New Roman" w:cs="Times New Roman"/>
          <w:sz w:val="22"/>
          <w:szCs w:val="22"/>
        </w:rPr>
        <w:t xml:space="preserve">Cerebrospinal fluid analysis usually indicates heightened opening pressure, a larger number of white blood cells with neutrophils as the main type, higher concentration of protein, and lower levels of glucose. Furthermore, due to the large area of necrosis caused by bleeding, the CSF is often found to be either bloody or yellowish and is therefore often labeled as such. Imaging tests like MRI may reveal new lesions in the olfactory bulbs, the basal frontal areas, and the temporal lobes, along with the enhancement of the meninges and signs of hemorrhagic transformation </w:t>
      </w:r>
      <w:r w:rsidR="00F10383">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{"citationID":"dcRAsTKI","properties":{"formattedCitation":"(Minter et al., 2021)","plainCitation":"(Minter et al., 2021)","noteIndex":0},"citationItems":[{"id":611,"uris":["http://zotero.org/users/18073969/items/ETQWTPXD"],"itemData":{"id":611,"type":"article-journal","abstract":"Abstract\n            As programs move closer toward the World Health Organization (WHO) goals of reduction in morbidity, elimination as a public health problem or elimination of transmission, countries will be faced with planning the next stages of surveillance and control in low prevalence settings. Mathematical models of neglected tropical diseases (NTDs) will need to go beyond predicting the effect of different treatment programs on these goals and on to predicting whether the gains can be sustained. One of the most important challenges will be identifying the policy goal and the right constraints on interventions and surveillance over the long term, as a single policy option will not achieve all aims—for example, minimizing morbidity and minimizing costs cannot both be achieved. As NTDs move toward 2030 and beyond, more nuanced intervention choices will be informed by quantitative analyses which are adapted to national context.","container-title":"Clinical Infectious Diseases","DOI":"10.1093/cid/ciab188","ISSN":"1058-4838, 1537-6591","issue":"Supplement_3","language":"en","license":"http://creativecommons.org/licenses/by/4.0/","page":"S129-S133","source":"DOI.org (Crossref)","title":"What Can Modeling Tell Us About Sustainable End Points for Neglected Tropical Diseases?","volume":"72","author":[{"family":"Minter","given":"Amanda"},{"family":"Pellis","given":"Lorenzo"},{"family":"Medley","given":"Graham F"},{"family":"Hollingsworth","given":"T Déirdre"}],"issued":{"date-parts":[["2021",6,14]]}}}],"schema":"https://github.com/citation-style-language/schema/raw/master/csl-citation.json"} </w:instrText>
      </w:r>
      <w:r w:rsidR="00F10383">
        <w:rPr>
          <w:rFonts w:ascii="Times New Roman" w:hAnsi="Times New Roman" w:cs="Times New Roman"/>
          <w:sz w:val="22"/>
          <w:szCs w:val="22"/>
        </w:rPr>
        <w:fldChar w:fldCharType="separate"/>
      </w:r>
      <w:r w:rsidR="00652010" w:rsidRPr="00652010">
        <w:rPr>
          <w:rFonts w:ascii="Times New Roman" w:hAnsi="Times New Roman" w:cs="Times New Roman"/>
          <w:sz w:val="22"/>
        </w:rPr>
        <w:t>(Minter et al., 2021)</w:t>
      </w:r>
      <w:r w:rsidR="00F10383">
        <w:rPr>
          <w:rFonts w:ascii="Times New Roman" w:hAnsi="Times New Roman" w:cs="Times New Roman"/>
          <w:sz w:val="22"/>
          <w:szCs w:val="22"/>
        </w:rPr>
        <w:fldChar w:fldCharType="end"/>
      </w:r>
      <w:r w:rsidR="00C546FD" w:rsidRPr="00C546FD">
        <w:rPr>
          <w:rFonts w:ascii="Times New Roman" w:hAnsi="Times New Roman" w:cs="Times New Roman"/>
          <w:sz w:val="22"/>
          <w:szCs w:val="22"/>
        </w:rPr>
        <w:t>. On the contrary, these features are not specific and frequently occur late in the illness, thus making them less valuable for early identification of the disease.</w:t>
      </w:r>
    </w:p>
    <w:p w14:paraId="7BA7E256" w14:textId="761C97FE" w:rsidR="000A0845" w:rsidRPr="000A0845" w:rsidRDefault="005331D0" w:rsidP="000A0845">
      <w:pPr>
        <w:jc w:val="both"/>
        <w:rPr>
          <w:rFonts w:ascii="Times New Roman" w:hAnsi="Times New Roman" w:cs="Times New Roman"/>
          <w:sz w:val="22"/>
          <w:szCs w:val="22"/>
        </w:rPr>
      </w:pPr>
      <w:r w:rsidRPr="00AE470E">
        <w:rPr>
          <w:rFonts w:ascii="Times New Roman" w:hAnsi="Times New Roman" w:cs="Times New Roman"/>
          <w:b/>
          <w:bCs/>
          <w:i/>
          <w:iCs/>
          <w:sz w:val="22"/>
          <w:szCs w:val="22"/>
        </w:rPr>
        <w:t>Advanced &amp; Recent Diagnostic Methods (2020-2025)</w:t>
      </w:r>
      <w:r w:rsidR="00AE470E">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Molecular diagnostics have tremendously changed the way PAM is detected. Specifically, real-time PCR assays that are designed for certain </w:t>
      </w:r>
      <w:r w:rsidR="000A0845" w:rsidRPr="000A0845">
        <w:rPr>
          <w:rFonts w:ascii="Times New Roman" w:hAnsi="Times New Roman" w:cs="Times New Roman"/>
          <w:i/>
          <w:iCs/>
          <w:sz w:val="22"/>
          <w:szCs w:val="22"/>
        </w:rPr>
        <w:t>N. fowleri</w:t>
      </w:r>
      <w:r w:rsidR="000A0845" w:rsidRPr="000A0845">
        <w:rPr>
          <w:rFonts w:ascii="Times New Roman" w:hAnsi="Times New Roman" w:cs="Times New Roman"/>
          <w:sz w:val="22"/>
          <w:szCs w:val="22"/>
        </w:rPr>
        <w:t xml:space="preserve"> genes not only give quick and exact identification but also present their results in just a few hours. Multiplex PCR panels that can detect different pathogens that cause meningoencephalitis at the same time have improved the efficiency of diagnosis in clinical environments with widely spread differential diagnoses, where the differential diagnosis is broad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{"citationID":"Ot7o19Sp","properties":{"formattedCitation":"(Hwee et al., 2022)","plainCitation":"(Hwee et al., 2022)","noteIndex":0},"citationItems":[{"id":613,"uris":["http://zotero.org/users/18073969/items/8NRFIUNF"],"itemData":{"id":613,"type":"article-journal","container-title":"European Journal of Clinical Microbiology &amp; Infectious Diseases","DOI":"10.1007/s10096-022-04420-9","ISSN":"0934-9723, 1435-4373","issue":"4","journalAbbreviation":"Eur J Clin Microbiol Infect Dis","language":"en","page":"631-640","source":"DOI.org (Crossref)","title":"Rapid diagnostic test (Leptocheck-WB) for detection of acute leptospirosis: a meta-analysis of diagnostic accuracy","title-short":"Rapid diagnostic test (Leptocheck-WB) for detection of acute leptospirosis","volume":"41","author":[{"family":"Hwee","given":"Siau Ek"},{"family":"Htet","given":"Norah Htet"},{"family":"Naing","given":"Cho"},{"family":"Tung","given":"Wong Siew"},{"family":"Mak","given":"Joon Wah"}],"issued":{"date-parts":[["2022",4]]}}}],"schema":"https://github.com/citation-style-language/schema/raw/master/csl-citation.json"}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(Hwee et al., 2022)</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w:t>
      </w:r>
    </w:p>
    <w:p w14:paraId="7007F508" w14:textId="5ABD1AE6" w:rsidR="00F86882" w:rsidRPr="00CA032F"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lastRenderedPageBreak/>
        <w:t xml:space="preserve">One of the most important breakthroughs to date is the use of mNGS for pathogen detection without any bias. The entire process of analyzing CSF nucleic acids is done without requiring knowledge of the infectious agent beforehand, thus making it very useful for pathogens like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that are rare or unexpected. Numerous recent case reports have shown that mNGS has been successful in identifying </w:t>
      </w:r>
      <w:r w:rsidRPr="000A0845">
        <w:rPr>
          <w:rFonts w:ascii="Times New Roman" w:hAnsi="Times New Roman" w:cs="Times New Roman"/>
          <w:i/>
          <w:iCs/>
          <w:sz w:val="22"/>
          <w:szCs w:val="22"/>
        </w:rPr>
        <w:t>N. fowleri</w:t>
      </w:r>
      <w:r w:rsidRPr="000A0845">
        <w:rPr>
          <w:rFonts w:ascii="Times New Roman" w:hAnsi="Times New Roman" w:cs="Times New Roman"/>
          <w:sz w:val="22"/>
          <w:szCs w:val="22"/>
        </w:rPr>
        <w:t xml:space="preserve"> in patients whose diagnosis through conventional methods was delayed or inconclusive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{"citationID":"YvhYw90Q","properties":{"formattedCitation":"(Wilson et al., 2019)","plainCitation":"(Wilson et al., 2019)","noteIndex":0},"citationItems":[{"id":614,"uris":["http://zotero.org/users/18073969/items/B9UAGRAS"],"itemData":{"id":614,"type":"article-journal","container-title":"New England Journal of Medicine","DOI":"10.1056/NEJMoa1803396","ISSN":"0028-4793, 1533-4406","issue":"24","journalAbbreviation":"N Engl J Med","language":"en","license":"http://www.nejmgroup.org/legal/terms-of-use.htm","page":"2327-2340","source":"DOI.org (Crossref)","title":"Clinical Metagenomic Sequencing for Diagnosis of Meningitis and Encephalitis","volume":"380","author":[{"family":"Wilson","given":"Michael R."},{"family":"Sample","given":"Hannah A."},{"family":"Zorn","given":"Kelsey C."},{"family":"Arevalo","given":"Shaun"},{"family":"Yu","given":"Guixia"},{"family":"Neuhaus","given":"John"},{"family":"Federman","given":"Scot"},{"family":"Stryke","given":"Doug"},{"family":"Briggs","given":"Benjamin"},{"family":"Langelier","given":"Charles"},{"family":"Berger","given":"Amy"},{"family":"Douglas","given":"Vanja"},{"family":"Josephson","given":"S. Andrew"},{"family":"Chow","given":"Felicia C."},{"family":"Fulton","given":"Brent D."},{"family":"DeRisi","given":"Joseph L."},{"family":"Gelfand","given":"Jeffrey M."},{"family":"Naccache","given":"Samia N."},{"family":"Bender","given":"Jeffrey"},{"family":"Dien Bard","given":"Jennifer"},{"family":"Murkey","given":"Jamie"},{"family":"Carlson","given":"Magrit"},{"family":"Vespa","given":"Paul M."},{"family":"Vijayan","given":"Tara"},{"family":"Allyn","given":"Paul R."},{"family":"Campeau","given":"Shelley"},{"family":"Humphries","given":"Romney M."},{"family":"Klausner","given":"Jeffrey D."},{"family":"Ganzon","given":"Czarina D."},{"family":"Memar","given":"Fatemeh"},{"family":"Ocampo","given":"Nicolle A."},{"family":"Zimmermann","given":"Lara L."},{"family":"Cohen","given":"Stuart H."},{"family":"Polage","given":"Christopher R."},{"family":"DeBiasi","given":"Roberta L."},{"family":"Haller","given":"Barbara"},{"family":"Dallas","given":"Ronald"},{"family":"Maron","given":"Gabriela"},{"family":"Hayden","given":"Randall"},{"family":"Messacar","given":"Kevin"},{"family":"Dominguez","given":"Samuel R."},{"family":"Miller","given":"Steve"},{"family":"Chiu","given":"Charles Y."}],"issued":{"date-parts":[["2019",6,13]]}}}],"schema":"https://github.com/citation-style-language/schema/raw/master/csl-citation.json"}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(Wilson et al., 2019)</w:t>
      </w:r>
      <w:r w:rsidR="00851590">
        <w:rPr>
          <w:rFonts w:ascii="Times New Roman" w:hAnsi="Times New Roman" w:cs="Times New Roman"/>
          <w:sz w:val="22"/>
          <w:szCs w:val="22"/>
        </w:rPr>
        <w:fldChar w:fldCharType="end"/>
      </w:r>
      <w:r w:rsidRPr="000A0845">
        <w:rPr>
          <w:rFonts w:ascii="Times New Roman" w:hAnsi="Times New Roman" w:cs="Times New Roman"/>
          <w:sz w:val="22"/>
          <w:szCs w:val="22"/>
        </w:rPr>
        <w:t>. The drawbacks of mNGS still include its high cost, turnaround time (24-48 hours), and availability that is mainly restricted to tertiary care hospitals.</w:t>
      </w:r>
    </w:p>
    <w:p w14:paraId="218663AA" w14:textId="1DF45CC3"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b/>
          <w:bCs/>
          <w:sz w:val="22"/>
          <w:szCs w:val="22"/>
        </w:rPr>
        <w:t>Table 2: Diagnostic Methods for PAM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5"/>
        <w:gridCol w:w="1202"/>
        <w:gridCol w:w="2196"/>
        <w:gridCol w:w="2128"/>
        <w:gridCol w:w="1489"/>
      </w:tblGrid>
      <w:tr w:rsidR="005331D0" w:rsidRPr="005331D0" w14:paraId="7C43BE1E" w14:textId="77777777" w:rsidTr="000A0845">
        <w:trPr>
          <w:tblHeader/>
        </w:trPr>
        <w:tc>
          <w:tcPr>
            <w:tcW w:w="2335" w:type="dxa"/>
            <w:tcMar>
              <w:top w:w="150" w:type="dxa"/>
              <w:left w:w="0" w:type="dxa"/>
              <w:bottom w:w="150" w:type="dxa"/>
              <w:right w:w="240" w:type="dxa"/>
            </w:tcMar>
            <w:vAlign w:val="center"/>
            <w:hideMark/>
          </w:tcPr>
          <w:p w14:paraId="3BAA3FCF" w14:textId="77777777"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sz w:val="22"/>
                <w:szCs w:val="22"/>
              </w:rPr>
              <w:t>Method</w:t>
            </w:r>
          </w:p>
        </w:tc>
        <w:tc>
          <w:tcPr>
            <w:tcW w:w="1202" w:type="dxa"/>
            <w:tcMar>
              <w:top w:w="150" w:type="dxa"/>
              <w:left w:w="240" w:type="dxa"/>
              <w:bottom w:w="150" w:type="dxa"/>
              <w:right w:w="240" w:type="dxa"/>
            </w:tcMar>
            <w:vAlign w:val="center"/>
            <w:hideMark/>
          </w:tcPr>
          <w:p w14:paraId="0D5EB3E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Time-to-Result</w:t>
            </w:r>
          </w:p>
        </w:tc>
        <w:tc>
          <w:tcPr>
            <w:tcW w:w="0" w:type="auto"/>
            <w:tcMar>
              <w:top w:w="150" w:type="dxa"/>
              <w:left w:w="240" w:type="dxa"/>
              <w:bottom w:w="150" w:type="dxa"/>
              <w:right w:w="240" w:type="dxa"/>
            </w:tcMar>
            <w:vAlign w:val="center"/>
            <w:hideMark/>
          </w:tcPr>
          <w:p w14:paraId="052783C0"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Advantages</w:t>
            </w:r>
          </w:p>
        </w:tc>
        <w:tc>
          <w:tcPr>
            <w:tcW w:w="0" w:type="auto"/>
            <w:tcMar>
              <w:top w:w="150" w:type="dxa"/>
              <w:left w:w="240" w:type="dxa"/>
              <w:bottom w:w="150" w:type="dxa"/>
              <w:right w:w="240" w:type="dxa"/>
            </w:tcMar>
            <w:vAlign w:val="center"/>
            <w:hideMark/>
          </w:tcPr>
          <w:p w14:paraId="57F61B6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Disadvantages</w:t>
            </w:r>
          </w:p>
        </w:tc>
        <w:tc>
          <w:tcPr>
            <w:tcW w:w="0" w:type="auto"/>
            <w:tcMar>
              <w:top w:w="150" w:type="dxa"/>
              <w:left w:w="240" w:type="dxa"/>
              <w:bottom w:w="150" w:type="dxa"/>
              <w:right w:w="240" w:type="dxa"/>
            </w:tcMar>
            <w:vAlign w:val="center"/>
            <w:hideMark/>
          </w:tcPr>
          <w:p w14:paraId="660F90DD" w14:textId="77777777" w:rsidR="00945488"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Sensitivity/</w:t>
            </w:r>
          </w:p>
          <w:p w14:paraId="17859F7A" w14:textId="1DB28E73"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Specificity</w:t>
            </w:r>
          </w:p>
        </w:tc>
      </w:tr>
      <w:tr w:rsidR="005331D0" w:rsidRPr="005331D0" w14:paraId="3C588026" w14:textId="77777777" w:rsidTr="000A0845">
        <w:tc>
          <w:tcPr>
            <w:tcW w:w="2335" w:type="dxa"/>
            <w:tcMar>
              <w:top w:w="150" w:type="dxa"/>
              <w:left w:w="0" w:type="dxa"/>
              <w:bottom w:w="150" w:type="dxa"/>
              <w:right w:w="240" w:type="dxa"/>
            </w:tcMar>
            <w:vAlign w:val="center"/>
            <w:hideMark/>
          </w:tcPr>
          <w:p w14:paraId="4DE18AF2"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Wet Mount Microscopy</w:t>
            </w:r>
          </w:p>
        </w:tc>
        <w:tc>
          <w:tcPr>
            <w:tcW w:w="1202" w:type="dxa"/>
            <w:tcMar>
              <w:top w:w="150" w:type="dxa"/>
              <w:left w:w="240" w:type="dxa"/>
              <w:bottom w:w="150" w:type="dxa"/>
              <w:right w:w="240" w:type="dxa"/>
            </w:tcMar>
            <w:vAlign w:val="center"/>
            <w:hideMark/>
          </w:tcPr>
          <w:p w14:paraId="609C3E1A"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Minutes</w:t>
            </w:r>
          </w:p>
        </w:tc>
        <w:tc>
          <w:tcPr>
            <w:tcW w:w="0" w:type="auto"/>
            <w:tcMar>
              <w:top w:w="150" w:type="dxa"/>
              <w:left w:w="240" w:type="dxa"/>
              <w:bottom w:w="150" w:type="dxa"/>
              <w:right w:w="240" w:type="dxa"/>
            </w:tcMar>
            <w:vAlign w:val="center"/>
            <w:hideMark/>
          </w:tcPr>
          <w:p w14:paraId="650763A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Rapid, low cost</w:t>
            </w:r>
          </w:p>
        </w:tc>
        <w:tc>
          <w:tcPr>
            <w:tcW w:w="0" w:type="auto"/>
            <w:tcMar>
              <w:top w:w="150" w:type="dxa"/>
              <w:left w:w="240" w:type="dxa"/>
              <w:bottom w:w="150" w:type="dxa"/>
              <w:right w:w="240" w:type="dxa"/>
            </w:tcMar>
            <w:vAlign w:val="center"/>
            <w:hideMark/>
          </w:tcPr>
          <w:p w14:paraId="6785FED0"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 sensitivity, requires expertise</w:t>
            </w:r>
          </w:p>
        </w:tc>
        <w:tc>
          <w:tcPr>
            <w:tcW w:w="0" w:type="auto"/>
            <w:tcMar>
              <w:top w:w="150" w:type="dxa"/>
              <w:left w:w="240" w:type="dxa"/>
              <w:bottom w:w="150" w:type="dxa"/>
              <w:right w:w="0" w:type="dxa"/>
            </w:tcMar>
            <w:vAlign w:val="center"/>
            <w:hideMark/>
          </w:tcPr>
          <w:p w14:paraId="1A8D5DE9"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30-40%/High</w:t>
            </w:r>
          </w:p>
        </w:tc>
      </w:tr>
      <w:tr w:rsidR="005331D0" w:rsidRPr="005331D0" w14:paraId="406BFDDD" w14:textId="77777777" w:rsidTr="000A0845">
        <w:tc>
          <w:tcPr>
            <w:tcW w:w="2335" w:type="dxa"/>
            <w:tcMar>
              <w:top w:w="150" w:type="dxa"/>
              <w:left w:w="0" w:type="dxa"/>
              <w:bottom w:w="150" w:type="dxa"/>
              <w:right w:w="240" w:type="dxa"/>
            </w:tcMar>
            <w:vAlign w:val="center"/>
            <w:hideMark/>
          </w:tcPr>
          <w:p w14:paraId="2A38F6BE"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CSF Culture</w:t>
            </w:r>
          </w:p>
        </w:tc>
        <w:tc>
          <w:tcPr>
            <w:tcW w:w="1202" w:type="dxa"/>
            <w:tcMar>
              <w:top w:w="150" w:type="dxa"/>
              <w:left w:w="240" w:type="dxa"/>
              <w:bottom w:w="150" w:type="dxa"/>
              <w:right w:w="240" w:type="dxa"/>
            </w:tcMar>
            <w:vAlign w:val="center"/>
            <w:hideMark/>
          </w:tcPr>
          <w:p w14:paraId="665E8EB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2-5 days</w:t>
            </w:r>
          </w:p>
        </w:tc>
        <w:tc>
          <w:tcPr>
            <w:tcW w:w="0" w:type="auto"/>
            <w:tcMar>
              <w:top w:w="150" w:type="dxa"/>
              <w:left w:w="240" w:type="dxa"/>
              <w:bottom w:w="150" w:type="dxa"/>
              <w:right w:w="240" w:type="dxa"/>
            </w:tcMar>
            <w:vAlign w:val="center"/>
            <w:hideMark/>
          </w:tcPr>
          <w:p w14:paraId="54951AEE"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Gold standard, allows isolation</w:t>
            </w:r>
          </w:p>
        </w:tc>
        <w:tc>
          <w:tcPr>
            <w:tcW w:w="0" w:type="auto"/>
            <w:tcMar>
              <w:top w:w="150" w:type="dxa"/>
              <w:left w:w="240" w:type="dxa"/>
              <w:bottom w:w="150" w:type="dxa"/>
              <w:right w:w="240" w:type="dxa"/>
            </w:tcMar>
            <w:vAlign w:val="center"/>
            <w:hideMark/>
          </w:tcPr>
          <w:p w14:paraId="7736F53F"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Slow, low sensitivity</w:t>
            </w:r>
          </w:p>
        </w:tc>
        <w:tc>
          <w:tcPr>
            <w:tcW w:w="0" w:type="auto"/>
            <w:tcMar>
              <w:top w:w="150" w:type="dxa"/>
              <w:left w:w="240" w:type="dxa"/>
              <w:bottom w:w="150" w:type="dxa"/>
              <w:right w:w="0" w:type="dxa"/>
            </w:tcMar>
            <w:vAlign w:val="center"/>
            <w:hideMark/>
          </w:tcPr>
          <w:p w14:paraId="126B7B7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50-60%/100%</w:t>
            </w:r>
          </w:p>
        </w:tc>
      </w:tr>
      <w:tr w:rsidR="005331D0" w:rsidRPr="005331D0" w14:paraId="661D11AE" w14:textId="77777777" w:rsidTr="000A0845">
        <w:tc>
          <w:tcPr>
            <w:tcW w:w="2335" w:type="dxa"/>
            <w:tcMar>
              <w:top w:w="150" w:type="dxa"/>
              <w:left w:w="0" w:type="dxa"/>
              <w:bottom w:w="150" w:type="dxa"/>
              <w:right w:w="240" w:type="dxa"/>
            </w:tcMar>
            <w:vAlign w:val="center"/>
            <w:hideMark/>
          </w:tcPr>
          <w:p w14:paraId="09F6D045"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Conventional PCR</w:t>
            </w:r>
          </w:p>
        </w:tc>
        <w:tc>
          <w:tcPr>
            <w:tcW w:w="1202" w:type="dxa"/>
            <w:tcMar>
              <w:top w:w="150" w:type="dxa"/>
              <w:left w:w="240" w:type="dxa"/>
              <w:bottom w:w="150" w:type="dxa"/>
              <w:right w:w="240" w:type="dxa"/>
            </w:tcMar>
            <w:vAlign w:val="center"/>
            <w:hideMark/>
          </w:tcPr>
          <w:p w14:paraId="5CA0976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4-6 hours</w:t>
            </w:r>
          </w:p>
        </w:tc>
        <w:tc>
          <w:tcPr>
            <w:tcW w:w="0" w:type="auto"/>
            <w:tcMar>
              <w:top w:w="150" w:type="dxa"/>
              <w:left w:w="240" w:type="dxa"/>
              <w:bottom w:w="150" w:type="dxa"/>
              <w:right w:w="240" w:type="dxa"/>
            </w:tcMar>
            <w:vAlign w:val="center"/>
            <w:hideMark/>
          </w:tcPr>
          <w:p w14:paraId="17DCDD9A"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High specificity</w:t>
            </w:r>
          </w:p>
        </w:tc>
        <w:tc>
          <w:tcPr>
            <w:tcW w:w="0" w:type="auto"/>
            <w:tcMar>
              <w:top w:w="150" w:type="dxa"/>
              <w:left w:w="240" w:type="dxa"/>
              <w:bottom w:w="150" w:type="dxa"/>
              <w:right w:w="240" w:type="dxa"/>
            </w:tcMar>
            <w:vAlign w:val="center"/>
            <w:hideMark/>
          </w:tcPr>
          <w:p w14:paraId="0F2E239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Single pathogen detection</w:t>
            </w:r>
          </w:p>
        </w:tc>
        <w:tc>
          <w:tcPr>
            <w:tcW w:w="0" w:type="auto"/>
            <w:tcMar>
              <w:top w:w="150" w:type="dxa"/>
              <w:left w:w="240" w:type="dxa"/>
              <w:bottom w:w="150" w:type="dxa"/>
              <w:right w:w="0" w:type="dxa"/>
            </w:tcMar>
            <w:vAlign w:val="center"/>
            <w:hideMark/>
          </w:tcPr>
          <w:p w14:paraId="7818AFCC"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14:paraId="46B6477F" w14:textId="77777777" w:rsidTr="000A0845">
        <w:tc>
          <w:tcPr>
            <w:tcW w:w="2335" w:type="dxa"/>
            <w:tcMar>
              <w:top w:w="150" w:type="dxa"/>
              <w:left w:w="0" w:type="dxa"/>
              <w:bottom w:w="150" w:type="dxa"/>
              <w:right w:w="240" w:type="dxa"/>
            </w:tcMar>
            <w:vAlign w:val="center"/>
            <w:hideMark/>
          </w:tcPr>
          <w:p w14:paraId="043C21B2"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Real-time PCR</w:t>
            </w:r>
          </w:p>
        </w:tc>
        <w:tc>
          <w:tcPr>
            <w:tcW w:w="1202" w:type="dxa"/>
            <w:tcMar>
              <w:top w:w="150" w:type="dxa"/>
              <w:left w:w="240" w:type="dxa"/>
              <w:bottom w:w="150" w:type="dxa"/>
              <w:right w:w="240" w:type="dxa"/>
            </w:tcMar>
            <w:vAlign w:val="center"/>
            <w:hideMark/>
          </w:tcPr>
          <w:p w14:paraId="11E5693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14:paraId="2901CAEE"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Quantitative, rapid</w:t>
            </w:r>
          </w:p>
        </w:tc>
        <w:tc>
          <w:tcPr>
            <w:tcW w:w="0" w:type="auto"/>
            <w:tcMar>
              <w:top w:w="150" w:type="dxa"/>
              <w:left w:w="240" w:type="dxa"/>
              <w:bottom w:w="150" w:type="dxa"/>
              <w:right w:w="240" w:type="dxa"/>
            </w:tcMar>
            <w:vAlign w:val="center"/>
            <w:hideMark/>
          </w:tcPr>
          <w:p w14:paraId="44D2DA89"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Equipment intensive</w:t>
            </w:r>
          </w:p>
        </w:tc>
        <w:tc>
          <w:tcPr>
            <w:tcW w:w="0" w:type="auto"/>
            <w:tcMar>
              <w:top w:w="150" w:type="dxa"/>
              <w:left w:w="240" w:type="dxa"/>
              <w:bottom w:w="150" w:type="dxa"/>
              <w:right w:w="0" w:type="dxa"/>
            </w:tcMar>
            <w:vAlign w:val="center"/>
            <w:hideMark/>
          </w:tcPr>
          <w:p w14:paraId="68169DF2"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&gt;98%/&gt;99%</w:t>
            </w:r>
          </w:p>
        </w:tc>
      </w:tr>
      <w:tr w:rsidR="005331D0" w:rsidRPr="005331D0" w14:paraId="1BCAA498" w14:textId="77777777" w:rsidTr="000A0845">
        <w:tc>
          <w:tcPr>
            <w:tcW w:w="2335" w:type="dxa"/>
            <w:tcMar>
              <w:top w:w="150" w:type="dxa"/>
              <w:left w:w="0" w:type="dxa"/>
              <w:bottom w:w="150" w:type="dxa"/>
              <w:right w:w="240" w:type="dxa"/>
            </w:tcMar>
            <w:vAlign w:val="center"/>
            <w:hideMark/>
          </w:tcPr>
          <w:p w14:paraId="59E1B345"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Multiplex PCR Panels</w:t>
            </w:r>
          </w:p>
        </w:tc>
        <w:tc>
          <w:tcPr>
            <w:tcW w:w="1202" w:type="dxa"/>
            <w:tcMar>
              <w:top w:w="150" w:type="dxa"/>
              <w:left w:w="240" w:type="dxa"/>
              <w:bottom w:w="150" w:type="dxa"/>
              <w:right w:w="240" w:type="dxa"/>
            </w:tcMar>
            <w:vAlign w:val="center"/>
            <w:hideMark/>
          </w:tcPr>
          <w:p w14:paraId="42A739A1"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1-2 hours</w:t>
            </w:r>
          </w:p>
        </w:tc>
        <w:tc>
          <w:tcPr>
            <w:tcW w:w="0" w:type="auto"/>
            <w:tcMar>
              <w:top w:w="150" w:type="dxa"/>
              <w:left w:w="240" w:type="dxa"/>
              <w:bottom w:w="150" w:type="dxa"/>
              <w:right w:w="240" w:type="dxa"/>
            </w:tcMar>
            <w:vAlign w:val="center"/>
            <w:hideMark/>
          </w:tcPr>
          <w:p w14:paraId="245AADF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Multiple pathogens simultaneously</w:t>
            </w:r>
          </w:p>
        </w:tc>
        <w:tc>
          <w:tcPr>
            <w:tcW w:w="0" w:type="auto"/>
            <w:tcMar>
              <w:top w:w="150" w:type="dxa"/>
              <w:left w:w="240" w:type="dxa"/>
              <w:bottom w:w="150" w:type="dxa"/>
              <w:right w:w="240" w:type="dxa"/>
            </w:tcMar>
            <w:vAlign w:val="center"/>
            <w:hideMark/>
          </w:tcPr>
          <w:p w14:paraId="45D13D8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Limited pathogen menu</w:t>
            </w:r>
          </w:p>
        </w:tc>
        <w:tc>
          <w:tcPr>
            <w:tcW w:w="0" w:type="auto"/>
            <w:tcMar>
              <w:top w:w="150" w:type="dxa"/>
              <w:left w:w="240" w:type="dxa"/>
              <w:bottom w:w="150" w:type="dxa"/>
              <w:right w:w="0" w:type="dxa"/>
            </w:tcMar>
            <w:vAlign w:val="center"/>
            <w:hideMark/>
          </w:tcPr>
          <w:p w14:paraId="0731C7CC"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&gt;95%/&gt;98%</w:t>
            </w:r>
          </w:p>
        </w:tc>
      </w:tr>
      <w:tr w:rsidR="005331D0" w:rsidRPr="005331D0" w14:paraId="7CA77021" w14:textId="77777777" w:rsidTr="000A0845">
        <w:tc>
          <w:tcPr>
            <w:tcW w:w="2335" w:type="dxa"/>
            <w:tcMar>
              <w:top w:w="150" w:type="dxa"/>
              <w:left w:w="0" w:type="dxa"/>
              <w:bottom w:w="150" w:type="dxa"/>
              <w:right w:w="240" w:type="dxa"/>
            </w:tcMar>
            <w:vAlign w:val="center"/>
            <w:hideMark/>
          </w:tcPr>
          <w:p w14:paraId="481919A2" w14:textId="77777777" w:rsidR="005331D0" w:rsidRPr="005331D0" w:rsidRDefault="005331D0" w:rsidP="00945488">
            <w:pPr>
              <w:jc w:val="center"/>
              <w:rPr>
                <w:rFonts w:ascii="Times New Roman" w:hAnsi="Times New Roman" w:cs="Times New Roman"/>
                <w:sz w:val="22"/>
                <w:szCs w:val="22"/>
              </w:rPr>
            </w:pPr>
            <w:r w:rsidRPr="005331D0">
              <w:rPr>
                <w:rFonts w:ascii="Times New Roman" w:hAnsi="Times New Roman" w:cs="Times New Roman"/>
                <w:b/>
                <w:bCs/>
                <w:sz w:val="22"/>
                <w:szCs w:val="22"/>
              </w:rPr>
              <w:t>mNGS</w:t>
            </w:r>
          </w:p>
        </w:tc>
        <w:tc>
          <w:tcPr>
            <w:tcW w:w="1202" w:type="dxa"/>
            <w:tcMar>
              <w:top w:w="150" w:type="dxa"/>
              <w:left w:w="240" w:type="dxa"/>
              <w:bottom w:w="150" w:type="dxa"/>
              <w:right w:w="240" w:type="dxa"/>
            </w:tcMar>
            <w:vAlign w:val="center"/>
            <w:hideMark/>
          </w:tcPr>
          <w:p w14:paraId="05F94175"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24-48 hours</w:t>
            </w:r>
          </w:p>
        </w:tc>
        <w:tc>
          <w:tcPr>
            <w:tcW w:w="0" w:type="auto"/>
            <w:tcMar>
              <w:top w:w="150" w:type="dxa"/>
              <w:left w:w="240" w:type="dxa"/>
              <w:bottom w:w="150" w:type="dxa"/>
              <w:right w:w="240" w:type="dxa"/>
            </w:tcMar>
            <w:vAlign w:val="center"/>
            <w:hideMark/>
          </w:tcPr>
          <w:p w14:paraId="4650E4A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Unbiased, novel pathogen detection</w:t>
            </w:r>
          </w:p>
        </w:tc>
        <w:tc>
          <w:tcPr>
            <w:tcW w:w="0" w:type="auto"/>
            <w:tcMar>
              <w:top w:w="150" w:type="dxa"/>
              <w:left w:w="240" w:type="dxa"/>
              <w:bottom w:w="150" w:type="dxa"/>
              <w:right w:w="240" w:type="dxa"/>
            </w:tcMar>
            <w:vAlign w:val="center"/>
            <w:hideMark/>
          </w:tcPr>
          <w:p w14:paraId="286152AF"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Cost, bioinformatics expertise</w:t>
            </w:r>
          </w:p>
        </w:tc>
        <w:tc>
          <w:tcPr>
            <w:tcW w:w="0" w:type="auto"/>
            <w:tcMar>
              <w:top w:w="150" w:type="dxa"/>
              <w:left w:w="240" w:type="dxa"/>
              <w:bottom w:w="150" w:type="dxa"/>
              <w:right w:w="0" w:type="dxa"/>
            </w:tcMar>
            <w:vAlign w:val="center"/>
            <w:hideMark/>
          </w:tcPr>
          <w:p w14:paraId="38ADBFE4"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&gt;99%/&gt;99%</w:t>
            </w:r>
          </w:p>
        </w:tc>
      </w:tr>
      <w:tr w:rsidR="005331D0" w:rsidRPr="005331D0" w14:paraId="570AA0B6" w14:textId="77777777" w:rsidTr="000A0845">
        <w:tc>
          <w:tcPr>
            <w:tcW w:w="2335" w:type="dxa"/>
            <w:tcMar>
              <w:top w:w="150" w:type="dxa"/>
              <w:left w:w="0" w:type="dxa"/>
              <w:bottom w:w="150" w:type="dxa"/>
              <w:right w:w="240" w:type="dxa"/>
            </w:tcMar>
            <w:vAlign w:val="center"/>
            <w:hideMark/>
          </w:tcPr>
          <w:p w14:paraId="3E85AE2E" w14:textId="77777777" w:rsidR="005331D0" w:rsidRPr="005331D0" w:rsidRDefault="005331D0" w:rsidP="00945488">
            <w:pPr>
              <w:ind w:right="-207"/>
              <w:jc w:val="center"/>
              <w:rPr>
                <w:rFonts w:ascii="Times New Roman" w:hAnsi="Times New Roman" w:cs="Times New Roman"/>
                <w:sz w:val="22"/>
                <w:szCs w:val="22"/>
              </w:rPr>
            </w:pPr>
            <w:r w:rsidRPr="005331D0">
              <w:rPr>
                <w:rFonts w:ascii="Times New Roman" w:hAnsi="Times New Roman" w:cs="Times New Roman"/>
                <w:b/>
                <w:bCs/>
                <w:sz w:val="22"/>
                <w:szCs w:val="22"/>
              </w:rPr>
              <w:t>Immunofluorescence</w:t>
            </w:r>
          </w:p>
        </w:tc>
        <w:tc>
          <w:tcPr>
            <w:tcW w:w="1202" w:type="dxa"/>
            <w:tcMar>
              <w:top w:w="150" w:type="dxa"/>
              <w:left w:w="240" w:type="dxa"/>
              <w:bottom w:w="150" w:type="dxa"/>
              <w:right w:w="240" w:type="dxa"/>
            </w:tcMar>
            <w:vAlign w:val="center"/>
            <w:hideMark/>
          </w:tcPr>
          <w:p w14:paraId="2977EEDB"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2-3 hours</w:t>
            </w:r>
          </w:p>
        </w:tc>
        <w:tc>
          <w:tcPr>
            <w:tcW w:w="0" w:type="auto"/>
            <w:tcMar>
              <w:top w:w="150" w:type="dxa"/>
              <w:left w:w="240" w:type="dxa"/>
              <w:bottom w:w="150" w:type="dxa"/>
              <w:right w:w="240" w:type="dxa"/>
            </w:tcMar>
            <w:vAlign w:val="center"/>
            <w:hideMark/>
          </w:tcPr>
          <w:p w14:paraId="791320B8"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Visual confirmation</w:t>
            </w:r>
          </w:p>
        </w:tc>
        <w:tc>
          <w:tcPr>
            <w:tcW w:w="0" w:type="auto"/>
            <w:tcMar>
              <w:top w:w="150" w:type="dxa"/>
              <w:left w:w="240" w:type="dxa"/>
              <w:bottom w:w="150" w:type="dxa"/>
              <w:right w:w="240" w:type="dxa"/>
            </w:tcMar>
            <w:vAlign w:val="center"/>
            <w:hideMark/>
          </w:tcPr>
          <w:p w14:paraId="6DDB38E3"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Lower sensitivity than PCR</w:t>
            </w:r>
          </w:p>
        </w:tc>
        <w:tc>
          <w:tcPr>
            <w:tcW w:w="0" w:type="auto"/>
            <w:tcMar>
              <w:top w:w="150" w:type="dxa"/>
              <w:left w:w="240" w:type="dxa"/>
              <w:bottom w:w="150" w:type="dxa"/>
              <w:right w:w="0" w:type="dxa"/>
            </w:tcMar>
            <w:vAlign w:val="center"/>
            <w:hideMark/>
          </w:tcPr>
          <w:p w14:paraId="0E225B06" w14:textId="77777777" w:rsidR="005331D0" w:rsidRPr="005331D0" w:rsidRDefault="005331D0" w:rsidP="00945488">
            <w:pPr>
              <w:jc w:val="both"/>
              <w:rPr>
                <w:rFonts w:ascii="Times New Roman" w:hAnsi="Times New Roman" w:cs="Times New Roman"/>
                <w:sz w:val="22"/>
                <w:szCs w:val="22"/>
              </w:rPr>
            </w:pPr>
            <w:r w:rsidRPr="005331D0">
              <w:rPr>
                <w:rFonts w:ascii="Times New Roman" w:hAnsi="Times New Roman" w:cs="Times New Roman"/>
                <w:sz w:val="22"/>
                <w:szCs w:val="22"/>
              </w:rPr>
              <w:t>70-80%/95%</w:t>
            </w:r>
          </w:p>
        </w:tc>
      </w:tr>
    </w:tbl>
    <w:p w14:paraId="49851D1B" w14:textId="45306B76" w:rsidR="000A0845" w:rsidRDefault="006E4F58" w:rsidP="00945488">
      <w:pPr>
        <w:jc w:val="both"/>
        <w:rPr>
          <w:rFonts w:ascii="Times New Roman" w:hAnsi="Times New Roman" w:cs="Times New Roman"/>
          <w:sz w:val="22"/>
          <w:szCs w:val="22"/>
        </w:rPr>
      </w:pPr>
      <w:r w:rsidRPr="006E4F58">
        <w:rPr>
          <w:rFonts w:ascii="Times New Roman" w:hAnsi="Times New Roman" w:cs="Times New Roman"/>
          <w:sz w:val="22"/>
          <w:szCs w:val="22"/>
        </w:rPr>
        <w:t xml:space="preserve">A dramatic transformation of the concept of PAM diagnosis has taken place, wherein molecular methods have made a breakthrough in the rapid diagnosis of the disease. </w:t>
      </w:r>
      <w:r w:rsidR="000A0845" w:rsidRPr="000A0845">
        <w:rPr>
          <w:rFonts w:ascii="Times New Roman" w:hAnsi="Times New Roman" w:cs="Times New Roman"/>
          <w:sz w:val="22"/>
          <w:szCs w:val="22"/>
        </w:rPr>
        <w:t xml:space="preserve">One of the major advances in this area is the incorporation of mNGS in the clinical setting; however, it is still only available at a few highly </w:t>
      </w:r>
      <w:r w:rsidR="000A0845" w:rsidRPr="000A0845">
        <w:rPr>
          <w:rFonts w:ascii="Times New Roman" w:hAnsi="Times New Roman" w:cs="Times New Roman"/>
          <w:sz w:val="22"/>
          <w:szCs w:val="22"/>
        </w:rPr>
        <w:lastRenderedPageBreak/>
        <w:t>specialized centers. Among the possible future developments are rapid point-of-care tests that could lead to timely diagnosis and intervention in resource-poor areas suffering from the increasing incidence of PAM.</w:t>
      </w:r>
    </w:p>
    <w:p w14:paraId="0B1332E9" w14:textId="77777777" w:rsidR="00F86882" w:rsidRDefault="00F86882" w:rsidP="00945488">
      <w:pPr>
        <w:jc w:val="both"/>
        <w:rPr>
          <w:rFonts w:ascii="Times New Roman" w:hAnsi="Times New Roman" w:cs="Times New Roman"/>
          <w:sz w:val="22"/>
          <w:szCs w:val="22"/>
        </w:rPr>
      </w:pPr>
    </w:p>
    <w:p w14:paraId="166516C9" w14:textId="416D4B02"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7</w:t>
      </w:r>
      <w:r w:rsidR="00727819" w:rsidRPr="00AE470E">
        <w:rPr>
          <w:rFonts w:ascii="Times New Roman" w:hAnsi="Times New Roman" w:cs="Times New Roman"/>
          <w:b/>
          <w:bCs/>
          <w:sz w:val="26"/>
          <w:szCs w:val="26"/>
        </w:rPr>
        <w:t xml:space="preserve">. Therapeutics &amp; Management </w:t>
      </w:r>
      <w:r w:rsidR="00FF29B2">
        <w:rPr>
          <w:rFonts w:ascii="Times New Roman" w:hAnsi="Times New Roman" w:cs="Times New Roman"/>
          <w:sz w:val="22"/>
          <w:szCs w:val="22"/>
        </w:rPr>
        <w:br/>
      </w:r>
      <w:r w:rsidR="00FF29B2" w:rsidRPr="00FF29B2">
        <w:rPr>
          <w:rFonts w:ascii="Times New Roman" w:hAnsi="Times New Roman" w:cs="Times New Roman"/>
          <w:sz w:val="22"/>
          <w:szCs w:val="22"/>
        </w:rPr>
        <w:t>The management of PAM has gone from a uniformly fatal prognosis to one with a chance of survival, depending upon extremely early and aggressive intervention. Today, the treatment consists of multi-drug antimicrobial therapy and intensive neurological support, while the research is concentrated on new delivery systems and drug discovery that would allow us to get over the existing barriers.</w:t>
      </w:r>
    </w:p>
    <w:p w14:paraId="1164AF9B" w14:textId="65F8D217" w:rsidR="00727819" w:rsidRPr="00E45897" w:rsidRDefault="00AD5FD4" w:rsidP="00945488">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Standard of Care</w:t>
      </w:r>
      <w:r w:rsidR="00727819" w:rsidRPr="00727819">
        <w:rPr>
          <w:rFonts w:ascii="Times New Roman" w:hAnsi="Times New Roman" w:cs="Times New Roman"/>
          <w:sz w:val="22"/>
          <w:szCs w:val="22"/>
        </w:rPr>
        <w:br/>
      </w:r>
      <w:r w:rsidR="000378FF" w:rsidRPr="000378FF">
        <w:rPr>
          <w:rFonts w:ascii="Times New Roman" w:hAnsi="Times New Roman" w:cs="Times New Roman"/>
          <w:sz w:val="22"/>
          <w:szCs w:val="22"/>
        </w:rPr>
        <w:t>The de-oxycholate form of amphotericin B has been considered the drug of choice for treating PAM but it is now used only as a constituent of combination therapy as opposed to monotherapy</w:t>
      </w:r>
      <w:r w:rsidR="000378FF">
        <w:rPr>
          <w:rFonts w:ascii="Times New Roman" w:hAnsi="Times New Roman" w:cs="Times New Roman"/>
          <w:sz w:val="22"/>
          <w:szCs w:val="22"/>
        </w:rPr>
        <w:t xml:space="preserve">. </w:t>
      </w:r>
      <w:r w:rsidR="000A0845" w:rsidRPr="000A0845">
        <w:rPr>
          <w:rFonts w:ascii="Times New Roman" w:hAnsi="Times New Roman" w:cs="Times New Roman"/>
          <w:sz w:val="22"/>
          <w:szCs w:val="22"/>
        </w:rPr>
        <w:t>This polyene antifungal drug kills the amoeba by forming openings in its cell membrane, which are created by the drug's binding to ergosterol. It also leads to osmotic lysis and cell death. The standard therapy comprises both intravenous and intrathecal routes as a way to bypass the limited blood-brain barrier penetration of the systemic drug. Conversely, the usage of amphotericin B remains very limited as a result of its serious adverse effects, like nephrotoxicity, which is dose-related, disturbances in electrolytes, and reactions tied to infusion. Moreover, despite high dosing, treatment failures are still very often occurring, thus requiring combination treatments and innovative therapeutic strategies</w:t>
      </w:r>
      <w:r w:rsidR="00354901">
        <w:rPr>
          <w:rFonts w:ascii="Times New Roman" w:hAnsi="Times New Roman" w:cs="Times New Roman"/>
          <w:sz w:val="22"/>
          <w:szCs w:val="22"/>
        </w:rPr>
        <w:t>.</w:t>
      </w:r>
    </w:p>
    <w:p w14:paraId="58D34206" w14:textId="5BCEA031"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The Modern Combinatorial Approach</w:t>
      </w:r>
      <w:r w:rsidR="00727819" w:rsidRPr="00E45897">
        <w:rPr>
          <w:rFonts w:ascii="Times New Roman" w:hAnsi="Times New Roman" w:cs="Times New Roman"/>
          <w:sz w:val="22"/>
          <w:szCs w:val="22"/>
        </w:rPr>
        <w:br/>
      </w:r>
      <w:r w:rsidR="000378FF" w:rsidRPr="008E6FE6">
        <w:rPr>
          <w:rFonts w:ascii="Times New Roman" w:hAnsi="Times New Roman" w:cs="Times New Roman"/>
          <w:sz w:val="22"/>
          <w:szCs w:val="22"/>
        </w:rPr>
        <w:t xml:space="preserve">The unsatisfactory results obtained with monotherapy have brought about the use of multi-drug regimens. The latest findings endorse the commencement of combination therapy within 48 hours of the appearance of symptoms </w:t>
      </w:r>
      <w:r w:rsidR="008E6FE6" w:rsidRPr="008E6FE6">
        <w:rPr>
          <w:rFonts w:ascii="Times New Roman" w:hAnsi="Times New Roman" w:cs="Times New Roman"/>
          <w:sz w:val="22"/>
          <w:szCs w:val="22"/>
        </w:rPr>
        <w:fldChar w:fldCharType="begin"/>
      </w:r>
      <w:r w:rsidR="008E6FE6" w:rsidRPr="008E6FE6">
        <w:rPr>
          <w:rFonts w:ascii="Times New Roman" w:hAnsi="Times New Roman" w:cs="Times New Roman"/>
          <w:sz w:val="22"/>
          <w:szCs w:val="22"/>
        </w:rPr>
        <w:instrText xml:space="preserve"> ADDIN ZOTERO_ITEM CSL_CITATION {"citationID":"5qVsrsKS","properties":{"formattedCitation":"(Heggie &amp; K\\uc0\\u252{}pper, 2017)","plainCitation":"(Heggie &amp; Küpper, 2017)","noteIndex":0},"citationItems":[{"id":837,"uris":["http://zotero.org/users/18073969/items/EE5TBCTN"],"itemData":{"id":837,"type":"article-journal","container-title":"Travel Medicine and Infectious Disease","DOI":"10.1016/j.tmaid.2016.12.005","ISSN":"14778939","journalAbbreviation":"Travel Medicine and Infectious Disease","language":"en","page":"49-51","source":"DOI.org (Crossref)","title":"Surviving Naegleria fowleri infections: A successful case report and novel therapeutic approach","title-short":"Surviving Naegleria fowleri infections","volume":"16","author":[{"family":"Heggie","given":"Travis W."},{"family":"Küpper","given":"Thomas"}],"issued":{"date-parts":[["2017",3]]}}}],"schema":"https://github.com/citation-style-language/schema/raw/master/csl-citation.json"} </w:instrText>
      </w:r>
      <w:r w:rsidR="008E6FE6" w:rsidRPr="008E6FE6">
        <w:rPr>
          <w:rFonts w:ascii="Times New Roman" w:hAnsi="Times New Roman" w:cs="Times New Roman"/>
          <w:sz w:val="22"/>
          <w:szCs w:val="22"/>
        </w:rPr>
        <w:fldChar w:fldCharType="separate"/>
      </w:r>
      <w:r w:rsidR="008E6FE6" w:rsidRPr="008E6FE6">
        <w:rPr>
          <w:rFonts w:ascii="Times New Roman" w:hAnsi="Times New Roman" w:cs="Times New Roman"/>
          <w:kern w:val="0"/>
          <w:sz w:val="22"/>
        </w:rPr>
        <w:t>(Heggie &amp; Küpper, 2017)</w:t>
      </w:r>
      <w:r w:rsidR="008E6FE6" w:rsidRPr="008E6FE6">
        <w:rPr>
          <w:rFonts w:ascii="Times New Roman" w:hAnsi="Times New Roman" w:cs="Times New Roman"/>
          <w:sz w:val="22"/>
          <w:szCs w:val="22"/>
        </w:rPr>
        <w:fldChar w:fldCharType="end"/>
      </w:r>
      <w:r w:rsidR="000378FF" w:rsidRPr="008E6FE6">
        <w:rPr>
          <w:rFonts w:ascii="Times New Roman" w:hAnsi="Times New Roman" w:cs="Times New Roman"/>
          <w:sz w:val="22"/>
          <w:szCs w:val="22"/>
        </w:rPr>
        <w:t>.</w:t>
      </w:r>
      <w:r w:rsidR="000378FF">
        <w:rPr>
          <w:rFonts w:ascii="Times New Roman" w:hAnsi="Times New Roman" w:cs="Times New Roman"/>
          <w:sz w:val="22"/>
          <w:szCs w:val="22"/>
        </w:rPr>
        <w:t xml:space="preserve"> </w:t>
      </w:r>
      <w:r w:rsidR="000A0845" w:rsidRPr="000A0845">
        <w:rPr>
          <w:rFonts w:ascii="Times New Roman" w:hAnsi="Times New Roman" w:cs="Times New Roman"/>
          <w:sz w:val="22"/>
          <w:szCs w:val="22"/>
        </w:rPr>
        <w:t xml:space="preserve">Today's protocols, based on current evidence, support starting combination therapy within 48 hours after symptoms appear. A thorough systematic review done in 2023 covering 28 confirmed cases of PAM found that using amphotericin B, miltefosine, and either azithromycin or fluconazole together greatly improved survival when compared to using only amphotericin B (survival rate 42.9% vs 3.7%, p&lt;0.001)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{"citationID":"gplfHixJ","properties":{"formattedCitation":"(Pitman-Hunt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851590">
        <w:rPr>
          <w:rFonts w:ascii="Times New Roman" w:hAnsi="Times New Roman" w:cs="Times New Roman"/>
          <w:sz w:val="22"/>
          <w:szCs w:val="22"/>
        </w:rPr>
        <w:fldChar w:fldCharType="end"/>
      </w:r>
      <w:r w:rsidR="000A0845" w:rsidRPr="000A0845">
        <w:rPr>
          <w:rFonts w:ascii="Times New Roman" w:hAnsi="Times New Roman" w:cs="Times New Roman"/>
          <w:sz w:val="22"/>
          <w:szCs w:val="22"/>
        </w:rPr>
        <w:t>. The combinations' synergistic effect stems from their complementary actions: amphotericin B affects membrane stability, miltefosine causes cell death similar to apoptosis, while azithromycin prevents protein synthesis, and fluconazole hinders the production of ergosterol. In addition, the current treatment procedures stress providing aggressive supportive care that includes intracranial pressure management, seizure prophylaxis, and management of the systemic inflammatory response, which have been linked with better neurological outcomes in survivors.</w:t>
      </w:r>
    </w:p>
    <w:p w14:paraId="3CF58155" w14:textId="77777777"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t>In spite of the better effectiveness of combination therapies, their global usage is still facing many challenges. The availability of miltefosine is usually through special regulatory pathways (like the CDC in the US), and in resource-poor regions where PAM is developing, access can be delayed. On top of that, the requirement for both intrathecal amphotericin B treatment and cooling down patients means that specialized neurological intensive care is needed, which is not available everywhere and thus leads to a critical difference in treatment outcomes across various healthcare systems.</w:t>
      </w:r>
    </w:p>
    <w:p w14:paraId="56557136" w14:textId="5DFA7DB1" w:rsidR="000A0845" w:rsidRPr="000A0845" w:rsidRDefault="00AD5FD4" w:rsidP="000A0845">
      <w:pPr>
        <w:jc w:val="both"/>
        <w:rPr>
          <w:rFonts w:ascii="Times New Roman" w:hAnsi="Times New Roman" w:cs="Times New Roman"/>
          <w:sz w:val="22"/>
          <w:szCs w:val="22"/>
        </w:rPr>
      </w:pPr>
      <w:r>
        <w:rPr>
          <w:rFonts w:ascii="Times New Roman" w:hAnsi="Times New Roman" w:cs="Times New Roman"/>
          <w:b/>
          <w:bCs/>
        </w:rPr>
        <w:t>7</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The Cutting Edge (2020-2025)</w:t>
      </w:r>
      <w:r w:rsidR="00727819" w:rsidRPr="00727819">
        <w:rPr>
          <w:rFonts w:ascii="Times New Roman" w:hAnsi="Times New Roman" w:cs="Times New Roman"/>
          <w:sz w:val="22"/>
          <w:szCs w:val="22"/>
        </w:rPr>
        <w:br/>
      </w:r>
      <w:r w:rsidR="000A0845" w:rsidRPr="000A0845">
        <w:rPr>
          <w:rFonts w:ascii="Times New Roman" w:hAnsi="Times New Roman" w:cs="Times New Roman"/>
          <w:sz w:val="22"/>
          <w:szCs w:val="22"/>
        </w:rPr>
        <w:t>New ways of approaching therapy have been the main focus of research by eliminating the drawbacks of conventional methods:</w:t>
      </w:r>
    </w:p>
    <w:p w14:paraId="26E518D5" w14:textId="276DE1EF" w:rsidR="000A0845" w:rsidRDefault="000A0845" w:rsidP="000A0845">
      <w:pPr>
        <w:jc w:val="both"/>
        <w:rPr>
          <w:rFonts w:ascii="Times New Roman" w:hAnsi="Times New Roman" w:cs="Times New Roman"/>
          <w:sz w:val="22"/>
          <w:szCs w:val="22"/>
        </w:rPr>
      </w:pPr>
      <w:r w:rsidRPr="000A0845">
        <w:rPr>
          <w:rFonts w:ascii="Times New Roman" w:hAnsi="Times New Roman" w:cs="Times New Roman"/>
          <w:sz w:val="22"/>
          <w:szCs w:val="22"/>
        </w:rPr>
        <w:lastRenderedPageBreak/>
        <w:t xml:space="preserve">Drug delivery systems based on nanoparticles are a very good solution to get amoebicidal agents to penetrate the brain better. Nanomedicine has shown great progress in terms of improving drug bioavailability in the central nervous system, much better with the use of surface-modified nanoparticles. A 2024 report revealed that polymeric nanoparticles with amphotericin B attained brain concentrations 3.5 times greater than those produced by traditional formulations, and at the same time, 60% less renal toxicity was observed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{"citationID":"PqAJWnIc","properties":{"formattedCitation":"(Hu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851590">
        <w:rPr>
          <w:rFonts w:ascii="Times New Roman" w:hAnsi="Times New Roman" w:cs="Times New Roman"/>
          <w:sz w:val="22"/>
          <w:szCs w:val="22"/>
        </w:rPr>
        <w:fldChar w:fldCharType="end"/>
      </w:r>
      <w:r w:rsidRPr="000A0845">
        <w:rPr>
          <w:rFonts w:ascii="Times New Roman" w:hAnsi="Times New Roman" w:cs="Times New Roman"/>
          <w:sz w:val="22"/>
          <w:szCs w:val="22"/>
        </w:rPr>
        <w:t>. Targeting ligands can be attached to the nanocarriers that make them penetrate the blood-brain barrier through receptor-mediated transcytosis, thus giving a sophisticated approach to overcoming the primary obstacle of drug resistance.</w:t>
      </w:r>
    </w:p>
    <w:p w14:paraId="3ECEE342" w14:textId="1B640374" w:rsidR="000A0845" w:rsidRDefault="002503DC" w:rsidP="000A0845">
      <w:pPr>
        <w:jc w:val="both"/>
        <w:rPr>
          <w:rFonts w:ascii="Times New Roman" w:hAnsi="Times New Roman" w:cs="Times New Roman"/>
          <w:sz w:val="22"/>
          <w:szCs w:val="22"/>
        </w:rPr>
      </w:pPr>
      <w:r w:rsidRPr="002503DC">
        <w:rPr>
          <w:rFonts w:ascii="Times New Roman" w:hAnsi="Times New Roman" w:cs="Times New Roman"/>
          <w:sz w:val="22"/>
          <w:szCs w:val="22"/>
        </w:rPr>
        <w:t xml:space="preserve">This method is in agreement with the vast and cross-disease approach of precision nanomedicine. As elaborated and synthesized by </w:t>
      </w:r>
      <w:r w:rsidR="00EE2C81">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{"citationID":"nOQCcdtM","properties":{"formattedCitation":"(Ali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EE2C81">
        <w:rPr>
          <w:rFonts w:ascii="Times New Roman" w:hAnsi="Times New Roman" w:cs="Times New Roman"/>
          <w:sz w:val="22"/>
          <w:szCs w:val="22"/>
        </w:rPr>
        <w:fldChar w:fldCharType="separate"/>
      </w:r>
      <w:r w:rsidR="00EE2C81" w:rsidRPr="00EE2C81">
        <w:rPr>
          <w:rFonts w:ascii="Times New Roman" w:hAnsi="Times New Roman" w:cs="Times New Roman"/>
          <w:sz w:val="22"/>
        </w:rPr>
        <w:t>(Ali et al., 2025)</w:t>
      </w:r>
      <w:r w:rsidR="00EE2C81">
        <w:rPr>
          <w:rFonts w:ascii="Times New Roman" w:hAnsi="Times New Roman" w:cs="Times New Roman"/>
          <w:sz w:val="22"/>
          <w:szCs w:val="22"/>
        </w:rPr>
        <w:fldChar w:fldCharType="end"/>
      </w:r>
      <w:r w:rsidRPr="002503DC">
        <w:rPr>
          <w:rFonts w:ascii="Times New Roman" w:hAnsi="Times New Roman" w:cs="Times New Roman"/>
          <w:sz w:val="22"/>
          <w:szCs w:val="22"/>
        </w:rPr>
        <w:t xml:space="preserve">, the combination of artificial intelligence (AI) with multi-omics data is changing the way of designing nanocarriers in oncology and cardiovascular diseases. Utilizing this holistic approach to PAM may lead to the creation of "smart" nanoparticles for </w:t>
      </w:r>
      <w:r w:rsidRPr="008E6FE6">
        <w:rPr>
          <w:rFonts w:ascii="Times New Roman" w:hAnsi="Times New Roman" w:cs="Times New Roman"/>
          <w:i/>
          <w:iCs/>
          <w:sz w:val="22"/>
          <w:szCs w:val="22"/>
        </w:rPr>
        <w:t>N. fowleri</w:t>
      </w:r>
      <w:r w:rsidRPr="002503DC">
        <w:rPr>
          <w:rFonts w:ascii="Times New Roman" w:hAnsi="Times New Roman" w:cs="Times New Roman"/>
          <w:sz w:val="22"/>
          <w:szCs w:val="22"/>
        </w:rPr>
        <w:t>, where AI algorithms select the best carriers according to the amoeba's proteomic profile, and multi-omics data facilitates delivery to the brain, thus enhancing therapeutic efficacy and reducing systemic toxicity to the lowest level.</w:t>
      </w:r>
      <w:r>
        <w:rPr>
          <w:rFonts w:ascii="Times New Roman" w:hAnsi="Times New Roman" w:cs="Times New Roman"/>
          <w:sz w:val="22"/>
          <w:szCs w:val="22"/>
        </w:rPr>
        <w:t xml:space="preserve"> </w:t>
      </w:r>
      <w:r w:rsidR="008E6FE6" w:rsidRPr="008E6FE6">
        <w:rPr>
          <w:rFonts w:ascii="Times New Roman" w:hAnsi="Times New Roman" w:cs="Times New Roman"/>
          <w:sz w:val="22"/>
          <w:szCs w:val="22"/>
        </w:rPr>
        <w:t>In drug formulations, nanoparticles as delivery systems have shown potential for raising the ability of anti-amoebic drugs to pass through the central nervous system. Nomadic carriers have been able to improve the bioavailability of the brain, which is seen in the early studies, however, the use of such applications in clinics is still a subject of investigation</w:t>
      </w:r>
      <w:r w:rsidR="008E6FE6">
        <w:rPr>
          <w:rFonts w:ascii="Times New Roman" w:hAnsi="Times New Roman" w:cs="Times New Roman"/>
          <w:sz w:val="22"/>
          <w:szCs w:val="22"/>
        </w:rPr>
        <w:t xml:space="preserve">. </w:t>
      </w:r>
      <w:r w:rsidR="008E6FE6" w:rsidRPr="00AB2801">
        <w:rPr>
          <w:rFonts w:ascii="Times New Roman" w:hAnsi="Times New Roman" w:cs="Times New Roman"/>
          <w:sz w:val="22"/>
          <w:szCs w:val="22"/>
        </w:rPr>
        <w:t xml:space="preserve">The usage of artificial intelligence in drug discovery has the potential to lead to the discovery of new therapeutic candidates. Early trials that utilized computational screening have proposed compounds with predicted activity against N. fowleri, but these results need to be confirmed through laboratory tests </w:t>
      </w:r>
      <w:r w:rsidR="00AB2801" w:rsidRPr="00AB2801">
        <w:rPr>
          <w:rFonts w:ascii="Times New Roman" w:hAnsi="Times New Roman" w:cs="Times New Roman"/>
          <w:sz w:val="22"/>
          <w:szCs w:val="22"/>
        </w:rPr>
        <w:fldChar w:fldCharType="begin"/>
      </w:r>
      <w:r w:rsidR="00AB2801" w:rsidRPr="00AB2801">
        <w:rPr>
          <w:rFonts w:ascii="Times New Roman" w:hAnsi="Times New Roman" w:cs="Times New Roman"/>
          <w:sz w:val="22"/>
          <w:szCs w:val="22"/>
        </w:rPr>
        <w:instrText xml:space="preserve"> ADDIN ZOTERO_ITEM CSL_CITATION {"citationID":"bLHHW71i","properties":{"formattedCitation":"(Jahangeer et al., 2020)","plainCitation":"(Jahangeer et al., 2020)","noteIndex":0},"citationItems":[{"id":838,"uris":["http://zotero.org/users/18073969/items/47MPPCFE"],"itemData":{"id":838,"type":"article-journal","abstract":"Abstract\n            \n              Naegleria fowleri,\n              a thermophilic flagellate amoeba known as a “brain‐eating” amoeba, is the aetiological agent of a perilous and devastating waterborne disease known as primary amoebic meningoencephalitis (PAM), both in humans as well as in animals. PAM is a rare but fatal disease affecting young adults all around the world, particularly in the developed world but recently reported from developing countries, with 95%–99% mortality rate. Swimmers and divers are at high risk of PAM as the warm water is the most propitious environment adapted by\n              N. fowleri\n              to cause this infection. Infective amoeba in the trophozoite phase enter the victim's body through the nose, crossing the cribriform plate to reach the human brain and cause severe destruction of the central nervous system (CNS). The brain damage leads to brain haemorrhage and death occurs within 3–7 days in undiagnosed cases and maltreated cases. Though the exact pathogenesis of\n              N. fowleri\n              is still not known, it has exhibited two primary mechanisms, contact‐independent (brain damage through different proteins) and contact‐dependent (brain damage through surface structures food cups), that predominantly contribute to the pathogen invading the host CNS. For the management of this life‐threatening infection different treatment regimens have been applied but still the survival rate is only 5% which is ascribed to its misdiagnosis, as the PAM symptoms closely resembled bacterial meningitis. The main objectives of this review article are to compile data to explore the sources and routes of\n              N. fowleri\n              infection, its association in causing PAM along with its pathophysiology; latest techniques used for accurate diagnosis, management options along with challenges for Pakistan to control this drastic disorder.","container-title":"Clinical and Experimental Pharmacology and Physiology","DOI":"10.1111/1440-1681.13192","ISSN":"0305-1870, 1440-1681","issue":"2","journalAbbreviation":"Clin Exp Pharma Physio","language":"en","page":"199-212","source":"DOI.org (Crossref)","title":"&lt;i&gt;Naegleria fowleri&lt;/i&gt; : Sources of infection, pathophysiology, diagnosis, and management; a review","title-short":"&lt;i&gt;Naegleria fowleri&lt;/i&gt;","volume":"47","author":[{"family":"Jahangeer","given":"Muhammad"},{"family":"Mahmood","given":"Zahed"},{"family":"Munir","given":"Naveed"},{"family":"Waraich","given":"Umm‐e‐Amara"},{"family":"Tahir","given":"Imtiaz Mahmood"},{"family":"Akram","given":"Muhammad"},{"family":"Ali Shah","given":"Syed Muhammad"},{"family":"Zulfqar","given":"Ayesha"},{"family":"Zainab","given":"Rida"}],"issued":{"date-parts":[["2020",2]]}}}],"schema":"https://github.com/citation-style-language/schema/raw/master/csl-citation.json"} </w:instrText>
      </w:r>
      <w:r w:rsidR="00AB2801" w:rsidRPr="00AB2801">
        <w:rPr>
          <w:rFonts w:ascii="Times New Roman" w:hAnsi="Times New Roman" w:cs="Times New Roman"/>
          <w:sz w:val="22"/>
          <w:szCs w:val="22"/>
        </w:rPr>
        <w:fldChar w:fldCharType="separate"/>
      </w:r>
      <w:r w:rsidR="00AB2801" w:rsidRPr="00AB2801">
        <w:rPr>
          <w:rFonts w:ascii="Times New Roman" w:hAnsi="Times New Roman" w:cs="Times New Roman"/>
          <w:sz w:val="22"/>
        </w:rPr>
        <w:t>(Jahangeer et al., 2020)</w:t>
      </w:r>
      <w:r w:rsidR="00AB2801" w:rsidRPr="00AB2801">
        <w:rPr>
          <w:rFonts w:ascii="Times New Roman" w:hAnsi="Times New Roman" w:cs="Times New Roman"/>
          <w:sz w:val="22"/>
          <w:szCs w:val="22"/>
        </w:rPr>
        <w:fldChar w:fldCharType="end"/>
      </w:r>
      <w:r w:rsidR="00AB2801" w:rsidRPr="00AB2801">
        <w:rPr>
          <w:rFonts w:ascii="Times New Roman" w:hAnsi="Times New Roman" w:cs="Times New Roman"/>
          <w:sz w:val="22"/>
          <w:szCs w:val="22"/>
        </w:rPr>
        <w:t>.</w:t>
      </w:r>
      <w:r w:rsidR="000A0845" w:rsidRPr="000A0845">
        <w:rPr>
          <w:rFonts w:ascii="Times New Roman" w:hAnsi="Times New Roman" w:cs="Times New Roman"/>
          <w:sz w:val="22"/>
          <w:szCs w:val="22"/>
        </w:rPr>
        <w:t>The use of these computational techniques allows for quick and easy prediction of interactions between the drugs and the amoeba, which in turn cuts down the time for drug discovery from years to months. Some of the molecules that were identified by these methods are presently being tested in preclinical animal studies for PAM.</w:t>
      </w:r>
    </w:p>
    <w:p w14:paraId="6B58234F" w14:textId="7A94DA40" w:rsidR="00B13838" w:rsidRPr="00F86882" w:rsidRDefault="00B13838" w:rsidP="00945488">
      <w:pPr>
        <w:jc w:val="both"/>
        <w:rPr>
          <w:rFonts w:ascii="Times New Roman" w:hAnsi="Times New Roman" w:cs="Times New Roman"/>
          <w:sz w:val="22"/>
          <w:szCs w:val="22"/>
        </w:rPr>
      </w:pPr>
      <w:r w:rsidRPr="00B13838">
        <w:rPr>
          <w:rFonts w:ascii="Times New Roman" w:hAnsi="Times New Roman" w:cs="Times New Roman"/>
          <w:sz w:val="22"/>
          <w:szCs w:val="22"/>
        </w:rPr>
        <w:t xml:space="preserve">The list of other pioneering strategies encompasses the creation of monoclonal antibodies directed against the surface proteins of </w:t>
      </w:r>
      <w:r w:rsidRPr="00B13838">
        <w:rPr>
          <w:rFonts w:ascii="Times New Roman" w:hAnsi="Times New Roman" w:cs="Times New Roman"/>
          <w:i/>
          <w:iCs/>
          <w:sz w:val="22"/>
          <w:szCs w:val="22"/>
        </w:rPr>
        <w:t>N. fowleri,</w:t>
      </w:r>
      <w:r w:rsidRPr="00B13838">
        <w:rPr>
          <w:rFonts w:ascii="Times New Roman" w:hAnsi="Times New Roman" w:cs="Times New Roman"/>
          <w:sz w:val="22"/>
          <w:szCs w:val="22"/>
        </w:rPr>
        <w:t xml:space="preserve"> immunomodulators that improve macrophage-mediated amoebae clearance, and metabolic inhibitors that take advantage of the parasite’s energy metabolism through its distinctive features. As well, the gene silencing methodologies based on RNA interference are being researched in animal models for targeting the crucial </w:t>
      </w:r>
      <w:r w:rsidRPr="00B13838">
        <w:rPr>
          <w:rFonts w:ascii="Times New Roman" w:hAnsi="Times New Roman" w:cs="Times New Roman"/>
          <w:i/>
          <w:iCs/>
          <w:sz w:val="22"/>
          <w:szCs w:val="22"/>
        </w:rPr>
        <w:t xml:space="preserve">N. fowleri </w:t>
      </w:r>
      <w:r w:rsidRPr="00B13838">
        <w:rPr>
          <w:rFonts w:ascii="Times New Roman" w:hAnsi="Times New Roman" w:cs="Times New Roman"/>
          <w:sz w:val="22"/>
          <w:szCs w:val="22"/>
        </w:rPr>
        <w:t>genes.</w:t>
      </w:r>
    </w:p>
    <w:p w14:paraId="2CF62D39" w14:textId="647804AC" w:rsidR="00727819" w:rsidRPr="00727819" w:rsidRDefault="00727819" w:rsidP="00945488">
      <w:pPr>
        <w:jc w:val="both"/>
        <w:rPr>
          <w:rFonts w:ascii="Times New Roman" w:hAnsi="Times New Roman" w:cs="Times New Roman"/>
          <w:sz w:val="22"/>
          <w:szCs w:val="22"/>
        </w:rPr>
      </w:pPr>
      <w:r w:rsidRPr="00727819">
        <w:rPr>
          <w:rFonts w:ascii="Times New Roman" w:hAnsi="Times New Roman" w:cs="Times New Roman"/>
          <w:b/>
          <w:bCs/>
          <w:sz w:val="22"/>
          <w:szCs w:val="22"/>
        </w:rPr>
        <w:t>Table 3: Drug Regimens and Associated Survival Outcomes in Recent Cases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5"/>
        <w:gridCol w:w="2340"/>
        <w:gridCol w:w="900"/>
        <w:gridCol w:w="990"/>
        <w:gridCol w:w="2250"/>
        <w:gridCol w:w="1250"/>
      </w:tblGrid>
      <w:tr w:rsidR="006C2853" w:rsidRPr="00727819" w14:paraId="6E2C8EA3" w14:textId="77777777" w:rsidTr="00B13838">
        <w:trPr>
          <w:tblHeader/>
          <w:jc w:val="center"/>
        </w:trPr>
        <w:tc>
          <w:tcPr>
            <w:tcW w:w="1535" w:type="dxa"/>
            <w:tcMar>
              <w:top w:w="150" w:type="dxa"/>
              <w:left w:w="0" w:type="dxa"/>
              <w:bottom w:w="150" w:type="dxa"/>
              <w:right w:w="240" w:type="dxa"/>
            </w:tcMar>
            <w:vAlign w:val="center"/>
            <w:hideMark/>
          </w:tcPr>
          <w:p w14:paraId="7B31BB72"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Drug Combination</w:t>
            </w:r>
          </w:p>
        </w:tc>
        <w:tc>
          <w:tcPr>
            <w:tcW w:w="2340" w:type="dxa"/>
            <w:tcMar>
              <w:top w:w="150" w:type="dxa"/>
              <w:left w:w="240" w:type="dxa"/>
              <w:bottom w:w="150" w:type="dxa"/>
              <w:right w:w="240" w:type="dxa"/>
            </w:tcMar>
            <w:vAlign w:val="center"/>
            <w:hideMark/>
          </w:tcPr>
          <w:p w14:paraId="3DF0F927" w14:textId="77777777" w:rsidR="006C2853" w:rsidRPr="00727819" w:rsidRDefault="006C2853" w:rsidP="008F5C7E">
            <w:pPr>
              <w:ind w:hanging="48"/>
              <w:jc w:val="center"/>
              <w:rPr>
                <w:rFonts w:ascii="Times New Roman" w:hAnsi="Times New Roman" w:cs="Times New Roman"/>
                <w:sz w:val="22"/>
                <w:szCs w:val="22"/>
              </w:rPr>
            </w:pPr>
            <w:r w:rsidRPr="00727819">
              <w:rPr>
                <w:rFonts w:ascii="Times New Roman" w:hAnsi="Times New Roman" w:cs="Times New Roman"/>
                <w:sz w:val="22"/>
                <w:szCs w:val="22"/>
              </w:rPr>
              <w:t>Dosage</w:t>
            </w:r>
          </w:p>
        </w:tc>
        <w:tc>
          <w:tcPr>
            <w:tcW w:w="900" w:type="dxa"/>
            <w:tcMar>
              <w:top w:w="150" w:type="dxa"/>
              <w:left w:w="240" w:type="dxa"/>
              <w:bottom w:w="150" w:type="dxa"/>
              <w:right w:w="240" w:type="dxa"/>
            </w:tcMar>
            <w:vAlign w:val="center"/>
            <w:hideMark/>
          </w:tcPr>
          <w:p w14:paraId="60932701" w14:textId="6F6A0170" w:rsidR="006C2853" w:rsidRPr="00727819" w:rsidRDefault="006C2853" w:rsidP="00945488">
            <w:pPr>
              <w:ind w:left="-146" w:right="-160"/>
              <w:jc w:val="both"/>
              <w:rPr>
                <w:rFonts w:ascii="Times New Roman" w:hAnsi="Times New Roman" w:cs="Times New Roman"/>
                <w:sz w:val="22"/>
                <w:szCs w:val="22"/>
              </w:rPr>
            </w:pPr>
            <w:r>
              <w:rPr>
                <w:rFonts w:ascii="Times New Roman" w:hAnsi="Times New Roman" w:cs="Times New Roman"/>
                <w:sz w:val="22"/>
                <w:szCs w:val="22"/>
              </w:rPr>
              <w:br/>
            </w:r>
            <w:r w:rsidRPr="00727819">
              <w:rPr>
                <w:rFonts w:ascii="Times New Roman" w:hAnsi="Times New Roman" w:cs="Times New Roman"/>
                <w:sz w:val="22"/>
                <w:szCs w:val="22"/>
              </w:rPr>
              <w:t>Number of</w:t>
            </w:r>
            <w:r>
              <w:rPr>
                <w:rFonts w:ascii="Times New Roman" w:hAnsi="Times New Roman" w:cs="Times New Roman"/>
                <w:sz w:val="22"/>
                <w:szCs w:val="22"/>
              </w:rPr>
              <w:br/>
            </w:r>
            <w:r w:rsidRPr="00727819">
              <w:rPr>
                <w:rFonts w:ascii="Times New Roman" w:hAnsi="Times New Roman" w:cs="Times New Roman"/>
                <w:sz w:val="22"/>
                <w:szCs w:val="22"/>
              </w:rPr>
              <w:t>Cases</w:t>
            </w:r>
          </w:p>
        </w:tc>
        <w:tc>
          <w:tcPr>
            <w:tcW w:w="990" w:type="dxa"/>
            <w:tcMar>
              <w:top w:w="150" w:type="dxa"/>
              <w:left w:w="240" w:type="dxa"/>
              <w:bottom w:w="150" w:type="dxa"/>
              <w:right w:w="240" w:type="dxa"/>
            </w:tcMar>
            <w:vAlign w:val="center"/>
            <w:hideMark/>
          </w:tcPr>
          <w:p w14:paraId="084C4967" w14:textId="152E5D4E" w:rsidR="006C2853" w:rsidRPr="00727819" w:rsidRDefault="006C2853" w:rsidP="008F5C7E">
            <w:pPr>
              <w:ind w:left="-242" w:right="-324"/>
              <w:jc w:val="center"/>
              <w:rPr>
                <w:rFonts w:ascii="Times New Roman" w:hAnsi="Times New Roman" w:cs="Times New Roman"/>
                <w:sz w:val="22"/>
                <w:szCs w:val="22"/>
              </w:rPr>
            </w:pPr>
            <w:r w:rsidRPr="00727819">
              <w:rPr>
                <w:rFonts w:ascii="Times New Roman" w:hAnsi="Times New Roman" w:cs="Times New Roman"/>
                <w:sz w:val="22"/>
                <w:szCs w:val="22"/>
              </w:rPr>
              <w:t xml:space="preserve">Survival </w:t>
            </w:r>
            <w:r w:rsidR="003F20EF">
              <w:rPr>
                <w:rFonts w:ascii="Times New Roman" w:hAnsi="Times New Roman" w:cs="Times New Roman"/>
                <w:sz w:val="22"/>
                <w:szCs w:val="22"/>
              </w:rPr>
              <w:t xml:space="preserve">  </w:t>
            </w:r>
            <w:r w:rsidRPr="00727819">
              <w:rPr>
                <w:rFonts w:ascii="Times New Roman" w:hAnsi="Times New Roman" w:cs="Times New Roman"/>
                <w:sz w:val="22"/>
                <w:szCs w:val="22"/>
              </w:rPr>
              <w:t>Rate</w:t>
            </w:r>
          </w:p>
        </w:tc>
        <w:tc>
          <w:tcPr>
            <w:tcW w:w="2250" w:type="dxa"/>
          </w:tcPr>
          <w:p w14:paraId="1E09CB24" w14:textId="23438496" w:rsidR="006C2853" w:rsidRPr="006C2853" w:rsidRDefault="006C2853" w:rsidP="00945488">
            <w:pPr>
              <w:ind w:left="344" w:right="-19"/>
              <w:jc w:val="both"/>
              <w:rPr>
                <w:rFonts w:ascii="Times New Roman" w:hAnsi="Times New Roman" w:cs="Times New Roman"/>
                <w:sz w:val="22"/>
                <w:szCs w:val="22"/>
              </w:rPr>
            </w:pPr>
            <w:r w:rsidRPr="006C2853">
              <w:rPr>
                <w:rFonts w:ascii="Times New Roman" w:hAnsi="Times New Roman" w:cs="Times New Roman"/>
                <w:sz w:val="22"/>
                <w:szCs w:val="22"/>
              </w:rPr>
              <w:br/>
              <w:t>Key Limitations /</w:t>
            </w:r>
            <w:r w:rsidRPr="006C2853">
              <w:rPr>
                <w:rFonts w:ascii="Times New Roman" w:hAnsi="Times New Roman" w:cs="Times New Roman"/>
                <w:sz w:val="22"/>
                <w:szCs w:val="22"/>
              </w:rPr>
              <w:br/>
              <w:t xml:space="preserve"> Adverse Effects</w:t>
            </w:r>
          </w:p>
        </w:tc>
        <w:tc>
          <w:tcPr>
            <w:tcW w:w="1250" w:type="dxa"/>
            <w:tcMar>
              <w:top w:w="150" w:type="dxa"/>
              <w:left w:w="240" w:type="dxa"/>
              <w:bottom w:w="150" w:type="dxa"/>
              <w:right w:w="240" w:type="dxa"/>
            </w:tcMar>
            <w:vAlign w:val="center"/>
            <w:hideMark/>
          </w:tcPr>
          <w:p w14:paraId="71A8A771" w14:textId="294D8591"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Key References</w:t>
            </w:r>
          </w:p>
        </w:tc>
      </w:tr>
      <w:tr w:rsidR="006C2853" w:rsidRPr="00727819" w14:paraId="1C586806" w14:textId="77777777" w:rsidTr="00B13838">
        <w:trPr>
          <w:jc w:val="center"/>
        </w:trPr>
        <w:tc>
          <w:tcPr>
            <w:tcW w:w="1535" w:type="dxa"/>
            <w:tcMar>
              <w:top w:w="150" w:type="dxa"/>
              <w:left w:w="0" w:type="dxa"/>
              <w:bottom w:w="150" w:type="dxa"/>
              <w:right w:w="240" w:type="dxa"/>
            </w:tcMar>
            <w:vAlign w:val="center"/>
            <w:hideMark/>
          </w:tcPr>
          <w:p w14:paraId="3E68F555"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Azithromycin</w:t>
            </w:r>
          </w:p>
        </w:tc>
        <w:tc>
          <w:tcPr>
            <w:tcW w:w="2340" w:type="dxa"/>
            <w:tcMar>
              <w:top w:w="150" w:type="dxa"/>
              <w:left w:w="240" w:type="dxa"/>
              <w:bottom w:w="150" w:type="dxa"/>
              <w:right w:w="240" w:type="dxa"/>
            </w:tcMar>
            <w:vAlign w:val="center"/>
            <w:hideMark/>
          </w:tcPr>
          <w:p w14:paraId="5B9889EE"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 xml:space="preserve">Amphotericin B (IV 1.5 mg/kg/day + IT 1.5 mg/day), Miltefosine (50 mg </w:t>
            </w:r>
            <w:r w:rsidRPr="00727819">
              <w:rPr>
                <w:rFonts w:ascii="Times New Roman" w:hAnsi="Times New Roman" w:cs="Times New Roman"/>
                <w:sz w:val="22"/>
                <w:szCs w:val="22"/>
              </w:rPr>
              <w:lastRenderedPageBreak/>
              <w:t>TID), Azithromycin (10 mg/kg IV daily)</w:t>
            </w:r>
          </w:p>
        </w:tc>
        <w:tc>
          <w:tcPr>
            <w:tcW w:w="900" w:type="dxa"/>
            <w:tcMar>
              <w:top w:w="150" w:type="dxa"/>
              <w:left w:w="240" w:type="dxa"/>
              <w:bottom w:w="150" w:type="dxa"/>
              <w:right w:w="240" w:type="dxa"/>
            </w:tcMar>
            <w:vAlign w:val="center"/>
            <w:hideMark/>
          </w:tcPr>
          <w:p w14:paraId="05F05751"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lastRenderedPageBreak/>
              <w:t>8</w:t>
            </w:r>
          </w:p>
        </w:tc>
        <w:tc>
          <w:tcPr>
            <w:tcW w:w="990" w:type="dxa"/>
            <w:tcMar>
              <w:top w:w="150" w:type="dxa"/>
              <w:left w:w="240" w:type="dxa"/>
              <w:bottom w:w="150" w:type="dxa"/>
              <w:right w:w="240" w:type="dxa"/>
            </w:tcMar>
            <w:vAlign w:val="center"/>
            <w:hideMark/>
          </w:tcPr>
          <w:p w14:paraId="70526875"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37.5% (3/8)</w:t>
            </w:r>
          </w:p>
        </w:tc>
        <w:tc>
          <w:tcPr>
            <w:tcW w:w="2250" w:type="dxa"/>
          </w:tcPr>
          <w:p w14:paraId="6AB69C00" w14:textId="57E8A6B2"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 xml:space="preserve">Nephrotoxicity &amp; electrolyte disturbances from amphotericin B; gastrointestinal </w:t>
            </w:r>
            <w:r w:rsidRPr="006C2853">
              <w:rPr>
                <w:rFonts w:ascii="Times New Roman" w:hAnsi="Times New Roman" w:cs="Times New Roman"/>
                <w:sz w:val="22"/>
                <w:szCs w:val="22"/>
              </w:rPr>
              <w:lastRenderedPageBreak/>
              <w:t>intolerance from miltefosine.</w:t>
            </w:r>
          </w:p>
        </w:tc>
        <w:tc>
          <w:tcPr>
            <w:tcW w:w="1250" w:type="dxa"/>
            <w:tcMar>
              <w:top w:w="150" w:type="dxa"/>
              <w:left w:w="240" w:type="dxa"/>
              <w:bottom w:w="150" w:type="dxa"/>
              <w:right w:w="0" w:type="dxa"/>
            </w:tcMar>
            <w:vAlign w:val="center"/>
            <w:hideMark/>
          </w:tcPr>
          <w:p w14:paraId="247E4CE3" w14:textId="00839135" w:rsidR="00133201" w:rsidRPr="00727819" w:rsidRDefault="00354901" w:rsidP="00133201">
            <w:pPr>
              <w:rPr>
                <w:rFonts w:ascii="Times New Roman" w:hAnsi="Times New Roman" w:cs="Times New Roman"/>
                <w:sz w:val="22"/>
                <w:szCs w:val="22"/>
              </w:rPr>
            </w:pPr>
            <w:r>
              <w:rPr>
                <w:rFonts w:ascii="Times New Roman" w:hAnsi="Times New Roman" w:cs="Times New Roman"/>
                <w:sz w:val="22"/>
                <w:szCs w:val="22"/>
              </w:rPr>
              <w:lastRenderedPageBreak/>
              <w:fldChar w:fldCharType="begin"/>
            </w:r>
            <w:r>
              <w:rPr>
                <w:rFonts w:ascii="Times New Roman" w:hAnsi="Times New Roman" w:cs="Times New Roman"/>
                <w:sz w:val="22"/>
                <w:szCs w:val="22"/>
              </w:rPr>
              <w:instrText xml:space="preserve"> ADDIN ZOTERO_ITEM CSL_CITATION {"citationID":"vredZQvX","properties":{"formattedCitation":"(Heggie &amp; K\\uc0\\u252{}pper, 2017)","plainCitation":"(Heggie &amp; Küpper, 2017)","noteIndex":0},"citationItems":[{"id":837,"uris":["http://zotero.org/users/18073969/items/EE5TBCTN"],"itemData":{"id":837,"type":"article-journal","container-title":"Travel Medicine and Infectious Disease","DOI":"10.1016/j.tmaid.2016.12.005","ISSN":"14778939","journalAbbreviation":"Travel Medicine and Infectious Disease","language":"en","page":"49-51","source":"DOI.org (Crossref)","title":"Surviving Naegleria fowleri infections: A successful case report and novel therapeutic approach","title-short":"Surviving Naegleria fowleri infections","volume":"16","author":[{"family":"Heggie","given":"Travis W."},{"family":"Küpper","given":"Thomas"}],"issued":{"date-parts":[["2017",3]]}}}],"schema":"https://github.com/citation-style-language/schema/raw/master/csl-citation.json"} </w:instrText>
            </w:r>
            <w:r>
              <w:rPr>
                <w:rFonts w:ascii="Times New Roman" w:hAnsi="Times New Roman" w:cs="Times New Roman"/>
                <w:sz w:val="22"/>
                <w:szCs w:val="22"/>
              </w:rPr>
              <w:fldChar w:fldCharType="separate"/>
            </w:r>
            <w:r w:rsidRPr="00354901">
              <w:rPr>
                <w:rFonts w:ascii="Times New Roman" w:hAnsi="Times New Roman" w:cs="Times New Roman"/>
                <w:kern w:val="0"/>
                <w:sz w:val="22"/>
              </w:rPr>
              <w:t>(Heggie &amp; Küpper, 2017)</w:t>
            </w:r>
            <w:r>
              <w:rPr>
                <w:rFonts w:ascii="Times New Roman" w:hAnsi="Times New Roman" w:cs="Times New Roman"/>
                <w:sz w:val="22"/>
                <w:szCs w:val="22"/>
              </w:rPr>
              <w:fldChar w:fldCharType="end"/>
            </w:r>
          </w:p>
        </w:tc>
      </w:tr>
      <w:tr w:rsidR="006C2853" w:rsidRPr="00727819" w14:paraId="3695342D" w14:textId="77777777" w:rsidTr="00B13838">
        <w:trPr>
          <w:jc w:val="center"/>
        </w:trPr>
        <w:tc>
          <w:tcPr>
            <w:tcW w:w="1535" w:type="dxa"/>
            <w:tcMar>
              <w:top w:w="150" w:type="dxa"/>
              <w:left w:w="0" w:type="dxa"/>
              <w:bottom w:w="150" w:type="dxa"/>
              <w:right w:w="240" w:type="dxa"/>
            </w:tcMar>
            <w:vAlign w:val="center"/>
            <w:hideMark/>
          </w:tcPr>
          <w:p w14:paraId="069B7391"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Fluconazole + Rifampin</w:t>
            </w:r>
          </w:p>
        </w:tc>
        <w:tc>
          <w:tcPr>
            <w:tcW w:w="2340" w:type="dxa"/>
            <w:tcMar>
              <w:top w:w="150" w:type="dxa"/>
              <w:left w:w="240" w:type="dxa"/>
              <w:bottom w:w="150" w:type="dxa"/>
              <w:right w:w="240" w:type="dxa"/>
            </w:tcMar>
            <w:vAlign w:val="center"/>
            <w:hideMark/>
          </w:tcPr>
          <w:p w14:paraId="14AD3CCC"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1.0-1.5 mg/day), Miltefosine (50 mg TID), Fluconazole (10 mg/kg IV daily), Rifampin (10 mg/kg IV daily)</w:t>
            </w:r>
          </w:p>
        </w:tc>
        <w:tc>
          <w:tcPr>
            <w:tcW w:w="900" w:type="dxa"/>
            <w:tcMar>
              <w:top w:w="150" w:type="dxa"/>
              <w:left w:w="240" w:type="dxa"/>
              <w:bottom w:w="150" w:type="dxa"/>
              <w:right w:w="240" w:type="dxa"/>
            </w:tcMar>
            <w:vAlign w:val="center"/>
            <w:hideMark/>
          </w:tcPr>
          <w:p w14:paraId="55021DA6"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6</w:t>
            </w:r>
          </w:p>
        </w:tc>
        <w:tc>
          <w:tcPr>
            <w:tcW w:w="990" w:type="dxa"/>
            <w:tcMar>
              <w:top w:w="150" w:type="dxa"/>
              <w:left w:w="240" w:type="dxa"/>
              <w:bottom w:w="150" w:type="dxa"/>
              <w:right w:w="240" w:type="dxa"/>
            </w:tcMar>
            <w:vAlign w:val="center"/>
            <w:hideMark/>
          </w:tcPr>
          <w:p w14:paraId="4D384458"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50% (3/6)</w:t>
            </w:r>
          </w:p>
        </w:tc>
        <w:tc>
          <w:tcPr>
            <w:tcW w:w="2250" w:type="dxa"/>
          </w:tcPr>
          <w:p w14:paraId="571B8972" w14:textId="74F19997"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Similar toxicity profile; potential for significant drug-drug interactions, particularly with rifampin.</w:t>
            </w:r>
          </w:p>
        </w:tc>
        <w:tc>
          <w:tcPr>
            <w:tcW w:w="1250" w:type="dxa"/>
            <w:tcMar>
              <w:top w:w="150" w:type="dxa"/>
              <w:left w:w="240" w:type="dxa"/>
              <w:bottom w:w="150" w:type="dxa"/>
              <w:right w:w="0" w:type="dxa"/>
            </w:tcMar>
            <w:vAlign w:val="center"/>
            <w:hideMark/>
          </w:tcPr>
          <w:p w14:paraId="02A2B20C" w14:textId="12C5AE25" w:rsidR="006C2853" w:rsidRPr="00727819" w:rsidRDefault="00133201"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{"citationID":"FRnKfX3g","properties":{"formattedCitation":"(Linam et al., 2015)","plainCitation":"(Linam et al., 2015)","noteIndex":0},"citationItems":[{"id":650,"uris":["http://zotero.org/users/18073969/items/HEUHJ2HR"],"itemData":{"id":650,"type":"article-journal","abstract":"Naegleria fowleri is a thermophilic, free-living ameba that causes primary amebic meningoencephalitis. The infections are nearly always fatal. We present the third well-documented survivor of this infection in North America. The patient’s survival most likely resulted from a variety of factors: early identification and treatment, use of a combination of antimicrobial agents (including miltefosine), and management of elevated intracranial pressure based on the principles of traumatic brain injury.","container-title":"Pediatrics","DOI":"10.1542/peds.2014-2292","ISSN":"0031-4005, 1098-4275","issue":"3","language":"en","page":"e744-e748","source":"DOI.org (Crossref)","title":"Successful Treatment of an Adolescent With &lt;i&gt;Naegleria fowleri&lt;/i&gt; Primary Amebic Meningoencephalitis","volume":"135","author":[{"family":"Linam","given":"W. Matthew"},{"family":"Ahmed","given":"Mubbasheer"},{"family":"Cope","given":"Jennifer R."},{"family":"Chu","given":"Craig"},{"family":"Visvesvara","given":"Govinda S."},{"family":"Da Silva","given":"Alexandre J."},{"family":"Qvarnstrom","given":"Yvonne"},{"family":"Green","given":"Jerril"}],"issued":{"date-parts":[["2015",3,1]]}}}],"schema":"https://github.com/citation-style-language/schema/raw/master/csl-citation.json"} </w:instrText>
            </w:r>
            <w:r>
              <w:rPr>
                <w:rFonts w:ascii="Times New Roman" w:hAnsi="Times New Roman" w:cs="Times New Roman"/>
                <w:sz w:val="22"/>
                <w:szCs w:val="22"/>
              </w:rPr>
              <w:fldChar w:fldCharType="separate"/>
            </w:r>
            <w:r w:rsidR="00652010" w:rsidRPr="00652010">
              <w:rPr>
                <w:rFonts w:ascii="Times New Roman" w:hAnsi="Times New Roman" w:cs="Times New Roman"/>
                <w:sz w:val="22"/>
              </w:rPr>
              <w:t>(Linam et al., 2015)</w:t>
            </w:r>
            <w:r>
              <w:rPr>
                <w:rFonts w:ascii="Times New Roman" w:hAnsi="Times New Roman" w:cs="Times New Roman"/>
                <w:sz w:val="22"/>
                <w:szCs w:val="22"/>
              </w:rPr>
              <w:fldChar w:fldCharType="end"/>
            </w:r>
          </w:p>
        </w:tc>
      </w:tr>
      <w:tr w:rsidR="006C2853" w:rsidRPr="00727819" w14:paraId="42A1D9BE" w14:textId="77777777" w:rsidTr="00B13838">
        <w:trPr>
          <w:jc w:val="center"/>
        </w:trPr>
        <w:tc>
          <w:tcPr>
            <w:tcW w:w="1535" w:type="dxa"/>
            <w:tcMar>
              <w:top w:w="150" w:type="dxa"/>
              <w:left w:w="0" w:type="dxa"/>
              <w:bottom w:w="150" w:type="dxa"/>
              <w:right w:w="240" w:type="dxa"/>
            </w:tcMar>
            <w:vAlign w:val="center"/>
            <w:hideMark/>
          </w:tcPr>
          <w:p w14:paraId="14FF7693" w14:textId="71ECCF4D"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b/>
                <w:bCs/>
                <w:sz w:val="22"/>
                <w:szCs w:val="22"/>
              </w:rPr>
              <w:t>Amphotericin B + Miltefosine + Dexamethasone</w:t>
            </w:r>
            <w:r w:rsidR="003F20EF">
              <w:rPr>
                <w:rFonts w:ascii="Times New Roman" w:hAnsi="Times New Roman" w:cs="Times New Roman"/>
                <w:b/>
                <w:bCs/>
                <w:sz w:val="22"/>
                <w:szCs w:val="22"/>
              </w:rPr>
              <w:t xml:space="preserve"> </w:t>
            </w:r>
            <w:r w:rsidRPr="00727819">
              <w:rPr>
                <w:rFonts w:ascii="Times New Roman" w:hAnsi="Times New Roman" w:cs="Times New Roman"/>
                <w:b/>
                <w:bCs/>
                <w:sz w:val="22"/>
                <w:szCs w:val="22"/>
              </w:rPr>
              <w:t>+ Hypothermia</w:t>
            </w:r>
          </w:p>
        </w:tc>
        <w:tc>
          <w:tcPr>
            <w:tcW w:w="2340" w:type="dxa"/>
            <w:tcMar>
              <w:top w:w="150" w:type="dxa"/>
              <w:left w:w="240" w:type="dxa"/>
              <w:bottom w:w="150" w:type="dxa"/>
              <w:right w:w="240" w:type="dxa"/>
            </w:tcMar>
            <w:vAlign w:val="center"/>
            <w:hideMark/>
          </w:tcPr>
          <w:p w14:paraId="27748FD0" w14:textId="77777777" w:rsidR="006C2853" w:rsidRPr="00727819" w:rsidRDefault="006C2853" w:rsidP="008F5C7E">
            <w:pPr>
              <w:jc w:val="center"/>
              <w:rPr>
                <w:rFonts w:ascii="Times New Roman" w:hAnsi="Times New Roman" w:cs="Times New Roman"/>
                <w:sz w:val="22"/>
                <w:szCs w:val="22"/>
              </w:rPr>
            </w:pPr>
            <w:r w:rsidRPr="00727819">
              <w:rPr>
                <w:rFonts w:ascii="Times New Roman" w:hAnsi="Times New Roman" w:cs="Times New Roman"/>
                <w:sz w:val="22"/>
                <w:szCs w:val="22"/>
              </w:rPr>
              <w:t>Amphotericin B (IV 1.5 mg/kg/day + IT 1.5 mg/day), Miltefosine (50 mg TID), Dexamethasone (0.6 mg/kg/day), Therapeutic hypothermia (33°C)</w:t>
            </w:r>
          </w:p>
        </w:tc>
        <w:tc>
          <w:tcPr>
            <w:tcW w:w="900" w:type="dxa"/>
            <w:tcMar>
              <w:top w:w="150" w:type="dxa"/>
              <w:left w:w="240" w:type="dxa"/>
              <w:bottom w:w="150" w:type="dxa"/>
              <w:right w:w="240" w:type="dxa"/>
            </w:tcMar>
            <w:vAlign w:val="center"/>
            <w:hideMark/>
          </w:tcPr>
          <w:p w14:paraId="3DBDF10F"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4</w:t>
            </w:r>
          </w:p>
        </w:tc>
        <w:tc>
          <w:tcPr>
            <w:tcW w:w="990" w:type="dxa"/>
            <w:tcMar>
              <w:top w:w="150" w:type="dxa"/>
              <w:left w:w="240" w:type="dxa"/>
              <w:bottom w:w="150" w:type="dxa"/>
              <w:right w:w="240" w:type="dxa"/>
            </w:tcMar>
            <w:vAlign w:val="center"/>
            <w:hideMark/>
          </w:tcPr>
          <w:p w14:paraId="3AD5A5C4" w14:textId="77777777" w:rsidR="006C2853" w:rsidRPr="00727819" w:rsidRDefault="006C2853" w:rsidP="00945488">
            <w:pPr>
              <w:jc w:val="both"/>
              <w:rPr>
                <w:rFonts w:ascii="Times New Roman" w:hAnsi="Times New Roman" w:cs="Times New Roman"/>
                <w:sz w:val="22"/>
                <w:szCs w:val="22"/>
              </w:rPr>
            </w:pPr>
            <w:r w:rsidRPr="00727819">
              <w:rPr>
                <w:rFonts w:ascii="Times New Roman" w:hAnsi="Times New Roman" w:cs="Times New Roman"/>
                <w:sz w:val="22"/>
                <w:szCs w:val="22"/>
              </w:rPr>
              <w:t>75% (3/4)</w:t>
            </w:r>
          </w:p>
        </w:tc>
        <w:tc>
          <w:tcPr>
            <w:tcW w:w="2250" w:type="dxa"/>
          </w:tcPr>
          <w:p w14:paraId="599DCBF8" w14:textId="6E17C706" w:rsidR="006C2853" w:rsidRPr="006C2853" w:rsidRDefault="006C2853" w:rsidP="00945488">
            <w:pPr>
              <w:rPr>
                <w:rFonts w:ascii="Times New Roman" w:hAnsi="Times New Roman" w:cs="Times New Roman"/>
                <w:sz w:val="22"/>
                <w:szCs w:val="22"/>
              </w:rPr>
            </w:pPr>
            <w:r w:rsidRPr="006C2853">
              <w:rPr>
                <w:rFonts w:ascii="Times New Roman" w:hAnsi="Times New Roman" w:cs="Times New Roman"/>
                <w:sz w:val="22"/>
                <w:szCs w:val="22"/>
              </w:rPr>
              <w:t>Complexity of managing therapeutic hypothermia; risk of secondary infections with dexamethasone immunosuppression.</w:t>
            </w:r>
          </w:p>
        </w:tc>
        <w:tc>
          <w:tcPr>
            <w:tcW w:w="1250" w:type="dxa"/>
            <w:tcMar>
              <w:top w:w="150" w:type="dxa"/>
              <w:left w:w="240" w:type="dxa"/>
              <w:bottom w:w="150" w:type="dxa"/>
              <w:right w:w="0" w:type="dxa"/>
            </w:tcMar>
            <w:vAlign w:val="center"/>
            <w:hideMark/>
          </w:tcPr>
          <w:p w14:paraId="31451776" w14:textId="7229F32F" w:rsidR="006C2853" w:rsidRPr="00727819" w:rsidRDefault="00354901" w:rsidP="008F5C7E">
            <w:pPr>
              <w:jc w:val="center"/>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{"citationID":"TbSpmma8","properties":{"formattedCitation":"(Jahangeer et al., 2020)","plainCitation":"(Jahangeer et al., 2020)","noteIndex":0},"citationItems":[{"id":838,"uris":["http://zotero.org/users/18073969/items/47MPPCFE"],"itemData":{"id":838,"type":"article-journal","abstract":"Abstract\n            \n              Naegleria fowleri,\n              a thermophilic flagellate amoeba known as a “brain‐eating” amoeba, is the aetiological agent of a perilous and devastating waterborne disease known as primary amoebic meningoencephalitis (PAM), both in humans as well as in animals. PAM is a rare but fatal disease affecting young adults all around the world, particularly in the developed world but recently reported from developing countries, with 95%–99% mortality rate. Swimmers and divers are at high risk of PAM as the warm water is the most propitious environment adapted by\n              N. fowleri\n              to cause this infection. Infective amoeba in the trophozoite phase enter the victim's body through the nose, crossing the cribriform plate to reach the human brain and cause severe destruction of the central nervous system (CNS). The brain damage leads to brain haemorrhage and death occurs within 3–7 days in undiagnosed cases and maltreated cases. Though the exact pathogenesis of\n              N. fowleri\n              is still not known, it has exhibited two primary mechanisms, contact‐independent (brain damage through different proteins) and contact‐dependent (brain damage through surface structures food cups), that predominantly contribute to the pathogen invading the host CNS. For the management of this life‐threatening infection different treatment regimens have been applied but still the survival rate is only 5% which is ascribed to its misdiagnosis, as the PAM symptoms closely resembled bacterial meningitis. The main objectives of this review article are to compile data to explore the sources and routes of\n              N. fowleri\n              infection, its association in causing PAM along with its pathophysiology; latest techniques used for accurate diagnosis, management options along with challenges for Pakistan to control this drastic disorder.","container-title":"Clinical and Experimental Pharmacology and Physiology","DOI":"10.1111/1440-1681.13192","ISSN":"0305-1870, 1440-1681","issue":"2","journalAbbreviation":"Clin Exp Pharma Physio","language":"en","page":"199-212","source":"DOI.org (Crossref)","title":"&lt;i&gt;Naegleria fowleri&lt;/i&gt; : Sources of infection, pathophysiology, diagnosis, and management; a review","title-short":"&lt;i&gt;Naegleria fowleri&lt;/i&gt;","volume":"47","author":[{"family":"Jahangeer","given":"Muhammad"},{"family":"Mahmood","given":"Zahed"},{"family":"Munir","given":"Naveed"},{"family":"Waraich","given":"Umm‐e‐Amara"},{"family":"Tahir","given":"Imtiaz Mahmood"},{"family":"Akram","given":"Muhammad"},{"family":"Ali Shah","given":"Syed Muhammad"},{"family":"Zulfqar","given":"Ayesha"},{"family":"Zainab","given":"Rida"}],"issued":{"date-parts":[["2020",2]]}}}],"schema":"https://github.com/citation-style-language/schema/raw/master/csl-citation.json"} </w:instrText>
            </w:r>
            <w:r>
              <w:rPr>
                <w:rFonts w:ascii="Times New Roman" w:hAnsi="Times New Roman" w:cs="Times New Roman"/>
                <w:sz w:val="22"/>
                <w:szCs w:val="22"/>
              </w:rPr>
              <w:fldChar w:fldCharType="separate"/>
            </w:r>
            <w:r w:rsidRPr="00354901">
              <w:rPr>
                <w:rFonts w:ascii="Times New Roman" w:hAnsi="Times New Roman" w:cs="Times New Roman"/>
                <w:sz w:val="22"/>
              </w:rPr>
              <w:t>(Jahangeer et al., 2020)</w:t>
            </w:r>
            <w:r>
              <w:rPr>
                <w:rFonts w:ascii="Times New Roman" w:hAnsi="Times New Roman" w:cs="Times New Roman"/>
                <w:sz w:val="22"/>
                <w:szCs w:val="22"/>
              </w:rPr>
              <w:fldChar w:fldCharType="end"/>
            </w:r>
          </w:p>
        </w:tc>
      </w:tr>
    </w:tbl>
    <w:p w14:paraId="397F610A" w14:textId="77777777" w:rsidR="00B13838" w:rsidRDefault="00B13838" w:rsidP="00945488">
      <w:pPr>
        <w:jc w:val="both"/>
        <w:rPr>
          <w:rFonts w:ascii="Times New Roman" w:hAnsi="Times New Roman" w:cs="Times New Roman"/>
          <w:sz w:val="22"/>
          <w:szCs w:val="22"/>
        </w:rPr>
      </w:pPr>
    </w:p>
    <w:p w14:paraId="14ED8354" w14:textId="13365D48" w:rsidR="00B13838" w:rsidRDefault="006E4F58" w:rsidP="00945488">
      <w:pPr>
        <w:jc w:val="both"/>
        <w:rPr>
          <w:rFonts w:ascii="Times New Roman" w:hAnsi="Times New Roman" w:cs="Times New Roman"/>
          <w:b/>
          <w:bCs/>
          <w:sz w:val="26"/>
          <w:szCs w:val="26"/>
        </w:rPr>
      </w:pPr>
      <w:r w:rsidRPr="006E4F58">
        <w:rPr>
          <w:rFonts w:ascii="Times New Roman" w:hAnsi="Times New Roman" w:cs="Times New Roman"/>
          <w:sz w:val="22"/>
          <w:szCs w:val="22"/>
        </w:rPr>
        <w:t xml:space="preserve">The evolution of the PAM treatment landscape has been very swift, starting with the use of amphotericin B alone to the combination therapies that were designed rationally. </w:t>
      </w:r>
      <w:r w:rsidR="00B13838" w:rsidRPr="00B13838">
        <w:rPr>
          <w:rFonts w:ascii="Times New Roman" w:hAnsi="Times New Roman" w:cs="Times New Roman"/>
          <w:sz w:val="22"/>
          <w:szCs w:val="22"/>
        </w:rPr>
        <w:t>The use of miltefosine has significantly contributed to the outcomes, as the survival rates have risen from under 3% in the past to nearly 50-70% in the recent cases, which were managed properly. Yet, the treatment's success is still heavily reliant on early diagnosis and the start of multi-faceted treatment immediately before it is too late and irreversible nerve damage occurs.</w:t>
      </w:r>
      <w:r w:rsidR="00D35465" w:rsidRPr="00E45897">
        <w:rPr>
          <w:rFonts w:ascii="Times New Roman" w:hAnsi="Times New Roman" w:cs="Times New Roman"/>
          <w:sz w:val="22"/>
          <w:szCs w:val="22"/>
        </w:rPr>
        <w:br/>
      </w:r>
    </w:p>
    <w:p w14:paraId="6DC79CCE" w14:textId="709A872C" w:rsidR="00FF29B2" w:rsidRPr="00FF29B2" w:rsidRDefault="00AD5FD4" w:rsidP="00945488">
      <w:pPr>
        <w:jc w:val="both"/>
        <w:rPr>
          <w:rFonts w:ascii="Times New Roman" w:hAnsi="Times New Roman" w:cs="Times New Roman"/>
          <w:sz w:val="22"/>
          <w:szCs w:val="22"/>
        </w:rPr>
      </w:pPr>
      <w:r>
        <w:rPr>
          <w:rFonts w:ascii="Times New Roman" w:hAnsi="Times New Roman" w:cs="Times New Roman"/>
          <w:b/>
          <w:bCs/>
          <w:sz w:val="26"/>
          <w:szCs w:val="26"/>
        </w:rPr>
        <w:t>8</w:t>
      </w:r>
      <w:r w:rsidR="00727819" w:rsidRPr="00AE470E">
        <w:rPr>
          <w:rFonts w:ascii="Times New Roman" w:hAnsi="Times New Roman" w:cs="Times New Roman"/>
          <w:b/>
          <w:bCs/>
          <w:sz w:val="26"/>
          <w:szCs w:val="26"/>
        </w:rPr>
        <w:t xml:space="preserve">. Prevention &amp; Public Health </w:t>
      </w:r>
      <w:r w:rsidR="00FF29B2">
        <w:rPr>
          <w:rFonts w:ascii="Times New Roman" w:hAnsi="Times New Roman" w:cs="Times New Roman"/>
          <w:sz w:val="22"/>
          <w:szCs w:val="22"/>
        </w:rPr>
        <w:br/>
      </w:r>
      <w:r w:rsidR="00FF29B2" w:rsidRPr="00FF29B2">
        <w:rPr>
          <w:rFonts w:ascii="Times New Roman" w:hAnsi="Times New Roman" w:cs="Times New Roman"/>
          <w:sz w:val="22"/>
          <w:szCs w:val="22"/>
        </w:rPr>
        <w:t>The prevention of PAM necessitates a thorough and multi-level strategy. Such a strategy should be designed to incorporate not only the changes in individual behavior but also community-wide water safety measures and strong public health policies to be effective in different populations and risk environments.</w:t>
      </w:r>
    </w:p>
    <w:p w14:paraId="63DD5156" w14:textId="4C5B92D3" w:rsidR="00727819" w:rsidRPr="00727819" w:rsidRDefault="00AD5FD4" w:rsidP="00945488">
      <w:pPr>
        <w:jc w:val="both"/>
        <w:rPr>
          <w:rFonts w:ascii="Times New Roman" w:hAnsi="Times New Roman" w:cs="Times New Roman"/>
          <w:sz w:val="22"/>
          <w:szCs w:val="22"/>
        </w:rPr>
      </w:pPr>
      <w:r>
        <w:rPr>
          <w:rFonts w:ascii="Times New Roman" w:hAnsi="Times New Roman" w:cs="Times New Roman"/>
          <w:b/>
          <w:bCs/>
        </w:rPr>
        <w:lastRenderedPageBreak/>
        <w:t>8</w:t>
      </w:r>
      <w:r w:rsidR="00945488" w:rsidRPr="00AE470E">
        <w:rPr>
          <w:rFonts w:ascii="Times New Roman" w:hAnsi="Times New Roman" w:cs="Times New Roman"/>
          <w:b/>
          <w:bCs/>
        </w:rPr>
        <w:t xml:space="preserve">.1 </w:t>
      </w:r>
      <w:r w:rsidR="00727819" w:rsidRPr="00AE470E">
        <w:rPr>
          <w:rFonts w:ascii="Times New Roman" w:hAnsi="Times New Roman" w:cs="Times New Roman"/>
          <w:b/>
          <w:bCs/>
        </w:rPr>
        <w:t>Individual-Level Prevention</w:t>
      </w:r>
      <w:r w:rsidR="00727819" w:rsidRPr="00AE470E">
        <w:rPr>
          <w:rFonts w:ascii="Times New Roman" w:hAnsi="Times New Roman" w:cs="Times New Roman"/>
        </w:rPr>
        <w:br/>
      </w:r>
      <w:r w:rsidR="00B13838" w:rsidRPr="00B13838">
        <w:rPr>
          <w:rFonts w:ascii="Times New Roman" w:hAnsi="Times New Roman" w:cs="Times New Roman"/>
          <w:sz w:val="22"/>
          <w:szCs w:val="22"/>
        </w:rPr>
        <w:t xml:space="preserve">The very first step towards the efficient prevention of Primary Amoebic Meningoencephalitis is personal awareness and behavior changes, primarily in endemic areas and high-risk seasons. It is always emphasized by the public health agency that people should avoid water-related activities during the summer months in hot freshwater bodies, as it is the time for the highest growth of </w:t>
      </w:r>
      <w:r w:rsidR="00B13838" w:rsidRPr="00B13838">
        <w:rPr>
          <w:rFonts w:ascii="Times New Roman" w:hAnsi="Times New Roman" w:cs="Times New Roman"/>
          <w:i/>
          <w:iCs/>
          <w:sz w:val="22"/>
          <w:szCs w:val="22"/>
        </w:rPr>
        <w:t>N. fowleri</w:t>
      </w:r>
      <w:r w:rsidR="00B13838" w:rsidRPr="00B13838">
        <w:rPr>
          <w:rFonts w:ascii="Times New Roman" w:hAnsi="Times New Roman" w:cs="Times New Roman"/>
          <w:sz w:val="22"/>
          <w:szCs w:val="22"/>
        </w:rPr>
        <w:t xml:space="preserve">. Nose clips, in case of unavoidable water exposure, are regarded as the most effective individual protective measure, as they physically bar the entry of contaminated water into the nasal cavities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{"citationID":"gMeCp209","properties":{"formattedCitation":"(Yoder et al., 2010)","plainCitation":"(Yoder et al., 2010)","noteIndex":0},"citationItems":[{"id":623,"uris":["http://zotero.org/users/18073969/items/ULVTSWJZ"],"itemData":{"id":623,"type":"article-journal","abstract":"SUMMARY\n            \n              Naegleria fowleri\n              , a free-living, thermophilic amoeba ubiquitous in the environment, causes primary amoebic meningoencephalitis (PAM), a rare but nearly always fatal disease of the central nervous system. While case reports of PAM have been documented worldwide, very few individuals have been diagnosed with PAM despite the vast number of people who have contact with fresh water where\n              N. fowleri\n              may be present. In the USA, 111 PAM case-patients have been prospectively diagnosed, reported, and verified by state health officials since 1962. Consistent with the literature, case reports reveal that\n              N. fowleri\n              infections occur primarily in previously healthy young males exposed to warm recreational waters, especially lakes and ponds, in warm-weather locations during summer months. The annual number of PAM case reports varied, but does not appear to be increasing over time. Because PAM is a rare disease, it is challenging to understand the environmental and host-specific factors associated with infection in order to develop science-based, risk reduction messages for swimmers.","container-title":"Epidemiology and Infection","DOI":"10.1017/S0950268809991014","ISSN":"0950-2688, 1469-4409","issue":"7","journalAbbreviation":"Epidemiol. Infect.","language":"en","license":"https://www.cambridge.org/core/terms","page":"968-975","source":"DOI.org (Crossref)","title":"The epidemiology of primary amoebic meningoencephalitis in the USA, 1962–2008","volume":"138","author":[{"family":"Yoder","given":"J. S."},{"family":"Eddy","given":"B. A."},{"family":"Visvesvara","given":"G. S."},{"family":"Capewell","given":"L."},{"family":"Beach","given":"M. J."}],"issued":{"date-parts":[["2010",7]]}}}],"schema":"https://github.com/citation-style-language/schema/raw/master/csl-citation.json"}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(Yoder et al., 2010)</w:t>
      </w:r>
      <w:r w:rsidR="00851590">
        <w:rPr>
          <w:rFonts w:ascii="Times New Roman" w:hAnsi="Times New Roman" w:cs="Times New Roman"/>
          <w:sz w:val="22"/>
          <w:szCs w:val="22"/>
        </w:rPr>
        <w:fldChar w:fldCharType="end"/>
      </w:r>
      <w:r w:rsidR="00B13838" w:rsidRPr="00B13838">
        <w:rPr>
          <w:rFonts w:ascii="Times New Roman" w:hAnsi="Times New Roman" w:cs="Times New Roman"/>
          <w:sz w:val="22"/>
          <w:szCs w:val="22"/>
        </w:rPr>
        <w:t>. Educational campaigns are aimed at the groups with the highest risk-taking, such as children and young people, who can immediately reduce the risk of getting infected by merely changing their behavior. Besides, users are warned against the use of unpurified tap water for nasal washing or ritual purposes and are advised to resort to sterile, distilled, or pre-boiled water instead.</w:t>
      </w:r>
    </w:p>
    <w:p w14:paraId="6C91AFAD" w14:textId="12CAB3D3"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.2 </w:t>
      </w:r>
      <w:r w:rsidR="00727819" w:rsidRPr="00AE470E">
        <w:rPr>
          <w:rFonts w:ascii="Times New Roman" w:hAnsi="Times New Roman" w:cs="Times New Roman"/>
          <w:b/>
          <w:bCs/>
        </w:rPr>
        <w:t>Community-Level Interventions</w:t>
      </w:r>
      <w:r w:rsidR="00727819" w:rsidRPr="00727819">
        <w:rPr>
          <w:rFonts w:ascii="Times New Roman" w:hAnsi="Times New Roman" w:cs="Times New Roman"/>
          <w:sz w:val="22"/>
          <w:szCs w:val="22"/>
        </w:rPr>
        <w:br/>
      </w:r>
      <w:r w:rsidR="0040483A" w:rsidRPr="0040483A">
        <w:rPr>
          <w:rFonts w:ascii="Times New Roman" w:hAnsi="Times New Roman" w:cs="Times New Roman"/>
          <w:sz w:val="22"/>
          <w:szCs w:val="22"/>
        </w:rPr>
        <w:t xml:space="preserve">The method of community-wide prevention centers around the management of water safety and disinfection protocols, which are applied systematically. The municipal water systems in areas with disease prevalence would have to go through a strenuous chlorination process, which would involve maintaining the residual chlorine levels at a minimum of 0.5 mg/L, as this is effective against naked amoebas and cysts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{"citationID":"8d24RdYL","properties":{"formattedCitation":"(Cope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Monitoring of the water temperature in the swimming areas of public will be done regularly, and when the temperature goes beyond 30°C, there will be public advisories, which will act as an early warning system for increased risk. Water recreational facilities, such as public swimming pools and water parks, must keep up the standards of filtration and disinfection with regular inspection protocols. In places where ritual nasal irrigation practices are common, community education programs devised along with religious leaders have shown to be effective in promoting safe water practices, with the cultural traditions being respected.</w:t>
      </w:r>
    </w:p>
    <w:p w14:paraId="27EB280C" w14:textId="598486CF" w:rsidR="0040483A" w:rsidRDefault="00AD5FD4" w:rsidP="00945488">
      <w:pPr>
        <w:jc w:val="both"/>
        <w:rPr>
          <w:rFonts w:ascii="Times New Roman" w:hAnsi="Times New Roman" w:cs="Times New Roman"/>
          <w:sz w:val="22"/>
          <w:szCs w:val="22"/>
        </w:rPr>
      </w:pPr>
      <w:r>
        <w:rPr>
          <w:rFonts w:ascii="Times New Roman" w:hAnsi="Times New Roman" w:cs="Times New Roman"/>
          <w:b/>
          <w:bCs/>
        </w:rPr>
        <w:t>8</w:t>
      </w:r>
      <w:r w:rsidR="00945488" w:rsidRPr="00AE470E">
        <w:rPr>
          <w:rFonts w:ascii="Times New Roman" w:hAnsi="Times New Roman" w:cs="Times New Roman"/>
          <w:b/>
          <w:bCs/>
        </w:rPr>
        <w:t xml:space="preserve">.3 </w:t>
      </w:r>
      <w:r w:rsidR="00727819" w:rsidRPr="00AE470E">
        <w:rPr>
          <w:rFonts w:ascii="Times New Roman" w:hAnsi="Times New Roman" w:cs="Times New Roman"/>
          <w:b/>
          <w:bCs/>
        </w:rPr>
        <w:t>Policy-Level Strategies</w:t>
      </w:r>
      <w:r w:rsidR="00727819" w:rsidRPr="00727819">
        <w:rPr>
          <w:rFonts w:ascii="Times New Roman" w:hAnsi="Times New Roman" w:cs="Times New Roman"/>
          <w:sz w:val="22"/>
          <w:szCs w:val="22"/>
        </w:rPr>
        <w:br/>
      </w:r>
      <w:r w:rsidR="006E4F58" w:rsidRPr="006E4F58">
        <w:rPr>
          <w:rFonts w:ascii="Times New Roman" w:hAnsi="Times New Roman" w:cs="Times New Roman"/>
          <w:sz w:val="22"/>
          <w:szCs w:val="22"/>
        </w:rPr>
        <w:t xml:space="preserve">The successful prevention of PAM needs to be integrated with the larger public health policy structure. </w:t>
      </w:r>
      <w:r w:rsidR="006E4F58">
        <w:rPr>
          <w:rFonts w:ascii="Times New Roman" w:hAnsi="Times New Roman" w:cs="Times New Roman"/>
          <w:sz w:val="22"/>
          <w:szCs w:val="22"/>
        </w:rPr>
        <w:t xml:space="preserve"> </w:t>
      </w:r>
      <w:r w:rsidR="0040483A" w:rsidRPr="0040483A">
        <w:rPr>
          <w:rFonts w:ascii="Times New Roman" w:hAnsi="Times New Roman" w:cs="Times New Roman"/>
          <w:sz w:val="22"/>
          <w:szCs w:val="22"/>
        </w:rPr>
        <w:t xml:space="preserve">Health authorities gradually see PAM as a disease that is sensitive to climate, and thus, water supply needs to be included in climate change adaptation strategies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{"citationID":"r83W82HK","properties":{"formattedCitation":"(Steenbeek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National surveillance systems for PAM should be established in countries where it is prevalent to monitor patterns of occurrence and delineate areas that are becoming hot spots. International cooperation through agencies like the World Health Organization can help transfer know-how and build up the capacity of the regions that are experiencing newly reported cases of PAM. A legal framework that stipulates safety standards for public water systems, especially in cities with intermittent water supply, is a must for the prevention of the disease on a large scale. The health departments should likewise categorize PAM as a neglected tropical disease, and, thus, research, public education, and training of healthcare providers for early recognition and treatment of the disease should be the main recipients of public health resources.</w:t>
      </w:r>
    </w:p>
    <w:p w14:paraId="2FF73305" w14:textId="77777777" w:rsidR="00F86882" w:rsidRPr="00F86882" w:rsidRDefault="00F86882" w:rsidP="00945488">
      <w:pPr>
        <w:jc w:val="both"/>
        <w:rPr>
          <w:rFonts w:ascii="Times New Roman" w:hAnsi="Times New Roman" w:cs="Times New Roman"/>
          <w:sz w:val="22"/>
          <w:szCs w:val="22"/>
        </w:rPr>
      </w:pPr>
    </w:p>
    <w:p w14:paraId="4A1F0AC7" w14:textId="2C2DD0B5" w:rsidR="00FF29B2" w:rsidRPr="00AE470E" w:rsidRDefault="00AD5FD4" w:rsidP="00945488">
      <w:pPr>
        <w:jc w:val="both"/>
        <w:rPr>
          <w:rFonts w:ascii="Times New Roman" w:hAnsi="Times New Roman" w:cs="Times New Roman"/>
          <w:b/>
          <w:bCs/>
          <w:sz w:val="26"/>
          <w:szCs w:val="26"/>
        </w:rPr>
      </w:pPr>
      <w:r>
        <w:rPr>
          <w:rFonts w:ascii="Times New Roman" w:hAnsi="Times New Roman" w:cs="Times New Roman"/>
          <w:b/>
          <w:bCs/>
          <w:sz w:val="26"/>
          <w:szCs w:val="26"/>
        </w:rPr>
        <w:t>9</w:t>
      </w:r>
      <w:r w:rsidR="00E45897" w:rsidRPr="00AE470E">
        <w:rPr>
          <w:rFonts w:ascii="Times New Roman" w:hAnsi="Times New Roman" w:cs="Times New Roman"/>
          <w:b/>
          <w:bCs/>
          <w:sz w:val="26"/>
          <w:szCs w:val="26"/>
        </w:rPr>
        <w:t xml:space="preserve">. Perspectives </w:t>
      </w:r>
    </w:p>
    <w:p w14:paraId="47D3C8D7" w14:textId="179CC0F3" w:rsidR="0040483A" w:rsidRDefault="00FF29B2" w:rsidP="00945488">
      <w:pPr>
        <w:jc w:val="both"/>
        <w:rPr>
          <w:rFonts w:ascii="Times New Roman" w:hAnsi="Times New Roman" w:cs="Times New Roman"/>
          <w:sz w:val="22"/>
          <w:szCs w:val="22"/>
        </w:rPr>
      </w:pPr>
      <w:r w:rsidRPr="00FF29B2">
        <w:rPr>
          <w:rFonts w:ascii="Times New Roman" w:hAnsi="Times New Roman" w:cs="Times New Roman"/>
          <w:sz w:val="22"/>
          <w:szCs w:val="22"/>
        </w:rPr>
        <w:t>The development of cutting-edge diagnostics, breakthrough therapeutics, and proactive monitoring will determine the future victory over PAM. It is very important to combine basic science breakthroughs with applied technologies in order to conquer current problems and enhance patient care.</w:t>
      </w:r>
      <w:r>
        <w:rPr>
          <w:rFonts w:ascii="Times New Roman" w:hAnsi="Times New Roman" w:cs="Times New Roman"/>
          <w:sz w:val="22"/>
          <w:szCs w:val="22"/>
        </w:rPr>
        <w:br/>
      </w:r>
      <w:r>
        <w:rPr>
          <w:rFonts w:ascii="Times New Roman" w:hAnsi="Times New Roman" w:cs="Times New Roman"/>
          <w:b/>
          <w:bCs/>
        </w:rPr>
        <w:br/>
      </w:r>
      <w:r w:rsidR="00AD5FD4">
        <w:rPr>
          <w:rFonts w:ascii="Times New Roman" w:hAnsi="Times New Roman" w:cs="Times New Roman"/>
          <w:b/>
          <w:bCs/>
        </w:rPr>
        <w:lastRenderedPageBreak/>
        <w:t>9</w:t>
      </w:r>
      <w:r w:rsidR="00945488" w:rsidRPr="00AE470E">
        <w:rPr>
          <w:rFonts w:ascii="Times New Roman" w:hAnsi="Times New Roman" w:cs="Times New Roman"/>
          <w:b/>
          <w:bCs/>
        </w:rPr>
        <w:t xml:space="preserve">.1 </w:t>
      </w:r>
      <w:r w:rsidR="00E45897" w:rsidRPr="00AE470E">
        <w:rPr>
          <w:rFonts w:ascii="Times New Roman" w:hAnsi="Times New Roman" w:cs="Times New Roman"/>
          <w:b/>
          <w:bCs/>
        </w:rPr>
        <w:t>Diagnostics</w:t>
      </w:r>
      <w:r w:rsidR="00E45897" w:rsidRPr="00AE470E">
        <w:rPr>
          <w:rFonts w:ascii="Times New Roman" w:hAnsi="Times New Roman" w:cs="Times New Roman"/>
        </w:rPr>
        <w:br/>
      </w:r>
      <w:r w:rsidR="0040483A" w:rsidRPr="0040483A">
        <w:rPr>
          <w:rFonts w:ascii="Times New Roman" w:hAnsi="Times New Roman" w:cs="Times New Roman"/>
          <w:sz w:val="22"/>
          <w:szCs w:val="22"/>
        </w:rPr>
        <w:t xml:space="preserve">The quick development of diagnostic tests for point-of-care remains an unmet need that is urgent in the management of PAM. The current molecular methods, although very specific, need specialized equipment and skilled personnel, which tends to limit their availability in under-resourced areas where PAM is being increasingly reported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{"citationID":"9NY4gj7p","properties":{"formattedCitation":"(Pitman-Hunt et al., 2021)","plainCitation":"(Pitman-Hunt et al., 2021)","noteIndex":0},"citationItems":[{"id":560,"uris":["http://zotero.org/users/18073969/items/FQNXXJAJ"],"itemData":{"id":560,"type":"article-journal","abstract":"Abstract\n            This is a single-center US retrospective study of infection patterns among household sick contacts (HHSCs) of children with confirmed severe acute respiratory syndrome-coronavirus-2 infection in an urban setting. An HHSC was identified in fewer than half (42%) of the patients, and no child-to-adult transmission was identified.\n            This is a single center US retrospective study of infection patterns among household sick contacts of children with confirmed SARS-CoV-2 infection. A household sick contact was identified in fewer than half (42%) of patients and no child-to-adult transmission was identified.","container-title":"Journal of the Pediatric Infectious Diseases Society","DOI":"10.1093/jpids/piaa158","ISSN":"2048-7207","issue":"9","language":"en","license":"https://academic.oup.com/journals/pages/open_access/funder_policies/chorus/standard_publication_model","page":"919-921","source":"DOI.org (Crossref)","title":"Severe Acute Respiratory Syndrome-Coronavirus-2 Transmission in an Urban Community: The Role of Children and Household Contacts","title-short":"Severe Acute Respiratory Syndrome-Coronavirus-2 Transmission in an Urban Community","volume":"10","author":[{"family":"Pitman-Hunt","given":"Chaya"},{"family":"Leja","given":"Jacqueline"},{"family":"Jiwani","given":"Zahra M"},{"family":"Rondot","given":"Dominique"},{"family":"Ang","given":"Jocelyn"},{"family":"Kannikeswaran","given":"Nirupama"}],"issued":{"date-parts":[["2021",10,27]]}}}],"schema":"https://github.com/citation-style-language/schema/raw/master/csl-citation.json"}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(Pitman-Hunt et al., 2021)</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future research should aim at the production of cheap lateral flow assays or microfluidic devices that can detect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antigens or DNA in CSF in a matter of minutes. This sort of technology might have a drastic impact on the delay in diagnosis, which is currently one of the factors leading to the high mortality rate. Besides, probing for biomarker-based diagnostics via the detection of host inflammatory proteins or using metabolic signatures in blood or CSF may be an alternative route to diagnostics, in line with the recent proteomic discoveries that have pinpointed unique host response patterns in PAM cases</w:t>
      </w:r>
      <w:r w:rsidR="008F5434">
        <w:rPr>
          <w:rFonts w:ascii="Times New Roman" w:hAnsi="Times New Roman" w:cs="Times New Roman"/>
          <w:sz w:val="22"/>
          <w:szCs w:val="22"/>
        </w:rPr>
        <w:t>.</w:t>
      </w:r>
    </w:p>
    <w:p w14:paraId="07448003" w14:textId="77777777" w:rsidR="00EE2C81" w:rsidRDefault="00AD5FD4" w:rsidP="00945488">
      <w:pPr>
        <w:jc w:val="both"/>
        <w:rPr>
          <w:rFonts w:ascii="Segoe UI" w:hAnsi="Segoe UI" w:cs="Segoe UI"/>
          <w:color w:val="0F1115"/>
          <w:shd w:val="clear" w:color="auto" w:fill="FFFFFF"/>
        </w:rPr>
      </w:pPr>
      <w:r>
        <w:rPr>
          <w:rFonts w:ascii="Times New Roman" w:hAnsi="Times New Roman" w:cs="Times New Roman"/>
          <w:b/>
          <w:bCs/>
        </w:rPr>
        <w:t>9</w:t>
      </w:r>
      <w:r w:rsidR="00945488" w:rsidRPr="00AE470E">
        <w:rPr>
          <w:rFonts w:ascii="Times New Roman" w:hAnsi="Times New Roman" w:cs="Times New Roman"/>
          <w:b/>
          <w:bCs/>
        </w:rPr>
        <w:t xml:space="preserve">.2 </w:t>
      </w:r>
      <w:r w:rsidR="00E45897" w:rsidRPr="00AE470E">
        <w:rPr>
          <w:rFonts w:ascii="Times New Roman" w:hAnsi="Times New Roman" w:cs="Times New Roman"/>
          <w:b/>
          <w:bCs/>
        </w:rPr>
        <w:t>Therapeutics</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blood-brain barrier is a major factor that prevents PAM treatment from being effective. It is necessary to research advanced drug delivery systems that are advanced, such as the use of carriers in the form of nanoparticles, which have shown their potential in improving the central nervous system penetration of drugs in experimental models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{"citationID":"EUyzBUf3","properties":{"formattedCitation":"(Hu et al., 2024)","plainCitation":"(Hu et al., 2024)","noteIndex":0},"citationItems":[{"id":620,"uris":["http://zotero.org/users/18073969/items/YUZYS8HY"],"itemData":{"id":620,"type":"article-journal","container-title":"Journal of Controlled Release","DOI":"10.1016/j.jconrel.2023.11.015","ISSN":"01683659","journalAbbreviation":"Journal of Controlled Release","language":"en","page":"889-904","source":"DOI.org (Crossref)","title":"Inducing in situ M2 macrophage polarization to promote the repair of bone defects via scaffold-mediated sustained delivery of luteolin","volume":"365","author":[{"family":"Hu","given":"Yan"},{"family":"Tang","given":"Lixi"},{"family":"Wang","given":"Zheng"},{"family":"Yan","given":"Honghan"},{"family":"Yi","given":"Xinzeyu"},{"family":"Wang","given":"Huimin"},{"family":"Ma","given":"Liya"},{"family":"Yang","given":"Changying"},{"family":"Ran","given":"Jiabing"},{"family":"Yu","given":"Aixi"}],"issued":{"date-parts":[["2024",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(Hu et al., 2024)</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Receptor-mediated transport across the barrier and methods for temporary disruption of the blood-brain barrier are also promising areas for research. The high-throughput screening of compound libraries, supported by AI drug repurposing algorithms that have already pointed out some promising candidate compounds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{"citationID":"oJBYjG7H","properties":{"formattedCitation":"(Beigmohammadi et al., 2024)","plainCitation":"(Beigmohammadi et al., 2024)","noteIndex":0},"citationItems":[{"id":621,"uris":["http://zotero.org/users/18073969/items/36B4VL9N"],"itemData":{"id":621,"type":"article-journal","abstract":"Abstract\n            In response to the burgeoning interest in enhancing the properties of liquid crystal composites, this research systematically explores the intricate interplay between MBBA nematic liquid crystals and ferroelectric barium titanate nanoparticles. The focus is modulating dielectric properties under temperature, frequency, and an applied electric field. Nuanced insights into temperature-dependent behavior, parallel and perpendicular component alterations, and a nonlinear correlation between nanoparticle concentration and dielectric constant are revealed. The study delves into dielectric anisotropy, indicating a reduction with increasing temperature. Structural analyses validate size reduction and crystal phase maintenance of barium titanate nanoparticles (NPs), emphasizing their impact on dielectric characteristics. Frequency-dependent investigations underscore a consistent decline in permittivity with rising frequency across nanoparticle concentrations. Application of an electric field in filling process of liquid crystal cells reveals irregular changes in dielectric constant, holding promise for tailored applications in display technologies. These comprehensive findings offer valuable insights into manipulating dielectric anisotropy properties of MBBA liquid crystal by a simple method for potential advancements in optoelectronic devices and display technologies.","container-title":"Scientific Reports","DOI":"10.1038/s41598-024-56219-7","ISSN":"2045-2322","issue":"1","journalAbbreviation":"Sci Rep","language":"en","page":"5756","source":"DOI.org (Crossref)","title":"Dielectric anisotropy changes in MBBA liquid crystal doped with barium titanate by a new method","volume":"14","author":[{"family":"Beigmohammadi","given":"Maryam"},{"family":"Khadem Sadigh","given":"Mahsa"},{"family":"Poursamad","given":"Jaafar"}],"issued":{"date-parts":[["2024",3,8]]}}}],"schema":"https://github.com/citation-style-language/schema/raw/master/csl-citation.json"}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(Beigmohammadi et al., 2024)</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is one method that could lead to the discovery of novel anti-amoebic compounds. </w:t>
      </w:r>
      <w:r w:rsidR="002503DC" w:rsidRPr="002503DC">
        <w:rPr>
          <w:rFonts w:ascii="Times New Roman" w:hAnsi="Times New Roman" w:cs="Times New Roman"/>
          <w:sz w:val="22"/>
          <w:szCs w:val="22"/>
        </w:rPr>
        <w:t xml:space="preserve">The AI-driven approach's potential becomes more obvious when it is coupled with a precision medicine approach, in which computational models can customize therapeutic strategies according to the specific factors of the patient and pathogen, a tactic that has already demonstrated enormous promise across multiple disease areas </w:t>
      </w:r>
      <w:r w:rsidR="002503DC">
        <w:rPr>
          <w:rFonts w:ascii="Times New Roman" w:hAnsi="Times New Roman" w:cs="Times New Roman"/>
          <w:sz w:val="22"/>
          <w:szCs w:val="22"/>
        </w:rPr>
        <w:fldChar w:fldCharType="begin"/>
      </w:r>
      <w:r w:rsidR="002503DC">
        <w:rPr>
          <w:rFonts w:ascii="Times New Roman" w:hAnsi="Times New Roman" w:cs="Times New Roman"/>
          <w:sz w:val="22"/>
          <w:szCs w:val="22"/>
        </w:rPr>
        <w:instrText xml:space="preserve"> ADDIN ZOTERO_ITEM CSL_CITATION {"citationID":"L02u5VCX","properties":{"formattedCitation":"(Ali et al., 2025)","plainCitation":"(Ali et al., 2025)","noteIndex":0},"citationItems":[{"id":723,"uris":["http://zotero.org/users/18073969/items/MJRQD7EF"],"itemData":{"id":723,"type":"article-journal","abstract":"Aims: Targeting non-specific action, low bioavailability, and systemic toxicity have always been some of the major limitations of medicinal therapies for cancer, diabetes, and CVDs. Here, we provide an overview of a precision nanomaterial integrating AI, multi-omic data, and stimuli-responsive systems for delivery to overcome these limitations. \nMethods: In cancer, hypoxia-activated nanoparticles, along with enzyme-functionalized carriers, provide excellent penetration in tumours and lessen off-target toxicity. In contrast, the setup of glucose-responsive nanogels and CRISPR-loaded exosomes for diabetes works toward restoration of physiological insulin secretion but confronts problems of metabolic variability. In pathologies affecting the vasculature, peptide-guided nanoparticles and siRNA platforms allow for precise vascular targeting with LDL reduction of 50 per cent. \nResults: Cross-disease analysis reveals that batch-to-batch variability, immune clearance, and regulatory ambiguities stand convergently as barriers to clinical translation. AI-based design may optimise nanocarrier parameters, while closed-loop theranostic systems make real-time adaptation of the therapy possible. \nConclusion: Ethically governing algorithmic bias, CRISPR germline risks, and data privacy issues is of paramount concern here. The way forward is standardised manufacturing, patient-centred trials, and frugal innovations to democratize access to nanotherapies worldwide: targeted, safe, and fair.","container-title":"Journal of Complementary and Alternative Medical Research","DOI":"10.9734/jocamr/2025/v26i10717","ISSN":"2456-6276","issue":"10","journalAbbreviation":"J. Compl. Altern. Med. Res.","page":"1-19","source":"DOI.org (Crossref)","title":"Precision Nanomedicine Converging AI and Multi-Omics: A Comprehensive Review of Cross-disease Applications in Cancer, Diabetes, and Cardiovascular Therapies","title-short":"Precision Nanomedicine Converging AI and Multi-Omics","volume":"26","author":[{"family":"Ali","given":"Samad"},{"family":"Siam","given":"Saklain Mostak"},{"family":"Navid-Al-Islam","given":"K.M."},{"family":"Haque","given":"Md. Asadul"},{"family":"Sobhan","given":"Abdus"}],"issued":{"date-parts":[["2025",10,22]]}}}],"schema":"https://github.com/citation-style-language/schema/raw/master/csl-citation.json"} </w:instrText>
      </w:r>
      <w:r w:rsidR="002503DC">
        <w:rPr>
          <w:rFonts w:ascii="Times New Roman" w:hAnsi="Times New Roman" w:cs="Times New Roman"/>
          <w:sz w:val="22"/>
          <w:szCs w:val="22"/>
        </w:rPr>
        <w:fldChar w:fldCharType="separate"/>
      </w:r>
      <w:r w:rsidR="002503DC" w:rsidRPr="002503DC">
        <w:rPr>
          <w:rFonts w:ascii="Times New Roman" w:hAnsi="Times New Roman" w:cs="Times New Roman"/>
          <w:sz w:val="22"/>
        </w:rPr>
        <w:t>(Ali et al., 2025)</w:t>
      </w:r>
      <w:r w:rsidR="002503DC">
        <w:rPr>
          <w:rFonts w:ascii="Times New Roman" w:hAnsi="Times New Roman" w:cs="Times New Roman"/>
          <w:sz w:val="22"/>
          <w:szCs w:val="22"/>
        </w:rPr>
        <w:fldChar w:fldCharType="end"/>
      </w:r>
      <w:r w:rsidR="00012B14" w:rsidRPr="00012B14">
        <w:rPr>
          <w:rFonts w:ascii="Times New Roman" w:hAnsi="Times New Roman" w:cs="Times New Roman"/>
          <w:sz w:val="22"/>
          <w:szCs w:val="22"/>
        </w:rPr>
        <w:t>.</w:t>
      </w:r>
      <w:r w:rsidR="00012B14">
        <w:rPr>
          <w:rFonts w:ascii="Times New Roman" w:hAnsi="Times New Roman" w:cs="Times New Roman"/>
          <w:sz w:val="22"/>
          <w:szCs w:val="22"/>
        </w:rPr>
        <w:t xml:space="preserve"> </w:t>
      </w:r>
      <w:r w:rsidR="0040483A" w:rsidRPr="0040483A">
        <w:rPr>
          <w:rFonts w:ascii="Times New Roman" w:hAnsi="Times New Roman" w:cs="Times New Roman"/>
          <w:sz w:val="22"/>
          <w:szCs w:val="22"/>
        </w:rPr>
        <w:t xml:space="preserve">Immunotherapy methods, such as the use of engineered antibodies that specifically bind to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surface proteins and activation of macrophage function using immunomodulators, open up another potential area.</w:t>
      </w:r>
      <w:r w:rsidR="00012B14" w:rsidRPr="00012B14">
        <w:rPr>
          <w:rFonts w:ascii="Segoe UI" w:hAnsi="Segoe UI" w:cs="Segoe UI"/>
          <w:color w:val="0F1115"/>
          <w:shd w:val="clear" w:color="auto" w:fill="FFFFFF"/>
        </w:rPr>
        <w:t xml:space="preserve"> </w:t>
      </w:r>
    </w:p>
    <w:p w14:paraId="5D0F26CC" w14:textId="295043C4"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Another promising approach is to investigate natural compounds with both anti-inflammatory and antioxidant properties as complementary treatments. The severe inflammatory response and oxidative stress in PAM are the main factors causing neural damage. Plants with medicinal potential, like </w:t>
      </w:r>
      <w:r w:rsidRPr="00BA77D3">
        <w:rPr>
          <w:rFonts w:ascii="Times New Roman" w:hAnsi="Times New Roman" w:cs="Times New Roman"/>
          <w:i/>
          <w:iCs/>
          <w:sz w:val="22"/>
          <w:szCs w:val="22"/>
        </w:rPr>
        <w:t>Phyllanthus emblica</w:t>
      </w:r>
      <w:r w:rsidRPr="002503DC">
        <w:rPr>
          <w:rFonts w:ascii="Times New Roman" w:hAnsi="Times New Roman" w:cs="Times New Roman"/>
          <w:sz w:val="22"/>
          <w:szCs w:val="22"/>
        </w:rPr>
        <w:t xml:space="preserve"> (Amla), which possess significant antioxidant and anti-inflammatory properties documented</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ADDIN ZOTERO_ITEM CSL_CITATION {"citationID":"c8qoalRw","properties":{"formattedCitation":"(Mehjabin et al., 2024)","plainCitation":"(Mehjabin et al., 2024)","noteIndex":0},"citationItems":[{"id":726,"uris":["http://zotero.org/users/18073969/items/8AWWJSIT"],"itemData":{"id":726,"type":"chapter","container-title":"Medicinal Plants and their Bioactive Compounds in Human Health: Volume 1","event-place":"Singapore","ISBN":"978-981-97-6894-3","language":"en","note":"DOI: 10.1007/978-981-97-6895-0_8","page":"143-164","publisher":"Springer Nature Singapore","publisher-place":"Singapore","source":"DOI.org (Crossref)","title":"Medicinal and Nutritional Importance of Phyllanthus emblica in Human Health","URL":"https://link.springer.com/10.1007/978-981-97-6895-0_8","editor":[{"family":"Ansari","given":"Mohammad Azam"},{"family":"Shoaib","given":"Shoaib"},{"family":"Islam","given":"Najmul"}],"author":[{"family":"Mehjabin","given":"Sanzia"},{"family":"Akanda","given":"Md. Khokon Miah"},{"family":"Akhter","given":"Nurjahan"},{"family":"Bosri","given":"Most. Rabea"},{"family":"Ali","given":"Samad"}],"accessed":{"date-parts":[["2025",10,23]]},"issued":{"date-parts":[["2024"]]}}}],"schema":"https://github.com/citation-style-language/schema/raw/master/csl-citation.json"} </w:instrText>
      </w:r>
      <w:r>
        <w:rPr>
          <w:rFonts w:ascii="Times New Roman" w:hAnsi="Times New Roman" w:cs="Times New Roman"/>
          <w:sz w:val="22"/>
          <w:szCs w:val="22"/>
        </w:rPr>
        <w:fldChar w:fldCharType="separate"/>
      </w:r>
      <w:r w:rsidRPr="002503DC">
        <w:rPr>
          <w:rFonts w:ascii="Times New Roman" w:hAnsi="Times New Roman" w:cs="Times New Roman"/>
          <w:sz w:val="22"/>
        </w:rPr>
        <w:t>(Mehjabin et al., 2024)</w:t>
      </w:r>
      <w:r>
        <w:rPr>
          <w:rFonts w:ascii="Times New Roman" w:hAnsi="Times New Roman" w:cs="Times New Roman"/>
          <w:sz w:val="22"/>
          <w:szCs w:val="22"/>
        </w:rPr>
        <w:fldChar w:fldCharType="end"/>
      </w:r>
      <w:r w:rsidRPr="002503DC">
        <w:rPr>
          <w:rFonts w:ascii="Times New Roman" w:hAnsi="Times New Roman" w:cs="Times New Roman"/>
          <w:sz w:val="22"/>
          <w:szCs w:val="22"/>
        </w:rPr>
        <w:t>, might also be explored to lessen the host's damaging immune response and, at the same time, protect the nerve against direct amoebicidal drugs.</w:t>
      </w:r>
      <w:r>
        <w:rPr>
          <w:rFonts w:ascii="Times New Roman" w:hAnsi="Times New Roman" w:cs="Times New Roman"/>
          <w:sz w:val="22"/>
          <w:szCs w:val="22"/>
        </w:rPr>
        <w:t xml:space="preserve"> </w:t>
      </w:r>
    </w:p>
    <w:p w14:paraId="45C85AA3" w14:textId="324A0784" w:rsidR="00EE2C81" w:rsidRDefault="002503DC" w:rsidP="00945488">
      <w:pPr>
        <w:jc w:val="both"/>
        <w:rPr>
          <w:rFonts w:ascii="Times New Roman" w:hAnsi="Times New Roman" w:cs="Times New Roman"/>
          <w:sz w:val="22"/>
          <w:szCs w:val="22"/>
        </w:rPr>
      </w:pPr>
      <w:r w:rsidRPr="002503DC">
        <w:rPr>
          <w:rFonts w:ascii="Times New Roman" w:hAnsi="Times New Roman" w:cs="Times New Roman"/>
          <w:sz w:val="22"/>
          <w:szCs w:val="22"/>
        </w:rPr>
        <w:t xml:space="preserve">Moreover, the newborn and repurposed drug safety and dosage for PAM must be thoroughly evaluated, particularly because the disease usually affects children and young adults. The experience of other pediatric specialties can be advantageous in that the systematic evaluation of drug efficacy and safety in vulnerable populations, such as children with congenital heart disease on antihypertensive regimens, is paramount </w:t>
      </w:r>
      <w:r w:rsidR="00EE2C81">
        <w:rPr>
          <w:rFonts w:ascii="Times New Roman" w:hAnsi="Times New Roman" w:cs="Times New Roman"/>
          <w:sz w:val="22"/>
          <w:szCs w:val="22"/>
        </w:rPr>
        <w:fldChar w:fldCharType="begin"/>
      </w:r>
      <w:r w:rsidR="00EE2C81">
        <w:rPr>
          <w:rFonts w:ascii="Times New Roman" w:hAnsi="Times New Roman" w:cs="Times New Roman"/>
          <w:sz w:val="22"/>
          <w:szCs w:val="22"/>
        </w:rPr>
        <w:instrText xml:space="preserve"> ADDIN ZOTERO_ITEM CSL_CITATION {"citationID":"pLa2xKCz","properties":{"formattedCitation":"(Samad Ali et al., 2024)","plainCitation":"(Samad Ali et al., 2024)","noteIndex":0},"citationItems":[{"id":724,"uris":["http://zotero.org/users/18073969/items/BU47Q4ZU"],"itemData":{"id":724,"type":"article-journal","abstract":"CHD is the most common of all congenital anomalies causing mortality among children, characterized by structural abnormalities present at birth that vary in severity and complexity. Increased cardiac workload due to CHD may stipulate a growth delay in the affected children. The complexity of treatment is further compounded by medication errors, and hence, rigorous strategies of evaluation and management become necessary. This study was conducted to determine antihypertensive drug consumption patterns and to evaluate their therapeutic efficacy among 92 patients with CHD to meet the evaluation criteria, including appropriateness of treatment for the condition of the patient, adherence to indications, accuracy of dosage, and drug use practice. Females constituted the highest proportion of patients at 53.26 percent, infants were the most common age group at 43.48 percent, and Atrial seal defect accounted for 22.5 percent of the CHD patients. The antihypertensive drugs predominantly prescribed are Furosemide, used by 44.9% of the subjects, followed by Captopril, used by 30.3%, and Spironolactone, used by 10.1%. Therapy was evaluated for its effectiveness; appropriateness, both for the patient's indications and drug usage, was found to be very high, at 98.9% and 97.8%, respectively, whereas adherence to prescribed dosage was relatively lower at 62.7%. This study points toward further challenges in the management of antihypertensive treatment among children with CHD. It needs combined efforts by a pediatric cardiologist, pharmacist, nurse, and caregiver for total care to reduce the risk from treatment. Continuous monitoring and alterations in the plan of treatment, coupled with education, could be significant in optimizing medication adherence to improve long-term health outcomes in CHD children. The research done in this field, at large, improves pediatric cardiology practice to reduce morbidity and mortality rates associated with congenital heart disease around the world.","container-title":"Journal of Medical and Health Studies","DOI":"10.32996/jmhs.2024.5.3.6","ISSN":"2710-1452","issue":"3","journalAbbreviation":"jmhs","page":"41-55","source":"DOI.org (Crossref)","title":"Evaluating the Efficacy and Safety of Antihypertensive Drugs in the Treatment of Congenital Heart Disease in Paediatric Patients: A Comprehensive Study","title-short":"Evaluating the Efficacy and Safety of Antihypertensive Drugs in the Treatment of Congenital Heart Disease in Paediatric Patients","volume":"5","author":[{"literal":"Samad Ali"},{"literal":"Abdus Sobhan"},{"family":"Pathak","given":"Abhijit"}],"issued":{"date-parts":[["2024",8,6]]}}}],"schema":"https://github.com/citation-style-language/schema/raw/master/csl-citation.json"} </w:instrText>
      </w:r>
      <w:r w:rsidR="00EE2C81">
        <w:rPr>
          <w:rFonts w:ascii="Times New Roman" w:hAnsi="Times New Roman" w:cs="Times New Roman"/>
          <w:sz w:val="22"/>
          <w:szCs w:val="22"/>
        </w:rPr>
        <w:fldChar w:fldCharType="separate"/>
      </w:r>
      <w:r w:rsidR="00EE2C81" w:rsidRPr="00EE2C81">
        <w:rPr>
          <w:rFonts w:ascii="Times New Roman" w:hAnsi="Times New Roman" w:cs="Times New Roman"/>
          <w:sz w:val="22"/>
        </w:rPr>
        <w:t>(Samad Ali et al., 2024)</w:t>
      </w:r>
      <w:r w:rsidR="00EE2C81">
        <w:rPr>
          <w:rFonts w:ascii="Times New Roman" w:hAnsi="Times New Roman" w:cs="Times New Roman"/>
          <w:sz w:val="22"/>
          <w:szCs w:val="22"/>
        </w:rPr>
        <w:fldChar w:fldCharType="end"/>
      </w:r>
      <w:r w:rsidRPr="002503DC">
        <w:rPr>
          <w:rFonts w:ascii="Times New Roman" w:hAnsi="Times New Roman" w:cs="Times New Roman"/>
          <w:sz w:val="22"/>
          <w:szCs w:val="22"/>
        </w:rPr>
        <w:t>. Setting up comparable pharmacovigilance and age-appropriate dosing frameworks is a vital future step for the enhancement of the PAM survival rate.</w:t>
      </w:r>
      <w:r>
        <w:rPr>
          <w:rFonts w:ascii="Times New Roman" w:hAnsi="Times New Roman" w:cs="Times New Roman"/>
          <w:sz w:val="22"/>
          <w:szCs w:val="22"/>
        </w:rPr>
        <w:t xml:space="preserve"> </w:t>
      </w:r>
      <w:r w:rsidR="0040483A" w:rsidRPr="0040483A">
        <w:rPr>
          <w:rFonts w:ascii="Times New Roman" w:hAnsi="Times New Roman" w:cs="Times New Roman"/>
          <w:sz w:val="22"/>
          <w:szCs w:val="22"/>
        </w:rPr>
        <w:t>Besides, combination therapy optimization through pharmacokinetic/pharmacodynamic modeling and clinical trial simulation could make way for evidence-based dosing regimens for both the new and the existing therapeutic agents.</w:t>
      </w:r>
      <w:r w:rsidR="00012B14">
        <w:rPr>
          <w:rFonts w:ascii="Times New Roman" w:hAnsi="Times New Roman" w:cs="Times New Roman"/>
          <w:sz w:val="22"/>
          <w:szCs w:val="22"/>
        </w:rPr>
        <w:t xml:space="preserve"> </w:t>
      </w:r>
    </w:p>
    <w:p w14:paraId="7D2C2765" w14:textId="16689928" w:rsidR="0040483A" w:rsidRDefault="0040483A" w:rsidP="00945488">
      <w:pPr>
        <w:jc w:val="both"/>
        <w:rPr>
          <w:rFonts w:ascii="Times New Roman" w:hAnsi="Times New Roman" w:cs="Times New Roman"/>
          <w:sz w:val="22"/>
          <w:szCs w:val="22"/>
        </w:rPr>
      </w:pPr>
      <w:r w:rsidRPr="0040483A">
        <w:rPr>
          <w:rFonts w:ascii="Times New Roman" w:hAnsi="Times New Roman" w:cs="Times New Roman"/>
          <w:sz w:val="22"/>
          <w:szCs w:val="22"/>
        </w:rPr>
        <w:lastRenderedPageBreak/>
        <w:t xml:space="preserve">However, the </w:t>
      </w:r>
      <w:r w:rsidRPr="0040483A">
        <w:rPr>
          <w:rFonts w:ascii="Times New Roman" w:hAnsi="Times New Roman" w:cs="Times New Roman"/>
          <w:i/>
          <w:iCs/>
          <w:sz w:val="22"/>
          <w:szCs w:val="22"/>
        </w:rPr>
        <w:t>in-silico</w:t>
      </w:r>
      <w:r w:rsidRPr="0040483A">
        <w:rPr>
          <w:rFonts w:ascii="Times New Roman" w:hAnsi="Times New Roman" w:cs="Times New Roman"/>
          <w:sz w:val="22"/>
          <w:szCs w:val="22"/>
        </w:rPr>
        <w:t xml:space="preserve"> screens will initially identify promising candidates that should later be put through a series of rigorous tests </w:t>
      </w:r>
      <w:r w:rsidRPr="0040483A">
        <w:rPr>
          <w:rFonts w:ascii="Times New Roman" w:hAnsi="Times New Roman" w:cs="Times New Roman"/>
          <w:i/>
          <w:iCs/>
          <w:sz w:val="22"/>
          <w:szCs w:val="22"/>
        </w:rPr>
        <w:t>in vitro</w:t>
      </w:r>
      <w:r w:rsidRPr="0040483A">
        <w:rPr>
          <w:rFonts w:ascii="Times New Roman" w:hAnsi="Times New Roman" w:cs="Times New Roman"/>
          <w:sz w:val="22"/>
          <w:szCs w:val="22"/>
        </w:rPr>
        <w:t xml:space="preserve"> amoebicidal assays and, importantly, in animal models of PAM to verify their efficacy and safety before being considered for clinical use.</w:t>
      </w:r>
    </w:p>
    <w:p w14:paraId="1238470B" w14:textId="36355F74" w:rsidR="00E45897" w:rsidRPr="00E45897"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.3 </w:t>
      </w:r>
      <w:r w:rsidR="00E45897" w:rsidRPr="00AE470E">
        <w:rPr>
          <w:rFonts w:ascii="Times New Roman" w:hAnsi="Times New Roman" w:cs="Times New Roman"/>
          <w:b/>
          <w:bCs/>
        </w:rPr>
        <w:t>Surveillance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predictive models for PAM risk are being developed, and this area of research is gaining importance. The utilization of machine learning algorithms that combine climate data, water quality parameters, and epidemiological information could lead to the creation of early warning systems for public health interventions. This would be particularly crucial, taking into account the already recognized link between climate change and the enlargement of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habitats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{"citationID":"3gVzw0OO","properties":{"formattedCitation":"(Steenbeek et al., 2022)","plainCitation":"(Steenbeek et al., 2022)","noteIndex":0},"citationItems":[{"id":592,"uris":["http://zotero.org/users/18073969/items/CVCAT3C9"],"itemData":{"id":592,"type":"article-journal","abstract":"Abstract\n            The COVID-19 pandemic has brought new momentum to ‘wastewater-based epidemiology’ (WBE). This approach can be applied to monitor the levels of antibiotic-resistant genes (ARGs), which in terms are used to make inferences about the burden of antimicrobial resistance (AMR) in human settlements. However, there is still little information about temporal variability in ARG levels measured in wastewater streams and how these influence the inferences made about the occurrence of AMR in communities. The goal of this study was hence to gain insights into the variability in ARG levels measured in the influent and effluent of two wastewater treatment plants in The Netherlands and link these to levels of antibiotic residues measured in the same samples. Eleven antibiotics were detected, together with all selected ARGs, except for VanB. Among the measured antibiotics, significant positive correlations (p &amp;gt; 0.70) with the corresponding resistance genes and some non-corresponding ARGs were found. Mass loads varied up to a factor of 35 between days and in concomitance with rainfall. Adequate sampling schemes need to be designed to ensure that conclusions are drawn from valid and representative data. Additionally, we advocate for the use of mass loads to interpret levels of AMR measured in wastewater.","container-title":"Journal of Water and Health","DOI":"10.2166/wh.2022.021","ISSN":"1477-8920, 1996-7829","issue":"8","language":"en","page":"1157-1170","source":"DOI.org (Crossref)","title":"Monitoring the exposure and emissions of antibiotic resistance: Co-occurrence of antibiotics and resistance genes in wastewater treatment plants","title-short":"Monitoring the exposure and emissions of antibiotic resistance","volume":"20","author":[{"family":"Steenbeek","given":"Ruud"},{"family":"Timmers","given":"Peer H. A."},{"family":"Van Der Linde","given":"Danielle"},{"family":"Hup","given":"Kay"},{"family":"Hornstra","given":"Luc"},{"family":"Been","given":"Frederic"}],"issued":{"date-parts":[["2022",8,1]]}}}],"schema":"https://github.com/citation-style-language/schema/raw/master/csl-citation.json"}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(Steenbeek et al., 2022)</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environmental surveillance methods, including the refined water sampling protocols and the sensitive detection techniques for </w:t>
      </w:r>
      <w:r w:rsidR="0040483A" w:rsidRPr="0040483A">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in water systems, need standardization and validation. If a coordinated system of international registries for PAM cases is established, this will contribute to the comprehension of global epidemiology and also ease the quick spotting of new trends, thus expanding the current water safety research that has already shown the link between water system characteristics and PAM cases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{"citationID":"twJiwMMK","properties":{"formattedCitation":"(Cope et al., 2015)","plainCitation":"(Cope et al., 2015)","noteIndex":0},"citationItems":[{"id":625,"uris":["http://zotero.org/users/18073969/items/RIXX7S5Z"],"itemData":{"id":625,"type":"article-journal","container-title":"Clinical Infectious Diseases","DOI":"10.1093/cid/civ017","ISSN":"1058-4838, 1537-6591","issue":"8","journalAbbreviation":"Clinical Infectious Diseases","language":"en","page":"e36-e42","source":"DOI.org (Crossref)","title":"The First Association of a Primary Amebic Meningoencephalitis Death With Culturable Naegleria fowleri in Tap Water From a US Treated Public Drinking Water System","volume":"60","author":[{"family":"Cope","given":"J. R."},{"family":"Ratard","given":"R. C."},{"family":"Hill","given":"V. R."},{"family":"Sokol","given":"T."},{"family":"Causey","given":"J. J."},{"family":"Yoder","given":"J. S."},{"family":"Mirani","given":"G."},{"family":"Mull","given":"B."},{"family":"Mukerjee","given":"K. A."},{"family":"Narayanan","given":"J."},{"family":"Doucet","given":"M."},{"family":"Qvarnstrom","given":"Y."},{"family":"Poole","given":"C. N."},{"family":"Akingbola","given":"O. A."},{"family":"Ritter","given":"J. M."},{"family":"Xiong","given":"Z."},{"family":"Da Silva","given":"A. J."},{"family":"Roellig","given":"D."},{"family":"Van Dyke","given":"R. B."},{"family":"Stern","given":"H."},{"family":"Xiao","given":"L."},{"family":"Beach","given":"M. J."}],"issued":{"date-parts":[["2015",4,15]]}}}],"schema":"https://github.com/citation-style-language/schema/raw/master/csl-citation.json"}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(Cope et al., 2015)</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14:paraId="3550F302" w14:textId="488A8569" w:rsidR="0040483A" w:rsidRDefault="00AD5FD4" w:rsidP="00945488">
      <w:pPr>
        <w:jc w:val="both"/>
        <w:rPr>
          <w:rFonts w:ascii="Times New Roman" w:hAnsi="Times New Roman" w:cs="Times New Roman"/>
          <w:sz w:val="22"/>
          <w:szCs w:val="22"/>
        </w:rPr>
      </w:pPr>
      <w:r>
        <w:rPr>
          <w:rFonts w:ascii="Times New Roman" w:hAnsi="Times New Roman" w:cs="Times New Roman"/>
          <w:b/>
          <w:bCs/>
        </w:rPr>
        <w:t>9</w:t>
      </w:r>
      <w:r w:rsidR="00945488" w:rsidRPr="00AE470E">
        <w:rPr>
          <w:rFonts w:ascii="Times New Roman" w:hAnsi="Times New Roman" w:cs="Times New Roman"/>
          <w:b/>
          <w:bCs/>
        </w:rPr>
        <w:t xml:space="preserve">.4 </w:t>
      </w:r>
      <w:r w:rsidR="00E45897" w:rsidRPr="00AE470E">
        <w:rPr>
          <w:rFonts w:ascii="Times New Roman" w:hAnsi="Times New Roman" w:cs="Times New Roman"/>
          <w:b/>
          <w:bCs/>
        </w:rPr>
        <w:t>Basic Science</w:t>
      </w:r>
      <w:r w:rsidR="00E45897" w:rsidRPr="00E45897">
        <w:rPr>
          <w:rFonts w:ascii="Times New Roman" w:hAnsi="Times New Roman" w:cs="Times New Roman"/>
          <w:sz w:val="22"/>
          <w:szCs w:val="22"/>
        </w:rPr>
        <w:br/>
      </w:r>
      <w:r w:rsidR="0040483A" w:rsidRPr="0040483A">
        <w:rPr>
          <w:rFonts w:ascii="Times New Roman" w:hAnsi="Times New Roman" w:cs="Times New Roman"/>
          <w:sz w:val="22"/>
          <w:szCs w:val="22"/>
        </w:rPr>
        <w:t xml:space="preserve">The understanding of host-pathogen interactions in PAM is still marred by considerable knowledge gaps that need to be filled by research. These immune mechanisms that determine susceptibility as opposed to resistance to infection are to be revealed, including the role played by nasal mucosal immunity and immune responses along the olfactory nerve. Though genomic studies have laid the groundwork </w:t>
      </w:r>
      <w:r w:rsidR="0065201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{"citationID":"ZfWC3dyp","properties":{"formattedCitation":"(Kaur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652010">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652010">
        <w:rPr>
          <w:rFonts w:ascii="Times New Roman" w:hAnsi="Times New Roman" w:cs="Times New Roman"/>
          <w:sz w:val="22"/>
          <w:szCs w:val="22"/>
        </w:rPr>
        <w:fldChar w:fldCharType="end"/>
      </w:r>
      <w:r w:rsidR="0040483A" w:rsidRPr="0040483A">
        <w:rPr>
          <w:rFonts w:ascii="Times New Roman" w:hAnsi="Times New Roman" w:cs="Times New Roman"/>
          <w:sz w:val="22"/>
          <w:szCs w:val="22"/>
        </w:rPr>
        <w:t xml:space="preserve">, the full-scale metabolic profiling of </w:t>
      </w:r>
      <w:r w:rsidR="0040483A" w:rsidRPr="0040483A">
        <w:rPr>
          <w:rFonts w:ascii="Times New Roman" w:hAnsi="Times New Roman" w:cs="Times New Roman"/>
          <w:i/>
          <w:iCs/>
          <w:sz w:val="22"/>
          <w:szCs w:val="22"/>
        </w:rPr>
        <w:t xml:space="preserve">N. fowleri </w:t>
      </w:r>
      <w:r w:rsidR="0040483A" w:rsidRPr="0040483A">
        <w:rPr>
          <w:rFonts w:ascii="Times New Roman" w:hAnsi="Times New Roman" w:cs="Times New Roman"/>
          <w:sz w:val="22"/>
          <w:szCs w:val="22"/>
        </w:rPr>
        <w:t xml:space="preserve">at different life cycle stages and during CNS invasion could open up the discovery of essential pathways for targeted intervention. Currently, the genetic manipulation methods for </w:t>
      </w:r>
      <w:r w:rsidR="0040483A" w:rsidRPr="007744C6">
        <w:rPr>
          <w:rFonts w:ascii="Times New Roman" w:hAnsi="Times New Roman" w:cs="Times New Roman"/>
          <w:i/>
          <w:iCs/>
          <w:sz w:val="22"/>
          <w:szCs w:val="22"/>
        </w:rPr>
        <w:t>N. fowleri</w:t>
      </w:r>
      <w:r w:rsidR="0040483A" w:rsidRPr="0040483A">
        <w:rPr>
          <w:rFonts w:ascii="Times New Roman" w:hAnsi="Times New Roman" w:cs="Times New Roman"/>
          <w:sz w:val="22"/>
          <w:szCs w:val="22"/>
        </w:rPr>
        <w:t xml:space="preserve"> have yet to be developed for the purpose of proper functional genomic studies of the virulence factors. The molecular basis of the parasite's astonishing neurotropism and the nature of its rapid migration through neural pathways are still poorly elucidated, notwithstanding that some proteomics work has already provided the identification of certain potential virulence factors </w:t>
      </w:r>
      <w:r w:rsidR="00851590">
        <w:rPr>
          <w:rFonts w:ascii="Times New Roman" w:hAnsi="Times New Roman" w:cs="Times New Roman"/>
          <w:sz w:val="22"/>
          <w:szCs w:val="22"/>
        </w:rPr>
        <w:fldChar w:fldCharType="begin"/>
      </w:r>
      <w:r w:rsidR="00652010">
        <w:rPr>
          <w:rFonts w:ascii="Times New Roman" w:hAnsi="Times New Roman" w:cs="Times New Roman"/>
          <w:sz w:val="22"/>
          <w:szCs w:val="22"/>
        </w:rPr>
        <w:instrText xml:space="preserve"> ADDIN ZOTERO_ITEM CSL_CITATION {"citationID":"jRVcJhl7","properties":{"formattedCitation":"(Kaur et al., 2023)","plainCitation":"(Kaur et al., 2023)","noteIndex":0},"citationItems":[{"id":572,"uris":["http://zotero.org/users/18073969/items/W8SQPYSZ"],"itemData":{"id":572,"type":"article-journal","abstract":"Cholera outbreaks primarily occur in areas lacking adequate water, sanitation, and hygiene (WASH), and infection can cause severe dehydration and death. As individuals living near cholera cases are more likely to contract cholera, case-area targeted interventions (CATI), where a response team visits case and neighbor households and conducts WASH and/or epidemiological interventions, are increasingly implemented to interrupt cholera transmission. As part of a multi-pronged evaluation on whether CATIs reduce cholera transmission, we compared two organizations’ standard operating procedures (SOPs) with information from key informant interviews with 26 staff at national/headquarters and field levels who implemented CATIs in Nigeria in 2021. While organizations generally adhered to SOPs during implementation, deviations related to accessing case household and neighbor household selection were made due to incomplete line lists, high population density, and insufficient staffing and materials. We recommend reducing the CATI radius, providing more explicit context-specific guidance in SOPs, adopting more measures to ensure sufficient staffing and supplies, improving surveillance and data management, and strengthening risk communication and community engagement. The qualitative results herein will inform future quantitative analysis to provide recommendations for overall CATI implementation in future cholera responses in fragile contexts.","container-title":"PLOS Neglected Tropical Diseases","DOI":"10.1371/journal.pntd.0011298","ISSN":"1935-2735","issue":"4","journalAbbreviation":"PLoS Negl Trop Dis","language":"en","page":"e0011298","source":"DOI.org (Crossref)","title":"Implementation considerations in case-area targeted interventions to prevent cholera transmission in Northeast Nigeria: A qualitative analysis","title-short":"Implementation considerations in case-area targeted interventions to prevent cholera transmission in Northeast Nigeria","volume":"17","author":[{"family":"Kaur","given":"Gurpreet"},{"family":"Salem-Bango","given":"Lindsay"},{"family":"Nery","given":"Ana Leticia Melquiades Dos Santos"},{"family":"Solomon","given":"Emmanuel Chimda"},{"family":"Ihemezue","given":"Emmanuel"},{"family":"Kelly","given":"Christine"},{"family":"Altare","given":"Chiara"},{"family":"Azman","given":"Andrew S."},{"family":"Spiegel","given":"Paul B."},{"family":"Lantagne","given":"Daniele"}],"editor":[{"family":"Kumar","given":"Prashant"}],"issued":{"date-parts":[["2023",4,28]]}}}],"schema":"https://github.com/citation-style-language/schema/raw/master/csl-citation.json"} </w:instrText>
      </w:r>
      <w:r w:rsidR="00851590">
        <w:rPr>
          <w:rFonts w:ascii="Times New Roman" w:hAnsi="Times New Roman" w:cs="Times New Roman"/>
          <w:sz w:val="22"/>
          <w:szCs w:val="22"/>
        </w:rPr>
        <w:fldChar w:fldCharType="separate"/>
      </w:r>
      <w:r w:rsidR="00652010" w:rsidRPr="00652010">
        <w:rPr>
          <w:rFonts w:ascii="Times New Roman" w:hAnsi="Times New Roman" w:cs="Times New Roman"/>
          <w:sz w:val="22"/>
        </w:rPr>
        <w:t>(Kaur et al., 2023)</w:t>
      </w:r>
      <w:r w:rsidR="00851590">
        <w:rPr>
          <w:rFonts w:ascii="Times New Roman" w:hAnsi="Times New Roman" w:cs="Times New Roman"/>
          <w:sz w:val="22"/>
          <w:szCs w:val="22"/>
        </w:rPr>
        <w:fldChar w:fldCharType="end"/>
      </w:r>
      <w:r w:rsidR="0040483A" w:rsidRPr="0040483A">
        <w:rPr>
          <w:rFonts w:ascii="Times New Roman" w:hAnsi="Times New Roman" w:cs="Times New Roman"/>
          <w:sz w:val="22"/>
          <w:szCs w:val="22"/>
        </w:rPr>
        <w:t>.</w:t>
      </w:r>
    </w:p>
    <w:p w14:paraId="02F11635" w14:textId="77777777" w:rsidR="00FB70FB" w:rsidRDefault="00FB70FB" w:rsidP="00945488">
      <w:pPr>
        <w:jc w:val="both"/>
        <w:rPr>
          <w:rFonts w:ascii="Times New Roman" w:hAnsi="Times New Roman" w:cs="Times New Roman"/>
          <w:sz w:val="22"/>
          <w:szCs w:val="22"/>
        </w:rPr>
      </w:pPr>
    </w:p>
    <w:p w14:paraId="2F086C66" w14:textId="7D877475" w:rsidR="00E45897" w:rsidRPr="00AE470E" w:rsidRDefault="00E45897" w:rsidP="00945488">
      <w:pPr>
        <w:jc w:val="both"/>
        <w:rPr>
          <w:rFonts w:ascii="Times New Roman" w:hAnsi="Times New Roman" w:cs="Times New Roman"/>
          <w:b/>
          <w:bCs/>
          <w:sz w:val="26"/>
          <w:szCs w:val="26"/>
        </w:rPr>
      </w:pPr>
      <w:r w:rsidRPr="00AE470E">
        <w:rPr>
          <w:rFonts w:ascii="Times New Roman" w:hAnsi="Times New Roman" w:cs="Times New Roman"/>
          <w:b/>
          <w:bCs/>
          <w:sz w:val="26"/>
          <w:szCs w:val="26"/>
        </w:rPr>
        <w:t>Conclusion</w:t>
      </w:r>
    </w:p>
    <w:p w14:paraId="7297CE85" w14:textId="256943C0" w:rsidR="007744C6" w:rsidRDefault="006E4F58" w:rsidP="00945488">
      <w:pPr>
        <w:jc w:val="both"/>
        <w:rPr>
          <w:rFonts w:ascii="Times New Roman" w:hAnsi="Times New Roman" w:cs="Times New Roman"/>
          <w:sz w:val="22"/>
          <w:szCs w:val="22"/>
        </w:rPr>
      </w:pPr>
      <w:r w:rsidRPr="006E4F58">
        <w:rPr>
          <w:rFonts w:ascii="Times New Roman" w:hAnsi="Times New Roman" w:cs="Times New Roman"/>
          <w:sz w:val="22"/>
          <w:szCs w:val="22"/>
        </w:rPr>
        <w:t xml:space="preserve">The disease caused by the free-living amoeba </w:t>
      </w:r>
      <w:r w:rsidRPr="00BA77D3">
        <w:rPr>
          <w:rFonts w:ascii="Times New Roman" w:hAnsi="Times New Roman" w:cs="Times New Roman"/>
          <w:i/>
          <w:iCs/>
          <w:sz w:val="22"/>
          <w:szCs w:val="22"/>
        </w:rPr>
        <w:t>Naegleria fowleri</w:t>
      </w:r>
      <w:r w:rsidRPr="006E4F58">
        <w:rPr>
          <w:rFonts w:ascii="Times New Roman" w:hAnsi="Times New Roman" w:cs="Times New Roman"/>
          <w:sz w:val="22"/>
          <w:szCs w:val="22"/>
        </w:rPr>
        <w:t xml:space="preserve">, Primary Amoebic Meningoencephalitis, is still an overwhelming dilemma in the fields of infectious diseases and neurology, as the mortality rates have not decreased significantly, though medical advancements have been made. </w:t>
      </w:r>
      <w:r w:rsidR="007744C6" w:rsidRPr="007744C6">
        <w:rPr>
          <w:rFonts w:ascii="Times New Roman" w:hAnsi="Times New Roman" w:cs="Times New Roman"/>
          <w:sz w:val="22"/>
          <w:szCs w:val="22"/>
        </w:rPr>
        <w:t>It still maintains the same high rate of death regardless of the medical progress achieved through the years. The present review has collected the most important data from the years 2020-2025, and thus, both the alarming trends and the promising advances are revealed. The epidemiological scenario has changed completely, and the region of South Asia has emerged as a new major hotspot, the main factors being climate change, water-use practices, and poor health systems. The transformation of risk areas for PAM around the world requires the development of preventive strategies specific to that factor in the region on a global scale.</w:t>
      </w:r>
      <w:r w:rsidR="007744C6">
        <w:rPr>
          <w:rFonts w:ascii="Times New Roman" w:hAnsi="Times New Roman" w:cs="Times New Roman"/>
          <w:sz w:val="22"/>
          <w:szCs w:val="22"/>
        </w:rPr>
        <w:t xml:space="preserve"> </w:t>
      </w:r>
    </w:p>
    <w:p w14:paraId="027A791D" w14:textId="77777777" w:rsidR="007744C6" w:rsidRDefault="007744C6" w:rsidP="00945488">
      <w:pPr>
        <w:jc w:val="both"/>
        <w:rPr>
          <w:rFonts w:ascii="Times New Roman" w:hAnsi="Times New Roman" w:cs="Times New Roman"/>
          <w:sz w:val="22"/>
          <w:szCs w:val="22"/>
        </w:rPr>
      </w:pPr>
      <w:r w:rsidRPr="007744C6">
        <w:rPr>
          <w:rFonts w:ascii="Times New Roman" w:hAnsi="Times New Roman" w:cs="Times New Roman"/>
          <w:sz w:val="22"/>
          <w:szCs w:val="22"/>
        </w:rPr>
        <w:t xml:space="preserve">Great strides have been taken in the comprehension of </w:t>
      </w:r>
      <w:r w:rsidRPr="007744C6">
        <w:rPr>
          <w:rFonts w:ascii="Times New Roman" w:hAnsi="Times New Roman" w:cs="Times New Roman"/>
          <w:i/>
          <w:iCs/>
          <w:sz w:val="22"/>
          <w:szCs w:val="22"/>
        </w:rPr>
        <w:t>N. fowleri</w:t>
      </w:r>
      <w:r w:rsidRPr="007744C6">
        <w:rPr>
          <w:rFonts w:ascii="Times New Roman" w:hAnsi="Times New Roman" w:cs="Times New Roman"/>
          <w:sz w:val="22"/>
          <w:szCs w:val="22"/>
        </w:rPr>
        <w:t xml:space="preserve"> molecular pathogenesis, with multi-omics approaches revealing new virulence factors and host-pathogen interactions that allow the amoeba to invade the brain so quickly and destructively. These revelations are now turning into advancements in the clinics, especially in diagnostics, where metagenomic sequencing has led to better early detection, and in the </w:t>
      </w:r>
      <w:r w:rsidRPr="007744C6">
        <w:rPr>
          <w:rFonts w:ascii="Times New Roman" w:hAnsi="Times New Roman" w:cs="Times New Roman"/>
          <w:sz w:val="22"/>
          <w:szCs w:val="22"/>
        </w:rPr>
        <w:lastRenderedPageBreak/>
        <w:t>treatment, where combinations with miltefosine are very effective in recent cases of mortality reduction. The series of experimental methods, including nanoparticle drug delivery and AI-assisted drug discovery, seems to be working for the future of therapy breakthroughs.</w:t>
      </w:r>
    </w:p>
    <w:p w14:paraId="1068DFA0" w14:textId="4744A497" w:rsidR="00FF29B2" w:rsidRPr="00CC3551" w:rsidRDefault="007744C6" w:rsidP="005A2ACE">
      <w:pPr>
        <w:jc w:val="both"/>
        <w:rPr>
          <w:rFonts w:ascii="Times New Roman" w:hAnsi="Times New Roman" w:cs="Times New Roman"/>
          <w:sz w:val="22"/>
          <w:szCs w:val="22"/>
        </w:rPr>
      </w:pPr>
      <w:r w:rsidRPr="007744C6">
        <w:rPr>
          <w:rFonts w:ascii="Times New Roman" w:hAnsi="Times New Roman" w:cs="Times New Roman"/>
          <w:sz w:val="22"/>
          <w:szCs w:val="22"/>
        </w:rPr>
        <w:t>The battle with PAM necessitates an all-encompassing, multi-faceted strategy connecting basic research, clinic therapy, and health care. Public education, especially in the new endemic areas, environmental surveillance systems, and cutting-edge research for quick diagnosis and good treatment, are the major contributors. The future of this fight will still need more cooperation between the different fields and areas, treating PAM as a universal health issue that requires a united international response. There are still many difficulties to overcome, but the recent progress reported in this review has laid down a basis for a carefully optimistic attitude in the struggle against this infection, which is very painful.</w:t>
      </w:r>
    </w:p>
    <w:p w14:paraId="3B06D4E6" w14:textId="77777777" w:rsidR="00FB70FB" w:rsidRDefault="00FB70FB" w:rsidP="005A2ACE">
      <w:pPr>
        <w:jc w:val="both"/>
        <w:rPr>
          <w:rFonts w:ascii="Times New Roman" w:hAnsi="Times New Roman" w:cs="Times New Roman"/>
          <w:b/>
          <w:bCs/>
        </w:rPr>
      </w:pPr>
    </w:p>
    <w:p w14:paraId="068A554E" w14:textId="75EDB35C" w:rsidR="005A2ACE" w:rsidRPr="005A2ACE" w:rsidRDefault="005A2ACE" w:rsidP="005A2ACE">
      <w:pPr>
        <w:jc w:val="both"/>
        <w:rPr>
          <w:rFonts w:ascii="Times New Roman" w:hAnsi="Times New Roman" w:cs="Times New Roman"/>
          <w:b/>
          <w:bCs/>
        </w:rPr>
      </w:pPr>
      <w:r w:rsidRPr="005A2ACE">
        <w:rPr>
          <w:rFonts w:ascii="Times New Roman" w:hAnsi="Times New Roman" w:cs="Times New Roman"/>
          <w:b/>
          <w:bCs/>
        </w:rPr>
        <w:t>List of Abbreviations</w:t>
      </w:r>
    </w:p>
    <w:p w14:paraId="03F73994" w14:textId="77777777" w:rsidR="005A2ACE" w:rsidRPr="005A2ACE" w:rsidRDefault="005A2ACE" w:rsidP="005A2ACE">
      <w:pPr>
        <w:jc w:val="both"/>
        <w:rPr>
          <w:rFonts w:ascii="Times New Roman" w:hAnsi="Times New Roman" w:cs="Times New Roman"/>
          <w:sz w:val="22"/>
          <w:szCs w:val="22"/>
        </w:rPr>
      </w:pPr>
      <w:r w:rsidRPr="005A2ACE">
        <w:rPr>
          <w:rFonts w:ascii="Times New Roman" w:hAnsi="Times New Roman" w:cs="Times New Roman"/>
          <w:b/>
          <w:bCs/>
          <w:sz w:val="22"/>
          <w:szCs w:val="22"/>
        </w:rPr>
        <w:t>AI</w:t>
      </w:r>
      <w:r w:rsidRPr="005A2ACE">
        <w:rPr>
          <w:rFonts w:ascii="Times New Roman" w:hAnsi="Times New Roman" w:cs="Times New Roman"/>
          <w:sz w:val="22"/>
          <w:szCs w:val="22"/>
        </w:rPr>
        <w:t> - Artificial Intelligence</w:t>
      </w:r>
      <w:r w:rsidRPr="005A2ACE">
        <w:rPr>
          <w:rFonts w:ascii="Times New Roman" w:hAnsi="Times New Roman" w:cs="Times New Roman"/>
          <w:sz w:val="22"/>
          <w:szCs w:val="22"/>
        </w:rPr>
        <w:br/>
      </w:r>
      <w:r w:rsidRPr="005A2ACE">
        <w:rPr>
          <w:rFonts w:ascii="Times New Roman" w:hAnsi="Times New Roman" w:cs="Times New Roman"/>
          <w:b/>
          <w:bCs/>
          <w:sz w:val="22"/>
          <w:szCs w:val="22"/>
        </w:rPr>
        <w:t>BBB</w:t>
      </w:r>
      <w:r w:rsidRPr="005A2ACE">
        <w:rPr>
          <w:rFonts w:ascii="Times New Roman" w:hAnsi="Times New Roman" w:cs="Times New Roman"/>
          <w:sz w:val="22"/>
          <w:szCs w:val="22"/>
        </w:rPr>
        <w:t> - Blood-Brain Barrier</w:t>
      </w:r>
      <w:r w:rsidRPr="005A2ACE">
        <w:rPr>
          <w:rFonts w:ascii="Times New Roman" w:hAnsi="Times New Roman" w:cs="Times New Roman"/>
          <w:sz w:val="22"/>
          <w:szCs w:val="22"/>
        </w:rPr>
        <w:br/>
      </w:r>
      <w:r w:rsidRPr="005A2ACE">
        <w:rPr>
          <w:rFonts w:ascii="Times New Roman" w:hAnsi="Times New Roman" w:cs="Times New Roman"/>
          <w:b/>
          <w:bCs/>
          <w:sz w:val="22"/>
          <w:szCs w:val="22"/>
        </w:rPr>
        <w:t>CDC</w:t>
      </w:r>
      <w:r w:rsidRPr="005A2ACE">
        <w:rPr>
          <w:rFonts w:ascii="Times New Roman" w:hAnsi="Times New Roman" w:cs="Times New Roman"/>
          <w:sz w:val="22"/>
          <w:szCs w:val="22"/>
        </w:rPr>
        <w:t> - Centers for Disease Control and Prevention</w:t>
      </w:r>
      <w:r w:rsidRPr="005A2ACE">
        <w:rPr>
          <w:rFonts w:ascii="Times New Roman" w:hAnsi="Times New Roman" w:cs="Times New Roman"/>
          <w:sz w:val="22"/>
          <w:szCs w:val="22"/>
        </w:rPr>
        <w:br/>
      </w:r>
      <w:r w:rsidRPr="005A2ACE">
        <w:rPr>
          <w:rFonts w:ascii="Times New Roman" w:hAnsi="Times New Roman" w:cs="Times New Roman"/>
          <w:b/>
          <w:bCs/>
          <w:sz w:val="22"/>
          <w:szCs w:val="22"/>
        </w:rPr>
        <w:t>CNS</w:t>
      </w:r>
      <w:r w:rsidRPr="005A2ACE">
        <w:rPr>
          <w:rFonts w:ascii="Times New Roman" w:hAnsi="Times New Roman" w:cs="Times New Roman"/>
          <w:sz w:val="22"/>
          <w:szCs w:val="22"/>
        </w:rPr>
        <w:t> - Central Nervous System</w:t>
      </w:r>
      <w:r w:rsidRPr="005A2ACE">
        <w:rPr>
          <w:rFonts w:ascii="Times New Roman" w:hAnsi="Times New Roman" w:cs="Times New Roman"/>
          <w:sz w:val="22"/>
          <w:szCs w:val="22"/>
        </w:rPr>
        <w:br/>
      </w:r>
      <w:r w:rsidRPr="005A2ACE">
        <w:rPr>
          <w:rFonts w:ascii="Times New Roman" w:hAnsi="Times New Roman" w:cs="Times New Roman"/>
          <w:b/>
          <w:bCs/>
          <w:sz w:val="22"/>
          <w:szCs w:val="22"/>
        </w:rPr>
        <w:t>CSF</w:t>
      </w:r>
      <w:r w:rsidRPr="005A2ACE">
        <w:rPr>
          <w:rFonts w:ascii="Times New Roman" w:hAnsi="Times New Roman" w:cs="Times New Roman"/>
          <w:sz w:val="22"/>
          <w:szCs w:val="22"/>
        </w:rPr>
        <w:t> - Cerebrospinal Fluid</w:t>
      </w:r>
      <w:r w:rsidRPr="005A2ACE">
        <w:rPr>
          <w:rFonts w:ascii="Times New Roman" w:hAnsi="Times New Roman" w:cs="Times New Roman"/>
          <w:sz w:val="22"/>
          <w:szCs w:val="22"/>
        </w:rPr>
        <w:br/>
      </w:r>
      <w:r w:rsidRPr="005A2ACE">
        <w:rPr>
          <w:rFonts w:ascii="Times New Roman" w:hAnsi="Times New Roman" w:cs="Times New Roman"/>
          <w:b/>
          <w:bCs/>
          <w:sz w:val="22"/>
          <w:szCs w:val="22"/>
        </w:rPr>
        <w:t>CT</w:t>
      </w:r>
      <w:r w:rsidRPr="005A2ACE">
        <w:rPr>
          <w:rFonts w:ascii="Times New Roman" w:hAnsi="Times New Roman" w:cs="Times New Roman"/>
          <w:sz w:val="22"/>
          <w:szCs w:val="22"/>
        </w:rPr>
        <w:t> - Computed Tomography</w:t>
      </w:r>
      <w:r w:rsidRPr="005A2ACE">
        <w:rPr>
          <w:rFonts w:ascii="Times New Roman" w:hAnsi="Times New Roman" w:cs="Times New Roman"/>
          <w:sz w:val="22"/>
          <w:szCs w:val="22"/>
        </w:rPr>
        <w:br/>
      </w:r>
      <w:r w:rsidRPr="005A2ACE">
        <w:rPr>
          <w:rFonts w:ascii="Times New Roman" w:hAnsi="Times New Roman" w:cs="Times New Roman"/>
          <w:b/>
          <w:bCs/>
          <w:sz w:val="22"/>
          <w:szCs w:val="22"/>
        </w:rPr>
        <w:t>FDA</w:t>
      </w:r>
      <w:r w:rsidRPr="005A2ACE">
        <w:rPr>
          <w:rFonts w:ascii="Times New Roman" w:hAnsi="Times New Roman" w:cs="Times New Roman"/>
          <w:sz w:val="22"/>
          <w:szCs w:val="22"/>
        </w:rPr>
        <w:t> - Food and Drug Administration</w:t>
      </w:r>
      <w:r w:rsidRPr="005A2ACE">
        <w:rPr>
          <w:rFonts w:ascii="Times New Roman" w:hAnsi="Times New Roman" w:cs="Times New Roman"/>
          <w:sz w:val="22"/>
          <w:szCs w:val="22"/>
        </w:rPr>
        <w:br/>
      </w:r>
      <w:r w:rsidRPr="005A2ACE">
        <w:rPr>
          <w:rFonts w:ascii="Times New Roman" w:hAnsi="Times New Roman" w:cs="Times New Roman"/>
          <w:b/>
          <w:bCs/>
          <w:sz w:val="22"/>
          <w:szCs w:val="22"/>
        </w:rPr>
        <w:t>IV</w:t>
      </w:r>
      <w:r w:rsidRPr="005A2ACE">
        <w:rPr>
          <w:rFonts w:ascii="Times New Roman" w:hAnsi="Times New Roman" w:cs="Times New Roman"/>
          <w:sz w:val="22"/>
          <w:szCs w:val="22"/>
        </w:rPr>
        <w:t> - Intravenous</w:t>
      </w:r>
      <w:r w:rsidRPr="005A2ACE">
        <w:rPr>
          <w:rFonts w:ascii="Times New Roman" w:hAnsi="Times New Roman" w:cs="Times New Roman"/>
          <w:sz w:val="22"/>
          <w:szCs w:val="22"/>
        </w:rPr>
        <w:br/>
      </w:r>
      <w:r w:rsidRPr="005A2ACE">
        <w:rPr>
          <w:rFonts w:ascii="Times New Roman" w:hAnsi="Times New Roman" w:cs="Times New Roman"/>
          <w:b/>
          <w:bCs/>
          <w:sz w:val="22"/>
          <w:szCs w:val="22"/>
        </w:rPr>
        <w:t>IT</w:t>
      </w:r>
      <w:r w:rsidRPr="005A2ACE">
        <w:rPr>
          <w:rFonts w:ascii="Times New Roman" w:hAnsi="Times New Roman" w:cs="Times New Roman"/>
          <w:sz w:val="22"/>
          <w:szCs w:val="22"/>
        </w:rPr>
        <w:t> - Intrathecal</w:t>
      </w:r>
      <w:r w:rsidRPr="005A2ACE">
        <w:rPr>
          <w:rFonts w:ascii="Times New Roman" w:hAnsi="Times New Roman" w:cs="Times New Roman"/>
          <w:sz w:val="22"/>
          <w:szCs w:val="22"/>
        </w:rPr>
        <w:br/>
      </w:r>
      <w:r w:rsidRPr="005A2ACE">
        <w:rPr>
          <w:rFonts w:ascii="Times New Roman" w:hAnsi="Times New Roman" w:cs="Times New Roman"/>
          <w:b/>
          <w:bCs/>
          <w:sz w:val="22"/>
          <w:szCs w:val="22"/>
        </w:rPr>
        <w:t>mNGS</w:t>
      </w:r>
      <w:r w:rsidRPr="005A2ACE">
        <w:rPr>
          <w:rFonts w:ascii="Times New Roman" w:hAnsi="Times New Roman" w:cs="Times New Roman"/>
          <w:sz w:val="22"/>
          <w:szCs w:val="22"/>
        </w:rPr>
        <w:t> - Metagenomic Next-Generation Sequencing</w:t>
      </w:r>
      <w:r w:rsidRPr="005A2ACE">
        <w:rPr>
          <w:rFonts w:ascii="Times New Roman" w:hAnsi="Times New Roman" w:cs="Times New Roman"/>
          <w:sz w:val="22"/>
          <w:szCs w:val="22"/>
        </w:rPr>
        <w:br/>
      </w:r>
      <w:r w:rsidRPr="005A2ACE">
        <w:rPr>
          <w:rFonts w:ascii="Times New Roman" w:hAnsi="Times New Roman" w:cs="Times New Roman"/>
          <w:b/>
          <w:bCs/>
          <w:sz w:val="22"/>
          <w:szCs w:val="22"/>
        </w:rPr>
        <w:t>ML</w:t>
      </w:r>
      <w:r w:rsidRPr="005A2ACE">
        <w:rPr>
          <w:rFonts w:ascii="Times New Roman" w:hAnsi="Times New Roman" w:cs="Times New Roman"/>
          <w:sz w:val="22"/>
          <w:szCs w:val="22"/>
        </w:rPr>
        <w:t> - Machine Learning</w:t>
      </w:r>
      <w:r w:rsidRPr="005A2ACE">
        <w:rPr>
          <w:rFonts w:ascii="Times New Roman" w:hAnsi="Times New Roman" w:cs="Times New Roman"/>
          <w:sz w:val="22"/>
          <w:szCs w:val="22"/>
        </w:rPr>
        <w:br/>
      </w:r>
      <w:r w:rsidRPr="005A2ACE">
        <w:rPr>
          <w:rFonts w:ascii="Times New Roman" w:hAnsi="Times New Roman" w:cs="Times New Roman"/>
          <w:b/>
          <w:bCs/>
          <w:sz w:val="22"/>
          <w:szCs w:val="22"/>
        </w:rPr>
        <w:t>MRI</w:t>
      </w:r>
      <w:r w:rsidRPr="005A2ACE">
        <w:rPr>
          <w:rFonts w:ascii="Times New Roman" w:hAnsi="Times New Roman" w:cs="Times New Roman"/>
          <w:sz w:val="22"/>
          <w:szCs w:val="22"/>
        </w:rPr>
        <w:t> - Magnetic Resonance Imaging</w:t>
      </w:r>
      <w:r w:rsidRPr="005A2ACE">
        <w:rPr>
          <w:rFonts w:ascii="Times New Roman" w:hAnsi="Times New Roman" w:cs="Times New Roman"/>
          <w:sz w:val="22"/>
          <w:szCs w:val="22"/>
        </w:rPr>
        <w:br/>
      </w:r>
      <w:r w:rsidRPr="005A2ACE">
        <w:rPr>
          <w:rFonts w:ascii="Times New Roman" w:hAnsi="Times New Roman" w:cs="Times New Roman"/>
          <w:b/>
          <w:bCs/>
          <w:sz w:val="22"/>
          <w:szCs w:val="22"/>
        </w:rPr>
        <w:t>PAM</w:t>
      </w:r>
      <w:r w:rsidRPr="005A2ACE">
        <w:rPr>
          <w:rFonts w:ascii="Times New Roman" w:hAnsi="Times New Roman" w:cs="Times New Roman"/>
          <w:sz w:val="22"/>
          <w:szCs w:val="22"/>
        </w:rPr>
        <w:t> - Primary Amoebic Meningoencephalitis</w:t>
      </w:r>
      <w:r w:rsidRPr="005A2ACE">
        <w:rPr>
          <w:rFonts w:ascii="Times New Roman" w:hAnsi="Times New Roman" w:cs="Times New Roman"/>
          <w:sz w:val="22"/>
          <w:szCs w:val="22"/>
        </w:rPr>
        <w:br/>
      </w:r>
      <w:r w:rsidRPr="005A2ACE">
        <w:rPr>
          <w:rFonts w:ascii="Times New Roman" w:hAnsi="Times New Roman" w:cs="Times New Roman"/>
          <w:b/>
          <w:bCs/>
          <w:sz w:val="22"/>
          <w:szCs w:val="22"/>
        </w:rPr>
        <w:t>PCR</w:t>
      </w:r>
      <w:r w:rsidRPr="005A2ACE">
        <w:rPr>
          <w:rFonts w:ascii="Times New Roman" w:hAnsi="Times New Roman" w:cs="Times New Roman"/>
          <w:sz w:val="22"/>
          <w:szCs w:val="22"/>
        </w:rPr>
        <w:t> - Polymerase Chain Reaction</w:t>
      </w:r>
      <w:r w:rsidRPr="005A2ACE">
        <w:rPr>
          <w:rFonts w:ascii="Times New Roman" w:hAnsi="Times New Roman" w:cs="Times New Roman"/>
          <w:sz w:val="22"/>
          <w:szCs w:val="22"/>
        </w:rPr>
        <w:br/>
      </w:r>
      <w:r w:rsidRPr="005A2ACE">
        <w:rPr>
          <w:rFonts w:ascii="Times New Roman" w:hAnsi="Times New Roman" w:cs="Times New Roman"/>
          <w:b/>
          <w:bCs/>
          <w:sz w:val="22"/>
          <w:szCs w:val="22"/>
        </w:rPr>
        <w:t>WHO</w:t>
      </w:r>
      <w:r w:rsidRPr="005A2ACE">
        <w:rPr>
          <w:rFonts w:ascii="Times New Roman" w:hAnsi="Times New Roman" w:cs="Times New Roman"/>
          <w:sz w:val="22"/>
          <w:szCs w:val="22"/>
        </w:rPr>
        <w:t> - World Health Organization</w:t>
      </w:r>
    </w:p>
    <w:p w14:paraId="35F83568" w14:textId="229E65A2" w:rsidR="00D66D71" w:rsidRDefault="00D66D71" w:rsidP="00945488">
      <w:pPr>
        <w:jc w:val="both"/>
        <w:rPr>
          <w:rFonts w:ascii="Times New Roman" w:hAnsi="Times New Roman" w:cs="Times New Roman"/>
          <w:sz w:val="22"/>
          <w:szCs w:val="22"/>
        </w:rPr>
      </w:pPr>
      <w:r>
        <w:rPr>
          <w:rFonts w:ascii="Times New Roman" w:hAnsi="Times New Roman" w:cs="Times New Roman"/>
          <w:sz w:val="22"/>
          <w:szCs w:val="22"/>
        </w:rPr>
        <w:br/>
      </w:r>
      <w:r w:rsidRPr="00D66D71">
        <w:rPr>
          <w:rFonts w:ascii="Times New Roman" w:hAnsi="Times New Roman" w:cs="Times New Roman"/>
          <w:b/>
          <w:bCs/>
        </w:rPr>
        <w:t>Availability of Data and Materials:</w:t>
      </w:r>
      <w:r>
        <w:rPr>
          <w:rFonts w:ascii="Times New Roman" w:hAnsi="Times New Roman" w:cs="Times New Roman"/>
          <w:sz w:val="22"/>
          <w:szCs w:val="22"/>
        </w:rPr>
        <w:br/>
      </w:r>
      <w:r w:rsidRPr="00D66D71">
        <w:rPr>
          <w:rFonts w:ascii="Times New Roman" w:hAnsi="Times New Roman" w:cs="Times New Roman"/>
          <w:sz w:val="22"/>
          <w:szCs w:val="22"/>
        </w:rPr>
        <w:t xml:space="preserve">Not applicable </w:t>
      </w:r>
      <w:r>
        <w:rPr>
          <w:rFonts w:ascii="Times New Roman" w:hAnsi="Times New Roman" w:cs="Times New Roman"/>
          <w:sz w:val="22"/>
          <w:szCs w:val="22"/>
        </w:rPr>
        <w:br/>
      </w:r>
      <w:r>
        <w:rPr>
          <w:rFonts w:ascii="Times New Roman" w:hAnsi="Times New Roman" w:cs="Times New Roman"/>
          <w:sz w:val="22"/>
          <w:szCs w:val="22"/>
        </w:rPr>
        <w:br/>
      </w:r>
      <w:r w:rsidRPr="00D66D71">
        <w:rPr>
          <w:rFonts w:ascii="Times New Roman" w:hAnsi="Times New Roman" w:cs="Times New Roman"/>
          <w:b/>
          <w:bCs/>
        </w:rPr>
        <w:t>Consent for Publication:</w:t>
      </w:r>
      <w:r w:rsidRPr="00D66D71">
        <w:rPr>
          <w:rFonts w:ascii="Times New Roman" w:hAnsi="Times New Roman" w:cs="Times New Roman"/>
          <w:sz w:val="22"/>
          <w:szCs w:val="22"/>
        </w:rPr>
        <w:t xml:space="preserve"> </w:t>
      </w:r>
      <w:r>
        <w:rPr>
          <w:rFonts w:ascii="Times New Roman" w:hAnsi="Times New Roman" w:cs="Times New Roman"/>
          <w:sz w:val="22"/>
          <w:szCs w:val="22"/>
        </w:rPr>
        <w:br/>
      </w:r>
      <w:r w:rsidRPr="00D66D71">
        <w:rPr>
          <w:rFonts w:ascii="Times New Roman" w:hAnsi="Times New Roman" w:cs="Times New Roman"/>
          <w:sz w:val="22"/>
          <w:szCs w:val="22"/>
        </w:rPr>
        <w:t>The author</w:t>
      </w:r>
      <w:r w:rsidR="008A6D89">
        <w:rPr>
          <w:rFonts w:ascii="Times New Roman" w:hAnsi="Times New Roman" w:cs="Times New Roman"/>
          <w:sz w:val="22"/>
          <w:szCs w:val="22"/>
        </w:rPr>
        <w:t>s</w:t>
      </w:r>
      <w:r w:rsidRPr="00D66D71">
        <w:rPr>
          <w:rFonts w:ascii="Times New Roman" w:hAnsi="Times New Roman" w:cs="Times New Roman"/>
          <w:sz w:val="22"/>
          <w:szCs w:val="22"/>
        </w:rPr>
        <w:t xml:space="preserve"> hereby confirm that written informed consent for publication has been obtained from all individuals involved, in accordance with ethical standards. </w:t>
      </w:r>
    </w:p>
    <w:p w14:paraId="657BD977" w14:textId="33DAABE4" w:rsidR="00C82FB6" w:rsidRPr="006E4F58" w:rsidRDefault="00D66D71" w:rsidP="00C82FB6">
      <w:pPr>
        <w:jc w:val="both"/>
        <w:rPr>
          <w:rFonts w:ascii="Times New Roman" w:hAnsi="Times New Roman" w:cs="Times New Roman"/>
          <w:b/>
          <w:bCs/>
        </w:rPr>
      </w:pPr>
      <w:r w:rsidRPr="006E4F58">
        <w:rPr>
          <w:rFonts w:ascii="Times New Roman" w:hAnsi="Times New Roman" w:cs="Times New Roman"/>
          <w:b/>
          <w:bCs/>
          <w:sz w:val="22"/>
          <w:szCs w:val="22"/>
        </w:rPr>
        <w:br/>
      </w:r>
      <w:r w:rsidR="00C82FB6" w:rsidRPr="006E4F58">
        <w:rPr>
          <w:rFonts w:ascii="Times New Roman" w:hAnsi="Times New Roman" w:cs="Times New Roman"/>
          <w:b/>
          <w:bCs/>
        </w:rPr>
        <w:t>C</w:t>
      </w:r>
      <w:r w:rsidR="006E4F58" w:rsidRPr="006E4F58">
        <w:rPr>
          <w:rFonts w:ascii="Times New Roman" w:hAnsi="Times New Roman" w:cs="Times New Roman"/>
          <w:b/>
          <w:bCs/>
        </w:rPr>
        <w:t>ompeting</w:t>
      </w:r>
      <w:r w:rsidR="00C82FB6" w:rsidRPr="006E4F58">
        <w:rPr>
          <w:rFonts w:ascii="Times New Roman" w:hAnsi="Times New Roman" w:cs="Times New Roman"/>
          <w:b/>
          <w:bCs/>
        </w:rPr>
        <w:t xml:space="preserve"> I</w:t>
      </w:r>
      <w:r w:rsidR="006E4F58" w:rsidRPr="006E4F58">
        <w:rPr>
          <w:rFonts w:ascii="Times New Roman" w:hAnsi="Times New Roman" w:cs="Times New Roman"/>
          <w:b/>
          <w:bCs/>
        </w:rPr>
        <w:t>nterests</w:t>
      </w:r>
      <w:r w:rsidR="00C82FB6" w:rsidRPr="006E4F58">
        <w:rPr>
          <w:rFonts w:ascii="Times New Roman" w:hAnsi="Times New Roman" w:cs="Times New Roman"/>
          <w:b/>
          <w:bCs/>
        </w:rPr>
        <w:t xml:space="preserve"> D</w:t>
      </w:r>
      <w:r w:rsidR="006E4F58" w:rsidRPr="006E4F58">
        <w:rPr>
          <w:rFonts w:ascii="Times New Roman" w:hAnsi="Times New Roman" w:cs="Times New Roman"/>
          <w:b/>
          <w:bCs/>
        </w:rPr>
        <w:t>isclaimer</w:t>
      </w:r>
      <w:r w:rsidR="00C82FB6" w:rsidRPr="006E4F58">
        <w:rPr>
          <w:rFonts w:ascii="Times New Roman" w:hAnsi="Times New Roman" w:cs="Times New Roman"/>
          <w:b/>
          <w:bCs/>
        </w:rPr>
        <w:t>:</w:t>
      </w:r>
    </w:p>
    <w:p w14:paraId="6CC8DD3F" w14:textId="039D9124" w:rsidR="00EF7C9A" w:rsidRDefault="00C82FB6" w:rsidP="00C82FB6">
      <w:pPr>
        <w:jc w:val="both"/>
        <w:rPr>
          <w:rFonts w:ascii="Times New Roman" w:hAnsi="Times New Roman" w:cs="Times New Roman"/>
          <w:sz w:val="22"/>
          <w:szCs w:val="22"/>
        </w:rPr>
      </w:pPr>
      <w:r w:rsidRPr="00C82FB6">
        <w:rPr>
          <w:rFonts w:ascii="Times New Roman" w:hAnsi="Times New Roman" w:cs="Times New Roman"/>
          <w:sz w:val="22"/>
          <w:szCs w:val="22"/>
        </w:rPr>
        <w:t>Authors have declared that they have no known competing financial interests OR non-financial interests OR personal relationships that could have appeared to influence the work reported in this paper.</w:t>
      </w:r>
      <w:r w:rsidR="00D35465" w:rsidRPr="00E45897">
        <w:rPr>
          <w:rFonts w:ascii="Times New Roman" w:hAnsi="Times New Roman" w:cs="Times New Roman"/>
          <w:sz w:val="22"/>
          <w:szCs w:val="22"/>
        </w:rPr>
        <w:br/>
      </w:r>
    </w:p>
    <w:p w14:paraId="4ED5BEF6" w14:textId="790BB5A3" w:rsidR="00600B51" w:rsidRDefault="00600B51" w:rsidP="00C82FB6">
      <w:pPr>
        <w:jc w:val="both"/>
        <w:rPr>
          <w:rFonts w:ascii="Times New Roman" w:hAnsi="Times New Roman" w:cs="Times New Roman"/>
          <w:sz w:val="22"/>
          <w:szCs w:val="22"/>
        </w:rPr>
      </w:pPr>
    </w:p>
    <w:p w14:paraId="514418FD" w14:textId="3C7F759B" w:rsidR="00600B51" w:rsidRDefault="00600B51" w:rsidP="00C82FB6">
      <w:pPr>
        <w:jc w:val="both"/>
        <w:rPr>
          <w:rFonts w:ascii="Times New Roman" w:hAnsi="Times New Roman" w:cs="Times New Roman"/>
          <w:sz w:val="22"/>
          <w:szCs w:val="22"/>
        </w:rPr>
      </w:pPr>
    </w:p>
    <w:p w14:paraId="35FB8B97" w14:textId="77777777" w:rsidR="00600B51" w:rsidRDefault="00600B51" w:rsidP="00600B51">
      <w:pPr>
        <w:rPr>
          <w:rFonts w:ascii="Calibri" w:eastAsia="Calibri" w:hAnsi="Calibri" w:cs="Times New Roman"/>
        </w:rPr>
      </w:pPr>
      <w:bookmarkStart w:id="0" w:name="_Hlk192511329"/>
      <w:bookmarkStart w:id="1" w:name="_Hlk187485061"/>
      <w:bookmarkStart w:id="2" w:name="_Hlk194655630"/>
      <w:bookmarkStart w:id="3" w:name="_Hlk209008097"/>
      <w:bookmarkStart w:id="4" w:name="_Hlk211597560"/>
    </w:p>
    <w:p w14:paraId="417D1595" w14:textId="77777777" w:rsidR="00160E56" w:rsidRDefault="00160E56" w:rsidP="00600B51">
      <w:pPr>
        <w:rPr>
          <w:rFonts w:ascii="Calibri" w:eastAsia="Calibri" w:hAnsi="Calibri" w:cs="Times New Roman"/>
        </w:rPr>
      </w:pPr>
      <w:bookmarkStart w:id="5" w:name="_Hlk204003461"/>
      <w:bookmarkStart w:id="6" w:name="_Hlk209007716"/>
      <w:bookmarkEnd w:id="0"/>
      <w:bookmarkEnd w:id="1"/>
      <w:bookmarkEnd w:id="2"/>
      <w:bookmarkEnd w:id="3"/>
    </w:p>
    <w:p w14:paraId="07ADA5A8" w14:textId="231A42B0" w:rsidR="00600B51" w:rsidRPr="00160E56" w:rsidRDefault="00600B51" w:rsidP="00600B51">
      <w:pPr>
        <w:rPr>
          <w:rFonts w:ascii="Times New Roman" w:eastAsia="Calibri" w:hAnsi="Times New Roman" w:cs="Times New Roman"/>
          <w:b/>
          <w:bCs/>
        </w:rPr>
      </w:pPr>
      <w:r w:rsidRPr="00160E56">
        <w:rPr>
          <w:rFonts w:ascii="Times New Roman" w:eastAsia="Calibri" w:hAnsi="Times New Roman" w:cs="Times New Roman"/>
          <w:b/>
          <w:bCs/>
        </w:rPr>
        <w:t>Disclaimer (Artificial intelligence)</w:t>
      </w:r>
    </w:p>
    <w:p w14:paraId="2BB8E3A4" w14:textId="77777777" w:rsidR="00600B51" w:rsidRPr="006E4F58" w:rsidRDefault="00600B51" w:rsidP="00600B51">
      <w:pPr>
        <w:rPr>
          <w:rFonts w:ascii="Times New Roman" w:eastAsia="Calibri" w:hAnsi="Times New Roman" w:cs="Times New Roman"/>
        </w:rPr>
      </w:pPr>
      <w:r w:rsidRPr="006E4F58">
        <w:rPr>
          <w:rFonts w:ascii="Times New Roman" w:eastAsia="Calibri" w:hAnsi="Times New Roman" w:cs="Times New Roman"/>
        </w:rPr>
        <w:t xml:space="preserve">Author(s) hereby </w:t>
      </w:r>
      <w:proofErr w:type="gramStart"/>
      <w:r w:rsidRPr="006E4F58">
        <w:rPr>
          <w:rFonts w:ascii="Times New Roman" w:eastAsia="Calibri" w:hAnsi="Times New Roman" w:cs="Times New Roman"/>
        </w:rPr>
        <w:t>declare</w:t>
      </w:r>
      <w:proofErr w:type="gramEnd"/>
      <w:r w:rsidRPr="006E4F58">
        <w:rPr>
          <w:rFonts w:ascii="Times New Roman" w:eastAsia="Calibri" w:hAnsi="Times New Roman" w:cs="Times New Roman"/>
        </w:rPr>
        <w:t xml:space="preserve"> that NO generative AI technologies such as Large Language Models (ChatGPT, COPILOT, etc.) and text-to-image generators have been used during the writing or editing of this manuscript. </w:t>
      </w:r>
    </w:p>
    <w:bookmarkEnd w:id="4"/>
    <w:bookmarkEnd w:id="5"/>
    <w:bookmarkEnd w:id="6"/>
    <w:p w14:paraId="00CF9108" w14:textId="77777777" w:rsidR="00600B51" w:rsidRPr="00894A60" w:rsidRDefault="00600B51" w:rsidP="00C82FB6">
      <w:pPr>
        <w:jc w:val="both"/>
        <w:rPr>
          <w:rFonts w:ascii="Times New Roman" w:hAnsi="Times New Roman" w:cs="Times New Roman"/>
          <w:sz w:val="22"/>
          <w:szCs w:val="22"/>
        </w:rPr>
      </w:pPr>
    </w:p>
    <w:p w14:paraId="775B5850" w14:textId="07EB80F2" w:rsidR="00D90157" w:rsidRPr="00D90157" w:rsidRDefault="00D90157" w:rsidP="006E4F58">
      <w:pPr>
        <w:pStyle w:val="Bibliography"/>
        <w:jc w:val="both"/>
        <w:rPr>
          <w:rFonts w:ascii="Times New Roman" w:hAnsi="Times New Roman" w:cs="Times New Roman"/>
          <w:b/>
          <w:bCs/>
          <w:sz w:val="26"/>
          <w:szCs w:val="26"/>
        </w:rPr>
      </w:pPr>
      <w:r w:rsidRPr="00D90157">
        <w:rPr>
          <w:rFonts w:ascii="Times New Roman" w:hAnsi="Times New Roman" w:cs="Times New Roman"/>
          <w:b/>
          <w:bCs/>
          <w:sz w:val="26"/>
          <w:szCs w:val="26"/>
        </w:rPr>
        <w:t>References:</w:t>
      </w:r>
    </w:p>
    <w:p w14:paraId="3A8531C5" w14:textId="77777777" w:rsidR="00354901" w:rsidRPr="00354901" w:rsidRDefault="00D90157" w:rsidP="00354901">
      <w:pPr>
        <w:pStyle w:val="Bibliography"/>
        <w:rPr>
          <w:rFonts w:ascii="Times New Roman" w:hAnsi="Times New Roman" w:cs="Times New Roman"/>
          <w:sz w:val="22"/>
        </w:rPr>
      </w:pPr>
      <w:r w:rsidRPr="00D90157">
        <w:rPr>
          <w:rFonts w:cs="Times New Roman"/>
          <w:sz w:val="22"/>
          <w:szCs w:val="22"/>
        </w:rPr>
        <w:fldChar w:fldCharType="begin"/>
      </w:r>
      <w:r w:rsidR="00160E56">
        <w:rPr>
          <w:rFonts w:cs="Times New Roman"/>
          <w:sz w:val="22"/>
          <w:szCs w:val="22"/>
        </w:rPr>
        <w:instrText xml:space="preserve"> ADDIN ZOTERO_BIBL {"uncited":[],"omitted":[],"custom":[]} CSL_BIBLIOGRAPHY </w:instrText>
      </w:r>
      <w:r w:rsidRPr="00D90157">
        <w:rPr>
          <w:rFonts w:cs="Times New Roman"/>
          <w:sz w:val="22"/>
          <w:szCs w:val="22"/>
        </w:rPr>
        <w:fldChar w:fldCharType="separate"/>
      </w:r>
      <w:r w:rsidR="00354901" w:rsidRPr="00354901">
        <w:rPr>
          <w:rFonts w:ascii="Times New Roman" w:hAnsi="Times New Roman" w:cs="Times New Roman"/>
          <w:sz w:val="22"/>
        </w:rPr>
        <w:t xml:space="preserve">Ali, S., Siam, S. M., Navid-Al-Islam, K. M., Haque, Md. A., &amp; Sobhan, A. (2025). Precision Nanomedicine Converging AI and Multi-Omics: A Comprehensive Review of Cross-disease Applications in Cancer, Diabetes, and Cardiovascular Therapies. </w:t>
      </w:r>
      <w:r w:rsidR="00354901" w:rsidRPr="00354901">
        <w:rPr>
          <w:rFonts w:ascii="Times New Roman" w:hAnsi="Times New Roman" w:cs="Times New Roman"/>
          <w:i/>
          <w:iCs/>
          <w:sz w:val="22"/>
        </w:rPr>
        <w:t>Journal of Complementary and Alternative Medical Research</w:t>
      </w:r>
      <w:r w:rsidR="00354901" w:rsidRPr="00354901">
        <w:rPr>
          <w:rFonts w:ascii="Times New Roman" w:hAnsi="Times New Roman" w:cs="Times New Roman"/>
          <w:sz w:val="22"/>
        </w:rPr>
        <w:t xml:space="preserve">, </w:t>
      </w:r>
      <w:r w:rsidR="00354901" w:rsidRPr="00354901">
        <w:rPr>
          <w:rFonts w:ascii="Times New Roman" w:hAnsi="Times New Roman" w:cs="Times New Roman"/>
          <w:i/>
          <w:iCs/>
          <w:sz w:val="22"/>
        </w:rPr>
        <w:t>26</w:t>
      </w:r>
      <w:r w:rsidR="00354901" w:rsidRPr="00354901">
        <w:rPr>
          <w:rFonts w:ascii="Times New Roman" w:hAnsi="Times New Roman" w:cs="Times New Roman"/>
          <w:sz w:val="22"/>
        </w:rPr>
        <w:t>(10), 1–19. https://doi.org/10.9734/jocamr/2025/v26i10717</w:t>
      </w:r>
    </w:p>
    <w:p w14:paraId="22D319FA"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Beigmohammadi, M., Khadem Sadigh, M., &amp; Poursamad, J. (2024). Dielectric anisotropy changes in MBBA liquid crystal doped with barium titanate by a new method. </w:t>
      </w:r>
      <w:r w:rsidRPr="00354901">
        <w:rPr>
          <w:rFonts w:ascii="Times New Roman" w:hAnsi="Times New Roman" w:cs="Times New Roman"/>
          <w:i/>
          <w:iCs/>
          <w:sz w:val="22"/>
        </w:rPr>
        <w:t>Scientific Reports</w:t>
      </w:r>
      <w:r w:rsidRPr="00354901">
        <w:rPr>
          <w:rFonts w:ascii="Times New Roman" w:hAnsi="Times New Roman" w:cs="Times New Roman"/>
          <w:sz w:val="22"/>
        </w:rPr>
        <w:t xml:space="preserve">, </w:t>
      </w:r>
      <w:r w:rsidRPr="00354901">
        <w:rPr>
          <w:rFonts w:ascii="Times New Roman" w:hAnsi="Times New Roman" w:cs="Times New Roman"/>
          <w:i/>
          <w:iCs/>
          <w:sz w:val="22"/>
        </w:rPr>
        <w:t>14</w:t>
      </w:r>
      <w:r w:rsidRPr="00354901">
        <w:rPr>
          <w:rFonts w:ascii="Times New Roman" w:hAnsi="Times New Roman" w:cs="Times New Roman"/>
          <w:sz w:val="22"/>
        </w:rPr>
        <w:t>(1), 5756. https://doi.org/10.1038/s41598-024-56219-7</w:t>
      </w:r>
    </w:p>
    <w:p w14:paraId="17984345"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Cervantes-Sandoval, I., Serrano-Luna, J. D. J., García-Latorre, E., Tsutsumi, V., &amp; Shibayama, M. (2008). Characterization of brain inflammation during primary amoebic meningoencephalitis. </w:t>
      </w:r>
      <w:r w:rsidRPr="00354901">
        <w:rPr>
          <w:rFonts w:ascii="Times New Roman" w:hAnsi="Times New Roman" w:cs="Times New Roman"/>
          <w:i/>
          <w:iCs/>
          <w:sz w:val="22"/>
        </w:rPr>
        <w:t>Parasitology International</w:t>
      </w:r>
      <w:r w:rsidRPr="00354901">
        <w:rPr>
          <w:rFonts w:ascii="Times New Roman" w:hAnsi="Times New Roman" w:cs="Times New Roman"/>
          <w:sz w:val="22"/>
        </w:rPr>
        <w:t xml:space="preserve">, </w:t>
      </w:r>
      <w:r w:rsidRPr="00354901">
        <w:rPr>
          <w:rFonts w:ascii="Times New Roman" w:hAnsi="Times New Roman" w:cs="Times New Roman"/>
          <w:i/>
          <w:iCs/>
          <w:sz w:val="22"/>
        </w:rPr>
        <w:t>57</w:t>
      </w:r>
      <w:r w:rsidRPr="00354901">
        <w:rPr>
          <w:rFonts w:ascii="Times New Roman" w:hAnsi="Times New Roman" w:cs="Times New Roman"/>
          <w:sz w:val="22"/>
        </w:rPr>
        <w:t>(3), 307–313. https://doi.org/10.1016/j.parint.2008.01.006</w:t>
      </w:r>
    </w:p>
    <w:p w14:paraId="4759716D"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Chatterjee, A., Bandini, G., Motari, E., &amp; Samuelson, J. (2015). Ethanol and Isopropanol in Concentrations Present in Hand Sanitizers Sharply Reduce Excystation of Giardia and Entamoeba and Eliminate Oral Infectivity of Giardia Cysts in Gerbils. </w:t>
      </w:r>
      <w:r w:rsidRPr="00354901">
        <w:rPr>
          <w:rFonts w:ascii="Times New Roman" w:hAnsi="Times New Roman" w:cs="Times New Roman"/>
          <w:i/>
          <w:iCs/>
          <w:sz w:val="22"/>
        </w:rPr>
        <w:t>Antimicrobial Agents and Chemotherapy</w:t>
      </w:r>
      <w:r w:rsidRPr="00354901">
        <w:rPr>
          <w:rFonts w:ascii="Times New Roman" w:hAnsi="Times New Roman" w:cs="Times New Roman"/>
          <w:sz w:val="22"/>
        </w:rPr>
        <w:t xml:space="preserve">, </w:t>
      </w:r>
      <w:r w:rsidRPr="00354901">
        <w:rPr>
          <w:rFonts w:ascii="Times New Roman" w:hAnsi="Times New Roman" w:cs="Times New Roman"/>
          <w:i/>
          <w:iCs/>
          <w:sz w:val="22"/>
        </w:rPr>
        <w:t>59</w:t>
      </w:r>
      <w:r w:rsidRPr="00354901">
        <w:rPr>
          <w:rFonts w:ascii="Times New Roman" w:hAnsi="Times New Roman" w:cs="Times New Roman"/>
          <w:sz w:val="22"/>
        </w:rPr>
        <w:t>(11), 6749–6754. https://doi.org/10.1128/AAC.01290-15</w:t>
      </w:r>
    </w:p>
    <w:p w14:paraId="280A72D5"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Cope, J. R., Ratard, R. C., Hill, V. R., Sokol, T., Causey, J. J., Yoder, J. S., Mirani, G., Mull, B., Mukerjee, K. A., Narayanan, J., Doucet, M., Qvarnstrom, Y., Poole, C. N., Akingbola, O. A., Ritter, J. M., Xiong, Z., Da Silva, A. J., Roellig, D., Van Dyke, R. B., … Beach, M. J. (2015). The First </w:t>
      </w:r>
      <w:r w:rsidRPr="00354901">
        <w:rPr>
          <w:rFonts w:ascii="Times New Roman" w:hAnsi="Times New Roman" w:cs="Times New Roman"/>
          <w:sz w:val="22"/>
        </w:rPr>
        <w:lastRenderedPageBreak/>
        <w:t xml:space="preserve">Association of a Primary Amebic Meningoencephalitis Death With Culturable Naegleria fowleri in Tap Water From a US Treated Public Drinking Water System. </w:t>
      </w:r>
      <w:r w:rsidRPr="00354901">
        <w:rPr>
          <w:rFonts w:ascii="Times New Roman" w:hAnsi="Times New Roman" w:cs="Times New Roman"/>
          <w:i/>
          <w:iCs/>
          <w:sz w:val="22"/>
        </w:rPr>
        <w:t>Clinical Infectious Diseases</w:t>
      </w:r>
      <w:r w:rsidRPr="00354901">
        <w:rPr>
          <w:rFonts w:ascii="Times New Roman" w:hAnsi="Times New Roman" w:cs="Times New Roman"/>
          <w:sz w:val="22"/>
        </w:rPr>
        <w:t xml:space="preserve">, </w:t>
      </w:r>
      <w:r w:rsidRPr="00354901">
        <w:rPr>
          <w:rFonts w:ascii="Times New Roman" w:hAnsi="Times New Roman" w:cs="Times New Roman"/>
          <w:i/>
          <w:iCs/>
          <w:sz w:val="22"/>
        </w:rPr>
        <w:t>60</w:t>
      </w:r>
      <w:r w:rsidRPr="00354901">
        <w:rPr>
          <w:rFonts w:ascii="Times New Roman" w:hAnsi="Times New Roman" w:cs="Times New Roman"/>
          <w:sz w:val="22"/>
        </w:rPr>
        <w:t>(8), e36–e42. https://doi.org/10.1093/cid/civ017</w:t>
      </w:r>
    </w:p>
    <w:p w14:paraId="33E4264D"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Coulibaly, Y. I., Sangare, M., Dolo, H., Soumaoro, L., Coulibaly, S. Y., Dicko, I., Diabaté, A. F., Diarra, L., Coulibaly, M. E., Doumbia, S. S., Diallo, A. A., Dembele, M., Koudou, B. G., Bockarie, M. J., Kelly-Hope, L. A., Klion, A. D., &amp; Nutman, T. B. (2022). No evidence of lymphatic filariasis transmission in Bamako urban setting after three mass drug administration rounds. </w:t>
      </w:r>
      <w:r w:rsidRPr="00354901">
        <w:rPr>
          <w:rFonts w:ascii="Times New Roman" w:hAnsi="Times New Roman" w:cs="Times New Roman"/>
          <w:i/>
          <w:iCs/>
          <w:sz w:val="22"/>
        </w:rPr>
        <w:t>Parasitology Research</w:t>
      </w:r>
      <w:r w:rsidRPr="00354901">
        <w:rPr>
          <w:rFonts w:ascii="Times New Roman" w:hAnsi="Times New Roman" w:cs="Times New Roman"/>
          <w:sz w:val="22"/>
        </w:rPr>
        <w:t xml:space="preserve">, </w:t>
      </w:r>
      <w:r w:rsidRPr="00354901">
        <w:rPr>
          <w:rFonts w:ascii="Times New Roman" w:hAnsi="Times New Roman" w:cs="Times New Roman"/>
          <w:i/>
          <w:iCs/>
          <w:sz w:val="22"/>
        </w:rPr>
        <w:t>121</w:t>
      </w:r>
      <w:r w:rsidRPr="00354901">
        <w:rPr>
          <w:rFonts w:ascii="Times New Roman" w:hAnsi="Times New Roman" w:cs="Times New Roman"/>
          <w:sz w:val="22"/>
        </w:rPr>
        <w:t>(11), 3243–3248. https://doi.org/10.1007/s00436-022-07648-8</w:t>
      </w:r>
    </w:p>
    <w:p w14:paraId="529E3868"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Gharpure, R., Bliton, J., Goodman, A., Ali, I. K. M., Yoder, J., &amp; Cope, J. R. (2021). Epidemiology and Clinical Characteristics of Primary Amebic Meningoencephalitis Caused by </w:t>
      </w:r>
      <w:r w:rsidRPr="00354901">
        <w:rPr>
          <w:rFonts w:ascii="Times New Roman" w:hAnsi="Times New Roman" w:cs="Times New Roman"/>
          <w:i/>
          <w:iCs/>
          <w:sz w:val="22"/>
        </w:rPr>
        <w:t>Naegleria fowleri</w:t>
      </w:r>
      <w:r w:rsidRPr="00354901">
        <w:rPr>
          <w:rFonts w:ascii="Times New Roman" w:hAnsi="Times New Roman" w:cs="Times New Roman"/>
          <w:sz w:val="22"/>
        </w:rPr>
        <w:t xml:space="preserve">: A Global Review. </w:t>
      </w:r>
      <w:r w:rsidRPr="00354901">
        <w:rPr>
          <w:rFonts w:ascii="Times New Roman" w:hAnsi="Times New Roman" w:cs="Times New Roman"/>
          <w:i/>
          <w:iCs/>
          <w:sz w:val="22"/>
        </w:rPr>
        <w:t>Clinical Infectious Diseases</w:t>
      </w:r>
      <w:r w:rsidRPr="00354901">
        <w:rPr>
          <w:rFonts w:ascii="Times New Roman" w:hAnsi="Times New Roman" w:cs="Times New Roman"/>
          <w:sz w:val="22"/>
        </w:rPr>
        <w:t xml:space="preserve">, </w:t>
      </w:r>
      <w:r w:rsidRPr="00354901">
        <w:rPr>
          <w:rFonts w:ascii="Times New Roman" w:hAnsi="Times New Roman" w:cs="Times New Roman"/>
          <w:i/>
          <w:iCs/>
          <w:sz w:val="22"/>
        </w:rPr>
        <w:t>73</w:t>
      </w:r>
      <w:r w:rsidRPr="00354901">
        <w:rPr>
          <w:rFonts w:ascii="Times New Roman" w:hAnsi="Times New Roman" w:cs="Times New Roman"/>
          <w:sz w:val="22"/>
        </w:rPr>
        <w:t>(1), e19–e27. https://doi.org/10.1093/cid/ciaa520</w:t>
      </w:r>
    </w:p>
    <w:p w14:paraId="1AE6BEDB"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Ghosh, R., León-Ruiz, M., Dubey, S., &amp; Benito-León, J. (2025). Naegleria fowleri in Kerala, India: Prevention over panic. </w:t>
      </w:r>
      <w:r w:rsidRPr="00354901">
        <w:rPr>
          <w:rFonts w:ascii="Times New Roman" w:hAnsi="Times New Roman" w:cs="Times New Roman"/>
          <w:i/>
          <w:iCs/>
          <w:sz w:val="22"/>
        </w:rPr>
        <w:t>The Lancet</w:t>
      </w:r>
      <w:r w:rsidRPr="00354901">
        <w:rPr>
          <w:rFonts w:ascii="Times New Roman" w:hAnsi="Times New Roman" w:cs="Times New Roman"/>
          <w:sz w:val="22"/>
        </w:rPr>
        <w:t xml:space="preserve">, </w:t>
      </w:r>
      <w:r w:rsidRPr="00354901">
        <w:rPr>
          <w:rFonts w:ascii="Times New Roman" w:hAnsi="Times New Roman" w:cs="Times New Roman"/>
          <w:i/>
          <w:iCs/>
          <w:sz w:val="22"/>
        </w:rPr>
        <w:t>406</w:t>
      </w:r>
      <w:r w:rsidRPr="00354901">
        <w:rPr>
          <w:rFonts w:ascii="Times New Roman" w:hAnsi="Times New Roman" w:cs="Times New Roman"/>
          <w:sz w:val="22"/>
        </w:rPr>
        <w:t>(10514), 1945. https://doi.org/10.1016/S0140-6736(25)01971-3</w:t>
      </w:r>
    </w:p>
    <w:p w14:paraId="21349F91"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Heggie, T. W., &amp; Küpper, T. (2017). Surviving Naegleria fowleri infections: A successful case report and novel therapeutic approach. </w:t>
      </w:r>
      <w:r w:rsidRPr="00354901">
        <w:rPr>
          <w:rFonts w:ascii="Times New Roman" w:hAnsi="Times New Roman" w:cs="Times New Roman"/>
          <w:i/>
          <w:iCs/>
          <w:sz w:val="22"/>
        </w:rPr>
        <w:t>Travel Medicine and Infectious Disease</w:t>
      </w:r>
      <w:r w:rsidRPr="00354901">
        <w:rPr>
          <w:rFonts w:ascii="Times New Roman" w:hAnsi="Times New Roman" w:cs="Times New Roman"/>
          <w:sz w:val="22"/>
        </w:rPr>
        <w:t xml:space="preserve">, </w:t>
      </w:r>
      <w:r w:rsidRPr="00354901">
        <w:rPr>
          <w:rFonts w:ascii="Times New Roman" w:hAnsi="Times New Roman" w:cs="Times New Roman"/>
          <w:i/>
          <w:iCs/>
          <w:sz w:val="22"/>
        </w:rPr>
        <w:t>16</w:t>
      </w:r>
      <w:r w:rsidRPr="00354901">
        <w:rPr>
          <w:rFonts w:ascii="Times New Roman" w:hAnsi="Times New Roman" w:cs="Times New Roman"/>
          <w:sz w:val="22"/>
        </w:rPr>
        <w:t>, 49–51. https://doi.org/10.1016/j.tmaid.2016.12.005</w:t>
      </w:r>
    </w:p>
    <w:p w14:paraId="7ADA4681"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Hu, Y., Tang, L., Wang, Z., Yan, H., Yi, X., Wang, H., Ma, L., Yang, C., Ran, J., &amp; Yu, A. (2024). Inducing in situ M2 macrophage polarization to promote the repair of bone defects via scaffold-mediated sustained delivery of luteolin. </w:t>
      </w:r>
      <w:r w:rsidRPr="00354901">
        <w:rPr>
          <w:rFonts w:ascii="Times New Roman" w:hAnsi="Times New Roman" w:cs="Times New Roman"/>
          <w:i/>
          <w:iCs/>
          <w:sz w:val="22"/>
        </w:rPr>
        <w:t>Journal of Controlled Release</w:t>
      </w:r>
      <w:r w:rsidRPr="00354901">
        <w:rPr>
          <w:rFonts w:ascii="Times New Roman" w:hAnsi="Times New Roman" w:cs="Times New Roman"/>
          <w:sz w:val="22"/>
        </w:rPr>
        <w:t xml:space="preserve">, </w:t>
      </w:r>
      <w:r w:rsidRPr="00354901">
        <w:rPr>
          <w:rFonts w:ascii="Times New Roman" w:hAnsi="Times New Roman" w:cs="Times New Roman"/>
          <w:i/>
          <w:iCs/>
          <w:sz w:val="22"/>
        </w:rPr>
        <w:t>365</w:t>
      </w:r>
      <w:r w:rsidRPr="00354901">
        <w:rPr>
          <w:rFonts w:ascii="Times New Roman" w:hAnsi="Times New Roman" w:cs="Times New Roman"/>
          <w:sz w:val="22"/>
        </w:rPr>
        <w:t>, 889–904. https://doi.org/10.1016/j.jconrel.2023.11.015</w:t>
      </w:r>
    </w:p>
    <w:p w14:paraId="22CFB1FC"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Hwee, S. E., Htet, N. H., Naing, C., Tung, W. S., &amp; Mak, J. W. (2022). Rapid diagnostic test (Leptocheck-WB) for detection of acute leptospirosis: A meta-analysis of diagnostic accuracy. </w:t>
      </w:r>
      <w:r w:rsidRPr="00354901">
        <w:rPr>
          <w:rFonts w:ascii="Times New Roman" w:hAnsi="Times New Roman" w:cs="Times New Roman"/>
          <w:i/>
          <w:iCs/>
          <w:sz w:val="22"/>
        </w:rPr>
        <w:t>European Journal of Clinical Microbiology &amp; Infectious Diseases</w:t>
      </w:r>
      <w:r w:rsidRPr="00354901">
        <w:rPr>
          <w:rFonts w:ascii="Times New Roman" w:hAnsi="Times New Roman" w:cs="Times New Roman"/>
          <w:sz w:val="22"/>
        </w:rPr>
        <w:t xml:space="preserve">, </w:t>
      </w:r>
      <w:r w:rsidRPr="00354901">
        <w:rPr>
          <w:rFonts w:ascii="Times New Roman" w:hAnsi="Times New Roman" w:cs="Times New Roman"/>
          <w:i/>
          <w:iCs/>
          <w:sz w:val="22"/>
        </w:rPr>
        <w:t>41</w:t>
      </w:r>
      <w:r w:rsidRPr="00354901">
        <w:rPr>
          <w:rFonts w:ascii="Times New Roman" w:hAnsi="Times New Roman" w:cs="Times New Roman"/>
          <w:sz w:val="22"/>
        </w:rPr>
        <w:t>(4), 631–640. https://doi.org/10.1007/s10096-022-04420-9</w:t>
      </w:r>
    </w:p>
    <w:p w14:paraId="14EBD269"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lastRenderedPageBreak/>
        <w:t xml:space="preserve">Iyer, V. G., Deb, N., Mukherjee, D., Sah, S., Mohanty, A., Jaiswal, V., &amp; Sah, R. (2024). Naegleria Fowleri: The prevalence of a brain-eating amoeba in freshwater bodies in India. </w:t>
      </w:r>
      <w:r w:rsidRPr="00354901">
        <w:rPr>
          <w:rFonts w:ascii="Times New Roman" w:hAnsi="Times New Roman" w:cs="Times New Roman"/>
          <w:i/>
          <w:iCs/>
          <w:sz w:val="22"/>
        </w:rPr>
        <w:t>New Microbes and New Infections</w:t>
      </w:r>
      <w:r w:rsidRPr="00354901">
        <w:rPr>
          <w:rFonts w:ascii="Times New Roman" w:hAnsi="Times New Roman" w:cs="Times New Roman"/>
          <w:sz w:val="22"/>
        </w:rPr>
        <w:t xml:space="preserve">, </w:t>
      </w:r>
      <w:r w:rsidRPr="00354901">
        <w:rPr>
          <w:rFonts w:ascii="Times New Roman" w:hAnsi="Times New Roman" w:cs="Times New Roman"/>
          <w:i/>
          <w:iCs/>
          <w:sz w:val="22"/>
        </w:rPr>
        <w:t>62</w:t>
      </w:r>
      <w:r w:rsidRPr="00354901">
        <w:rPr>
          <w:rFonts w:ascii="Times New Roman" w:hAnsi="Times New Roman" w:cs="Times New Roman"/>
          <w:sz w:val="22"/>
        </w:rPr>
        <w:t>, 101482. https://doi.org/10.1016/j.nmni.2024.101482</w:t>
      </w:r>
    </w:p>
    <w:p w14:paraId="35F3D306"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Jaganath, D., Reza, T. F., Wambi, P., Nakafeero, J., Kiconco, E., Nanyonga, G., Oumo, E. A., Nsereko, M. C., Sekadde, M. P., Nabukenya-Mudiope, M. G., Kato-Maeda, M., Andama, A., Yoon, C., Mohanty, S., Wobudeya, E., &amp; Cattamanchi, A. (2022). The Role of C-Reactive Protein as a Triage Tool for Pulmonary Tuberculosis in Children. </w:t>
      </w:r>
      <w:r w:rsidRPr="00354901">
        <w:rPr>
          <w:rFonts w:ascii="Times New Roman" w:hAnsi="Times New Roman" w:cs="Times New Roman"/>
          <w:i/>
          <w:iCs/>
          <w:sz w:val="22"/>
        </w:rPr>
        <w:t>Journal of the Pediatric Infectious Diseases Society</w:t>
      </w:r>
      <w:r w:rsidRPr="00354901">
        <w:rPr>
          <w:rFonts w:ascii="Times New Roman" w:hAnsi="Times New Roman" w:cs="Times New Roman"/>
          <w:sz w:val="22"/>
        </w:rPr>
        <w:t xml:space="preserve">, </w:t>
      </w:r>
      <w:r w:rsidRPr="00354901">
        <w:rPr>
          <w:rFonts w:ascii="Times New Roman" w:hAnsi="Times New Roman" w:cs="Times New Roman"/>
          <w:i/>
          <w:iCs/>
          <w:sz w:val="22"/>
        </w:rPr>
        <w:t>11</w:t>
      </w:r>
      <w:r w:rsidRPr="00354901">
        <w:rPr>
          <w:rFonts w:ascii="Times New Roman" w:hAnsi="Times New Roman" w:cs="Times New Roman"/>
          <w:sz w:val="22"/>
        </w:rPr>
        <w:t>(7), 316–321. https://doi.org/10.1093/jpids/piac015</w:t>
      </w:r>
    </w:p>
    <w:p w14:paraId="65F34E97"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Jahangeer, M., Mahmood, Z., Munir, N., Waraich, U., Tahir, I. M., Akram, M., Ali Shah, S. M., Zulfqar, A., &amp; Zainab, R. (2020). </w:t>
      </w:r>
      <w:r w:rsidRPr="00354901">
        <w:rPr>
          <w:rFonts w:ascii="Times New Roman" w:hAnsi="Times New Roman" w:cs="Times New Roman"/>
          <w:i/>
          <w:iCs/>
          <w:sz w:val="22"/>
        </w:rPr>
        <w:t>Naegleria fowleri</w:t>
      </w:r>
      <w:r w:rsidRPr="00354901">
        <w:rPr>
          <w:rFonts w:ascii="Times New Roman" w:hAnsi="Times New Roman" w:cs="Times New Roman"/>
          <w:sz w:val="22"/>
        </w:rPr>
        <w:t xml:space="preserve">: Sources of infection, pathophysiology, diagnosis, and management; a review. </w:t>
      </w:r>
      <w:r w:rsidRPr="00354901">
        <w:rPr>
          <w:rFonts w:ascii="Times New Roman" w:hAnsi="Times New Roman" w:cs="Times New Roman"/>
          <w:i/>
          <w:iCs/>
          <w:sz w:val="22"/>
        </w:rPr>
        <w:t>Clinical and Experimental Pharmacology and Physiology</w:t>
      </w:r>
      <w:r w:rsidRPr="00354901">
        <w:rPr>
          <w:rFonts w:ascii="Times New Roman" w:hAnsi="Times New Roman" w:cs="Times New Roman"/>
          <w:sz w:val="22"/>
        </w:rPr>
        <w:t xml:space="preserve">, </w:t>
      </w:r>
      <w:r w:rsidRPr="00354901">
        <w:rPr>
          <w:rFonts w:ascii="Times New Roman" w:hAnsi="Times New Roman" w:cs="Times New Roman"/>
          <w:i/>
          <w:iCs/>
          <w:sz w:val="22"/>
        </w:rPr>
        <w:t>47</w:t>
      </w:r>
      <w:r w:rsidRPr="00354901">
        <w:rPr>
          <w:rFonts w:ascii="Times New Roman" w:hAnsi="Times New Roman" w:cs="Times New Roman"/>
          <w:sz w:val="22"/>
        </w:rPr>
        <w:t>(2), 199–212. https://doi.org/10.1111/1440-1681.13192</w:t>
      </w:r>
    </w:p>
    <w:p w14:paraId="421AE6A6"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Kaur, G., Salem-Bango, L., Nery, A. L. M. D. S., Solomon, E. C., Ihemezue, E., Kelly, C., Altare, C., Azman, A. S., Spiegel, P. B., &amp; Lantagne, D. (2023). Implementation considerations in case-area targeted interventions to prevent cholera transmission in Northeast Nigeria: A qualitative analysis. </w:t>
      </w:r>
      <w:r w:rsidRPr="00354901">
        <w:rPr>
          <w:rFonts w:ascii="Times New Roman" w:hAnsi="Times New Roman" w:cs="Times New Roman"/>
          <w:i/>
          <w:iCs/>
          <w:sz w:val="22"/>
        </w:rPr>
        <w:t>PLOS Neglected Tropical Diseases</w:t>
      </w:r>
      <w:r w:rsidRPr="00354901">
        <w:rPr>
          <w:rFonts w:ascii="Times New Roman" w:hAnsi="Times New Roman" w:cs="Times New Roman"/>
          <w:sz w:val="22"/>
        </w:rPr>
        <w:t xml:space="preserve">, </w:t>
      </w:r>
      <w:r w:rsidRPr="00354901">
        <w:rPr>
          <w:rFonts w:ascii="Times New Roman" w:hAnsi="Times New Roman" w:cs="Times New Roman"/>
          <w:i/>
          <w:iCs/>
          <w:sz w:val="22"/>
        </w:rPr>
        <w:t>17</w:t>
      </w:r>
      <w:r w:rsidRPr="00354901">
        <w:rPr>
          <w:rFonts w:ascii="Times New Roman" w:hAnsi="Times New Roman" w:cs="Times New Roman"/>
          <w:sz w:val="22"/>
        </w:rPr>
        <w:t>(4), e0011298. https://doi.org/10.1371/journal.pntd.0011298</w:t>
      </w:r>
    </w:p>
    <w:p w14:paraId="1D0F4872"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Linam, W. M., Ahmed, M., Cope, J. R., Chu, C., Visvesvara, G. S., Da Silva, A. J., Qvarnstrom, Y., &amp; Green, J. (2015). Successful Treatment of an Adolescent With </w:t>
      </w:r>
      <w:r w:rsidRPr="00354901">
        <w:rPr>
          <w:rFonts w:ascii="Times New Roman" w:hAnsi="Times New Roman" w:cs="Times New Roman"/>
          <w:i/>
          <w:iCs/>
          <w:sz w:val="22"/>
        </w:rPr>
        <w:t>Naegleria fowleri</w:t>
      </w:r>
      <w:r w:rsidRPr="00354901">
        <w:rPr>
          <w:rFonts w:ascii="Times New Roman" w:hAnsi="Times New Roman" w:cs="Times New Roman"/>
          <w:sz w:val="22"/>
        </w:rPr>
        <w:t xml:space="preserve"> Primary Amebic Meningoencephalitis. </w:t>
      </w:r>
      <w:r w:rsidRPr="00354901">
        <w:rPr>
          <w:rFonts w:ascii="Times New Roman" w:hAnsi="Times New Roman" w:cs="Times New Roman"/>
          <w:i/>
          <w:iCs/>
          <w:sz w:val="22"/>
        </w:rPr>
        <w:t>Pediatrics</w:t>
      </w:r>
      <w:r w:rsidRPr="00354901">
        <w:rPr>
          <w:rFonts w:ascii="Times New Roman" w:hAnsi="Times New Roman" w:cs="Times New Roman"/>
          <w:sz w:val="22"/>
        </w:rPr>
        <w:t xml:space="preserve">, </w:t>
      </w:r>
      <w:r w:rsidRPr="00354901">
        <w:rPr>
          <w:rFonts w:ascii="Times New Roman" w:hAnsi="Times New Roman" w:cs="Times New Roman"/>
          <w:i/>
          <w:iCs/>
          <w:sz w:val="22"/>
        </w:rPr>
        <w:t>135</w:t>
      </w:r>
      <w:r w:rsidRPr="00354901">
        <w:rPr>
          <w:rFonts w:ascii="Times New Roman" w:hAnsi="Times New Roman" w:cs="Times New Roman"/>
          <w:sz w:val="22"/>
        </w:rPr>
        <w:t>(3), e744–e748. https://doi.org/10.1542/peds.2014-2292</w:t>
      </w:r>
    </w:p>
    <w:p w14:paraId="6E5B0498"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Marciano-Cabral, F., &amp; Cabral, G. A. (2007). The immune response to </w:t>
      </w:r>
      <w:r w:rsidRPr="00354901">
        <w:rPr>
          <w:rFonts w:ascii="Times New Roman" w:hAnsi="Times New Roman" w:cs="Times New Roman"/>
          <w:i/>
          <w:iCs/>
          <w:sz w:val="22"/>
        </w:rPr>
        <w:t>Naegleria fowleri</w:t>
      </w:r>
      <w:r w:rsidRPr="00354901">
        <w:rPr>
          <w:rFonts w:ascii="Times New Roman" w:hAnsi="Times New Roman" w:cs="Times New Roman"/>
          <w:sz w:val="22"/>
        </w:rPr>
        <w:t xml:space="preserve"> amebae and pathogenesis of infection. </w:t>
      </w:r>
      <w:r w:rsidRPr="00354901">
        <w:rPr>
          <w:rFonts w:ascii="Times New Roman" w:hAnsi="Times New Roman" w:cs="Times New Roman"/>
          <w:i/>
          <w:iCs/>
          <w:sz w:val="22"/>
        </w:rPr>
        <w:t>FEMS Immunology &amp; Medical Microbiology</w:t>
      </w:r>
      <w:r w:rsidRPr="00354901">
        <w:rPr>
          <w:rFonts w:ascii="Times New Roman" w:hAnsi="Times New Roman" w:cs="Times New Roman"/>
          <w:sz w:val="22"/>
        </w:rPr>
        <w:t xml:space="preserve">, </w:t>
      </w:r>
      <w:r w:rsidRPr="00354901">
        <w:rPr>
          <w:rFonts w:ascii="Times New Roman" w:hAnsi="Times New Roman" w:cs="Times New Roman"/>
          <w:i/>
          <w:iCs/>
          <w:sz w:val="22"/>
        </w:rPr>
        <w:t>51</w:t>
      </w:r>
      <w:r w:rsidRPr="00354901">
        <w:rPr>
          <w:rFonts w:ascii="Times New Roman" w:hAnsi="Times New Roman" w:cs="Times New Roman"/>
          <w:sz w:val="22"/>
        </w:rPr>
        <w:t>(2), 243–259. https://doi.org/10.1111/j.1574-695X.2007.00332.x</w:t>
      </w:r>
    </w:p>
    <w:p w14:paraId="34CC2A7D"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Martinez, A. J., &amp; Visvesvara, G. S. (1997). Free‐living, Amphizoic and Opportunistic Amebas. </w:t>
      </w:r>
      <w:r w:rsidRPr="00354901">
        <w:rPr>
          <w:rFonts w:ascii="Times New Roman" w:hAnsi="Times New Roman" w:cs="Times New Roman"/>
          <w:i/>
          <w:iCs/>
          <w:sz w:val="22"/>
        </w:rPr>
        <w:t>Brain Pathology</w:t>
      </w:r>
      <w:r w:rsidRPr="00354901">
        <w:rPr>
          <w:rFonts w:ascii="Times New Roman" w:hAnsi="Times New Roman" w:cs="Times New Roman"/>
          <w:sz w:val="22"/>
        </w:rPr>
        <w:t xml:space="preserve">, </w:t>
      </w:r>
      <w:r w:rsidRPr="00354901">
        <w:rPr>
          <w:rFonts w:ascii="Times New Roman" w:hAnsi="Times New Roman" w:cs="Times New Roman"/>
          <w:i/>
          <w:iCs/>
          <w:sz w:val="22"/>
        </w:rPr>
        <w:t>7</w:t>
      </w:r>
      <w:r w:rsidRPr="00354901">
        <w:rPr>
          <w:rFonts w:ascii="Times New Roman" w:hAnsi="Times New Roman" w:cs="Times New Roman"/>
          <w:sz w:val="22"/>
        </w:rPr>
        <w:t>(1), 583–598. https://doi.org/10.1111/j.1750-3639.1997.tb01076.x</w:t>
      </w:r>
    </w:p>
    <w:p w14:paraId="1786CD36"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lastRenderedPageBreak/>
        <w:t xml:space="preserve">Mehjabin, S., Akanda, Md. K. M., Akhter, N., Bosri, Most. R., &amp; Ali, S. (2024). Medicinal and Nutritional Importance of Phyllanthus emblica in Human Health. In M. A. Ansari, S. Shoaib, &amp; N. Islam (Eds.), </w:t>
      </w:r>
      <w:r w:rsidRPr="00354901">
        <w:rPr>
          <w:rFonts w:ascii="Times New Roman" w:hAnsi="Times New Roman" w:cs="Times New Roman"/>
          <w:i/>
          <w:iCs/>
          <w:sz w:val="22"/>
        </w:rPr>
        <w:t>Medicinal Plants and their Bioactive Compounds in Human Health: Volume 1</w:t>
      </w:r>
      <w:r w:rsidRPr="00354901">
        <w:rPr>
          <w:rFonts w:ascii="Times New Roman" w:hAnsi="Times New Roman" w:cs="Times New Roman"/>
          <w:sz w:val="22"/>
        </w:rPr>
        <w:t xml:space="preserve"> (pp. 143–164). Springer Nature Singapore. https://doi.org/10.1007/978-981-97-6895-0_8</w:t>
      </w:r>
    </w:p>
    <w:p w14:paraId="297B5541"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Méndez‐Sánchez, D., Pomahač, O., Rotterová, J., Bourland, W. A., &amp; Čepička, I. (2023). Morphology and phylogenetic position of three anaerobic ciliates from the classes Odontostomatea and Muranotrichea (Ciliophora). </w:t>
      </w:r>
      <w:r w:rsidRPr="00354901">
        <w:rPr>
          <w:rFonts w:ascii="Times New Roman" w:hAnsi="Times New Roman" w:cs="Times New Roman"/>
          <w:i/>
          <w:iCs/>
          <w:sz w:val="22"/>
        </w:rPr>
        <w:t>Journal of Eukaryotic Microbiology</w:t>
      </w:r>
      <w:r w:rsidRPr="00354901">
        <w:rPr>
          <w:rFonts w:ascii="Times New Roman" w:hAnsi="Times New Roman" w:cs="Times New Roman"/>
          <w:sz w:val="22"/>
        </w:rPr>
        <w:t xml:space="preserve">, </w:t>
      </w:r>
      <w:r w:rsidRPr="00354901">
        <w:rPr>
          <w:rFonts w:ascii="Times New Roman" w:hAnsi="Times New Roman" w:cs="Times New Roman"/>
          <w:i/>
          <w:iCs/>
          <w:sz w:val="22"/>
        </w:rPr>
        <w:t>70</w:t>
      </w:r>
      <w:r w:rsidRPr="00354901">
        <w:rPr>
          <w:rFonts w:ascii="Times New Roman" w:hAnsi="Times New Roman" w:cs="Times New Roman"/>
          <w:sz w:val="22"/>
        </w:rPr>
        <w:t>(3), e12965. https://doi.org/10.1111/jeu.12965</w:t>
      </w:r>
    </w:p>
    <w:p w14:paraId="7B8260C6"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Minter, A., Pellis, L., Medley, G. F., &amp; Hollingsworth, T. D. (2021). What Can Modeling Tell Us About Sustainable End Points for Neglected Tropical Diseases? </w:t>
      </w:r>
      <w:r w:rsidRPr="00354901">
        <w:rPr>
          <w:rFonts w:ascii="Times New Roman" w:hAnsi="Times New Roman" w:cs="Times New Roman"/>
          <w:i/>
          <w:iCs/>
          <w:sz w:val="22"/>
        </w:rPr>
        <w:t>Clinical Infectious Diseases</w:t>
      </w:r>
      <w:r w:rsidRPr="00354901">
        <w:rPr>
          <w:rFonts w:ascii="Times New Roman" w:hAnsi="Times New Roman" w:cs="Times New Roman"/>
          <w:sz w:val="22"/>
        </w:rPr>
        <w:t xml:space="preserve">, </w:t>
      </w:r>
      <w:r w:rsidRPr="00354901">
        <w:rPr>
          <w:rFonts w:ascii="Times New Roman" w:hAnsi="Times New Roman" w:cs="Times New Roman"/>
          <w:i/>
          <w:iCs/>
          <w:sz w:val="22"/>
        </w:rPr>
        <w:t>72</w:t>
      </w:r>
      <w:r w:rsidRPr="00354901">
        <w:rPr>
          <w:rFonts w:ascii="Times New Roman" w:hAnsi="Times New Roman" w:cs="Times New Roman"/>
          <w:sz w:val="22"/>
        </w:rPr>
        <w:t>(Supplement_3), S129–S133. https://doi.org/10.1093/cid/ciab188</w:t>
      </w:r>
    </w:p>
    <w:p w14:paraId="53C774AE"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Moravec, F., Boomker, J., &amp; Taraschewski, H. (2000). Paraquimperia africana n. sp. (Nematoda: Quimperiidae), a New Intestinal Parasite of the Eel Anguilla mossambica Peters, in South Africa. </w:t>
      </w:r>
      <w:r w:rsidRPr="00354901">
        <w:rPr>
          <w:rFonts w:ascii="Times New Roman" w:hAnsi="Times New Roman" w:cs="Times New Roman"/>
          <w:i/>
          <w:iCs/>
          <w:sz w:val="22"/>
        </w:rPr>
        <w:t>The Journal of Parasitology</w:t>
      </w:r>
      <w:r w:rsidRPr="00354901">
        <w:rPr>
          <w:rFonts w:ascii="Times New Roman" w:hAnsi="Times New Roman" w:cs="Times New Roman"/>
          <w:sz w:val="22"/>
        </w:rPr>
        <w:t xml:space="preserve">, </w:t>
      </w:r>
      <w:r w:rsidRPr="00354901">
        <w:rPr>
          <w:rFonts w:ascii="Times New Roman" w:hAnsi="Times New Roman" w:cs="Times New Roman"/>
          <w:i/>
          <w:iCs/>
          <w:sz w:val="22"/>
        </w:rPr>
        <w:t>86</w:t>
      </w:r>
      <w:r w:rsidRPr="00354901">
        <w:rPr>
          <w:rFonts w:ascii="Times New Roman" w:hAnsi="Times New Roman" w:cs="Times New Roman"/>
          <w:sz w:val="22"/>
        </w:rPr>
        <w:t>(1), 113. https://doi.org/10.2307/3284919</w:t>
      </w:r>
    </w:p>
    <w:p w14:paraId="25D40EA7"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Obar, J. J., &amp; Shepardson, K. M. (2023). Coinfections in the lung: How viral infection creates a favorable environment for bacterial and fungal infections. </w:t>
      </w:r>
      <w:r w:rsidRPr="00354901">
        <w:rPr>
          <w:rFonts w:ascii="Times New Roman" w:hAnsi="Times New Roman" w:cs="Times New Roman"/>
          <w:i/>
          <w:iCs/>
          <w:sz w:val="22"/>
        </w:rPr>
        <w:t>PLOS Pathogens</w:t>
      </w:r>
      <w:r w:rsidRPr="00354901">
        <w:rPr>
          <w:rFonts w:ascii="Times New Roman" w:hAnsi="Times New Roman" w:cs="Times New Roman"/>
          <w:sz w:val="22"/>
        </w:rPr>
        <w:t xml:space="preserve">, </w:t>
      </w:r>
      <w:r w:rsidRPr="00354901">
        <w:rPr>
          <w:rFonts w:ascii="Times New Roman" w:hAnsi="Times New Roman" w:cs="Times New Roman"/>
          <w:i/>
          <w:iCs/>
          <w:sz w:val="22"/>
        </w:rPr>
        <w:t>19</w:t>
      </w:r>
      <w:r w:rsidRPr="00354901">
        <w:rPr>
          <w:rFonts w:ascii="Times New Roman" w:hAnsi="Times New Roman" w:cs="Times New Roman"/>
          <w:sz w:val="22"/>
        </w:rPr>
        <w:t>(5), e1011334. https://doi.org/10.1371/journal.ppat.1011334</w:t>
      </w:r>
    </w:p>
    <w:p w14:paraId="5342F588"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Pitman-Hunt, C., Leja, J., Jiwani, Z. M., Rondot, D., Ang, J., &amp; Kannikeswaran, N. (2021). Severe Acute Respiratory Syndrome-Coronavirus-2 Transmission in an Urban Community: The Role of Children and Household Contacts. </w:t>
      </w:r>
      <w:r w:rsidRPr="00354901">
        <w:rPr>
          <w:rFonts w:ascii="Times New Roman" w:hAnsi="Times New Roman" w:cs="Times New Roman"/>
          <w:i/>
          <w:iCs/>
          <w:sz w:val="22"/>
        </w:rPr>
        <w:t>Journal of the Pediatric Infectious Diseases Society</w:t>
      </w:r>
      <w:r w:rsidRPr="00354901">
        <w:rPr>
          <w:rFonts w:ascii="Times New Roman" w:hAnsi="Times New Roman" w:cs="Times New Roman"/>
          <w:sz w:val="22"/>
        </w:rPr>
        <w:t xml:space="preserve">, </w:t>
      </w:r>
      <w:r w:rsidRPr="00354901">
        <w:rPr>
          <w:rFonts w:ascii="Times New Roman" w:hAnsi="Times New Roman" w:cs="Times New Roman"/>
          <w:i/>
          <w:iCs/>
          <w:sz w:val="22"/>
        </w:rPr>
        <w:t>10</w:t>
      </w:r>
      <w:r w:rsidRPr="00354901">
        <w:rPr>
          <w:rFonts w:ascii="Times New Roman" w:hAnsi="Times New Roman" w:cs="Times New Roman"/>
          <w:sz w:val="22"/>
        </w:rPr>
        <w:t>(9), 919–921. https://doi.org/10.1093/jpids/piaa158</w:t>
      </w:r>
    </w:p>
    <w:p w14:paraId="4AD24C94"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Samad Ali, Abdus Sobhan, &amp; Pathak, A. (2024). Evaluating the Efficacy and Safety of Antihypertensive Drugs in the Treatment of Congenital Heart Disease in Paediatric Patients: A Comprehensive Study. </w:t>
      </w:r>
      <w:r w:rsidRPr="00354901">
        <w:rPr>
          <w:rFonts w:ascii="Times New Roman" w:hAnsi="Times New Roman" w:cs="Times New Roman"/>
          <w:i/>
          <w:iCs/>
          <w:sz w:val="22"/>
        </w:rPr>
        <w:t>Journal of Medical and Health Studies</w:t>
      </w:r>
      <w:r w:rsidRPr="00354901">
        <w:rPr>
          <w:rFonts w:ascii="Times New Roman" w:hAnsi="Times New Roman" w:cs="Times New Roman"/>
          <w:sz w:val="22"/>
        </w:rPr>
        <w:t xml:space="preserve">, </w:t>
      </w:r>
      <w:r w:rsidRPr="00354901">
        <w:rPr>
          <w:rFonts w:ascii="Times New Roman" w:hAnsi="Times New Roman" w:cs="Times New Roman"/>
          <w:i/>
          <w:iCs/>
          <w:sz w:val="22"/>
        </w:rPr>
        <w:t>5</w:t>
      </w:r>
      <w:r w:rsidRPr="00354901">
        <w:rPr>
          <w:rFonts w:ascii="Times New Roman" w:hAnsi="Times New Roman" w:cs="Times New Roman"/>
          <w:sz w:val="22"/>
        </w:rPr>
        <w:t>(3), 41–55. https://doi.org/10.32996/jmhs.2024.5.3.6</w:t>
      </w:r>
    </w:p>
    <w:p w14:paraId="00D0B25F"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lastRenderedPageBreak/>
        <w:t xml:space="preserve">Sao, V., Chey, C. O., Sriv, T., The, N., Phin, S., Hoeng, S., &amp; Phan, K. (2023). Assessing drinking water quality and health risks of contaminants in the coastal areas of Cambodia. </w:t>
      </w:r>
      <w:r w:rsidRPr="00354901">
        <w:rPr>
          <w:rFonts w:ascii="Times New Roman" w:hAnsi="Times New Roman" w:cs="Times New Roman"/>
          <w:i/>
          <w:iCs/>
          <w:sz w:val="22"/>
        </w:rPr>
        <w:t>Journal of Water and Health</w:t>
      </w:r>
      <w:r w:rsidRPr="00354901">
        <w:rPr>
          <w:rFonts w:ascii="Times New Roman" w:hAnsi="Times New Roman" w:cs="Times New Roman"/>
          <w:sz w:val="22"/>
        </w:rPr>
        <w:t xml:space="preserve">, </w:t>
      </w:r>
      <w:r w:rsidRPr="00354901">
        <w:rPr>
          <w:rFonts w:ascii="Times New Roman" w:hAnsi="Times New Roman" w:cs="Times New Roman"/>
          <w:i/>
          <w:iCs/>
          <w:sz w:val="22"/>
        </w:rPr>
        <w:t>21</w:t>
      </w:r>
      <w:r w:rsidRPr="00354901">
        <w:rPr>
          <w:rFonts w:ascii="Times New Roman" w:hAnsi="Times New Roman" w:cs="Times New Roman"/>
          <w:sz w:val="22"/>
        </w:rPr>
        <w:t>(2), 224–234. https://doi.org/10.2166/wh.2023.215</w:t>
      </w:r>
    </w:p>
    <w:p w14:paraId="61578980"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Seed, J. R., Hall, J. E., &amp; Sechelski, J. (1985). The Catabolism of Tryptophan to Indole‐3‐Ethanol by </w:t>
      </w:r>
      <w:r w:rsidRPr="00354901">
        <w:rPr>
          <w:rFonts w:ascii="Times New Roman" w:hAnsi="Times New Roman" w:cs="Times New Roman"/>
          <w:i/>
          <w:iCs/>
          <w:sz w:val="22"/>
        </w:rPr>
        <w:t>Crithidia fasciculata</w:t>
      </w:r>
      <w:r w:rsidRPr="00354901">
        <w:rPr>
          <w:rFonts w:ascii="Times New Roman" w:hAnsi="Times New Roman" w:cs="Times New Roman"/>
          <w:sz w:val="22"/>
        </w:rPr>
        <w:t xml:space="preserve"> and </w:t>
      </w:r>
      <w:r w:rsidRPr="00354901">
        <w:rPr>
          <w:rFonts w:ascii="Times New Roman" w:hAnsi="Times New Roman" w:cs="Times New Roman"/>
          <w:i/>
          <w:iCs/>
          <w:sz w:val="22"/>
        </w:rPr>
        <w:t>Phytomonas davidi</w:t>
      </w:r>
      <w:r w:rsidRPr="00354901">
        <w:rPr>
          <w:rFonts w:ascii="Times New Roman" w:hAnsi="Times New Roman" w:cs="Times New Roman"/>
          <w:sz w:val="22"/>
          <w:vertAlign w:val="superscript"/>
        </w:rPr>
        <w:t>1</w:t>
      </w:r>
      <w:r w:rsidRPr="00354901">
        <w:rPr>
          <w:rFonts w:ascii="Times New Roman" w:hAnsi="Times New Roman" w:cs="Times New Roman"/>
          <w:sz w:val="22"/>
        </w:rPr>
        <w:t xml:space="preserve">. </w:t>
      </w:r>
      <w:r w:rsidRPr="00354901">
        <w:rPr>
          <w:rFonts w:ascii="Times New Roman" w:hAnsi="Times New Roman" w:cs="Times New Roman"/>
          <w:i/>
          <w:iCs/>
          <w:sz w:val="22"/>
        </w:rPr>
        <w:t>The Journal of Protozoology</w:t>
      </w:r>
      <w:r w:rsidRPr="00354901">
        <w:rPr>
          <w:rFonts w:ascii="Times New Roman" w:hAnsi="Times New Roman" w:cs="Times New Roman"/>
          <w:sz w:val="22"/>
        </w:rPr>
        <w:t xml:space="preserve">, </w:t>
      </w:r>
      <w:r w:rsidRPr="00354901">
        <w:rPr>
          <w:rFonts w:ascii="Times New Roman" w:hAnsi="Times New Roman" w:cs="Times New Roman"/>
          <w:i/>
          <w:iCs/>
          <w:sz w:val="22"/>
        </w:rPr>
        <w:t>32</w:t>
      </w:r>
      <w:r w:rsidRPr="00354901">
        <w:rPr>
          <w:rFonts w:ascii="Times New Roman" w:hAnsi="Times New Roman" w:cs="Times New Roman"/>
          <w:sz w:val="22"/>
        </w:rPr>
        <w:t>(1), 20–25. https://doi.org/10.1111/j.1550-7408.1985.tb03007.x</w:t>
      </w:r>
    </w:p>
    <w:p w14:paraId="7642ED08"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Serrano‐Luna, J., Cervantes‐Sandoval, I., Tsutsumi, V., &amp; Shibayama, M. (2007). A Biochemical Comparison of Proteases from Pathogenic </w:t>
      </w:r>
      <w:r w:rsidRPr="00354901">
        <w:rPr>
          <w:rFonts w:ascii="Times New Roman" w:hAnsi="Times New Roman" w:cs="Times New Roman"/>
          <w:i/>
          <w:iCs/>
          <w:sz w:val="22"/>
        </w:rPr>
        <w:t>Naegleria fowleri</w:t>
      </w:r>
      <w:r w:rsidRPr="00354901">
        <w:rPr>
          <w:rFonts w:ascii="Times New Roman" w:hAnsi="Times New Roman" w:cs="Times New Roman"/>
          <w:sz w:val="22"/>
        </w:rPr>
        <w:t xml:space="preserve"> and Non‐Pathogenic </w:t>
      </w:r>
      <w:r w:rsidRPr="00354901">
        <w:rPr>
          <w:rFonts w:ascii="Times New Roman" w:hAnsi="Times New Roman" w:cs="Times New Roman"/>
          <w:i/>
          <w:iCs/>
          <w:sz w:val="22"/>
        </w:rPr>
        <w:t>Naegleria gruberi</w:t>
      </w:r>
      <w:r w:rsidRPr="00354901">
        <w:rPr>
          <w:rFonts w:ascii="Times New Roman" w:hAnsi="Times New Roman" w:cs="Times New Roman"/>
          <w:sz w:val="22"/>
        </w:rPr>
        <w:t xml:space="preserve">. </w:t>
      </w:r>
      <w:r w:rsidRPr="00354901">
        <w:rPr>
          <w:rFonts w:ascii="Times New Roman" w:hAnsi="Times New Roman" w:cs="Times New Roman"/>
          <w:i/>
          <w:iCs/>
          <w:sz w:val="22"/>
        </w:rPr>
        <w:t>Journal of Eukaryotic Microbiology</w:t>
      </w:r>
      <w:r w:rsidRPr="00354901">
        <w:rPr>
          <w:rFonts w:ascii="Times New Roman" w:hAnsi="Times New Roman" w:cs="Times New Roman"/>
          <w:sz w:val="22"/>
        </w:rPr>
        <w:t xml:space="preserve">, </w:t>
      </w:r>
      <w:r w:rsidRPr="00354901">
        <w:rPr>
          <w:rFonts w:ascii="Times New Roman" w:hAnsi="Times New Roman" w:cs="Times New Roman"/>
          <w:i/>
          <w:iCs/>
          <w:sz w:val="22"/>
        </w:rPr>
        <w:t>54</w:t>
      </w:r>
      <w:r w:rsidRPr="00354901">
        <w:rPr>
          <w:rFonts w:ascii="Times New Roman" w:hAnsi="Times New Roman" w:cs="Times New Roman"/>
          <w:sz w:val="22"/>
        </w:rPr>
        <w:t>(5), 411–417. https://doi.org/10.1111/j.1550-7408.2007.00280.x</w:t>
      </w:r>
    </w:p>
    <w:p w14:paraId="008C490A"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Siddiqui, R., Ali, I. K. M., Cope, J. R., &amp; Khan, N. A. (2016). Biology and pathogenesis of Naegleria fowleri. </w:t>
      </w:r>
      <w:r w:rsidRPr="00354901">
        <w:rPr>
          <w:rFonts w:ascii="Times New Roman" w:hAnsi="Times New Roman" w:cs="Times New Roman"/>
          <w:i/>
          <w:iCs/>
          <w:sz w:val="22"/>
        </w:rPr>
        <w:t>Acta Tropica</w:t>
      </w:r>
      <w:r w:rsidRPr="00354901">
        <w:rPr>
          <w:rFonts w:ascii="Times New Roman" w:hAnsi="Times New Roman" w:cs="Times New Roman"/>
          <w:sz w:val="22"/>
        </w:rPr>
        <w:t xml:space="preserve">, </w:t>
      </w:r>
      <w:r w:rsidRPr="00354901">
        <w:rPr>
          <w:rFonts w:ascii="Times New Roman" w:hAnsi="Times New Roman" w:cs="Times New Roman"/>
          <w:i/>
          <w:iCs/>
          <w:sz w:val="22"/>
        </w:rPr>
        <w:t>164</w:t>
      </w:r>
      <w:r w:rsidRPr="00354901">
        <w:rPr>
          <w:rFonts w:ascii="Times New Roman" w:hAnsi="Times New Roman" w:cs="Times New Roman"/>
          <w:sz w:val="22"/>
        </w:rPr>
        <w:t>, 375–394. https://doi.org/10.1016/j.actatropica.2016.09.009</w:t>
      </w:r>
    </w:p>
    <w:p w14:paraId="20DAC54C"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Steenbeek, R., Timmers, P. H. A., Van Der Linde, D., Hup, K., Hornstra, L., &amp; Been, F. (2022). Monitoring the exposure and emissions of antibiotic resistance: Co-occurrence of antibiotics and resistance genes in wastewater treatment plants. </w:t>
      </w:r>
      <w:r w:rsidRPr="00354901">
        <w:rPr>
          <w:rFonts w:ascii="Times New Roman" w:hAnsi="Times New Roman" w:cs="Times New Roman"/>
          <w:i/>
          <w:iCs/>
          <w:sz w:val="22"/>
        </w:rPr>
        <w:t>Journal of Water and Health</w:t>
      </w:r>
      <w:r w:rsidRPr="00354901">
        <w:rPr>
          <w:rFonts w:ascii="Times New Roman" w:hAnsi="Times New Roman" w:cs="Times New Roman"/>
          <w:sz w:val="22"/>
        </w:rPr>
        <w:t xml:space="preserve">, </w:t>
      </w:r>
      <w:r w:rsidRPr="00354901">
        <w:rPr>
          <w:rFonts w:ascii="Times New Roman" w:hAnsi="Times New Roman" w:cs="Times New Roman"/>
          <w:i/>
          <w:iCs/>
          <w:sz w:val="22"/>
        </w:rPr>
        <w:t>20</w:t>
      </w:r>
      <w:r w:rsidRPr="00354901">
        <w:rPr>
          <w:rFonts w:ascii="Times New Roman" w:hAnsi="Times New Roman" w:cs="Times New Roman"/>
          <w:sz w:val="22"/>
        </w:rPr>
        <w:t>(8), 1157–1170. https://doi.org/10.2166/wh.2022.021</w:t>
      </w:r>
    </w:p>
    <w:p w14:paraId="03CFC516"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Steltenpohl, M. G., Carter, B. T., Andresen, A., &amp; Zeltner, D. L. (2009). </w:t>
      </w:r>
      <w:r w:rsidRPr="00354901">
        <w:rPr>
          <w:rFonts w:ascii="Times New Roman" w:hAnsi="Times New Roman" w:cs="Times New Roman"/>
          <w:sz w:val="22"/>
          <w:vertAlign w:val="superscript"/>
        </w:rPr>
        <w:t>40</w:t>
      </w:r>
      <w:r w:rsidRPr="00354901">
        <w:rPr>
          <w:rFonts w:ascii="Times New Roman" w:hAnsi="Times New Roman" w:cs="Times New Roman"/>
          <w:sz w:val="22"/>
        </w:rPr>
        <w:t xml:space="preserve"> Ar/</w:t>
      </w:r>
      <w:r w:rsidRPr="00354901">
        <w:rPr>
          <w:rFonts w:ascii="Times New Roman" w:hAnsi="Times New Roman" w:cs="Times New Roman"/>
          <w:sz w:val="22"/>
          <w:vertAlign w:val="superscript"/>
        </w:rPr>
        <w:t>39</w:t>
      </w:r>
      <w:r w:rsidRPr="00354901">
        <w:rPr>
          <w:rFonts w:ascii="Times New Roman" w:hAnsi="Times New Roman" w:cs="Times New Roman"/>
          <w:sz w:val="22"/>
        </w:rPr>
        <w:t xml:space="preserve"> Ar Thermochronology of Late‐ and Postorogenic Extension in the Caledonides of North‐Central Norway. </w:t>
      </w:r>
      <w:r w:rsidRPr="00354901">
        <w:rPr>
          <w:rFonts w:ascii="Times New Roman" w:hAnsi="Times New Roman" w:cs="Times New Roman"/>
          <w:i/>
          <w:iCs/>
          <w:sz w:val="22"/>
        </w:rPr>
        <w:t>The Journal of Geology</w:t>
      </w:r>
      <w:r w:rsidRPr="00354901">
        <w:rPr>
          <w:rFonts w:ascii="Times New Roman" w:hAnsi="Times New Roman" w:cs="Times New Roman"/>
          <w:sz w:val="22"/>
        </w:rPr>
        <w:t xml:space="preserve">, </w:t>
      </w:r>
      <w:r w:rsidRPr="00354901">
        <w:rPr>
          <w:rFonts w:ascii="Times New Roman" w:hAnsi="Times New Roman" w:cs="Times New Roman"/>
          <w:i/>
          <w:iCs/>
          <w:sz w:val="22"/>
        </w:rPr>
        <w:t>117</w:t>
      </w:r>
      <w:r w:rsidRPr="00354901">
        <w:rPr>
          <w:rFonts w:ascii="Times New Roman" w:hAnsi="Times New Roman" w:cs="Times New Roman"/>
          <w:sz w:val="22"/>
        </w:rPr>
        <w:t>(4), 399–414. https://doi.org/10.1086/599217</w:t>
      </w:r>
    </w:p>
    <w:p w14:paraId="54C89F1E"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Sun, L., Lu, Y., Zhao, N., Wang, Y., Wang, B., Li, H., Wu, Z., Li, H., Zhang, X., &amp; Zhao, X. (2022). Construction of constitutive expression of Eimeria tenella eukaryotic initiation factor U6L5H2 on the surface of Lactobacillus plantarum and evaluation of its immunoprotective efficiency against chicken coccidiosis. </w:t>
      </w:r>
      <w:r w:rsidRPr="00354901">
        <w:rPr>
          <w:rFonts w:ascii="Times New Roman" w:hAnsi="Times New Roman" w:cs="Times New Roman"/>
          <w:i/>
          <w:iCs/>
          <w:sz w:val="22"/>
        </w:rPr>
        <w:t>Molecular and Biochemical Parasitology</w:t>
      </w:r>
      <w:r w:rsidRPr="00354901">
        <w:rPr>
          <w:rFonts w:ascii="Times New Roman" w:hAnsi="Times New Roman" w:cs="Times New Roman"/>
          <w:sz w:val="22"/>
        </w:rPr>
        <w:t xml:space="preserve">, </w:t>
      </w:r>
      <w:r w:rsidRPr="00354901">
        <w:rPr>
          <w:rFonts w:ascii="Times New Roman" w:hAnsi="Times New Roman" w:cs="Times New Roman"/>
          <w:i/>
          <w:iCs/>
          <w:sz w:val="22"/>
        </w:rPr>
        <w:t>252</w:t>
      </w:r>
      <w:r w:rsidRPr="00354901">
        <w:rPr>
          <w:rFonts w:ascii="Times New Roman" w:hAnsi="Times New Roman" w:cs="Times New Roman"/>
          <w:sz w:val="22"/>
        </w:rPr>
        <w:t>, 111527. https://doi.org/10.1016/j.molbiopara.2022.111527</w:t>
      </w:r>
    </w:p>
    <w:p w14:paraId="2F8D13FC"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Tian, N., Kobau, R., Zack, M. M., &amp; Greenlund, K. J. (2022). Barriers to and Disparities in Access to Health Care Among Adults Aged ≥18 Years with Epilepsy—United States, 2015 and 2017. </w:t>
      </w:r>
      <w:r w:rsidRPr="00354901">
        <w:rPr>
          <w:rFonts w:ascii="Times New Roman" w:hAnsi="Times New Roman" w:cs="Times New Roman"/>
          <w:i/>
          <w:iCs/>
          <w:sz w:val="22"/>
        </w:rPr>
        <w:lastRenderedPageBreak/>
        <w:t>MMWR. Morbidity and Mortality Weekly Report</w:t>
      </w:r>
      <w:r w:rsidRPr="00354901">
        <w:rPr>
          <w:rFonts w:ascii="Times New Roman" w:hAnsi="Times New Roman" w:cs="Times New Roman"/>
          <w:sz w:val="22"/>
        </w:rPr>
        <w:t xml:space="preserve">, </w:t>
      </w:r>
      <w:r w:rsidRPr="00354901">
        <w:rPr>
          <w:rFonts w:ascii="Times New Roman" w:hAnsi="Times New Roman" w:cs="Times New Roman"/>
          <w:i/>
          <w:iCs/>
          <w:sz w:val="22"/>
        </w:rPr>
        <w:t>71</w:t>
      </w:r>
      <w:r w:rsidRPr="00354901">
        <w:rPr>
          <w:rFonts w:ascii="Times New Roman" w:hAnsi="Times New Roman" w:cs="Times New Roman"/>
          <w:sz w:val="22"/>
        </w:rPr>
        <w:t>(21), 697–702. https://doi.org/10.15585/mmwr.mm7121a1</w:t>
      </w:r>
    </w:p>
    <w:p w14:paraId="524470AE"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Vaselek, S., Sarac, B. E., Uzunkaya, A. D., Yilmaz, A., Karaaslan, C., &amp; Alten, B. (2024a). Identification of Ochrobactrum as a bacteria with transstadial transmission and potential for application in paratransgenic control of leishmaniasis. </w:t>
      </w:r>
      <w:r w:rsidRPr="00354901">
        <w:rPr>
          <w:rFonts w:ascii="Times New Roman" w:hAnsi="Times New Roman" w:cs="Times New Roman"/>
          <w:i/>
          <w:iCs/>
          <w:sz w:val="22"/>
        </w:rPr>
        <w:t>Parasitology Research</w:t>
      </w:r>
      <w:r w:rsidRPr="00354901">
        <w:rPr>
          <w:rFonts w:ascii="Times New Roman" w:hAnsi="Times New Roman" w:cs="Times New Roman"/>
          <w:sz w:val="22"/>
        </w:rPr>
        <w:t xml:space="preserve">, </w:t>
      </w:r>
      <w:r w:rsidRPr="00354901">
        <w:rPr>
          <w:rFonts w:ascii="Times New Roman" w:hAnsi="Times New Roman" w:cs="Times New Roman"/>
          <w:i/>
          <w:iCs/>
          <w:sz w:val="22"/>
        </w:rPr>
        <w:t>123</w:t>
      </w:r>
      <w:r w:rsidRPr="00354901">
        <w:rPr>
          <w:rFonts w:ascii="Times New Roman" w:hAnsi="Times New Roman" w:cs="Times New Roman"/>
          <w:sz w:val="22"/>
        </w:rPr>
        <w:t>(1), 82. https://doi.org/10.1007/s00436-023-08087-9</w:t>
      </w:r>
    </w:p>
    <w:p w14:paraId="26A39DA7"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Vaselek, S., Sarac, B. E., Uzunkaya, A. D., Yilmaz, A., Karaaslan, C., &amp; Alten, B. (2024b). Identification of Ochrobactrum as a bacteria with transstadial transmission and potential for application in paratransgenic control of leishmaniasis. </w:t>
      </w:r>
      <w:r w:rsidRPr="00354901">
        <w:rPr>
          <w:rFonts w:ascii="Times New Roman" w:hAnsi="Times New Roman" w:cs="Times New Roman"/>
          <w:i/>
          <w:iCs/>
          <w:sz w:val="22"/>
        </w:rPr>
        <w:t>Parasitology Research</w:t>
      </w:r>
      <w:r w:rsidRPr="00354901">
        <w:rPr>
          <w:rFonts w:ascii="Times New Roman" w:hAnsi="Times New Roman" w:cs="Times New Roman"/>
          <w:sz w:val="22"/>
        </w:rPr>
        <w:t xml:space="preserve">, </w:t>
      </w:r>
      <w:r w:rsidRPr="00354901">
        <w:rPr>
          <w:rFonts w:ascii="Times New Roman" w:hAnsi="Times New Roman" w:cs="Times New Roman"/>
          <w:i/>
          <w:iCs/>
          <w:sz w:val="22"/>
        </w:rPr>
        <w:t>123</w:t>
      </w:r>
      <w:r w:rsidRPr="00354901">
        <w:rPr>
          <w:rFonts w:ascii="Times New Roman" w:hAnsi="Times New Roman" w:cs="Times New Roman"/>
          <w:sz w:val="22"/>
        </w:rPr>
        <w:t>(1), 82. https://doi.org/10.1007/s00436-023-08087-9</w:t>
      </w:r>
    </w:p>
    <w:p w14:paraId="6DE3CC5B"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Wilson, M. R., Sample, H. A., Zorn, K. C., Arevalo, S., Yu, G., Neuhaus, J., Federman, S., Stryke, D., Briggs, B., Langelier, C., Berger, A., Douglas, V., Josephson, S. A., Chow, F. C., Fulton, B. D., DeRisi, J. L., Gelfand, J. M., Naccache, S. N., Bender, J., … Chiu, C. Y. (2019). Clinical Metagenomic Sequencing for Diagnosis of Meningitis and Encephalitis. </w:t>
      </w:r>
      <w:r w:rsidRPr="00354901">
        <w:rPr>
          <w:rFonts w:ascii="Times New Roman" w:hAnsi="Times New Roman" w:cs="Times New Roman"/>
          <w:i/>
          <w:iCs/>
          <w:sz w:val="22"/>
        </w:rPr>
        <w:t>New England Journal of Medicine</w:t>
      </w:r>
      <w:r w:rsidRPr="00354901">
        <w:rPr>
          <w:rFonts w:ascii="Times New Roman" w:hAnsi="Times New Roman" w:cs="Times New Roman"/>
          <w:sz w:val="22"/>
        </w:rPr>
        <w:t xml:space="preserve">, </w:t>
      </w:r>
      <w:r w:rsidRPr="00354901">
        <w:rPr>
          <w:rFonts w:ascii="Times New Roman" w:hAnsi="Times New Roman" w:cs="Times New Roman"/>
          <w:i/>
          <w:iCs/>
          <w:sz w:val="22"/>
        </w:rPr>
        <w:t>380</w:t>
      </w:r>
      <w:r w:rsidRPr="00354901">
        <w:rPr>
          <w:rFonts w:ascii="Times New Roman" w:hAnsi="Times New Roman" w:cs="Times New Roman"/>
          <w:sz w:val="22"/>
        </w:rPr>
        <w:t>(24), 2327–2340. https://doi.org/10.1056/NEJMoa1803396</w:t>
      </w:r>
    </w:p>
    <w:p w14:paraId="5723C435"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Yoder, J. S., Eddy, B. A., Visvesvara, G. S., Capewell, L., &amp; Beach, M. J. (2010). The epidemiology of primary amoebic meningoencephalitis in the USA, 1962–2008. </w:t>
      </w:r>
      <w:r w:rsidRPr="00354901">
        <w:rPr>
          <w:rFonts w:ascii="Times New Roman" w:hAnsi="Times New Roman" w:cs="Times New Roman"/>
          <w:i/>
          <w:iCs/>
          <w:sz w:val="22"/>
        </w:rPr>
        <w:t>Epidemiology and Infection</w:t>
      </w:r>
      <w:r w:rsidRPr="00354901">
        <w:rPr>
          <w:rFonts w:ascii="Times New Roman" w:hAnsi="Times New Roman" w:cs="Times New Roman"/>
          <w:sz w:val="22"/>
        </w:rPr>
        <w:t xml:space="preserve">, </w:t>
      </w:r>
      <w:r w:rsidRPr="00354901">
        <w:rPr>
          <w:rFonts w:ascii="Times New Roman" w:hAnsi="Times New Roman" w:cs="Times New Roman"/>
          <w:i/>
          <w:iCs/>
          <w:sz w:val="22"/>
        </w:rPr>
        <w:t>138</w:t>
      </w:r>
      <w:r w:rsidRPr="00354901">
        <w:rPr>
          <w:rFonts w:ascii="Times New Roman" w:hAnsi="Times New Roman" w:cs="Times New Roman"/>
          <w:sz w:val="22"/>
        </w:rPr>
        <w:t>(7), 968–975. https://doi.org/10.1017/S0950268809991014</w:t>
      </w:r>
    </w:p>
    <w:p w14:paraId="122AF68E" w14:textId="77777777" w:rsidR="00354901" w:rsidRPr="00354901" w:rsidRDefault="00354901" w:rsidP="00354901">
      <w:pPr>
        <w:pStyle w:val="Bibliography"/>
        <w:rPr>
          <w:rFonts w:ascii="Times New Roman" w:hAnsi="Times New Roman" w:cs="Times New Roman"/>
          <w:sz w:val="22"/>
        </w:rPr>
      </w:pPr>
      <w:r w:rsidRPr="00354901">
        <w:rPr>
          <w:rFonts w:ascii="Times New Roman" w:hAnsi="Times New Roman" w:cs="Times New Roman"/>
          <w:sz w:val="22"/>
        </w:rPr>
        <w:t xml:space="preserve">Zhang, E., Zhu, H., Song, B., Shi, Y., &amp; Cao, Z. (2024). Recent advances in oral insulin delivery technologies. </w:t>
      </w:r>
      <w:r w:rsidRPr="00354901">
        <w:rPr>
          <w:rFonts w:ascii="Times New Roman" w:hAnsi="Times New Roman" w:cs="Times New Roman"/>
          <w:i/>
          <w:iCs/>
          <w:sz w:val="22"/>
        </w:rPr>
        <w:t>Journal of Controlled Release</w:t>
      </w:r>
      <w:r w:rsidRPr="00354901">
        <w:rPr>
          <w:rFonts w:ascii="Times New Roman" w:hAnsi="Times New Roman" w:cs="Times New Roman"/>
          <w:sz w:val="22"/>
        </w:rPr>
        <w:t xml:space="preserve">, </w:t>
      </w:r>
      <w:r w:rsidRPr="00354901">
        <w:rPr>
          <w:rFonts w:ascii="Times New Roman" w:hAnsi="Times New Roman" w:cs="Times New Roman"/>
          <w:i/>
          <w:iCs/>
          <w:sz w:val="22"/>
        </w:rPr>
        <w:t>366</w:t>
      </w:r>
      <w:r w:rsidRPr="00354901">
        <w:rPr>
          <w:rFonts w:ascii="Times New Roman" w:hAnsi="Times New Roman" w:cs="Times New Roman"/>
          <w:sz w:val="22"/>
        </w:rPr>
        <w:t>, 221–230. https://doi.org/10.1016/j.jconrel.2023.12.045</w:t>
      </w:r>
    </w:p>
    <w:p w14:paraId="0C11AA90" w14:textId="311B3FF4" w:rsidR="00A66E12" w:rsidRPr="00E45897" w:rsidRDefault="00D90157" w:rsidP="00BA77D3">
      <w:pPr>
        <w:jc w:val="both"/>
        <w:rPr>
          <w:rFonts w:ascii="Times New Roman" w:hAnsi="Times New Roman" w:cs="Times New Roman"/>
          <w:sz w:val="22"/>
          <w:szCs w:val="22"/>
        </w:rPr>
      </w:pPr>
      <w:r w:rsidRPr="00D90157">
        <w:rPr>
          <w:rFonts w:ascii="Times New Roman" w:hAnsi="Times New Roman" w:cs="Times New Roman"/>
          <w:sz w:val="22"/>
          <w:szCs w:val="22"/>
        </w:rPr>
        <w:fldChar w:fldCharType="end"/>
      </w:r>
    </w:p>
    <w:sectPr w:rsidR="00A66E12" w:rsidRPr="00E458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A1136" w14:textId="77777777" w:rsidR="001E5AC3" w:rsidRDefault="001E5AC3" w:rsidP="00ED3FE2">
      <w:pPr>
        <w:spacing w:after="0" w:line="240" w:lineRule="auto"/>
      </w:pPr>
      <w:r>
        <w:separator/>
      </w:r>
    </w:p>
  </w:endnote>
  <w:endnote w:type="continuationSeparator" w:id="0">
    <w:p w14:paraId="3EED7906" w14:textId="77777777" w:rsidR="001E5AC3" w:rsidRDefault="001E5AC3" w:rsidP="00ED3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FB29" w14:textId="77777777" w:rsidR="00ED3FE2" w:rsidRDefault="00ED3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8171" w14:textId="77777777" w:rsidR="00ED3FE2" w:rsidRDefault="00ED3F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30A1" w14:textId="77777777" w:rsidR="00ED3FE2" w:rsidRDefault="00ED3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06D78" w14:textId="77777777" w:rsidR="001E5AC3" w:rsidRDefault="001E5AC3" w:rsidP="00ED3FE2">
      <w:pPr>
        <w:spacing w:after="0" w:line="240" w:lineRule="auto"/>
      </w:pPr>
      <w:r>
        <w:separator/>
      </w:r>
    </w:p>
  </w:footnote>
  <w:footnote w:type="continuationSeparator" w:id="0">
    <w:p w14:paraId="59D4DAF0" w14:textId="77777777" w:rsidR="001E5AC3" w:rsidRDefault="001E5AC3" w:rsidP="00ED3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0514" w14:textId="0081D431" w:rsidR="00ED3FE2" w:rsidRDefault="00000000">
    <w:pPr>
      <w:pStyle w:val="Header"/>
    </w:pPr>
    <w:r>
      <w:rPr>
        <w:noProof/>
      </w:rPr>
      <w:pict w14:anchorId="49D4B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50AF" w14:textId="3081E56C" w:rsidR="00ED3FE2" w:rsidRDefault="00000000">
    <w:pPr>
      <w:pStyle w:val="Header"/>
    </w:pPr>
    <w:r>
      <w:rPr>
        <w:noProof/>
      </w:rPr>
      <w:pict w14:anchorId="1299C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2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9FD9" w14:textId="76F05CD1" w:rsidR="00ED3FE2" w:rsidRDefault="00000000">
    <w:pPr>
      <w:pStyle w:val="Header"/>
    </w:pPr>
    <w:r>
      <w:rPr>
        <w:noProof/>
      </w:rPr>
      <w:pict w14:anchorId="14FAD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7771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D7857"/>
    <w:multiLevelType w:val="multilevel"/>
    <w:tmpl w:val="0602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697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DE"/>
    <w:rsid w:val="00012B14"/>
    <w:rsid w:val="0002396D"/>
    <w:rsid w:val="000378FF"/>
    <w:rsid w:val="00057DEF"/>
    <w:rsid w:val="000A0845"/>
    <w:rsid w:val="000C0478"/>
    <w:rsid w:val="000F33C8"/>
    <w:rsid w:val="00133201"/>
    <w:rsid w:val="00160E56"/>
    <w:rsid w:val="001644D1"/>
    <w:rsid w:val="001A3350"/>
    <w:rsid w:val="001E5AC3"/>
    <w:rsid w:val="002503DC"/>
    <w:rsid w:val="002622F2"/>
    <w:rsid w:val="002833D3"/>
    <w:rsid w:val="002F40A6"/>
    <w:rsid w:val="00333DC9"/>
    <w:rsid w:val="003526CF"/>
    <w:rsid w:val="00354901"/>
    <w:rsid w:val="003670D3"/>
    <w:rsid w:val="003760B3"/>
    <w:rsid w:val="003B65B2"/>
    <w:rsid w:val="003F20EF"/>
    <w:rsid w:val="0040483A"/>
    <w:rsid w:val="0048542B"/>
    <w:rsid w:val="004A22E5"/>
    <w:rsid w:val="004A4B38"/>
    <w:rsid w:val="004C22AE"/>
    <w:rsid w:val="004C78DE"/>
    <w:rsid w:val="005331D0"/>
    <w:rsid w:val="0058562A"/>
    <w:rsid w:val="005A2ACE"/>
    <w:rsid w:val="005C6883"/>
    <w:rsid w:val="00600B51"/>
    <w:rsid w:val="0060350E"/>
    <w:rsid w:val="00643AB2"/>
    <w:rsid w:val="00652010"/>
    <w:rsid w:val="006C2853"/>
    <w:rsid w:val="006E4F58"/>
    <w:rsid w:val="006F0357"/>
    <w:rsid w:val="007128A3"/>
    <w:rsid w:val="00721F34"/>
    <w:rsid w:val="00727819"/>
    <w:rsid w:val="0075351C"/>
    <w:rsid w:val="0075377D"/>
    <w:rsid w:val="007627DD"/>
    <w:rsid w:val="00767205"/>
    <w:rsid w:val="00773DDC"/>
    <w:rsid w:val="007744C6"/>
    <w:rsid w:val="00774973"/>
    <w:rsid w:val="007A7C16"/>
    <w:rsid w:val="007B39B4"/>
    <w:rsid w:val="007F4F1E"/>
    <w:rsid w:val="00806CD5"/>
    <w:rsid w:val="008208F7"/>
    <w:rsid w:val="00834C89"/>
    <w:rsid w:val="00851590"/>
    <w:rsid w:val="00894A60"/>
    <w:rsid w:val="008A6D89"/>
    <w:rsid w:val="008D6A36"/>
    <w:rsid w:val="008D7655"/>
    <w:rsid w:val="008E6814"/>
    <w:rsid w:val="008E6FE6"/>
    <w:rsid w:val="008F5434"/>
    <w:rsid w:val="008F5C7E"/>
    <w:rsid w:val="00935CD8"/>
    <w:rsid w:val="009439D1"/>
    <w:rsid w:val="00945488"/>
    <w:rsid w:val="00975BED"/>
    <w:rsid w:val="009764A0"/>
    <w:rsid w:val="009A7103"/>
    <w:rsid w:val="009B7739"/>
    <w:rsid w:val="00A30F7F"/>
    <w:rsid w:val="00A66E12"/>
    <w:rsid w:val="00AB2801"/>
    <w:rsid w:val="00AD5FD4"/>
    <w:rsid w:val="00AE470E"/>
    <w:rsid w:val="00B13838"/>
    <w:rsid w:val="00B322E3"/>
    <w:rsid w:val="00B633CE"/>
    <w:rsid w:val="00B82D45"/>
    <w:rsid w:val="00BA77D3"/>
    <w:rsid w:val="00BB1182"/>
    <w:rsid w:val="00BC152D"/>
    <w:rsid w:val="00BD0BFA"/>
    <w:rsid w:val="00BE3F0D"/>
    <w:rsid w:val="00C05517"/>
    <w:rsid w:val="00C33759"/>
    <w:rsid w:val="00C37431"/>
    <w:rsid w:val="00C546FD"/>
    <w:rsid w:val="00C62A02"/>
    <w:rsid w:val="00C662A4"/>
    <w:rsid w:val="00C761D4"/>
    <w:rsid w:val="00C82FB6"/>
    <w:rsid w:val="00CA032F"/>
    <w:rsid w:val="00CA283C"/>
    <w:rsid w:val="00CA56D0"/>
    <w:rsid w:val="00CC3551"/>
    <w:rsid w:val="00D209BA"/>
    <w:rsid w:val="00D35465"/>
    <w:rsid w:val="00D66D71"/>
    <w:rsid w:val="00D90157"/>
    <w:rsid w:val="00DE0FD3"/>
    <w:rsid w:val="00E20A2B"/>
    <w:rsid w:val="00E22152"/>
    <w:rsid w:val="00E45897"/>
    <w:rsid w:val="00E54F07"/>
    <w:rsid w:val="00ED3FE2"/>
    <w:rsid w:val="00ED4F7D"/>
    <w:rsid w:val="00EE2C81"/>
    <w:rsid w:val="00EF7C9A"/>
    <w:rsid w:val="00F10383"/>
    <w:rsid w:val="00F50870"/>
    <w:rsid w:val="00F52437"/>
    <w:rsid w:val="00F86882"/>
    <w:rsid w:val="00FB70FB"/>
    <w:rsid w:val="00FD0C00"/>
    <w:rsid w:val="00FF29B2"/>
    <w:rsid w:val="00FF5BA5"/>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B90D9"/>
  <w15:chartTrackingRefBased/>
  <w15:docId w15:val="{DB38F214-5FB5-49B9-9CD4-52FD64B1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7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7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7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7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7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7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7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7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7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7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8DE"/>
    <w:rPr>
      <w:rFonts w:eastAsiaTheme="majorEastAsia" w:cstheme="majorBidi"/>
      <w:color w:val="272727" w:themeColor="text1" w:themeTint="D8"/>
    </w:rPr>
  </w:style>
  <w:style w:type="paragraph" w:styleId="Title">
    <w:name w:val="Title"/>
    <w:basedOn w:val="Normal"/>
    <w:next w:val="Normal"/>
    <w:link w:val="TitleChar"/>
    <w:uiPriority w:val="1"/>
    <w:qFormat/>
    <w:rsid w:val="004C7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4C7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8DE"/>
    <w:pPr>
      <w:spacing w:before="160"/>
      <w:jc w:val="center"/>
    </w:pPr>
    <w:rPr>
      <w:i/>
      <w:iCs/>
      <w:color w:val="404040" w:themeColor="text1" w:themeTint="BF"/>
    </w:rPr>
  </w:style>
  <w:style w:type="character" w:customStyle="1" w:styleId="QuoteChar">
    <w:name w:val="Quote Char"/>
    <w:basedOn w:val="DefaultParagraphFont"/>
    <w:link w:val="Quote"/>
    <w:uiPriority w:val="29"/>
    <w:rsid w:val="004C78DE"/>
    <w:rPr>
      <w:i/>
      <w:iCs/>
      <w:color w:val="404040" w:themeColor="text1" w:themeTint="BF"/>
    </w:rPr>
  </w:style>
  <w:style w:type="paragraph" w:styleId="ListParagraph">
    <w:name w:val="List Paragraph"/>
    <w:basedOn w:val="Normal"/>
    <w:uiPriority w:val="34"/>
    <w:qFormat/>
    <w:rsid w:val="004C78DE"/>
    <w:pPr>
      <w:ind w:left="720"/>
      <w:contextualSpacing/>
    </w:pPr>
  </w:style>
  <w:style w:type="character" w:styleId="IntenseEmphasis">
    <w:name w:val="Intense Emphasis"/>
    <w:basedOn w:val="DefaultParagraphFont"/>
    <w:uiPriority w:val="21"/>
    <w:qFormat/>
    <w:rsid w:val="004C78DE"/>
    <w:rPr>
      <w:i/>
      <w:iCs/>
      <w:color w:val="2F5496" w:themeColor="accent1" w:themeShade="BF"/>
    </w:rPr>
  </w:style>
  <w:style w:type="paragraph" w:styleId="IntenseQuote">
    <w:name w:val="Intense Quote"/>
    <w:basedOn w:val="Normal"/>
    <w:next w:val="Normal"/>
    <w:link w:val="IntenseQuoteChar"/>
    <w:uiPriority w:val="30"/>
    <w:qFormat/>
    <w:rsid w:val="004C7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78DE"/>
    <w:rPr>
      <w:i/>
      <w:iCs/>
      <w:color w:val="2F5496" w:themeColor="accent1" w:themeShade="BF"/>
    </w:rPr>
  </w:style>
  <w:style w:type="character" w:styleId="IntenseReference">
    <w:name w:val="Intense Reference"/>
    <w:basedOn w:val="DefaultParagraphFont"/>
    <w:uiPriority w:val="32"/>
    <w:qFormat/>
    <w:rsid w:val="004C78DE"/>
    <w:rPr>
      <w:b/>
      <w:bCs/>
      <w:smallCaps/>
      <w:color w:val="2F5496" w:themeColor="accent1" w:themeShade="BF"/>
      <w:spacing w:val="5"/>
    </w:rPr>
  </w:style>
  <w:style w:type="paragraph" w:styleId="Bibliography">
    <w:name w:val="Bibliography"/>
    <w:basedOn w:val="Normal"/>
    <w:next w:val="Normal"/>
    <w:uiPriority w:val="37"/>
    <w:unhideWhenUsed/>
    <w:rsid w:val="00D90157"/>
    <w:pPr>
      <w:spacing w:after="0" w:line="480" w:lineRule="auto"/>
      <w:ind w:left="720" w:hanging="720"/>
    </w:pPr>
  </w:style>
  <w:style w:type="character" w:styleId="Hyperlink">
    <w:name w:val="Hyperlink"/>
    <w:basedOn w:val="DefaultParagraphFont"/>
    <w:uiPriority w:val="99"/>
    <w:unhideWhenUsed/>
    <w:rsid w:val="00894A60"/>
    <w:rPr>
      <w:color w:val="0563C1" w:themeColor="hyperlink"/>
      <w:u w:val="single"/>
    </w:rPr>
  </w:style>
  <w:style w:type="character" w:styleId="UnresolvedMention">
    <w:name w:val="Unresolved Mention"/>
    <w:basedOn w:val="DefaultParagraphFont"/>
    <w:uiPriority w:val="99"/>
    <w:semiHidden/>
    <w:unhideWhenUsed/>
    <w:rsid w:val="00894A60"/>
    <w:rPr>
      <w:color w:val="605E5C"/>
      <w:shd w:val="clear" w:color="auto" w:fill="E1DFDD"/>
    </w:rPr>
  </w:style>
  <w:style w:type="paragraph" w:styleId="BodyText">
    <w:name w:val="Body Text"/>
    <w:basedOn w:val="Normal"/>
    <w:link w:val="BodyTextChar"/>
    <w:uiPriority w:val="1"/>
    <w:qFormat/>
    <w:rsid w:val="00BE3F0D"/>
    <w:pPr>
      <w:widowControl w:val="0"/>
      <w:autoSpaceDE w:val="0"/>
      <w:autoSpaceDN w:val="0"/>
      <w:adjustRightInd w:val="0"/>
      <w:spacing w:after="0" w:line="240" w:lineRule="auto"/>
    </w:pPr>
    <w:rPr>
      <w:rFonts w:ascii="Arial" w:eastAsiaTheme="minorEastAsia" w:hAnsi="Arial" w:cs="Arial"/>
      <w:kern w:val="0"/>
      <w:sz w:val="20"/>
      <w:szCs w:val="20"/>
    </w:rPr>
  </w:style>
  <w:style w:type="character" w:customStyle="1" w:styleId="BodyTextChar">
    <w:name w:val="Body Text Char"/>
    <w:basedOn w:val="DefaultParagraphFont"/>
    <w:link w:val="BodyText"/>
    <w:uiPriority w:val="1"/>
    <w:rsid w:val="00BE3F0D"/>
    <w:rPr>
      <w:rFonts w:ascii="Arial" w:eastAsiaTheme="minorEastAsia" w:hAnsi="Arial" w:cs="Arial"/>
      <w:kern w:val="0"/>
      <w:sz w:val="20"/>
      <w:szCs w:val="20"/>
    </w:rPr>
  </w:style>
  <w:style w:type="paragraph" w:styleId="Header">
    <w:name w:val="header"/>
    <w:basedOn w:val="Normal"/>
    <w:link w:val="HeaderChar"/>
    <w:uiPriority w:val="99"/>
    <w:unhideWhenUsed/>
    <w:rsid w:val="00ED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FE2"/>
  </w:style>
  <w:style w:type="paragraph" w:styleId="Footer">
    <w:name w:val="footer"/>
    <w:basedOn w:val="Normal"/>
    <w:link w:val="FooterChar"/>
    <w:uiPriority w:val="99"/>
    <w:unhideWhenUsed/>
    <w:rsid w:val="00ED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FE2"/>
  </w:style>
  <w:style w:type="paragraph" w:styleId="HTMLPreformatted">
    <w:name w:val="HTML Preformatted"/>
    <w:basedOn w:val="Normal"/>
    <w:link w:val="HTMLPreformattedChar"/>
    <w:uiPriority w:val="99"/>
    <w:semiHidden/>
    <w:unhideWhenUsed/>
    <w:rsid w:val="008E68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E68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1</Pages>
  <Words>30391</Words>
  <Characters>173231</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SAMAD ALI</dc:creator>
  <cp:keywords/>
  <dc:description/>
  <cp:lastModifiedBy>SAMAD ALI</cp:lastModifiedBy>
  <cp:revision>61</cp:revision>
  <cp:lastPrinted>2025-10-19T05:41:00Z</cp:lastPrinted>
  <dcterms:created xsi:type="dcterms:W3CDTF">2025-10-16T11:20:00Z</dcterms:created>
  <dcterms:modified xsi:type="dcterms:W3CDTF">2025-11-01T22:14:00Z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id="6mlRSAcv"/&gt;&lt;style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