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FBB3" w14:textId="77777777" w:rsidR="00754C9A" w:rsidRDefault="00754C9A" w:rsidP="00F255F8">
      <w:pPr>
        <w:pStyle w:val="Title"/>
        <w:spacing w:after="0"/>
        <w:jc w:val="both"/>
        <w:rPr>
          <w:rFonts w:ascii="Arial" w:hAnsi="Arial" w:cs="Arial"/>
        </w:rPr>
      </w:pPr>
    </w:p>
    <w:p w14:paraId="478C45BD" w14:textId="77777777" w:rsidR="00691C91" w:rsidRPr="00691C91" w:rsidRDefault="00691C91" w:rsidP="00F255F8">
      <w:pPr>
        <w:pStyle w:val="Author"/>
        <w:jc w:val="both"/>
        <w:rPr>
          <w:rFonts w:ascii="Arial" w:hAnsi="Arial" w:cs="Arial"/>
          <w:sz w:val="32"/>
          <w:szCs w:val="18"/>
        </w:rPr>
      </w:pPr>
      <w:r w:rsidRPr="00691C91">
        <w:rPr>
          <w:rFonts w:ascii="Arial" w:hAnsi="Arial" w:cs="Arial"/>
          <w:sz w:val="32"/>
          <w:szCs w:val="18"/>
        </w:rPr>
        <w:t>Valorization of Banana Peels and Agricultural Residues for Sustainable Biofertilizer: Advances in Waste utilization and Microbial enhancement</w:t>
      </w:r>
    </w:p>
    <w:p w14:paraId="3844B6DA" w14:textId="766CAC5E" w:rsidR="00A258C3" w:rsidRPr="008C3FCF" w:rsidRDefault="00691C91" w:rsidP="00F255F8">
      <w:pPr>
        <w:pStyle w:val="Author"/>
        <w:spacing w:line="240" w:lineRule="auto"/>
        <w:jc w:val="both"/>
        <w:rPr>
          <w:rFonts w:ascii="Arial" w:hAnsi="Arial" w:cs="Arial"/>
          <w:sz w:val="32"/>
          <w:szCs w:val="18"/>
        </w:rPr>
      </w:pPr>
      <w:r w:rsidRPr="00691C91">
        <w:rPr>
          <w:rFonts w:ascii="Arial" w:hAnsi="Arial" w:cs="Arial"/>
          <w:sz w:val="32"/>
          <w:szCs w:val="18"/>
        </w:rPr>
        <w:t xml:space="preserve"> </w:t>
      </w:r>
    </w:p>
    <w:p w14:paraId="21448E7A" w14:textId="77777777" w:rsidR="002C57D2" w:rsidRPr="00FB3A86" w:rsidRDefault="002C57D2" w:rsidP="00F255F8">
      <w:pPr>
        <w:pStyle w:val="Affiliation"/>
        <w:spacing w:after="0" w:line="240" w:lineRule="auto"/>
        <w:jc w:val="both"/>
        <w:rPr>
          <w:rFonts w:ascii="Arial" w:hAnsi="Arial" w:cs="Arial"/>
        </w:rPr>
      </w:pPr>
    </w:p>
    <w:p w14:paraId="5E1A95FE" w14:textId="77777777" w:rsidR="00B01FCD" w:rsidRPr="00FB3A86" w:rsidRDefault="00C576BD" w:rsidP="00F255F8">
      <w:pPr>
        <w:pStyle w:val="Copyright"/>
        <w:spacing w:after="0" w:line="240" w:lineRule="auto"/>
        <w:jc w:val="both"/>
        <w:rPr>
          <w:rFonts w:ascii="Arial" w:hAnsi="Arial" w:cs="Arial"/>
        </w:rPr>
        <w:sectPr w:rsidR="00B01FCD" w:rsidRPr="00FB3A86" w:rsidSect="00997A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D8C9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F9098A" w14:textId="6E1B6633" w:rsidR="00B01FCD" w:rsidRDefault="00B01FCD" w:rsidP="00F255F8">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EFCBEC" w14:textId="77777777" w:rsidR="00790ADA" w:rsidRPr="00FB3A86" w:rsidRDefault="00790ADA" w:rsidP="00F255F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51B951" w14:textId="77777777" w:rsidTr="001E44FE">
        <w:tc>
          <w:tcPr>
            <w:tcW w:w="9576" w:type="dxa"/>
            <w:shd w:val="clear" w:color="auto" w:fill="F2F2F2"/>
          </w:tcPr>
          <w:p w14:paraId="1829DDE9" w14:textId="77777777" w:rsidR="00C86219" w:rsidRDefault="00C86219" w:rsidP="00F255F8">
            <w:pPr>
              <w:pStyle w:val="Body"/>
              <w:rPr>
                <w:rFonts w:ascii="Arial" w:eastAsia="Calibri" w:hAnsi="Arial" w:cs="Arial"/>
                <w:szCs w:val="22"/>
              </w:rPr>
            </w:pPr>
            <w:r w:rsidRPr="00C86219">
              <w:rPr>
                <w:rFonts w:ascii="Arial" w:eastAsia="Calibri" w:hAnsi="Arial" w:cs="Arial"/>
                <w:szCs w:val="22"/>
              </w:rPr>
              <w:t xml:space="preserve">Banana peels (BPs), a widely generated </w:t>
            </w:r>
            <w:proofErr w:type="spellStart"/>
            <w:r w:rsidRPr="00C86219">
              <w:rPr>
                <w:rFonts w:ascii="Arial" w:eastAsia="Calibri" w:hAnsi="Arial" w:cs="Arial"/>
                <w:szCs w:val="22"/>
              </w:rPr>
              <w:t>agro</w:t>
            </w:r>
            <w:proofErr w:type="spellEnd"/>
            <w:r w:rsidRPr="00C86219">
              <w:rPr>
                <w:rFonts w:ascii="Arial" w:eastAsia="Calibri" w:hAnsi="Arial" w:cs="Arial"/>
                <w:szCs w:val="22"/>
              </w:rPr>
              <w:t xml:space="preserve">-waste, possess substantial nutritional, structural, and bioactive properties that remain underutilized in agricultural systems. Their valorization into biofertilizers has gained significant attention due to the growing need for low-cost, eco-friendly alternatives to synthetic fertilizers. BPs contain high levels of potassium, calcium, polyphenols, pectin, carbohydrates, and lignocellulosic compounds that make them suitable for conversion into multiple value-added products, including compost, liquid extracts, biochar, pectin gels, antioxidant powders, and biodegradable packaging materials. Recent advances demonstrate that integrating microbial inoculants—such as </w:t>
            </w:r>
            <w:r w:rsidRPr="00C86219">
              <w:rPr>
                <w:rFonts w:ascii="Arial" w:eastAsia="Calibri" w:hAnsi="Arial" w:cs="Arial"/>
                <w:i/>
                <w:iCs/>
                <w:szCs w:val="22"/>
              </w:rPr>
              <w:t>Bacillus</w:t>
            </w:r>
            <w:r w:rsidRPr="00C86219">
              <w:rPr>
                <w:rFonts w:ascii="Arial" w:eastAsia="Calibri" w:hAnsi="Arial" w:cs="Arial"/>
                <w:szCs w:val="22"/>
              </w:rPr>
              <w:t xml:space="preserve">, </w:t>
            </w:r>
            <w:r w:rsidRPr="00C86219">
              <w:rPr>
                <w:rFonts w:ascii="Arial" w:eastAsia="Calibri" w:hAnsi="Arial" w:cs="Arial"/>
                <w:i/>
                <w:iCs/>
                <w:szCs w:val="22"/>
              </w:rPr>
              <w:t>Azotobacter</w:t>
            </w:r>
            <w:r w:rsidRPr="00C86219">
              <w:rPr>
                <w:rFonts w:ascii="Arial" w:eastAsia="Calibri" w:hAnsi="Arial" w:cs="Arial"/>
                <w:szCs w:val="22"/>
              </w:rPr>
              <w:t xml:space="preserve">, </w:t>
            </w:r>
            <w:r w:rsidRPr="00C86219">
              <w:rPr>
                <w:rFonts w:ascii="Arial" w:eastAsia="Calibri" w:hAnsi="Arial" w:cs="Arial"/>
                <w:i/>
                <w:iCs/>
                <w:szCs w:val="22"/>
              </w:rPr>
              <w:t>Trichoderma</w:t>
            </w:r>
            <w:r w:rsidRPr="00C86219">
              <w:rPr>
                <w:rFonts w:ascii="Arial" w:eastAsia="Calibri" w:hAnsi="Arial" w:cs="Arial"/>
                <w:szCs w:val="22"/>
              </w:rPr>
              <w:t>, and phosphate-solubilizing bacteria—enhances decomposition, improves nutrient mineralization, and enriches the final fertilizer quality. Furthermore, BP-derived amendments have been reported to improve seedling vigor, biomass accumulation, soil enzyme activities, and resistance to abiotic stress in several crops. The review highlights current valorization approaches, chemical attributes influencing product efficiency, microbial mechanisms involved in residue transformation, and the potential role of BP-based fertilizers in supporting circular bioeconomy frameworks. Key challenges include achieving consistency in nutrient composition, optimizing fermentation parameters, and establishing regulatory standards. Overall, BP valorization provides an accessible, sustainable, and scalable pathway for transforming agricultural residues into high-value biofertilizers that can significantly enhance soil health and reduce dependence on chemical inputs.</w:t>
            </w:r>
          </w:p>
          <w:p w14:paraId="62CE2441" w14:textId="36DE9E8B" w:rsidR="00505F06" w:rsidRPr="00BA1B01" w:rsidRDefault="00505F06" w:rsidP="00F255F8">
            <w:pPr>
              <w:pStyle w:val="Body"/>
              <w:rPr>
                <w:rFonts w:ascii="Arial" w:eastAsia="Calibri" w:hAnsi="Arial" w:cs="Arial"/>
                <w:szCs w:val="22"/>
              </w:rPr>
            </w:pPr>
          </w:p>
        </w:tc>
      </w:tr>
    </w:tbl>
    <w:p w14:paraId="6F3F1AE2" w14:textId="77777777" w:rsidR="00636EB2" w:rsidRDefault="00636EB2" w:rsidP="00F255F8">
      <w:pPr>
        <w:pStyle w:val="Body"/>
        <w:spacing w:after="0"/>
        <w:rPr>
          <w:rFonts w:ascii="Arial" w:hAnsi="Arial" w:cs="Arial"/>
          <w:i/>
        </w:rPr>
      </w:pPr>
    </w:p>
    <w:p w14:paraId="62F754B9" w14:textId="3A1B504A" w:rsidR="00A24E7E" w:rsidRDefault="00A24E7E" w:rsidP="00F255F8">
      <w:pPr>
        <w:pStyle w:val="Body"/>
        <w:spacing w:after="0"/>
        <w:rPr>
          <w:rFonts w:ascii="Arial" w:hAnsi="Arial" w:cs="Arial"/>
          <w:i/>
        </w:rPr>
      </w:pPr>
      <w:r>
        <w:rPr>
          <w:rFonts w:ascii="Arial" w:hAnsi="Arial" w:cs="Arial"/>
          <w:i/>
        </w:rPr>
        <w:t xml:space="preserve">Keywords: </w:t>
      </w:r>
      <w:r w:rsidR="00B82F55" w:rsidRPr="00B82F55">
        <w:rPr>
          <w:rFonts w:ascii="Arial" w:hAnsi="Arial" w:cs="Arial"/>
          <w:i/>
        </w:rPr>
        <w:t xml:space="preserve">Banana peel, </w:t>
      </w:r>
      <w:proofErr w:type="spellStart"/>
      <w:r w:rsidR="00B82F55" w:rsidRPr="00B82F55">
        <w:rPr>
          <w:rFonts w:ascii="Arial" w:hAnsi="Arial" w:cs="Arial"/>
          <w:i/>
        </w:rPr>
        <w:t>Valorisation</w:t>
      </w:r>
      <w:proofErr w:type="spellEnd"/>
      <w:r w:rsidR="00B82F55" w:rsidRPr="00B82F55">
        <w:rPr>
          <w:rFonts w:ascii="Arial" w:hAnsi="Arial" w:cs="Arial"/>
          <w:i/>
        </w:rPr>
        <w:t xml:space="preserve">, </w:t>
      </w:r>
      <w:proofErr w:type="spellStart"/>
      <w:r w:rsidR="00B82F55" w:rsidRPr="00B82F55">
        <w:rPr>
          <w:rFonts w:ascii="Arial" w:hAnsi="Arial" w:cs="Arial"/>
          <w:i/>
        </w:rPr>
        <w:t>Agro</w:t>
      </w:r>
      <w:proofErr w:type="spellEnd"/>
      <w:r w:rsidR="00B82F55" w:rsidRPr="00B82F55">
        <w:rPr>
          <w:rFonts w:ascii="Arial" w:hAnsi="Arial" w:cs="Arial"/>
          <w:i/>
        </w:rPr>
        <w:t>-waste, Microbial consortia</w:t>
      </w:r>
    </w:p>
    <w:p w14:paraId="0E0CF0B5" w14:textId="4AC74378" w:rsidR="00B82F55" w:rsidRPr="00716C5B" w:rsidRDefault="00B82F55" w:rsidP="00F255F8">
      <w:pPr>
        <w:jc w:val="both"/>
        <w:rPr>
          <w:rFonts w:ascii="Times New Roman" w:hAnsi="Times New Roman"/>
          <w:b/>
          <w:bCs/>
          <w:sz w:val="24"/>
          <w:szCs w:val="24"/>
        </w:rPr>
      </w:pPr>
    </w:p>
    <w:p w14:paraId="217B1224" w14:textId="715731E0" w:rsidR="00B82F55" w:rsidRPr="00511340" w:rsidRDefault="00B82F55" w:rsidP="00F255F8">
      <w:pPr>
        <w:jc w:val="both"/>
        <w:rPr>
          <w:rFonts w:ascii="Times New Roman" w:hAnsi="Times New Roman"/>
          <w:b/>
          <w:bCs/>
          <w:sz w:val="24"/>
          <w:szCs w:val="24"/>
          <w:vertAlign w:val="superscript"/>
        </w:rPr>
      </w:pPr>
    </w:p>
    <w:p w14:paraId="27354902" w14:textId="28C9E699" w:rsidR="00B82F55" w:rsidRPr="00C43DA9" w:rsidRDefault="00B82F55" w:rsidP="00F255F8">
      <w:pPr>
        <w:jc w:val="both"/>
        <w:rPr>
          <w:rFonts w:ascii="Arial" w:hAnsi="Arial" w:cs="Arial"/>
          <w:b/>
          <w:bCs/>
          <w:sz w:val="22"/>
          <w:szCs w:val="22"/>
        </w:rPr>
      </w:pPr>
      <w:r w:rsidRPr="00C43DA9">
        <w:rPr>
          <w:rFonts w:ascii="Arial" w:hAnsi="Arial" w:cs="Arial"/>
          <w:b/>
          <w:bCs/>
          <w:sz w:val="22"/>
          <w:szCs w:val="22"/>
        </w:rPr>
        <w:t>1. Introduction</w:t>
      </w:r>
    </w:p>
    <w:p w14:paraId="6AC9C7A6" w14:textId="7E60EFC9"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The rapid expansion of global agriculture has intensified the use of synthetic fertilizers, contributing to soil degradation, nutrient imbalance, eutrophication, and increasing greenhouse-gas emissions (Ammar &amp; El-Sayed, 2023). As the environmental and economic limitations of chemical fertilizers become increasingly evident, the </w:t>
      </w:r>
      <w:proofErr w:type="spellStart"/>
      <w:r w:rsidRPr="007D1AEC">
        <w:rPr>
          <w:rFonts w:ascii="Arial" w:hAnsi="Arial" w:cs="Arial"/>
          <w:sz w:val="22"/>
          <w:szCs w:val="22"/>
          <w:lang w:val="en-IN"/>
        </w:rPr>
        <w:t>valorization</w:t>
      </w:r>
      <w:proofErr w:type="spellEnd"/>
      <w:r w:rsidRPr="007D1AEC">
        <w:rPr>
          <w:rFonts w:ascii="Arial" w:hAnsi="Arial" w:cs="Arial"/>
          <w:sz w:val="22"/>
          <w:szCs w:val="22"/>
          <w:lang w:val="en-IN"/>
        </w:rPr>
        <w:t xml:space="preserve"> of agricultural residues has emerged as a sustainable strategy for maintaining soil fertility while reducing ecological pressure. Banana (</w:t>
      </w:r>
      <w:r w:rsidRPr="007D1AEC">
        <w:rPr>
          <w:rFonts w:ascii="Arial" w:hAnsi="Arial" w:cs="Arial"/>
          <w:i/>
          <w:iCs/>
          <w:sz w:val="22"/>
          <w:szCs w:val="22"/>
          <w:lang w:val="en-IN"/>
        </w:rPr>
        <w:t>Musa</w:t>
      </w:r>
      <w:r w:rsidRPr="007D1AEC">
        <w:rPr>
          <w:rFonts w:ascii="Arial" w:hAnsi="Arial" w:cs="Arial"/>
          <w:sz w:val="22"/>
          <w:szCs w:val="22"/>
          <w:lang w:val="en-IN"/>
        </w:rPr>
        <w:t xml:space="preserve"> spp.) is one of the world’s most widely cultivated fruits, generating more than 35–40 million tons of peel waste annually, much of which is discarded in landfills where it contributes to methane emissions and environmental contamination (Choudhury, 2023; Khanyile </w:t>
      </w:r>
      <w:r w:rsidR="005A53A6">
        <w:rPr>
          <w:rFonts w:ascii="Arial" w:hAnsi="Arial" w:cs="Arial"/>
          <w:sz w:val="22"/>
          <w:szCs w:val="22"/>
          <w:lang w:val="en-IN"/>
        </w:rPr>
        <w:t>et al.</w:t>
      </w:r>
      <w:r w:rsidRPr="007D1AEC">
        <w:rPr>
          <w:rFonts w:ascii="Arial" w:hAnsi="Arial" w:cs="Arial"/>
          <w:sz w:val="22"/>
          <w:szCs w:val="22"/>
          <w:lang w:val="en-IN"/>
        </w:rPr>
        <w:t xml:space="preserve"> 2024).</w:t>
      </w:r>
    </w:p>
    <w:p w14:paraId="59FD24FD" w14:textId="0964A896"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Banana peels (BPs) are rich in carbohydrates, lignocellulosic </w:t>
      </w:r>
      <w:proofErr w:type="spellStart"/>
      <w:r w:rsidRPr="007D1AEC">
        <w:rPr>
          <w:rFonts w:ascii="Arial" w:hAnsi="Arial" w:cs="Arial"/>
          <w:sz w:val="22"/>
          <w:szCs w:val="22"/>
          <w:lang w:val="en-IN"/>
        </w:rPr>
        <w:t>fiber</w:t>
      </w:r>
      <w:proofErr w:type="spellEnd"/>
      <w:r w:rsidRPr="007D1AEC">
        <w:rPr>
          <w:rFonts w:ascii="Arial" w:hAnsi="Arial" w:cs="Arial"/>
          <w:sz w:val="22"/>
          <w:szCs w:val="22"/>
          <w:lang w:val="en-IN"/>
        </w:rPr>
        <w:t xml:space="preserve">, potassium, calcium, polyphenols, pectin, amino acids, and several micronutrients that make </w:t>
      </w:r>
      <w:r w:rsidRPr="007D1AEC">
        <w:rPr>
          <w:rFonts w:ascii="Arial" w:hAnsi="Arial" w:cs="Arial"/>
          <w:sz w:val="22"/>
          <w:szCs w:val="22"/>
          <w:lang w:val="en-IN"/>
        </w:rPr>
        <w:lastRenderedPageBreak/>
        <w:t xml:space="preserve">them an excellent substrate for biofertilizer production (Zaini &amp; Rini, 2022; Khanyile </w:t>
      </w:r>
      <w:r w:rsidR="005A53A6">
        <w:rPr>
          <w:rFonts w:ascii="Arial" w:hAnsi="Arial" w:cs="Arial"/>
          <w:sz w:val="22"/>
          <w:szCs w:val="22"/>
          <w:lang w:val="en-IN"/>
        </w:rPr>
        <w:t>et al.</w:t>
      </w:r>
      <w:r w:rsidRPr="007D1AEC">
        <w:rPr>
          <w:rFonts w:ascii="Arial" w:hAnsi="Arial" w:cs="Arial"/>
          <w:sz w:val="22"/>
          <w:szCs w:val="22"/>
          <w:lang w:val="en-IN"/>
        </w:rPr>
        <w:t xml:space="preserve"> 2024). Their chemical composition supports microbial colonization, enhances nutrient retention, and enables the gradual release of plant-available nutrients during decomposition. </w:t>
      </w:r>
      <w:proofErr w:type="spellStart"/>
      <w:r w:rsidRPr="007D1AEC">
        <w:rPr>
          <w:rFonts w:ascii="Arial" w:hAnsi="Arial" w:cs="Arial"/>
          <w:sz w:val="22"/>
          <w:szCs w:val="22"/>
          <w:lang w:val="en-IN"/>
        </w:rPr>
        <w:t>Valorizing</w:t>
      </w:r>
      <w:proofErr w:type="spellEnd"/>
      <w:r w:rsidRPr="007D1AEC">
        <w:rPr>
          <w:rFonts w:ascii="Arial" w:hAnsi="Arial" w:cs="Arial"/>
          <w:sz w:val="22"/>
          <w:szCs w:val="22"/>
          <w:lang w:val="en-IN"/>
        </w:rPr>
        <w:t xml:space="preserve"> BPs aligns strongly with circular bioeconomy principles, promoting resource recovery, minimizing waste, and reducing dependence on synthetic nutrient inputs (Ait-Kaddour </w:t>
      </w:r>
      <w:r w:rsidR="005A53A6">
        <w:rPr>
          <w:rFonts w:ascii="Arial" w:hAnsi="Arial" w:cs="Arial"/>
          <w:sz w:val="22"/>
          <w:szCs w:val="22"/>
          <w:lang w:val="en-IN"/>
        </w:rPr>
        <w:t>et al.</w:t>
      </w:r>
      <w:r w:rsidRPr="007D1AEC">
        <w:rPr>
          <w:rFonts w:ascii="Arial" w:hAnsi="Arial" w:cs="Arial"/>
          <w:sz w:val="22"/>
          <w:szCs w:val="22"/>
          <w:lang w:val="en-IN"/>
        </w:rPr>
        <w:t xml:space="preserve"> 2024).</w:t>
      </w:r>
    </w:p>
    <w:p w14:paraId="5F80D726" w14:textId="0F53DB92"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Microbial bioprocessing plays a central role in transforming BP biomass into functional fertilizers. Beneficial microorganisms such as </w:t>
      </w:r>
      <w:r w:rsidRPr="007D1AEC">
        <w:rPr>
          <w:rFonts w:ascii="Arial" w:hAnsi="Arial" w:cs="Arial"/>
          <w:i/>
          <w:iCs/>
          <w:sz w:val="22"/>
          <w:szCs w:val="22"/>
          <w:lang w:val="en-IN"/>
        </w:rPr>
        <w:t>Trichoderma</w:t>
      </w:r>
      <w:r w:rsidRPr="007D1AEC">
        <w:rPr>
          <w:rFonts w:ascii="Arial" w:hAnsi="Arial" w:cs="Arial"/>
          <w:sz w:val="22"/>
          <w:szCs w:val="22"/>
          <w:lang w:val="en-IN"/>
        </w:rPr>
        <w:t xml:space="preserve">, </w:t>
      </w:r>
      <w:r w:rsidRPr="007D1AEC">
        <w:rPr>
          <w:rFonts w:ascii="Arial" w:hAnsi="Arial" w:cs="Arial"/>
          <w:i/>
          <w:iCs/>
          <w:sz w:val="22"/>
          <w:szCs w:val="22"/>
          <w:lang w:val="en-IN"/>
        </w:rPr>
        <w:t>Bacillus</w:t>
      </w:r>
      <w:r w:rsidRPr="007D1AEC">
        <w:rPr>
          <w:rFonts w:ascii="Arial" w:hAnsi="Arial" w:cs="Arial"/>
          <w:sz w:val="22"/>
          <w:szCs w:val="22"/>
          <w:lang w:val="en-IN"/>
        </w:rPr>
        <w:t xml:space="preserve">, </w:t>
      </w:r>
      <w:proofErr w:type="spellStart"/>
      <w:r w:rsidRPr="007D1AEC">
        <w:rPr>
          <w:rFonts w:ascii="Arial" w:hAnsi="Arial" w:cs="Arial"/>
          <w:i/>
          <w:iCs/>
          <w:sz w:val="22"/>
          <w:szCs w:val="22"/>
          <w:lang w:val="en-IN"/>
        </w:rPr>
        <w:t>Azospirillum</w:t>
      </w:r>
      <w:proofErr w:type="spellEnd"/>
      <w:r w:rsidRPr="007D1AEC">
        <w:rPr>
          <w:rFonts w:ascii="Arial" w:hAnsi="Arial" w:cs="Arial"/>
          <w:sz w:val="22"/>
          <w:szCs w:val="22"/>
          <w:lang w:val="en-IN"/>
        </w:rPr>
        <w:t xml:space="preserve">, and phosphate-solubilizing bacteria degrade complex polymers, increase mineral availability, and improve soil health through enzyme production and pathogen suppression (Harman </w:t>
      </w:r>
      <w:r w:rsidR="005A53A6">
        <w:rPr>
          <w:rFonts w:ascii="Arial" w:hAnsi="Arial" w:cs="Arial"/>
          <w:sz w:val="22"/>
          <w:szCs w:val="22"/>
          <w:lang w:val="en-IN"/>
        </w:rPr>
        <w:t>et al.</w:t>
      </w:r>
      <w:r w:rsidRPr="007D1AEC">
        <w:rPr>
          <w:rFonts w:ascii="Arial" w:hAnsi="Arial" w:cs="Arial"/>
          <w:sz w:val="22"/>
          <w:szCs w:val="22"/>
          <w:lang w:val="en-IN"/>
        </w:rPr>
        <w:t xml:space="preserve"> 2004;</w:t>
      </w:r>
      <w:r w:rsidR="00156D5D">
        <w:rPr>
          <w:rFonts w:ascii="Arial" w:hAnsi="Arial" w:cs="Arial"/>
          <w:sz w:val="22"/>
          <w:szCs w:val="22"/>
          <w:lang w:val="en-IN"/>
        </w:rPr>
        <w:t xml:space="preserve"> </w:t>
      </w:r>
      <w:r w:rsidRPr="007D1AEC">
        <w:rPr>
          <w:rFonts w:ascii="Arial" w:hAnsi="Arial" w:cs="Arial"/>
          <w:sz w:val="22"/>
          <w:szCs w:val="22"/>
          <w:lang w:val="en-IN"/>
        </w:rPr>
        <w:t xml:space="preserve">Kannan &amp; </w:t>
      </w:r>
      <w:proofErr w:type="spellStart"/>
      <w:r w:rsidRPr="007D1AEC">
        <w:rPr>
          <w:rFonts w:ascii="Arial" w:hAnsi="Arial" w:cs="Arial"/>
          <w:sz w:val="22"/>
          <w:szCs w:val="22"/>
          <w:lang w:val="en-IN"/>
        </w:rPr>
        <w:t>Kalapirran</w:t>
      </w:r>
      <w:proofErr w:type="spellEnd"/>
      <w:r w:rsidRPr="007D1AEC">
        <w:rPr>
          <w:rFonts w:ascii="Arial" w:hAnsi="Arial" w:cs="Arial"/>
          <w:sz w:val="22"/>
          <w:szCs w:val="22"/>
          <w:lang w:val="en-IN"/>
        </w:rPr>
        <w:t xml:space="preserve">, 2022; Bashan &amp; de-Bashan, 2010). Integrating microbial inoculants with BP </w:t>
      </w:r>
      <w:proofErr w:type="spellStart"/>
      <w:r w:rsidRPr="007D1AEC">
        <w:rPr>
          <w:rFonts w:ascii="Arial" w:hAnsi="Arial" w:cs="Arial"/>
          <w:sz w:val="22"/>
          <w:szCs w:val="22"/>
          <w:lang w:val="en-IN"/>
        </w:rPr>
        <w:t>valorization</w:t>
      </w:r>
      <w:proofErr w:type="spellEnd"/>
      <w:r w:rsidRPr="007D1AEC">
        <w:rPr>
          <w:rFonts w:ascii="Arial" w:hAnsi="Arial" w:cs="Arial"/>
          <w:sz w:val="22"/>
          <w:szCs w:val="22"/>
          <w:lang w:val="en-IN"/>
        </w:rPr>
        <w:t xml:space="preserve"> therefore provides a dual advantage: efficient waste management and improved agricultural sustainability.</w:t>
      </w:r>
    </w:p>
    <w:p w14:paraId="6CCAB374" w14:textId="77777777"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This review synthesizes current knowledge on the nutritional composition of banana peels, </w:t>
      </w:r>
      <w:proofErr w:type="spellStart"/>
      <w:r w:rsidRPr="007D1AEC">
        <w:rPr>
          <w:rFonts w:ascii="Arial" w:hAnsi="Arial" w:cs="Arial"/>
          <w:sz w:val="22"/>
          <w:szCs w:val="22"/>
          <w:lang w:val="en-IN"/>
        </w:rPr>
        <w:t>valorization</w:t>
      </w:r>
      <w:proofErr w:type="spellEnd"/>
      <w:r w:rsidRPr="007D1AEC">
        <w:rPr>
          <w:rFonts w:ascii="Arial" w:hAnsi="Arial" w:cs="Arial"/>
          <w:sz w:val="22"/>
          <w:szCs w:val="22"/>
          <w:lang w:val="en-IN"/>
        </w:rPr>
        <w:t xml:space="preserve"> pathways, microbial mechanisms involved in residue transformation, and agricultural applications of BP-based fertilizers. It further highlights innovations, bottlenecks, and future research needs to support the large-scale development of BP-derived fertilizers within sustainable agricultural systems.</w:t>
      </w:r>
    </w:p>
    <w:p w14:paraId="568311A9" w14:textId="77777777" w:rsidR="007D1AEC" w:rsidRDefault="007D1AEC" w:rsidP="00F255F8">
      <w:pPr>
        <w:jc w:val="both"/>
        <w:rPr>
          <w:rFonts w:ascii="Arial" w:hAnsi="Arial" w:cs="Arial"/>
          <w:sz w:val="22"/>
          <w:szCs w:val="22"/>
          <w:lang w:val="en-IN"/>
        </w:rPr>
      </w:pPr>
    </w:p>
    <w:p w14:paraId="23BEE33E" w14:textId="77777777" w:rsidR="00B82F55" w:rsidRPr="00C43DA9" w:rsidRDefault="00B82F55" w:rsidP="00F255F8">
      <w:pPr>
        <w:jc w:val="both"/>
        <w:rPr>
          <w:rFonts w:ascii="Arial" w:hAnsi="Arial" w:cs="Arial"/>
          <w:sz w:val="22"/>
          <w:szCs w:val="22"/>
        </w:rPr>
      </w:pPr>
    </w:p>
    <w:p w14:paraId="6D208F12" w14:textId="77777777" w:rsidR="00B82F55" w:rsidRPr="00C43DA9" w:rsidRDefault="00B82F55" w:rsidP="00F255F8">
      <w:pPr>
        <w:jc w:val="both"/>
        <w:rPr>
          <w:rFonts w:ascii="Arial" w:hAnsi="Arial" w:cs="Arial"/>
          <w:b/>
          <w:bCs/>
          <w:sz w:val="22"/>
          <w:szCs w:val="22"/>
        </w:rPr>
      </w:pPr>
      <w:r w:rsidRPr="00C43DA9">
        <w:rPr>
          <w:rFonts w:ascii="Arial" w:hAnsi="Arial" w:cs="Arial"/>
          <w:b/>
          <w:bCs/>
          <w:sz w:val="22"/>
          <w:szCs w:val="22"/>
        </w:rPr>
        <w:t>2. Nutritional and Bioactive Composition of Banana Peels</w:t>
      </w:r>
    </w:p>
    <w:p w14:paraId="01A39256" w14:textId="703C39E1"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Banana peels (BPs) possess a diverse chemical profile that supports their transformation into biofertilizers and other value-added products. They contain substantial amounts of carbohydrates (59–67%), lignocellulosic </w:t>
      </w:r>
      <w:proofErr w:type="spellStart"/>
      <w:r w:rsidRPr="007D1AEC">
        <w:rPr>
          <w:rFonts w:ascii="Arial" w:hAnsi="Arial" w:cs="Arial"/>
          <w:sz w:val="22"/>
          <w:szCs w:val="22"/>
          <w:lang w:val="en-IN"/>
        </w:rPr>
        <w:t>fiber</w:t>
      </w:r>
      <w:proofErr w:type="spellEnd"/>
      <w:r w:rsidRPr="007D1AEC">
        <w:rPr>
          <w:rFonts w:ascii="Arial" w:hAnsi="Arial" w:cs="Arial"/>
          <w:sz w:val="22"/>
          <w:szCs w:val="22"/>
          <w:lang w:val="en-IN"/>
        </w:rPr>
        <w:t xml:space="preserve">, proteins, lipids, and several essential minerals that influence their biodegradability and nutrient-release potential (Zaini &amp; Rini, 2022). The high dietary </w:t>
      </w:r>
      <w:proofErr w:type="spellStart"/>
      <w:r w:rsidRPr="007D1AEC">
        <w:rPr>
          <w:rFonts w:ascii="Arial" w:hAnsi="Arial" w:cs="Arial"/>
          <w:sz w:val="22"/>
          <w:szCs w:val="22"/>
          <w:lang w:val="en-IN"/>
        </w:rPr>
        <w:t>fiber</w:t>
      </w:r>
      <w:proofErr w:type="spellEnd"/>
      <w:r w:rsidRPr="007D1AEC">
        <w:rPr>
          <w:rFonts w:ascii="Arial" w:hAnsi="Arial" w:cs="Arial"/>
          <w:sz w:val="22"/>
          <w:szCs w:val="22"/>
          <w:lang w:val="en-IN"/>
        </w:rPr>
        <w:t xml:space="preserve"> content (47–53%)—primarily cellulose, hemicellulose, and pectin—provides a structural matrix that supports microbial colonization and enzymatic breakdown during composting (Khanyile </w:t>
      </w:r>
      <w:r w:rsidR="005A53A6">
        <w:rPr>
          <w:rFonts w:ascii="Arial" w:hAnsi="Arial" w:cs="Arial"/>
          <w:sz w:val="22"/>
          <w:szCs w:val="22"/>
          <w:lang w:val="en-IN"/>
        </w:rPr>
        <w:t>et al.</w:t>
      </w:r>
      <w:r w:rsidRPr="007D1AEC">
        <w:rPr>
          <w:rFonts w:ascii="Arial" w:hAnsi="Arial" w:cs="Arial"/>
          <w:sz w:val="22"/>
          <w:szCs w:val="22"/>
          <w:lang w:val="en-IN"/>
        </w:rPr>
        <w:t xml:space="preserve"> 2024). Lignin, although present in lower proportions, contributes to slower decomposition and long-term carbon stabilization in soil.</w:t>
      </w:r>
    </w:p>
    <w:p w14:paraId="7B31A00A" w14:textId="058638C0"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BPs are particularly rich in potassium (~476 mg/100 g), calcium (~323 mg/100 g), phosphorus (~122 mg/100 g), magnesium, and trace micronutrients, all of which play essential roles in osmotic regulation, root development, enzyme activation, and photosynthetic efficiency (Khanyile </w:t>
      </w:r>
      <w:r w:rsidR="005A53A6">
        <w:rPr>
          <w:rFonts w:ascii="Arial" w:hAnsi="Arial" w:cs="Arial"/>
          <w:sz w:val="22"/>
          <w:szCs w:val="22"/>
          <w:lang w:val="en-IN"/>
        </w:rPr>
        <w:t>et al.</w:t>
      </w:r>
      <w:r w:rsidRPr="007D1AEC">
        <w:rPr>
          <w:rFonts w:ascii="Arial" w:hAnsi="Arial" w:cs="Arial"/>
          <w:sz w:val="22"/>
          <w:szCs w:val="22"/>
          <w:lang w:val="en-IN"/>
        </w:rPr>
        <w:t xml:space="preserve"> 2024; Choudhury, 2023). Their naturally high K content makes them especially suitable for formulating organic fertilizers for fruiting and flowering crops.</w:t>
      </w:r>
    </w:p>
    <w:p w14:paraId="39D5A5AE" w14:textId="77777777"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In addition to macronutrients, banana peels contain significant quantities of phenolic compounds—including catechin, rutin, ferulic acid, gallic acid, and caffeic acid—known for their antioxidant and antimicrobial properties (Choudhury, 2023). These bioactive compounds can indirectly promote plant growth by suppressing phytopathogens, protecting beneficial soil microbes, and reducing oxidative stress in plants exposed to abiotic stress.</w:t>
      </w:r>
    </w:p>
    <w:p w14:paraId="5441E7F1" w14:textId="77777777"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 xml:space="preserve">Amino acids such as leucine, lysine, isoleucine, valine, and tryptophan contribute to the nutritional quality of BPs and are readily metabolized by microbial consortia during fermentation, accelerating biomass degradation and nutrient mineralization (Kannan &amp; </w:t>
      </w:r>
      <w:proofErr w:type="spellStart"/>
      <w:r w:rsidRPr="007D1AEC">
        <w:rPr>
          <w:rFonts w:ascii="Arial" w:hAnsi="Arial" w:cs="Arial"/>
          <w:sz w:val="22"/>
          <w:szCs w:val="22"/>
          <w:lang w:val="en-IN"/>
        </w:rPr>
        <w:t>Kalapirran</w:t>
      </w:r>
      <w:proofErr w:type="spellEnd"/>
      <w:r w:rsidRPr="007D1AEC">
        <w:rPr>
          <w:rFonts w:ascii="Arial" w:hAnsi="Arial" w:cs="Arial"/>
          <w:sz w:val="22"/>
          <w:szCs w:val="22"/>
          <w:lang w:val="en-IN"/>
        </w:rPr>
        <w:t xml:space="preserve">, 2022). Lipid fractions (1.2–11.6%) include polyunsaturated </w:t>
      </w:r>
      <w:r w:rsidRPr="007D1AEC">
        <w:rPr>
          <w:rFonts w:ascii="Arial" w:hAnsi="Arial" w:cs="Arial"/>
          <w:sz w:val="22"/>
          <w:szCs w:val="22"/>
          <w:lang w:val="en-IN"/>
        </w:rPr>
        <w:lastRenderedPageBreak/>
        <w:t>fatty acids—particularly linoleic and α-linolenic acid—which serve as carbon sources for soil bacteria and enhance microbial activity during composting.</w:t>
      </w:r>
    </w:p>
    <w:p w14:paraId="7F6BD952" w14:textId="77777777" w:rsidR="007D1AEC" w:rsidRPr="007D1AEC" w:rsidRDefault="007D1AEC" w:rsidP="00F255F8">
      <w:pPr>
        <w:jc w:val="both"/>
        <w:rPr>
          <w:rFonts w:ascii="Arial" w:hAnsi="Arial" w:cs="Arial"/>
          <w:sz w:val="22"/>
          <w:szCs w:val="22"/>
          <w:lang w:val="en-IN"/>
        </w:rPr>
      </w:pPr>
      <w:r w:rsidRPr="007D1AEC">
        <w:rPr>
          <w:rFonts w:ascii="Arial" w:hAnsi="Arial" w:cs="Arial"/>
          <w:sz w:val="22"/>
          <w:szCs w:val="22"/>
          <w:lang w:val="en-IN"/>
        </w:rPr>
        <w:t>Overall, the combined presence of structural polysaccharides, mineral nutrients, and bioactive compounds makes banana peels an ideal substrate for biofertilizer production. Their composition not only supports nutrient recycling but also enhances microbial performance during decomposition, resulting in fertilizers that improve soil structure, nutrient retention, and biological activity.</w:t>
      </w:r>
    </w:p>
    <w:p w14:paraId="52CAA3FB" w14:textId="77777777" w:rsidR="007D1AEC" w:rsidRDefault="007D1AEC" w:rsidP="00F255F8">
      <w:pPr>
        <w:jc w:val="both"/>
        <w:rPr>
          <w:rFonts w:ascii="Arial" w:hAnsi="Arial" w:cs="Arial"/>
          <w:sz w:val="22"/>
          <w:szCs w:val="22"/>
          <w:lang w:val="en-IN"/>
        </w:rPr>
      </w:pPr>
    </w:p>
    <w:p w14:paraId="151DA5AB" w14:textId="13C19C39" w:rsidR="00B82F55" w:rsidRPr="00C43DA9" w:rsidRDefault="00B82F55" w:rsidP="00F255F8">
      <w:pPr>
        <w:jc w:val="both"/>
        <w:rPr>
          <w:rFonts w:ascii="Arial" w:hAnsi="Arial" w:cs="Arial"/>
          <w:sz w:val="22"/>
          <w:szCs w:val="22"/>
        </w:rPr>
      </w:pPr>
    </w:p>
    <w:p w14:paraId="2D695BFA" w14:textId="77777777" w:rsidR="00B82F55" w:rsidRPr="00C43DA9" w:rsidRDefault="00B82F55" w:rsidP="00F255F8">
      <w:pPr>
        <w:jc w:val="both"/>
        <w:rPr>
          <w:rFonts w:ascii="Arial" w:hAnsi="Arial" w:cs="Arial"/>
          <w:b/>
          <w:bCs/>
          <w:sz w:val="22"/>
          <w:szCs w:val="22"/>
        </w:rPr>
      </w:pPr>
      <w:r w:rsidRPr="00C43DA9">
        <w:rPr>
          <w:rFonts w:ascii="Arial" w:hAnsi="Arial" w:cs="Arial"/>
          <w:b/>
          <w:bCs/>
          <w:sz w:val="22"/>
          <w:szCs w:val="22"/>
        </w:rPr>
        <w:t>3. Valorization Pathways for Biofertilizer Production</w:t>
      </w:r>
    </w:p>
    <w:p w14:paraId="3C1BA697" w14:textId="58CD791C"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The conversion of banana peels (BPs) into biofertilizers can be achieved using several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strategies, each influencing nutrient availability, soil properties, and crop performance. These approaches include composting, microbial fermentation, solvent extraction, pyrolysis, and composite formulations. Their effectiveness depends on factors such as processing temperature, microbial activity, substrate composition, and the intended agricultural application (Khanyile </w:t>
      </w:r>
      <w:r w:rsidR="005A53A6">
        <w:rPr>
          <w:rFonts w:ascii="Arial" w:hAnsi="Arial" w:cs="Arial"/>
          <w:sz w:val="22"/>
          <w:szCs w:val="22"/>
          <w:lang w:val="en-IN"/>
        </w:rPr>
        <w:t>et al.</w:t>
      </w:r>
      <w:r w:rsidRPr="00C17AE6">
        <w:rPr>
          <w:rFonts w:ascii="Arial" w:hAnsi="Arial" w:cs="Arial"/>
          <w:sz w:val="22"/>
          <w:szCs w:val="22"/>
          <w:lang w:val="en-IN"/>
        </w:rPr>
        <w:t xml:space="preserve"> 2024).</w:t>
      </w:r>
    </w:p>
    <w:p w14:paraId="67EB39DD"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3.1 Composting and Soil Decomposition</w:t>
      </w:r>
    </w:p>
    <w:p w14:paraId="0BD2CE05" w14:textId="18B70BF6"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Composting is one of the most widely used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techniques, enabling the gradual decomposition of BPs through microbial activity. Their high carbohydrate and </w:t>
      </w:r>
      <w:proofErr w:type="spellStart"/>
      <w:r w:rsidRPr="00C17AE6">
        <w:rPr>
          <w:rFonts w:ascii="Arial" w:hAnsi="Arial" w:cs="Arial"/>
          <w:sz w:val="22"/>
          <w:szCs w:val="22"/>
          <w:lang w:val="en-IN"/>
        </w:rPr>
        <w:t>fiber</w:t>
      </w:r>
      <w:proofErr w:type="spellEnd"/>
      <w:r w:rsidRPr="00C17AE6">
        <w:rPr>
          <w:rFonts w:ascii="Arial" w:hAnsi="Arial" w:cs="Arial"/>
          <w:sz w:val="22"/>
          <w:szCs w:val="22"/>
          <w:lang w:val="en-IN"/>
        </w:rPr>
        <w:t xml:space="preserve"> content facilitates microbial colonization, while potassium and pectin enhance soil structure during decomposition. Studies show that incorporating 150 g of BP into soil for two months significantly improved germination and plant height in </w:t>
      </w:r>
      <w:r w:rsidRPr="00C17AE6">
        <w:rPr>
          <w:rFonts w:ascii="Arial" w:hAnsi="Arial" w:cs="Arial"/>
          <w:i/>
          <w:iCs/>
          <w:sz w:val="22"/>
          <w:szCs w:val="22"/>
          <w:lang w:val="en-IN"/>
        </w:rPr>
        <w:t>Pisum sativum</w:t>
      </w:r>
      <w:r w:rsidRPr="00C17AE6">
        <w:rPr>
          <w:rFonts w:ascii="Arial" w:hAnsi="Arial" w:cs="Arial"/>
          <w:sz w:val="22"/>
          <w:szCs w:val="22"/>
          <w:lang w:val="en-IN"/>
        </w:rPr>
        <w:t>, indicating efficient nutrient release and improved soil aeration (</w:t>
      </w:r>
      <w:proofErr w:type="spellStart"/>
      <w:r w:rsidRPr="00C17AE6">
        <w:rPr>
          <w:rFonts w:ascii="Arial" w:hAnsi="Arial" w:cs="Arial"/>
          <w:sz w:val="22"/>
          <w:szCs w:val="22"/>
          <w:lang w:val="en-IN"/>
        </w:rPr>
        <w:t>Barnossi</w:t>
      </w:r>
      <w:proofErr w:type="spellEnd"/>
      <w:r w:rsidRPr="00C17AE6">
        <w:rPr>
          <w:rFonts w:ascii="Arial" w:hAnsi="Arial" w:cs="Arial"/>
          <w:sz w:val="22"/>
          <w:szCs w:val="22"/>
          <w:lang w:val="en-IN"/>
        </w:rPr>
        <w:t xml:space="preserve"> &amp; </w:t>
      </w:r>
      <w:proofErr w:type="spellStart"/>
      <w:r w:rsidRPr="00C17AE6">
        <w:rPr>
          <w:rFonts w:ascii="Arial" w:hAnsi="Arial" w:cs="Arial"/>
          <w:sz w:val="22"/>
          <w:szCs w:val="22"/>
          <w:lang w:val="en-IN"/>
        </w:rPr>
        <w:t>Fiallos</w:t>
      </w:r>
      <w:proofErr w:type="spellEnd"/>
      <w:r w:rsidRPr="00C17AE6">
        <w:rPr>
          <w:rFonts w:ascii="Arial" w:hAnsi="Arial" w:cs="Arial"/>
          <w:sz w:val="22"/>
          <w:szCs w:val="22"/>
          <w:lang w:val="en-IN"/>
        </w:rPr>
        <w:t>-Cárdenas, 2022). Composting also reduces antinutritional factors such as tannins and oxalates, improving fertilizer safety and nutrient bioavailability (Zaini &amp; Rini, 2022).</w:t>
      </w:r>
    </w:p>
    <w:p w14:paraId="304A3A9A"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3.2 Microbial Fermentation and Bio-augmented Processes</w:t>
      </w:r>
    </w:p>
    <w:p w14:paraId="31363D28" w14:textId="590D9EED"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Microbial fermentation enhances the biodegradation of BPs by accelerating lignocellulosic breakdown and mineralization. Inoculants such as </w:t>
      </w:r>
      <w:r w:rsidRPr="00C17AE6">
        <w:rPr>
          <w:rFonts w:ascii="Arial" w:hAnsi="Arial" w:cs="Arial"/>
          <w:i/>
          <w:iCs/>
          <w:sz w:val="22"/>
          <w:szCs w:val="22"/>
          <w:lang w:val="en-IN"/>
        </w:rPr>
        <w:t>Bacillus</w:t>
      </w:r>
      <w:r w:rsidRPr="00C17AE6">
        <w:rPr>
          <w:rFonts w:ascii="Arial" w:hAnsi="Arial" w:cs="Arial"/>
          <w:sz w:val="22"/>
          <w:szCs w:val="22"/>
          <w:lang w:val="en-IN"/>
        </w:rPr>
        <w:t xml:space="preserve">, </w:t>
      </w:r>
      <w:r w:rsidRPr="00C17AE6">
        <w:rPr>
          <w:rFonts w:ascii="Arial" w:hAnsi="Arial" w:cs="Arial"/>
          <w:i/>
          <w:iCs/>
          <w:sz w:val="22"/>
          <w:szCs w:val="22"/>
          <w:lang w:val="en-IN"/>
        </w:rPr>
        <w:t>Azotobacter</w:t>
      </w:r>
      <w:r w:rsidRPr="00C17AE6">
        <w:rPr>
          <w:rFonts w:ascii="Arial" w:hAnsi="Arial" w:cs="Arial"/>
          <w:sz w:val="22"/>
          <w:szCs w:val="22"/>
          <w:lang w:val="en-IN"/>
        </w:rPr>
        <w:t xml:space="preserve">, </w:t>
      </w:r>
      <w:r w:rsidRPr="00C17AE6">
        <w:rPr>
          <w:rFonts w:ascii="Arial" w:hAnsi="Arial" w:cs="Arial"/>
          <w:i/>
          <w:iCs/>
          <w:sz w:val="22"/>
          <w:szCs w:val="22"/>
          <w:lang w:val="en-IN"/>
        </w:rPr>
        <w:t>Trichoderma</w:t>
      </w:r>
      <w:r w:rsidRPr="00C17AE6">
        <w:rPr>
          <w:rFonts w:ascii="Arial" w:hAnsi="Arial" w:cs="Arial"/>
          <w:sz w:val="22"/>
          <w:szCs w:val="22"/>
          <w:lang w:val="en-IN"/>
        </w:rPr>
        <w:t xml:space="preserve">, and phosphate-solubilizing bacteria contribute to the release of nitrogen, phosphorus, potassium, and micronutrients into plant-available forms (Harman </w:t>
      </w:r>
      <w:r w:rsidR="005A53A6">
        <w:rPr>
          <w:rFonts w:ascii="Arial" w:hAnsi="Arial" w:cs="Arial"/>
          <w:sz w:val="22"/>
          <w:szCs w:val="22"/>
          <w:lang w:val="en-IN"/>
        </w:rPr>
        <w:t>et al.</w:t>
      </w:r>
      <w:r w:rsidRPr="00C17AE6">
        <w:rPr>
          <w:rFonts w:ascii="Arial" w:hAnsi="Arial" w:cs="Arial"/>
          <w:sz w:val="22"/>
          <w:szCs w:val="22"/>
          <w:lang w:val="en-IN"/>
        </w:rPr>
        <w:t xml:space="preserve"> 2004; Kumar </w:t>
      </w:r>
      <w:r w:rsidR="00F363D7">
        <w:rPr>
          <w:rFonts w:ascii="Arial" w:hAnsi="Arial" w:cs="Arial"/>
          <w:sz w:val="22"/>
          <w:szCs w:val="22"/>
          <w:lang w:val="en-IN"/>
        </w:rPr>
        <w:t xml:space="preserve">et al. </w:t>
      </w:r>
      <w:r w:rsidRPr="00C17AE6">
        <w:rPr>
          <w:rFonts w:ascii="Arial" w:hAnsi="Arial" w:cs="Arial"/>
          <w:sz w:val="22"/>
          <w:szCs w:val="22"/>
          <w:lang w:val="en-IN"/>
        </w:rPr>
        <w:t xml:space="preserve">2020; Bashan &amp; de-Bashan, 2010). Fermented BP-based fertilizers show increased enzyme activities (urease, dehydrogenase) and improved soil microbial diversity, which enhance nutrient uptake efficiency (Kannan &amp; </w:t>
      </w:r>
      <w:proofErr w:type="spellStart"/>
      <w:r w:rsidRPr="00C17AE6">
        <w:rPr>
          <w:rFonts w:ascii="Arial" w:hAnsi="Arial" w:cs="Arial"/>
          <w:sz w:val="22"/>
          <w:szCs w:val="22"/>
          <w:lang w:val="en-IN"/>
        </w:rPr>
        <w:t>Kalapirran</w:t>
      </w:r>
      <w:proofErr w:type="spellEnd"/>
      <w:r w:rsidRPr="00C17AE6">
        <w:rPr>
          <w:rFonts w:ascii="Arial" w:hAnsi="Arial" w:cs="Arial"/>
          <w:sz w:val="22"/>
          <w:szCs w:val="22"/>
          <w:lang w:val="en-IN"/>
        </w:rPr>
        <w:t>, 2022). Such bio-augmented systems also suppress phytopathogens through antibiotic production and competitive colonization (Weller, 2007; Raaijmakers &amp; Mazzola, 2010).</w:t>
      </w:r>
    </w:p>
    <w:p w14:paraId="666C86C8"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3.3 Liquid Extracts and Aqueous/Solvent Extraction</w:t>
      </w:r>
    </w:p>
    <w:p w14:paraId="08D4E8DF" w14:textId="28029C93"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Liquid fertilizers derived from aqueous or solvent extraction provide concentrated nutrients—particularly soluble potassium, calcium, phenolics, and amino acids. These extracts are widely used for foliar application or seed priming. For example, fenugreek treated with BP liquid extract showed accelerated growth and higher shoot biomass due to enhanced nutrient uptake (</w:t>
      </w:r>
      <w:proofErr w:type="spellStart"/>
      <w:r w:rsidRPr="00C17AE6">
        <w:rPr>
          <w:rFonts w:ascii="Arial" w:hAnsi="Arial" w:cs="Arial"/>
          <w:sz w:val="22"/>
          <w:szCs w:val="22"/>
          <w:lang w:val="en-IN"/>
        </w:rPr>
        <w:t>Sogani</w:t>
      </w:r>
      <w:proofErr w:type="spellEnd"/>
      <w:r w:rsidR="005B2F9C">
        <w:rPr>
          <w:rFonts w:ascii="Arial" w:hAnsi="Arial" w:cs="Arial"/>
          <w:sz w:val="22"/>
          <w:szCs w:val="22"/>
          <w:lang w:val="en-IN"/>
        </w:rPr>
        <w:t xml:space="preserve"> et al.</w:t>
      </w:r>
      <w:r w:rsidRPr="00C17AE6">
        <w:rPr>
          <w:rFonts w:ascii="Arial" w:hAnsi="Arial" w:cs="Arial"/>
          <w:sz w:val="22"/>
          <w:szCs w:val="22"/>
          <w:lang w:val="en-IN"/>
        </w:rPr>
        <w:t xml:space="preserve"> 2014). Phenolic compounds in these extracts confer natural pest resistance and antioxidant protection to crops, improving tolerance to oxidative stress (Choudhury, 2023).</w:t>
      </w:r>
    </w:p>
    <w:p w14:paraId="4E71BF42"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3.4 Pyrolysis for Biochar Production</w:t>
      </w:r>
    </w:p>
    <w:p w14:paraId="6AF67579" w14:textId="5E611BBB"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lastRenderedPageBreak/>
        <w:t>Thermal conversion of BPs via pyrolysis yields biochar, a carbon-rich material with high porosity and cation-exchange capacity (Islam &amp; Rahman, 2019). BP-derived biochar improves soil aeration, water retention, and nutrient-holding capacity. When applied to tomato plants, BP biochar produced at 400 °C markedly enhanced soil pH and increased crop yield by approximately 10% (Zaini &amp; Rini, 2022). Its ability to stabilize organic carbon also supports long-term soil fertility and carbon sequestration.</w:t>
      </w:r>
    </w:p>
    <w:p w14:paraId="0C058138" w14:textId="07129B3D" w:rsidR="00C17AE6" w:rsidRPr="00C17AE6" w:rsidRDefault="00C17AE6" w:rsidP="00F255F8">
      <w:pPr>
        <w:jc w:val="both"/>
        <w:rPr>
          <w:rFonts w:ascii="Arial" w:hAnsi="Arial" w:cs="Arial"/>
          <w:sz w:val="22"/>
          <w:szCs w:val="22"/>
          <w:lang w:val="en-IN"/>
        </w:rPr>
      </w:pPr>
      <w:r w:rsidRPr="00C17AE6">
        <w:rPr>
          <w:rFonts w:ascii="Arial" w:hAnsi="Arial" w:cs="Arial"/>
          <w:b/>
          <w:bCs/>
          <w:sz w:val="22"/>
          <w:szCs w:val="22"/>
          <w:lang w:val="en-IN"/>
        </w:rPr>
        <w:t>3.5 Composite Formulations with Other Agricultural Residues</w:t>
      </w:r>
      <w:r w:rsidRPr="00C17AE6">
        <w:rPr>
          <w:rFonts w:ascii="Arial" w:hAnsi="Arial" w:cs="Arial"/>
          <w:sz w:val="22"/>
          <w:szCs w:val="22"/>
          <w:lang w:val="en-IN"/>
        </w:rPr>
        <w:br/>
        <w:t>Combining BPs with residues such as orange peels, eggshells, cow dung, or pomegranate peels creates synergistic nutrient blends. These composites improve macronutrient balance, especially for nitrogen-poor substrates (</w:t>
      </w:r>
      <w:proofErr w:type="spellStart"/>
      <w:r w:rsidRPr="00C17AE6">
        <w:rPr>
          <w:rFonts w:ascii="Arial" w:hAnsi="Arial" w:cs="Arial"/>
          <w:sz w:val="22"/>
          <w:szCs w:val="22"/>
          <w:lang w:val="en-IN"/>
        </w:rPr>
        <w:t>Rinni</w:t>
      </w:r>
      <w:proofErr w:type="spellEnd"/>
      <w:r w:rsidRPr="00C17AE6">
        <w:rPr>
          <w:rFonts w:ascii="Arial" w:hAnsi="Arial" w:cs="Arial"/>
          <w:sz w:val="22"/>
          <w:szCs w:val="22"/>
          <w:lang w:val="en-IN"/>
        </w:rPr>
        <w:t xml:space="preserve"> &amp; Diana Putri, 2023). For instance, nano-fertilizer blends incorporating BP powders increased chlorophyll content, leaf area, and nutrient uptake in okra due to improved mineralization and micronutrient availability</w:t>
      </w:r>
      <w:r w:rsidR="00844C72">
        <w:rPr>
          <w:rFonts w:ascii="Arial" w:hAnsi="Arial" w:cs="Arial"/>
          <w:sz w:val="22"/>
          <w:szCs w:val="22"/>
          <w:lang w:val="en-IN"/>
        </w:rPr>
        <w:t xml:space="preserve">. </w:t>
      </w:r>
      <w:r w:rsidRPr="00C17AE6">
        <w:rPr>
          <w:rFonts w:ascii="Arial" w:hAnsi="Arial" w:cs="Arial"/>
          <w:sz w:val="22"/>
          <w:szCs w:val="22"/>
          <w:lang w:val="en-IN"/>
        </w:rPr>
        <w:t>Such composites also enhance buffering capacity and soil microbial activity.</w:t>
      </w:r>
    </w:p>
    <w:p w14:paraId="59B74226"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 xml:space="preserve">3.6 Emerging </w:t>
      </w:r>
      <w:proofErr w:type="spellStart"/>
      <w:r w:rsidRPr="00C17AE6">
        <w:rPr>
          <w:rFonts w:ascii="Arial" w:hAnsi="Arial" w:cs="Arial"/>
          <w:b/>
          <w:bCs/>
          <w:sz w:val="22"/>
          <w:szCs w:val="22"/>
          <w:lang w:val="en-IN"/>
        </w:rPr>
        <w:t>Valorization</w:t>
      </w:r>
      <w:proofErr w:type="spellEnd"/>
      <w:r w:rsidRPr="00C17AE6">
        <w:rPr>
          <w:rFonts w:ascii="Arial" w:hAnsi="Arial" w:cs="Arial"/>
          <w:b/>
          <w:bCs/>
          <w:sz w:val="22"/>
          <w:szCs w:val="22"/>
          <w:lang w:val="en-IN"/>
        </w:rPr>
        <w:t xml:space="preserve"> Approaches</w:t>
      </w:r>
    </w:p>
    <w:p w14:paraId="4A3B084D" w14:textId="588CF688"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Recent developments include spectroscopic characterization (FTIR, NMR, XRD) and Industry–supported bioprocess monitoring to standardize BP-based fertilizers and ensure consistent nutrient profiles (Ait-Kaddour </w:t>
      </w:r>
      <w:r w:rsidR="005A53A6">
        <w:rPr>
          <w:rFonts w:ascii="Arial" w:hAnsi="Arial" w:cs="Arial"/>
          <w:sz w:val="22"/>
          <w:szCs w:val="22"/>
          <w:lang w:val="en-IN"/>
        </w:rPr>
        <w:t>et al.</w:t>
      </w:r>
      <w:r w:rsidRPr="00C17AE6">
        <w:rPr>
          <w:rFonts w:ascii="Arial" w:hAnsi="Arial" w:cs="Arial"/>
          <w:sz w:val="22"/>
          <w:szCs w:val="22"/>
          <w:lang w:val="en-IN"/>
        </w:rPr>
        <w:t xml:space="preserve"> 2024). Advanced bio-refinery models propose integrating BP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with the production of </w:t>
      </w:r>
      <w:proofErr w:type="spellStart"/>
      <w:r w:rsidRPr="00C17AE6">
        <w:rPr>
          <w:rFonts w:ascii="Arial" w:hAnsi="Arial" w:cs="Arial"/>
          <w:sz w:val="22"/>
          <w:szCs w:val="22"/>
          <w:lang w:val="en-IN"/>
        </w:rPr>
        <w:t>biostimulants</w:t>
      </w:r>
      <w:proofErr w:type="spellEnd"/>
      <w:r w:rsidRPr="00C17AE6">
        <w:rPr>
          <w:rFonts w:ascii="Arial" w:hAnsi="Arial" w:cs="Arial"/>
          <w:sz w:val="22"/>
          <w:szCs w:val="22"/>
          <w:lang w:val="en-IN"/>
        </w:rPr>
        <w:t>, antioxidants, and bioenergy, maximizing resource efficiency and economic viability</w:t>
      </w:r>
      <w:r w:rsidR="00156D5D">
        <w:rPr>
          <w:rFonts w:ascii="Arial" w:hAnsi="Arial" w:cs="Arial"/>
          <w:sz w:val="22"/>
          <w:szCs w:val="22"/>
          <w:lang w:val="en-IN"/>
        </w:rPr>
        <w:t>.</w:t>
      </w:r>
    </w:p>
    <w:p w14:paraId="55BA4C56" w14:textId="77777777"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Overall, the choice of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method determines the nutrient-release pattern, soil impact, and functional properties of BP-based fertilizers. Well-designed pathways, especially those integrating microbial enhancement, can significantly improve fertilizer quality and support sustainable agricultural systems.</w:t>
      </w:r>
    </w:p>
    <w:p w14:paraId="31EFD9DA" w14:textId="6D2BFE7B" w:rsidR="00B82F55" w:rsidRPr="00C43DA9" w:rsidRDefault="00B82F55" w:rsidP="00F255F8">
      <w:pPr>
        <w:jc w:val="both"/>
        <w:rPr>
          <w:rFonts w:ascii="Arial" w:hAnsi="Arial" w:cs="Arial"/>
          <w:sz w:val="22"/>
          <w:szCs w:val="22"/>
        </w:rPr>
      </w:pPr>
    </w:p>
    <w:p w14:paraId="598559BC" w14:textId="77777777" w:rsidR="00B82F55" w:rsidRPr="00C43DA9" w:rsidRDefault="00B82F55" w:rsidP="00F255F8">
      <w:pPr>
        <w:jc w:val="both"/>
        <w:rPr>
          <w:rFonts w:ascii="Arial" w:hAnsi="Arial" w:cs="Arial"/>
          <w:sz w:val="22"/>
          <w:szCs w:val="22"/>
        </w:rPr>
      </w:pPr>
    </w:p>
    <w:p w14:paraId="6BD05D75" w14:textId="77777777" w:rsidR="00B82F55" w:rsidRPr="00C43DA9" w:rsidRDefault="00B82F55" w:rsidP="00F255F8">
      <w:pPr>
        <w:jc w:val="both"/>
        <w:rPr>
          <w:rFonts w:ascii="Arial" w:hAnsi="Arial" w:cs="Arial"/>
          <w:b/>
          <w:bCs/>
          <w:sz w:val="22"/>
          <w:szCs w:val="22"/>
        </w:rPr>
      </w:pPr>
      <w:r w:rsidRPr="00C43DA9">
        <w:rPr>
          <w:rFonts w:ascii="Arial" w:hAnsi="Arial" w:cs="Arial"/>
          <w:b/>
          <w:bCs/>
          <w:sz w:val="22"/>
          <w:szCs w:val="22"/>
        </w:rPr>
        <w:t>4. Microbial Roles in Agricultural Residue Decomposition</w:t>
      </w:r>
    </w:p>
    <w:p w14:paraId="57AD9099" w14:textId="77777777"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Microorganisms play a central role in the transformation of banana peels (BPs) and other agricultural residues into nutrient-rich biofertilizers. Their enzymatic activities facilitate the decomposition of complex organic polymers, enhance nutrient mineralization, and contribute to soil biological health. The interaction of microbial consortia—comprising bacteria, fungi, and actinomycetes—determines the rate, efficiency, and quality of the resulting fertilizer (Kannan &amp; </w:t>
      </w:r>
      <w:proofErr w:type="spellStart"/>
      <w:r w:rsidRPr="00C17AE6">
        <w:rPr>
          <w:rFonts w:ascii="Arial" w:hAnsi="Arial" w:cs="Arial"/>
          <w:sz w:val="22"/>
          <w:szCs w:val="22"/>
          <w:lang w:val="en-IN"/>
        </w:rPr>
        <w:t>Kalapirran</w:t>
      </w:r>
      <w:proofErr w:type="spellEnd"/>
      <w:r w:rsidRPr="00C17AE6">
        <w:rPr>
          <w:rFonts w:ascii="Arial" w:hAnsi="Arial" w:cs="Arial"/>
          <w:sz w:val="22"/>
          <w:szCs w:val="22"/>
          <w:lang w:val="en-IN"/>
        </w:rPr>
        <w:t>, 2022).</w:t>
      </w:r>
    </w:p>
    <w:p w14:paraId="7F4C1019"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4.1 Decomposition of Lignocellulosic Biomass</w:t>
      </w:r>
    </w:p>
    <w:p w14:paraId="38911A0B" w14:textId="0E190566"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BPs contain significant amounts of cellulose, hemicellulose, and pectin, along with moderate lignin content. These structural polymers require specialized degradative enzymes such as cellulases, </w:t>
      </w:r>
      <w:proofErr w:type="spellStart"/>
      <w:r w:rsidRPr="00C17AE6">
        <w:rPr>
          <w:rFonts w:ascii="Arial" w:hAnsi="Arial" w:cs="Arial"/>
          <w:sz w:val="22"/>
          <w:szCs w:val="22"/>
          <w:lang w:val="en-IN"/>
        </w:rPr>
        <w:t>hemicellulases</w:t>
      </w:r>
      <w:proofErr w:type="spellEnd"/>
      <w:r w:rsidRPr="00C17AE6">
        <w:rPr>
          <w:rFonts w:ascii="Arial" w:hAnsi="Arial" w:cs="Arial"/>
          <w:sz w:val="22"/>
          <w:szCs w:val="22"/>
          <w:lang w:val="en-IN"/>
        </w:rPr>
        <w:t xml:space="preserve">, pectinases, and </w:t>
      </w:r>
      <w:proofErr w:type="spellStart"/>
      <w:r w:rsidRPr="00C17AE6">
        <w:rPr>
          <w:rFonts w:ascii="Arial" w:hAnsi="Arial" w:cs="Arial"/>
          <w:sz w:val="22"/>
          <w:szCs w:val="22"/>
          <w:lang w:val="en-IN"/>
        </w:rPr>
        <w:t>ligninases</w:t>
      </w:r>
      <w:proofErr w:type="spellEnd"/>
      <w:r w:rsidRPr="00C17AE6">
        <w:rPr>
          <w:rFonts w:ascii="Arial" w:hAnsi="Arial" w:cs="Arial"/>
          <w:sz w:val="22"/>
          <w:szCs w:val="22"/>
          <w:lang w:val="en-IN"/>
        </w:rPr>
        <w:t xml:space="preserve">. Fungal species such as </w:t>
      </w:r>
      <w:r w:rsidRPr="00C17AE6">
        <w:rPr>
          <w:rFonts w:ascii="Arial" w:hAnsi="Arial" w:cs="Arial"/>
          <w:i/>
          <w:iCs/>
          <w:sz w:val="22"/>
          <w:szCs w:val="22"/>
          <w:lang w:val="en-IN"/>
        </w:rPr>
        <w:t xml:space="preserve">Trichoderma </w:t>
      </w:r>
      <w:proofErr w:type="spellStart"/>
      <w:r w:rsidRPr="00C17AE6">
        <w:rPr>
          <w:rFonts w:ascii="Arial" w:hAnsi="Arial" w:cs="Arial"/>
          <w:i/>
          <w:iCs/>
          <w:sz w:val="22"/>
          <w:szCs w:val="22"/>
          <w:lang w:val="en-IN"/>
        </w:rPr>
        <w:t>harzianum</w:t>
      </w:r>
      <w:proofErr w:type="spellEnd"/>
      <w:r w:rsidRPr="00C17AE6">
        <w:rPr>
          <w:rFonts w:ascii="Arial" w:hAnsi="Arial" w:cs="Arial"/>
          <w:sz w:val="22"/>
          <w:szCs w:val="22"/>
          <w:lang w:val="en-IN"/>
        </w:rPr>
        <w:t xml:space="preserve"> are highly efficient decomposers, producing extracellular cellulases and β-glucosidases that accelerate </w:t>
      </w:r>
      <w:proofErr w:type="spellStart"/>
      <w:r w:rsidRPr="00C17AE6">
        <w:rPr>
          <w:rFonts w:ascii="Arial" w:hAnsi="Arial" w:cs="Arial"/>
          <w:sz w:val="22"/>
          <w:szCs w:val="22"/>
          <w:lang w:val="en-IN"/>
        </w:rPr>
        <w:t>fiber</w:t>
      </w:r>
      <w:proofErr w:type="spellEnd"/>
      <w:r w:rsidRPr="00C17AE6">
        <w:rPr>
          <w:rFonts w:ascii="Arial" w:hAnsi="Arial" w:cs="Arial"/>
          <w:sz w:val="22"/>
          <w:szCs w:val="22"/>
          <w:lang w:val="en-IN"/>
        </w:rPr>
        <w:t xml:space="preserve"> breakdown (Harman </w:t>
      </w:r>
      <w:r w:rsidR="005A53A6">
        <w:rPr>
          <w:rFonts w:ascii="Arial" w:hAnsi="Arial" w:cs="Arial"/>
          <w:sz w:val="22"/>
          <w:szCs w:val="22"/>
          <w:lang w:val="en-IN"/>
        </w:rPr>
        <w:t>et al.</w:t>
      </w:r>
      <w:r w:rsidRPr="00C17AE6">
        <w:rPr>
          <w:rFonts w:ascii="Arial" w:hAnsi="Arial" w:cs="Arial"/>
          <w:sz w:val="22"/>
          <w:szCs w:val="22"/>
          <w:lang w:val="en-IN"/>
        </w:rPr>
        <w:t xml:space="preserve"> 2004). Their rapid colonization enhances carbon mineralization, reduces composting time, and improves nutrient availability in the final biofertilizer.</w:t>
      </w:r>
    </w:p>
    <w:p w14:paraId="31A0F762" w14:textId="2730EB5A"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Actinomycetes, particularly </w:t>
      </w:r>
      <w:r w:rsidRPr="00C17AE6">
        <w:rPr>
          <w:rFonts w:ascii="Arial" w:hAnsi="Arial" w:cs="Arial"/>
          <w:i/>
          <w:iCs/>
          <w:sz w:val="22"/>
          <w:szCs w:val="22"/>
          <w:lang w:val="en-IN"/>
        </w:rPr>
        <w:t>Streptomyces</w:t>
      </w:r>
      <w:r w:rsidRPr="00C17AE6">
        <w:rPr>
          <w:rFonts w:ascii="Arial" w:hAnsi="Arial" w:cs="Arial"/>
          <w:sz w:val="22"/>
          <w:szCs w:val="22"/>
          <w:lang w:val="en-IN"/>
        </w:rPr>
        <w:t xml:space="preserve"> species, also contribute through lignin degradation and humus formation. Their oxidative enzymes break down recalcitrant lignocellulosic fractions, supporting the maturation of BP compost (Goodfellow &amp; Williams, 1983;</w:t>
      </w:r>
      <w:r w:rsidR="00E7267E">
        <w:rPr>
          <w:rFonts w:ascii="Arial" w:hAnsi="Arial" w:cs="Arial"/>
          <w:sz w:val="22"/>
          <w:szCs w:val="22"/>
          <w:lang w:val="en-IN"/>
        </w:rPr>
        <w:t xml:space="preserve"> H</w:t>
      </w:r>
      <w:r w:rsidR="00BB2A1B">
        <w:rPr>
          <w:rFonts w:ascii="Arial" w:hAnsi="Arial" w:cs="Arial"/>
          <w:sz w:val="22"/>
          <w:szCs w:val="22"/>
          <w:lang w:val="en-IN"/>
        </w:rPr>
        <w:t>sin</w:t>
      </w:r>
      <w:r w:rsidR="00E7267E">
        <w:rPr>
          <w:rFonts w:ascii="Arial" w:hAnsi="Arial" w:cs="Arial"/>
          <w:sz w:val="22"/>
          <w:szCs w:val="22"/>
          <w:lang w:val="en-IN"/>
        </w:rPr>
        <w:t xml:space="preserve"> et al. 2025</w:t>
      </w:r>
      <w:r w:rsidRPr="00C17AE6">
        <w:rPr>
          <w:rFonts w:ascii="Arial" w:hAnsi="Arial" w:cs="Arial"/>
          <w:sz w:val="22"/>
          <w:szCs w:val="22"/>
          <w:lang w:val="en-IN"/>
        </w:rPr>
        <w:t>).</w:t>
      </w:r>
    </w:p>
    <w:p w14:paraId="3CEA1653" w14:textId="0AC06DE8" w:rsidR="00F255F8" w:rsidRPr="00906C9D" w:rsidRDefault="00C17AE6" w:rsidP="00906C9D">
      <w:pPr>
        <w:pStyle w:val="ListParagraph"/>
        <w:numPr>
          <w:ilvl w:val="1"/>
          <w:numId w:val="36"/>
        </w:numPr>
        <w:jc w:val="both"/>
        <w:rPr>
          <w:rFonts w:ascii="Arial" w:hAnsi="Arial" w:cs="Arial"/>
        </w:rPr>
      </w:pPr>
      <w:r w:rsidRPr="00906C9D">
        <w:rPr>
          <w:rFonts w:ascii="Arial" w:hAnsi="Arial" w:cs="Arial"/>
          <w:b/>
          <w:bCs/>
        </w:rPr>
        <w:lastRenderedPageBreak/>
        <w:t>Nutrient Solubilization and Mineralization</w:t>
      </w:r>
    </w:p>
    <w:p w14:paraId="064519B8" w14:textId="0008B932" w:rsidR="00C17AE6" w:rsidRPr="00C17AE6" w:rsidRDefault="00C17AE6" w:rsidP="00906C9D">
      <w:pPr>
        <w:ind w:firstLine="360"/>
        <w:jc w:val="both"/>
        <w:rPr>
          <w:rFonts w:ascii="Arial" w:hAnsi="Arial" w:cs="Arial"/>
          <w:sz w:val="22"/>
          <w:szCs w:val="22"/>
          <w:lang w:val="en-IN"/>
        </w:rPr>
      </w:pPr>
      <w:r w:rsidRPr="00C17AE6">
        <w:rPr>
          <w:rFonts w:ascii="Arial" w:hAnsi="Arial" w:cs="Arial"/>
          <w:sz w:val="22"/>
          <w:szCs w:val="22"/>
          <w:lang w:val="en-IN"/>
        </w:rPr>
        <w:t>Nitrogen, phosphorus, and potassium mineralization is enhanced by a range of beneficial bacteria.</w:t>
      </w:r>
      <w:r w:rsidR="00906C9D">
        <w:rPr>
          <w:rFonts w:ascii="Arial" w:hAnsi="Arial" w:cs="Arial"/>
          <w:sz w:val="22"/>
          <w:szCs w:val="22"/>
          <w:lang w:val="en-IN"/>
        </w:rPr>
        <w:t xml:space="preserve"> </w:t>
      </w:r>
      <w:proofErr w:type="spellStart"/>
      <w:r w:rsidRPr="00C17AE6">
        <w:rPr>
          <w:rFonts w:ascii="Arial" w:hAnsi="Arial" w:cs="Arial"/>
          <w:i/>
          <w:iCs/>
          <w:sz w:val="22"/>
          <w:szCs w:val="22"/>
          <w:lang w:val="en-IN"/>
        </w:rPr>
        <w:t>Azospirillum</w:t>
      </w:r>
      <w:proofErr w:type="spellEnd"/>
      <w:r w:rsidRPr="00C17AE6">
        <w:rPr>
          <w:rFonts w:ascii="Arial" w:hAnsi="Arial" w:cs="Arial"/>
          <w:sz w:val="22"/>
          <w:szCs w:val="22"/>
          <w:lang w:val="en-IN"/>
        </w:rPr>
        <w:t xml:space="preserve"> and </w:t>
      </w:r>
      <w:r w:rsidRPr="00C17AE6">
        <w:rPr>
          <w:rFonts w:ascii="Arial" w:hAnsi="Arial" w:cs="Arial"/>
          <w:i/>
          <w:iCs/>
          <w:sz w:val="22"/>
          <w:szCs w:val="22"/>
          <w:lang w:val="en-IN"/>
        </w:rPr>
        <w:t>Rhizobium</w:t>
      </w:r>
      <w:r w:rsidRPr="00C17AE6">
        <w:rPr>
          <w:rFonts w:ascii="Arial" w:hAnsi="Arial" w:cs="Arial"/>
          <w:sz w:val="22"/>
          <w:szCs w:val="22"/>
          <w:lang w:val="en-IN"/>
        </w:rPr>
        <w:t xml:space="preserve"> fix atmospheric nitrogen, increasing N content in composted materials (Bashan &amp; de-Bashan, 2010).</w:t>
      </w:r>
      <w:r w:rsidR="00906C9D">
        <w:rPr>
          <w:rFonts w:ascii="Arial" w:hAnsi="Arial" w:cs="Arial"/>
          <w:sz w:val="22"/>
          <w:szCs w:val="22"/>
          <w:lang w:val="en-IN"/>
        </w:rPr>
        <w:t xml:space="preserve"> </w:t>
      </w:r>
      <w:r w:rsidRPr="00C17AE6">
        <w:rPr>
          <w:rFonts w:ascii="Arial" w:hAnsi="Arial" w:cs="Arial"/>
          <w:i/>
          <w:iCs/>
          <w:sz w:val="22"/>
          <w:szCs w:val="22"/>
          <w:lang w:val="en-IN"/>
        </w:rPr>
        <w:t>Bacillus subtilis</w:t>
      </w:r>
      <w:r w:rsidRPr="00C17AE6">
        <w:rPr>
          <w:rFonts w:ascii="Arial" w:hAnsi="Arial" w:cs="Arial"/>
          <w:sz w:val="22"/>
          <w:szCs w:val="22"/>
          <w:lang w:val="en-IN"/>
        </w:rPr>
        <w:t xml:space="preserve"> and other phosphate-solubilizing bacteria release organic acids (citric, gluconic, lactic acids) that convert insoluble phosphate forms into plant-available P (Kumar &amp; Singh, 2020).</w:t>
      </w:r>
      <w:r w:rsidR="00906C9D">
        <w:rPr>
          <w:rFonts w:ascii="Arial" w:hAnsi="Arial" w:cs="Arial"/>
          <w:sz w:val="22"/>
          <w:szCs w:val="22"/>
          <w:lang w:val="en-IN"/>
        </w:rPr>
        <w:t xml:space="preserve"> </w:t>
      </w:r>
      <w:r w:rsidRPr="00C17AE6">
        <w:rPr>
          <w:rFonts w:ascii="Arial" w:hAnsi="Arial" w:cs="Arial"/>
          <w:i/>
          <w:iCs/>
          <w:sz w:val="22"/>
          <w:szCs w:val="22"/>
          <w:lang w:val="en-IN"/>
        </w:rPr>
        <w:t>Pseudomonas fluorescens</w:t>
      </w:r>
      <w:r w:rsidRPr="00C17AE6">
        <w:rPr>
          <w:rFonts w:ascii="Arial" w:hAnsi="Arial" w:cs="Arial"/>
          <w:sz w:val="22"/>
          <w:szCs w:val="22"/>
          <w:lang w:val="en-IN"/>
        </w:rPr>
        <w:t xml:space="preserve"> stimulates root development by producing indole-3-acetic acid (IAA), siderophores, and other growth-promoting metabolites (Weller, 2007).</w:t>
      </w:r>
    </w:p>
    <w:p w14:paraId="23F85733" w14:textId="77777777"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These organisms collectively enhance the nutrient profile of BP-derived fertilizers and improve their agronomic value.</w:t>
      </w:r>
    </w:p>
    <w:p w14:paraId="157694E2" w14:textId="77777777" w:rsidR="00F255F8" w:rsidRDefault="00C17AE6" w:rsidP="00F255F8">
      <w:pPr>
        <w:jc w:val="both"/>
        <w:rPr>
          <w:rFonts w:ascii="Arial" w:hAnsi="Arial" w:cs="Arial"/>
          <w:sz w:val="22"/>
          <w:szCs w:val="22"/>
          <w:lang w:val="en-IN"/>
        </w:rPr>
      </w:pPr>
      <w:r w:rsidRPr="00C17AE6">
        <w:rPr>
          <w:rFonts w:ascii="Arial" w:hAnsi="Arial" w:cs="Arial"/>
          <w:b/>
          <w:bCs/>
          <w:sz w:val="22"/>
          <w:szCs w:val="22"/>
          <w:lang w:val="en-IN"/>
        </w:rPr>
        <w:t>4.3 Production of Beneficial Metabolites and Soil Enzymes</w:t>
      </w:r>
    </w:p>
    <w:p w14:paraId="09361194" w14:textId="409E56D9" w:rsidR="00C17AE6" w:rsidRPr="00C17AE6" w:rsidRDefault="00C17AE6" w:rsidP="007D4B0F">
      <w:pPr>
        <w:ind w:firstLine="360"/>
        <w:jc w:val="both"/>
        <w:rPr>
          <w:rFonts w:ascii="Arial" w:hAnsi="Arial" w:cs="Arial"/>
          <w:sz w:val="22"/>
          <w:szCs w:val="22"/>
          <w:lang w:val="en-IN"/>
        </w:rPr>
      </w:pPr>
      <w:r w:rsidRPr="00C17AE6">
        <w:rPr>
          <w:rFonts w:ascii="Arial" w:hAnsi="Arial" w:cs="Arial"/>
          <w:sz w:val="22"/>
          <w:szCs w:val="22"/>
          <w:lang w:val="en-IN"/>
        </w:rPr>
        <w:t xml:space="preserve">Microbial consortia stimulate the release of critical soil enzymes such as dehydrogenase, urease, phosphatase, and cellulase, which regulate nutrient cycling and organic matter turnover (Kannan &amp; </w:t>
      </w:r>
      <w:proofErr w:type="spellStart"/>
      <w:r w:rsidRPr="00C17AE6">
        <w:rPr>
          <w:rFonts w:ascii="Arial" w:hAnsi="Arial" w:cs="Arial"/>
          <w:sz w:val="22"/>
          <w:szCs w:val="22"/>
          <w:lang w:val="en-IN"/>
        </w:rPr>
        <w:t>Kalapirran</w:t>
      </w:r>
      <w:proofErr w:type="spellEnd"/>
      <w:r w:rsidRPr="00C17AE6">
        <w:rPr>
          <w:rFonts w:ascii="Arial" w:hAnsi="Arial" w:cs="Arial"/>
          <w:sz w:val="22"/>
          <w:szCs w:val="22"/>
          <w:lang w:val="en-IN"/>
        </w:rPr>
        <w:t>, 2022). Their metabolic by-products—including phytohormones, siderophores, ammonia, and organic acids—facilitate nutrient uptake and improve plant physiological performance.</w:t>
      </w:r>
    </w:p>
    <w:p w14:paraId="4152F32C" w14:textId="77777777" w:rsidR="007D4B0F" w:rsidRDefault="00C17AE6" w:rsidP="007D4B0F">
      <w:pPr>
        <w:pStyle w:val="ListParagraph"/>
        <w:numPr>
          <w:ilvl w:val="1"/>
          <w:numId w:val="34"/>
        </w:numPr>
        <w:jc w:val="both"/>
        <w:rPr>
          <w:rFonts w:ascii="Arial" w:hAnsi="Arial" w:cs="Arial"/>
        </w:rPr>
      </w:pPr>
      <w:r w:rsidRPr="007D4B0F">
        <w:rPr>
          <w:rFonts w:ascii="Arial" w:hAnsi="Arial" w:cs="Arial"/>
          <w:b/>
          <w:bCs/>
        </w:rPr>
        <w:t>Biocontrol and Suppression of Soilborne Pathogens</w:t>
      </w:r>
    </w:p>
    <w:p w14:paraId="4186956C" w14:textId="62C45829" w:rsidR="00C17AE6" w:rsidRPr="007D4B0F" w:rsidRDefault="00C17AE6" w:rsidP="007D4B0F">
      <w:pPr>
        <w:ind w:firstLine="360"/>
        <w:jc w:val="both"/>
        <w:rPr>
          <w:rFonts w:ascii="Arial" w:hAnsi="Arial" w:cs="Arial"/>
        </w:rPr>
      </w:pPr>
      <w:r w:rsidRPr="007D4B0F">
        <w:rPr>
          <w:rFonts w:ascii="Arial" w:hAnsi="Arial" w:cs="Arial"/>
        </w:rPr>
        <w:t>Many microbes used in BP valorization exhibit strong antagonistic activity against plant pathogens.</w:t>
      </w:r>
      <w:r w:rsidR="007D4B0F" w:rsidRPr="007D4B0F">
        <w:rPr>
          <w:rFonts w:ascii="Arial" w:hAnsi="Arial" w:cs="Arial"/>
        </w:rPr>
        <w:t xml:space="preserve"> </w:t>
      </w:r>
      <w:r w:rsidRPr="007D4B0F">
        <w:rPr>
          <w:rFonts w:ascii="Arial" w:hAnsi="Arial" w:cs="Arial"/>
          <w:i/>
          <w:iCs/>
        </w:rPr>
        <w:t>Trichoderma</w:t>
      </w:r>
      <w:r w:rsidRPr="007D4B0F">
        <w:rPr>
          <w:rFonts w:ascii="Arial" w:hAnsi="Arial" w:cs="Arial"/>
        </w:rPr>
        <w:t xml:space="preserve"> produces antibiotics, lytic enzymes, and secondary metabolites that inhibit fungal pathogens in the rhizosphere (Harman </w:t>
      </w:r>
      <w:r w:rsidR="005A53A6">
        <w:rPr>
          <w:rFonts w:ascii="Arial" w:hAnsi="Arial" w:cs="Arial"/>
        </w:rPr>
        <w:t>et al.</w:t>
      </w:r>
      <w:r w:rsidRPr="007D4B0F">
        <w:rPr>
          <w:rFonts w:ascii="Arial" w:hAnsi="Arial" w:cs="Arial"/>
        </w:rPr>
        <w:t xml:space="preserve"> 2004).</w:t>
      </w:r>
      <w:r w:rsidR="007D4B0F" w:rsidRPr="007D4B0F">
        <w:rPr>
          <w:rFonts w:ascii="Arial" w:hAnsi="Arial" w:cs="Arial"/>
        </w:rPr>
        <w:t xml:space="preserve"> </w:t>
      </w:r>
      <w:r w:rsidRPr="007D4B0F">
        <w:rPr>
          <w:rFonts w:ascii="Arial" w:hAnsi="Arial" w:cs="Arial"/>
          <w:i/>
          <w:iCs/>
        </w:rPr>
        <w:t>Pseudomonas</w:t>
      </w:r>
      <w:r w:rsidRPr="007D4B0F">
        <w:rPr>
          <w:rFonts w:ascii="Arial" w:hAnsi="Arial" w:cs="Arial"/>
        </w:rPr>
        <w:t xml:space="preserve"> species synthesize siderophores and antifungal metabolites that suppress soilborne diseases and enhance plant resilience (Raaijmakers &amp; Mazzola, 2010).</w:t>
      </w:r>
    </w:p>
    <w:p w14:paraId="631F3802" w14:textId="77777777"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These microbial interactions contribute both to disease suppression and improved soil ecological balance.</w:t>
      </w:r>
    </w:p>
    <w:p w14:paraId="3FB49485" w14:textId="0C9B84A7" w:rsidR="00C17AE6" w:rsidRPr="00C17AE6" w:rsidRDefault="00C17AE6" w:rsidP="007D4B0F">
      <w:pPr>
        <w:jc w:val="both"/>
        <w:rPr>
          <w:rFonts w:ascii="Arial" w:hAnsi="Arial" w:cs="Arial"/>
          <w:sz w:val="22"/>
          <w:szCs w:val="22"/>
          <w:lang w:val="en-IN"/>
        </w:rPr>
      </w:pPr>
      <w:r w:rsidRPr="00C17AE6">
        <w:rPr>
          <w:rFonts w:ascii="Arial" w:hAnsi="Arial" w:cs="Arial"/>
          <w:b/>
          <w:bCs/>
          <w:sz w:val="22"/>
          <w:szCs w:val="22"/>
          <w:lang w:val="en-IN"/>
        </w:rPr>
        <w:t>4.5 Synergistic Microbial Consortia in BP-Based Biofertilizers</w:t>
      </w:r>
      <w:r w:rsidRPr="00C17AE6">
        <w:rPr>
          <w:rFonts w:ascii="Arial" w:hAnsi="Arial" w:cs="Arial"/>
          <w:sz w:val="22"/>
          <w:szCs w:val="22"/>
          <w:lang w:val="en-IN"/>
        </w:rPr>
        <w:br/>
      </w:r>
      <w:r w:rsidR="007D4B0F">
        <w:rPr>
          <w:rFonts w:ascii="Arial" w:hAnsi="Arial" w:cs="Arial"/>
          <w:sz w:val="22"/>
          <w:szCs w:val="22"/>
          <w:lang w:val="en-IN"/>
        </w:rPr>
        <w:t xml:space="preserve"> </w:t>
      </w:r>
      <w:r w:rsidR="007D4B0F">
        <w:rPr>
          <w:rFonts w:ascii="Arial" w:hAnsi="Arial" w:cs="Arial"/>
          <w:sz w:val="22"/>
          <w:szCs w:val="22"/>
          <w:lang w:val="en-IN"/>
        </w:rPr>
        <w:tab/>
      </w:r>
      <w:r w:rsidRPr="00C17AE6">
        <w:rPr>
          <w:rFonts w:ascii="Arial" w:hAnsi="Arial" w:cs="Arial"/>
          <w:sz w:val="22"/>
          <w:szCs w:val="22"/>
          <w:lang w:val="en-IN"/>
        </w:rPr>
        <w:t xml:space="preserve">Multi-strain consortia—combining nitrogen fixers, phosphate solubilizers, cellulolytic fungi, and actinomycetes—show higher efficiency compared to single-strain inoculation. Their synergistic activities enhance decomposition speed, stabilize organic carbon, elevate nutrient content, and improve soil microbial diversity. Studies show that BP composts inoculated with mixed microbial cultures improve plant growth by 20–30% compared to non-inoculated treatments (Kannan &amp; </w:t>
      </w:r>
      <w:proofErr w:type="spellStart"/>
      <w:r w:rsidRPr="00C17AE6">
        <w:rPr>
          <w:rFonts w:ascii="Arial" w:hAnsi="Arial" w:cs="Arial"/>
          <w:sz w:val="22"/>
          <w:szCs w:val="22"/>
          <w:lang w:val="en-IN"/>
        </w:rPr>
        <w:t>Kalapirran</w:t>
      </w:r>
      <w:proofErr w:type="spellEnd"/>
      <w:r w:rsidRPr="00C17AE6">
        <w:rPr>
          <w:rFonts w:ascii="Arial" w:hAnsi="Arial" w:cs="Arial"/>
          <w:sz w:val="22"/>
          <w:szCs w:val="22"/>
          <w:lang w:val="en-IN"/>
        </w:rPr>
        <w:t>, 2022).</w:t>
      </w:r>
    </w:p>
    <w:p w14:paraId="0DB28C75" w14:textId="77777777" w:rsidR="00C17AE6" w:rsidRPr="00C17AE6" w:rsidRDefault="00C17AE6" w:rsidP="007D4B0F">
      <w:pPr>
        <w:ind w:firstLine="720"/>
        <w:jc w:val="both"/>
        <w:rPr>
          <w:rFonts w:ascii="Arial" w:hAnsi="Arial" w:cs="Arial"/>
          <w:sz w:val="22"/>
          <w:szCs w:val="22"/>
          <w:lang w:val="en-IN"/>
        </w:rPr>
      </w:pPr>
      <w:r w:rsidRPr="00C17AE6">
        <w:rPr>
          <w:rFonts w:ascii="Arial" w:hAnsi="Arial" w:cs="Arial"/>
          <w:sz w:val="22"/>
          <w:szCs w:val="22"/>
          <w:lang w:val="en-IN"/>
        </w:rPr>
        <w:t>Overall, microbial enrichment significantly upgrades the functional properties of BP-derived fertilizers, making them more effective in improving soil fertility, nutrient cycling, and crop productivity.</w:t>
      </w:r>
    </w:p>
    <w:p w14:paraId="14097DE4" w14:textId="77777777" w:rsidR="00C17AE6" w:rsidRDefault="00C17AE6" w:rsidP="00F255F8">
      <w:pPr>
        <w:jc w:val="both"/>
        <w:rPr>
          <w:rFonts w:ascii="Arial" w:hAnsi="Arial" w:cs="Arial"/>
          <w:sz w:val="22"/>
          <w:szCs w:val="22"/>
          <w:lang w:val="en-IN"/>
        </w:rPr>
      </w:pPr>
    </w:p>
    <w:p w14:paraId="73BA4999" w14:textId="77777777" w:rsidR="00B82F55" w:rsidRPr="00C43DA9" w:rsidRDefault="00B82F55" w:rsidP="00F255F8">
      <w:pPr>
        <w:jc w:val="both"/>
        <w:rPr>
          <w:rFonts w:ascii="Arial" w:hAnsi="Arial" w:cs="Arial"/>
          <w:sz w:val="22"/>
          <w:szCs w:val="22"/>
        </w:rPr>
      </w:pPr>
    </w:p>
    <w:p w14:paraId="5AC32D05" w14:textId="77777777" w:rsidR="00A10BB1" w:rsidRDefault="00A10BB1" w:rsidP="00F255F8">
      <w:pPr>
        <w:jc w:val="both"/>
        <w:rPr>
          <w:rFonts w:ascii="Arial" w:hAnsi="Arial" w:cs="Arial"/>
          <w:sz w:val="22"/>
          <w:szCs w:val="22"/>
        </w:rPr>
      </w:pPr>
    </w:p>
    <w:p w14:paraId="16024F11" w14:textId="77777777" w:rsidR="00A10BB1" w:rsidRDefault="00A10BB1" w:rsidP="00F255F8">
      <w:pPr>
        <w:jc w:val="both"/>
        <w:rPr>
          <w:rFonts w:ascii="Arial" w:hAnsi="Arial" w:cs="Arial"/>
          <w:sz w:val="22"/>
          <w:szCs w:val="22"/>
        </w:rPr>
      </w:pPr>
    </w:p>
    <w:p w14:paraId="6135E38B" w14:textId="77777777" w:rsidR="00A10BB1" w:rsidRDefault="00A10BB1" w:rsidP="00F255F8">
      <w:pPr>
        <w:jc w:val="both"/>
        <w:rPr>
          <w:rFonts w:ascii="Arial" w:hAnsi="Arial" w:cs="Arial"/>
          <w:sz w:val="22"/>
          <w:szCs w:val="22"/>
        </w:rPr>
      </w:pPr>
    </w:p>
    <w:p w14:paraId="2F5CAAF9" w14:textId="77777777" w:rsidR="00A10BB1" w:rsidRPr="00C43DA9" w:rsidRDefault="00A10BB1" w:rsidP="00F255F8">
      <w:pPr>
        <w:jc w:val="both"/>
        <w:rPr>
          <w:rFonts w:ascii="Arial" w:hAnsi="Arial" w:cs="Arial"/>
          <w:b/>
          <w:bCs/>
          <w:sz w:val="22"/>
          <w:szCs w:val="22"/>
        </w:rPr>
      </w:pPr>
      <w:r w:rsidRPr="00C43DA9">
        <w:rPr>
          <w:rFonts w:ascii="Arial" w:hAnsi="Arial" w:cs="Arial"/>
          <w:b/>
          <w:bCs/>
          <w:sz w:val="22"/>
          <w:szCs w:val="22"/>
        </w:rPr>
        <w:t>5. Challenges and Future Perspectives</w:t>
      </w:r>
    </w:p>
    <w:p w14:paraId="6E6F3FBB" w14:textId="6E73BE7B" w:rsidR="00C17AE6" w:rsidRPr="00C17AE6" w:rsidRDefault="00C17AE6" w:rsidP="007D4B0F">
      <w:pPr>
        <w:ind w:firstLine="720"/>
        <w:jc w:val="both"/>
        <w:rPr>
          <w:rFonts w:ascii="Arial" w:hAnsi="Arial" w:cs="Arial"/>
          <w:sz w:val="22"/>
          <w:szCs w:val="22"/>
          <w:lang w:val="en-IN"/>
        </w:rPr>
      </w:pPr>
      <w:r w:rsidRPr="00C17AE6">
        <w:rPr>
          <w:rFonts w:ascii="Arial" w:hAnsi="Arial" w:cs="Arial"/>
          <w:sz w:val="22"/>
          <w:szCs w:val="22"/>
          <w:lang w:val="en-IN"/>
        </w:rPr>
        <w:t xml:space="preserve">Despite the promising potential of banana-peel-based biofertilizers, several challenges must be addressed before their widespread adoption in agricultural systems. One of the major limitations is the inherent variability in the chemical composition of BPs, which depends on cultivar, maturity stage, environmental conditions, and postharvest handling. These variations influence nutrient content, </w:t>
      </w:r>
      <w:r w:rsidRPr="00C17AE6">
        <w:rPr>
          <w:rFonts w:ascii="Arial" w:hAnsi="Arial" w:cs="Arial"/>
          <w:sz w:val="22"/>
          <w:szCs w:val="22"/>
          <w:lang w:val="en-IN"/>
        </w:rPr>
        <w:lastRenderedPageBreak/>
        <w:t xml:space="preserve">polyphenol concentration, lignocellulosic structure, and microbial degradability, making standardization of end products difficult (Zaini &amp; Rini, 2022; Khanyile </w:t>
      </w:r>
      <w:r w:rsidR="005A53A6">
        <w:rPr>
          <w:rFonts w:ascii="Arial" w:hAnsi="Arial" w:cs="Arial"/>
          <w:sz w:val="22"/>
          <w:szCs w:val="22"/>
          <w:lang w:val="en-IN"/>
        </w:rPr>
        <w:t>et al.</w:t>
      </w:r>
      <w:r w:rsidRPr="00C17AE6">
        <w:rPr>
          <w:rFonts w:ascii="Arial" w:hAnsi="Arial" w:cs="Arial"/>
          <w:sz w:val="22"/>
          <w:szCs w:val="22"/>
          <w:lang w:val="en-IN"/>
        </w:rPr>
        <w:t xml:space="preserve"> 2024). Developing reliable processing guidelines and quality benchmarks is therefore essential for producing biofertilizers with consistent agronomic performance.</w:t>
      </w:r>
    </w:p>
    <w:p w14:paraId="3CECE4B7" w14:textId="77777777" w:rsidR="00C17AE6" w:rsidRPr="00C17AE6" w:rsidRDefault="00C17AE6" w:rsidP="007D4B0F">
      <w:pPr>
        <w:ind w:firstLine="720"/>
        <w:jc w:val="both"/>
        <w:rPr>
          <w:rFonts w:ascii="Arial" w:hAnsi="Arial" w:cs="Arial"/>
          <w:sz w:val="22"/>
          <w:szCs w:val="22"/>
          <w:lang w:val="en-IN"/>
        </w:rPr>
      </w:pPr>
      <w:r w:rsidRPr="00C17AE6">
        <w:rPr>
          <w:rFonts w:ascii="Arial" w:hAnsi="Arial" w:cs="Arial"/>
          <w:sz w:val="22"/>
          <w:szCs w:val="22"/>
          <w:lang w:val="en-IN"/>
        </w:rPr>
        <w:t xml:space="preserve">Processing-related constraints also affect the efficiency of BP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Drying temperature, fermentation duration, particle size, and inoculum concentration significantly alter the rate of mineralization and the availability of nutrients such as N, P, and K. Without optimized protocols, inconsistent nutrient release may limit field application reliability (Kannan &amp; </w:t>
      </w:r>
      <w:proofErr w:type="spellStart"/>
      <w:r w:rsidRPr="00C17AE6">
        <w:rPr>
          <w:rFonts w:ascii="Arial" w:hAnsi="Arial" w:cs="Arial"/>
          <w:sz w:val="22"/>
          <w:szCs w:val="22"/>
          <w:lang w:val="en-IN"/>
        </w:rPr>
        <w:t>Kalapirran</w:t>
      </w:r>
      <w:proofErr w:type="spellEnd"/>
      <w:r w:rsidRPr="00C17AE6">
        <w:rPr>
          <w:rFonts w:ascii="Arial" w:hAnsi="Arial" w:cs="Arial"/>
          <w:sz w:val="22"/>
          <w:szCs w:val="22"/>
          <w:lang w:val="en-IN"/>
        </w:rPr>
        <w:t>, 2022). Research integrating controlled fermentation, microbial consortia engineering, and real-time monitoring tools could improve the reproducibility of BP-based fertilizers.</w:t>
      </w:r>
    </w:p>
    <w:p w14:paraId="670F1D04" w14:textId="32553004"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Regulatory barriers pose another challenge. Many developing countries lack formal guidelines for registering organic fertilizers, microbial inoculants, or bio-based soil amendments. The absence of clear standards for nutrient content, shelf-life, microbial viability, and biosafety results in limited commercialization and market acceptance (Khanna </w:t>
      </w:r>
      <w:r w:rsidR="005A53A6">
        <w:rPr>
          <w:rFonts w:ascii="Arial" w:hAnsi="Arial" w:cs="Arial"/>
          <w:sz w:val="22"/>
          <w:szCs w:val="22"/>
          <w:lang w:val="en-IN"/>
        </w:rPr>
        <w:t>et al.</w:t>
      </w:r>
      <w:r w:rsidRPr="00C17AE6">
        <w:rPr>
          <w:rFonts w:ascii="Arial" w:hAnsi="Arial" w:cs="Arial"/>
          <w:sz w:val="22"/>
          <w:szCs w:val="22"/>
          <w:lang w:val="en-IN"/>
        </w:rPr>
        <w:t xml:space="preserve"> 2019). Strengthening policy frameworks and establishing certification systems will be necessary for wider adoption.</w:t>
      </w:r>
    </w:p>
    <w:p w14:paraId="49D908CE" w14:textId="264012DA" w:rsidR="00C17AE6" w:rsidRPr="00C17AE6" w:rsidRDefault="00C17AE6" w:rsidP="007D4B0F">
      <w:pPr>
        <w:ind w:firstLine="720"/>
        <w:jc w:val="both"/>
        <w:rPr>
          <w:rFonts w:ascii="Arial" w:hAnsi="Arial" w:cs="Arial"/>
          <w:sz w:val="22"/>
          <w:szCs w:val="22"/>
          <w:lang w:val="en-IN"/>
        </w:rPr>
      </w:pPr>
      <w:r w:rsidRPr="00C17AE6">
        <w:rPr>
          <w:rFonts w:ascii="Arial" w:hAnsi="Arial" w:cs="Arial"/>
          <w:sz w:val="22"/>
          <w:szCs w:val="22"/>
          <w:lang w:val="en-IN"/>
        </w:rPr>
        <w:t xml:space="preserve">Economic feasibility remains a key concern. Although BPs are abundant and inexpensive, several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pathways—especially pyrolysis, solvent extraction, and controlled fermentation—require equipment, energy input, and technical expertise that may not be accessible in rural settings (Ait-Kaddour </w:t>
      </w:r>
      <w:r w:rsidR="005A53A6">
        <w:rPr>
          <w:rFonts w:ascii="Arial" w:hAnsi="Arial" w:cs="Arial"/>
          <w:sz w:val="22"/>
          <w:szCs w:val="22"/>
          <w:lang w:val="en-IN"/>
        </w:rPr>
        <w:t>et al.</w:t>
      </w:r>
      <w:r w:rsidRPr="00C17AE6">
        <w:rPr>
          <w:rFonts w:ascii="Arial" w:hAnsi="Arial" w:cs="Arial"/>
          <w:sz w:val="22"/>
          <w:szCs w:val="22"/>
          <w:lang w:val="en-IN"/>
        </w:rPr>
        <w:t xml:space="preserve"> 2024). Low-cost, decentralized bioprocessing units and community-scale composting models offer practical alternatives, enabling small farmers to convert local waste streams into valuable fertilizers (</w:t>
      </w:r>
      <w:proofErr w:type="spellStart"/>
      <w:r w:rsidRPr="00C17AE6">
        <w:rPr>
          <w:rFonts w:ascii="Arial" w:hAnsi="Arial" w:cs="Arial"/>
          <w:sz w:val="22"/>
          <w:szCs w:val="22"/>
          <w:lang w:val="en-IN"/>
        </w:rPr>
        <w:t>Rinni</w:t>
      </w:r>
      <w:proofErr w:type="spellEnd"/>
      <w:r w:rsidRPr="00C17AE6">
        <w:rPr>
          <w:rFonts w:ascii="Arial" w:hAnsi="Arial" w:cs="Arial"/>
          <w:sz w:val="22"/>
          <w:szCs w:val="22"/>
          <w:lang w:val="en-IN"/>
        </w:rPr>
        <w:t xml:space="preserve"> &amp; Diana Putri, 2023).</w:t>
      </w:r>
    </w:p>
    <w:p w14:paraId="2633A553" w14:textId="066CA09D"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 xml:space="preserve">From a research perspective, future work should focus on integrating BP </w:t>
      </w:r>
      <w:proofErr w:type="spellStart"/>
      <w:r w:rsidRPr="00C17AE6">
        <w:rPr>
          <w:rFonts w:ascii="Arial" w:hAnsi="Arial" w:cs="Arial"/>
          <w:sz w:val="22"/>
          <w:szCs w:val="22"/>
          <w:lang w:val="en-IN"/>
        </w:rPr>
        <w:t>valorization</w:t>
      </w:r>
      <w:proofErr w:type="spellEnd"/>
      <w:r w:rsidRPr="00C17AE6">
        <w:rPr>
          <w:rFonts w:ascii="Arial" w:hAnsi="Arial" w:cs="Arial"/>
          <w:sz w:val="22"/>
          <w:szCs w:val="22"/>
          <w:lang w:val="en-IN"/>
        </w:rPr>
        <w:t xml:space="preserve"> into multi-product biorefineries capable of producing biofertilizers, </w:t>
      </w:r>
      <w:proofErr w:type="spellStart"/>
      <w:r w:rsidRPr="00C17AE6">
        <w:rPr>
          <w:rFonts w:ascii="Arial" w:hAnsi="Arial" w:cs="Arial"/>
          <w:sz w:val="22"/>
          <w:szCs w:val="22"/>
          <w:lang w:val="en-IN"/>
        </w:rPr>
        <w:t>biostimulants</w:t>
      </w:r>
      <w:proofErr w:type="spellEnd"/>
      <w:r w:rsidRPr="00C17AE6">
        <w:rPr>
          <w:rFonts w:ascii="Arial" w:hAnsi="Arial" w:cs="Arial"/>
          <w:sz w:val="22"/>
          <w:szCs w:val="22"/>
          <w:lang w:val="en-IN"/>
        </w:rPr>
        <w:t>, bioenergy, and bio-based materials from the same feedstock</w:t>
      </w:r>
      <w:r w:rsidR="00156D5D">
        <w:rPr>
          <w:rFonts w:ascii="Arial" w:hAnsi="Arial" w:cs="Arial"/>
          <w:sz w:val="22"/>
          <w:szCs w:val="22"/>
          <w:lang w:val="en-IN"/>
        </w:rPr>
        <w:t>.</w:t>
      </w:r>
      <w:r w:rsidRPr="00C17AE6">
        <w:rPr>
          <w:rFonts w:ascii="Arial" w:hAnsi="Arial" w:cs="Arial"/>
          <w:sz w:val="22"/>
          <w:szCs w:val="22"/>
          <w:lang w:val="en-IN"/>
        </w:rPr>
        <w:t xml:space="preserve">  Advanced analytical techniques—such as metagenomics, metabolomics, and high-resolution spectroscopy—can help clarify microbial–substrate interactions and support the design of targeted microbial formulations tailored to the specific chemical profile of BP biomass. Further investigations into slow-release formulations, nano-enabled fertilizers, and microbially fortified composites could enhance nutrient-use efficiency and improve crop resilience under climate-stressed conditions.</w:t>
      </w:r>
    </w:p>
    <w:p w14:paraId="265A1681" w14:textId="77777777" w:rsidR="00C17AE6" w:rsidRPr="00C17AE6" w:rsidRDefault="00C17AE6" w:rsidP="00F255F8">
      <w:pPr>
        <w:jc w:val="both"/>
        <w:rPr>
          <w:rFonts w:ascii="Arial" w:hAnsi="Arial" w:cs="Arial"/>
          <w:sz w:val="22"/>
          <w:szCs w:val="22"/>
          <w:lang w:val="en-IN"/>
        </w:rPr>
      </w:pPr>
      <w:r w:rsidRPr="00C17AE6">
        <w:rPr>
          <w:rFonts w:ascii="Arial" w:hAnsi="Arial" w:cs="Arial"/>
          <w:sz w:val="22"/>
          <w:szCs w:val="22"/>
          <w:lang w:val="en-IN"/>
        </w:rPr>
        <w:t>Overall, addressing variability, regulatory gaps, processing optimization, and economic barriers will be essential to fully harness the potential of banana peels as a sustainable fertilizer resource. With collaborative efforts across research, industry, and policy, BP-based fertilizers can play a significant role in circular bioeconomy models and future low-input agricultural systems.</w:t>
      </w:r>
    </w:p>
    <w:p w14:paraId="7F7FE5C0" w14:textId="77777777" w:rsidR="00C17AE6" w:rsidRDefault="00C17AE6" w:rsidP="00F255F8">
      <w:pPr>
        <w:jc w:val="both"/>
        <w:rPr>
          <w:rFonts w:ascii="Arial" w:hAnsi="Arial" w:cs="Arial"/>
          <w:sz w:val="22"/>
          <w:szCs w:val="22"/>
          <w:lang w:val="en-IN"/>
        </w:rPr>
      </w:pPr>
    </w:p>
    <w:p w14:paraId="73B2AA66" w14:textId="77777777" w:rsidR="00A10BB1" w:rsidRDefault="00A10BB1" w:rsidP="00F255F8">
      <w:pPr>
        <w:jc w:val="both"/>
        <w:rPr>
          <w:rFonts w:ascii="Arial" w:hAnsi="Arial" w:cs="Arial"/>
          <w:sz w:val="22"/>
          <w:szCs w:val="22"/>
        </w:rPr>
      </w:pPr>
    </w:p>
    <w:p w14:paraId="2177FA10" w14:textId="77777777" w:rsidR="00C17AE6" w:rsidRPr="00C43DA9" w:rsidRDefault="00C17AE6" w:rsidP="00F255F8">
      <w:pPr>
        <w:jc w:val="both"/>
        <w:rPr>
          <w:rFonts w:ascii="Arial" w:hAnsi="Arial" w:cs="Arial"/>
          <w:b/>
          <w:bCs/>
          <w:sz w:val="22"/>
          <w:szCs w:val="22"/>
        </w:rPr>
      </w:pPr>
      <w:r w:rsidRPr="00C43DA9">
        <w:rPr>
          <w:rFonts w:ascii="Arial" w:hAnsi="Arial" w:cs="Arial"/>
          <w:b/>
          <w:bCs/>
          <w:sz w:val="22"/>
          <w:szCs w:val="22"/>
        </w:rPr>
        <w:t>6. Conclusion</w:t>
      </w:r>
    </w:p>
    <w:p w14:paraId="12C0F2B6" w14:textId="77777777" w:rsidR="00C17AE6" w:rsidRDefault="00C17AE6" w:rsidP="00F255F8">
      <w:pPr>
        <w:jc w:val="both"/>
        <w:rPr>
          <w:rFonts w:ascii="Arial" w:hAnsi="Arial" w:cs="Arial"/>
          <w:sz w:val="22"/>
          <w:szCs w:val="22"/>
        </w:rPr>
      </w:pPr>
      <w:r w:rsidRPr="00C43DA9">
        <w:rPr>
          <w:rFonts w:ascii="Arial" w:hAnsi="Arial" w:cs="Arial"/>
          <w:sz w:val="22"/>
          <w:szCs w:val="22"/>
        </w:rPr>
        <w:t xml:space="preserve">Banana peel valorization epitomizes sustainable agriculture by transforming a ubiquitous waste into a potent nutrient source. Co-cultured with microbial consortia, it represents a viable pathway to close nutrient loops, enrich soil fertility, and reduce dependence on synthetic fertilizers. Bridging process optimization with microbial </w:t>
      </w:r>
      <w:r w:rsidRPr="00C43DA9">
        <w:rPr>
          <w:rFonts w:ascii="Arial" w:hAnsi="Arial" w:cs="Arial"/>
          <w:sz w:val="22"/>
          <w:szCs w:val="22"/>
        </w:rPr>
        <w:lastRenderedPageBreak/>
        <w:t xml:space="preserve">biotechnology can unlock the full potential of banana peels within circular bioeconomy frameworks. </w:t>
      </w:r>
    </w:p>
    <w:p w14:paraId="2A204CFA" w14:textId="77777777" w:rsidR="00C17AE6" w:rsidRPr="00F255F8" w:rsidRDefault="00C17AE6" w:rsidP="00F255F8">
      <w:pPr>
        <w:jc w:val="both"/>
        <w:rPr>
          <w:rFonts w:ascii="Arial" w:hAnsi="Arial" w:cs="Arial"/>
          <w:sz w:val="22"/>
          <w:szCs w:val="22"/>
          <w:lang w:val="en-IN"/>
        </w:rPr>
      </w:pPr>
    </w:p>
    <w:p w14:paraId="41FEACD5" w14:textId="77777777" w:rsidR="00B82F55" w:rsidRPr="00C43DA9" w:rsidRDefault="00B82F55" w:rsidP="00F255F8">
      <w:pPr>
        <w:jc w:val="both"/>
        <w:rPr>
          <w:rFonts w:ascii="Arial" w:hAnsi="Arial" w:cs="Arial"/>
          <w:b/>
          <w:bCs/>
          <w:sz w:val="22"/>
          <w:szCs w:val="22"/>
        </w:rPr>
      </w:pPr>
    </w:p>
    <w:p w14:paraId="42CCB7F1" w14:textId="77777777" w:rsidR="00B82F55" w:rsidRPr="00C43DA9" w:rsidRDefault="00B82F55" w:rsidP="00F255F8">
      <w:pPr>
        <w:jc w:val="both"/>
        <w:rPr>
          <w:rFonts w:ascii="Arial" w:hAnsi="Arial" w:cs="Arial"/>
          <w:sz w:val="22"/>
          <w:szCs w:val="22"/>
        </w:rPr>
      </w:pPr>
      <w:r w:rsidRPr="00C43DA9">
        <w:rPr>
          <w:rFonts w:ascii="Arial" w:hAnsi="Arial" w:cs="Arial"/>
          <w:b/>
          <w:bCs/>
          <w:sz w:val="22"/>
          <w:szCs w:val="22"/>
        </w:rPr>
        <w:t>Data availability</w:t>
      </w:r>
      <w:r w:rsidRPr="00C43DA9">
        <w:rPr>
          <w:rFonts w:ascii="Arial" w:hAnsi="Arial" w:cs="Arial"/>
          <w:sz w:val="22"/>
          <w:szCs w:val="22"/>
        </w:rPr>
        <w:t xml:space="preserve"> </w:t>
      </w:r>
    </w:p>
    <w:p w14:paraId="42B96A39" w14:textId="77777777" w:rsidR="00B82F55" w:rsidRPr="00C43DA9" w:rsidRDefault="00B82F55" w:rsidP="00F255F8">
      <w:pPr>
        <w:jc w:val="both"/>
        <w:rPr>
          <w:rFonts w:ascii="Arial" w:hAnsi="Arial" w:cs="Arial"/>
          <w:sz w:val="22"/>
          <w:szCs w:val="22"/>
        </w:rPr>
      </w:pPr>
      <w:r w:rsidRPr="00C43DA9">
        <w:rPr>
          <w:rFonts w:ascii="Arial" w:hAnsi="Arial" w:cs="Arial"/>
          <w:sz w:val="22"/>
          <w:szCs w:val="22"/>
        </w:rPr>
        <w:t xml:space="preserve">All the data </w:t>
      </w:r>
      <w:proofErr w:type="spellStart"/>
      <w:r w:rsidRPr="00C43DA9">
        <w:rPr>
          <w:rFonts w:ascii="Arial" w:hAnsi="Arial" w:cs="Arial"/>
          <w:sz w:val="22"/>
          <w:szCs w:val="22"/>
        </w:rPr>
        <w:t>analysed</w:t>
      </w:r>
      <w:proofErr w:type="spellEnd"/>
      <w:r w:rsidRPr="00C43DA9">
        <w:rPr>
          <w:rFonts w:ascii="Arial" w:hAnsi="Arial" w:cs="Arial"/>
          <w:sz w:val="22"/>
          <w:szCs w:val="22"/>
        </w:rPr>
        <w:t xml:space="preserve"> during the study are included in this article. </w:t>
      </w:r>
    </w:p>
    <w:p w14:paraId="5E2CE618" w14:textId="77777777" w:rsidR="00B82F55" w:rsidRPr="00C43DA9" w:rsidRDefault="00B82F55" w:rsidP="00F255F8">
      <w:pPr>
        <w:jc w:val="both"/>
        <w:rPr>
          <w:rFonts w:ascii="Arial" w:hAnsi="Arial" w:cs="Arial"/>
          <w:sz w:val="22"/>
          <w:szCs w:val="22"/>
        </w:rPr>
      </w:pPr>
      <w:r w:rsidRPr="00C43DA9">
        <w:rPr>
          <w:rFonts w:ascii="Arial" w:hAnsi="Arial" w:cs="Arial"/>
          <w:b/>
          <w:bCs/>
          <w:sz w:val="22"/>
          <w:szCs w:val="22"/>
        </w:rPr>
        <w:t>Declarations Conflict of interest</w:t>
      </w:r>
      <w:r w:rsidRPr="00C43DA9">
        <w:rPr>
          <w:rFonts w:ascii="Arial" w:hAnsi="Arial" w:cs="Arial"/>
          <w:sz w:val="22"/>
          <w:szCs w:val="22"/>
        </w:rPr>
        <w:t xml:space="preserve"> </w:t>
      </w:r>
    </w:p>
    <w:p w14:paraId="7B841B4E" w14:textId="661839AA" w:rsidR="00B82F55" w:rsidRDefault="00B82F55" w:rsidP="00F255F8">
      <w:pPr>
        <w:jc w:val="both"/>
        <w:rPr>
          <w:rFonts w:ascii="Arial" w:hAnsi="Arial" w:cs="Arial"/>
          <w:sz w:val="22"/>
          <w:szCs w:val="22"/>
        </w:rPr>
      </w:pPr>
      <w:r w:rsidRPr="00C43DA9">
        <w:rPr>
          <w:rFonts w:ascii="Arial" w:hAnsi="Arial" w:cs="Arial"/>
          <w:sz w:val="22"/>
          <w:szCs w:val="22"/>
        </w:rPr>
        <w:t xml:space="preserve">The authors declare that they have no competing interest. </w:t>
      </w:r>
    </w:p>
    <w:p w14:paraId="4D3E73A5" w14:textId="77777777" w:rsidR="003D5B2E" w:rsidRDefault="003D5B2E" w:rsidP="00F255F8">
      <w:pPr>
        <w:jc w:val="both"/>
        <w:rPr>
          <w:rFonts w:ascii="Arial" w:hAnsi="Arial" w:cs="Arial"/>
          <w:sz w:val="22"/>
          <w:szCs w:val="22"/>
        </w:rPr>
      </w:pPr>
    </w:p>
    <w:p w14:paraId="00312243" w14:textId="77777777" w:rsidR="003D5B2E" w:rsidRPr="00C43DA9" w:rsidRDefault="003D5B2E" w:rsidP="00F255F8">
      <w:pPr>
        <w:jc w:val="both"/>
        <w:rPr>
          <w:rFonts w:ascii="Arial" w:hAnsi="Arial" w:cs="Arial"/>
          <w:sz w:val="22"/>
          <w:szCs w:val="22"/>
        </w:rPr>
      </w:pPr>
    </w:p>
    <w:p w14:paraId="42C53B31" w14:textId="77777777" w:rsidR="00B82F55" w:rsidRPr="00C43DA9" w:rsidRDefault="00B82F55" w:rsidP="00F255F8">
      <w:pPr>
        <w:jc w:val="both"/>
        <w:rPr>
          <w:rFonts w:ascii="Arial" w:hAnsi="Arial" w:cs="Arial"/>
          <w:sz w:val="22"/>
          <w:szCs w:val="22"/>
        </w:rPr>
      </w:pPr>
      <w:r w:rsidRPr="00C43DA9">
        <w:rPr>
          <w:rFonts w:ascii="Arial" w:hAnsi="Arial" w:cs="Arial"/>
          <w:b/>
          <w:bCs/>
          <w:sz w:val="22"/>
          <w:szCs w:val="22"/>
        </w:rPr>
        <w:t>Table 1. Nutritional and mineral composition of banana peel</w:t>
      </w:r>
    </w:p>
    <w:tbl>
      <w:tblPr>
        <w:tblStyle w:val="TableGrid"/>
        <w:tblW w:w="0" w:type="auto"/>
        <w:jc w:val="center"/>
        <w:tblLook w:val="04A0" w:firstRow="1" w:lastRow="0" w:firstColumn="1" w:lastColumn="0" w:noHBand="0" w:noVBand="1"/>
      </w:tblPr>
      <w:tblGrid>
        <w:gridCol w:w="1794"/>
        <w:gridCol w:w="2563"/>
        <w:gridCol w:w="2149"/>
      </w:tblGrid>
      <w:tr w:rsidR="00B82F55" w:rsidRPr="00C43DA9" w14:paraId="650714B8" w14:textId="77777777" w:rsidTr="0032526C">
        <w:trPr>
          <w:jc w:val="center"/>
        </w:trPr>
        <w:tc>
          <w:tcPr>
            <w:tcW w:w="0" w:type="auto"/>
            <w:hideMark/>
          </w:tcPr>
          <w:p w14:paraId="237CAEA7"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Component</w:t>
            </w:r>
          </w:p>
        </w:tc>
        <w:tc>
          <w:tcPr>
            <w:tcW w:w="0" w:type="auto"/>
            <w:hideMark/>
          </w:tcPr>
          <w:p w14:paraId="01450D12"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Range / Concentration</w:t>
            </w:r>
          </w:p>
        </w:tc>
        <w:tc>
          <w:tcPr>
            <w:tcW w:w="0" w:type="auto"/>
            <w:hideMark/>
          </w:tcPr>
          <w:p w14:paraId="51131B31"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Reference</w:t>
            </w:r>
          </w:p>
        </w:tc>
      </w:tr>
      <w:tr w:rsidR="00B82F55" w:rsidRPr="00C43DA9" w14:paraId="4C58E83B" w14:textId="77777777" w:rsidTr="0032526C">
        <w:trPr>
          <w:jc w:val="center"/>
        </w:trPr>
        <w:tc>
          <w:tcPr>
            <w:tcW w:w="0" w:type="auto"/>
            <w:hideMark/>
          </w:tcPr>
          <w:p w14:paraId="5BB2CE0E" w14:textId="77777777" w:rsidR="00B82F55" w:rsidRPr="00C43DA9" w:rsidRDefault="00B82F55" w:rsidP="00F255F8">
            <w:pPr>
              <w:spacing w:after="160" w:line="259" w:lineRule="auto"/>
              <w:jc w:val="both"/>
              <w:rPr>
                <w:rFonts w:ascii="Arial" w:hAnsi="Arial" w:cs="Arial"/>
              </w:rPr>
            </w:pPr>
            <w:r w:rsidRPr="00C43DA9">
              <w:rPr>
                <w:rFonts w:ascii="Arial" w:hAnsi="Arial" w:cs="Arial"/>
              </w:rPr>
              <w:t>Carbohydrates</w:t>
            </w:r>
          </w:p>
        </w:tc>
        <w:tc>
          <w:tcPr>
            <w:tcW w:w="0" w:type="auto"/>
            <w:hideMark/>
          </w:tcPr>
          <w:p w14:paraId="7597C88C" w14:textId="77777777" w:rsidR="00B82F55" w:rsidRPr="00C43DA9" w:rsidRDefault="00B82F55" w:rsidP="00F255F8">
            <w:pPr>
              <w:spacing w:after="160" w:line="259" w:lineRule="auto"/>
              <w:jc w:val="both"/>
              <w:rPr>
                <w:rFonts w:ascii="Arial" w:hAnsi="Arial" w:cs="Arial"/>
              </w:rPr>
            </w:pPr>
            <w:r w:rsidRPr="00C43DA9">
              <w:rPr>
                <w:rFonts w:ascii="Arial" w:hAnsi="Arial" w:cs="Arial"/>
              </w:rPr>
              <w:t>59–67 %</w:t>
            </w:r>
          </w:p>
        </w:tc>
        <w:tc>
          <w:tcPr>
            <w:tcW w:w="0" w:type="auto"/>
            <w:vMerge w:val="restart"/>
            <w:hideMark/>
          </w:tcPr>
          <w:p w14:paraId="5AF59E6A" w14:textId="77777777" w:rsidR="00B82F55" w:rsidRPr="00C43DA9" w:rsidRDefault="00B82F55" w:rsidP="00F255F8">
            <w:pPr>
              <w:spacing w:after="160" w:line="259" w:lineRule="auto"/>
              <w:jc w:val="both"/>
              <w:rPr>
                <w:rFonts w:ascii="Arial" w:hAnsi="Arial" w:cs="Arial"/>
              </w:rPr>
            </w:pPr>
          </w:p>
          <w:p w14:paraId="1BCB3694" w14:textId="77777777" w:rsidR="00B82F55" w:rsidRPr="00C43DA9" w:rsidRDefault="00B82F55" w:rsidP="00F255F8">
            <w:pPr>
              <w:jc w:val="both"/>
              <w:rPr>
                <w:rFonts w:ascii="Arial" w:hAnsi="Arial" w:cs="Arial"/>
                <w:lang w:val="pl-PL"/>
              </w:rPr>
            </w:pPr>
          </w:p>
          <w:p w14:paraId="5DF99F16" w14:textId="332A23CD" w:rsidR="00B82F55" w:rsidRPr="00C43DA9" w:rsidRDefault="00B82F55" w:rsidP="00F255F8">
            <w:pPr>
              <w:jc w:val="both"/>
              <w:rPr>
                <w:rFonts w:ascii="Arial" w:hAnsi="Arial" w:cs="Arial"/>
                <w:lang w:val="pl-PL"/>
              </w:rPr>
            </w:pPr>
            <w:r w:rsidRPr="00C43DA9">
              <w:rPr>
                <w:rFonts w:ascii="Arial" w:hAnsi="Arial" w:cs="Arial"/>
                <w:lang w:val="pl-PL"/>
              </w:rPr>
              <w:t xml:space="preserve">Zaini </w:t>
            </w:r>
            <w:r w:rsidR="00844C72">
              <w:rPr>
                <w:rFonts w:ascii="Arial" w:hAnsi="Arial" w:cs="Arial"/>
                <w:lang w:val="pl-PL"/>
              </w:rPr>
              <w:t>&amp; Rini,</w:t>
            </w:r>
            <w:r w:rsidRPr="00C43DA9">
              <w:rPr>
                <w:rFonts w:ascii="Arial" w:hAnsi="Arial" w:cs="Arial"/>
                <w:lang w:val="pl-PL"/>
              </w:rPr>
              <w:t xml:space="preserve"> 2022</w:t>
            </w:r>
          </w:p>
        </w:tc>
      </w:tr>
      <w:tr w:rsidR="00B82F55" w:rsidRPr="00C43DA9" w14:paraId="02B15CA5" w14:textId="77777777" w:rsidTr="0032526C">
        <w:trPr>
          <w:jc w:val="center"/>
        </w:trPr>
        <w:tc>
          <w:tcPr>
            <w:tcW w:w="0" w:type="auto"/>
            <w:hideMark/>
          </w:tcPr>
          <w:p w14:paraId="09D20617" w14:textId="77777777" w:rsidR="00B82F55" w:rsidRPr="00C43DA9" w:rsidRDefault="00B82F55" w:rsidP="00F255F8">
            <w:pPr>
              <w:spacing w:after="160" w:line="259" w:lineRule="auto"/>
              <w:jc w:val="both"/>
              <w:rPr>
                <w:rFonts w:ascii="Arial" w:hAnsi="Arial" w:cs="Arial"/>
              </w:rPr>
            </w:pPr>
            <w:r w:rsidRPr="00C43DA9">
              <w:rPr>
                <w:rFonts w:ascii="Arial" w:hAnsi="Arial" w:cs="Arial"/>
              </w:rPr>
              <w:t xml:space="preserve">Dietary </w:t>
            </w:r>
            <w:proofErr w:type="spellStart"/>
            <w:r w:rsidRPr="00C43DA9">
              <w:rPr>
                <w:rFonts w:ascii="Arial" w:hAnsi="Arial" w:cs="Arial"/>
              </w:rPr>
              <w:t>fibre</w:t>
            </w:r>
            <w:proofErr w:type="spellEnd"/>
          </w:p>
        </w:tc>
        <w:tc>
          <w:tcPr>
            <w:tcW w:w="0" w:type="auto"/>
            <w:hideMark/>
          </w:tcPr>
          <w:p w14:paraId="59404DFC" w14:textId="77777777" w:rsidR="00B82F55" w:rsidRPr="00C43DA9" w:rsidRDefault="00B82F55" w:rsidP="00F255F8">
            <w:pPr>
              <w:spacing w:after="160" w:line="259" w:lineRule="auto"/>
              <w:jc w:val="both"/>
              <w:rPr>
                <w:rFonts w:ascii="Arial" w:hAnsi="Arial" w:cs="Arial"/>
              </w:rPr>
            </w:pPr>
            <w:r w:rsidRPr="00C43DA9">
              <w:rPr>
                <w:rFonts w:ascii="Arial" w:hAnsi="Arial" w:cs="Arial"/>
              </w:rPr>
              <w:t>47–53 %</w:t>
            </w:r>
          </w:p>
        </w:tc>
        <w:tc>
          <w:tcPr>
            <w:tcW w:w="0" w:type="auto"/>
            <w:vMerge/>
            <w:hideMark/>
          </w:tcPr>
          <w:p w14:paraId="12FCAE24" w14:textId="77777777" w:rsidR="00B82F55" w:rsidRPr="00C43DA9" w:rsidRDefault="00B82F55" w:rsidP="00F255F8">
            <w:pPr>
              <w:jc w:val="both"/>
              <w:rPr>
                <w:rFonts w:ascii="Arial" w:hAnsi="Arial" w:cs="Arial"/>
              </w:rPr>
            </w:pPr>
          </w:p>
        </w:tc>
      </w:tr>
      <w:tr w:rsidR="00B82F55" w:rsidRPr="00C43DA9" w14:paraId="7401344B" w14:textId="77777777" w:rsidTr="0032526C">
        <w:trPr>
          <w:jc w:val="center"/>
        </w:trPr>
        <w:tc>
          <w:tcPr>
            <w:tcW w:w="0" w:type="auto"/>
            <w:hideMark/>
          </w:tcPr>
          <w:p w14:paraId="693BD6F1" w14:textId="77777777" w:rsidR="00B82F55" w:rsidRPr="00C43DA9" w:rsidRDefault="00B82F55" w:rsidP="00F255F8">
            <w:pPr>
              <w:spacing w:after="160" w:line="259" w:lineRule="auto"/>
              <w:jc w:val="both"/>
              <w:rPr>
                <w:rFonts w:ascii="Arial" w:hAnsi="Arial" w:cs="Arial"/>
              </w:rPr>
            </w:pPr>
            <w:r w:rsidRPr="00C43DA9">
              <w:rPr>
                <w:rFonts w:ascii="Arial" w:hAnsi="Arial" w:cs="Arial"/>
              </w:rPr>
              <w:t>Protein</w:t>
            </w:r>
          </w:p>
        </w:tc>
        <w:tc>
          <w:tcPr>
            <w:tcW w:w="0" w:type="auto"/>
            <w:hideMark/>
          </w:tcPr>
          <w:p w14:paraId="37B1D3D0" w14:textId="77777777" w:rsidR="00B82F55" w:rsidRPr="00C43DA9" w:rsidRDefault="00B82F55" w:rsidP="00F255F8">
            <w:pPr>
              <w:spacing w:after="160" w:line="259" w:lineRule="auto"/>
              <w:jc w:val="both"/>
              <w:rPr>
                <w:rFonts w:ascii="Arial" w:hAnsi="Arial" w:cs="Arial"/>
              </w:rPr>
            </w:pPr>
            <w:r w:rsidRPr="00C43DA9">
              <w:rPr>
                <w:rFonts w:ascii="Arial" w:hAnsi="Arial" w:cs="Arial"/>
              </w:rPr>
              <w:t>0.9–7.8 %</w:t>
            </w:r>
          </w:p>
        </w:tc>
        <w:tc>
          <w:tcPr>
            <w:tcW w:w="0" w:type="auto"/>
            <w:vMerge/>
            <w:hideMark/>
          </w:tcPr>
          <w:p w14:paraId="3C17B17F" w14:textId="77777777" w:rsidR="00B82F55" w:rsidRPr="00C43DA9" w:rsidRDefault="00B82F55" w:rsidP="00F255F8">
            <w:pPr>
              <w:jc w:val="both"/>
              <w:rPr>
                <w:rFonts w:ascii="Arial" w:hAnsi="Arial" w:cs="Arial"/>
              </w:rPr>
            </w:pPr>
          </w:p>
        </w:tc>
      </w:tr>
      <w:tr w:rsidR="00B82F55" w:rsidRPr="00C43DA9" w14:paraId="605743C2" w14:textId="77777777" w:rsidTr="0032526C">
        <w:trPr>
          <w:jc w:val="center"/>
        </w:trPr>
        <w:tc>
          <w:tcPr>
            <w:tcW w:w="0" w:type="auto"/>
            <w:hideMark/>
          </w:tcPr>
          <w:p w14:paraId="6D40154F" w14:textId="77777777" w:rsidR="00B82F55" w:rsidRPr="00C43DA9" w:rsidRDefault="00B82F55" w:rsidP="00F255F8">
            <w:pPr>
              <w:spacing w:after="160" w:line="259" w:lineRule="auto"/>
              <w:jc w:val="both"/>
              <w:rPr>
                <w:rFonts w:ascii="Arial" w:hAnsi="Arial" w:cs="Arial"/>
              </w:rPr>
            </w:pPr>
            <w:r w:rsidRPr="00C43DA9">
              <w:rPr>
                <w:rFonts w:ascii="Arial" w:hAnsi="Arial" w:cs="Arial"/>
              </w:rPr>
              <w:t>Lipids</w:t>
            </w:r>
          </w:p>
        </w:tc>
        <w:tc>
          <w:tcPr>
            <w:tcW w:w="0" w:type="auto"/>
            <w:hideMark/>
          </w:tcPr>
          <w:p w14:paraId="4E7E5F79" w14:textId="77777777" w:rsidR="00B82F55" w:rsidRPr="00C43DA9" w:rsidRDefault="00B82F55" w:rsidP="00F255F8">
            <w:pPr>
              <w:spacing w:after="160" w:line="259" w:lineRule="auto"/>
              <w:jc w:val="both"/>
              <w:rPr>
                <w:rFonts w:ascii="Arial" w:hAnsi="Arial" w:cs="Arial"/>
              </w:rPr>
            </w:pPr>
            <w:r w:rsidRPr="00C43DA9">
              <w:rPr>
                <w:rFonts w:ascii="Arial" w:hAnsi="Arial" w:cs="Arial"/>
              </w:rPr>
              <w:t>1.2–11.6 %</w:t>
            </w:r>
          </w:p>
        </w:tc>
        <w:tc>
          <w:tcPr>
            <w:tcW w:w="0" w:type="auto"/>
            <w:vMerge/>
            <w:hideMark/>
          </w:tcPr>
          <w:p w14:paraId="612194D3" w14:textId="77777777" w:rsidR="00B82F55" w:rsidRPr="00C43DA9" w:rsidRDefault="00B82F55" w:rsidP="00F255F8">
            <w:pPr>
              <w:jc w:val="both"/>
              <w:rPr>
                <w:rFonts w:ascii="Arial" w:hAnsi="Arial" w:cs="Arial"/>
              </w:rPr>
            </w:pPr>
          </w:p>
        </w:tc>
      </w:tr>
      <w:tr w:rsidR="00B82F55" w:rsidRPr="00C43DA9" w14:paraId="0294FE5D" w14:textId="77777777" w:rsidTr="0032526C">
        <w:trPr>
          <w:jc w:val="center"/>
        </w:trPr>
        <w:tc>
          <w:tcPr>
            <w:tcW w:w="0" w:type="auto"/>
          </w:tcPr>
          <w:p w14:paraId="0ECF52E7" w14:textId="77777777" w:rsidR="00B82F55" w:rsidRPr="00C43DA9" w:rsidRDefault="00B82F55" w:rsidP="00F255F8">
            <w:pPr>
              <w:jc w:val="both"/>
              <w:rPr>
                <w:rFonts w:ascii="Arial" w:hAnsi="Arial" w:cs="Arial"/>
              </w:rPr>
            </w:pPr>
            <w:r w:rsidRPr="00C43DA9">
              <w:rPr>
                <w:rFonts w:ascii="Arial" w:hAnsi="Arial" w:cs="Arial"/>
              </w:rPr>
              <w:t>Phenolics (total)</w:t>
            </w:r>
          </w:p>
        </w:tc>
        <w:tc>
          <w:tcPr>
            <w:tcW w:w="0" w:type="auto"/>
          </w:tcPr>
          <w:p w14:paraId="42AC3133" w14:textId="77777777" w:rsidR="00B82F55" w:rsidRPr="00C43DA9" w:rsidRDefault="00B82F55" w:rsidP="00F255F8">
            <w:pPr>
              <w:jc w:val="both"/>
              <w:rPr>
                <w:rFonts w:ascii="Arial" w:hAnsi="Arial" w:cs="Arial"/>
              </w:rPr>
            </w:pPr>
            <w:r w:rsidRPr="00C43DA9">
              <w:rPr>
                <w:rFonts w:ascii="Arial" w:hAnsi="Arial" w:cs="Arial"/>
              </w:rPr>
              <w:t xml:space="preserve">47 mg /g </w:t>
            </w:r>
          </w:p>
        </w:tc>
        <w:tc>
          <w:tcPr>
            <w:tcW w:w="0" w:type="auto"/>
            <w:vMerge/>
          </w:tcPr>
          <w:p w14:paraId="62E83DBA" w14:textId="77777777" w:rsidR="00B82F55" w:rsidRPr="00C43DA9" w:rsidRDefault="00B82F55" w:rsidP="00F255F8">
            <w:pPr>
              <w:jc w:val="both"/>
              <w:rPr>
                <w:rFonts w:ascii="Arial" w:hAnsi="Arial" w:cs="Arial"/>
              </w:rPr>
            </w:pPr>
          </w:p>
        </w:tc>
      </w:tr>
      <w:tr w:rsidR="00B82F55" w:rsidRPr="00C43DA9" w14:paraId="5F4524BF" w14:textId="77777777" w:rsidTr="0032526C">
        <w:trPr>
          <w:jc w:val="center"/>
        </w:trPr>
        <w:tc>
          <w:tcPr>
            <w:tcW w:w="0" w:type="auto"/>
            <w:hideMark/>
          </w:tcPr>
          <w:p w14:paraId="28EED794" w14:textId="77777777" w:rsidR="00B82F55" w:rsidRPr="00C43DA9" w:rsidRDefault="00B82F55" w:rsidP="00F255F8">
            <w:pPr>
              <w:spacing w:after="160" w:line="259" w:lineRule="auto"/>
              <w:jc w:val="both"/>
              <w:rPr>
                <w:rFonts w:ascii="Arial" w:hAnsi="Arial" w:cs="Arial"/>
              </w:rPr>
            </w:pPr>
            <w:r w:rsidRPr="00C43DA9">
              <w:rPr>
                <w:rFonts w:ascii="Arial" w:hAnsi="Arial" w:cs="Arial"/>
              </w:rPr>
              <w:t>Potassium</w:t>
            </w:r>
          </w:p>
        </w:tc>
        <w:tc>
          <w:tcPr>
            <w:tcW w:w="0" w:type="auto"/>
            <w:hideMark/>
          </w:tcPr>
          <w:p w14:paraId="6DD11F88" w14:textId="77777777" w:rsidR="00B82F55" w:rsidRPr="00C43DA9" w:rsidRDefault="00B82F55" w:rsidP="00F255F8">
            <w:pPr>
              <w:spacing w:after="160" w:line="259" w:lineRule="auto"/>
              <w:jc w:val="both"/>
              <w:rPr>
                <w:rFonts w:ascii="Arial" w:hAnsi="Arial" w:cs="Arial"/>
              </w:rPr>
            </w:pPr>
            <w:r w:rsidRPr="00C43DA9">
              <w:rPr>
                <w:rFonts w:ascii="Arial" w:hAnsi="Arial" w:cs="Arial"/>
              </w:rPr>
              <w:t>475.6 mg/100 g</w:t>
            </w:r>
          </w:p>
        </w:tc>
        <w:tc>
          <w:tcPr>
            <w:tcW w:w="0" w:type="auto"/>
            <w:vMerge w:val="restart"/>
            <w:hideMark/>
          </w:tcPr>
          <w:p w14:paraId="0AB3A24A" w14:textId="77777777" w:rsidR="00B82F55" w:rsidRPr="00C43DA9" w:rsidRDefault="00B82F55" w:rsidP="00F255F8">
            <w:pPr>
              <w:spacing w:after="160" w:line="259" w:lineRule="auto"/>
              <w:jc w:val="both"/>
              <w:rPr>
                <w:rFonts w:ascii="Arial" w:hAnsi="Arial" w:cs="Arial"/>
              </w:rPr>
            </w:pPr>
          </w:p>
          <w:p w14:paraId="2865AA5B" w14:textId="77777777" w:rsidR="00B82F55" w:rsidRPr="00C43DA9" w:rsidRDefault="00B82F55" w:rsidP="00F255F8">
            <w:pPr>
              <w:spacing w:after="160" w:line="259" w:lineRule="auto"/>
              <w:jc w:val="both"/>
              <w:rPr>
                <w:rFonts w:ascii="Arial" w:hAnsi="Arial" w:cs="Arial"/>
              </w:rPr>
            </w:pPr>
            <w:r w:rsidRPr="00C43DA9">
              <w:rPr>
                <w:rFonts w:ascii="Arial" w:hAnsi="Arial" w:cs="Arial"/>
              </w:rPr>
              <w:t>Khanyile et al. 2024</w:t>
            </w:r>
          </w:p>
        </w:tc>
      </w:tr>
      <w:tr w:rsidR="00B82F55" w:rsidRPr="00C43DA9" w14:paraId="1AA596B2" w14:textId="77777777" w:rsidTr="0032526C">
        <w:trPr>
          <w:jc w:val="center"/>
        </w:trPr>
        <w:tc>
          <w:tcPr>
            <w:tcW w:w="0" w:type="auto"/>
            <w:hideMark/>
          </w:tcPr>
          <w:p w14:paraId="7A9F9C5C" w14:textId="77777777" w:rsidR="00B82F55" w:rsidRPr="00C43DA9" w:rsidRDefault="00B82F55" w:rsidP="00F255F8">
            <w:pPr>
              <w:spacing w:after="160" w:line="259" w:lineRule="auto"/>
              <w:jc w:val="both"/>
              <w:rPr>
                <w:rFonts w:ascii="Arial" w:hAnsi="Arial" w:cs="Arial"/>
              </w:rPr>
            </w:pPr>
            <w:r w:rsidRPr="00C43DA9">
              <w:rPr>
                <w:rFonts w:ascii="Arial" w:hAnsi="Arial" w:cs="Arial"/>
              </w:rPr>
              <w:t>Calcium</w:t>
            </w:r>
          </w:p>
        </w:tc>
        <w:tc>
          <w:tcPr>
            <w:tcW w:w="0" w:type="auto"/>
            <w:hideMark/>
          </w:tcPr>
          <w:p w14:paraId="583E619E" w14:textId="77777777" w:rsidR="00B82F55" w:rsidRPr="00C43DA9" w:rsidRDefault="00B82F55" w:rsidP="00F255F8">
            <w:pPr>
              <w:spacing w:after="160" w:line="259" w:lineRule="auto"/>
              <w:jc w:val="both"/>
              <w:rPr>
                <w:rFonts w:ascii="Arial" w:hAnsi="Arial" w:cs="Arial"/>
              </w:rPr>
            </w:pPr>
            <w:r w:rsidRPr="00C43DA9">
              <w:rPr>
                <w:rFonts w:ascii="Arial" w:hAnsi="Arial" w:cs="Arial"/>
              </w:rPr>
              <w:t>323 mg/100 g</w:t>
            </w:r>
          </w:p>
        </w:tc>
        <w:tc>
          <w:tcPr>
            <w:tcW w:w="0" w:type="auto"/>
            <w:vMerge/>
            <w:hideMark/>
          </w:tcPr>
          <w:p w14:paraId="6C33CF53" w14:textId="77777777" w:rsidR="00B82F55" w:rsidRPr="00C43DA9" w:rsidRDefault="00B82F55" w:rsidP="00F255F8">
            <w:pPr>
              <w:spacing w:after="160" w:line="259" w:lineRule="auto"/>
              <w:jc w:val="both"/>
              <w:rPr>
                <w:rFonts w:ascii="Arial" w:hAnsi="Arial" w:cs="Arial"/>
              </w:rPr>
            </w:pPr>
          </w:p>
        </w:tc>
      </w:tr>
      <w:tr w:rsidR="00B82F55" w:rsidRPr="00C43DA9" w14:paraId="4D92BC09" w14:textId="77777777" w:rsidTr="0032526C">
        <w:trPr>
          <w:jc w:val="center"/>
        </w:trPr>
        <w:tc>
          <w:tcPr>
            <w:tcW w:w="0" w:type="auto"/>
            <w:hideMark/>
          </w:tcPr>
          <w:p w14:paraId="5D92E1BC" w14:textId="77777777" w:rsidR="00B82F55" w:rsidRPr="00C43DA9" w:rsidRDefault="00B82F55" w:rsidP="00F255F8">
            <w:pPr>
              <w:spacing w:after="160" w:line="259" w:lineRule="auto"/>
              <w:jc w:val="both"/>
              <w:rPr>
                <w:rFonts w:ascii="Arial" w:hAnsi="Arial" w:cs="Arial"/>
              </w:rPr>
            </w:pPr>
            <w:r w:rsidRPr="00C43DA9">
              <w:rPr>
                <w:rFonts w:ascii="Arial" w:hAnsi="Arial" w:cs="Arial"/>
              </w:rPr>
              <w:t>Phosphorus</w:t>
            </w:r>
          </w:p>
        </w:tc>
        <w:tc>
          <w:tcPr>
            <w:tcW w:w="0" w:type="auto"/>
            <w:hideMark/>
          </w:tcPr>
          <w:p w14:paraId="66EAD68A" w14:textId="77777777" w:rsidR="00B82F55" w:rsidRPr="00C43DA9" w:rsidRDefault="00B82F55" w:rsidP="00F255F8">
            <w:pPr>
              <w:spacing w:after="160" w:line="259" w:lineRule="auto"/>
              <w:jc w:val="both"/>
              <w:rPr>
                <w:rFonts w:ascii="Arial" w:hAnsi="Arial" w:cs="Arial"/>
              </w:rPr>
            </w:pPr>
            <w:r w:rsidRPr="00C43DA9">
              <w:rPr>
                <w:rFonts w:ascii="Arial" w:hAnsi="Arial" w:cs="Arial"/>
              </w:rPr>
              <w:t>122.5 mg/100 g</w:t>
            </w:r>
          </w:p>
        </w:tc>
        <w:tc>
          <w:tcPr>
            <w:tcW w:w="0" w:type="auto"/>
            <w:vMerge/>
            <w:hideMark/>
          </w:tcPr>
          <w:p w14:paraId="5A3565E4" w14:textId="77777777" w:rsidR="00B82F55" w:rsidRPr="00C43DA9" w:rsidRDefault="00B82F55" w:rsidP="00F255F8">
            <w:pPr>
              <w:spacing w:after="160" w:line="259" w:lineRule="auto"/>
              <w:jc w:val="both"/>
              <w:rPr>
                <w:rFonts w:ascii="Arial" w:hAnsi="Arial" w:cs="Arial"/>
              </w:rPr>
            </w:pPr>
          </w:p>
        </w:tc>
      </w:tr>
    </w:tbl>
    <w:p w14:paraId="114487CE" w14:textId="77777777" w:rsidR="00B82F55" w:rsidRPr="00C43DA9" w:rsidRDefault="00B82F55" w:rsidP="00F255F8">
      <w:pPr>
        <w:jc w:val="both"/>
        <w:rPr>
          <w:rFonts w:ascii="Arial" w:hAnsi="Arial" w:cs="Arial"/>
          <w:sz w:val="22"/>
          <w:szCs w:val="22"/>
        </w:rPr>
      </w:pPr>
    </w:p>
    <w:p w14:paraId="0D1A97D8" w14:textId="77777777" w:rsidR="00B82F55" w:rsidRPr="00C43DA9" w:rsidRDefault="00B82F55" w:rsidP="00F255F8">
      <w:pPr>
        <w:jc w:val="both"/>
        <w:rPr>
          <w:rFonts w:ascii="Arial" w:hAnsi="Arial" w:cs="Arial"/>
          <w:sz w:val="22"/>
          <w:szCs w:val="22"/>
        </w:rPr>
      </w:pPr>
      <w:r w:rsidRPr="00C43DA9">
        <w:rPr>
          <w:rFonts w:ascii="Arial" w:hAnsi="Arial" w:cs="Arial"/>
          <w:b/>
          <w:bCs/>
          <w:sz w:val="22"/>
          <w:szCs w:val="22"/>
        </w:rPr>
        <w:t>Table 2. Valorization pathways and crop responses to banana peel–based fertilizers</w:t>
      </w:r>
    </w:p>
    <w:tbl>
      <w:tblPr>
        <w:tblStyle w:val="TableGrid"/>
        <w:tblW w:w="0" w:type="auto"/>
        <w:tblLook w:val="04A0" w:firstRow="1" w:lastRow="0" w:firstColumn="1" w:lastColumn="0" w:noHBand="0" w:noVBand="1"/>
      </w:tblPr>
      <w:tblGrid>
        <w:gridCol w:w="2184"/>
        <w:gridCol w:w="1583"/>
        <w:gridCol w:w="1349"/>
        <w:gridCol w:w="1841"/>
        <w:gridCol w:w="1467"/>
      </w:tblGrid>
      <w:tr w:rsidR="00B82F55" w:rsidRPr="00C43DA9" w14:paraId="74E299DB" w14:textId="77777777" w:rsidTr="0032526C">
        <w:tc>
          <w:tcPr>
            <w:tcW w:w="0" w:type="auto"/>
            <w:hideMark/>
          </w:tcPr>
          <w:p w14:paraId="5040012D"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Method</w:t>
            </w:r>
          </w:p>
        </w:tc>
        <w:tc>
          <w:tcPr>
            <w:tcW w:w="0" w:type="auto"/>
            <w:hideMark/>
          </w:tcPr>
          <w:p w14:paraId="4279EEAB"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Process</w:t>
            </w:r>
          </w:p>
        </w:tc>
        <w:tc>
          <w:tcPr>
            <w:tcW w:w="0" w:type="auto"/>
            <w:hideMark/>
          </w:tcPr>
          <w:p w14:paraId="5AC5EF5C"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Crop/Test</w:t>
            </w:r>
          </w:p>
        </w:tc>
        <w:tc>
          <w:tcPr>
            <w:tcW w:w="0" w:type="auto"/>
            <w:hideMark/>
          </w:tcPr>
          <w:p w14:paraId="767C8312"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Outcome</w:t>
            </w:r>
          </w:p>
        </w:tc>
        <w:tc>
          <w:tcPr>
            <w:tcW w:w="0" w:type="auto"/>
            <w:hideMark/>
          </w:tcPr>
          <w:p w14:paraId="21BD43E6"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Reference</w:t>
            </w:r>
          </w:p>
        </w:tc>
      </w:tr>
      <w:tr w:rsidR="00B82F55" w:rsidRPr="00C43DA9" w14:paraId="4E13C013" w14:textId="77777777" w:rsidTr="0032526C">
        <w:tc>
          <w:tcPr>
            <w:tcW w:w="0" w:type="auto"/>
            <w:hideMark/>
          </w:tcPr>
          <w:p w14:paraId="34355574" w14:textId="77777777" w:rsidR="00B82F55" w:rsidRPr="00C43DA9" w:rsidRDefault="00B82F55" w:rsidP="00F255F8">
            <w:pPr>
              <w:spacing w:after="160" w:line="259" w:lineRule="auto"/>
              <w:jc w:val="both"/>
              <w:rPr>
                <w:rFonts w:ascii="Arial" w:hAnsi="Arial" w:cs="Arial"/>
              </w:rPr>
            </w:pPr>
            <w:r w:rsidRPr="00C43DA9">
              <w:rPr>
                <w:rFonts w:ascii="Arial" w:hAnsi="Arial" w:cs="Arial"/>
              </w:rPr>
              <w:t>Soil decomposition (2 months)</w:t>
            </w:r>
          </w:p>
        </w:tc>
        <w:tc>
          <w:tcPr>
            <w:tcW w:w="0" w:type="auto"/>
            <w:hideMark/>
          </w:tcPr>
          <w:p w14:paraId="7D1C1662" w14:textId="77777777" w:rsidR="00B82F55" w:rsidRPr="00C43DA9" w:rsidRDefault="00B82F55" w:rsidP="00F255F8">
            <w:pPr>
              <w:spacing w:after="160" w:line="259" w:lineRule="auto"/>
              <w:jc w:val="both"/>
              <w:rPr>
                <w:rFonts w:ascii="Arial" w:hAnsi="Arial" w:cs="Arial"/>
              </w:rPr>
            </w:pPr>
            <w:r w:rsidRPr="00C43DA9">
              <w:rPr>
                <w:rFonts w:ascii="Arial" w:hAnsi="Arial" w:cs="Arial"/>
              </w:rPr>
              <w:t>150 g BP in soil</w:t>
            </w:r>
          </w:p>
        </w:tc>
        <w:tc>
          <w:tcPr>
            <w:tcW w:w="0" w:type="auto"/>
            <w:hideMark/>
          </w:tcPr>
          <w:p w14:paraId="3993A63D" w14:textId="77777777" w:rsidR="00B82F55" w:rsidRPr="00C43DA9" w:rsidRDefault="00B82F55" w:rsidP="00F255F8">
            <w:pPr>
              <w:spacing w:after="160" w:line="259" w:lineRule="auto"/>
              <w:jc w:val="both"/>
              <w:rPr>
                <w:rFonts w:ascii="Arial" w:hAnsi="Arial" w:cs="Arial"/>
              </w:rPr>
            </w:pPr>
            <w:r w:rsidRPr="00C43DA9">
              <w:rPr>
                <w:rFonts w:ascii="Arial" w:hAnsi="Arial" w:cs="Arial"/>
                <w:i/>
                <w:iCs/>
              </w:rPr>
              <w:t>Pisum sativum</w:t>
            </w:r>
          </w:p>
        </w:tc>
        <w:tc>
          <w:tcPr>
            <w:tcW w:w="0" w:type="auto"/>
            <w:hideMark/>
          </w:tcPr>
          <w:p w14:paraId="705D36B8" w14:textId="77777777" w:rsidR="00B82F55" w:rsidRPr="00C43DA9" w:rsidRDefault="00B82F55" w:rsidP="00F255F8">
            <w:pPr>
              <w:spacing w:after="160" w:line="259" w:lineRule="auto"/>
              <w:jc w:val="both"/>
              <w:rPr>
                <w:rFonts w:ascii="Arial" w:hAnsi="Arial" w:cs="Arial"/>
              </w:rPr>
            </w:pPr>
            <w:r w:rsidRPr="00C43DA9">
              <w:rPr>
                <w:rFonts w:ascii="Arial" w:hAnsi="Arial" w:cs="Arial"/>
              </w:rPr>
              <w:t>Germination 83 %, height 75 cm</w:t>
            </w:r>
          </w:p>
        </w:tc>
        <w:tc>
          <w:tcPr>
            <w:tcW w:w="0" w:type="auto"/>
            <w:hideMark/>
          </w:tcPr>
          <w:p w14:paraId="43091267" w14:textId="65456D46" w:rsidR="00B82F55" w:rsidRPr="00C43DA9" w:rsidRDefault="00B82F55" w:rsidP="00F255F8">
            <w:pPr>
              <w:spacing w:after="160" w:line="259" w:lineRule="auto"/>
              <w:jc w:val="both"/>
              <w:rPr>
                <w:rFonts w:ascii="Arial" w:hAnsi="Arial" w:cs="Arial"/>
              </w:rPr>
            </w:pPr>
            <w:proofErr w:type="spellStart"/>
            <w:r w:rsidRPr="00C43DA9">
              <w:rPr>
                <w:rFonts w:ascii="Arial" w:hAnsi="Arial" w:cs="Arial"/>
              </w:rPr>
              <w:t>Barnossi</w:t>
            </w:r>
            <w:proofErr w:type="spellEnd"/>
            <w:r w:rsidRPr="00C43DA9">
              <w:rPr>
                <w:rFonts w:ascii="Arial" w:hAnsi="Arial" w:cs="Arial"/>
              </w:rPr>
              <w:t xml:space="preserve"> et al. 2022</w:t>
            </w:r>
          </w:p>
        </w:tc>
      </w:tr>
      <w:tr w:rsidR="00B82F55" w:rsidRPr="00C43DA9" w14:paraId="2BF2224D" w14:textId="77777777" w:rsidTr="0032526C">
        <w:tc>
          <w:tcPr>
            <w:tcW w:w="0" w:type="auto"/>
            <w:hideMark/>
          </w:tcPr>
          <w:p w14:paraId="66BC7DC1" w14:textId="77777777" w:rsidR="00B82F55" w:rsidRPr="00C43DA9" w:rsidRDefault="00B82F55" w:rsidP="00F255F8">
            <w:pPr>
              <w:spacing w:after="160" w:line="259" w:lineRule="auto"/>
              <w:jc w:val="both"/>
              <w:rPr>
                <w:rFonts w:ascii="Arial" w:hAnsi="Arial" w:cs="Arial"/>
              </w:rPr>
            </w:pPr>
            <w:r w:rsidRPr="00C43DA9">
              <w:rPr>
                <w:rFonts w:ascii="Arial" w:hAnsi="Arial" w:cs="Arial"/>
              </w:rPr>
              <w:t>Liquid extract</w:t>
            </w:r>
          </w:p>
        </w:tc>
        <w:tc>
          <w:tcPr>
            <w:tcW w:w="0" w:type="auto"/>
            <w:hideMark/>
          </w:tcPr>
          <w:p w14:paraId="683141AF" w14:textId="77777777" w:rsidR="00B82F55" w:rsidRPr="00C43DA9" w:rsidRDefault="00B82F55" w:rsidP="00F255F8">
            <w:pPr>
              <w:spacing w:after="160" w:line="259" w:lineRule="auto"/>
              <w:jc w:val="both"/>
              <w:rPr>
                <w:rFonts w:ascii="Arial" w:hAnsi="Arial" w:cs="Arial"/>
              </w:rPr>
            </w:pPr>
            <w:r w:rsidRPr="00C43DA9">
              <w:rPr>
                <w:rFonts w:ascii="Arial" w:hAnsi="Arial" w:cs="Arial"/>
              </w:rPr>
              <w:t>Solvent extraction of dried BP</w:t>
            </w:r>
          </w:p>
        </w:tc>
        <w:tc>
          <w:tcPr>
            <w:tcW w:w="0" w:type="auto"/>
            <w:hideMark/>
          </w:tcPr>
          <w:p w14:paraId="44B1B7FB" w14:textId="77777777" w:rsidR="00B82F55" w:rsidRPr="00C43DA9" w:rsidRDefault="00B82F55" w:rsidP="00F255F8">
            <w:pPr>
              <w:spacing w:after="160" w:line="259" w:lineRule="auto"/>
              <w:jc w:val="both"/>
              <w:rPr>
                <w:rFonts w:ascii="Arial" w:hAnsi="Arial" w:cs="Arial"/>
              </w:rPr>
            </w:pPr>
            <w:r w:rsidRPr="00C43DA9">
              <w:rPr>
                <w:rFonts w:ascii="Arial" w:hAnsi="Arial" w:cs="Arial"/>
              </w:rPr>
              <w:t>Fenugreek</w:t>
            </w:r>
          </w:p>
        </w:tc>
        <w:tc>
          <w:tcPr>
            <w:tcW w:w="0" w:type="auto"/>
            <w:hideMark/>
          </w:tcPr>
          <w:p w14:paraId="70EBF71D" w14:textId="77777777" w:rsidR="00B82F55" w:rsidRPr="00C43DA9" w:rsidRDefault="00B82F55" w:rsidP="00F255F8">
            <w:pPr>
              <w:spacing w:after="160" w:line="259" w:lineRule="auto"/>
              <w:jc w:val="both"/>
              <w:rPr>
                <w:rFonts w:ascii="Arial" w:hAnsi="Arial" w:cs="Arial"/>
              </w:rPr>
            </w:pPr>
            <w:r w:rsidRPr="00C43DA9">
              <w:rPr>
                <w:rFonts w:ascii="Arial" w:hAnsi="Arial" w:cs="Arial"/>
              </w:rPr>
              <w:t>Fast growth, higher biomass</w:t>
            </w:r>
          </w:p>
        </w:tc>
        <w:tc>
          <w:tcPr>
            <w:tcW w:w="0" w:type="auto"/>
            <w:hideMark/>
          </w:tcPr>
          <w:p w14:paraId="2774190F" w14:textId="4D28C121" w:rsidR="00B82F55" w:rsidRPr="00C43DA9" w:rsidRDefault="005B2F9C" w:rsidP="00F255F8">
            <w:pPr>
              <w:spacing w:after="160" w:line="259" w:lineRule="auto"/>
              <w:jc w:val="both"/>
              <w:rPr>
                <w:rFonts w:ascii="Arial" w:hAnsi="Arial" w:cs="Arial"/>
              </w:rPr>
            </w:pPr>
            <w:proofErr w:type="spellStart"/>
            <w:r>
              <w:rPr>
                <w:rFonts w:ascii="Arial" w:hAnsi="Arial" w:cs="Arial"/>
              </w:rPr>
              <w:t>Sogani</w:t>
            </w:r>
            <w:proofErr w:type="spellEnd"/>
            <w:r>
              <w:rPr>
                <w:rFonts w:ascii="Arial" w:hAnsi="Arial" w:cs="Arial"/>
              </w:rPr>
              <w:t xml:space="preserve"> </w:t>
            </w:r>
            <w:r w:rsidR="00B82F55" w:rsidRPr="00C43DA9">
              <w:rPr>
                <w:rFonts w:ascii="Arial" w:hAnsi="Arial" w:cs="Arial"/>
              </w:rPr>
              <w:t>et al. 2014</w:t>
            </w:r>
          </w:p>
        </w:tc>
      </w:tr>
      <w:tr w:rsidR="00B82F55" w:rsidRPr="00C43DA9" w14:paraId="120650F0" w14:textId="77777777" w:rsidTr="0032526C">
        <w:tc>
          <w:tcPr>
            <w:tcW w:w="0" w:type="auto"/>
            <w:hideMark/>
          </w:tcPr>
          <w:p w14:paraId="031AB340" w14:textId="77777777" w:rsidR="00B82F55" w:rsidRPr="00C43DA9" w:rsidRDefault="00B82F55" w:rsidP="00F255F8">
            <w:pPr>
              <w:spacing w:after="160" w:line="259" w:lineRule="auto"/>
              <w:jc w:val="both"/>
              <w:rPr>
                <w:rFonts w:ascii="Arial" w:hAnsi="Arial" w:cs="Arial"/>
              </w:rPr>
            </w:pPr>
            <w:r w:rsidRPr="00C43DA9">
              <w:rPr>
                <w:rFonts w:ascii="Arial" w:hAnsi="Arial" w:cs="Arial"/>
              </w:rPr>
              <w:t>Biochar</w:t>
            </w:r>
          </w:p>
        </w:tc>
        <w:tc>
          <w:tcPr>
            <w:tcW w:w="0" w:type="auto"/>
            <w:hideMark/>
          </w:tcPr>
          <w:p w14:paraId="325B5878" w14:textId="77777777" w:rsidR="00B82F55" w:rsidRPr="00C43DA9" w:rsidRDefault="00B82F55" w:rsidP="00F255F8">
            <w:pPr>
              <w:spacing w:after="160" w:line="259" w:lineRule="auto"/>
              <w:jc w:val="both"/>
              <w:rPr>
                <w:rFonts w:ascii="Arial" w:hAnsi="Arial" w:cs="Arial"/>
              </w:rPr>
            </w:pPr>
            <w:r w:rsidRPr="00C43DA9">
              <w:rPr>
                <w:rFonts w:ascii="Arial" w:hAnsi="Arial" w:cs="Arial"/>
              </w:rPr>
              <w:t>Pyrolysis at 400 °C</w:t>
            </w:r>
          </w:p>
        </w:tc>
        <w:tc>
          <w:tcPr>
            <w:tcW w:w="0" w:type="auto"/>
            <w:hideMark/>
          </w:tcPr>
          <w:p w14:paraId="755DD29A" w14:textId="77777777" w:rsidR="00B82F55" w:rsidRPr="00C43DA9" w:rsidRDefault="00B82F55" w:rsidP="00F255F8">
            <w:pPr>
              <w:spacing w:after="160" w:line="259" w:lineRule="auto"/>
              <w:jc w:val="both"/>
              <w:rPr>
                <w:rFonts w:ascii="Arial" w:hAnsi="Arial" w:cs="Arial"/>
              </w:rPr>
            </w:pPr>
            <w:r w:rsidRPr="00C43DA9">
              <w:rPr>
                <w:rFonts w:ascii="Arial" w:hAnsi="Arial" w:cs="Arial"/>
              </w:rPr>
              <w:t>Tomato</w:t>
            </w:r>
          </w:p>
        </w:tc>
        <w:tc>
          <w:tcPr>
            <w:tcW w:w="0" w:type="auto"/>
            <w:hideMark/>
          </w:tcPr>
          <w:p w14:paraId="2B655B14" w14:textId="77777777" w:rsidR="00B82F55" w:rsidRPr="00C43DA9" w:rsidRDefault="00B82F55" w:rsidP="00F255F8">
            <w:pPr>
              <w:spacing w:after="160" w:line="259" w:lineRule="auto"/>
              <w:jc w:val="both"/>
              <w:rPr>
                <w:rFonts w:ascii="Arial" w:hAnsi="Arial" w:cs="Arial"/>
              </w:rPr>
            </w:pPr>
            <w:r w:rsidRPr="00C43DA9">
              <w:rPr>
                <w:rFonts w:ascii="Arial" w:hAnsi="Arial" w:cs="Arial"/>
              </w:rPr>
              <w:t>Improved soil pH, yield ↑ 10 %</w:t>
            </w:r>
          </w:p>
        </w:tc>
        <w:tc>
          <w:tcPr>
            <w:tcW w:w="0" w:type="auto"/>
            <w:hideMark/>
          </w:tcPr>
          <w:p w14:paraId="6A63CEED" w14:textId="7CD6E50E" w:rsidR="00B82F55" w:rsidRPr="00C43DA9" w:rsidRDefault="00B82F55" w:rsidP="00F255F8">
            <w:pPr>
              <w:spacing w:after="160" w:line="259" w:lineRule="auto"/>
              <w:jc w:val="both"/>
              <w:rPr>
                <w:rFonts w:ascii="Arial" w:hAnsi="Arial" w:cs="Arial"/>
              </w:rPr>
            </w:pPr>
            <w:r w:rsidRPr="00C43DA9">
              <w:rPr>
                <w:rFonts w:ascii="Arial" w:hAnsi="Arial" w:cs="Arial"/>
              </w:rPr>
              <w:t xml:space="preserve">Zaini </w:t>
            </w:r>
            <w:r w:rsidR="00844C72">
              <w:rPr>
                <w:rFonts w:ascii="Arial" w:hAnsi="Arial" w:cs="Arial"/>
              </w:rPr>
              <w:t xml:space="preserve">&amp; Rini </w:t>
            </w:r>
            <w:r w:rsidRPr="00C43DA9">
              <w:rPr>
                <w:rFonts w:ascii="Arial" w:hAnsi="Arial" w:cs="Arial"/>
              </w:rPr>
              <w:t>2022</w:t>
            </w:r>
          </w:p>
        </w:tc>
      </w:tr>
      <w:tr w:rsidR="00B82F55" w:rsidRPr="00C43DA9" w14:paraId="44AF9675" w14:textId="77777777" w:rsidTr="0032526C">
        <w:tc>
          <w:tcPr>
            <w:tcW w:w="0" w:type="auto"/>
            <w:hideMark/>
          </w:tcPr>
          <w:p w14:paraId="175BBDD0" w14:textId="77777777" w:rsidR="00B82F55" w:rsidRPr="00C43DA9" w:rsidRDefault="00B82F55" w:rsidP="00F255F8">
            <w:pPr>
              <w:spacing w:after="160" w:line="259" w:lineRule="auto"/>
              <w:jc w:val="both"/>
              <w:rPr>
                <w:rFonts w:ascii="Arial" w:hAnsi="Arial" w:cs="Arial"/>
              </w:rPr>
            </w:pPr>
            <w:r w:rsidRPr="00C43DA9">
              <w:rPr>
                <w:rFonts w:ascii="Arial" w:hAnsi="Arial" w:cs="Arial"/>
              </w:rPr>
              <w:t>Composite (banana + orange + eggshell)</w:t>
            </w:r>
          </w:p>
        </w:tc>
        <w:tc>
          <w:tcPr>
            <w:tcW w:w="0" w:type="auto"/>
            <w:hideMark/>
          </w:tcPr>
          <w:p w14:paraId="358D9800" w14:textId="77777777" w:rsidR="00B82F55" w:rsidRPr="00C43DA9" w:rsidRDefault="00B82F55" w:rsidP="00F255F8">
            <w:pPr>
              <w:spacing w:after="160" w:line="259" w:lineRule="auto"/>
              <w:jc w:val="both"/>
              <w:rPr>
                <w:rFonts w:ascii="Arial" w:hAnsi="Arial" w:cs="Arial"/>
              </w:rPr>
            </w:pPr>
            <w:r w:rsidRPr="00C43DA9">
              <w:rPr>
                <w:rFonts w:ascii="Arial" w:hAnsi="Arial" w:cs="Arial"/>
              </w:rPr>
              <w:t>Dried &amp; mixed powders</w:t>
            </w:r>
          </w:p>
        </w:tc>
        <w:tc>
          <w:tcPr>
            <w:tcW w:w="0" w:type="auto"/>
            <w:hideMark/>
          </w:tcPr>
          <w:p w14:paraId="140CFDC3" w14:textId="77777777" w:rsidR="00B82F55" w:rsidRPr="00C43DA9" w:rsidRDefault="00B82F55" w:rsidP="00F255F8">
            <w:pPr>
              <w:spacing w:after="160" w:line="259" w:lineRule="auto"/>
              <w:jc w:val="both"/>
              <w:rPr>
                <w:rFonts w:ascii="Arial" w:hAnsi="Arial" w:cs="Arial"/>
              </w:rPr>
            </w:pPr>
            <w:r w:rsidRPr="00C43DA9">
              <w:rPr>
                <w:rFonts w:ascii="Arial" w:hAnsi="Arial" w:cs="Arial"/>
              </w:rPr>
              <w:t>Okra</w:t>
            </w:r>
          </w:p>
        </w:tc>
        <w:tc>
          <w:tcPr>
            <w:tcW w:w="0" w:type="auto"/>
            <w:hideMark/>
          </w:tcPr>
          <w:p w14:paraId="516FD970" w14:textId="77777777" w:rsidR="00B82F55" w:rsidRPr="00C43DA9" w:rsidRDefault="00B82F55" w:rsidP="00F255F8">
            <w:pPr>
              <w:spacing w:after="160" w:line="259" w:lineRule="auto"/>
              <w:jc w:val="both"/>
              <w:rPr>
                <w:rFonts w:ascii="Arial" w:hAnsi="Arial" w:cs="Arial"/>
              </w:rPr>
            </w:pPr>
            <w:r w:rsidRPr="00C43DA9">
              <w:rPr>
                <w:rFonts w:ascii="Arial" w:hAnsi="Arial" w:cs="Arial"/>
              </w:rPr>
              <w:t>Increased leaf area &amp; chlorophyll</w:t>
            </w:r>
          </w:p>
        </w:tc>
        <w:tc>
          <w:tcPr>
            <w:tcW w:w="0" w:type="auto"/>
            <w:hideMark/>
          </w:tcPr>
          <w:p w14:paraId="4AF56EFC" w14:textId="77777777" w:rsidR="00B82F55" w:rsidRPr="00C43DA9" w:rsidRDefault="00B82F55" w:rsidP="00F255F8">
            <w:pPr>
              <w:spacing w:after="160" w:line="259" w:lineRule="auto"/>
              <w:jc w:val="both"/>
              <w:rPr>
                <w:rFonts w:ascii="Arial" w:hAnsi="Arial" w:cs="Arial"/>
              </w:rPr>
            </w:pPr>
            <w:r w:rsidRPr="00C43DA9">
              <w:rPr>
                <w:rFonts w:ascii="Arial" w:hAnsi="Arial" w:cs="Arial"/>
              </w:rPr>
              <w:t>Hussein et al. 2019</w:t>
            </w:r>
          </w:p>
        </w:tc>
      </w:tr>
    </w:tbl>
    <w:p w14:paraId="1F2BE956" w14:textId="77777777" w:rsidR="00B82F55" w:rsidRPr="00C43DA9" w:rsidRDefault="00B82F55" w:rsidP="00F255F8">
      <w:pPr>
        <w:jc w:val="both"/>
        <w:rPr>
          <w:rFonts w:ascii="Arial" w:hAnsi="Arial" w:cs="Arial"/>
          <w:sz w:val="22"/>
          <w:szCs w:val="22"/>
        </w:rPr>
      </w:pPr>
    </w:p>
    <w:p w14:paraId="72A3521E" w14:textId="77777777" w:rsidR="00B82F55" w:rsidRPr="00C43DA9" w:rsidRDefault="00B82F55" w:rsidP="00F255F8">
      <w:pPr>
        <w:jc w:val="both"/>
        <w:rPr>
          <w:rFonts w:ascii="Arial" w:hAnsi="Arial" w:cs="Arial"/>
          <w:sz w:val="22"/>
          <w:szCs w:val="22"/>
        </w:rPr>
      </w:pPr>
      <w:r w:rsidRPr="00C43DA9">
        <w:rPr>
          <w:rFonts w:ascii="Arial" w:hAnsi="Arial" w:cs="Arial"/>
          <w:b/>
          <w:bCs/>
          <w:sz w:val="22"/>
          <w:szCs w:val="22"/>
        </w:rPr>
        <w:t>Table 3. Microbial consortia and functional roles in agricultural residue degradation</w:t>
      </w:r>
    </w:p>
    <w:tbl>
      <w:tblPr>
        <w:tblStyle w:val="TableGrid"/>
        <w:tblW w:w="0" w:type="auto"/>
        <w:tblLook w:val="04A0" w:firstRow="1" w:lastRow="0" w:firstColumn="1" w:lastColumn="0" w:noHBand="0" w:noVBand="1"/>
      </w:tblPr>
      <w:tblGrid>
        <w:gridCol w:w="1720"/>
        <w:gridCol w:w="1732"/>
        <w:gridCol w:w="1718"/>
        <w:gridCol w:w="1375"/>
        <w:gridCol w:w="1879"/>
      </w:tblGrid>
      <w:tr w:rsidR="00B82F55" w:rsidRPr="00C43DA9" w14:paraId="700AF2F7" w14:textId="77777777" w:rsidTr="0032526C">
        <w:tc>
          <w:tcPr>
            <w:tcW w:w="0" w:type="auto"/>
            <w:hideMark/>
          </w:tcPr>
          <w:p w14:paraId="7E924CD8"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lastRenderedPageBreak/>
              <w:t>Microbe</w:t>
            </w:r>
          </w:p>
        </w:tc>
        <w:tc>
          <w:tcPr>
            <w:tcW w:w="0" w:type="auto"/>
            <w:hideMark/>
          </w:tcPr>
          <w:p w14:paraId="4D9AF5BA"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Functional Role</w:t>
            </w:r>
          </w:p>
        </w:tc>
        <w:tc>
          <w:tcPr>
            <w:tcW w:w="0" w:type="auto"/>
            <w:hideMark/>
          </w:tcPr>
          <w:p w14:paraId="4CD1B2C4"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Target Residue</w:t>
            </w:r>
          </w:p>
        </w:tc>
        <w:tc>
          <w:tcPr>
            <w:tcW w:w="0" w:type="auto"/>
            <w:hideMark/>
          </w:tcPr>
          <w:p w14:paraId="23C3ED02"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Benefit</w:t>
            </w:r>
          </w:p>
        </w:tc>
        <w:tc>
          <w:tcPr>
            <w:tcW w:w="0" w:type="auto"/>
            <w:hideMark/>
          </w:tcPr>
          <w:p w14:paraId="2E683D78" w14:textId="77777777" w:rsidR="00B82F55" w:rsidRPr="00C43DA9" w:rsidRDefault="00B82F55" w:rsidP="00F255F8">
            <w:pPr>
              <w:spacing w:after="160" w:line="259" w:lineRule="auto"/>
              <w:jc w:val="both"/>
              <w:rPr>
                <w:rFonts w:ascii="Arial" w:hAnsi="Arial" w:cs="Arial"/>
                <w:b/>
                <w:bCs/>
              </w:rPr>
            </w:pPr>
            <w:r w:rsidRPr="00C43DA9">
              <w:rPr>
                <w:rFonts w:ascii="Arial" w:hAnsi="Arial" w:cs="Arial"/>
                <w:b/>
                <w:bCs/>
              </w:rPr>
              <w:t>References</w:t>
            </w:r>
          </w:p>
        </w:tc>
      </w:tr>
      <w:tr w:rsidR="00B82F55" w:rsidRPr="00C43DA9" w14:paraId="29D1611A" w14:textId="77777777" w:rsidTr="0032526C">
        <w:tc>
          <w:tcPr>
            <w:tcW w:w="0" w:type="auto"/>
            <w:hideMark/>
          </w:tcPr>
          <w:p w14:paraId="6F17EDC8" w14:textId="77777777" w:rsidR="00B82F55" w:rsidRPr="00C43DA9" w:rsidRDefault="00B82F55" w:rsidP="00F255F8">
            <w:pPr>
              <w:spacing w:after="160" w:line="259" w:lineRule="auto"/>
              <w:jc w:val="both"/>
              <w:rPr>
                <w:rFonts w:ascii="Arial" w:hAnsi="Arial" w:cs="Arial"/>
              </w:rPr>
            </w:pPr>
            <w:r w:rsidRPr="00C43DA9">
              <w:rPr>
                <w:rFonts w:ascii="Arial" w:hAnsi="Arial" w:cs="Arial"/>
                <w:i/>
                <w:iCs/>
              </w:rPr>
              <w:t xml:space="preserve">Trichoderma </w:t>
            </w:r>
            <w:proofErr w:type="spellStart"/>
            <w:r w:rsidRPr="00C43DA9">
              <w:rPr>
                <w:rFonts w:ascii="Arial" w:hAnsi="Arial" w:cs="Arial"/>
                <w:i/>
                <w:iCs/>
              </w:rPr>
              <w:t>harzianum</w:t>
            </w:r>
            <w:proofErr w:type="spellEnd"/>
          </w:p>
        </w:tc>
        <w:tc>
          <w:tcPr>
            <w:tcW w:w="0" w:type="auto"/>
            <w:hideMark/>
          </w:tcPr>
          <w:p w14:paraId="0409FBD5" w14:textId="77777777" w:rsidR="00B82F55" w:rsidRPr="00C43DA9" w:rsidRDefault="00B82F55" w:rsidP="00F255F8">
            <w:pPr>
              <w:spacing w:after="160" w:line="259" w:lineRule="auto"/>
              <w:jc w:val="both"/>
              <w:rPr>
                <w:rFonts w:ascii="Arial" w:hAnsi="Arial" w:cs="Arial"/>
              </w:rPr>
            </w:pPr>
            <w:r w:rsidRPr="00C43DA9">
              <w:rPr>
                <w:rFonts w:ascii="Arial" w:hAnsi="Arial" w:cs="Arial"/>
              </w:rPr>
              <w:t>Cellulose degradation, pathogen suppression</w:t>
            </w:r>
          </w:p>
        </w:tc>
        <w:tc>
          <w:tcPr>
            <w:tcW w:w="0" w:type="auto"/>
            <w:hideMark/>
          </w:tcPr>
          <w:p w14:paraId="0E0EDCB2" w14:textId="77777777" w:rsidR="00B82F55" w:rsidRPr="00C43DA9" w:rsidRDefault="00B82F55" w:rsidP="00F255F8">
            <w:pPr>
              <w:spacing w:after="160" w:line="259" w:lineRule="auto"/>
              <w:jc w:val="both"/>
              <w:rPr>
                <w:rFonts w:ascii="Arial" w:hAnsi="Arial" w:cs="Arial"/>
              </w:rPr>
            </w:pPr>
            <w:r w:rsidRPr="00C43DA9">
              <w:rPr>
                <w:rFonts w:ascii="Arial" w:hAnsi="Arial" w:cs="Arial"/>
              </w:rPr>
              <w:t>Banana peel, crop stubble</w:t>
            </w:r>
          </w:p>
        </w:tc>
        <w:tc>
          <w:tcPr>
            <w:tcW w:w="0" w:type="auto"/>
            <w:hideMark/>
          </w:tcPr>
          <w:p w14:paraId="6B35429F" w14:textId="77777777" w:rsidR="00B82F55" w:rsidRPr="00C43DA9" w:rsidRDefault="00B82F55" w:rsidP="00F255F8">
            <w:pPr>
              <w:spacing w:after="160" w:line="259" w:lineRule="auto"/>
              <w:jc w:val="both"/>
              <w:rPr>
                <w:rFonts w:ascii="Arial" w:hAnsi="Arial" w:cs="Arial"/>
              </w:rPr>
            </w:pPr>
            <w:r w:rsidRPr="00C43DA9">
              <w:rPr>
                <w:rFonts w:ascii="Arial" w:hAnsi="Arial" w:cs="Arial"/>
              </w:rPr>
              <w:t>Improved N/P availability</w:t>
            </w:r>
          </w:p>
        </w:tc>
        <w:tc>
          <w:tcPr>
            <w:tcW w:w="0" w:type="auto"/>
            <w:hideMark/>
          </w:tcPr>
          <w:p w14:paraId="7549C32C" w14:textId="52E93DB0" w:rsidR="00B82F55" w:rsidRPr="00C43DA9" w:rsidRDefault="00B82F55" w:rsidP="00F255F8">
            <w:pPr>
              <w:spacing w:after="160" w:line="259" w:lineRule="auto"/>
              <w:jc w:val="both"/>
              <w:rPr>
                <w:rFonts w:ascii="Arial" w:hAnsi="Arial" w:cs="Arial"/>
              </w:rPr>
            </w:pPr>
            <w:r w:rsidRPr="00C43DA9">
              <w:rPr>
                <w:rFonts w:ascii="Arial" w:hAnsi="Arial" w:cs="Arial"/>
              </w:rPr>
              <w:t>Harman et al. 2004</w:t>
            </w:r>
          </w:p>
        </w:tc>
      </w:tr>
      <w:tr w:rsidR="00B82F55" w:rsidRPr="00C43DA9" w14:paraId="54B709CD" w14:textId="77777777" w:rsidTr="0032526C">
        <w:tc>
          <w:tcPr>
            <w:tcW w:w="0" w:type="auto"/>
            <w:hideMark/>
          </w:tcPr>
          <w:p w14:paraId="6086EE7F" w14:textId="77777777" w:rsidR="00B82F55" w:rsidRPr="00C43DA9" w:rsidRDefault="00B82F55" w:rsidP="00F255F8">
            <w:pPr>
              <w:spacing w:after="160" w:line="259" w:lineRule="auto"/>
              <w:jc w:val="both"/>
              <w:rPr>
                <w:rFonts w:ascii="Arial" w:hAnsi="Arial" w:cs="Arial"/>
              </w:rPr>
            </w:pPr>
            <w:r w:rsidRPr="00C43DA9">
              <w:rPr>
                <w:rFonts w:ascii="Arial" w:hAnsi="Arial" w:cs="Arial"/>
                <w:i/>
                <w:iCs/>
              </w:rPr>
              <w:t>Bacillus subtilis</w:t>
            </w:r>
          </w:p>
        </w:tc>
        <w:tc>
          <w:tcPr>
            <w:tcW w:w="0" w:type="auto"/>
            <w:hideMark/>
          </w:tcPr>
          <w:p w14:paraId="337865FD" w14:textId="77777777" w:rsidR="00B82F55" w:rsidRPr="00C43DA9" w:rsidRDefault="00B82F55" w:rsidP="00F255F8">
            <w:pPr>
              <w:spacing w:after="160" w:line="259" w:lineRule="auto"/>
              <w:jc w:val="both"/>
              <w:rPr>
                <w:rFonts w:ascii="Arial" w:hAnsi="Arial" w:cs="Arial"/>
              </w:rPr>
            </w:pPr>
            <w:r w:rsidRPr="00C43DA9">
              <w:rPr>
                <w:rFonts w:ascii="Arial" w:hAnsi="Arial" w:cs="Arial"/>
              </w:rPr>
              <w:t>Phosphate solubilization, enzyme secretion</w:t>
            </w:r>
          </w:p>
        </w:tc>
        <w:tc>
          <w:tcPr>
            <w:tcW w:w="0" w:type="auto"/>
            <w:hideMark/>
          </w:tcPr>
          <w:p w14:paraId="2CED6B4F" w14:textId="77777777" w:rsidR="00B82F55" w:rsidRPr="00C43DA9" w:rsidRDefault="00B82F55" w:rsidP="00F255F8">
            <w:pPr>
              <w:spacing w:after="160" w:line="259" w:lineRule="auto"/>
              <w:jc w:val="both"/>
              <w:rPr>
                <w:rFonts w:ascii="Arial" w:hAnsi="Arial" w:cs="Arial"/>
              </w:rPr>
            </w:pPr>
            <w:r w:rsidRPr="00C43DA9">
              <w:rPr>
                <w:rFonts w:ascii="Arial" w:hAnsi="Arial" w:cs="Arial"/>
              </w:rPr>
              <w:t>Banana peel compost</w:t>
            </w:r>
          </w:p>
        </w:tc>
        <w:tc>
          <w:tcPr>
            <w:tcW w:w="0" w:type="auto"/>
            <w:hideMark/>
          </w:tcPr>
          <w:p w14:paraId="2B3A8BB8" w14:textId="77777777" w:rsidR="00B82F55" w:rsidRPr="00C43DA9" w:rsidRDefault="00B82F55" w:rsidP="00F255F8">
            <w:pPr>
              <w:spacing w:after="160" w:line="259" w:lineRule="auto"/>
              <w:jc w:val="both"/>
              <w:rPr>
                <w:rFonts w:ascii="Arial" w:hAnsi="Arial" w:cs="Arial"/>
              </w:rPr>
            </w:pPr>
            <w:r w:rsidRPr="00C43DA9">
              <w:rPr>
                <w:rFonts w:ascii="Arial" w:hAnsi="Arial" w:cs="Arial"/>
              </w:rPr>
              <w:t>Enhanced plant growth</w:t>
            </w:r>
          </w:p>
        </w:tc>
        <w:tc>
          <w:tcPr>
            <w:tcW w:w="0" w:type="auto"/>
            <w:hideMark/>
          </w:tcPr>
          <w:p w14:paraId="000ED968" w14:textId="77777777" w:rsidR="00B82F55" w:rsidRPr="00C43DA9" w:rsidRDefault="00B82F55" w:rsidP="00F255F8">
            <w:pPr>
              <w:spacing w:after="160" w:line="259" w:lineRule="auto"/>
              <w:jc w:val="both"/>
              <w:rPr>
                <w:rFonts w:ascii="Arial" w:hAnsi="Arial" w:cs="Arial"/>
              </w:rPr>
            </w:pPr>
            <w:r w:rsidRPr="00C43DA9">
              <w:rPr>
                <w:rFonts w:ascii="Arial" w:hAnsi="Arial" w:cs="Arial"/>
              </w:rPr>
              <w:t>Vessey, 2003; Kumar et al. 2020</w:t>
            </w:r>
          </w:p>
        </w:tc>
      </w:tr>
      <w:tr w:rsidR="00B82F55" w:rsidRPr="00C43DA9" w14:paraId="7FCCCFAD" w14:textId="77777777" w:rsidTr="0032526C">
        <w:tc>
          <w:tcPr>
            <w:tcW w:w="0" w:type="auto"/>
            <w:hideMark/>
          </w:tcPr>
          <w:p w14:paraId="0CFFDEF6" w14:textId="77777777" w:rsidR="00B82F55" w:rsidRPr="00C43DA9" w:rsidRDefault="00B82F55" w:rsidP="00F255F8">
            <w:pPr>
              <w:spacing w:after="160" w:line="259" w:lineRule="auto"/>
              <w:jc w:val="both"/>
              <w:rPr>
                <w:rFonts w:ascii="Arial" w:hAnsi="Arial" w:cs="Arial"/>
              </w:rPr>
            </w:pPr>
            <w:r w:rsidRPr="00C43DA9">
              <w:rPr>
                <w:rFonts w:ascii="Arial" w:hAnsi="Arial" w:cs="Arial"/>
                <w:i/>
                <w:iCs/>
              </w:rPr>
              <w:t>Pseudomonas fluorescens</w:t>
            </w:r>
          </w:p>
        </w:tc>
        <w:tc>
          <w:tcPr>
            <w:tcW w:w="0" w:type="auto"/>
            <w:hideMark/>
          </w:tcPr>
          <w:p w14:paraId="4F192A2E" w14:textId="77777777" w:rsidR="00B82F55" w:rsidRPr="00C43DA9" w:rsidRDefault="00B82F55" w:rsidP="00F255F8">
            <w:pPr>
              <w:spacing w:after="160" w:line="259" w:lineRule="auto"/>
              <w:jc w:val="both"/>
              <w:rPr>
                <w:rFonts w:ascii="Arial" w:hAnsi="Arial" w:cs="Arial"/>
              </w:rPr>
            </w:pPr>
            <w:r w:rsidRPr="00C43DA9">
              <w:rPr>
                <w:rFonts w:ascii="Arial" w:hAnsi="Arial" w:cs="Arial"/>
              </w:rPr>
              <w:t>Siderophore and auxin production</w:t>
            </w:r>
          </w:p>
        </w:tc>
        <w:tc>
          <w:tcPr>
            <w:tcW w:w="0" w:type="auto"/>
            <w:hideMark/>
          </w:tcPr>
          <w:p w14:paraId="13740400" w14:textId="77777777" w:rsidR="00B82F55" w:rsidRPr="00C43DA9" w:rsidRDefault="00B82F55" w:rsidP="00F255F8">
            <w:pPr>
              <w:spacing w:after="160" w:line="259" w:lineRule="auto"/>
              <w:jc w:val="both"/>
              <w:rPr>
                <w:rFonts w:ascii="Arial" w:hAnsi="Arial" w:cs="Arial"/>
              </w:rPr>
            </w:pPr>
            <w:r w:rsidRPr="00C43DA9">
              <w:rPr>
                <w:rFonts w:ascii="Arial" w:hAnsi="Arial" w:cs="Arial"/>
              </w:rPr>
              <w:t>Crop residues</w:t>
            </w:r>
          </w:p>
        </w:tc>
        <w:tc>
          <w:tcPr>
            <w:tcW w:w="0" w:type="auto"/>
            <w:hideMark/>
          </w:tcPr>
          <w:p w14:paraId="64CA2CF2" w14:textId="77777777" w:rsidR="00B82F55" w:rsidRPr="00C43DA9" w:rsidRDefault="00B82F55" w:rsidP="00F255F8">
            <w:pPr>
              <w:spacing w:after="160" w:line="259" w:lineRule="auto"/>
              <w:jc w:val="both"/>
              <w:rPr>
                <w:rFonts w:ascii="Arial" w:hAnsi="Arial" w:cs="Arial"/>
              </w:rPr>
            </w:pPr>
            <w:r w:rsidRPr="00C43DA9">
              <w:rPr>
                <w:rFonts w:ascii="Arial" w:hAnsi="Arial" w:cs="Arial"/>
              </w:rPr>
              <w:t>Biocontrol &amp; root stimulation</w:t>
            </w:r>
          </w:p>
        </w:tc>
        <w:tc>
          <w:tcPr>
            <w:tcW w:w="0" w:type="auto"/>
            <w:hideMark/>
          </w:tcPr>
          <w:p w14:paraId="3B2B1B8D" w14:textId="77777777" w:rsidR="00B82F55" w:rsidRPr="00C43DA9" w:rsidRDefault="00B82F55" w:rsidP="00F255F8">
            <w:pPr>
              <w:spacing w:after="160" w:line="259" w:lineRule="auto"/>
              <w:jc w:val="both"/>
              <w:rPr>
                <w:rFonts w:ascii="Arial" w:hAnsi="Arial" w:cs="Arial"/>
              </w:rPr>
            </w:pPr>
            <w:r w:rsidRPr="00C43DA9">
              <w:rPr>
                <w:rFonts w:ascii="Arial" w:hAnsi="Arial" w:cs="Arial"/>
              </w:rPr>
              <w:t>Weller, 2007; Raaijmakers et al. 2010</w:t>
            </w:r>
          </w:p>
        </w:tc>
      </w:tr>
      <w:tr w:rsidR="00B82F55" w:rsidRPr="00C43DA9" w14:paraId="5E5136F6" w14:textId="77777777" w:rsidTr="0032526C">
        <w:tc>
          <w:tcPr>
            <w:tcW w:w="0" w:type="auto"/>
            <w:hideMark/>
          </w:tcPr>
          <w:p w14:paraId="6F482FC8" w14:textId="77777777" w:rsidR="00B82F55" w:rsidRPr="00C43DA9" w:rsidRDefault="00B82F55" w:rsidP="00F255F8">
            <w:pPr>
              <w:spacing w:after="160" w:line="259" w:lineRule="auto"/>
              <w:jc w:val="both"/>
              <w:rPr>
                <w:rFonts w:ascii="Arial" w:hAnsi="Arial" w:cs="Arial"/>
              </w:rPr>
            </w:pPr>
            <w:r w:rsidRPr="00C43DA9">
              <w:rPr>
                <w:rFonts w:ascii="Arial" w:hAnsi="Arial" w:cs="Arial"/>
                <w:i/>
                <w:iCs/>
              </w:rPr>
              <w:t>Rhizobium</w:t>
            </w:r>
            <w:r w:rsidRPr="00C43DA9">
              <w:rPr>
                <w:rFonts w:ascii="Arial" w:hAnsi="Arial" w:cs="Arial"/>
              </w:rPr>
              <w:t xml:space="preserve"> + </w:t>
            </w:r>
            <w:proofErr w:type="spellStart"/>
            <w:r w:rsidRPr="00C43DA9">
              <w:rPr>
                <w:rFonts w:ascii="Arial" w:hAnsi="Arial" w:cs="Arial"/>
                <w:i/>
                <w:iCs/>
              </w:rPr>
              <w:t>Azospirillum</w:t>
            </w:r>
            <w:proofErr w:type="spellEnd"/>
          </w:p>
        </w:tc>
        <w:tc>
          <w:tcPr>
            <w:tcW w:w="0" w:type="auto"/>
            <w:hideMark/>
          </w:tcPr>
          <w:p w14:paraId="3F5E0950" w14:textId="77777777" w:rsidR="00B82F55" w:rsidRPr="00C43DA9" w:rsidRDefault="00B82F55" w:rsidP="00F255F8">
            <w:pPr>
              <w:spacing w:after="160" w:line="259" w:lineRule="auto"/>
              <w:jc w:val="both"/>
              <w:rPr>
                <w:rFonts w:ascii="Arial" w:hAnsi="Arial" w:cs="Arial"/>
              </w:rPr>
            </w:pPr>
            <w:r w:rsidRPr="00C43DA9">
              <w:rPr>
                <w:rFonts w:ascii="Arial" w:hAnsi="Arial" w:cs="Arial"/>
              </w:rPr>
              <w:t>Nitrogen fixation</w:t>
            </w:r>
          </w:p>
        </w:tc>
        <w:tc>
          <w:tcPr>
            <w:tcW w:w="0" w:type="auto"/>
            <w:hideMark/>
          </w:tcPr>
          <w:p w14:paraId="15980D12" w14:textId="77777777" w:rsidR="00B82F55" w:rsidRPr="00C43DA9" w:rsidRDefault="00B82F55" w:rsidP="00F255F8">
            <w:pPr>
              <w:spacing w:after="160" w:line="259" w:lineRule="auto"/>
              <w:jc w:val="both"/>
              <w:rPr>
                <w:rFonts w:ascii="Arial" w:hAnsi="Arial" w:cs="Arial"/>
              </w:rPr>
            </w:pPr>
            <w:r w:rsidRPr="00C43DA9">
              <w:rPr>
                <w:rFonts w:ascii="Arial" w:hAnsi="Arial" w:cs="Arial"/>
              </w:rPr>
              <w:t>Mixed residues</w:t>
            </w:r>
          </w:p>
        </w:tc>
        <w:tc>
          <w:tcPr>
            <w:tcW w:w="0" w:type="auto"/>
            <w:hideMark/>
          </w:tcPr>
          <w:p w14:paraId="053A1833" w14:textId="77777777" w:rsidR="00B82F55" w:rsidRPr="00C43DA9" w:rsidRDefault="00B82F55" w:rsidP="00F255F8">
            <w:pPr>
              <w:spacing w:after="160" w:line="259" w:lineRule="auto"/>
              <w:jc w:val="both"/>
              <w:rPr>
                <w:rFonts w:ascii="Arial" w:hAnsi="Arial" w:cs="Arial"/>
              </w:rPr>
            </w:pPr>
            <w:r w:rsidRPr="00C43DA9">
              <w:rPr>
                <w:rFonts w:ascii="Arial" w:hAnsi="Arial" w:cs="Arial"/>
              </w:rPr>
              <w:t>Improved root nodulation</w:t>
            </w:r>
          </w:p>
        </w:tc>
        <w:tc>
          <w:tcPr>
            <w:tcW w:w="0" w:type="auto"/>
            <w:hideMark/>
          </w:tcPr>
          <w:p w14:paraId="20BF19E5" w14:textId="77777777" w:rsidR="00B82F55" w:rsidRPr="00C43DA9" w:rsidRDefault="00B82F55" w:rsidP="00F255F8">
            <w:pPr>
              <w:spacing w:after="160" w:line="259" w:lineRule="auto"/>
              <w:jc w:val="both"/>
              <w:rPr>
                <w:rFonts w:ascii="Arial" w:hAnsi="Arial" w:cs="Arial"/>
              </w:rPr>
            </w:pPr>
            <w:r w:rsidRPr="00C43DA9">
              <w:rPr>
                <w:rFonts w:ascii="Arial" w:hAnsi="Arial" w:cs="Arial"/>
              </w:rPr>
              <w:t>Bashan &amp; de-Bashan, 2010; Bhattacharyya &amp; Jha, 2012</w:t>
            </w:r>
          </w:p>
        </w:tc>
      </w:tr>
      <w:tr w:rsidR="00B82F55" w:rsidRPr="00C43DA9" w14:paraId="5D21F669" w14:textId="77777777" w:rsidTr="0032526C">
        <w:tc>
          <w:tcPr>
            <w:tcW w:w="0" w:type="auto"/>
            <w:hideMark/>
          </w:tcPr>
          <w:p w14:paraId="6CB67439" w14:textId="77777777" w:rsidR="00B82F55" w:rsidRPr="00C43DA9" w:rsidRDefault="00B82F55" w:rsidP="00F255F8">
            <w:pPr>
              <w:spacing w:after="160" w:line="259" w:lineRule="auto"/>
              <w:jc w:val="both"/>
              <w:rPr>
                <w:rFonts w:ascii="Arial" w:hAnsi="Arial" w:cs="Arial"/>
              </w:rPr>
            </w:pPr>
            <w:r w:rsidRPr="00C43DA9">
              <w:rPr>
                <w:rFonts w:ascii="Arial" w:hAnsi="Arial" w:cs="Arial"/>
              </w:rPr>
              <w:t>Actinomycetes spp.</w:t>
            </w:r>
          </w:p>
        </w:tc>
        <w:tc>
          <w:tcPr>
            <w:tcW w:w="0" w:type="auto"/>
            <w:hideMark/>
          </w:tcPr>
          <w:p w14:paraId="2E95AE63" w14:textId="77777777" w:rsidR="00B82F55" w:rsidRPr="00C43DA9" w:rsidRDefault="00B82F55" w:rsidP="00F255F8">
            <w:pPr>
              <w:spacing w:after="160" w:line="259" w:lineRule="auto"/>
              <w:jc w:val="both"/>
              <w:rPr>
                <w:rFonts w:ascii="Arial" w:hAnsi="Arial" w:cs="Arial"/>
              </w:rPr>
            </w:pPr>
            <w:r w:rsidRPr="00C43DA9">
              <w:rPr>
                <w:rFonts w:ascii="Arial" w:hAnsi="Arial" w:cs="Arial"/>
              </w:rPr>
              <w:t>Lignin oxidation</w:t>
            </w:r>
          </w:p>
        </w:tc>
        <w:tc>
          <w:tcPr>
            <w:tcW w:w="0" w:type="auto"/>
            <w:hideMark/>
          </w:tcPr>
          <w:p w14:paraId="3F4FD339" w14:textId="77777777" w:rsidR="00B82F55" w:rsidRPr="00C43DA9" w:rsidRDefault="00B82F55" w:rsidP="00F255F8">
            <w:pPr>
              <w:spacing w:after="160" w:line="259" w:lineRule="auto"/>
              <w:jc w:val="both"/>
              <w:rPr>
                <w:rFonts w:ascii="Arial" w:hAnsi="Arial" w:cs="Arial"/>
              </w:rPr>
            </w:pPr>
            <w:r w:rsidRPr="00C43DA9">
              <w:rPr>
                <w:rFonts w:ascii="Arial" w:hAnsi="Arial" w:cs="Arial"/>
              </w:rPr>
              <w:t>Lignocellulosic waste</w:t>
            </w:r>
          </w:p>
        </w:tc>
        <w:tc>
          <w:tcPr>
            <w:tcW w:w="0" w:type="auto"/>
            <w:hideMark/>
          </w:tcPr>
          <w:p w14:paraId="74670194" w14:textId="77777777" w:rsidR="00B82F55" w:rsidRPr="00C43DA9" w:rsidRDefault="00B82F55" w:rsidP="00F255F8">
            <w:pPr>
              <w:spacing w:after="160" w:line="259" w:lineRule="auto"/>
              <w:jc w:val="both"/>
              <w:rPr>
                <w:rFonts w:ascii="Arial" w:hAnsi="Arial" w:cs="Arial"/>
              </w:rPr>
            </w:pPr>
            <w:r w:rsidRPr="00C43DA9">
              <w:rPr>
                <w:rFonts w:ascii="Arial" w:hAnsi="Arial" w:cs="Arial"/>
              </w:rPr>
              <w:t>Faster compost maturity</w:t>
            </w:r>
          </w:p>
        </w:tc>
        <w:tc>
          <w:tcPr>
            <w:tcW w:w="0" w:type="auto"/>
            <w:hideMark/>
          </w:tcPr>
          <w:p w14:paraId="2EB47CBC" w14:textId="0B17D320" w:rsidR="00B82F55" w:rsidRPr="00C43DA9" w:rsidRDefault="00B82F55" w:rsidP="00F255F8">
            <w:pPr>
              <w:spacing w:after="160" w:line="259" w:lineRule="auto"/>
              <w:jc w:val="both"/>
              <w:rPr>
                <w:rFonts w:ascii="Arial" w:hAnsi="Arial" w:cs="Arial"/>
              </w:rPr>
            </w:pPr>
            <w:r w:rsidRPr="00C43DA9">
              <w:rPr>
                <w:rFonts w:ascii="Arial" w:hAnsi="Arial" w:cs="Arial"/>
              </w:rPr>
              <w:t xml:space="preserve">Goodfellow &amp; Williams, 1983; </w:t>
            </w:r>
            <w:r w:rsidR="00E7267E">
              <w:rPr>
                <w:rFonts w:ascii="Arial" w:hAnsi="Arial" w:cs="Arial"/>
              </w:rPr>
              <w:t>H</w:t>
            </w:r>
            <w:r w:rsidR="00BB2A1B">
              <w:rPr>
                <w:rFonts w:ascii="Arial" w:hAnsi="Arial" w:cs="Arial"/>
              </w:rPr>
              <w:t>sin</w:t>
            </w:r>
            <w:r w:rsidR="00E7267E">
              <w:rPr>
                <w:rFonts w:ascii="Arial" w:hAnsi="Arial" w:cs="Arial"/>
              </w:rPr>
              <w:t xml:space="preserve"> </w:t>
            </w:r>
            <w:r w:rsidRPr="00C43DA9">
              <w:rPr>
                <w:rFonts w:ascii="Arial" w:hAnsi="Arial" w:cs="Arial"/>
              </w:rPr>
              <w:t>et al. 2</w:t>
            </w:r>
            <w:r w:rsidR="00E7267E">
              <w:rPr>
                <w:rFonts w:ascii="Arial" w:hAnsi="Arial" w:cs="Arial"/>
              </w:rPr>
              <w:t>025</w:t>
            </w:r>
          </w:p>
        </w:tc>
      </w:tr>
    </w:tbl>
    <w:p w14:paraId="7AF70A3C" w14:textId="77777777" w:rsidR="00B82F55" w:rsidRPr="00C43DA9" w:rsidRDefault="00B82F55" w:rsidP="00F255F8">
      <w:pPr>
        <w:jc w:val="both"/>
        <w:rPr>
          <w:rFonts w:ascii="Arial" w:hAnsi="Arial" w:cs="Arial"/>
          <w:b/>
          <w:bCs/>
          <w:sz w:val="22"/>
          <w:szCs w:val="22"/>
        </w:rPr>
      </w:pPr>
    </w:p>
    <w:p w14:paraId="725095CE" w14:textId="77777777" w:rsidR="00B82F55" w:rsidRPr="00C43DA9" w:rsidRDefault="00B82F55" w:rsidP="00F255F8">
      <w:pPr>
        <w:jc w:val="both"/>
        <w:rPr>
          <w:rFonts w:ascii="Arial" w:hAnsi="Arial" w:cs="Arial"/>
          <w:b/>
          <w:bCs/>
          <w:sz w:val="22"/>
          <w:szCs w:val="22"/>
        </w:rPr>
      </w:pPr>
      <w:bookmarkStart w:id="0" w:name="_Hlk212122695"/>
    </w:p>
    <w:p w14:paraId="18900356" w14:textId="77777777" w:rsidR="00B82F55" w:rsidRPr="00C43DA9" w:rsidRDefault="00B82F55" w:rsidP="00F255F8">
      <w:pPr>
        <w:jc w:val="center"/>
        <w:rPr>
          <w:rFonts w:ascii="Arial" w:hAnsi="Arial" w:cs="Arial"/>
          <w:b/>
          <w:bCs/>
          <w:sz w:val="22"/>
          <w:szCs w:val="22"/>
        </w:rPr>
      </w:pPr>
      <w:r w:rsidRPr="00C43DA9">
        <w:rPr>
          <w:rFonts w:ascii="Arial" w:hAnsi="Arial" w:cs="Arial"/>
          <w:b/>
          <w:bCs/>
          <w:noProof/>
          <w:sz w:val="22"/>
          <w:szCs w:val="22"/>
        </w:rPr>
        <w:drawing>
          <wp:inline distT="0" distB="0" distL="0" distR="0" wp14:anchorId="06EDE31E" wp14:editId="6F2EB62F">
            <wp:extent cx="2409825" cy="1920412"/>
            <wp:effectExtent l="0" t="0" r="0" b="3810"/>
            <wp:docPr id="1355095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95833" name=""/>
                    <pic:cNvPicPr/>
                  </pic:nvPicPr>
                  <pic:blipFill>
                    <a:blip r:embed="rId14"/>
                    <a:stretch>
                      <a:fillRect/>
                    </a:stretch>
                  </pic:blipFill>
                  <pic:spPr>
                    <a:xfrm>
                      <a:off x="0" y="0"/>
                      <a:ext cx="2416539" cy="1925762"/>
                    </a:xfrm>
                    <a:prstGeom prst="rect">
                      <a:avLst/>
                    </a:prstGeom>
                  </pic:spPr>
                </pic:pic>
              </a:graphicData>
            </a:graphic>
          </wp:inline>
        </w:drawing>
      </w:r>
    </w:p>
    <w:p w14:paraId="67DCCBB0" w14:textId="77777777" w:rsidR="00B82F55" w:rsidRPr="00C43DA9" w:rsidRDefault="00B82F55" w:rsidP="00F255F8">
      <w:pPr>
        <w:ind w:left="720" w:firstLine="720"/>
        <w:jc w:val="both"/>
        <w:rPr>
          <w:rFonts w:ascii="Arial" w:hAnsi="Arial" w:cs="Arial"/>
          <w:b/>
          <w:bCs/>
          <w:sz w:val="22"/>
          <w:szCs w:val="22"/>
        </w:rPr>
      </w:pPr>
      <w:r w:rsidRPr="00C43DA9">
        <w:rPr>
          <w:rFonts w:ascii="Arial" w:hAnsi="Arial" w:cs="Arial"/>
          <w:b/>
          <w:bCs/>
          <w:sz w:val="22"/>
          <w:szCs w:val="22"/>
        </w:rPr>
        <w:t xml:space="preserve">Fig.1. </w:t>
      </w:r>
      <w:r w:rsidRPr="00C43DA9">
        <w:rPr>
          <w:rFonts w:ascii="Arial" w:hAnsi="Arial" w:cs="Arial"/>
          <w:sz w:val="22"/>
          <w:szCs w:val="22"/>
        </w:rPr>
        <w:t>Types of usage of Banana peel as biofertilizer</w:t>
      </w:r>
    </w:p>
    <w:bookmarkEnd w:id="0"/>
    <w:p w14:paraId="1C7F09CA" w14:textId="77777777" w:rsidR="00B82F55" w:rsidRPr="00C43DA9" w:rsidRDefault="00B82F55" w:rsidP="00F255F8">
      <w:pPr>
        <w:jc w:val="both"/>
        <w:rPr>
          <w:rFonts w:ascii="Arial" w:hAnsi="Arial" w:cs="Arial"/>
          <w:b/>
          <w:bCs/>
          <w:sz w:val="22"/>
          <w:szCs w:val="22"/>
        </w:rPr>
      </w:pPr>
    </w:p>
    <w:p w14:paraId="50A73E9B" w14:textId="77777777" w:rsidR="00B82F55" w:rsidRPr="00C43DA9" w:rsidRDefault="00B82F55" w:rsidP="00F255F8">
      <w:pPr>
        <w:jc w:val="both"/>
        <w:rPr>
          <w:rFonts w:ascii="Arial" w:hAnsi="Arial" w:cs="Arial"/>
          <w:b/>
          <w:bCs/>
          <w:sz w:val="22"/>
          <w:szCs w:val="22"/>
        </w:rPr>
      </w:pPr>
    </w:p>
    <w:p w14:paraId="0D5F259C" w14:textId="77777777" w:rsidR="003D5B2E" w:rsidRPr="003D5B2E" w:rsidRDefault="003D5B2E" w:rsidP="00F255F8">
      <w:pPr>
        <w:spacing w:after="200" w:line="276" w:lineRule="auto"/>
        <w:jc w:val="both"/>
        <w:outlineLvl w:val="0"/>
        <w:rPr>
          <w:rFonts w:ascii="Arial" w:eastAsiaTheme="minorEastAsia" w:hAnsi="Arial" w:cs="Arial"/>
          <w:sz w:val="22"/>
          <w:szCs w:val="22"/>
          <w:lang w:val="en-GB" w:eastAsia="en-GB"/>
        </w:rPr>
      </w:pPr>
      <w:r w:rsidRPr="003D5B2E">
        <w:rPr>
          <w:rFonts w:ascii="Arial" w:eastAsiaTheme="minorEastAsia" w:hAnsi="Arial" w:cs="Arial"/>
          <w:b/>
          <w:bCs/>
          <w:sz w:val="22"/>
          <w:szCs w:val="22"/>
          <w:lang w:val="en-GB" w:eastAsia="en-GB"/>
        </w:rPr>
        <w:t>COMPETING INTERESTS DISCLAIMER:</w:t>
      </w:r>
    </w:p>
    <w:p w14:paraId="16327C29" w14:textId="0F4D568E" w:rsidR="003D5B2E" w:rsidRDefault="003D5B2E" w:rsidP="00F255F8">
      <w:pPr>
        <w:spacing w:after="200" w:line="276" w:lineRule="auto"/>
        <w:jc w:val="both"/>
        <w:rPr>
          <w:rFonts w:asciiTheme="minorHAnsi" w:eastAsiaTheme="minorEastAsia" w:hAnsiTheme="minorHAnsi" w:cstheme="minorBidi"/>
          <w:sz w:val="22"/>
          <w:szCs w:val="22"/>
          <w:lang w:val="en-GB" w:eastAsia="en-GB"/>
        </w:rPr>
      </w:pPr>
      <w:r w:rsidRPr="003D5B2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4FE39E3" w14:textId="47FF8B10" w:rsidR="00924A63" w:rsidRPr="00F255F8" w:rsidRDefault="00924A63" w:rsidP="00F255F8">
      <w:pPr>
        <w:spacing w:after="200" w:line="276" w:lineRule="auto"/>
        <w:jc w:val="both"/>
        <w:rPr>
          <w:rFonts w:ascii="Arial" w:eastAsiaTheme="minorEastAsia" w:hAnsi="Arial" w:cs="Arial"/>
          <w:sz w:val="22"/>
          <w:szCs w:val="22"/>
          <w:lang w:val="en-GB" w:eastAsia="en-GB"/>
        </w:rPr>
      </w:pPr>
    </w:p>
    <w:p w14:paraId="2C1273A0" w14:textId="77777777" w:rsidR="00F255F8" w:rsidRPr="00F255F8" w:rsidRDefault="00F255F8" w:rsidP="00F255F8">
      <w:pPr>
        <w:jc w:val="both"/>
        <w:rPr>
          <w:rFonts w:ascii="Arial" w:eastAsia="Calibri" w:hAnsi="Arial" w:cs="Arial"/>
          <w:b/>
          <w:bCs/>
          <w:kern w:val="2"/>
        </w:rPr>
      </w:pPr>
      <w:bookmarkStart w:id="1" w:name="_Hlk197682619"/>
      <w:bookmarkStart w:id="2" w:name="_Hlk180402183"/>
      <w:bookmarkStart w:id="3" w:name="_Hlk183680988"/>
      <w:bookmarkStart w:id="4" w:name="_Hlk197351200"/>
      <w:r w:rsidRPr="00F255F8">
        <w:rPr>
          <w:rFonts w:ascii="Arial" w:eastAsia="Calibri" w:hAnsi="Arial" w:cs="Arial"/>
          <w:b/>
          <w:bCs/>
          <w:kern w:val="2"/>
        </w:rPr>
        <w:t>Declaration</w:t>
      </w:r>
    </w:p>
    <w:p w14:paraId="04A00744" w14:textId="58B4DA48" w:rsidR="00924A63" w:rsidRPr="00F255F8" w:rsidRDefault="00924A63" w:rsidP="00F255F8">
      <w:pPr>
        <w:jc w:val="both"/>
        <w:rPr>
          <w:rFonts w:ascii="Arial" w:eastAsia="Calibri" w:hAnsi="Arial" w:cs="Arial"/>
          <w:kern w:val="2"/>
        </w:rPr>
      </w:pPr>
      <w:r w:rsidRPr="00F255F8">
        <w:rPr>
          <w:rFonts w:ascii="Arial" w:eastAsia="Calibri" w:hAnsi="Arial" w:cs="Arial"/>
          <w:kern w:val="2"/>
        </w:rPr>
        <w:t xml:space="preserve">Author(s) hereby </w:t>
      </w:r>
      <w:r w:rsidR="00F255F8" w:rsidRPr="00F255F8">
        <w:rPr>
          <w:rFonts w:ascii="Arial" w:eastAsia="Calibri" w:hAnsi="Arial" w:cs="Arial"/>
          <w:kern w:val="2"/>
        </w:rPr>
        <w:t>declares</w:t>
      </w:r>
      <w:r w:rsidRPr="00F255F8">
        <w:rPr>
          <w:rFonts w:ascii="Arial" w:eastAsia="Calibri" w:hAnsi="Arial" w:cs="Arial"/>
          <w:kern w:val="2"/>
        </w:rPr>
        <w:t xml:space="preserve"> that generative AI technologies such as Large Language Models</w:t>
      </w:r>
      <w:r w:rsidR="00F255F8" w:rsidRPr="00F255F8">
        <w:rPr>
          <w:rFonts w:ascii="Arial" w:eastAsia="Calibri" w:hAnsi="Arial" w:cs="Arial"/>
          <w:kern w:val="2"/>
        </w:rPr>
        <w:t xml:space="preserve"> such as paraphrasing tools, ChatGPT</w:t>
      </w:r>
      <w:r w:rsidRPr="00F255F8">
        <w:rPr>
          <w:rFonts w:ascii="Arial" w:eastAsia="Calibri" w:hAnsi="Arial" w:cs="Arial"/>
          <w:kern w:val="2"/>
        </w:rPr>
        <w:t xml:space="preserve">. have been used during the writing or editing of manuscripts. </w:t>
      </w:r>
      <w:r w:rsidR="00F255F8" w:rsidRPr="00F255F8">
        <w:rPr>
          <w:rFonts w:ascii="Arial" w:eastAsia="Calibri" w:hAnsi="Arial" w:cs="Arial"/>
          <w:kern w:val="2"/>
        </w:rPr>
        <w:t>But data from all the original papers are compiled to write this manuscript.</w:t>
      </w:r>
    </w:p>
    <w:bookmarkEnd w:id="1"/>
    <w:bookmarkEnd w:id="2"/>
    <w:bookmarkEnd w:id="3"/>
    <w:bookmarkEnd w:id="4"/>
    <w:p w14:paraId="3186B73C" w14:textId="77777777" w:rsidR="00924A63" w:rsidRPr="003D5B2E" w:rsidRDefault="00924A63" w:rsidP="00F255F8">
      <w:pPr>
        <w:spacing w:after="200" w:line="276" w:lineRule="auto"/>
        <w:jc w:val="both"/>
        <w:rPr>
          <w:rFonts w:asciiTheme="minorHAnsi" w:eastAsiaTheme="minorEastAsia" w:hAnsiTheme="minorHAnsi" w:cstheme="minorBidi"/>
          <w:sz w:val="22"/>
          <w:szCs w:val="22"/>
          <w:lang w:val="en-GB" w:eastAsia="en-GB"/>
        </w:rPr>
      </w:pPr>
    </w:p>
    <w:p w14:paraId="4E89BCFF" w14:textId="77777777" w:rsidR="00B82F55" w:rsidRPr="00C43DA9" w:rsidRDefault="00B82F55" w:rsidP="00F255F8">
      <w:pPr>
        <w:jc w:val="both"/>
        <w:rPr>
          <w:rFonts w:ascii="Arial" w:hAnsi="Arial" w:cs="Arial"/>
          <w:b/>
          <w:bCs/>
          <w:sz w:val="22"/>
          <w:szCs w:val="22"/>
        </w:rPr>
      </w:pPr>
      <w:r w:rsidRPr="00C43DA9">
        <w:rPr>
          <w:rFonts w:ascii="Arial" w:hAnsi="Arial" w:cs="Arial"/>
          <w:b/>
          <w:bCs/>
          <w:sz w:val="22"/>
          <w:szCs w:val="22"/>
        </w:rPr>
        <w:t>References</w:t>
      </w:r>
    </w:p>
    <w:p w14:paraId="30C0D351" w14:textId="77777777" w:rsidR="005B2F9C" w:rsidRPr="00B473E1"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Ait-Kaddour, A., </w:t>
      </w:r>
      <w:proofErr w:type="spellStart"/>
      <w:r w:rsidRPr="00B473E1">
        <w:rPr>
          <w:rFonts w:ascii="Arial" w:hAnsi="Arial" w:cs="Arial"/>
        </w:rPr>
        <w:t>Bensmaili</w:t>
      </w:r>
      <w:proofErr w:type="spellEnd"/>
      <w:r w:rsidRPr="00B473E1">
        <w:rPr>
          <w:rFonts w:ascii="Arial" w:hAnsi="Arial" w:cs="Arial"/>
        </w:rPr>
        <w:t xml:space="preserve">, A., &amp; </w:t>
      </w:r>
      <w:proofErr w:type="spellStart"/>
      <w:r w:rsidRPr="00B473E1">
        <w:rPr>
          <w:rFonts w:ascii="Arial" w:hAnsi="Arial" w:cs="Arial"/>
        </w:rPr>
        <w:t>Moulai-Mostefa</w:t>
      </w:r>
      <w:proofErr w:type="spellEnd"/>
      <w:r w:rsidRPr="00B473E1">
        <w:rPr>
          <w:rFonts w:ascii="Arial" w:hAnsi="Arial" w:cs="Arial"/>
        </w:rPr>
        <w:t xml:space="preserve">, N. (2024). Transforming plant-based waste and by-products into valuable products: Potential of Industry 4.0. </w:t>
      </w:r>
      <w:r w:rsidRPr="00B473E1">
        <w:rPr>
          <w:rFonts w:ascii="Arial" w:hAnsi="Arial" w:cs="Arial"/>
          <w:i/>
          <w:iCs/>
        </w:rPr>
        <w:t>Science of the Total Environment, 869</w:t>
      </w:r>
      <w:r w:rsidRPr="00B473E1">
        <w:rPr>
          <w:rFonts w:ascii="Arial" w:hAnsi="Arial" w:cs="Arial"/>
        </w:rPr>
        <w:t xml:space="preserve">, 161520. </w:t>
      </w:r>
      <w:r w:rsidRPr="00A31C3E">
        <w:rPr>
          <w:rFonts w:ascii="Arial" w:hAnsi="Arial" w:cs="Arial"/>
        </w:rPr>
        <w:t>https://doi.org/10.1016/j.scitotenv.2024.176872</w:t>
      </w:r>
    </w:p>
    <w:p w14:paraId="7077A3AA" w14:textId="77777777" w:rsidR="005B2F9C" w:rsidRPr="00A31C3E"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Ammar, E. E., &amp; El-Sayed, S. M. (2023). A comprehensive overview of eco-friendly bio-fertilizers and their applications in sustainable agriculture. </w:t>
      </w:r>
      <w:r w:rsidRPr="00B473E1">
        <w:rPr>
          <w:rFonts w:ascii="Arial" w:hAnsi="Arial" w:cs="Arial"/>
          <w:i/>
          <w:iCs/>
        </w:rPr>
        <w:t>Environmental Science and Pollution Research, 30</w:t>
      </w:r>
      <w:r w:rsidRPr="00B473E1">
        <w:rPr>
          <w:rFonts w:ascii="Arial" w:hAnsi="Arial" w:cs="Arial"/>
        </w:rPr>
        <w:t xml:space="preserve">(12), 34567–34589. </w:t>
      </w:r>
      <w:hyperlink r:id="rId15" w:tgtFrame="_blank" w:history="1">
        <w:r w:rsidRPr="00A31C3E">
          <w:rPr>
            <w:rStyle w:val="Hyperlink"/>
            <w:rFonts w:ascii="Arial" w:hAnsi="Arial" w:cs="Arial"/>
          </w:rPr>
          <w:t>10.1007/s11356-023-30260-x</w:t>
        </w:r>
      </w:hyperlink>
    </w:p>
    <w:p w14:paraId="68936B49" w14:textId="77777777" w:rsidR="005B2F9C" w:rsidRDefault="005B2F9C" w:rsidP="005B2F9C">
      <w:pPr>
        <w:pStyle w:val="NormalWeb"/>
        <w:numPr>
          <w:ilvl w:val="0"/>
          <w:numId w:val="35"/>
        </w:numPr>
        <w:spacing w:before="0" w:beforeAutospacing="0" w:after="0" w:afterAutospacing="0"/>
        <w:ind w:left="0" w:firstLine="0"/>
        <w:jc w:val="both"/>
      </w:pPr>
      <w:proofErr w:type="spellStart"/>
      <w:r>
        <w:t>Barnossi</w:t>
      </w:r>
      <w:proofErr w:type="spellEnd"/>
      <w:r>
        <w:t xml:space="preserve">, A. E., Moussaid, F., &amp; Housseini, A. I. (2020). Tangerine, banana and pomegranate peels valorisation for sustainable environment: A review. </w:t>
      </w:r>
      <w:r>
        <w:rPr>
          <w:i/>
          <w:iCs/>
        </w:rPr>
        <w:t>Biotechnology Reports</w:t>
      </w:r>
      <w:r>
        <w:t xml:space="preserve">, </w:t>
      </w:r>
      <w:r>
        <w:rPr>
          <w:i/>
          <w:iCs/>
        </w:rPr>
        <w:t>29</w:t>
      </w:r>
      <w:r>
        <w:t xml:space="preserve">, e00574. </w:t>
      </w:r>
      <w:r>
        <w:rPr>
          <w:rStyle w:val="url"/>
        </w:rPr>
        <w:t>https://doi.org/10.1016/j.btre.2020.e00574</w:t>
      </w:r>
    </w:p>
    <w:p w14:paraId="7A87CF0B" w14:textId="77777777" w:rsidR="005B2F9C" w:rsidRPr="00B473E1"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Bashan, Y., &amp; de-Bashan, L. E. (2010). How the plant growth-promoting bacterium </w:t>
      </w:r>
      <w:proofErr w:type="spellStart"/>
      <w:r w:rsidRPr="00B473E1">
        <w:rPr>
          <w:rFonts w:ascii="Arial" w:hAnsi="Arial" w:cs="Arial"/>
          <w:i/>
          <w:iCs/>
        </w:rPr>
        <w:t>Azospirillum</w:t>
      </w:r>
      <w:proofErr w:type="spellEnd"/>
      <w:r w:rsidRPr="00B473E1">
        <w:rPr>
          <w:rFonts w:ascii="Arial" w:hAnsi="Arial" w:cs="Arial"/>
        </w:rPr>
        <w:t xml:space="preserve"> promotes plant growth—A critical assessment. </w:t>
      </w:r>
      <w:r w:rsidRPr="00B473E1">
        <w:rPr>
          <w:rFonts w:ascii="Arial" w:hAnsi="Arial" w:cs="Arial"/>
          <w:i/>
          <w:iCs/>
        </w:rPr>
        <w:t>Advances in Agronomy, 108</w:t>
      </w:r>
      <w:r w:rsidRPr="00B473E1">
        <w:rPr>
          <w:rFonts w:ascii="Arial" w:hAnsi="Arial" w:cs="Arial"/>
        </w:rPr>
        <w:t xml:space="preserve">, 77–136. </w:t>
      </w:r>
      <w:hyperlink r:id="rId16" w:tgtFrame="_blank" w:tooltip="Persistent link using digital object identifier" w:history="1">
        <w:r w:rsidRPr="00E82D7A">
          <w:rPr>
            <w:rStyle w:val="Hyperlink"/>
            <w:rFonts w:ascii="Arial" w:hAnsi="Arial" w:cs="Arial"/>
            <w:lang w:val="en-US"/>
          </w:rPr>
          <w:t>https://doi.org/10.1016/S0065-2113(10)08002-8</w:t>
        </w:r>
      </w:hyperlink>
    </w:p>
    <w:p w14:paraId="471EDF0B" w14:textId="77777777" w:rsidR="005B2F9C" w:rsidRPr="00B473E1"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Bhattacharyya, P. N., &amp; Jha, D. K. (2012). Plant growth-promoting rhizobacteria (PGPR): Emergence in agriculture. </w:t>
      </w:r>
      <w:r w:rsidRPr="00B473E1">
        <w:rPr>
          <w:rFonts w:ascii="Arial" w:hAnsi="Arial" w:cs="Arial"/>
          <w:i/>
          <w:iCs/>
        </w:rPr>
        <w:t>World Journal of Microbiology and Biotechnology, 28</w:t>
      </w:r>
      <w:r w:rsidRPr="00B473E1">
        <w:rPr>
          <w:rFonts w:ascii="Arial" w:hAnsi="Arial" w:cs="Arial"/>
        </w:rPr>
        <w:t xml:space="preserve">(4), 1327–1350. </w:t>
      </w:r>
      <w:r w:rsidRPr="00E82D7A">
        <w:rPr>
          <w:rFonts w:ascii="Arial" w:hAnsi="Arial" w:cs="Arial"/>
          <w:lang w:val="en-US"/>
        </w:rPr>
        <w:t>https://doi.org/10.1007/s11274-011-0979-9</w:t>
      </w:r>
    </w:p>
    <w:p w14:paraId="065F8131" w14:textId="77777777" w:rsidR="005B2F9C" w:rsidRPr="00E82D7A"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Choudhury, N. (2023). Comprehensive review on the nutritional and therapeutic potentials of banana peels. </w:t>
      </w:r>
      <w:r w:rsidRPr="00B473E1">
        <w:rPr>
          <w:rFonts w:ascii="Arial" w:hAnsi="Arial" w:cs="Arial"/>
          <w:i/>
          <w:iCs/>
        </w:rPr>
        <w:t>Food Research International, 165</w:t>
      </w:r>
      <w:r w:rsidRPr="00B473E1">
        <w:rPr>
          <w:rFonts w:ascii="Arial" w:hAnsi="Arial" w:cs="Arial"/>
        </w:rPr>
        <w:t xml:space="preserve">, 112441. </w:t>
      </w:r>
      <w:hyperlink r:id="rId17" w:tgtFrame="_blank" w:history="1">
        <w:r w:rsidRPr="00E82D7A">
          <w:rPr>
            <w:rStyle w:val="Hyperlink"/>
            <w:rFonts w:ascii="Arial" w:hAnsi="Arial" w:cs="Arial"/>
          </w:rPr>
          <w:t>10.1016/j.fbio.2023.103416</w:t>
        </w:r>
      </w:hyperlink>
    </w:p>
    <w:p w14:paraId="18EBE043" w14:textId="77777777" w:rsidR="005B2F9C" w:rsidRDefault="005B2F9C" w:rsidP="005B2F9C">
      <w:pPr>
        <w:pStyle w:val="NormalWeb"/>
        <w:numPr>
          <w:ilvl w:val="0"/>
          <w:numId w:val="35"/>
        </w:numPr>
        <w:spacing w:before="0" w:beforeAutospacing="0" w:after="0" w:afterAutospacing="0"/>
        <w:ind w:left="0" w:firstLine="0"/>
        <w:jc w:val="both"/>
      </w:pPr>
      <w:r>
        <w:t xml:space="preserve">Díaz-Rodríguez, A. M., Cota, F. I. P., Chávez, L. a. C., Ortega, L. F. G., Alvarado, M. I. E., Santoyo, G., &amp; De Los Santos-Villalobos, S. (2025). Microbial inoculants in sustainable agriculture: advancements, challenges, and future directions. </w:t>
      </w:r>
      <w:r>
        <w:rPr>
          <w:i/>
          <w:iCs/>
        </w:rPr>
        <w:t>Plants</w:t>
      </w:r>
      <w:r>
        <w:t xml:space="preserve">, </w:t>
      </w:r>
      <w:r>
        <w:rPr>
          <w:i/>
          <w:iCs/>
        </w:rPr>
        <w:t>14</w:t>
      </w:r>
      <w:r>
        <w:t xml:space="preserve">(2), 191. </w:t>
      </w:r>
      <w:r>
        <w:rPr>
          <w:rStyle w:val="url"/>
        </w:rPr>
        <w:t>https://doi.org/10.3390/plants14020191</w:t>
      </w:r>
    </w:p>
    <w:p w14:paraId="0328EDFB" w14:textId="4A9D63FF" w:rsidR="005B2F9C" w:rsidRDefault="005B2F9C" w:rsidP="005B2F9C">
      <w:pPr>
        <w:pStyle w:val="NormalWeb"/>
        <w:numPr>
          <w:ilvl w:val="0"/>
          <w:numId w:val="35"/>
        </w:numPr>
        <w:spacing w:before="0" w:beforeAutospacing="0" w:after="0" w:afterAutospacing="0"/>
        <w:ind w:left="0" w:firstLine="0"/>
        <w:jc w:val="both"/>
      </w:pPr>
      <w:r>
        <w:t xml:space="preserve">Emmanuel, J. K., </w:t>
      </w:r>
      <w:proofErr w:type="spellStart"/>
      <w:r>
        <w:t>Mtashobya</w:t>
      </w:r>
      <w:proofErr w:type="spellEnd"/>
      <w:r>
        <w:t xml:space="preserve">, L. A., &amp; Mgeni, S. T. (2025). Potential contributions of banana fruits and residues to multiple applications: An Overview. </w:t>
      </w:r>
      <w:r>
        <w:rPr>
          <w:i/>
          <w:iCs/>
        </w:rPr>
        <w:t>Natural Product Communications</w:t>
      </w:r>
      <w:r>
        <w:t xml:space="preserve">, </w:t>
      </w:r>
      <w:r>
        <w:rPr>
          <w:i/>
          <w:iCs/>
        </w:rPr>
        <w:t>20</w:t>
      </w:r>
      <w:r>
        <w:t xml:space="preserve">(2). </w:t>
      </w:r>
      <w:hyperlink r:id="rId18" w:history="1">
        <w:r w:rsidRPr="00D74FC6">
          <w:rPr>
            <w:rStyle w:val="Hyperlink"/>
          </w:rPr>
          <w:t>https://doi.org/10.1177/1934578x251320151</w:t>
        </w:r>
      </w:hyperlink>
    </w:p>
    <w:p w14:paraId="72877D2D" w14:textId="1A352068" w:rsidR="005B2F9C" w:rsidRDefault="005B2F9C" w:rsidP="005B2F9C">
      <w:pPr>
        <w:pStyle w:val="NormalWeb"/>
        <w:numPr>
          <w:ilvl w:val="0"/>
          <w:numId w:val="35"/>
        </w:numPr>
        <w:spacing w:before="0" w:beforeAutospacing="0" w:after="0" w:afterAutospacing="0"/>
        <w:ind w:left="0" w:firstLine="0"/>
        <w:jc w:val="both"/>
      </w:pPr>
      <w:r>
        <w:t xml:space="preserve">Goodfellow, M., &amp; Williams, S. T. (1983). ECOLOGY OF ACTINOMYCETES. </w:t>
      </w:r>
      <w:r w:rsidRPr="005B2F9C">
        <w:rPr>
          <w:i/>
          <w:iCs/>
        </w:rPr>
        <w:t>Annual Review of Microbiology</w:t>
      </w:r>
      <w:r>
        <w:t xml:space="preserve">, </w:t>
      </w:r>
      <w:r w:rsidRPr="005B2F9C">
        <w:rPr>
          <w:i/>
          <w:iCs/>
        </w:rPr>
        <w:t>37</w:t>
      </w:r>
      <w:r>
        <w:t xml:space="preserve">(1), 189–216. </w:t>
      </w:r>
      <w:r>
        <w:rPr>
          <w:rStyle w:val="url"/>
        </w:rPr>
        <w:t>https://doi.org/10.1146/annurev.mi.37.100183.001201</w:t>
      </w:r>
    </w:p>
    <w:p w14:paraId="16CD16BB" w14:textId="77777777" w:rsidR="005B2F9C" w:rsidRDefault="005B2F9C" w:rsidP="005B2F9C">
      <w:pPr>
        <w:pStyle w:val="NormalWeb"/>
        <w:numPr>
          <w:ilvl w:val="0"/>
          <w:numId w:val="35"/>
        </w:numPr>
        <w:spacing w:before="0" w:beforeAutospacing="0" w:after="0" w:afterAutospacing="0"/>
        <w:ind w:left="0" w:firstLine="0"/>
        <w:jc w:val="both"/>
      </w:pPr>
      <w:r>
        <w:t xml:space="preserve">Harman, G. E., Howell, C. R., Viterbo, A., Chet, I., &amp; Lorito, M. (2004). Trichoderma species — opportunistic, avirulent plant symbionts. </w:t>
      </w:r>
      <w:r>
        <w:rPr>
          <w:i/>
          <w:iCs/>
        </w:rPr>
        <w:t>Nature Reviews Microbiology</w:t>
      </w:r>
      <w:r>
        <w:t xml:space="preserve">, </w:t>
      </w:r>
      <w:r>
        <w:rPr>
          <w:i/>
          <w:iCs/>
        </w:rPr>
        <w:t>2</w:t>
      </w:r>
      <w:r>
        <w:t xml:space="preserve">(1), 43–56. </w:t>
      </w:r>
      <w:r>
        <w:rPr>
          <w:rStyle w:val="url"/>
        </w:rPr>
        <w:t>https://doi.org/10.1038/nrmicro797</w:t>
      </w:r>
    </w:p>
    <w:p w14:paraId="54EDBD54" w14:textId="77777777" w:rsidR="005B2F9C" w:rsidRDefault="005B2F9C" w:rsidP="005B2F9C">
      <w:pPr>
        <w:pStyle w:val="NormalWeb"/>
        <w:numPr>
          <w:ilvl w:val="0"/>
          <w:numId w:val="35"/>
        </w:numPr>
        <w:spacing w:before="0" w:beforeAutospacing="0" w:after="0" w:afterAutospacing="0"/>
        <w:ind w:left="0" w:firstLine="0"/>
        <w:jc w:val="both"/>
      </w:pPr>
      <w:r>
        <w:t xml:space="preserve">Hsin, K., Lee, H., Huang, Y., Lin, G., Lin, P., Lin, Y. J., &amp; Chen, P. (2025). Lignocellulose degradation in bacteria and fungi: </w:t>
      </w:r>
      <w:proofErr w:type="spellStart"/>
      <w:r>
        <w:t>cellulosomes</w:t>
      </w:r>
      <w:proofErr w:type="spellEnd"/>
      <w:r>
        <w:t xml:space="preserve"> and industrial relevance. </w:t>
      </w:r>
      <w:r>
        <w:rPr>
          <w:i/>
          <w:iCs/>
        </w:rPr>
        <w:t>Frontiers in Microbiology</w:t>
      </w:r>
      <w:r>
        <w:t xml:space="preserve">, </w:t>
      </w:r>
      <w:r>
        <w:rPr>
          <w:i/>
          <w:iCs/>
        </w:rPr>
        <w:t>16</w:t>
      </w:r>
      <w:r>
        <w:t xml:space="preserve">, 1583746. </w:t>
      </w:r>
      <w:r>
        <w:rPr>
          <w:rStyle w:val="url"/>
        </w:rPr>
        <w:t>https://doi.org/10.3389/fmicb.2025.1583746</w:t>
      </w:r>
    </w:p>
    <w:p w14:paraId="523398AB" w14:textId="77777777" w:rsidR="005B2F9C" w:rsidRDefault="005B2F9C" w:rsidP="005B2F9C">
      <w:pPr>
        <w:pStyle w:val="NormalWeb"/>
        <w:numPr>
          <w:ilvl w:val="0"/>
          <w:numId w:val="35"/>
        </w:numPr>
        <w:spacing w:before="0" w:beforeAutospacing="0" w:after="0" w:afterAutospacing="0"/>
        <w:ind w:left="0" w:firstLine="0"/>
        <w:jc w:val="both"/>
      </w:pPr>
      <w:r>
        <w:lastRenderedPageBreak/>
        <w:t xml:space="preserve">Islam, M., Halder, M., Siddique, M. a. B., </w:t>
      </w:r>
      <w:proofErr w:type="spellStart"/>
      <w:r>
        <w:t>Razir</w:t>
      </w:r>
      <w:proofErr w:type="spellEnd"/>
      <w:r>
        <w:t xml:space="preserve">, S. a. A., Sikder, S., &amp; Joardar, J. C. (2019). Banana peel biochar as alternative source of potassium for plant productivity and sustainable agriculture. </w:t>
      </w:r>
      <w:r>
        <w:rPr>
          <w:i/>
          <w:iCs/>
        </w:rPr>
        <w:t>International Journal of Recycling of Organic Waste in Agriculture</w:t>
      </w:r>
      <w:r>
        <w:t xml:space="preserve">, </w:t>
      </w:r>
      <w:r>
        <w:rPr>
          <w:i/>
          <w:iCs/>
        </w:rPr>
        <w:t>8</w:t>
      </w:r>
      <w:r>
        <w:t xml:space="preserve">(S1), 407–413. </w:t>
      </w:r>
      <w:r>
        <w:rPr>
          <w:rStyle w:val="url"/>
        </w:rPr>
        <w:t>https://doi.org/10.1007/s40093-019-00313-8</w:t>
      </w:r>
    </w:p>
    <w:p w14:paraId="2074C0A6" w14:textId="77777777" w:rsidR="005B2F9C" w:rsidRDefault="005B2F9C" w:rsidP="005B2F9C">
      <w:pPr>
        <w:pStyle w:val="NormalWeb"/>
        <w:numPr>
          <w:ilvl w:val="0"/>
          <w:numId w:val="35"/>
        </w:numPr>
        <w:spacing w:before="0" w:beforeAutospacing="0" w:after="0" w:afterAutospacing="0"/>
        <w:ind w:left="0" w:firstLine="0"/>
        <w:jc w:val="both"/>
      </w:pPr>
      <w:r>
        <w:t xml:space="preserve">Kannan, R., &amp; </w:t>
      </w:r>
      <w:proofErr w:type="spellStart"/>
      <w:r>
        <w:t>Kallapiran</w:t>
      </w:r>
      <w:proofErr w:type="spellEnd"/>
      <w:r>
        <w:t xml:space="preserve">, K. A. (2022). A review on the agricultural waste residues management by different microbes. </w:t>
      </w:r>
      <w:r>
        <w:rPr>
          <w:i/>
          <w:iCs/>
        </w:rPr>
        <w:t>Journal of Agriculture and Ecology Research International</w:t>
      </w:r>
      <w:r>
        <w:t xml:space="preserve">, 93–113. </w:t>
      </w:r>
      <w:r>
        <w:rPr>
          <w:rStyle w:val="url"/>
        </w:rPr>
        <w:t>https://doi.org/10.9734/jaeri/2022/v23i6502</w:t>
      </w:r>
    </w:p>
    <w:p w14:paraId="7B49F797" w14:textId="77777777" w:rsidR="005B2F9C" w:rsidRPr="00B473E1" w:rsidRDefault="005B2F9C" w:rsidP="005B2F9C">
      <w:pPr>
        <w:pStyle w:val="ListParagraph"/>
        <w:numPr>
          <w:ilvl w:val="0"/>
          <w:numId w:val="35"/>
        </w:numPr>
        <w:spacing w:after="0" w:line="240" w:lineRule="auto"/>
        <w:ind w:left="0" w:firstLine="0"/>
        <w:jc w:val="both"/>
        <w:rPr>
          <w:rFonts w:ascii="Arial" w:hAnsi="Arial" w:cs="Arial"/>
        </w:rPr>
      </w:pPr>
      <w:r w:rsidRPr="00B473E1">
        <w:rPr>
          <w:rFonts w:ascii="Arial" w:hAnsi="Arial" w:cs="Arial"/>
        </w:rPr>
        <w:t xml:space="preserve">Khanna, S., Singh, R., &amp; Sharma, P. (2019). </w:t>
      </w:r>
      <w:r w:rsidRPr="00B473E1">
        <w:rPr>
          <w:rFonts w:ascii="Arial" w:hAnsi="Arial" w:cs="Arial"/>
          <w:i/>
          <w:iCs/>
        </w:rPr>
        <w:t>Microbial inoculants in sustainable agriculture.</w:t>
      </w:r>
      <w:r w:rsidRPr="00B473E1">
        <w:rPr>
          <w:rFonts w:ascii="Arial" w:hAnsi="Arial" w:cs="Arial"/>
        </w:rPr>
        <w:t xml:space="preserve"> Springer Nature. </w:t>
      </w:r>
      <w:hyperlink r:id="rId19" w:tgtFrame="_new" w:history="1">
        <w:r w:rsidRPr="00B473E1">
          <w:rPr>
            <w:rStyle w:val="Hyperlink"/>
            <w:rFonts w:ascii="Arial" w:hAnsi="Arial" w:cs="Arial"/>
          </w:rPr>
          <w:t>https://doi.org/10.1007/978-3-030-23223-5</w:t>
        </w:r>
      </w:hyperlink>
    </w:p>
    <w:p w14:paraId="701876DB" w14:textId="589CF6F4" w:rsidR="005B2F9C" w:rsidRDefault="005B2F9C" w:rsidP="005B2F9C">
      <w:pPr>
        <w:pStyle w:val="NormalWeb"/>
        <w:numPr>
          <w:ilvl w:val="0"/>
          <w:numId w:val="35"/>
        </w:numPr>
        <w:spacing w:before="0" w:beforeAutospacing="0" w:after="0" w:afterAutospacing="0"/>
        <w:ind w:left="0" w:firstLine="0"/>
        <w:jc w:val="both"/>
      </w:pPr>
      <w:r w:rsidRPr="00156D5D">
        <w:rPr>
          <w:lang w:val="pl-PL"/>
        </w:rPr>
        <w:t xml:space="preserve">Khanyile, N., Dlamini, N., Masenya, A., Madlala, N. C., &amp; Shezi, S. (2024). </w:t>
      </w:r>
      <w:r>
        <w:t xml:space="preserve">Preparation of Biofertilizers from Banana Peels: Their Impact on Soil and Crop Enhancement. </w:t>
      </w:r>
      <w:r>
        <w:rPr>
          <w:i/>
          <w:iCs/>
        </w:rPr>
        <w:t>Agriculture</w:t>
      </w:r>
      <w:r>
        <w:t xml:space="preserve">, </w:t>
      </w:r>
      <w:r>
        <w:rPr>
          <w:i/>
          <w:iCs/>
        </w:rPr>
        <w:t>14</w:t>
      </w:r>
      <w:r>
        <w:t xml:space="preserve">(11), 1894. </w:t>
      </w:r>
      <w:r>
        <w:rPr>
          <w:rStyle w:val="url"/>
        </w:rPr>
        <w:t>https://doi.org/10.3390/agriculture14111894</w:t>
      </w:r>
    </w:p>
    <w:p w14:paraId="608167B1" w14:textId="77777777" w:rsidR="005B2F9C" w:rsidRDefault="005B2F9C" w:rsidP="005B2F9C">
      <w:pPr>
        <w:pStyle w:val="NormalWeb"/>
        <w:numPr>
          <w:ilvl w:val="0"/>
          <w:numId w:val="35"/>
        </w:numPr>
        <w:spacing w:before="0" w:beforeAutospacing="0" w:after="0" w:afterAutospacing="0"/>
        <w:ind w:left="0" w:firstLine="0"/>
        <w:jc w:val="both"/>
      </w:pPr>
      <w:r>
        <w:t xml:space="preserve">Kumar, A., Rishabh, N., Singh, N., Gautam, Y. K., Priya, N., &amp; Malik, N. (2025). </w:t>
      </w:r>
      <w:proofErr w:type="spellStart"/>
      <w:r>
        <w:t>Valorizing</w:t>
      </w:r>
      <w:proofErr w:type="spellEnd"/>
      <w:r>
        <w:t xml:space="preserve"> Banana Peel Waste into Mesoporous Biogenic </w:t>
      </w:r>
      <w:proofErr w:type="spellStart"/>
      <w:r>
        <w:t>Nanosilica</w:t>
      </w:r>
      <w:proofErr w:type="spellEnd"/>
      <w:r>
        <w:t xml:space="preserve"> and Novel Nano-biofertilizer Formulation Thereof via Nano-biopriming Inspired Tripartite Interaction Studies. </w:t>
      </w:r>
      <w:r>
        <w:rPr>
          <w:i/>
          <w:iCs/>
        </w:rPr>
        <w:t>ACS Omega</w:t>
      </w:r>
      <w:r>
        <w:t xml:space="preserve">, </w:t>
      </w:r>
      <w:r>
        <w:rPr>
          <w:i/>
          <w:iCs/>
        </w:rPr>
        <w:t>10</w:t>
      </w:r>
      <w:r>
        <w:t xml:space="preserve">(6), 5537–5553. </w:t>
      </w:r>
      <w:r>
        <w:rPr>
          <w:rStyle w:val="url"/>
        </w:rPr>
        <w:t>https://doi.org/10.1021/acsomega.4c08152</w:t>
      </w:r>
    </w:p>
    <w:p w14:paraId="1DFCE146" w14:textId="3B21CCF8" w:rsidR="005B2F9C" w:rsidRDefault="005B2F9C" w:rsidP="005B2F9C">
      <w:pPr>
        <w:pStyle w:val="NormalWeb"/>
        <w:numPr>
          <w:ilvl w:val="0"/>
          <w:numId w:val="35"/>
        </w:numPr>
        <w:spacing w:before="0" w:beforeAutospacing="0" w:after="0" w:afterAutospacing="0"/>
        <w:ind w:left="0" w:firstLine="0"/>
        <w:jc w:val="both"/>
      </w:pPr>
      <w:r>
        <w:t>Raaijmakers, J. M., &amp; Mazzola, M. (201</w:t>
      </w:r>
      <w:r w:rsidR="00BB2A1B">
        <w:t>0</w:t>
      </w:r>
      <w:r>
        <w:t xml:space="preserve">). Diversity and natural functions of antibiotics produced by beneficial and plant pathogenic bacteria. </w:t>
      </w:r>
      <w:r>
        <w:rPr>
          <w:i/>
          <w:iCs/>
        </w:rPr>
        <w:t>Annual Review of Phytopathology</w:t>
      </w:r>
      <w:r>
        <w:t xml:space="preserve">, </w:t>
      </w:r>
      <w:r>
        <w:rPr>
          <w:i/>
          <w:iCs/>
        </w:rPr>
        <w:t>50</w:t>
      </w:r>
      <w:r>
        <w:t xml:space="preserve">(1), 403–424. </w:t>
      </w:r>
      <w:r>
        <w:rPr>
          <w:rStyle w:val="url"/>
        </w:rPr>
        <w:t>https://doi.org/10.1146/annurev-phyto-081211-172908</w:t>
      </w:r>
    </w:p>
    <w:p w14:paraId="70717A6A" w14:textId="77777777" w:rsidR="00C576BD" w:rsidRDefault="00C576BD" w:rsidP="005B2F9C">
      <w:pPr>
        <w:pStyle w:val="NormalWeb"/>
        <w:numPr>
          <w:ilvl w:val="0"/>
          <w:numId w:val="35"/>
        </w:numPr>
        <w:spacing w:before="0" w:beforeAutospacing="0" w:after="0" w:afterAutospacing="0"/>
        <w:ind w:left="0" w:firstLine="0"/>
        <w:jc w:val="both"/>
      </w:pPr>
      <w:proofErr w:type="spellStart"/>
      <w:r>
        <w:rPr>
          <w:rFonts w:ascii="Arial" w:hAnsi="Arial" w:cs="Arial"/>
          <w:color w:val="222222"/>
          <w:sz w:val="20"/>
          <w:szCs w:val="20"/>
          <w:shd w:val="clear" w:color="auto" w:fill="FFFFFF"/>
        </w:rPr>
        <w:t>Rinni</w:t>
      </w:r>
      <w:proofErr w:type="spellEnd"/>
      <w:r>
        <w:rPr>
          <w:rFonts w:ascii="Arial" w:hAnsi="Arial" w:cs="Arial"/>
          <w:color w:val="222222"/>
          <w:sz w:val="20"/>
          <w:szCs w:val="20"/>
          <w:shd w:val="clear" w:color="auto" w:fill="FFFFFF"/>
        </w:rPr>
        <w:t>, R. P., &amp; Putri, S. D. (2023). Potential Use of Compost from Banana Peel Waste to Increase Edamame (</w:t>
      </w:r>
      <w:proofErr w:type="spellStart"/>
      <w:r>
        <w:rPr>
          <w:rFonts w:ascii="Arial" w:hAnsi="Arial" w:cs="Arial"/>
          <w:color w:val="222222"/>
          <w:sz w:val="20"/>
          <w:szCs w:val="20"/>
          <w:shd w:val="clear" w:color="auto" w:fill="FFFFFF"/>
        </w:rPr>
        <w:t>Glicyne</w:t>
      </w:r>
      <w:proofErr w:type="spellEnd"/>
      <w:r>
        <w:rPr>
          <w:rFonts w:ascii="Arial" w:hAnsi="Arial" w:cs="Arial"/>
          <w:color w:val="222222"/>
          <w:sz w:val="20"/>
          <w:szCs w:val="20"/>
          <w:shd w:val="clear" w:color="auto" w:fill="FFFFFF"/>
        </w:rPr>
        <w:t xml:space="preserve"> max (L.) </w:t>
      </w:r>
      <w:proofErr w:type="spellStart"/>
      <w:r>
        <w:rPr>
          <w:rFonts w:ascii="Arial" w:hAnsi="Arial" w:cs="Arial"/>
          <w:color w:val="222222"/>
          <w:sz w:val="20"/>
          <w:szCs w:val="20"/>
          <w:shd w:val="clear" w:color="auto" w:fill="FFFFFF"/>
        </w:rPr>
        <w:t>Merril</w:t>
      </w:r>
      <w:proofErr w:type="spellEnd"/>
      <w:r>
        <w:rPr>
          <w:rFonts w:ascii="Arial" w:hAnsi="Arial" w:cs="Arial"/>
          <w:color w:val="222222"/>
          <w:sz w:val="20"/>
          <w:szCs w:val="20"/>
          <w:shd w:val="clear" w:color="auto" w:fill="FFFFFF"/>
        </w:rPr>
        <w:t>) Plant Productivity.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Liefdeagro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w:t>
      </w:r>
      <w:r>
        <w:t xml:space="preserve"> </w:t>
      </w:r>
    </w:p>
    <w:p w14:paraId="008DED26" w14:textId="65A47034" w:rsidR="005B2F9C" w:rsidRDefault="005B2F9C" w:rsidP="005B2F9C">
      <w:pPr>
        <w:pStyle w:val="NormalWeb"/>
        <w:numPr>
          <w:ilvl w:val="0"/>
          <w:numId w:val="35"/>
        </w:numPr>
        <w:spacing w:before="0" w:beforeAutospacing="0" w:after="0" w:afterAutospacing="0"/>
        <w:ind w:left="0" w:firstLine="0"/>
        <w:jc w:val="both"/>
      </w:pPr>
      <w:bookmarkStart w:id="5" w:name="_GoBack"/>
      <w:bookmarkEnd w:id="5"/>
      <w:proofErr w:type="spellStart"/>
      <w:r>
        <w:t>Sogani</w:t>
      </w:r>
      <w:proofErr w:type="spellEnd"/>
      <w:r>
        <w:t xml:space="preserve">, M., Sonu, K., Syed, Z., &amp; Rajvanshi, J. (2023). Preparation of biofertilizer blend from banana peels along with its application in agriculture and plant microbial fuel cell. </w:t>
      </w:r>
      <w:r>
        <w:rPr>
          <w:i/>
          <w:iCs/>
        </w:rPr>
        <w:t>IOP Conference Series Earth and Environmental Science</w:t>
      </w:r>
      <w:r>
        <w:t xml:space="preserve">, </w:t>
      </w:r>
      <w:r>
        <w:rPr>
          <w:i/>
          <w:iCs/>
        </w:rPr>
        <w:t>1151</w:t>
      </w:r>
      <w:r>
        <w:t xml:space="preserve">(1), 012034. </w:t>
      </w:r>
      <w:r>
        <w:rPr>
          <w:rStyle w:val="url"/>
        </w:rPr>
        <w:t>https://doi.org/10.1088/1755-1315/1151/1/012034</w:t>
      </w:r>
    </w:p>
    <w:p w14:paraId="333583F9" w14:textId="77777777" w:rsidR="005B2F9C" w:rsidRDefault="005B2F9C" w:rsidP="005B2F9C">
      <w:pPr>
        <w:pStyle w:val="NormalWeb"/>
        <w:numPr>
          <w:ilvl w:val="0"/>
          <w:numId w:val="35"/>
        </w:numPr>
        <w:spacing w:before="0" w:beforeAutospacing="0" w:after="0" w:afterAutospacing="0"/>
        <w:ind w:left="0" w:firstLine="0"/>
        <w:jc w:val="both"/>
      </w:pPr>
      <w:r>
        <w:t xml:space="preserve">Vessey, J. K. (2003). Plant growth promoting rhizobacteria as biofertilizers. </w:t>
      </w:r>
      <w:r>
        <w:rPr>
          <w:i/>
          <w:iCs/>
        </w:rPr>
        <w:t>Plant and Soil</w:t>
      </w:r>
      <w:r>
        <w:t xml:space="preserve">, </w:t>
      </w:r>
      <w:r>
        <w:rPr>
          <w:i/>
          <w:iCs/>
        </w:rPr>
        <w:t>255</w:t>
      </w:r>
      <w:r>
        <w:t xml:space="preserve">(2), 571–586. </w:t>
      </w:r>
      <w:r>
        <w:rPr>
          <w:rStyle w:val="url"/>
        </w:rPr>
        <w:t>https://doi.org/10.1023/a:1026037216893</w:t>
      </w:r>
    </w:p>
    <w:p w14:paraId="604009B0" w14:textId="77777777" w:rsidR="005B2F9C" w:rsidRDefault="005B2F9C" w:rsidP="005B2F9C">
      <w:pPr>
        <w:pStyle w:val="NormalWeb"/>
        <w:numPr>
          <w:ilvl w:val="0"/>
          <w:numId w:val="35"/>
        </w:numPr>
        <w:spacing w:before="0" w:beforeAutospacing="0" w:after="0" w:afterAutospacing="0"/>
        <w:ind w:left="0" w:firstLine="0"/>
        <w:jc w:val="both"/>
      </w:pPr>
      <w:r>
        <w:t xml:space="preserve">Weller, D. M. (2007). Pseudomonas biocontrol agents of soilborne pathogens: Looking back over 30 years. </w:t>
      </w:r>
      <w:r>
        <w:rPr>
          <w:i/>
          <w:iCs/>
        </w:rPr>
        <w:t>Phytopathology</w:t>
      </w:r>
      <w:r>
        <w:t xml:space="preserve">, </w:t>
      </w:r>
      <w:r>
        <w:rPr>
          <w:i/>
          <w:iCs/>
        </w:rPr>
        <w:t>97</w:t>
      </w:r>
      <w:r>
        <w:t xml:space="preserve">(2), 250–256. </w:t>
      </w:r>
      <w:r>
        <w:rPr>
          <w:rStyle w:val="url"/>
        </w:rPr>
        <w:t>https://doi.org/10.1094/phyto-97-2-0250</w:t>
      </w:r>
    </w:p>
    <w:p w14:paraId="13C08F57" w14:textId="77777777" w:rsidR="005B2F9C" w:rsidRPr="00B473E1" w:rsidRDefault="005B2F9C" w:rsidP="005B2F9C">
      <w:pPr>
        <w:pStyle w:val="ListParagraph"/>
        <w:numPr>
          <w:ilvl w:val="0"/>
          <w:numId w:val="35"/>
        </w:numPr>
        <w:spacing w:after="0" w:line="240" w:lineRule="auto"/>
        <w:ind w:left="0" w:firstLine="0"/>
        <w:jc w:val="both"/>
        <w:rPr>
          <w:rFonts w:ascii="Arial" w:hAnsi="Arial" w:cs="Arial"/>
          <w:lang w:val="pl-PL"/>
        </w:rPr>
      </w:pPr>
      <w:r w:rsidRPr="00A31C3E">
        <w:rPr>
          <w:rFonts w:ascii="Arial" w:hAnsi="Arial" w:cs="Arial"/>
          <w:lang w:val="pl-PL"/>
        </w:rPr>
        <w:t xml:space="preserve">Zaini, M. A., &amp; Rini, R. P. (2022). </w:t>
      </w:r>
      <w:proofErr w:type="spellStart"/>
      <w:r w:rsidRPr="00B473E1">
        <w:rPr>
          <w:rFonts w:ascii="Arial" w:hAnsi="Arial" w:cs="Arial"/>
        </w:rPr>
        <w:t>Valorization</w:t>
      </w:r>
      <w:proofErr w:type="spellEnd"/>
      <w:r w:rsidRPr="00B473E1">
        <w:rPr>
          <w:rFonts w:ascii="Arial" w:hAnsi="Arial" w:cs="Arial"/>
        </w:rPr>
        <w:t xml:space="preserve"> of banana peel waste into mesoporous biogenic silica for biofertilizer applications. </w:t>
      </w:r>
      <w:r w:rsidRPr="00B473E1">
        <w:rPr>
          <w:rFonts w:ascii="Arial" w:hAnsi="Arial" w:cs="Arial"/>
          <w:i/>
          <w:iCs/>
          <w:lang w:val="pl-PL"/>
        </w:rPr>
        <w:t>ACS Omega, 7</w:t>
      </w:r>
      <w:r w:rsidRPr="00B473E1">
        <w:rPr>
          <w:rFonts w:ascii="Arial" w:hAnsi="Arial" w:cs="Arial"/>
          <w:lang w:val="pl-PL"/>
        </w:rPr>
        <w:t xml:space="preserve">(47), 42689–42697. </w:t>
      </w:r>
      <w:hyperlink r:id="rId20" w:tgtFrame="_new" w:history="1">
        <w:r w:rsidRPr="00B473E1">
          <w:rPr>
            <w:rStyle w:val="Hyperlink"/>
            <w:rFonts w:ascii="Arial" w:hAnsi="Arial" w:cs="Arial"/>
            <w:lang w:val="pl-PL"/>
          </w:rPr>
          <w:t>https://doi.org/10.1021/acsomega.2c07476</w:t>
        </w:r>
      </w:hyperlink>
    </w:p>
    <w:sectPr w:rsidR="005B2F9C" w:rsidRPr="00B473E1" w:rsidSect="00997A37">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483F0" w16cex:dateUtc="2025-11-19T1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335F" w14:textId="77777777" w:rsidR="005D30DE" w:rsidRDefault="005D30DE" w:rsidP="00C37E61">
      <w:r>
        <w:separator/>
      </w:r>
    </w:p>
  </w:endnote>
  <w:endnote w:type="continuationSeparator" w:id="0">
    <w:p w14:paraId="7958756D" w14:textId="77777777" w:rsidR="005D30DE" w:rsidRDefault="005D30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7FFC" w14:textId="77777777" w:rsidR="00997A37" w:rsidRDefault="0099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B98B" w14:textId="77777777" w:rsidR="00997A37" w:rsidRDefault="00997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2C98" w14:textId="5F0513C3" w:rsidR="00754C9A" w:rsidRPr="00812994" w:rsidRDefault="00754C9A" w:rsidP="00812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49EE" w14:textId="77777777" w:rsidR="005D30DE" w:rsidRDefault="005D30DE" w:rsidP="00C37E61">
      <w:r>
        <w:separator/>
      </w:r>
    </w:p>
  </w:footnote>
  <w:footnote w:type="continuationSeparator" w:id="0">
    <w:p w14:paraId="77A5D4AC" w14:textId="77777777" w:rsidR="005D30DE" w:rsidRDefault="005D30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6F97" w14:textId="56E01A4E" w:rsidR="00997A37" w:rsidRDefault="00C576BD">
    <w:pPr>
      <w:pStyle w:val="Header"/>
    </w:pPr>
    <w:r>
      <w:rPr>
        <w:noProof/>
      </w:rPr>
      <w:pict w14:anchorId="28942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9A2A" w14:textId="1DF43247" w:rsidR="00997A37" w:rsidRDefault="00C576BD">
    <w:pPr>
      <w:pStyle w:val="Header"/>
    </w:pPr>
    <w:r>
      <w:rPr>
        <w:noProof/>
      </w:rPr>
      <w:pict w14:anchorId="2CB7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8D57" w14:textId="7EA1C9A1" w:rsidR="00296529" w:rsidRPr="00296529" w:rsidRDefault="00C576BD" w:rsidP="00296529">
    <w:pPr>
      <w:ind w:left="2160"/>
      <w:jc w:val="center"/>
      <w:rPr>
        <w:rFonts w:ascii="Times New Roman" w:eastAsia="Calibri" w:hAnsi="Times New Roman"/>
        <w:i/>
        <w:sz w:val="18"/>
        <w:szCs w:val="22"/>
      </w:rPr>
    </w:pPr>
    <w:r>
      <w:rPr>
        <w:noProof/>
      </w:rPr>
      <w:pict w14:anchorId="03C6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1C04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D5DD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909D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0707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7FA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EF11F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F0619"/>
    <w:multiLevelType w:val="hybridMultilevel"/>
    <w:tmpl w:val="444EEA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C5095A"/>
    <w:multiLevelType w:val="multilevel"/>
    <w:tmpl w:val="F60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90111"/>
    <w:multiLevelType w:val="multilevel"/>
    <w:tmpl w:val="351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2E4032"/>
    <w:multiLevelType w:val="hybridMultilevel"/>
    <w:tmpl w:val="F96EB41A"/>
    <w:lvl w:ilvl="0" w:tplc="4009000F">
      <w:start w:val="1"/>
      <w:numFmt w:val="decimal"/>
      <w:lvlText w:val="%1."/>
      <w:lvlJc w:val="left"/>
      <w:pPr>
        <w:ind w:left="928"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F73EF"/>
    <w:multiLevelType w:val="multilevel"/>
    <w:tmpl w:val="AD562B1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9013C3"/>
    <w:multiLevelType w:val="multilevel"/>
    <w:tmpl w:val="CD48EE5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6F4409B"/>
    <w:multiLevelType w:val="multilevel"/>
    <w:tmpl w:val="634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8A21CD"/>
    <w:multiLevelType w:val="multilevel"/>
    <w:tmpl w:val="CBA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5"/>
  </w:num>
  <w:num w:numId="9">
    <w:abstractNumId w:val="32"/>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6"/>
  </w:num>
  <w:num w:numId="20">
    <w:abstractNumId w:val="14"/>
  </w:num>
  <w:num w:numId="21">
    <w:abstractNumId w:val="11"/>
  </w:num>
  <w:num w:numId="22">
    <w:abstractNumId w:val="16"/>
  </w:num>
  <w:num w:numId="23">
    <w:abstractNumId w:val="25"/>
  </w:num>
  <w:num w:numId="24">
    <w:abstractNumId w:val="34"/>
  </w:num>
  <w:num w:numId="25">
    <w:abstractNumId w:val="5"/>
  </w:num>
  <w:num w:numId="26">
    <w:abstractNumId w:val="20"/>
  </w:num>
  <w:num w:numId="27">
    <w:abstractNumId w:val="26"/>
  </w:num>
  <w:num w:numId="28">
    <w:abstractNumId w:val="35"/>
  </w:num>
  <w:num w:numId="29">
    <w:abstractNumId w:val="31"/>
  </w:num>
  <w:num w:numId="30">
    <w:abstractNumId w:val="12"/>
  </w:num>
  <w:num w:numId="31">
    <w:abstractNumId w:val="1"/>
  </w:num>
  <w:num w:numId="32">
    <w:abstractNumId w:val="9"/>
  </w:num>
  <w:num w:numId="33">
    <w:abstractNumId w:val="30"/>
  </w:num>
  <w:num w:numId="34">
    <w:abstractNumId w:val="21"/>
  </w:num>
  <w:num w:numId="35">
    <w:abstractNumId w:val="19"/>
  </w:num>
  <w:num w:numId="36">
    <w:abstractNumId w:val="24"/>
  </w:num>
  <w:num w:numId="37">
    <w:abstractNumId w:val="3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ytTQ0MDAytzA0MDRT0lEKTi0uzszPAykwrAUATT64sCwAAAA="/>
  </w:docVars>
  <w:rsids>
    <w:rsidRoot w:val="00AA6219"/>
    <w:rsid w:val="00000F8F"/>
    <w:rsid w:val="00002BF1"/>
    <w:rsid w:val="00030174"/>
    <w:rsid w:val="0004579C"/>
    <w:rsid w:val="00094EA6"/>
    <w:rsid w:val="000A47FA"/>
    <w:rsid w:val="000A65D3"/>
    <w:rsid w:val="000B1E33"/>
    <w:rsid w:val="000D689F"/>
    <w:rsid w:val="000E7B7B"/>
    <w:rsid w:val="000E7D62"/>
    <w:rsid w:val="00103357"/>
    <w:rsid w:val="00123C9F"/>
    <w:rsid w:val="00126190"/>
    <w:rsid w:val="00130F17"/>
    <w:rsid w:val="001320BF"/>
    <w:rsid w:val="00156D5D"/>
    <w:rsid w:val="00163BC4"/>
    <w:rsid w:val="00191062"/>
    <w:rsid w:val="00192B72"/>
    <w:rsid w:val="001A29D8"/>
    <w:rsid w:val="001A5CAA"/>
    <w:rsid w:val="001B0427"/>
    <w:rsid w:val="001D3A51"/>
    <w:rsid w:val="001E10D2"/>
    <w:rsid w:val="001E25B4"/>
    <w:rsid w:val="001E44FE"/>
    <w:rsid w:val="00200595"/>
    <w:rsid w:val="00204835"/>
    <w:rsid w:val="00207A3C"/>
    <w:rsid w:val="00223CBC"/>
    <w:rsid w:val="00231385"/>
    <w:rsid w:val="00231920"/>
    <w:rsid w:val="0023195C"/>
    <w:rsid w:val="0024282C"/>
    <w:rsid w:val="002460DC"/>
    <w:rsid w:val="00250985"/>
    <w:rsid w:val="002556F6"/>
    <w:rsid w:val="00283105"/>
    <w:rsid w:val="00284C4C"/>
    <w:rsid w:val="00287E68"/>
    <w:rsid w:val="00296529"/>
    <w:rsid w:val="002A3E8D"/>
    <w:rsid w:val="002B27FB"/>
    <w:rsid w:val="002B685A"/>
    <w:rsid w:val="002C36A3"/>
    <w:rsid w:val="002C57D2"/>
    <w:rsid w:val="002E0D56"/>
    <w:rsid w:val="00315186"/>
    <w:rsid w:val="0033343E"/>
    <w:rsid w:val="003512C2"/>
    <w:rsid w:val="00371FB6"/>
    <w:rsid w:val="003763C1"/>
    <w:rsid w:val="00376BBE"/>
    <w:rsid w:val="0039224F"/>
    <w:rsid w:val="003A43A4"/>
    <w:rsid w:val="003A7E18"/>
    <w:rsid w:val="003C4C72"/>
    <w:rsid w:val="003C4C86"/>
    <w:rsid w:val="003C6258"/>
    <w:rsid w:val="003D5B2E"/>
    <w:rsid w:val="003E2904"/>
    <w:rsid w:val="00401927"/>
    <w:rsid w:val="0041027F"/>
    <w:rsid w:val="00412475"/>
    <w:rsid w:val="004134D6"/>
    <w:rsid w:val="00423789"/>
    <w:rsid w:val="00437ECE"/>
    <w:rsid w:val="00440F43"/>
    <w:rsid w:val="00441B6F"/>
    <w:rsid w:val="00446221"/>
    <w:rsid w:val="00450E62"/>
    <w:rsid w:val="004539DB"/>
    <w:rsid w:val="00471A80"/>
    <w:rsid w:val="004D305E"/>
    <w:rsid w:val="004D4277"/>
    <w:rsid w:val="004D6327"/>
    <w:rsid w:val="004E6151"/>
    <w:rsid w:val="00502516"/>
    <w:rsid w:val="00505F06"/>
    <w:rsid w:val="00506828"/>
    <w:rsid w:val="0053056E"/>
    <w:rsid w:val="00554FDA"/>
    <w:rsid w:val="00584009"/>
    <w:rsid w:val="005A53A6"/>
    <w:rsid w:val="005B2F9C"/>
    <w:rsid w:val="005C4693"/>
    <w:rsid w:val="005C784C"/>
    <w:rsid w:val="005D11DB"/>
    <w:rsid w:val="005D17F6"/>
    <w:rsid w:val="005D30DE"/>
    <w:rsid w:val="005E5539"/>
    <w:rsid w:val="00602BF5"/>
    <w:rsid w:val="00617FDD"/>
    <w:rsid w:val="00633614"/>
    <w:rsid w:val="00633F68"/>
    <w:rsid w:val="00636EB2"/>
    <w:rsid w:val="006375B8"/>
    <w:rsid w:val="0066510A"/>
    <w:rsid w:val="00673F9F"/>
    <w:rsid w:val="00686953"/>
    <w:rsid w:val="00687DEA"/>
    <w:rsid w:val="00687E67"/>
    <w:rsid w:val="00691C91"/>
    <w:rsid w:val="006967F7"/>
    <w:rsid w:val="006A250C"/>
    <w:rsid w:val="006B21D3"/>
    <w:rsid w:val="006B57D0"/>
    <w:rsid w:val="006D30FF"/>
    <w:rsid w:val="006D6940"/>
    <w:rsid w:val="006F11EC"/>
    <w:rsid w:val="0070082C"/>
    <w:rsid w:val="007369E6"/>
    <w:rsid w:val="00743FE6"/>
    <w:rsid w:val="00746E59"/>
    <w:rsid w:val="00754C9A"/>
    <w:rsid w:val="0075599A"/>
    <w:rsid w:val="00761D52"/>
    <w:rsid w:val="0077749E"/>
    <w:rsid w:val="00790ADA"/>
    <w:rsid w:val="007D1AEC"/>
    <w:rsid w:val="007D2288"/>
    <w:rsid w:val="007D4B0F"/>
    <w:rsid w:val="007E088F"/>
    <w:rsid w:val="007E1AB5"/>
    <w:rsid w:val="007F7B32"/>
    <w:rsid w:val="00804BC2"/>
    <w:rsid w:val="00812994"/>
    <w:rsid w:val="0081431A"/>
    <w:rsid w:val="0083216F"/>
    <w:rsid w:val="00844C72"/>
    <w:rsid w:val="00860000"/>
    <w:rsid w:val="00863BD3"/>
    <w:rsid w:val="008641ED"/>
    <w:rsid w:val="00866D66"/>
    <w:rsid w:val="008671C6"/>
    <w:rsid w:val="00875803"/>
    <w:rsid w:val="008B459E"/>
    <w:rsid w:val="008C3FCF"/>
    <w:rsid w:val="008E13AE"/>
    <w:rsid w:val="008E1506"/>
    <w:rsid w:val="008E710C"/>
    <w:rsid w:val="008F69D6"/>
    <w:rsid w:val="00902823"/>
    <w:rsid w:val="00906C9D"/>
    <w:rsid w:val="00913665"/>
    <w:rsid w:val="00915CA6"/>
    <w:rsid w:val="00924A63"/>
    <w:rsid w:val="00927834"/>
    <w:rsid w:val="009500A6"/>
    <w:rsid w:val="00957C18"/>
    <w:rsid w:val="009659BA"/>
    <w:rsid w:val="00983040"/>
    <w:rsid w:val="009931DE"/>
    <w:rsid w:val="00997A37"/>
    <w:rsid w:val="009B3FB9"/>
    <w:rsid w:val="009C2465"/>
    <w:rsid w:val="009D35A0"/>
    <w:rsid w:val="009D3707"/>
    <w:rsid w:val="009D7EB7"/>
    <w:rsid w:val="009E048A"/>
    <w:rsid w:val="009E08E9"/>
    <w:rsid w:val="009E3DB9"/>
    <w:rsid w:val="009E6E35"/>
    <w:rsid w:val="009F0EDA"/>
    <w:rsid w:val="00A03B96"/>
    <w:rsid w:val="00A05B19"/>
    <w:rsid w:val="00A10BB1"/>
    <w:rsid w:val="00A1134E"/>
    <w:rsid w:val="00A24E7E"/>
    <w:rsid w:val="00A258C3"/>
    <w:rsid w:val="00A31C3E"/>
    <w:rsid w:val="00A347C0"/>
    <w:rsid w:val="00A510C3"/>
    <w:rsid w:val="00A51431"/>
    <w:rsid w:val="00A539AD"/>
    <w:rsid w:val="00A94063"/>
    <w:rsid w:val="00AA6219"/>
    <w:rsid w:val="00AA74E0"/>
    <w:rsid w:val="00AB703F"/>
    <w:rsid w:val="00AC6BB8"/>
    <w:rsid w:val="00AE008F"/>
    <w:rsid w:val="00B01FCD"/>
    <w:rsid w:val="00B1776C"/>
    <w:rsid w:val="00B473E1"/>
    <w:rsid w:val="00B52583"/>
    <w:rsid w:val="00B52896"/>
    <w:rsid w:val="00B65E24"/>
    <w:rsid w:val="00B82F55"/>
    <w:rsid w:val="00B95236"/>
    <w:rsid w:val="00B96BD9"/>
    <w:rsid w:val="00BA1B01"/>
    <w:rsid w:val="00BA2641"/>
    <w:rsid w:val="00BA66F4"/>
    <w:rsid w:val="00BB2A1B"/>
    <w:rsid w:val="00BB37AA"/>
    <w:rsid w:val="00BC53A0"/>
    <w:rsid w:val="00BE62AD"/>
    <w:rsid w:val="00BF121F"/>
    <w:rsid w:val="00BF1F80"/>
    <w:rsid w:val="00C166EF"/>
    <w:rsid w:val="00C17AE6"/>
    <w:rsid w:val="00C17EB0"/>
    <w:rsid w:val="00C27F5F"/>
    <w:rsid w:val="00C30A0F"/>
    <w:rsid w:val="00C37E61"/>
    <w:rsid w:val="00C43DA9"/>
    <w:rsid w:val="00C4565F"/>
    <w:rsid w:val="00C576BD"/>
    <w:rsid w:val="00C70F1B"/>
    <w:rsid w:val="00C71A47"/>
    <w:rsid w:val="00C7464C"/>
    <w:rsid w:val="00C85588"/>
    <w:rsid w:val="00C86219"/>
    <w:rsid w:val="00C95F6D"/>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4C20"/>
    <w:rsid w:val="00E35B02"/>
    <w:rsid w:val="00E42B8D"/>
    <w:rsid w:val="00E50BDE"/>
    <w:rsid w:val="00E66496"/>
    <w:rsid w:val="00E66B35"/>
    <w:rsid w:val="00E66E10"/>
    <w:rsid w:val="00E7267E"/>
    <w:rsid w:val="00E769F6"/>
    <w:rsid w:val="00E82D7A"/>
    <w:rsid w:val="00E8407C"/>
    <w:rsid w:val="00E84F3C"/>
    <w:rsid w:val="00EA012C"/>
    <w:rsid w:val="00EC6A55"/>
    <w:rsid w:val="00ED0288"/>
    <w:rsid w:val="00EE52CB"/>
    <w:rsid w:val="00EF581D"/>
    <w:rsid w:val="00EF7FD8"/>
    <w:rsid w:val="00F06F59"/>
    <w:rsid w:val="00F17988"/>
    <w:rsid w:val="00F255F8"/>
    <w:rsid w:val="00F33CBA"/>
    <w:rsid w:val="00F363D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658FB5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82F55"/>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691C91"/>
    <w:rPr>
      <w:rFonts w:ascii="Helvetica" w:hAnsi="Helvetica"/>
    </w:rPr>
  </w:style>
  <w:style w:type="paragraph" w:styleId="CommentSubject">
    <w:name w:val="annotation subject"/>
    <w:basedOn w:val="CommentText"/>
    <w:next w:val="CommentText"/>
    <w:link w:val="CommentSubjectChar"/>
    <w:semiHidden/>
    <w:unhideWhenUsed/>
    <w:rsid w:val="00691C91"/>
    <w:rPr>
      <w:rFonts w:ascii="Helvetica" w:hAnsi="Helvetica"/>
      <w:b/>
      <w:bCs/>
      <w:lang w:val="en-US" w:eastAsia="en-US"/>
    </w:rPr>
  </w:style>
  <w:style w:type="character" w:customStyle="1" w:styleId="CommentSubjectChar">
    <w:name w:val="Comment Subject Char"/>
    <w:basedOn w:val="CommentTextChar"/>
    <w:link w:val="CommentSubject"/>
    <w:semiHidden/>
    <w:rsid w:val="00691C91"/>
    <w:rPr>
      <w:rFonts w:ascii="Helvetica" w:hAnsi="Helvetica"/>
      <w:b/>
      <w:bCs/>
      <w:lang w:val="nb-NO" w:eastAsia="nb-NO"/>
    </w:rPr>
  </w:style>
  <w:style w:type="paragraph" w:styleId="NormalWeb">
    <w:name w:val="Normal (Web)"/>
    <w:basedOn w:val="Normal"/>
    <w:uiPriority w:val="99"/>
    <w:semiHidden/>
    <w:unhideWhenUsed/>
    <w:rsid w:val="00E82D7A"/>
    <w:pPr>
      <w:spacing w:before="100" w:beforeAutospacing="1" w:after="100" w:afterAutospacing="1"/>
    </w:pPr>
    <w:rPr>
      <w:rFonts w:ascii="Times New Roman" w:hAnsi="Times New Roman"/>
      <w:sz w:val="24"/>
      <w:szCs w:val="24"/>
      <w:lang w:val="en-IN" w:eastAsia="en-IN"/>
    </w:rPr>
  </w:style>
  <w:style w:type="character" w:customStyle="1" w:styleId="url">
    <w:name w:val="url"/>
    <w:basedOn w:val="DefaultParagraphFont"/>
    <w:rsid w:val="00E8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934578x2513201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bio.2023.103416" TargetMode="External"/><Relationship Id="rId2" Type="http://schemas.openxmlformats.org/officeDocument/2006/relationships/numbering" Target="numbering.xml"/><Relationship Id="rId16" Type="http://schemas.openxmlformats.org/officeDocument/2006/relationships/hyperlink" Target="https://doi.org/10.1016/S0065-2113(10)08002-8" TargetMode="External"/><Relationship Id="rId20" Type="http://schemas.openxmlformats.org/officeDocument/2006/relationships/hyperlink" Target="https://doi.org/10.1021/acsomega.2c074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356-023-30260-x" TargetMode="External"/><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doi.org/10.1007/978-3-030-232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1816-D192-45FD-BAD4-62843878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TotalTime>
  <Pages>10</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41</cp:revision>
  <cp:lastPrinted>1999-07-06T11:00:00Z</cp:lastPrinted>
  <dcterms:created xsi:type="dcterms:W3CDTF">2014-10-25T14:34:00Z</dcterms:created>
  <dcterms:modified xsi:type="dcterms:W3CDTF">2025-11-22T04:34:00Z</dcterms:modified>
</cp:coreProperties>
</file>