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27350" w14:textId="77777777" w:rsidR="00D818D0" w:rsidRPr="0035594A" w:rsidRDefault="00D818D0" w:rsidP="00C217BC">
      <w:pPr>
        <w:jc w:val="center"/>
        <w:rPr>
          <w:rFonts w:ascii="Arial" w:hAnsi="Arial" w:cs="Arial"/>
          <w:b/>
          <w:sz w:val="22"/>
          <w:szCs w:val="22"/>
        </w:rPr>
      </w:pPr>
      <w:r w:rsidRPr="0035594A">
        <w:rPr>
          <w:rFonts w:ascii="Arial" w:hAnsi="Arial" w:cs="Arial"/>
          <w:b/>
          <w:sz w:val="22"/>
          <w:szCs w:val="22"/>
        </w:rPr>
        <w:t>Dose-Dependent Effects of Ethanolic Garlic (</w:t>
      </w:r>
      <w:r w:rsidRPr="0035594A">
        <w:rPr>
          <w:rFonts w:ascii="Arial" w:hAnsi="Arial" w:cs="Arial"/>
          <w:b/>
          <w:i/>
          <w:sz w:val="22"/>
          <w:szCs w:val="22"/>
        </w:rPr>
        <w:t>Allium sativum</w:t>
      </w:r>
      <w:r w:rsidRPr="0035594A">
        <w:rPr>
          <w:rFonts w:ascii="Arial" w:hAnsi="Arial" w:cs="Arial"/>
          <w:b/>
          <w:sz w:val="22"/>
          <w:szCs w:val="22"/>
        </w:rPr>
        <w:t>) extract on Sperm Motility and Morphology in Nigerian Indigenous Cocks</w:t>
      </w:r>
    </w:p>
    <w:p w14:paraId="0A1E9570" w14:textId="77777777" w:rsidR="00D818D0" w:rsidRPr="0035594A" w:rsidRDefault="00D818D0" w:rsidP="00D818D0">
      <w:pPr>
        <w:jc w:val="center"/>
        <w:rPr>
          <w:rFonts w:ascii="Arial" w:hAnsi="Arial" w:cs="Arial"/>
          <w:sz w:val="22"/>
          <w:szCs w:val="22"/>
        </w:rPr>
      </w:pPr>
    </w:p>
    <w:p w14:paraId="446D2BF4" w14:textId="77777777" w:rsidR="00D818D0" w:rsidRPr="0035594A" w:rsidRDefault="00D818D0" w:rsidP="00F3241B">
      <w:pPr>
        <w:pStyle w:val="whitespace-normal"/>
        <w:spacing w:before="0" w:beforeAutospacing="0" w:after="0" w:afterAutospacing="0"/>
        <w:rPr>
          <w:rFonts w:ascii="Arial" w:hAnsi="Arial" w:cs="Arial"/>
          <w:b/>
        </w:rPr>
      </w:pPr>
    </w:p>
    <w:p w14:paraId="2B3C037D" w14:textId="77777777" w:rsidR="00D818D0" w:rsidRPr="0035594A" w:rsidRDefault="00D818D0" w:rsidP="00F3241B">
      <w:pPr>
        <w:pStyle w:val="whitespace-normal"/>
        <w:spacing w:before="0" w:beforeAutospacing="0" w:after="0" w:afterAutospacing="0"/>
        <w:rPr>
          <w:rFonts w:ascii="Arial" w:hAnsi="Arial" w:cs="Arial"/>
          <w:b/>
        </w:rPr>
      </w:pPr>
    </w:p>
    <w:p w14:paraId="6E091E3C" w14:textId="77777777" w:rsidR="00FB683C" w:rsidRPr="0035594A" w:rsidRDefault="00FB683C" w:rsidP="00F3241B">
      <w:pPr>
        <w:pStyle w:val="whitespace-normal"/>
        <w:spacing w:before="0" w:beforeAutospacing="0" w:after="0" w:afterAutospacing="0"/>
        <w:rPr>
          <w:rFonts w:ascii="Arial" w:hAnsi="Arial" w:cs="Arial"/>
          <w:b/>
        </w:rPr>
      </w:pPr>
    </w:p>
    <w:p w14:paraId="6ED9E69F" w14:textId="77777777" w:rsidR="00121FF7" w:rsidRPr="0035594A" w:rsidRDefault="00121FF7" w:rsidP="00F3241B">
      <w:pPr>
        <w:pStyle w:val="whitespace-normal"/>
        <w:spacing w:before="0" w:beforeAutospacing="0" w:after="0" w:afterAutospacing="0"/>
        <w:rPr>
          <w:rFonts w:ascii="Arial" w:hAnsi="Arial" w:cs="Arial"/>
          <w:b/>
        </w:rPr>
      </w:pPr>
      <w:r w:rsidRPr="0035594A">
        <w:rPr>
          <w:rFonts w:ascii="Arial" w:hAnsi="Arial" w:cs="Arial"/>
          <w:b/>
        </w:rPr>
        <w:t>Abstract</w:t>
      </w:r>
    </w:p>
    <w:p w14:paraId="3871414C" w14:textId="77777777" w:rsidR="003D2AA1" w:rsidRDefault="003D2AA1" w:rsidP="003D2AA1">
      <w:pPr>
        <w:jc w:val="both"/>
        <w:rPr>
          <w:rFonts w:ascii="Arial" w:eastAsia="Times New Roman" w:hAnsi="Arial" w:cs="Arial"/>
          <w:sz w:val="20"/>
          <w:szCs w:val="20"/>
        </w:rPr>
      </w:pPr>
      <w:r w:rsidRPr="003D2AA1">
        <w:rPr>
          <w:rFonts w:ascii="Arial" w:eastAsia="Times New Roman" w:hAnsi="Arial" w:cs="Arial"/>
          <w:sz w:val="20"/>
          <w:szCs w:val="20"/>
        </w:rPr>
        <w:t>We investigated the effects of ethanolic garlic extract supplementation on reproductive performance in Nigerian indigenous cocks. Twenty-four healthy cocks aged 21-32 weeks were randomly assigned to three groups: control (distilled water), low-dose (250 mg/kg body weight), and high-dose (500 mg/kg body weight) garlic extract administered daily for eight weeks. Semen quality parameters and serum reproductive hormones were evaluated at baseline, week 4, and week 8. Results demonstrated significant time-dependent improvements in sperm motility and morphology with garlic supplementation. In the high-dose group, progressive motility increased from 53.8% at week 4 to 55.1% at week 8 (compared to 48.2% and 47.5% in controls at weeks 4 and 8 respectively), representing 11.6% and 16.0% improvements over controls. Morphological defects decreased progressively from 11.2% at week 4 to 10.5% at week 8 in the high-dose group (versus 13.7% and 14.5% in controls), achieving a 27.6% reduction by week 8. Testosterone levels showed dose-dependent elevation: the high-dose group demonstrated 22.5% increase at week 4 (4.9 ng/mL) and 38.5% increase at week 8 (5.4 ng/mL) compared to controls (4.0 ng/mL and 3.9 ng/mL respectively). However, ejaculate volume, sperm concentration, viability, and gonadotropin levels (LH and FSH) remained unchanged throughout the study period. These findings suggest that garlic extract enhances reproductive performance primarily through androgenic stimulation and antioxidant mechanisms acting directly at the testicular level rather than through pituitary modulation. The 500 mg/kg dose proved most effective, offering a cost-effective natural alternative to synthetic fertility enhancers in commercial poultry breeding programs.</w:t>
      </w:r>
    </w:p>
    <w:p w14:paraId="6BE2CADC" w14:textId="77777777" w:rsidR="00F3241B" w:rsidRPr="003D2AA1" w:rsidRDefault="00F3241B" w:rsidP="003D2AA1">
      <w:pPr>
        <w:jc w:val="both"/>
        <w:rPr>
          <w:rFonts w:ascii="Arial" w:eastAsia="Times New Roman" w:hAnsi="Arial" w:cs="Arial"/>
          <w:sz w:val="20"/>
          <w:szCs w:val="20"/>
        </w:rPr>
      </w:pPr>
      <w:r w:rsidRPr="003D2AA1">
        <w:rPr>
          <w:rFonts w:ascii="Arial" w:eastAsia="Times New Roman" w:hAnsi="Arial" w:cs="Arial"/>
          <w:b/>
          <w:bCs/>
          <w:sz w:val="20"/>
          <w:szCs w:val="20"/>
        </w:rPr>
        <w:t>Keywords</w:t>
      </w:r>
      <w:r w:rsidRPr="0035594A">
        <w:rPr>
          <w:rFonts w:ascii="Arial" w:eastAsia="Times New Roman" w:hAnsi="Arial" w:cs="Arial"/>
          <w:b/>
          <w:bCs/>
        </w:rPr>
        <w:t>:</w:t>
      </w:r>
      <w:r w:rsidR="00DD0D65" w:rsidRPr="0035594A">
        <w:rPr>
          <w:rFonts w:ascii="Arial" w:eastAsia="Times New Roman" w:hAnsi="Arial" w:cs="Arial"/>
        </w:rPr>
        <w:t xml:space="preserve"> </w:t>
      </w:r>
      <w:r w:rsidR="00DD0D65" w:rsidRPr="003D2AA1">
        <w:rPr>
          <w:rFonts w:ascii="Arial" w:eastAsia="Times New Roman" w:hAnsi="Arial" w:cs="Arial"/>
          <w:sz w:val="20"/>
          <w:szCs w:val="20"/>
        </w:rPr>
        <w:t>Garlic E</w:t>
      </w:r>
      <w:r w:rsidRPr="003D2AA1">
        <w:rPr>
          <w:rFonts w:ascii="Arial" w:eastAsia="Times New Roman" w:hAnsi="Arial" w:cs="Arial"/>
          <w:sz w:val="20"/>
          <w:szCs w:val="20"/>
        </w:rPr>
        <w:t xml:space="preserve">xtract, </w:t>
      </w:r>
      <w:r w:rsidR="00DD0D65" w:rsidRPr="003D2AA1">
        <w:rPr>
          <w:rFonts w:ascii="Arial" w:eastAsia="Times New Roman" w:hAnsi="Arial" w:cs="Arial"/>
          <w:sz w:val="20"/>
          <w:szCs w:val="20"/>
        </w:rPr>
        <w:t>Nigerian indigenous cocks, Reproductive H</w:t>
      </w:r>
      <w:r w:rsidRPr="003D2AA1">
        <w:rPr>
          <w:rFonts w:ascii="Arial" w:eastAsia="Times New Roman" w:hAnsi="Arial" w:cs="Arial"/>
          <w:sz w:val="20"/>
          <w:szCs w:val="20"/>
        </w:rPr>
        <w:t>or</w:t>
      </w:r>
      <w:r w:rsidR="00DD0D65" w:rsidRPr="003D2AA1">
        <w:rPr>
          <w:rFonts w:ascii="Arial" w:eastAsia="Times New Roman" w:hAnsi="Arial" w:cs="Arial"/>
          <w:sz w:val="20"/>
          <w:szCs w:val="20"/>
        </w:rPr>
        <w:t>mones, Semen Quality, T</w:t>
      </w:r>
      <w:r w:rsidR="006277D1" w:rsidRPr="003D2AA1">
        <w:rPr>
          <w:rFonts w:ascii="Arial" w:eastAsia="Times New Roman" w:hAnsi="Arial" w:cs="Arial"/>
          <w:sz w:val="20"/>
          <w:szCs w:val="20"/>
        </w:rPr>
        <w:t>estosterone.</w:t>
      </w:r>
    </w:p>
    <w:p w14:paraId="768D5A59" w14:textId="77777777" w:rsidR="00123305" w:rsidRPr="0035594A" w:rsidRDefault="00123305" w:rsidP="00F3241B">
      <w:pPr>
        <w:spacing w:before="100" w:beforeAutospacing="1" w:after="100" w:afterAutospacing="1"/>
        <w:rPr>
          <w:rFonts w:ascii="Arial" w:eastAsia="Times New Roman" w:hAnsi="Arial" w:cs="Arial"/>
        </w:rPr>
      </w:pPr>
    </w:p>
    <w:p w14:paraId="27CFEF0F" w14:textId="77777777" w:rsidR="00CB4C6F" w:rsidRPr="0035594A" w:rsidRDefault="00CB4C6F" w:rsidP="00A91B29">
      <w:pPr>
        <w:pStyle w:val="ListParagraph"/>
        <w:numPr>
          <w:ilvl w:val="0"/>
          <w:numId w:val="5"/>
        </w:numPr>
        <w:spacing w:before="100" w:beforeAutospacing="1" w:after="100" w:afterAutospacing="1"/>
        <w:outlineLvl w:val="1"/>
        <w:rPr>
          <w:rFonts w:ascii="Arial" w:eastAsia="Times New Roman" w:hAnsi="Arial" w:cs="Arial"/>
          <w:b/>
          <w:bCs/>
          <w:sz w:val="22"/>
          <w:szCs w:val="22"/>
        </w:rPr>
      </w:pPr>
      <w:r w:rsidRPr="0035594A">
        <w:rPr>
          <w:rFonts w:ascii="Arial" w:eastAsia="Times New Roman" w:hAnsi="Arial" w:cs="Arial"/>
          <w:b/>
          <w:bCs/>
          <w:sz w:val="22"/>
          <w:szCs w:val="22"/>
        </w:rPr>
        <w:t>INTRODUCTION</w:t>
      </w:r>
    </w:p>
    <w:p w14:paraId="6F12ED7C" w14:textId="77777777" w:rsidR="00CB4C6F" w:rsidRPr="0035594A" w:rsidRDefault="00CB4C6F" w:rsidP="00A91B29">
      <w:pPr>
        <w:spacing w:line="480" w:lineRule="auto"/>
        <w:jc w:val="both"/>
        <w:rPr>
          <w:rFonts w:ascii="Arial" w:eastAsia="Times New Roman" w:hAnsi="Arial" w:cs="Arial"/>
          <w:sz w:val="20"/>
          <w:szCs w:val="20"/>
        </w:rPr>
      </w:pPr>
      <w:r w:rsidRPr="0035594A">
        <w:rPr>
          <w:rFonts w:ascii="Arial" w:eastAsia="Times New Roman" w:hAnsi="Arial" w:cs="Arial"/>
          <w:sz w:val="20"/>
          <w:szCs w:val="20"/>
        </w:rPr>
        <w:t xml:space="preserve">Semen parameters such as ejaculate volume, sperm concentration, motility, viability, and morphology of sperm cells play a crucial role in male fertility (Sun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2021). Reproductive hormones such as testosterone, luteinizing hormone (LH), and follicle-stimulating hormone (FSH) are essential for maintaining male reproductive health. LH and FSH work together to regulate testicular function through the hypothalamic-pituitary-gonadal (HPG) axis (Olawuwo, 2020). FSH supports Sertoli cells in the testes to produce sperm, while LH stimulates Leydig cells to produce testosterone, which boosts libido and supports sperm production. Oxidative stress is a significant concern in male reproduction, as it can harm reproductive tissues, disrupt hormone production, and lower sperm quality (Moazamian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2022). Factors like environmental stress, nutritional deficiencies, and oxidative damage can lead to poor sperm quality, eventually affecting breeding success in poultry (Dhama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2014). This decline in semen quality can result in lower hatchability rates (Sabzian-Melei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2022). While synthetic drugs are often used to enhance semen quality, they can be costly and may carry long-term </w:t>
      </w:r>
      <w:r w:rsidRPr="0035594A">
        <w:rPr>
          <w:rFonts w:ascii="Arial" w:eastAsia="Times New Roman" w:hAnsi="Arial" w:cs="Arial"/>
          <w:sz w:val="20"/>
          <w:szCs w:val="20"/>
        </w:rPr>
        <w:lastRenderedPageBreak/>
        <w:t>risks. This highlights the need for natural, safe, and affordable supplements that can improve hormonal balance and semen quality.</w:t>
      </w:r>
    </w:p>
    <w:p w14:paraId="442DA27C" w14:textId="77777777" w:rsidR="00CB4C6F" w:rsidRPr="0035594A" w:rsidRDefault="00CB4C6F" w:rsidP="00A91B29">
      <w:pPr>
        <w:spacing w:line="480" w:lineRule="auto"/>
        <w:jc w:val="both"/>
        <w:rPr>
          <w:rFonts w:ascii="Arial" w:eastAsia="Times New Roman" w:hAnsi="Arial" w:cs="Arial"/>
          <w:sz w:val="20"/>
          <w:szCs w:val="20"/>
        </w:rPr>
      </w:pPr>
      <w:r w:rsidRPr="0035594A">
        <w:rPr>
          <w:rFonts w:ascii="Arial" w:eastAsia="Times New Roman" w:hAnsi="Arial" w:cs="Arial"/>
          <w:sz w:val="20"/>
          <w:szCs w:val="20"/>
        </w:rPr>
        <w:t>Various nutritional and phytogenic supplements have been utilized in poultry due to their natural antioxidant and an</w:t>
      </w:r>
      <w:r w:rsidR="00A91B29" w:rsidRPr="0035594A">
        <w:rPr>
          <w:rFonts w:ascii="Arial" w:eastAsia="Times New Roman" w:hAnsi="Arial" w:cs="Arial"/>
          <w:sz w:val="20"/>
          <w:szCs w:val="20"/>
        </w:rPr>
        <w:t>timicrobial properties (Mandey and</w:t>
      </w:r>
      <w:r w:rsidRPr="0035594A">
        <w:rPr>
          <w:rFonts w:ascii="Arial" w:eastAsia="Times New Roman" w:hAnsi="Arial" w:cs="Arial"/>
          <w:sz w:val="20"/>
          <w:szCs w:val="20"/>
        </w:rPr>
        <w:t xml:space="preserve"> Sompie, 2021). One such natural product is garlic (</w:t>
      </w:r>
      <w:r w:rsidRPr="0035594A">
        <w:rPr>
          <w:rFonts w:ascii="Arial" w:eastAsia="Times New Roman" w:hAnsi="Arial" w:cs="Arial"/>
          <w:i/>
          <w:iCs/>
          <w:sz w:val="20"/>
          <w:szCs w:val="20"/>
        </w:rPr>
        <w:t>Allium sativum</w:t>
      </w:r>
      <w:r w:rsidRPr="0035594A">
        <w:rPr>
          <w:rFonts w:ascii="Arial" w:eastAsia="Times New Roman" w:hAnsi="Arial" w:cs="Arial"/>
          <w:sz w:val="20"/>
          <w:szCs w:val="20"/>
        </w:rPr>
        <w:t xml:space="preserve">), which is rich in bioactive compounds like allicin, sulfur-containing compounds, flavonoids, and saponins (Abidi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2022). These phytochemicals are known for their antioxidant, immunomodulatory, and circulatory-enhancing effects (Benedict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2023). Garlic is not only readily available and inexpensive but is also widely regarded as a safe feed additive (De Luca </w:t>
      </w:r>
      <w:r w:rsidRPr="0035594A">
        <w:rPr>
          <w:rFonts w:ascii="Arial" w:eastAsia="Times New Roman" w:hAnsi="Arial" w:cs="Arial"/>
          <w:i/>
          <w:iCs/>
          <w:sz w:val="20"/>
          <w:szCs w:val="20"/>
        </w:rPr>
        <w:t>et al.</w:t>
      </w:r>
      <w:r w:rsidRPr="0035594A">
        <w:rPr>
          <w:rFonts w:ascii="Arial" w:eastAsia="Times New Roman" w:hAnsi="Arial" w:cs="Arial"/>
          <w:sz w:val="20"/>
          <w:szCs w:val="20"/>
        </w:rPr>
        <w:t xml:space="preserve">, 2021). In poultry, adding garlic to their diet has been a popular way to combat oxidative stress, boost circulation, and enhance endocrine functions, which ultimately leads to better semen quality (Abdelwahab and Abdel-aziz, 2019). Even though garlic is widely used in both human and animal diets, there's limited information on how it affects hormonal balance and semen quality in poultry, with existing reports often being inconsistent (Okoro </w:t>
      </w:r>
      <w:r w:rsidRPr="0035594A">
        <w:rPr>
          <w:rFonts w:ascii="Arial" w:eastAsia="Times New Roman" w:hAnsi="Arial" w:cs="Arial"/>
          <w:i/>
          <w:iCs/>
          <w:sz w:val="20"/>
          <w:szCs w:val="20"/>
        </w:rPr>
        <w:t>et al</w:t>
      </w:r>
      <w:r w:rsidRPr="0035594A">
        <w:rPr>
          <w:rFonts w:ascii="Arial" w:eastAsia="Times New Roman" w:hAnsi="Arial" w:cs="Arial"/>
          <w:sz w:val="20"/>
          <w:szCs w:val="20"/>
        </w:rPr>
        <w:t>., 2016). We still don't fully grasp the ideal dosage or the specific ways garlic impacts hormonal profiles and semen parameters in cocks, which makes it challenging to apply this knowledge effectively in poultry breeding programs. This study aims to enhance poultry breeding programs, lessen the dependence on synthetic enhancers, and offer practical solutions for poultry farmers looking for cost-effective, natural ways to boost reproductive performance in their flocks.</w:t>
      </w:r>
    </w:p>
    <w:p w14:paraId="25BF5361" w14:textId="77777777" w:rsidR="00F3241B" w:rsidRDefault="00CB4C6F" w:rsidP="00F3241B">
      <w:pPr>
        <w:spacing w:line="480" w:lineRule="auto"/>
        <w:jc w:val="both"/>
        <w:rPr>
          <w:rFonts w:ascii="Arial" w:eastAsia="Times New Roman" w:hAnsi="Arial" w:cs="Arial"/>
          <w:sz w:val="20"/>
          <w:szCs w:val="20"/>
        </w:rPr>
      </w:pPr>
      <w:r w:rsidRPr="0035594A">
        <w:rPr>
          <w:rFonts w:ascii="Arial" w:eastAsia="Times New Roman" w:hAnsi="Arial" w:cs="Arial"/>
          <w:sz w:val="20"/>
          <w:szCs w:val="20"/>
        </w:rPr>
        <w:t>The primary goal of this study was to explore how different doses of ethanolic garlic extract affect the reproductive performance of Nigerian indigenous cocks. This was done by looking at both the levels of reproductive hormones in their serum and the quality of their semen. The researchers believe that giving these cocks oral supplements of ethanolic garlic extract at doses of 250 mg/kg and 500 mg/kg body weight will either have no significant impact or will significantly influence semen quality parameters—like volume, motility, concentration, viability, and morphology—as well as the serum levels of reproductive hormones such as testosterone, LH, and FSH. Specifically, the study assessed how these two doses of garlic extract affect semen quality over an 8-week supplementation period. It also evaluated how the garlic extract impacts the serum concentrations of reproductive hormones in cocks. By establishing a dose-response relationship between garlic supplementation and improvements in reproductive parameters, the study aims to</w:t>
      </w:r>
      <w:r w:rsidR="00A91B29" w:rsidRPr="0035594A">
        <w:rPr>
          <w:rFonts w:ascii="Arial" w:hAnsi="Arial" w:cs="Arial"/>
          <w:sz w:val="20"/>
          <w:szCs w:val="20"/>
        </w:rPr>
        <w:t xml:space="preserve"> investigate the effects of ethanolic garlic extract supplementation on reproductive performance in Nigerian indigenous cocks</w:t>
      </w:r>
      <w:r w:rsidRPr="0035594A">
        <w:rPr>
          <w:rFonts w:ascii="Arial" w:eastAsia="Times New Roman" w:hAnsi="Arial" w:cs="Arial"/>
          <w:sz w:val="20"/>
          <w:szCs w:val="20"/>
        </w:rPr>
        <w:t xml:space="preserve"> </w:t>
      </w:r>
      <w:r w:rsidR="00A91B29" w:rsidRPr="0035594A">
        <w:rPr>
          <w:rFonts w:ascii="Arial" w:eastAsia="Times New Roman" w:hAnsi="Arial" w:cs="Arial"/>
          <w:sz w:val="20"/>
          <w:szCs w:val="20"/>
        </w:rPr>
        <w:t xml:space="preserve">and to </w:t>
      </w:r>
      <w:r w:rsidRPr="0035594A">
        <w:rPr>
          <w:rFonts w:ascii="Arial" w:eastAsia="Times New Roman" w:hAnsi="Arial" w:cs="Arial"/>
          <w:sz w:val="20"/>
          <w:szCs w:val="20"/>
        </w:rPr>
        <w:t xml:space="preserve">provide </w:t>
      </w:r>
      <w:r w:rsidRPr="0035594A">
        <w:rPr>
          <w:rFonts w:ascii="Arial" w:eastAsia="Times New Roman" w:hAnsi="Arial" w:cs="Arial"/>
          <w:sz w:val="20"/>
          <w:szCs w:val="20"/>
        </w:rPr>
        <w:lastRenderedPageBreak/>
        <w:t>solid recommendations for using garlic extract as a natural alternative to synthetic fertility enhancers</w:t>
      </w:r>
      <w:r w:rsidR="00A91B29" w:rsidRPr="0035594A">
        <w:rPr>
          <w:rFonts w:ascii="Arial" w:eastAsia="Times New Roman" w:hAnsi="Arial" w:cs="Arial"/>
          <w:sz w:val="20"/>
          <w:szCs w:val="20"/>
        </w:rPr>
        <w:t xml:space="preserve"> in commercial poultry breeding.</w:t>
      </w:r>
    </w:p>
    <w:p w14:paraId="37EE6C08" w14:textId="77777777" w:rsidR="00FF64AE" w:rsidRDefault="00FF64AE" w:rsidP="00F3241B">
      <w:pPr>
        <w:spacing w:line="480" w:lineRule="auto"/>
        <w:jc w:val="both"/>
        <w:rPr>
          <w:rFonts w:ascii="Arial" w:eastAsia="Times New Roman" w:hAnsi="Arial" w:cs="Arial"/>
          <w:sz w:val="20"/>
          <w:szCs w:val="20"/>
        </w:rPr>
      </w:pPr>
    </w:p>
    <w:p w14:paraId="50B346CC" w14:textId="77777777" w:rsidR="00FF64AE" w:rsidRPr="0035594A" w:rsidRDefault="00FF64AE" w:rsidP="00F3241B">
      <w:pPr>
        <w:spacing w:line="480" w:lineRule="auto"/>
        <w:jc w:val="both"/>
        <w:rPr>
          <w:rFonts w:ascii="Arial" w:eastAsia="Times New Roman" w:hAnsi="Arial" w:cs="Arial"/>
          <w:sz w:val="20"/>
          <w:szCs w:val="20"/>
        </w:rPr>
      </w:pPr>
    </w:p>
    <w:p w14:paraId="08AFDC6D" w14:textId="77777777" w:rsidR="00A91B29" w:rsidRPr="0035594A" w:rsidRDefault="00F3241B" w:rsidP="00A937D4">
      <w:pPr>
        <w:pStyle w:val="ListParagraph"/>
        <w:numPr>
          <w:ilvl w:val="0"/>
          <w:numId w:val="5"/>
        </w:numPr>
        <w:spacing w:before="100" w:beforeAutospacing="1" w:after="100" w:afterAutospacing="1" w:line="276" w:lineRule="auto"/>
        <w:outlineLvl w:val="0"/>
        <w:rPr>
          <w:rFonts w:ascii="Arial" w:eastAsia="Times New Roman" w:hAnsi="Arial" w:cs="Arial"/>
          <w:b/>
          <w:bCs/>
          <w:kern w:val="36"/>
          <w:sz w:val="22"/>
          <w:szCs w:val="22"/>
        </w:rPr>
      </w:pPr>
      <w:r w:rsidRPr="0035594A">
        <w:rPr>
          <w:rFonts w:ascii="Arial" w:eastAsia="Times New Roman" w:hAnsi="Arial" w:cs="Arial"/>
          <w:b/>
          <w:bCs/>
          <w:kern w:val="36"/>
          <w:sz w:val="22"/>
          <w:szCs w:val="22"/>
        </w:rPr>
        <w:t>MATERIALS AND METHODS</w:t>
      </w:r>
    </w:p>
    <w:p w14:paraId="5DA7ECAE" w14:textId="77777777" w:rsidR="00F3241B" w:rsidRPr="0035594A" w:rsidRDefault="00F3241B" w:rsidP="00F3241B">
      <w:pPr>
        <w:spacing w:before="100" w:beforeAutospacing="1" w:after="100" w:afterAutospacing="1"/>
        <w:outlineLvl w:val="1"/>
        <w:rPr>
          <w:rFonts w:ascii="Arial" w:eastAsia="Times New Roman" w:hAnsi="Arial" w:cs="Arial"/>
          <w:b/>
          <w:bCs/>
          <w:sz w:val="22"/>
          <w:szCs w:val="22"/>
        </w:rPr>
      </w:pPr>
      <w:r w:rsidRPr="0035594A">
        <w:rPr>
          <w:rFonts w:ascii="Arial" w:eastAsia="Times New Roman" w:hAnsi="Arial" w:cs="Arial"/>
          <w:bCs/>
          <w:sz w:val="22"/>
          <w:szCs w:val="22"/>
        </w:rPr>
        <w:t>2.1</w:t>
      </w:r>
      <w:r w:rsidRPr="0035594A">
        <w:rPr>
          <w:rFonts w:ascii="Arial" w:eastAsia="Times New Roman" w:hAnsi="Arial" w:cs="Arial"/>
          <w:b/>
          <w:bCs/>
          <w:sz w:val="22"/>
          <w:szCs w:val="22"/>
        </w:rPr>
        <w:t xml:space="preserve"> Study Area</w:t>
      </w:r>
    </w:p>
    <w:p w14:paraId="0E2FBA10" w14:textId="77777777" w:rsidR="00F3241B" w:rsidRPr="0035594A" w:rsidRDefault="00F3241B" w:rsidP="00FF64AE">
      <w:pPr>
        <w:spacing w:line="480" w:lineRule="auto"/>
        <w:jc w:val="both"/>
        <w:rPr>
          <w:rFonts w:ascii="Arial" w:eastAsia="Times New Roman" w:hAnsi="Arial" w:cs="Arial"/>
          <w:sz w:val="20"/>
          <w:szCs w:val="20"/>
        </w:rPr>
      </w:pPr>
      <w:r w:rsidRPr="0035594A">
        <w:rPr>
          <w:rFonts w:ascii="Arial" w:eastAsia="Times New Roman" w:hAnsi="Arial" w:cs="Arial"/>
          <w:sz w:val="20"/>
          <w:szCs w:val="20"/>
        </w:rPr>
        <w:t>The study took place at the Poultry Research Unit of Modibbo Adama University Yola, Adamawa State, Nigeria. The geographical and climatic characteristics of the study location have been previously documented (Adebayo and Tukur, 1999). Yola is situated between latitudes 9°11'N and 9°20'N, and longitudes 12°23' to 12°33'E, encompassing approximately 305 square kilometers. The region experiences a tropical climate with mean annual rainfall of 919 mm and monthly temperature variations ranging from 19°C to 37.9°C (Nigerian Meteorological Agency, 2018).</w:t>
      </w:r>
    </w:p>
    <w:p w14:paraId="5801AC09" w14:textId="77777777" w:rsidR="00F3241B" w:rsidRDefault="00F3241B" w:rsidP="00FF64AE">
      <w:pPr>
        <w:outlineLvl w:val="1"/>
        <w:rPr>
          <w:rFonts w:ascii="Arial" w:eastAsia="Times New Roman" w:hAnsi="Arial" w:cs="Arial"/>
          <w:b/>
          <w:bCs/>
          <w:sz w:val="22"/>
          <w:szCs w:val="22"/>
        </w:rPr>
      </w:pPr>
      <w:r w:rsidRPr="0035594A">
        <w:rPr>
          <w:rFonts w:ascii="Arial" w:eastAsia="Times New Roman" w:hAnsi="Arial" w:cs="Arial"/>
          <w:bCs/>
          <w:sz w:val="22"/>
          <w:szCs w:val="22"/>
        </w:rPr>
        <w:t>2.2</w:t>
      </w:r>
      <w:r w:rsidRPr="0035594A">
        <w:rPr>
          <w:rFonts w:ascii="Arial" w:eastAsia="Times New Roman" w:hAnsi="Arial" w:cs="Arial"/>
          <w:b/>
          <w:bCs/>
          <w:sz w:val="22"/>
          <w:szCs w:val="22"/>
        </w:rPr>
        <w:t xml:space="preserve"> Experimental Animals and Management</w:t>
      </w:r>
    </w:p>
    <w:p w14:paraId="5331C643" w14:textId="77777777" w:rsidR="00FF64AE" w:rsidRPr="0035594A" w:rsidRDefault="00FF64AE" w:rsidP="00FF64AE">
      <w:pPr>
        <w:outlineLvl w:val="1"/>
        <w:rPr>
          <w:rFonts w:ascii="Arial" w:eastAsia="Times New Roman" w:hAnsi="Arial" w:cs="Arial"/>
          <w:b/>
          <w:bCs/>
          <w:sz w:val="22"/>
          <w:szCs w:val="22"/>
        </w:rPr>
      </w:pPr>
    </w:p>
    <w:p w14:paraId="378FCEE2" w14:textId="77777777" w:rsidR="00C720DC" w:rsidRPr="0035594A" w:rsidRDefault="00C720DC" w:rsidP="00C720DC">
      <w:pPr>
        <w:spacing w:line="480" w:lineRule="auto"/>
        <w:jc w:val="both"/>
        <w:rPr>
          <w:rFonts w:ascii="Arial" w:hAnsi="Arial" w:cs="Arial"/>
          <w:sz w:val="20"/>
          <w:szCs w:val="20"/>
          <w:shd w:val="clear" w:color="auto" w:fill="FFFFFF"/>
        </w:rPr>
      </w:pPr>
      <w:r w:rsidRPr="0035594A">
        <w:rPr>
          <w:rFonts w:ascii="Arial" w:hAnsi="Arial" w:cs="Arial"/>
          <w:sz w:val="20"/>
          <w:szCs w:val="20"/>
          <w:shd w:val="clear" w:color="auto" w:fill="FFFFFF"/>
        </w:rPr>
        <w:t>In this study, we used twenty-four healthy indigenous Nigerian cocks, all between 21 and 32 weeks old and weighing between 1.5 and 2.5 kg. These birds were sourced from Girei Market in Adamawa State, Nigeria, and were housed individually in standard battery cages. Before we began the experimental procedures, the birds went through a two-week acclimatization period.</w:t>
      </w:r>
      <w:r w:rsidR="002D4DE1" w:rsidRPr="0035594A">
        <w:rPr>
          <w:rFonts w:ascii="Arial" w:hAnsi="Arial" w:cs="Arial"/>
          <w:sz w:val="20"/>
          <w:szCs w:val="20"/>
          <w:shd w:val="clear" w:color="auto" w:fill="FFFFFF"/>
        </w:rPr>
        <w:t xml:space="preserve"> </w:t>
      </w:r>
      <w:r w:rsidRPr="0035594A">
        <w:rPr>
          <w:rFonts w:ascii="Arial" w:hAnsi="Arial" w:cs="Arial"/>
          <w:sz w:val="20"/>
          <w:szCs w:val="20"/>
          <w:shd w:val="clear" w:color="auto" w:fill="FFFFFF"/>
        </w:rPr>
        <w:t>During both the acclimatization and experimental phases, we adhered to standardized management practices. The birds were kept in standard battery cages within a naturally ventilated poultry house. They were fed a commercial breeder mash twice a day using individual feeders. This diet was specifically formulated to meet the nutritional needs of fertile breeders (</w:t>
      </w:r>
      <w:r w:rsidRPr="0035594A">
        <w:rPr>
          <w:rFonts w:ascii="Arial" w:hAnsi="Arial" w:cs="Arial"/>
          <w:b/>
          <w:sz w:val="20"/>
          <w:szCs w:val="20"/>
          <w:shd w:val="clear" w:color="auto" w:fill="FFFFFF"/>
        </w:rPr>
        <w:t>as detailed in Table 3</w:t>
      </w:r>
      <w:r w:rsidRPr="0035594A">
        <w:rPr>
          <w:rFonts w:ascii="Arial" w:hAnsi="Arial" w:cs="Arial"/>
          <w:sz w:val="20"/>
          <w:szCs w:val="20"/>
          <w:shd w:val="clear" w:color="auto" w:fill="FFFFFF"/>
        </w:rPr>
        <w:t xml:space="preserve">), with a composition that included 17.5% crude protein, 2800 kcal/kg metabolizable energy, 3.5% calcium, 0.45% available phosphorus, 0.85% lysine, and 0.42% methionine. Fresh water was provided </w:t>
      </w:r>
      <w:r w:rsidRPr="0035594A">
        <w:rPr>
          <w:rFonts w:ascii="Arial" w:hAnsi="Arial" w:cs="Arial"/>
          <w:i/>
          <w:sz w:val="20"/>
          <w:szCs w:val="20"/>
          <w:shd w:val="clear" w:color="auto" w:fill="FFFFFF"/>
        </w:rPr>
        <w:t>ad libitum</w:t>
      </w:r>
      <w:r w:rsidRPr="0035594A">
        <w:rPr>
          <w:rFonts w:ascii="Arial" w:hAnsi="Arial" w:cs="Arial"/>
          <w:sz w:val="20"/>
          <w:szCs w:val="20"/>
          <w:shd w:val="clear" w:color="auto" w:fill="FFFFFF"/>
        </w:rPr>
        <w:t xml:space="preserve"> through individual drinkers. Th</w:t>
      </w:r>
      <w:r w:rsidR="001732E2" w:rsidRPr="0035594A">
        <w:rPr>
          <w:rFonts w:ascii="Arial" w:hAnsi="Arial" w:cs="Arial"/>
          <w:sz w:val="20"/>
          <w:szCs w:val="20"/>
          <w:shd w:val="clear" w:color="auto" w:fill="FFFFFF"/>
        </w:rPr>
        <w:t>e birds received 12</w:t>
      </w:r>
      <w:r w:rsidRPr="0035594A">
        <w:rPr>
          <w:rFonts w:ascii="Arial" w:hAnsi="Arial" w:cs="Arial"/>
          <w:sz w:val="20"/>
          <w:szCs w:val="20"/>
          <w:shd w:val="clear" w:color="auto" w:fill="FFFFFF"/>
        </w:rPr>
        <w:t xml:space="preserve"> hours of light each day, and we ensured natural airflow through sidewall openings in the poultry house. They were kept in ambient tropical conditions, with temperatures ranging from 25 to 32°C and relative humidity between 60 and 75%. We removed fecal material daily and sanitized the cages weekly. Before placing the birds, all cages were disinfected with quaternary ammonium compounds</w:t>
      </w:r>
      <w:r w:rsidR="001732E2" w:rsidRPr="0035594A">
        <w:rPr>
          <w:rFonts w:ascii="Arial" w:hAnsi="Arial" w:cs="Arial"/>
          <w:sz w:val="20"/>
          <w:szCs w:val="20"/>
          <w:shd w:val="clear" w:color="auto" w:fill="FFFFFF"/>
        </w:rPr>
        <w:t xml:space="preserve">. </w:t>
      </w:r>
      <w:r w:rsidRPr="0035594A">
        <w:rPr>
          <w:rFonts w:ascii="Arial" w:hAnsi="Arial" w:cs="Arial"/>
          <w:sz w:val="20"/>
          <w:szCs w:val="20"/>
          <w:shd w:val="clear" w:color="auto" w:fill="FFFFFF"/>
        </w:rPr>
        <w:t xml:space="preserve">It's important to mention that we did not continuously monitor </w:t>
      </w:r>
      <w:r w:rsidRPr="0035594A">
        <w:rPr>
          <w:rFonts w:ascii="Arial" w:hAnsi="Arial" w:cs="Arial"/>
          <w:sz w:val="20"/>
          <w:szCs w:val="20"/>
          <w:shd w:val="clear" w:color="auto" w:fill="FFFFFF"/>
        </w:rPr>
        <w:lastRenderedPageBreak/>
        <w:t>the temperature and humidity in the housing facility. This limitation and its potential implications are discussed in Section 4.</w:t>
      </w:r>
    </w:p>
    <w:p w14:paraId="23008613" w14:textId="77777777" w:rsidR="00F3241B" w:rsidRPr="0035594A" w:rsidRDefault="00F3241B" w:rsidP="00A937D4">
      <w:pPr>
        <w:outlineLvl w:val="1"/>
        <w:rPr>
          <w:rFonts w:ascii="Arial" w:eastAsia="Times New Roman" w:hAnsi="Arial" w:cs="Arial"/>
          <w:b/>
          <w:bCs/>
          <w:sz w:val="22"/>
          <w:szCs w:val="22"/>
        </w:rPr>
      </w:pPr>
      <w:r w:rsidRPr="0035594A">
        <w:rPr>
          <w:rFonts w:ascii="Arial" w:eastAsia="Times New Roman" w:hAnsi="Arial" w:cs="Arial"/>
          <w:bCs/>
          <w:sz w:val="22"/>
          <w:szCs w:val="22"/>
        </w:rPr>
        <w:t>2.3</w:t>
      </w:r>
      <w:r w:rsidRPr="0035594A">
        <w:rPr>
          <w:rFonts w:ascii="Arial" w:eastAsia="Times New Roman" w:hAnsi="Arial" w:cs="Arial"/>
          <w:b/>
          <w:bCs/>
          <w:sz w:val="22"/>
          <w:szCs w:val="22"/>
        </w:rPr>
        <w:t xml:space="preserve"> Experimental Design and Treatments</w:t>
      </w:r>
    </w:p>
    <w:p w14:paraId="662455CD" w14:textId="77777777" w:rsidR="00BF206C" w:rsidRPr="0035594A" w:rsidRDefault="00BF206C" w:rsidP="00A937D4">
      <w:pPr>
        <w:outlineLvl w:val="1"/>
        <w:rPr>
          <w:rFonts w:ascii="Arial" w:eastAsia="Times New Roman" w:hAnsi="Arial" w:cs="Arial"/>
          <w:b/>
          <w:bCs/>
          <w:sz w:val="22"/>
          <w:szCs w:val="22"/>
        </w:rPr>
      </w:pPr>
    </w:p>
    <w:p w14:paraId="1AFC7D94" w14:textId="77777777" w:rsidR="001501F1" w:rsidRPr="0035594A" w:rsidRDefault="00F3241B" w:rsidP="00BF206C">
      <w:pPr>
        <w:spacing w:line="480" w:lineRule="auto"/>
        <w:jc w:val="both"/>
        <w:rPr>
          <w:rFonts w:ascii="Arial" w:eastAsia="Times New Roman" w:hAnsi="Arial" w:cs="Arial"/>
          <w:sz w:val="20"/>
          <w:szCs w:val="20"/>
        </w:rPr>
      </w:pPr>
      <w:r w:rsidRPr="0035594A">
        <w:rPr>
          <w:rFonts w:ascii="Arial" w:eastAsia="Times New Roman" w:hAnsi="Arial" w:cs="Arial"/>
          <w:sz w:val="20"/>
          <w:szCs w:val="20"/>
        </w:rPr>
        <w:t xml:space="preserve">The study utilized a completely randomized design with three treatment groups, each consisting of eight cocks. The control group received 0.5 mL of distilled water daily via oral gavage. The low-dose garlic group was given 250 mg/kg body weight of garlic extract daily, while the high-dose garlic group received 500 mg/kg body weight. The doses of 250 mg/kg and 500 mg/kg were selected based on previous study demonstrating reproductive benefits in wistar rats (Abouzed </w:t>
      </w:r>
      <w:r w:rsidRPr="0035594A">
        <w:rPr>
          <w:rFonts w:ascii="Arial" w:eastAsia="Times New Roman" w:hAnsi="Arial" w:cs="Arial"/>
          <w:i/>
          <w:sz w:val="20"/>
          <w:szCs w:val="20"/>
        </w:rPr>
        <w:t>et al</w:t>
      </w:r>
      <w:r w:rsidRPr="0035594A">
        <w:rPr>
          <w:rFonts w:ascii="Arial" w:eastAsia="Times New Roman" w:hAnsi="Arial" w:cs="Arial"/>
          <w:sz w:val="20"/>
          <w:szCs w:val="20"/>
        </w:rPr>
        <w:t>.,2021). Treatments were administered once a day for eight consecutive weeks, with doses adjusted weekly according to each bird's individual body weight.</w:t>
      </w:r>
    </w:p>
    <w:p w14:paraId="636A6404" w14:textId="77777777" w:rsidR="00F3241B" w:rsidRPr="0035594A" w:rsidRDefault="00F3241B" w:rsidP="00BF206C">
      <w:pPr>
        <w:pStyle w:val="ListParagraph"/>
        <w:numPr>
          <w:ilvl w:val="1"/>
          <w:numId w:val="8"/>
        </w:numPr>
        <w:outlineLvl w:val="1"/>
        <w:rPr>
          <w:rFonts w:ascii="Arial" w:eastAsia="Times New Roman" w:hAnsi="Arial" w:cs="Arial"/>
          <w:b/>
          <w:bCs/>
          <w:sz w:val="22"/>
          <w:szCs w:val="22"/>
        </w:rPr>
      </w:pPr>
      <w:r w:rsidRPr="0035594A">
        <w:rPr>
          <w:rFonts w:ascii="Arial" w:eastAsia="Times New Roman" w:hAnsi="Arial" w:cs="Arial"/>
          <w:b/>
          <w:bCs/>
          <w:sz w:val="22"/>
          <w:szCs w:val="22"/>
        </w:rPr>
        <w:t>Preparation and Administration of Garlic Extract</w:t>
      </w:r>
    </w:p>
    <w:p w14:paraId="038BD1B6" w14:textId="77777777" w:rsidR="00BF206C" w:rsidRPr="0035594A" w:rsidRDefault="00BF206C" w:rsidP="00BF206C">
      <w:pPr>
        <w:outlineLvl w:val="1"/>
        <w:rPr>
          <w:rFonts w:ascii="Arial" w:eastAsia="Times New Roman" w:hAnsi="Arial" w:cs="Arial"/>
          <w:b/>
          <w:bCs/>
          <w:sz w:val="22"/>
          <w:szCs w:val="22"/>
        </w:rPr>
      </w:pPr>
    </w:p>
    <w:p w14:paraId="25F8E7F2" w14:textId="77777777" w:rsidR="00FB683C" w:rsidRPr="0035594A" w:rsidRDefault="00F3241B" w:rsidP="00FB683C">
      <w:pPr>
        <w:spacing w:line="480" w:lineRule="auto"/>
        <w:jc w:val="both"/>
        <w:rPr>
          <w:rFonts w:ascii="Arial" w:eastAsia="Times New Roman" w:hAnsi="Arial" w:cs="Arial"/>
        </w:rPr>
      </w:pPr>
      <w:r w:rsidRPr="0035594A">
        <w:rPr>
          <w:rFonts w:ascii="Arial" w:eastAsia="Times New Roman" w:hAnsi="Arial" w:cs="Arial"/>
          <w:sz w:val="20"/>
          <w:szCs w:val="20"/>
        </w:rPr>
        <w:t>Garlic extract was prepared using the ethanolic extraction method. Fresh garlic bulbs (3 kg) were purchased from Yola modern market, peeled, sliced, and air-dried for 48 hours. The dried garlic was macerated in 70% ethanol at a ratio of 1:10 (w/v) for 72 hours at room temperature with occasional stirring. The mixture was kept in darkness throughout the maceration period to preserve bioactive compounds. The mixture was then filtered through Whatman No. 1 filter paper, and the solvent was evaporated under reduced pressure using a rotary evaporator to obtain the crude extract. The extraction process yielded approximately 285 grams of crude ethanolic extract from 3 kg of fresh garlic bulbs (9.5% yield). The extract was stored at 4°C in airtight amber containers until use. On each day of treatment, the extract was reconstituted in distilled water to the appropriate concentration before administration by oral gavage</w:t>
      </w:r>
      <w:r w:rsidRPr="0035594A">
        <w:rPr>
          <w:rFonts w:ascii="Arial" w:eastAsia="Times New Roman" w:hAnsi="Arial" w:cs="Arial"/>
        </w:rPr>
        <w:t>.</w:t>
      </w:r>
    </w:p>
    <w:p w14:paraId="58E6E490" w14:textId="77777777" w:rsidR="00F3241B" w:rsidRPr="0035594A" w:rsidRDefault="00FB683C" w:rsidP="00FB683C">
      <w:pPr>
        <w:spacing w:line="480" w:lineRule="auto"/>
        <w:jc w:val="both"/>
        <w:rPr>
          <w:rFonts w:ascii="Arial" w:eastAsia="Times New Roman" w:hAnsi="Arial" w:cs="Arial"/>
        </w:rPr>
      </w:pPr>
      <w:r w:rsidRPr="0035594A">
        <w:rPr>
          <w:rFonts w:ascii="Arial" w:eastAsia="Times New Roman" w:hAnsi="Arial" w:cs="Arial"/>
        </w:rPr>
        <w:t xml:space="preserve">2.5 </w:t>
      </w:r>
      <w:r w:rsidR="00F3241B" w:rsidRPr="0035594A">
        <w:rPr>
          <w:rFonts w:ascii="Arial" w:eastAsia="Times New Roman" w:hAnsi="Arial" w:cs="Arial"/>
          <w:b/>
          <w:bCs/>
          <w:sz w:val="22"/>
          <w:szCs w:val="22"/>
        </w:rPr>
        <w:t>Semen Collection</w:t>
      </w:r>
    </w:p>
    <w:p w14:paraId="2CDB4440" w14:textId="77777777" w:rsidR="00D50CD1" w:rsidRPr="0035594A" w:rsidRDefault="00D50CD1" w:rsidP="001501F1">
      <w:pPr>
        <w:spacing w:line="480" w:lineRule="auto"/>
        <w:jc w:val="both"/>
        <w:rPr>
          <w:rFonts w:ascii="Arial" w:eastAsia="Times New Roman" w:hAnsi="Arial" w:cs="Arial"/>
          <w:sz w:val="20"/>
          <w:szCs w:val="20"/>
        </w:rPr>
      </w:pPr>
      <w:r w:rsidRPr="0035594A">
        <w:rPr>
          <w:rFonts w:ascii="Arial" w:hAnsi="Arial" w:cs="Arial"/>
          <w:sz w:val="20"/>
          <w:szCs w:val="20"/>
          <w:shd w:val="clear" w:color="auto" w:fill="FFFFFF"/>
        </w:rPr>
        <w:t>Semen was collected from each cock at week 0 (baseline), week 4, and week 8. All collections were performed in the morning (between 8:00-10:00 AM), two hours post-feeding, to minimize diurnal variation and ensure standardized metabolic conditions</w:t>
      </w:r>
      <w:r w:rsidR="000E0496" w:rsidRPr="0035594A">
        <w:rPr>
          <w:rFonts w:ascii="Arial" w:hAnsi="Arial" w:cs="Arial"/>
          <w:sz w:val="20"/>
          <w:szCs w:val="20"/>
          <w:shd w:val="clear" w:color="auto" w:fill="FFFFFF"/>
        </w:rPr>
        <w:t>. Before</w:t>
      </w:r>
      <w:r w:rsidRPr="0035594A">
        <w:rPr>
          <w:rFonts w:ascii="Arial" w:hAnsi="Arial" w:cs="Arial"/>
          <w:sz w:val="20"/>
          <w:szCs w:val="20"/>
          <w:shd w:val="clear" w:color="auto" w:fill="FFFFFF"/>
        </w:rPr>
        <w:t xml:space="preserve"> the baseline collection, cocks underwent two practice collection sessions to acclimatize them to the procedure and ensure consistent collection technique. The abdominal massage method, as described by Burrows and Quinn (1937), was employed. Care was taken to avoid any contamination of semen with cloacal products. The abdominal massage technique involved massaging the cloacal region to achieve phallic tumescence, followed by a cloacal stroke and a squeeze of the region surrounding the sides of the </w:t>
      </w:r>
      <w:r w:rsidRPr="0035594A">
        <w:rPr>
          <w:rFonts w:ascii="Arial" w:hAnsi="Arial" w:cs="Arial"/>
          <w:sz w:val="20"/>
          <w:szCs w:val="20"/>
          <w:shd w:val="clear" w:color="auto" w:fill="FFFFFF"/>
        </w:rPr>
        <w:lastRenderedPageBreak/>
        <w:t>cloaca to express the semen. The semen was then milked down by firm finger pressure on either side of the vent into labeled sterile collecting tubes.</w:t>
      </w:r>
    </w:p>
    <w:p w14:paraId="72D62037" w14:textId="77777777" w:rsidR="00F3241B" w:rsidRPr="0035594A" w:rsidRDefault="00F3241B" w:rsidP="001501F1">
      <w:pPr>
        <w:spacing w:line="480" w:lineRule="auto"/>
        <w:jc w:val="both"/>
        <w:rPr>
          <w:rFonts w:ascii="Arial" w:eastAsia="Times New Roman" w:hAnsi="Arial" w:cs="Arial"/>
          <w:sz w:val="20"/>
          <w:szCs w:val="20"/>
        </w:rPr>
      </w:pPr>
      <w:r w:rsidRPr="0035594A">
        <w:rPr>
          <w:rFonts w:ascii="Arial" w:eastAsia="Times New Roman" w:hAnsi="Arial" w:cs="Arial"/>
          <w:bCs/>
          <w:sz w:val="22"/>
          <w:szCs w:val="22"/>
        </w:rPr>
        <w:t>2.6</w:t>
      </w:r>
      <w:r w:rsidRPr="0035594A">
        <w:rPr>
          <w:rFonts w:ascii="Arial" w:eastAsia="Times New Roman" w:hAnsi="Arial" w:cs="Arial"/>
          <w:b/>
          <w:bCs/>
          <w:sz w:val="22"/>
          <w:szCs w:val="22"/>
        </w:rPr>
        <w:t xml:space="preserve"> Semen Evaluation</w:t>
      </w:r>
    </w:p>
    <w:p w14:paraId="1B9EDD70" w14:textId="77777777" w:rsidR="00F3241B" w:rsidRPr="0035594A" w:rsidRDefault="00F3241B" w:rsidP="00D50CD1">
      <w:pPr>
        <w:spacing w:line="480" w:lineRule="auto"/>
        <w:jc w:val="both"/>
        <w:rPr>
          <w:rFonts w:ascii="Arial" w:eastAsia="Times New Roman" w:hAnsi="Arial" w:cs="Arial"/>
          <w:sz w:val="20"/>
          <w:szCs w:val="20"/>
        </w:rPr>
      </w:pPr>
      <w:r w:rsidRPr="0035594A">
        <w:rPr>
          <w:rFonts w:ascii="Arial" w:eastAsia="Times New Roman" w:hAnsi="Arial" w:cs="Arial"/>
          <w:sz w:val="20"/>
          <w:szCs w:val="20"/>
        </w:rPr>
        <w:t>Semen samples were assessed within 15 minutes of collection. Semen volume was measured using graduated glass test tubes. Samples showing discoloration from pure white were rejected due to potential contamination with fecal matter or blood. Semen pH was determined using litmus paper (Medi-Test Combi 9™) by applying a drop of</w:t>
      </w:r>
      <w:r w:rsidR="000E0496" w:rsidRPr="0035594A">
        <w:rPr>
          <w:rFonts w:ascii="Arial" w:eastAsia="Times New Roman" w:hAnsi="Arial" w:cs="Arial"/>
          <w:sz w:val="20"/>
          <w:szCs w:val="20"/>
        </w:rPr>
        <w:t xml:space="preserve"> the</w:t>
      </w:r>
      <w:r w:rsidRPr="0035594A">
        <w:rPr>
          <w:rFonts w:ascii="Arial" w:eastAsia="Times New Roman" w:hAnsi="Arial" w:cs="Arial"/>
          <w:sz w:val="20"/>
          <w:szCs w:val="20"/>
        </w:rPr>
        <w:t xml:space="preserve"> sample and observing the resulting color change.</w:t>
      </w:r>
    </w:p>
    <w:p w14:paraId="38A1C41D" w14:textId="77777777" w:rsidR="00F3241B" w:rsidRPr="0035594A" w:rsidRDefault="00F3241B" w:rsidP="00F3241B">
      <w:pPr>
        <w:spacing w:line="480" w:lineRule="auto"/>
        <w:jc w:val="both"/>
        <w:rPr>
          <w:rFonts w:ascii="Arial" w:eastAsia="Times New Roman" w:hAnsi="Arial" w:cs="Arial"/>
          <w:sz w:val="20"/>
          <w:szCs w:val="20"/>
        </w:rPr>
      </w:pPr>
      <w:r w:rsidRPr="0035594A">
        <w:rPr>
          <w:rFonts w:ascii="Arial" w:eastAsia="Times New Roman" w:hAnsi="Arial" w:cs="Arial"/>
          <w:b/>
          <w:bCs/>
          <w:sz w:val="20"/>
          <w:szCs w:val="20"/>
        </w:rPr>
        <w:t>Sperm Motility:</w:t>
      </w:r>
      <w:r w:rsidRPr="0035594A">
        <w:rPr>
          <w:rFonts w:ascii="Arial" w:eastAsia="Times New Roman" w:hAnsi="Arial" w:cs="Arial"/>
          <w:sz w:val="20"/>
          <w:szCs w:val="20"/>
        </w:rPr>
        <w:t xml:space="preserve"> Motility assessment was conducted on diluted semen samples using a 1:250 dilution ratio in modified Ringer's solution, following the standardized protocol for avian semen evaluation (Pamungkas </w:t>
      </w:r>
      <w:r w:rsidRPr="0035594A">
        <w:rPr>
          <w:rFonts w:ascii="Arial" w:eastAsia="Times New Roman" w:hAnsi="Arial" w:cs="Arial"/>
          <w:i/>
          <w:sz w:val="20"/>
          <w:szCs w:val="20"/>
        </w:rPr>
        <w:t>et al</w:t>
      </w:r>
      <w:r w:rsidRPr="0035594A">
        <w:rPr>
          <w:rFonts w:ascii="Arial" w:eastAsia="Times New Roman" w:hAnsi="Arial" w:cs="Arial"/>
          <w:sz w:val="20"/>
          <w:szCs w:val="20"/>
        </w:rPr>
        <w:t>.,2025). A drop of diluted semen was placed on a clean glass slide, covered with a coverslip, and examined under 100× magnifications. Total motility represented the percentage of moving spermatozoa. Progressive motility was defined as spermatozoa exhibiting moderate to rapid forward movement, whereas non-progressive motility described spermatozoa displaying localized twitching without forward progression. Immotile spermatozoa showed no movement. A minimum of 15 microscopic fields were evaluated per sample to ensure representative assessment (WHO, 2010).</w:t>
      </w:r>
    </w:p>
    <w:p w14:paraId="30ED6FBE" w14:textId="77777777" w:rsidR="00F3241B" w:rsidRPr="0035594A" w:rsidRDefault="00F3241B" w:rsidP="00F3241B">
      <w:pPr>
        <w:spacing w:line="480" w:lineRule="auto"/>
        <w:jc w:val="both"/>
        <w:rPr>
          <w:rFonts w:ascii="Arial" w:eastAsia="Times New Roman" w:hAnsi="Arial" w:cs="Arial"/>
          <w:sz w:val="20"/>
          <w:szCs w:val="20"/>
        </w:rPr>
      </w:pPr>
      <w:r w:rsidRPr="0035594A">
        <w:rPr>
          <w:rFonts w:ascii="Arial" w:eastAsia="Times New Roman" w:hAnsi="Arial" w:cs="Arial"/>
          <w:b/>
          <w:bCs/>
          <w:sz w:val="20"/>
          <w:szCs w:val="20"/>
        </w:rPr>
        <w:t>Sperm Concentration:</w:t>
      </w:r>
      <w:r w:rsidRPr="0035594A">
        <w:rPr>
          <w:rFonts w:ascii="Arial" w:eastAsia="Times New Roman" w:hAnsi="Arial" w:cs="Arial"/>
          <w:sz w:val="20"/>
          <w:szCs w:val="20"/>
        </w:rPr>
        <w:t xml:space="preserve"> Sperm concentration, expressed as cells per milliliter (×10⁹/mL), was determined using a Neubauer hemocytometer following standardized dilution procedures and counting protocols for avian semen (Rakha </w:t>
      </w:r>
      <w:r w:rsidRPr="0035594A">
        <w:rPr>
          <w:rFonts w:ascii="Arial" w:eastAsia="Times New Roman" w:hAnsi="Arial" w:cs="Arial"/>
          <w:i/>
          <w:sz w:val="20"/>
          <w:szCs w:val="20"/>
        </w:rPr>
        <w:t>et al</w:t>
      </w:r>
      <w:r w:rsidRPr="0035594A">
        <w:rPr>
          <w:rFonts w:ascii="Arial" w:eastAsia="Times New Roman" w:hAnsi="Arial" w:cs="Arial"/>
          <w:sz w:val="20"/>
          <w:szCs w:val="20"/>
        </w:rPr>
        <w:t>.,2025). The semen was appropriately diluted to achieve accurate counts within the recommended range for hemocytometer analysis.</w:t>
      </w:r>
    </w:p>
    <w:p w14:paraId="1FE49262" w14:textId="77777777" w:rsidR="00F3241B" w:rsidRPr="0035594A" w:rsidRDefault="00F3241B" w:rsidP="00F3241B">
      <w:pPr>
        <w:spacing w:line="480" w:lineRule="auto"/>
        <w:jc w:val="both"/>
        <w:rPr>
          <w:rFonts w:ascii="Arial" w:eastAsia="Times New Roman" w:hAnsi="Arial" w:cs="Arial"/>
          <w:sz w:val="20"/>
          <w:szCs w:val="20"/>
        </w:rPr>
      </w:pPr>
      <w:r w:rsidRPr="0035594A">
        <w:rPr>
          <w:rFonts w:ascii="Arial" w:eastAsia="Times New Roman" w:hAnsi="Arial" w:cs="Arial"/>
          <w:b/>
          <w:bCs/>
          <w:sz w:val="20"/>
          <w:szCs w:val="20"/>
        </w:rPr>
        <w:t>Sperm Viability Assessment:</w:t>
      </w:r>
      <w:r w:rsidRPr="0035594A">
        <w:rPr>
          <w:rFonts w:ascii="Arial" w:eastAsia="Times New Roman" w:hAnsi="Arial" w:cs="Arial"/>
          <w:sz w:val="20"/>
          <w:szCs w:val="20"/>
        </w:rPr>
        <w:t xml:space="preserve"> Sperm viability was assessed using the eosin-nigrosin staining technique as described by</w:t>
      </w:r>
      <w:r w:rsidRPr="0035594A">
        <w:rPr>
          <w:rFonts w:ascii="Arial" w:hAnsi="Arial" w:cs="Arial"/>
          <w:sz w:val="22"/>
          <w:szCs w:val="22"/>
        </w:rPr>
        <w:t xml:space="preserve"> </w:t>
      </w:r>
      <w:r w:rsidRPr="0035594A">
        <w:rPr>
          <w:rFonts w:ascii="Arial" w:eastAsia="Times New Roman" w:hAnsi="Arial" w:cs="Arial"/>
          <w:sz w:val="20"/>
          <w:szCs w:val="20"/>
        </w:rPr>
        <w:t xml:space="preserve">Klimowicz-Bodys </w:t>
      </w:r>
      <w:r w:rsidRPr="0035594A">
        <w:rPr>
          <w:rFonts w:ascii="Arial" w:eastAsia="Times New Roman" w:hAnsi="Arial" w:cs="Arial"/>
          <w:i/>
          <w:sz w:val="20"/>
          <w:szCs w:val="20"/>
        </w:rPr>
        <w:t>et al</w:t>
      </w:r>
      <w:r w:rsidRPr="0035594A">
        <w:rPr>
          <w:rFonts w:ascii="Arial" w:eastAsia="Times New Roman" w:hAnsi="Arial" w:cs="Arial"/>
          <w:sz w:val="20"/>
          <w:szCs w:val="20"/>
        </w:rPr>
        <w:t>. (2012). A drop of semen was placed on a microscope slide using a micropipette, and then mixed with a drop of eosin-nigrosin stain. The mixture was smeared, air-dried, and examined at 100× magnification. Live spermatozoa (eosin-impermeable) and dead spermatozoa (eosin-permeable) were differentiated by counting 300 cells per sample, which represents the minimum recommended sample size for reliable sperm viability assessment (WHO, 2010).</w:t>
      </w:r>
    </w:p>
    <w:p w14:paraId="1ED08296" w14:textId="77777777" w:rsidR="00FF64AE" w:rsidRDefault="00F3241B" w:rsidP="00FF64AE">
      <w:pPr>
        <w:spacing w:line="480" w:lineRule="auto"/>
        <w:jc w:val="both"/>
        <w:rPr>
          <w:rFonts w:ascii="Arial" w:eastAsia="Times New Roman" w:hAnsi="Arial" w:cs="Arial"/>
          <w:sz w:val="20"/>
          <w:szCs w:val="20"/>
        </w:rPr>
      </w:pPr>
      <w:r w:rsidRPr="0035594A">
        <w:rPr>
          <w:rFonts w:ascii="Arial" w:eastAsia="Times New Roman" w:hAnsi="Arial" w:cs="Arial"/>
          <w:b/>
          <w:bCs/>
          <w:sz w:val="20"/>
          <w:szCs w:val="20"/>
        </w:rPr>
        <w:t>Sperm Morphology:</w:t>
      </w:r>
      <w:r w:rsidRPr="0035594A">
        <w:rPr>
          <w:rFonts w:ascii="Arial" w:eastAsia="Times New Roman" w:hAnsi="Arial" w:cs="Arial"/>
          <w:sz w:val="20"/>
          <w:szCs w:val="20"/>
        </w:rPr>
        <w:t xml:space="preserve"> Morphological evaluation was performed using eosin-nigrosin stained smears following established protocols for poultry semen assessment (Mortimer,</w:t>
      </w:r>
      <w:r w:rsidR="000E0496" w:rsidRPr="0035594A">
        <w:rPr>
          <w:rFonts w:ascii="Arial" w:eastAsia="Times New Roman" w:hAnsi="Arial" w:cs="Arial"/>
          <w:sz w:val="20"/>
          <w:szCs w:val="20"/>
        </w:rPr>
        <w:t xml:space="preserve"> </w:t>
      </w:r>
      <w:r w:rsidRPr="0035594A">
        <w:rPr>
          <w:rFonts w:ascii="Arial" w:eastAsia="Times New Roman" w:hAnsi="Arial" w:cs="Arial"/>
          <w:sz w:val="20"/>
          <w:szCs w:val="20"/>
        </w:rPr>
        <w:t xml:space="preserve">2020). Three hundred spermatozoa per sample were systematically examined to determine the percentage of morphological abnormalities, adhering to the standard cell count recommended for accurate morphological </w:t>
      </w:r>
      <w:r w:rsidRPr="0035594A">
        <w:rPr>
          <w:rFonts w:ascii="Arial" w:eastAsia="Times New Roman" w:hAnsi="Arial" w:cs="Arial"/>
          <w:sz w:val="20"/>
          <w:szCs w:val="20"/>
        </w:rPr>
        <w:lastRenderedPageBreak/>
        <w:t>assessment (WHO, 2010). Specific defects assessed included detached acrosome (intact acrosome separated from the head, neck, and tail), swollen acrosome (characterized by a distended and irregular apical ridge and neck region), and acrosome abnormalities (identified by irregular head shape on the acrosome).</w:t>
      </w:r>
    </w:p>
    <w:p w14:paraId="402E64D2" w14:textId="77777777" w:rsidR="00FF64AE" w:rsidRDefault="00FF64AE" w:rsidP="00FF64AE">
      <w:pPr>
        <w:spacing w:line="480" w:lineRule="auto"/>
        <w:jc w:val="both"/>
        <w:rPr>
          <w:rFonts w:ascii="Arial" w:eastAsia="Times New Roman" w:hAnsi="Arial" w:cs="Arial"/>
          <w:sz w:val="20"/>
          <w:szCs w:val="20"/>
        </w:rPr>
      </w:pPr>
    </w:p>
    <w:p w14:paraId="4EDEAC32" w14:textId="77777777" w:rsidR="00F3241B" w:rsidRPr="00FF64AE" w:rsidRDefault="00F3241B" w:rsidP="00FF64AE">
      <w:pPr>
        <w:spacing w:line="480" w:lineRule="auto"/>
        <w:jc w:val="both"/>
        <w:rPr>
          <w:rFonts w:ascii="Arial" w:eastAsia="Times New Roman" w:hAnsi="Arial" w:cs="Arial"/>
          <w:sz w:val="20"/>
          <w:szCs w:val="20"/>
        </w:rPr>
      </w:pPr>
      <w:r w:rsidRPr="0035594A">
        <w:rPr>
          <w:rFonts w:ascii="Arial" w:eastAsia="Times New Roman" w:hAnsi="Arial" w:cs="Arial"/>
          <w:bCs/>
          <w:sz w:val="22"/>
          <w:szCs w:val="22"/>
        </w:rPr>
        <w:t>2.7</w:t>
      </w:r>
      <w:r w:rsidRPr="0035594A">
        <w:rPr>
          <w:rFonts w:ascii="Arial" w:eastAsia="Times New Roman" w:hAnsi="Arial" w:cs="Arial"/>
          <w:b/>
          <w:bCs/>
          <w:sz w:val="22"/>
          <w:szCs w:val="22"/>
        </w:rPr>
        <w:t xml:space="preserve"> Blood Collection and Hormonal Assay</w:t>
      </w:r>
    </w:p>
    <w:p w14:paraId="4F80E72F" w14:textId="77777777" w:rsidR="00F3241B" w:rsidRPr="0035594A" w:rsidRDefault="00F3241B" w:rsidP="001501F1">
      <w:pPr>
        <w:spacing w:line="480" w:lineRule="auto"/>
        <w:jc w:val="both"/>
        <w:rPr>
          <w:rFonts w:ascii="Arial" w:eastAsia="Times New Roman" w:hAnsi="Arial" w:cs="Arial"/>
          <w:sz w:val="20"/>
          <w:szCs w:val="20"/>
        </w:rPr>
      </w:pPr>
      <w:r w:rsidRPr="0035594A">
        <w:rPr>
          <w:rFonts w:ascii="Arial" w:eastAsia="Times New Roman" w:hAnsi="Arial" w:cs="Arial"/>
          <w:sz w:val="20"/>
          <w:szCs w:val="20"/>
        </w:rPr>
        <w:t>Blood samples were collected from the wing vein at baseline (week 0), week 4, and week 8. Three milliliters of blood were obtained from each bird's wing vein each morning and transferred into plain collection tubes. Samples were allowed to clot at room temperature for one hour, and then centrifuged at 3000 rpm for 10 minutes to obtain serum. Serum was carefully transferred into sterile storage vials and stored at -20°C until analysis. Serum concentrations of follicle-stimulating hormone (FSH), luteinizing hormone (LH), and testosterone were quantified using Enzyme-Linked Immunosorbent Assay (ELISA) kits from Elabscience® (Texas, USA) according to</w:t>
      </w:r>
      <w:r w:rsidR="00B01E13" w:rsidRPr="0035594A">
        <w:rPr>
          <w:rFonts w:ascii="Arial" w:eastAsia="Times New Roman" w:hAnsi="Arial" w:cs="Arial"/>
          <w:sz w:val="20"/>
          <w:szCs w:val="20"/>
        </w:rPr>
        <w:t xml:space="preserve"> the</w:t>
      </w:r>
      <w:r w:rsidRPr="0035594A">
        <w:rPr>
          <w:rFonts w:ascii="Arial" w:eastAsia="Times New Roman" w:hAnsi="Arial" w:cs="Arial"/>
          <w:sz w:val="20"/>
          <w:szCs w:val="20"/>
        </w:rPr>
        <w:t xml:space="preserve"> manufacturer's instructions.</w:t>
      </w:r>
    </w:p>
    <w:p w14:paraId="1E755B88" w14:textId="77777777" w:rsidR="00F3241B" w:rsidRPr="0035594A" w:rsidRDefault="00CF17C6" w:rsidP="001501F1">
      <w:pPr>
        <w:outlineLvl w:val="1"/>
        <w:rPr>
          <w:rFonts w:ascii="Arial" w:eastAsia="Times New Roman" w:hAnsi="Arial" w:cs="Arial"/>
          <w:b/>
          <w:bCs/>
          <w:sz w:val="22"/>
          <w:szCs w:val="22"/>
        </w:rPr>
      </w:pPr>
      <w:r w:rsidRPr="0035594A">
        <w:rPr>
          <w:rFonts w:ascii="Arial" w:eastAsia="Times New Roman" w:hAnsi="Arial" w:cs="Arial"/>
          <w:bCs/>
          <w:sz w:val="22"/>
          <w:szCs w:val="22"/>
        </w:rPr>
        <w:t>2.9</w:t>
      </w:r>
      <w:r w:rsidR="00F3241B" w:rsidRPr="0035594A">
        <w:rPr>
          <w:rFonts w:ascii="Arial" w:eastAsia="Times New Roman" w:hAnsi="Arial" w:cs="Arial"/>
          <w:b/>
          <w:bCs/>
          <w:sz w:val="22"/>
          <w:szCs w:val="22"/>
        </w:rPr>
        <w:t xml:space="preserve"> Statistical Analysis</w:t>
      </w:r>
    </w:p>
    <w:p w14:paraId="174528FB" w14:textId="77777777" w:rsidR="00F3241B" w:rsidRPr="0035594A" w:rsidRDefault="00F3241B" w:rsidP="00DD0D65">
      <w:pPr>
        <w:spacing w:before="100" w:beforeAutospacing="1" w:after="100" w:afterAutospacing="1" w:line="480" w:lineRule="auto"/>
        <w:jc w:val="both"/>
        <w:rPr>
          <w:rFonts w:ascii="Arial" w:eastAsia="Times New Roman" w:hAnsi="Arial" w:cs="Arial"/>
          <w:sz w:val="20"/>
          <w:szCs w:val="20"/>
        </w:rPr>
      </w:pPr>
      <w:r w:rsidRPr="0035594A">
        <w:rPr>
          <w:rFonts w:ascii="Arial" w:eastAsia="Times New Roman" w:hAnsi="Arial" w:cs="Arial"/>
          <w:sz w:val="20"/>
          <w:szCs w:val="20"/>
        </w:rPr>
        <w:t>Data were analyzed us</w:t>
      </w:r>
      <w:r w:rsidR="009D0526" w:rsidRPr="0035594A">
        <w:rPr>
          <w:rFonts w:ascii="Arial" w:eastAsia="Times New Roman" w:hAnsi="Arial" w:cs="Arial"/>
          <w:sz w:val="20"/>
          <w:szCs w:val="20"/>
        </w:rPr>
        <w:t xml:space="preserve">ing linear mixed-effects models </w:t>
      </w:r>
      <w:r w:rsidRPr="0035594A">
        <w:rPr>
          <w:rFonts w:ascii="Arial" w:eastAsia="Times New Roman" w:hAnsi="Arial" w:cs="Arial"/>
          <w:sz w:val="20"/>
          <w:szCs w:val="20"/>
        </w:rPr>
        <w:t>with individual cocks as random effects and treatment, time, and the</w:t>
      </w:r>
      <w:r w:rsidR="009D0526" w:rsidRPr="0035594A">
        <w:rPr>
          <w:rFonts w:ascii="Arial" w:eastAsia="Times New Roman" w:hAnsi="Arial" w:cs="Arial"/>
          <w:sz w:val="20"/>
          <w:szCs w:val="20"/>
        </w:rPr>
        <w:t xml:space="preserve">ir interaction as fixed effects as described by Bates </w:t>
      </w:r>
      <w:r w:rsidR="009D0526" w:rsidRPr="0035594A">
        <w:rPr>
          <w:rFonts w:ascii="Arial" w:eastAsia="Times New Roman" w:hAnsi="Arial" w:cs="Arial"/>
          <w:i/>
          <w:sz w:val="20"/>
          <w:szCs w:val="20"/>
        </w:rPr>
        <w:t>et al</w:t>
      </w:r>
      <w:r w:rsidR="009D0526" w:rsidRPr="0035594A">
        <w:rPr>
          <w:rFonts w:ascii="Arial" w:eastAsia="Times New Roman" w:hAnsi="Arial" w:cs="Arial"/>
          <w:sz w:val="20"/>
          <w:szCs w:val="20"/>
        </w:rPr>
        <w:t>.</w:t>
      </w:r>
      <w:r w:rsidR="002E08E0" w:rsidRPr="0035594A">
        <w:rPr>
          <w:rFonts w:ascii="Arial" w:eastAsia="Times New Roman" w:hAnsi="Arial" w:cs="Arial"/>
          <w:sz w:val="20"/>
          <w:szCs w:val="20"/>
        </w:rPr>
        <w:t>(</w:t>
      </w:r>
      <w:r w:rsidR="009D0526" w:rsidRPr="0035594A">
        <w:rPr>
          <w:rFonts w:ascii="Arial" w:eastAsia="Times New Roman" w:hAnsi="Arial" w:cs="Arial"/>
          <w:sz w:val="20"/>
          <w:szCs w:val="20"/>
        </w:rPr>
        <w:t>2015</w:t>
      </w:r>
      <w:r w:rsidR="002E08E0" w:rsidRPr="0035594A">
        <w:rPr>
          <w:rFonts w:ascii="Arial" w:eastAsia="Times New Roman" w:hAnsi="Arial" w:cs="Arial"/>
          <w:sz w:val="20"/>
          <w:szCs w:val="20"/>
        </w:rPr>
        <w:t>)</w:t>
      </w:r>
      <w:r w:rsidR="009D0526" w:rsidRPr="0035594A">
        <w:rPr>
          <w:rFonts w:ascii="Arial" w:eastAsia="Times New Roman" w:hAnsi="Arial" w:cs="Arial"/>
          <w:sz w:val="20"/>
          <w:szCs w:val="20"/>
        </w:rPr>
        <w:t>.</w:t>
      </w:r>
      <w:r w:rsidRPr="0035594A">
        <w:rPr>
          <w:rFonts w:ascii="Arial" w:eastAsia="Times New Roman" w:hAnsi="Arial" w:cs="Arial"/>
          <w:sz w:val="20"/>
          <w:szCs w:val="20"/>
        </w:rPr>
        <w:t>Normality of residuals was assessed using the Shapiro-Wilk test, while homogeneity of variance was evaluated with Levene's test. Tukey's honest significant difference (HSD) test was employed for pairwise comparisons between treatment groups. Statistical significance was set at P &lt; 0.05, and results are presented as mean ± standard deviation. All statistical analyses were conducted using R software (version 4.0.0).</w:t>
      </w:r>
    </w:p>
    <w:p w14:paraId="5341DDFA" w14:textId="77777777" w:rsidR="00F3241B" w:rsidRPr="0035594A" w:rsidRDefault="00F3241B" w:rsidP="00FB683C">
      <w:pPr>
        <w:pStyle w:val="ListParagraph"/>
        <w:numPr>
          <w:ilvl w:val="0"/>
          <w:numId w:val="5"/>
        </w:numPr>
        <w:spacing w:after="200" w:line="276" w:lineRule="auto"/>
        <w:rPr>
          <w:rFonts w:ascii="Arial" w:hAnsi="Arial" w:cs="Arial"/>
          <w:b/>
          <w:sz w:val="22"/>
          <w:szCs w:val="22"/>
        </w:rPr>
      </w:pPr>
      <w:r w:rsidRPr="0035594A">
        <w:rPr>
          <w:rFonts w:ascii="Arial" w:hAnsi="Arial" w:cs="Arial"/>
          <w:b/>
          <w:sz w:val="22"/>
          <w:szCs w:val="22"/>
        </w:rPr>
        <w:t xml:space="preserve">RESULTS </w:t>
      </w:r>
    </w:p>
    <w:p w14:paraId="20EDB3E3" w14:textId="77777777" w:rsidR="00F3241B" w:rsidRPr="0035594A" w:rsidRDefault="00F3241B" w:rsidP="00F3241B">
      <w:pPr>
        <w:spacing w:after="200" w:line="480" w:lineRule="auto"/>
        <w:jc w:val="both"/>
        <w:rPr>
          <w:rFonts w:ascii="Arial" w:hAnsi="Arial" w:cs="Arial"/>
          <w:sz w:val="20"/>
          <w:szCs w:val="20"/>
        </w:rPr>
      </w:pPr>
      <w:r w:rsidRPr="0035594A">
        <w:rPr>
          <w:rFonts w:ascii="Arial" w:hAnsi="Arial" w:cs="Arial"/>
          <w:b/>
          <w:sz w:val="20"/>
          <w:szCs w:val="20"/>
        </w:rPr>
        <w:t xml:space="preserve">Table 1 </w:t>
      </w:r>
      <w:r w:rsidRPr="0035594A">
        <w:rPr>
          <w:rFonts w:ascii="Arial" w:hAnsi="Arial" w:cs="Arial"/>
          <w:sz w:val="20"/>
          <w:szCs w:val="20"/>
        </w:rPr>
        <w:t xml:space="preserve">below presents the effect of two different doses of ethanolic garlic extract (250 mg/kg and 500 mg/kg) on various semen quality parameters in Nigerian indigenous cocks </w:t>
      </w:r>
      <w:r w:rsidR="001C6BD7" w:rsidRPr="0035594A">
        <w:rPr>
          <w:rFonts w:ascii="Arial" w:hAnsi="Arial" w:cs="Arial"/>
          <w:sz w:val="20"/>
          <w:szCs w:val="20"/>
        </w:rPr>
        <w:t>over 8-weeks</w:t>
      </w:r>
      <w:r w:rsidRPr="0035594A">
        <w:rPr>
          <w:rFonts w:ascii="Arial" w:hAnsi="Arial" w:cs="Arial"/>
          <w:sz w:val="20"/>
          <w:szCs w:val="20"/>
        </w:rPr>
        <w:t xml:space="preserve">. The findings revealed that garlic supplementation, especially at both doses, led to a notable improvement in sperm motility and a reduction in morphological defects by weeks 4 and 8. Total motility rose from around 68% at the </w:t>
      </w:r>
      <w:r w:rsidR="001C6BD7" w:rsidRPr="0035594A">
        <w:rPr>
          <w:rFonts w:ascii="Arial" w:hAnsi="Arial" w:cs="Arial"/>
          <w:sz w:val="20"/>
          <w:szCs w:val="20"/>
        </w:rPr>
        <w:t>baseline to between 75</w:t>
      </w:r>
      <w:r w:rsidRPr="0035594A">
        <w:rPr>
          <w:rFonts w:ascii="Arial" w:hAnsi="Arial" w:cs="Arial"/>
          <w:sz w:val="20"/>
          <w:szCs w:val="20"/>
        </w:rPr>
        <w:t xml:space="preserve"> and 77% in the treated groups, while progressive motilit</w:t>
      </w:r>
      <w:r w:rsidR="001C6BD7" w:rsidRPr="0035594A">
        <w:rPr>
          <w:rFonts w:ascii="Arial" w:hAnsi="Arial" w:cs="Arial"/>
          <w:sz w:val="20"/>
          <w:szCs w:val="20"/>
        </w:rPr>
        <w:t>y improved from about 46% to 53</w:t>
      </w:r>
      <w:r w:rsidRPr="0035594A">
        <w:rPr>
          <w:rFonts w:ascii="Arial" w:hAnsi="Arial" w:cs="Arial"/>
          <w:sz w:val="20"/>
          <w:szCs w:val="20"/>
        </w:rPr>
        <w:t xml:space="preserve"> to 55%. Additionally, the rate of morphologi</w:t>
      </w:r>
      <w:r w:rsidR="001C6BD7" w:rsidRPr="0035594A">
        <w:rPr>
          <w:rFonts w:ascii="Arial" w:hAnsi="Arial" w:cs="Arial"/>
          <w:sz w:val="20"/>
          <w:szCs w:val="20"/>
        </w:rPr>
        <w:t>cal defects dropped from 14% to between 10</w:t>
      </w:r>
      <w:r w:rsidRPr="0035594A">
        <w:rPr>
          <w:rFonts w:ascii="Arial" w:hAnsi="Arial" w:cs="Arial"/>
          <w:sz w:val="20"/>
          <w:szCs w:val="20"/>
        </w:rPr>
        <w:t xml:space="preserve"> and 12% in the cocks that received garlic. However, there were no significant </w:t>
      </w:r>
      <w:r w:rsidRPr="0035594A">
        <w:rPr>
          <w:rFonts w:ascii="Arial" w:hAnsi="Arial" w:cs="Arial"/>
          <w:sz w:val="20"/>
          <w:szCs w:val="20"/>
        </w:rPr>
        <w:lastRenderedPageBreak/>
        <w:t>changes in ejaculate volume, sperm concentration, or viability across the groups, indicating that garlic extract primarily enhances sperm quality through better motility and morphology rather than increasing quantity.</w:t>
      </w:r>
    </w:p>
    <w:p w14:paraId="5A1ACCCD" w14:textId="77777777" w:rsidR="00F3241B" w:rsidRDefault="007B5D61" w:rsidP="00F3241B">
      <w:pPr>
        <w:spacing w:after="200" w:line="480" w:lineRule="auto"/>
        <w:jc w:val="both"/>
        <w:rPr>
          <w:rFonts w:ascii="Arial" w:hAnsi="Arial" w:cs="Arial"/>
          <w:sz w:val="20"/>
          <w:szCs w:val="20"/>
          <w:shd w:val="clear" w:color="auto" w:fill="FFFFFF"/>
        </w:rPr>
      </w:pPr>
      <w:r w:rsidRPr="0035594A">
        <w:rPr>
          <w:rFonts w:ascii="Arial" w:hAnsi="Arial" w:cs="Arial"/>
          <w:b/>
          <w:sz w:val="20"/>
          <w:szCs w:val="20"/>
          <w:shd w:val="clear" w:color="auto" w:fill="FFFFFF"/>
        </w:rPr>
        <w:t>Table 2</w:t>
      </w:r>
      <w:r w:rsidRPr="0035594A">
        <w:rPr>
          <w:rFonts w:ascii="Arial" w:hAnsi="Arial" w:cs="Arial"/>
          <w:sz w:val="20"/>
          <w:szCs w:val="20"/>
          <w:shd w:val="clear" w:color="auto" w:fill="FFFFFF"/>
        </w:rPr>
        <w:t xml:space="preserve"> below illustrates the hormonal shifts in Nigerian indigenous cocks following garlic extract supplementation over 8 weeks. The standout observation is the significant rise in testosterone levels in both treatment groups. Testosterone levels climbed from baseline values of 3.7-3.9 ng/mL to 4.6 ng/mL (15.0% </w:t>
      </w:r>
      <w:r w:rsidR="00C21981" w:rsidRPr="0035594A">
        <w:rPr>
          <w:rFonts w:ascii="Arial" w:hAnsi="Arial" w:cs="Arial"/>
          <w:sz w:val="20"/>
          <w:szCs w:val="20"/>
          <w:shd w:val="clear" w:color="auto" w:fill="FFFFFF"/>
        </w:rPr>
        <w:t>increase</w:t>
      </w:r>
      <w:r w:rsidRPr="0035594A">
        <w:rPr>
          <w:rFonts w:ascii="Arial" w:hAnsi="Arial" w:cs="Arial"/>
          <w:sz w:val="20"/>
          <w:szCs w:val="20"/>
          <w:shd w:val="clear" w:color="auto" w:fill="FFFFFF"/>
        </w:rPr>
        <w:t>) and 4.9 ng/mL (22.5% increase) at week 4 in the low-dose and high-dose groups respectively, compared to 4.0 ng/mL in controls. By week 8, testosterone levels reached 5.0 ng/mL (28.2% increase) and 5.4 ng/mL (38.5% increase) in the garlic-supplemented cocks, compared to 3.9 ng/mL in controls. These changes were statistically significant at both weeks 4 and 8. However, LH and FSH levels only showed minor, non-significant increases throughout the treatment period, suggesting that garlic extract mainly boosts reproductive benefits through androgenic stimulation rather than by modulating gonadotropins.</w:t>
      </w:r>
    </w:p>
    <w:p w14:paraId="512FBD4C" w14:textId="77777777" w:rsidR="00FF64AE" w:rsidRDefault="00FF64AE" w:rsidP="00F3241B">
      <w:pPr>
        <w:spacing w:after="200" w:line="480" w:lineRule="auto"/>
        <w:jc w:val="both"/>
        <w:rPr>
          <w:rFonts w:ascii="Arial" w:hAnsi="Arial" w:cs="Arial"/>
          <w:sz w:val="20"/>
          <w:szCs w:val="20"/>
          <w:shd w:val="clear" w:color="auto" w:fill="FFFFFF"/>
        </w:rPr>
      </w:pPr>
    </w:p>
    <w:p w14:paraId="2F7DEADF" w14:textId="77777777" w:rsidR="00FF64AE" w:rsidRDefault="00FF64AE" w:rsidP="00F3241B">
      <w:pPr>
        <w:spacing w:after="200" w:line="480" w:lineRule="auto"/>
        <w:jc w:val="both"/>
        <w:rPr>
          <w:rFonts w:ascii="Arial" w:hAnsi="Arial" w:cs="Arial"/>
          <w:sz w:val="20"/>
          <w:szCs w:val="20"/>
          <w:shd w:val="clear" w:color="auto" w:fill="FFFFFF"/>
        </w:rPr>
      </w:pPr>
    </w:p>
    <w:p w14:paraId="0CA833D3" w14:textId="77777777" w:rsidR="00FF64AE" w:rsidRDefault="00FF64AE" w:rsidP="00F3241B">
      <w:pPr>
        <w:spacing w:after="200" w:line="480" w:lineRule="auto"/>
        <w:jc w:val="both"/>
        <w:rPr>
          <w:rFonts w:ascii="Arial" w:hAnsi="Arial" w:cs="Arial"/>
          <w:sz w:val="20"/>
          <w:szCs w:val="20"/>
          <w:shd w:val="clear" w:color="auto" w:fill="FFFFFF"/>
        </w:rPr>
      </w:pPr>
    </w:p>
    <w:p w14:paraId="2BD8CBB8" w14:textId="77777777" w:rsidR="00FF64AE" w:rsidRDefault="00FF64AE" w:rsidP="00F3241B">
      <w:pPr>
        <w:spacing w:after="200" w:line="480" w:lineRule="auto"/>
        <w:jc w:val="both"/>
        <w:rPr>
          <w:rFonts w:ascii="Arial" w:hAnsi="Arial" w:cs="Arial"/>
          <w:sz w:val="20"/>
          <w:szCs w:val="20"/>
          <w:shd w:val="clear" w:color="auto" w:fill="FFFFFF"/>
        </w:rPr>
      </w:pPr>
    </w:p>
    <w:p w14:paraId="370C0FCF" w14:textId="77777777" w:rsidR="00FF64AE" w:rsidRDefault="00FF64AE" w:rsidP="00F3241B">
      <w:pPr>
        <w:spacing w:after="200" w:line="480" w:lineRule="auto"/>
        <w:jc w:val="both"/>
        <w:rPr>
          <w:rFonts w:ascii="Arial" w:hAnsi="Arial" w:cs="Arial"/>
          <w:sz w:val="20"/>
          <w:szCs w:val="20"/>
          <w:shd w:val="clear" w:color="auto" w:fill="FFFFFF"/>
        </w:rPr>
      </w:pPr>
    </w:p>
    <w:p w14:paraId="64C75A5A" w14:textId="77777777" w:rsidR="00FF64AE" w:rsidRDefault="00FF64AE" w:rsidP="00F3241B">
      <w:pPr>
        <w:spacing w:after="200" w:line="480" w:lineRule="auto"/>
        <w:jc w:val="both"/>
        <w:rPr>
          <w:rFonts w:ascii="Arial" w:hAnsi="Arial" w:cs="Arial"/>
          <w:sz w:val="20"/>
          <w:szCs w:val="20"/>
          <w:shd w:val="clear" w:color="auto" w:fill="FFFFFF"/>
        </w:rPr>
      </w:pPr>
    </w:p>
    <w:p w14:paraId="4EE22CF3" w14:textId="77777777" w:rsidR="00FF64AE" w:rsidRDefault="00FF64AE" w:rsidP="00F3241B">
      <w:pPr>
        <w:spacing w:after="200" w:line="480" w:lineRule="auto"/>
        <w:jc w:val="both"/>
        <w:rPr>
          <w:rFonts w:ascii="Arial" w:hAnsi="Arial" w:cs="Arial"/>
          <w:sz w:val="20"/>
          <w:szCs w:val="20"/>
          <w:shd w:val="clear" w:color="auto" w:fill="FFFFFF"/>
        </w:rPr>
      </w:pPr>
    </w:p>
    <w:p w14:paraId="55E34297" w14:textId="77777777" w:rsidR="00FF64AE" w:rsidRDefault="00FF64AE" w:rsidP="00F3241B">
      <w:pPr>
        <w:spacing w:after="200" w:line="480" w:lineRule="auto"/>
        <w:jc w:val="both"/>
        <w:rPr>
          <w:rFonts w:ascii="Arial" w:hAnsi="Arial" w:cs="Arial"/>
          <w:sz w:val="20"/>
          <w:szCs w:val="20"/>
          <w:shd w:val="clear" w:color="auto" w:fill="FFFFFF"/>
        </w:rPr>
      </w:pPr>
    </w:p>
    <w:p w14:paraId="0A7E6C4E" w14:textId="77777777" w:rsidR="00FF64AE" w:rsidRDefault="00FF64AE" w:rsidP="00F3241B">
      <w:pPr>
        <w:spacing w:after="200" w:line="480" w:lineRule="auto"/>
        <w:jc w:val="both"/>
        <w:rPr>
          <w:rFonts w:ascii="Arial" w:hAnsi="Arial" w:cs="Arial"/>
          <w:sz w:val="20"/>
          <w:szCs w:val="20"/>
          <w:shd w:val="clear" w:color="auto" w:fill="FFFFFF"/>
        </w:rPr>
      </w:pPr>
    </w:p>
    <w:p w14:paraId="2F0DB0D2" w14:textId="77777777" w:rsidR="00FF64AE" w:rsidRDefault="00FF64AE" w:rsidP="00F3241B">
      <w:pPr>
        <w:spacing w:after="200" w:line="480" w:lineRule="auto"/>
        <w:jc w:val="both"/>
        <w:rPr>
          <w:rFonts w:ascii="Arial" w:hAnsi="Arial" w:cs="Arial"/>
          <w:sz w:val="20"/>
          <w:szCs w:val="20"/>
          <w:shd w:val="clear" w:color="auto" w:fill="FFFFFF"/>
        </w:rPr>
      </w:pPr>
    </w:p>
    <w:p w14:paraId="3B4542E1" w14:textId="77777777" w:rsidR="00FF64AE" w:rsidRPr="0035594A" w:rsidRDefault="00FF64AE" w:rsidP="00F3241B">
      <w:pPr>
        <w:spacing w:after="200" w:line="480" w:lineRule="auto"/>
        <w:jc w:val="both"/>
        <w:rPr>
          <w:rFonts w:ascii="Arial" w:hAnsi="Arial" w:cs="Arial"/>
          <w:sz w:val="20"/>
          <w:szCs w:val="20"/>
        </w:rPr>
      </w:pPr>
    </w:p>
    <w:p w14:paraId="6B237C5D" w14:textId="77777777" w:rsidR="00F3241B" w:rsidRPr="0035594A" w:rsidRDefault="00F3241B" w:rsidP="00F3241B">
      <w:pPr>
        <w:keepNext/>
        <w:keepLines/>
        <w:spacing w:before="200" w:line="276" w:lineRule="auto"/>
        <w:jc w:val="both"/>
        <w:outlineLvl w:val="1"/>
        <w:rPr>
          <w:rFonts w:ascii="Arial" w:eastAsiaTheme="majorEastAsia" w:hAnsi="Arial" w:cs="Arial"/>
          <w:b/>
          <w:bCs/>
          <w:sz w:val="22"/>
          <w:szCs w:val="22"/>
        </w:rPr>
      </w:pPr>
      <w:r w:rsidRPr="0035594A">
        <w:rPr>
          <w:rFonts w:ascii="Arial" w:eastAsiaTheme="majorEastAsia" w:hAnsi="Arial" w:cs="Arial"/>
          <w:b/>
          <w:bCs/>
          <w:sz w:val="22"/>
          <w:szCs w:val="22"/>
        </w:rPr>
        <w:lastRenderedPageBreak/>
        <w:t>Table 1: Effect of Ethanolic Garlic Extract on Semen Quality of Nigerian Indigenous Cocks</w:t>
      </w:r>
    </w:p>
    <w:tbl>
      <w:tblPr>
        <w:tblpPr w:leftFromText="180" w:rightFromText="180" w:vertAnchor="text" w:horzAnchor="margin" w:tblpY="56"/>
        <w:tblW w:w="0" w:type="auto"/>
        <w:tblLook w:val="04A0" w:firstRow="1" w:lastRow="0" w:firstColumn="1" w:lastColumn="0" w:noHBand="0" w:noVBand="1"/>
      </w:tblPr>
      <w:tblGrid>
        <w:gridCol w:w="1728"/>
        <w:gridCol w:w="1728"/>
        <w:gridCol w:w="1728"/>
        <w:gridCol w:w="1728"/>
        <w:gridCol w:w="1728"/>
      </w:tblGrid>
      <w:tr w:rsidR="0035594A" w:rsidRPr="0035594A" w14:paraId="64C461B6" w14:textId="77777777" w:rsidTr="00670AD8">
        <w:tc>
          <w:tcPr>
            <w:tcW w:w="1728" w:type="dxa"/>
            <w:tcBorders>
              <w:top w:val="single" w:sz="4" w:space="0" w:color="auto"/>
              <w:bottom w:val="single" w:sz="4" w:space="0" w:color="auto"/>
            </w:tcBorders>
          </w:tcPr>
          <w:p w14:paraId="4B66F8B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Parameters</w:t>
            </w:r>
          </w:p>
        </w:tc>
        <w:tc>
          <w:tcPr>
            <w:tcW w:w="1728" w:type="dxa"/>
            <w:tcBorders>
              <w:top w:val="single" w:sz="4" w:space="0" w:color="auto"/>
              <w:bottom w:val="single" w:sz="4" w:space="0" w:color="auto"/>
            </w:tcBorders>
          </w:tcPr>
          <w:p w14:paraId="485F705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Week</w:t>
            </w:r>
          </w:p>
        </w:tc>
        <w:tc>
          <w:tcPr>
            <w:tcW w:w="1728" w:type="dxa"/>
            <w:tcBorders>
              <w:top w:val="single" w:sz="4" w:space="0" w:color="auto"/>
              <w:bottom w:val="single" w:sz="4" w:space="0" w:color="auto"/>
            </w:tcBorders>
          </w:tcPr>
          <w:p w14:paraId="1065DC3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Control</w:t>
            </w:r>
          </w:p>
        </w:tc>
        <w:tc>
          <w:tcPr>
            <w:tcW w:w="1728" w:type="dxa"/>
            <w:tcBorders>
              <w:top w:val="single" w:sz="4" w:space="0" w:color="auto"/>
              <w:bottom w:val="single" w:sz="4" w:space="0" w:color="auto"/>
            </w:tcBorders>
          </w:tcPr>
          <w:p w14:paraId="2EBD7083"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Low-garlic (250mg/kg)</w:t>
            </w:r>
          </w:p>
        </w:tc>
        <w:tc>
          <w:tcPr>
            <w:tcW w:w="1728" w:type="dxa"/>
            <w:tcBorders>
              <w:top w:val="single" w:sz="4" w:space="0" w:color="auto"/>
              <w:bottom w:val="single" w:sz="4" w:space="0" w:color="auto"/>
            </w:tcBorders>
          </w:tcPr>
          <w:p w14:paraId="34921F37"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High-garlic (500mg/kg)</w:t>
            </w:r>
          </w:p>
        </w:tc>
      </w:tr>
      <w:tr w:rsidR="0035594A" w:rsidRPr="0035594A" w14:paraId="15317A43" w14:textId="77777777" w:rsidTr="00670AD8">
        <w:tc>
          <w:tcPr>
            <w:tcW w:w="1728" w:type="dxa"/>
            <w:tcBorders>
              <w:top w:val="single" w:sz="4" w:space="0" w:color="auto"/>
            </w:tcBorders>
          </w:tcPr>
          <w:p w14:paraId="5CE57010" w14:textId="77777777" w:rsidR="00F3241B" w:rsidRPr="0035594A" w:rsidRDefault="00F3241B" w:rsidP="00F3241B">
            <w:pPr>
              <w:jc w:val="both"/>
              <w:rPr>
                <w:rFonts w:ascii="Arial" w:hAnsi="Arial" w:cs="Arial"/>
                <w:sz w:val="20"/>
                <w:szCs w:val="20"/>
              </w:rPr>
            </w:pPr>
          </w:p>
          <w:p w14:paraId="6908F3B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Ejaculate Volume (mL)</w:t>
            </w:r>
          </w:p>
        </w:tc>
        <w:tc>
          <w:tcPr>
            <w:tcW w:w="1728" w:type="dxa"/>
            <w:tcBorders>
              <w:top w:val="single" w:sz="4" w:space="0" w:color="auto"/>
            </w:tcBorders>
          </w:tcPr>
          <w:p w14:paraId="1779E45C" w14:textId="77777777" w:rsidR="00F3241B" w:rsidRPr="0035594A" w:rsidRDefault="00F3241B" w:rsidP="00F3241B">
            <w:pPr>
              <w:jc w:val="both"/>
              <w:rPr>
                <w:rFonts w:ascii="Arial" w:hAnsi="Arial" w:cs="Arial"/>
                <w:sz w:val="20"/>
                <w:szCs w:val="20"/>
              </w:rPr>
            </w:pPr>
          </w:p>
          <w:p w14:paraId="3A3A5817"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Borders>
              <w:top w:val="single" w:sz="4" w:space="0" w:color="auto"/>
            </w:tcBorders>
          </w:tcPr>
          <w:p w14:paraId="6B524CCF" w14:textId="77777777" w:rsidR="00F3241B" w:rsidRPr="0035594A" w:rsidRDefault="00F3241B" w:rsidP="00F3241B">
            <w:pPr>
              <w:jc w:val="both"/>
              <w:rPr>
                <w:rFonts w:ascii="Arial" w:hAnsi="Arial" w:cs="Arial"/>
                <w:sz w:val="20"/>
                <w:szCs w:val="20"/>
              </w:rPr>
            </w:pPr>
          </w:p>
          <w:p w14:paraId="4F5994F6"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0.42 ± 0.11</w:t>
            </w:r>
          </w:p>
        </w:tc>
        <w:tc>
          <w:tcPr>
            <w:tcW w:w="1728" w:type="dxa"/>
            <w:tcBorders>
              <w:top w:val="single" w:sz="4" w:space="0" w:color="auto"/>
            </w:tcBorders>
          </w:tcPr>
          <w:p w14:paraId="3AB493A2" w14:textId="77777777" w:rsidR="00F3241B" w:rsidRPr="0035594A" w:rsidRDefault="00F3241B" w:rsidP="00F3241B">
            <w:pPr>
              <w:jc w:val="both"/>
              <w:rPr>
                <w:rFonts w:ascii="Arial" w:hAnsi="Arial" w:cs="Arial"/>
                <w:sz w:val="20"/>
                <w:szCs w:val="20"/>
              </w:rPr>
            </w:pPr>
          </w:p>
          <w:p w14:paraId="3C9087C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0.44 ± 0.08</w:t>
            </w:r>
          </w:p>
        </w:tc>
        <w:tc>
          <w:tcPr>
            <w:tcW w:w="1728" w:type="dxa"/>
            <w:tcBorders>
              <w:top w:val="single" w:sz="4" w:space="0" w:color="auto"/>
            </w:tcBorders>
          </w:tcPr>
          <w:p w14:paraId="0FB542D9" w14:textId="77777777" w:rsidR="00F3241B" w:rsidRPr="0035594A" w:rsidRDefault="00F3241B" w:rsidP="00F3241B">
            <w:pPr>
              <w:jc w:val="both"/>
              <w:rPr>
                <w:rFonts w:ascii="Arial" w:hAnsi="Arial" w:cs="Arial"/>
                <w:sz w:val="20"/>
                <w:szCs w:val="20"/>
              </w:rPr>
            </w:pPr>
          </w:p>
          <w:p w14:paraId="37D22DB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0.40 ± 0.09</w:t>
            </w:r>
          </w:p>
        </w:tc>
      </w:tr>
      <w:tr w:rsidR="0035594A" w:rsidRPr="0035594A" w14:paraId="37787A94" w14:textId="77777777" w:rsidTr="00670AD8">
        <w:tc>
          <w:tcPr>
            <w:tcW w:w="1728" w:type="dxa"/>
          </w:tcPr>
          <w:p w14:paraId="262C2493" w14:textId="77777777" w:rsidR="00F3241B" w:rsidRPr="0035594A" w:rsidRDefault="00F3241B" w:rsidP="00F3241B">
            <w:pPr>
              <w:jc w:val="both"/>
              <w:rPr>
                <w:rFonts w:ascii="Arial" w:hAnsi="Arial" w:cs="Arial"/>
                <w:sz w:val="20"/>
                <w:szCs w:val="20"/>
              </w:rPr>
            </w:pPr>
          </w:p>
        </w:tc>
        <w:tc>
          <w:tcPr>
            <w:tcW w:w="1728" w:type="dxa"/>
          </w:tcPr>
          <w:p w14:paraId="0683D2C7"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0A39D8B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0.48 ± 0.12</w:t>
            </w:r>
          </w:p>
        </w:tc>
        <w:tc>
          <w:tcPr>
            <w:tcW w:w="1728" w:type="dxa"/>
          </w:tcPr>
          <w:p w14:paraId="683A9AD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0.52 ± 0.14</w:t>
            </w:r>
          </w:p>
        </w:tc>
        <w:tc>
          <w:tcPr>
            <w:tcW w:w="1728" w:type="dxa"/>
          </w:tcPr>
          <w:p w14:paraId="2B53588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0.49 ± 0.13</w:t>
            </w:r>
          </w:p>
        </w:tc>
      </w:tr>
      <w:tr w:rsidR="0035594A" w:rsidRPr="0035594A" w14:paraId="5767E15E" w14:textId="77777777" w:rsidTr="00670AD8">
        <w:tc>
          <w:tcPr>
            <w:tcW w:w="1728" w:type="dxa"/>
          </w:tcPr>
          <w:p w14:paraId="24034E71" w14:textId="77777777" w:rsidR="00F3241B" w:rsidRPr="0035594A" w:rsidRDefault="00F3241B" w:rsidP="00F3241B">
            <w:pPr>
              <w:jc w:val="both"/>
              <w:rPr>
                <w:rFonts w:ascii="Arial" w:hAnsi="Arial" w:cs="Arial"/>
                <w:sz w:val="20"/>
                <w:szCs w:val="20"/>
              </w:rPr>
            </w:pPr>
          </w:p>
        </w:tc>
        <w:tc>
          <w:tcPr>
            <w:tcW w:w="1728" w:type="dxa"/>
          </w:tcPr>
          <w:p w14:paraId="2DE5144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p w14:paraId="4846B4DD" w14:textId="77777777" w:rsidR="00F3241B" w:rsidRPr="0035594A" w:rsidRDefault="00F3241B" w:rsidP="00F3241B">
            <w:pPr>
              <w:jc w:val="both"/>
              <w:rPr>
                <w:rFonts w:ascii="Arial" w:hAnsi="Arial" w:cs="Arial"/>
                <w:sz w:val="20"/>
                <w:szCs w:val="20"/>
              </w:rPr>
            </w:pPr>
          </w:p>
        </w:tc>
        <w:tc>
          <w:tcPr>
            <w:tcW w:w="1728" w:type="dxa"/>
          </w:tcPr>
          <w:p w14:paraId="5B95656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0.51 ± 0.15</w:t>
            </w:r>
          </w:p>
        </w:tc>
        <w:tc>
          <w:tcPr>
            <w:tcW w:w="1728" w:type="dxa"/>
          </w:tcPr>
          <w:p w14:paraId="0D60794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0.46 ± 0.10</w:t>
            </w:r>
          </w:p>
        </w:tc>
        <w:tc>
          <w:tcPr>
            <w:tcW w:w="1728" w:type="dxa"/>
          </w:tcPr>
          <w:p w14:paraId="4918CC7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0.50 ± 0.16</w:t>
            </w:r>
          </w:p>
        </w:tc>
      </w:tr>
      <w:tr w:rsidR="0035594A" w:rsidRPr="0035594A" w14:paraId="20965B41" w14:textId="77777777" w:rsidTr="00670AD8">
        <w:tc>
          <w:tcPr>
            <w:tcW w:w="1728" w:type="dxa"/>
          </w:tcPr>
          <w:p w14:paraId="473DB69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Sperm Concentration (×10⁹/mL)</w:t>
            </w:r>
          </w:p>
        </w:tc>
        <w:tc>
          <w:tcPr>
            <w:tcW w:w="1728" w:type="dxa"/>
          </w:tcPr>
          <w:p w14:paraId="2592270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Pr>
          <w:p w14:paraId="72F01A8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2.1 ± 0.6</w:t>
            </w:r>
          </w:p>
        </w:tc>
        <w:tc>
          <w:tcPr>
            <w:tcW w:w="1728" w:type="dxa"/>
          </w:tcPr>
          <w:p w14:paraId="00365E8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2.3 ± 0.4</w:t>
            </w:r>
          </w:p>
        </w:tc>
        <w:tc>
          <w:tcPr>
            <w:tcW w:w="1728" w:type="dxa"/>
          </w:tcPr>
          <w:p w14:paraId="40D4037B"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2.2 ± 0.5</w:t>
            </w:r>
          </w:p>
        </w:tc>
      </w:tr>
      <w:tr w:rsidR="0035594A" w:rsidRPr="0035594A" w14:paraId="55D66161" w14:textId="77777777" w:rsidTr="00670AD8">
        <w:tc>
          <w:tcPr>
            <w:tcW w:w="1728" w:type="dxa"/>
          </w:tcPr>
          <w:p w14:paraId="43379F1C" w14:textId="77777777" w:rsidR="00F3241B" w:rsidRPr="0035594A" w:rsidRDefault="00F3241B" w:rsidP="00F3241B">
            <w:pPr>
              <w:jc w:val="both"/>
              <w:rPr>
                <w:rFonts w:ascii="Arial" w:hAnsi="Arial" w:cs="Arial"/>
                <w:sz w:val="20"/>
                <w:szCs w:val="20"/>
              </w:rPr>
            </w:pPr>
          </w:p>
        </w:tc>
        <w:tc>
          <w:tcPr>
            <w:tcW w:w="1728" w:type="dxa"/>
          </w:tcPr>
          <w:p w14:paraId="47DFCE7C"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700158A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2.5 ± 0.7</w:t>
            </w:r>
          </w:p>
        </w:tc>
        <w:tc>
          <w:tcPr>
            <w:tcW w:w="1728" w:type="dxa"/>
          </w:tcPr>
          <w:p w14:paraId="7EB367FE"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2.8 ± 0.8</w:t>
            </w:r>
          </w:p>
        </w:tc>
        <w:tc>
          <w:tcPr>
            <w:tcW w:w="1728" w:type="dxa"/>
          </w:tcPr>
          <w:p w14:paraId="43A96D6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2.9 ± 0.9</w:t>
            </w:r>
          </w:p>
        </w:tc>
      </w:tr>
      <w:tr w:rsidR="0035594A" w:rsidRPr="0035594A" w14:paraId="16114716" w14:textId="77777777" w:rsidTr="00670AD8">
        <w:tc>
          <w:tcPr>
            <w:tcW w:w="1728" w:type="dxa"/>
          </w:tcPr>
          <w:p w14:paraId="1C62AE17" w14:textId="77777777" w:rsidR="00F3241B" w:rsidRPr="0035594A" w:rsidRDefault="00F3241B" w:rsidP="00F3241B">
            <w:pPr>
              <w:jc w:val="both"/>
              <w:rPr>
                <w:rFonts w:ascii="Arial" w:hAnsi="Arial" w:cs="Arial"/>
                <w:sz w:val="20"/>
                <w:szCs w:val="20"/>
              </w:rPr>
            </w:pPr>
          </w:p>
        </w:tc>
        <w:tc>
          <w:tcPr>
            <w:tcW w:w="1728" w:type="dxa"/>
          </w:tcPr>
          <w:p w14:paraId="10BD78C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tc>
        <w:tc>
          <w:tcPr>
            <w:tcW w:w="1728" w:type="dxa"/>
          </w:tcPr>
          <w:p w14:paraId="4FCE5A2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2.2 ± 0.5</w:t>
            </w:r>
          </w:p>
        </w:tc>
        <w:tc>
          <w:tcPr>
            <w:tcW w:w="1728" w:type="dxa"/>
          </w:tcPr>
          <w:p w14:paraId="3A6491E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2.6 ± 0.6</w:t>
            </w:r>
          </w:p>
        </w:tc>
        <w:tc>
          <w:tcPr>
            <w:tcW w:w="1728" w:type="dxa"/>
          </w:tcPr>
          <w:p w14:paraId="3F3E5D07"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2.4 ± 0.7</w:t>
            </w:r>
          </w:p>
          <w:p w14:paraId="5683B706" w14:textId="77777777" w:rsidR="00F3241B" w:rsidRPr="0035594A" w:rsidRDefault="00F3241B" w:rsidP="00F3241B">
            <w:pPr>
              <w:jc w:val="both"/>
              <w:rPr>
                <w:rFonts w:ascii="Arial" w:hAnsi="Arial" w:cs="Arial"/>
                <w:sz w:val="20"/>
                <w:szCs w:val="20"/>
              </w:rPr>
            </w:pPr>
          </w:p>
        </w:tc>
      </w:tr>
      <w:tr w:rsidR="0035594A" w:rsidRPr="0035594A" w14:paraId="611BB49A" w14:textId="77777777" w:rsidTr="00670AD8">
        <w:tc>
          <w:tcPr>
            <w:tcW w:w="1728" w:type="dxa"/>
          </w:tcPr>
          <w:p w14:paraId="2FE0CBAB"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Total Motility (%)</w:t>
            </w:r>
          </w:p>
        </w:tc>
        <w:tc>
          <w:tcPr>
            <w:tcW w:w="1728" w:type="dxa"/>
          </w:tcPr>
          <w:p w14:paraId="5DF22D3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Pr>
          <w:p w14:paraId="2EBCBB5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67.2 ± 6.5</w:t>
            </w:r>
          </w:p>
        </w:tc>
        <w:tc>
          <w:tcPr>
            <w:tcW w:w="1728" w:type="dxa"/>
          </w:tcPr>
          <w:p w14:paraId="196BF33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68.5 ± 5.8</w:t>
            </w:r>
          </w:p>
        </w:tc>
        <w:tc>
          <w:tcPr>
            <w:tcW w:w="1728" w:type="dxa"/>
          </w:tcPr>
          <w:p w14:paraId="5D5D589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67.9 ± 6.1</w:t>
            </w:r>
          </w:p>
        </w:tc>
      </w:tr>
      <w:tr w:rsidR="0035594A" w:rsidRPr="0035594A" w14:paraId="72A093C5" w14:textId="77777777" w:rsidTr="00670AD8">
        <w:tc>
          <w:tcPr>
            <w:tcW w:w="1728" w:type="dxa"/>
          </w:tcPr>
          <w:p w14:paraId="7EEC506F" w14:textId="77777777" w:rsidR="00F3241B" w:rsidRPr="0035594A" w:rsidRDefault="00F3241B" w:rsidP="00F3241B">
            <w:pPr>
              <w:jc w:val="both"/>
              <w:rPr>
                <w:rFonts w:ascii="Arial" w:hAnsi="Arial" w:cs="Arial"/>
                <w:sz w:val="20"/>
                <w:szCs w:val="20"/>
              </w:rPr>
            </w:pPr>
          </w:p>
        </w:tc>
        <w:tc>
          <w:tcPr>
            <w:tcW w:w="1728" w:type="dxa"/>
          </w:tcPr>
          <w:p w14:paraId="4AD6A00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26C5B6A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70.5 ± 7.1</w:t>
            </w:r>
          </w:p>
        </w:tc>
        <w:tc>
          <w:tcPr>
            <w:tcW w:w="1728" w:type="dxa"/>
          </w:tcPr>
          <w:p w14:paraId="09FD38E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74.2 ± 6.3*</w:t>
            </w:r>
          </w:p>
        </w:tc>
        <w:tc>
          <w:tcPr>
            <w:tcW w:w="1728" w:type="dxa"/>
          </w:tcPr>
          <w:p w14:paraId="527BCE27"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75.8 ± 6.8*</w:t>
            </w:r>
          </w:p>
        </w:tc>
      </w:tr>
      <w:tr w:rsidR="0035594A" w:rsidRPr="0035594A" w14:paraId="75B5A38C" w14:textId="77777777" w:rsidTr="00670AD8">
        <w:tc>
          <w:tcPr>
            <w:tcW w:w="1728" w:type="dxa"/>
          </w:tcPr>
          <w:p w14:paraId="1551D219" w14:textId="77777777" w:rsidR="00F3241B" w:rsidRPr="0035594A" w:rsidRDefault="00F3241B" w:rsidP="00F3241B">
            <w:pPr>
              <w:jc w:val="both"/>
              <w:rPr>
                <w:rFonts w:ascii="Arial" w:hAnsi="Arial" w:cs="Arial"/>
                <w:sz w:val="20"/>
                <w:szCs w:val="20"/>
              </w:rPr>
            </w:pPr>
          </w:p>
        </w:tc>
        <w:tc>
          <w:tcPr>
            <w:tcW w:w="1728" w:type="dxa"/>
          </w:tcPr>
          <w:p w14:paraId="7EF5C15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tc>
        <w:tc>
          <w:tcPr>
            <w:tcW w:w="1728" w:type="dxa"/>
          </w:tcPr>
          <w:p w14:paraId="3507835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68.3 ± 6.2</w:t>
            </w:r>
          </w:p>
        </w:tc>
        <w:tc>
          <w:tcPr>
            <w:tcW w:w="1728" w:type="dxa"/>
          </w:tcPr>
          <w:p w14:paraId="7C46A54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75.1 ± 6.5*</w:t>
            </w:r>
          </w:p>
        </w:tc>
        <w:tc>
          <w:tcPr>
            <w:tcW w:w="1728" w:type="dxa"/>
          </w:tcPr>
          <w:p w14:paraId="3D406F1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77.2 ± 7.3*</w:t>
            </w:r>
          </w:p>
          <w:p w14:paraId="6BF373FD" w14:textId="77777777" w:rsidR="00F3241B" w:rsidRPr="0035594A" w:rsidRDefault="00F3241B" w:rsidP="00F3241B">
            <w:pPr>
              <w:jc w:val="both"/>
              <w:rPr>
                <w:rFonts w:ascii="Arial" w:hAnsi="Arial" w:cs="Arial"/>
                <w:sz w:val="20"/>
                <w:szCs w:val="20"/>
              </w:rPr>
            </w:pPr>
          </w:p>
        </w:tc>
      </w:tr>
      <w:tr w:rsidR="0035594A" w:rsidRPr="0035594A" w14:paraId="7C4E452C" w14:textId="77777777" w:rsidTr="00670AD8">
        <w:tc>
          <w:tcPr>
            <w:tcW w:w="1728" w:type="dxa"/>
          </w:tcPr>
          <w:p w14:paraId="54502EC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Progressive Motility (%)</w:t>
            </w:r>
          </w:p>
        </w:tc>
        <w:tc>
          <w:tcPr>
            <w:tcW w:w="1728" w:type="dxa"/>
          </w:tcPr>
          <w:p w14:paraId="231EE74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Pr>
          <w:p w14:paraId="739A581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45.5 ± 5.5</w:t>
            </w:r>
          </w:p>
        </w:tc>
        <w:tc>
          <w:tcPr>
            <w:tcW w:w="1728" w:type="dxa"/>
          </w:tcPr>
          <w:p w14:paraId="033356E3"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46.8 ± 4.8</w:t>
            </w:r>
          </w:p>
        </w:tc>
        <w:tc>
          <w:tcPr>
            <w:tcW w:w="1728" w:type="dxa"/>
          </w:tcPr>
          <w:p w14:paraId="6398E9C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45.9 ± 5.3</w:t>
            </w:r>
          </w:p>
        </w:tc>
      </w:tr>
      <w:tr w:rsidR="0035594A" w:rsidRPr="0035594A" w14:paraId="2ADA36A6" w14:textId="77777777" w:rsidTr="00670AD8">
        <w:tc>
          <w:tcPr>
            <w:tcW w:w="1728" w:type="dxa"/>
          </w:tcPr>
          <w:p w14:paraId="61C0A8CF" w14:textId="77777777" w:rsidR="00F3241B" w:rsidRPr="0035594A" w:rsidRDefault="00F3241B" w:rsidP="00F3241B">
            <w:pPr>
              <w:jc w:val="both"/>
              <w:rPr>
                <w:rFonts w:ascii="Arial" w:hAnsi="Arial" w:cs="Arial"/>
                <w:sz w:val="20"/>
                <w:szCs w:val="20"/>
              </w:rPr>
            </w:pPr>
          </w:p>
        </w:tc>
        <w:tc>
          <w:tcPr>
            <w:tcW w:w="1728" w:type="dxa"/>
          </w:tcPr>
          <w:p w14:paraId="371908E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567781D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48.2 ± 5.9</w:t>
            </w:r>
          </w:p>
        </w:tc>
        <w:tc>
          <w:tcPr>
            <w:tcW w:w="1728" w:type="dxa"/>
          </w:tcPr>
          <w:p w14:paraId="41BD4C4E"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51.5 ± 5.6*</w:t>
            </w:r>
          </w:p>
        </w:tc>
        <w:tc>
          <w:tcPr>
            <w:tcW w:w="1728" w:type="dxa"/>
          </w:tcPr>
          <w:p w14:paraId="16252A73"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53.8 ± 6.2*</w:t>
            </w:r>
          </w:p>
        </w:tc>
      </w:tr>
      <w:tr w:rsidR="0035594A" w:rsidRPr="0035594A" w14:paraId="58F1E933" w14:textId="77777777" w:rsidTr="00670AD8">
        <w:tc>
          <w:tcPr>
            <w:tcW w:w="1728" w:type="dxa"/>
          </w:tcPr>
          <w:p w14:paraId="106F52FA" w14:textId="77777777" w:rsidR="00F3241B" w:rsidRPr="0035594A" w:rsidRDefault="00F3241B" w:rsidP="00F3241B">
            <w:pPr>
              <w:jc w:val="both"/>
              <w:rPr>
                <w:rFonts w:ascii="Arial" w:hAnsi="Arial" w:cs="Arial"/>
                <w:sz w:val="20"/>
                <w:szCs w:val="20"/>
              </w:rPr>
            </w:pPr>
          </w:p>
        </w:tc>
        <w:tc>
          <w:tcPr>
            <w:tcW w:w="1728" w:type="dxa"/>
          </w:tcPr>
          <w:p w14:paraId="19CEFE0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tc>
        <w:tc>
          <w:tcPr>
            <w:tcW w:w="1728" w:type="dxa"/>
          </w:tcPr>
          <w:p w14:paraId="34F4887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47.5 ± 5.1</w:t>
            </w:r>
          </w:p>
        </w:tc>
        <w:tc>
          <w:tcPr>
            <w:tcW w:w="1728" w:type="dxa"/>
          </w:tcPr>
          <w:p w14:paraId="24243E5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53.2 ± 5.8*</w:t>
            </w:r>
          </w:p>
        </w:tc>
        <w:tc>
          <w:tcPr>
            <w:tcW w:w="1728" w:type="dxa"/>
          </w:tcPr>
          <w:p w14:paraId="1D781B7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55.1 ± 6.5*</w:t>
            </w:r>
          </w:p>
          <w:p w14:paraId="23C1B2B7" w14:textId="77777777" w:rsidR="00F3241B" w:rsidRPr="0035594A" w:rsidRDefault="00F3241B" w:rsidP="00F3241B">
            <w:pPr>
              <w:jc w:val="both"/>
              <w:rPr>
                <w:rFonts w:ascii="Arial" w:hAnsi="Arial" w:cs="Arial"/>
                <w:sz w:val="20"/>
                <w:szCs w:val="20"/>
              </w:rPr>
            </w:pPr>
          </w:p>
        </w:tc>
      </w:tr>
      <w:tr w:rsidR="0035594A" w:rsidRPr="0035594A" w14:paraId="749CD194" w14:textId="77777777" w:rsidTr="00670AD8">
        <w:tc>
          <w:tcPr>
            <w:tcW w:w="1728" w:type="dxa"/>
          </w:tcPr>
          <w:p w14:paraId="538C37BF"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Viability (%)</w:t>
            </w:r>
          </w:p>
        </w:tc>
        <w:tc>
          <w:tcPr>
            <w:tcW w:w="1728" w:type="dxa"/>
          </w:tcPr>
          <w:p w14:paraId="45437BA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Pr>
          <w:p w14:paraId="48EB39F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76.2 ± 5.5</w:t>
            </w:r>
          </w:p>
        </w:tc>
        <w:tc>
          <w:tcPr>
            <w:tcW w:w="1728" w:type="dxa"/>
          </w:tcPr>
          <w:p w14:paraId="031A939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77.1 ± 5.2</w:t>
            </w:r>
          </w:p>
        </w:tc>
        <w:tc>
          <w:tcPr>
            <w:tcW w:w="1728" w:type="dxa"/>
          </w:tcPr>
          <w:p w14:paraId="2D9CD4CF"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76.4 ± 5.1</w:t>
            </w:r>
          </w:p>
        </w:tc>
      </w:tr>
      <w:tr w:rsidR="0035594A" w:rsidRPr="0035594A" w14:paraId="1D1B804B" w14:textId="77777777" w:rsidTr="00670AD8">
        <w:tc>
          <w:tcPr>
            <w:tcW w:w="1728" w:type="dxa"/>
          </w:tcPr>
          <w:p w14:paraId="3F211D71" w14:textId="77777777" w:rsidR="00F3241B" w:rsidRPr="0035594A" w:rsidRDefault="00F3241B" w:rsidP="00F3241B">
            <w:pPr>
              <w:jc w:val="both"/>
              <w:rPr>
                <w:rFonts w:ascii="Arial" w:hAnsi="Arial" w:cs="Arial"/>
                <w:sz w:val="20"/>
                <w:szCs w:val="20"/>
              </w:rPr>
            </w:pPr>
          </w:p>
        </w:tc>
        <w:tc>
          <w:tcPr>
            <w:tcW w:w="1728" w:type="dxa"/>
          </w:tcPr>
          <w:p w14:paraId="7473497F"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05D777F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78.1 ± 5.9</w:t>
            </w:r>
          </w:p>
        </w:tc>
        <w:tc>
          <w:tcPr>
            <w:tcW w:w="1728" w:type="dxa"/>
          </w:tcPr>
          <w:p w14:paraId="3622D94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79.2 ± 5.6</w:t>
            </w:r>
          </w:p>
        </w:tc>
        <w:tc>
          <w:tcPr>
            <w:tcW w:w="1728" w:type="dxa"/>
          </w:tcPr>
          <w:p w14:paraId="71F69E1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79.5 ± 5.8</w:t>
            </w:r>
          </w:p>
        </w:tc>
      </w:tr>
      <w:tr w:rsidR="0035594A" w:rsidRPr="0035594A" w14:paraId="18801AE1" w14:textId="77777777" w:rsidTr="00670AD8">
        <w:tc>
          <w:tcPr>
            <w:tcW w:w="1728" w:type="dxa"/>
          </w:tcPr>
          <w:p w14:paraId="4315900B" w14:textId="77777777" w:rsidR="00F3241B" w:rsidRPr="0035594A" w:rsidRDefault="00F3241B" w:rsidP="00F3241B">
            <w:pPr>
              <w:jc w:val="both"/>
              <w:rPr>
                <w:rFonts w:ascii="Arial" w:hAnsi="Arial" w:cs="Arial"/>
                <w:sz w:val="20"/>
                <w:szCs w:val="20"/>
              </w:rPr>
            </w:pPr>
          </w:p>
        </w:tc>
        <w:tc>
          <w:tcPr>
            <w:tcW w:w="1728" w:type="dxa"/>
          </w:tcPr>
          <w:p w14:paraId="2D43C4D2"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tc>
        <w:tc>
          <w:tcPr>
            <w:tcW w:w="1728" w:type="dxa"/>
          </w:tcPr>
          <w:p w14:paraId="1BE2896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77.0 ± 5.3</w:t>
            </w:r>
          </w:p>
        </w:tc>
        <w:tc>
          <w:tcPr>
            <w:tcW w:w="1728" w:type="dxa"/>
          </w:tcPr>
          <w:p w14:paraId="5CBEEBF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78.5 ± 5.4</w:t>
            </w:r>
          </w:p>
        </w:tc>
        <w:tc>
          <w:tcPr>
            <w:tcW w:w="1728" w:type="dxa"/>
          </w:tcPr>
          <w:p w14:paraId="236F6CF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79.2 ± 5.5</w:t>
            </w:r>
          </w:p>
          <w:p w14:paraId="04B46B2C" w14:textId="77777777" w:rsidR="00F3241B" w:rsidRPr="0035594A" w:rsidRDefault="00F3241B" w:rsidP="00F3241B">
            <w:pPr>
              <w:jc w:val="both"/>
              <w:rPr>
                <w:rFonts w:ascii="Arial" w:hAnsi="Arial" w:cs="Arial"/>
                <w:sz w:val="20"/>
                <w:szCs w:val="20"/>
              </w:rPr>
            </w:pPr>
          </w:p>
        </w:tc>
      </w:tr>
      <w:tr w:rsidR="0035594A" w:rsidRPr="0035594A" w14:paraId="4948EDA4" w14:textId="77777777" w:rsidTr="00670AD8">
        <w:tc>
          <w:tcPr>
            <w:tcW w:w="1728" w:type="dxa"/>
          </w:tcPr>
          <w:p w14:paraId="0593DD7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Morphological Defect (%)</w:t>
            </w:r>
          </w:p>
        </w:tc>
        <w:tc>
          <w:tcPr>
            <w:tcW w:w="1728" w:type="dxa"/>
          </w:tcPr>
          <w:p w14:paraId="14A2F84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0</w:t>
            </w:r>
          </w:p>
        </w:tc>
        <w:tc>
          <w:tcPr>
            <w:tcW w:w="1728" w:type="dxa"/>
          </w:tcPr>
          <w:p w14:paraId="4B1B15BB"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14.2 ± 2.5</w:t>
            </w:r>
          </w:p>
        </w:tc>
        <w:tc>
          <w:tcPr>
            <w:tcW w:w="1728" w:type="dxa"/>
          </w:tcPr>
          <w:p w14:paraId="691D7648"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13.5 ± 2.3</w:t>
            </w:r>
          </w:p>
        </w:tc>
        <w:tc>
          <w:tcPr>
            <w:tcW w:w="1728" w:type="dxa"/>
          </w:tcPr>
          <w:p w14:paraId="2A4F8FB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14.1 ± 2.6</w:t>
            </w:r>
          </w:p>
        </w:tc>
      </w:tr>
      <w:tr w:rsidR="0035594A" w:rsidRPr="0035594A" w14:paraId="5A482540" w14:textId="77777777" w:rsidTr="00670AD8">
        <w:tc>
          <w:tcPr>
            <w:tcW w:w="1728" w:type="dxa"/>
          </w:tcPr>
          <w:p w14:paraId="0DD19315" w14:textId="77777777" w:rsidR="00F3241B" w:rsidRPr="0035594A" w:rsidRDefault="00F3241B" w:rsidP="00F3241B">
            <w:pPr>
              <w:jc w:val="both"/>
              <w:rPr>
                <w:rFonts w:ascii="Arial" w:hAnsi="Arial" w:cs="Arial"/>
                <w:sz w:val="20"/>
                <w:szCs w:val="20"/>
              </w:rPr>
            </w:pPr>
          </w:p>
        </w:tc>
        <w:tc>
          <w:tcPr>
            <w:tcW w:w="1728" w:type="dxa"/>
          </w:tcPr>
          <w:p w14:paraId="3C0452B0"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4</w:t>
            </w:r>
          </w:p>
        </w:tc>
        <w:tc>
          <w:tcPr>
            <w:tcW w:w="1728" w:type="dxa"/>
          </w:tcPr>
          <w:p w14:paraId="0CE4FD69"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13.7 ± 2.8</w:t>
            </w:r>
          </w:p>
        </w:tc>
        <w:tc>
          <w:tcPr>
            <w:tcW w:w="1728" w:type="dxa"/>
          </w:tcPr>
          <w:p w14:paraId="47DA65F5"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12.2 ± 2.4*</w:t>
            </w:r>
          </w:p>
        </w:tc>
        <w:tc>
          <w:tcPr>
            <w:tcW w:w="1728" w:type="dxa"/>
          </w:tcPr>
          <w:p w14:paraId="2086466A"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11.2 ± 2.1*</w:t>
            </w:r>
          </w:p>
        </w:tc>
      </w:tr>
      <w:tr w:rsidR="0035594A" w:rsidRPr="0035594A" w14:paraId="0448EEAE" w14:textId="77777777" w:rsidTr="00670AD8">
        <w:tc>
          <w:tcPr>
            <w:tcW w:w="1728" w:type="dxa"/>
            <w:tcBorders>
              <w:bottom w:val="single" w:sz="4" w:space="0" w:color="auto"/>
            </w:tcBorders>
          </w:tcPr>
          <w:p w14:paraId="1CC9F2CD" w14:textId="77777777" w:rsidR="00F3241B" w:rsidRPr="0035594A" w:rsidRDefault="00F3241B" w:rsidP="00F3241B">
            <w:pPr>
              <w:jc w:val="both"/>
              <w:rPr>
                <w:rFonts w:ascii="Arial" w:hAnsi="Arial" w:cs="Arial"/>
                <w:sz w:val="20"/>
                <w:szCs w:val="20"/>
              </w:rPr>
            </w:pPr>
          </w:p>
        </w:tc>
        <w:tc>
          <w:tcPr>
            <w:tcW w:w="1728" w:type="dxa"/>
            <w:tcBorders>
              <w:bottom w:val="single" w:sz="4" w:space="0" w:color="auto"/>
            </w:tcBorders>
          </w:tcPr>
          <w:p w14:paraId="0A746131"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 xml:space="preserve">      8</w:t>
            </w:r>
          </w:p>
        </w:tc>
        <w:tc>
          <w:tcPr>
            <w:tcW w:w="1728" w:type="dxa"/>
            <w:tcBorders>
              <w:bottom w:val="single" w:sz="4" w:space="0" w:color="auto"/>
            </w:tcBorders>
          </w:tcPr>
          <w:p w14:paraId="2DC1498D"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14.5 ± 3.1</w:t>
            </w:r>
          </w:p>
        </w:tc>
        <w:tc>
          <w:tcPr>
            <w:tcW w:w="1728" w:type="dxa"/>
            <w:tcBorders>
              <w:bottom w:val="single" w:sz="4" w:space="0" w:color="auto"/>
            </w:tcBorders>
          </w:tcPr>
          <w:p w14:paraId="6B2F7B4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11.5 ± 2.2*</w:t>
            </w:r>
          </w:p>
        </w:tc>
        <w:tc>
          <w:tcPr>
            <w:tcW w:w="1728" w:type="dxa"/>
            <w:tcBorders>
              <w:bottom w:val="single" w:sz="4" w:space="0" w:color="auto"/>
            </w:tcBorders>
          </w:tcPr>
          <w:p w14:paraId="1798BFC4" w14:textId="77777777" w:rsidR="00F3241B" w:rsidRPr="0035594A" w:rsidRDefault="00F3241B" w:rsidP="00F3241B">
            <w:pPr>
              <w:jc w:val="both"/>
              <w:rPr>
                <w:rFonts w:ascii="Arial" w:hAnsi="Arial" w:cs="Arial"/>
                <w:sz w:val="20"/>
                <w:szCs w:val="20"/>
              </w:rPr>
            </w:pPr>
            <w:r w:rsidRPr="0035594A">
              <w:rPr>
                <w:rFonts w:ascii="Arial" w:hAnsi="Arial" w:cs="Arial"/>
                <w:sz w:val="20"/>
                <w:szCs w:val="20"/>
              </w:rPr>
              <w:t>10.5 ± 2.3*</w:t>
            </w:r>
          </w:p>
          <w:p w14:paraId="5A017095" w14:textId="77777777" w:rsidR="00F3241B" w:rsidRPr="0035594A" w:rsidRDefault="00F3241B" w:rsidP="00F3241B">
            <w:pPr>
              <w:jc w:val="both"/>
              <w:rPr>
                <w:rFonts w:ascii="Arial" w:hAnsi="Arial" w:cs="Arial"/>
                <w:sz w:val="20"/>
                <w:szCs w:val="20"/>
              </w:rPr>
            </w:pPr>
          </w:p>
        </w:tc>
      </w:tr>
    </w:tbl>
    <w:p w14:paraId="7CF947EC" w14:textId="77777777" w:rsidR="00F3241B" w:rsidRPr="0035594A" w:rsidRDefault="00F3241B" w:rsidP="00F3241B">
      <w:pPr>
        <w:keepNext/>
        <w:keepLines/>
        <w:spacing w:before="200" w:line="276" w:lineRule="auto"/>
        <w:jc w:val="both"/>
        <w:outlineLvl w:val="1"/>
        <w:rPr>
          <w:rFonts w:ascii="Arial" w:eastAsiaTheme="majorEastAsia" w:hAnsi="Arial" w:cs="Arial"/>
          <w:b/>
          <w:bCs/>
          <w:sz w:val="20"/>
          <w:szCs w:val="20"/>
        </w:rPr>
      </w:pPr>
      <w:r w:rsidRPr="0035594A">
        <w:rPr>
          <w:rFonts w:ascii="Arial" w:eastAsiaTheme="minorHAnsi" w:hAnsi="Arial" w:cs="Arial"/>
          <w:sz w:val="20"/>
          <w:szCs w:val="20"/>
        </w:rPr>
        <w:t>Values are presented as mean ± standard deviation (n=8 per group). Asterisks (*) indicate statistically significant differences (P &lt; 0.05) compared to the control group at the same time point using Tukey's HSD test</w:t>
      </w:r>
    </w:p>
    <w:p w14:paraId="02492A37" w14:textId="77777777" w:rsidR="00F3241B" w:rsidRPr="0035594A" w:rsidRDefault="0021335C" w:rsidP="00F3241B">
      <w:pPr>
        <w:spacing w:after="200" w:line="276" w:lineRule="auto"/>
        <w:rPr>
          <w:rFonts w:ascii="Arial" w:hAnsi="Arial" w:cs="Arial"/>
          <w:sz w:val="20"/>
          <w:szCs w:val="20"/>
          <w:shd w:val="clear" w:color="auto" w:fill="FFF3CD"/>
        </w:rPr>
      </w:pPr>
      <w:r w:rsidRPr="0035594A">
        <w:rPr>
          <w:rFonts w:ascii="Arial" w:hAnsi="Arial" w:cs="Arial"/>
          <w:b/>
          <w:sz w:val="20"/>
          <w:szCs w:val="20"/>
        </w:rPr>
        <w:t>Note:</w:t>
      </w:r>
      <w:r w:rsidRPr="0035594A">
        <w:rPr>
          <w:rFonts w:ascii="Arial" w:hAnsi="Arial" w:cs="Arial"/>
          <w:sz w:val="20"/>
          <w:szCs w:val="20"/>
        </w:rPr>
        <w:t xml:space="preserve"> Baseline sperm concentration values (2.1-2.3 × 10⁹/mL) were lower than typical reference ranges for commercial breeds, which may reflect the indigenous breed characteristics and local environmental conditions of the study population</w:t>
      </w:r>
    </w:p>
    <w:p w14:paraId="4BE52EA9" w14:textId="77777777" w:rsidR="00F3241B" w:rsidRDefault="00F3241B" w:rsidP="00F3241B">
      <w:pPr>
        <w:spacing w:after="200" w:line="276" w:lineRule="auto"/>
        <w:rPr>
          <w:rFonts w:ascii="Arial" w:hAnsi="Arial" w:cs="Arial"/>
          <w:sz w:val="22"/>
          <w:szCs w:val="22"/>
        </w:rPr>
      </w:pPr>
    </w:p>
    <w:p w14:paraId="323BE975" w14:textId="77777777" w:rsidR="00FF64AE" w:rsidRDefault="00FF64AE" w:rsidP="00F3241B">
      <w:pPr>
        <w:spacing w:after="200" w:line="276" w:lineRule="auto"/>
        <w:rPr>
          <w:rFonts w:ascii="Arial" w:hAnsi="Arial" w:cs="Arial"/>
          <w:sz w:val="22"/>
          <w:szCs w:val="22"/>
        </w:rPr>
      </w:pPr>
    </w:p>
    <w:p w14:paraId="3F77F2BD" w14:textId="77777777" w:rsidR="00FF64AE" w:rsidRDefault="00FF64AE" w:rsidP="00F3241B">
      <w:pPr>
        <w:spacing w:after="200" w:line="276" w:lineRule="auto"/>
        <w:rPr>
          <w:rFonts w:ascii="Arial" w:hAnsi="Arial" w:cs="Arial"/>
          <w:sz w:val="22"/>
          <w:szCs w:val="22"/>
        </w:rPr>
      </w:pPr>
    </w:p>
    <w:p w14:paraId="77A81034" w14:textId="77777777" w:rsidR="00FF64AE" w:rsidRDefault="00FF64AE" w:rsidP="00F3241B">
      <w:pPr>
        <w:spacing w:after="200" w:line="276" w:lineRule="auto"/>
        <w:rPr>
          <w:rFonts w:ascii="Arial" w:hAnsi="Arial" w:cs="Arial"/>
          <w:sz w:val="22"/>
          <w:szCs w:val="22"/>
        </w:rPr>
      </w:pPr>
    </w:p>
    <w:p w14:paraId="0582890A" w14:textId="77777777" w:rsidR="00FF64AE" w:rsidRDefault="00FF64AE" w:rsidP="00F3241B">
      <w:pPr>
        <w:spacing w:after="200" w:line="276" w:lineRule="auto"/>
        <w:rPr>
          <w:rFonts w:ascii="Arial" w:hAnsi="Arial" w:cs="Arial"/>
          <w:sz w:val="22"/>
          <w:szCs w:val="22"/>
        </w:rPr>
      </w:pPr>
    </w:p>
    <w:p w14:paraId="7BCFF8B4" w14:textId="77777777" w:rsidR="00FF64AE" w:rsidRDefault="00FF64AE" w:rsidP="00F3241B">
      <w:pPr>
        <w:spacing w:after="200" w:line="276" w:lineRule="auto"/>
        <w:rPr>
          <w:rFonts w:ascii="Arial" w:hAnsi="Arial" w:cs="Arial"/>
          <w:sz w:val="22"/>
          <w:szCs w:val="22"/>
        </w:rPr>
      </w:pPr>
    </w:p>
    <w:p w14:paraId="74851ACE" w14:textId="77777777" w:rsidR="00FF64AE" w:rsidRPr="0035594A" w:rsidRDefault="00FF64AE" w:rsidP="00F3241B">
      <w:pPr>
        <w:spacing w:after="200" w:line="276" w:lineRule="auto"/>
        <w:rPr>
          <w:rFonts w:ascii="Arial" w:hAnsi="Arial" w:cs="Arial"/>
          <w:sz w:val="22"/>
          <w:szCs w:val="22"/>
        </w:rPr>
      </w:pPr>
    </w:p>
    <w:p w14:paraId="31625622" w14:textId="77777777" w:rsidR="00F3241B" w:rsidRPr="0035594A" w:rsidRDefault="00F3241B" w:rsidP="00F3241B">
      <w:pPr>
        <w:keepNext/>
        <w:keepLines/>
        <w:spacing w:before="200" w:line="276" w:lineRule="auto"/>
        <w:jc w:val="both"/>
        <w:outlineLvl w:val="1"/>
        <w:rPr>
          <w:rFonts w:ascii="Arial" w:eastAsiaTheme="majorEastAsia" w:hAnsi="Arial" w:cs="Arial"/>
          <w:b/>
          <w:bCs/>
          <w:sz w:val="22"/>
          <w:szCs w:val="22"/>
        </w:rPr>
      </w:pPr>
      <w:r w:rsidRPr="0035594A">
        <w:rPr>
          <w:rFonts w:ascii="Arial" w:eastAsiaTheme="majorEastAsia" w:hAnsi="Arial" w:cs="Arial"/>
          <w:b/>
          <w:bCs/>
          <w:sz w:val="22"/>
          <w:szCs w:val="22"/>
        </w:rPr>
        <w:lastRenderedPageBreak/>
        <w:t>Table 2: Effect of Ethanolic Garlic Extract on Hormonal Profile of Nigerian Indigenous Cocks</w:t>
      </w:r>
    </w:p>
    <w:tbl>
      <w:tblPr>
        <w:tblW w:w="0" w:type="auto"/>
        <w:tblLook w:val="04A0" w:firstRow="1" w:lastRow="0" w:firstColumn="1" w:lastColumn="0" w:noHBand="0" w:noVBand="1"/>
      </w:tblPr>
      <w:tblGrid>
        <w:gridCol w:w="1728"/>
        <w:gridCol w:w="1728"/>
        <w:gridCol w:w="1728"/>
        <w:gridCol w:w="1728"/>
        <w:gridCol w:w="1728"/>
      </w:tblGrid>
      <w:tr w:rsidR="0035594A" w:rsidRPr="0035594A" w14:paraId="6C605FA1" w14:textId="77777777" w:rsidTr="00670AD8">
        <w:tc>
          <w:tcPr>
            <w:tcW w:w="1728" w:type="dxa"/>
            <w:tcBorders>
              <w:top w:val="single" w:sz="4" w:space="0" w:color="auto"/>
              <w:bottom w:val="single" w:sz="4" w:space="0" w:color="auto"/>
            </w:tcBorders>
          </w:tcPr>
          <w:p w14:paraId="248F3596"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Hormone</w:t>
            </w:r>
          </w:p>
        </w:tc>
        <w:tc>
          <w:tcPr>
            <w:tcW w:w="1728" w:type="dxa"/>
            <w:tcBorders>
              <w:top w:val="single" w:sz="4" w:space="0" w:color="auto"/>
              <w:bottom w:val="single" w:sz="4" w:space="0" w:color="auto"/>
            </w:tcBorders>
          </w:tcPr>
          <w:p w14:paraId="2507902A"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Week</w:t>
            </w:r>
          </w:p>
        </w:tc>
        <w:tc>
          <w:tcPr>
            <w:tcW w:w="1728" w:type="dxa"/>
            <w:tcBorders>
              <w:top w:val="single" w:sz="4" w:space="0" w:color="auto"/>
              <w:bottom w:val="single" w:sz="4" w:space="0" w:color="auto"/>
            </w:tcBorders>
          </w:tcPr>
          <w:p w14:paraId="2E32587A"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Control</w:t>
            </w:r>
          </w:p>
        </w:tc>
        <w:tc>
          <w:tcPr>
            <w:tcW w:w="1728" w:type="dxa"/>
            <w:tcBorders>
              <w:top w:val="single" w:sz="4" w:space="0" w:color="auto"/>
              <w:bottom w:val="single" w:sz="4" w:space="0" w:color="auto"/>
            </w:tcBorders>
          </w:tcPr>
          <w:p w14:paraId="5C790328"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Low-garlic (250mg/kg)</w:t>
            </w:r>
          </w:p>
        </w:tc>
        <w:tc>
          <w:tcPr>
            <w:tcW w:w="1728" w:type="dxa"/>
            <w:tcBorders>
              <w:top w:val="single" w:sz="4" w:space="0" w:color="auto"/>
              <w:bottom w:val="single" w:sz="4" w:space="0" w:color="auto"/>
            </w:tcBorders>
          </w:tcPr>
          <w:p w14:paraId="297AF045"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High-garlic (500mg/kg)</w:t>
            </w:r>
          </w:p>
        </w:tc>
      </w:tr>
      <w:tr w:rsidR="0035594A" w:rsidRPr="0035594A" w14:paraId="1F44BFFD" w14:textId="77777777" w:rsidTr="00670AD8">
        <w:trPr>
          <w:trHeight w:val="305"/>
        </w:trPr>
        <w:tc>
          <w:tcPr>
            <w:tcW w:w="1728" w:type="dxa"/>
            <w:tcBorders>
              <w:top w:val="single" w:sz="4" w:space="0" w:color="auto"/>
            </w:tcBorders>
          </w:tcPr>
          <w:p w14:paraId="48419827" w14:textId="77777777" w:rsidR="00F3241B" w:rsidRPr="0035594A" w:rsidRDefault="00F3241B" w:rsidP="00F3241B">
            <w:pPr>
              <w:spacing w:line="276" w:lineRule="auto"/>
              <w:rPr>
                <w:rFonts w:ascii="Arial" w:hAnsi="Arial" w:cs="Arial"/>
                <w:sz w:val="20"/>
                <w:szCs w:val="20"/>
              </w:rPr>
            </w:pPr>
          </w:p>
          <w:p w14:paraId="1776E2F7"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Testosterone (ng/mL)</w:t>
            </w:r>
          </w:p>
        </w:tc>
        <w:tc>
          <w:tcPr>
            <w:tcW w:w="1728" w:type="dxa"/>
            <w:tcBorders>
              <w:top w:val="single" w:sz="4" w:space="0" w:color="auto"/>
            </w:tcBorders>
          </w:tcPr>
          <w:p w14:paraId="46EDEC8E" w14:textId="77777777" w:rsidR="00F3241B" w:rsidRPr="0035594A" w:rsidRDefault="00F3241B" w:rsidP="00F3241B">
            <w:pPr>
              <w:spacing w:line="276" w:lineRule="auto"/>
              <w:rPr>
                <w:rFonts w:ascii="Arial" w:hAnsi="Arial" w:cs="Arial"/>
                <w:sz w:val="20"/>
                <w:szCs w:val="20"/>
              </w:rPr>
            </w:pPr>
          </w:p>
          <w:p w14:paraId="3098E0B9"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0</w:t>
            </w:r>
          </w:p>
        </w:tc>
        <w:tc>
          <w:tcPr>
            <w:tcW w:w="1728" w:type="dxa"/>
            <w:tcBorders>
              <w:top w:val="single" w:sz="4" w:space="0" w:color="auto"/>
            </w:tcBorders>
          </w:tcPr>
          <w:p w14:paraId="73F1EA94" w14:textId="77777777" w:rsidR="00F3241B" w:rsidRPr="0035594A" w:rsidRDefault="00F3241B" w:rsidP="00F3241B">
            <w:pPr>
              <w:rPr>
                <w:rFonts w:ascii="Arial" w:hAnsi="Arial" w:cs="Arial"/>
                <w:sz w:val="20"/>
                <w:szCs w:val="20"/>
              </w:rPr>
            </w:pPr>
          </w:p>
          <w:p w14:paraId="22C113A6" w14:textId="77777777" w:rsidR="00F3241B" w:rsidRPr="0035594A" w:rsidRDefault="00F3241B" w:rsidP="00F3241B">
            <w:pPr>
              <w:rPr>
                <w:rFonts w:ascii="Arial" w:hAnsi="Arial" w:cs="Arial"/>
                <w:sz w:val="20"/>
                <w:szCs w:val="20"/>
              </w:rPr>
            </w:pPr>
            <w:r w:rsidRPr="0035594A">
              <w:rPr>
                <w:rFonts w:ascii="Arial" w:hAnsi="Arial" w:cs="Arial"/>
                <w:sz w:val="20"/>
                <w:szCs w:val="20"/>
              </w:rPr>
              <w:t>3.8 ± 0.6</w:t>
            </w:r>
          </w:p>
          <w:p w14:paraId="641B7FB9" w14:textId="77777777" w:rsidR="00F3241B" w:rsidRPr="0035594A" w:rsidRDefault="00F3241B" w:rsidP="00F3241B">
            <w:pPr>
              <w:rPr>
                <w:rFonts w:ascii="Arial" w:hAnsi="Arial" w:cs="Arial"/>
                <w:sz w:val="20"/>
                <w:szCs w:val="20"/>
              </w:rPr>
            </w:pPr>
          </w:p>
        </w:tc>
        <w:tc>
          <w:tcPr>
            <w:tcW w:w="1728" w:type="dxa"/>
            <w:tcBorders>
              <w:top w:val="single" w:sz="4" w:space="0" w:color="auto"/>
            </w:tcBorders>
          </w:tcPr>
          <w:p w14:paraId="0DFFD3CC" w14:textId="77777777" w:rsidR="00F3241B" w:rsidRPr="0035594A" w:rsidRDefault="00F3241B" w:rsidP="00F3241B">
            <w:pPr>
              <w:rPr>
                <w:rFonts w:ascii="Arial" w:hAnsi="Arial" w:cs="Arial"/>
                <w:sz w:val="20"/>
                <w:szCs w:val="20"/>
              </w:rPr>
            </w:pPr>
          </w:p>
          <w:p w14:paraId="2A6CE8B1" w14:textId="77777777" w:rsidR="00F3241B" w:rsidRPr="0035594A" w:rsidRDefault="00F3241B" w:rsidP="00F3241B">
            <w:pPr>
              <w:rPr>
                <w:rFonts w:ascii="Arial" w:hAnsi="Arial" w:cs="Arial"/>
                <w:sz w:val="20"/>
                <w:szCs w:val="20"/>
              </w:rPr>
            </w:pPr>
            <w:r w:rsidRPr="0035594A">
              <w:rPr>
                <w:rFonts w:ascii="Arial" w:hAnsi="Arial" w:cs="Arial"/>
                <w:sz w:val="20"/>
                <w:szCs w:val="20"/>
              </w:rPr>
              <w:t>3.9 ± 0.5</w:t>
            </w:r>
          </w:p>
        </w:tc>
        <w:tc>
          <w:tcPr>
            <w:tcW w:w="1728" w:type="dxa"/>
            <w:tcBorders>
              <w:top w:val="single" w:sz="4" w:space="0" w:color="auto"/>
            </w:tcBorders>
          </w:tcPr>
          <w:p w14:paraId="2F278EE4" w14:textId="77777777" w:rsidR="00F3241B" w:rsidRPr="0035594A" w:rsidRDefault="00F3241B" w:rsidP="00F3241B">
            <w:pPr>
              <w:rPr>
                <w:rFonts w:ascii="Arial" w:hAnsi="Arial" w:cs="Arial"/>
                <w:sz w:val="20"/>
                <w:szCs w:val="20"/>
              </w:rPr>
            </w:pPr>
          </w:p>
          <w:p w14:paraId="1BA18A56" w14:textId="77777777" w:rsidR="00F3241B" w:rsidRPr="0035594A" w:rsidRDefault="00F3241B" w:rsidP="00F3241B">
            <w:pPr>
              <w:rPr>
                <w:rFonts w:ascii="Arial" w:hAnsi="Arial" w:cs="Arial"/>
                <w:sz w:val="20"/>
                <w:szCs w:val="20"/>
              </w:rPr>
            </w:pPr>
            <w:r w:rsidRPr="0035594A">
              <w:rPr>
                <w:rFonts w:ascii="Arial" w:hAnsi="Arial" w:cs="Arial"/>
                <w:sz w:val="20"/>
                <w:szCs w:val="20"/>
              </w:rPr>
              <w:t>3.7 ± 0.7</w:t>
            </w:r>
          </w:p>
        </w:tc>
      </w:tr>
      <w:tr w:rsidR="0035594A" w:rsidRPr="0035594A" w14:paraId="4A136132" w14:textId="77777777" w:rsidTr="00670AD8">
        <w:tc>
          <w:tcPr>
            <w:tcW w:w="1728" w:type="dxa"/>
          </w:tcPr>
          <w:p w14:paraId="2B860FF9" w14:textId="77777777" w:rsidR="00F3241B" w:rsidRPr="0035594A" w:rsidRDefault="00F3241B" w:rsidP="00F3241B">
            <w:pPr>
              <w:spacing w:line="276" w:lineRule="auto"/>
              <w:rPr>
                <w:rFonts w:ascii="Arial" w:hAnsi="Arial" w:cs="Arial"/>
                <w:sz w:val="20"/>
                <w:szCs w:val="20"/>
              </w:rPr>
            </w:pPr>
          </w:p>
        </w:tc>
        <w:tc>
          <w:tcPr>
            <w:tcW w:w="1728" w:type="dxa"/>
          </w:tcPr>
          <w:p w14:paraId="511F8CBC"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4</w:t>
            </w:r>
          </w:p>
        </w:tc>
        <w:tc>
          <w:tcPr>
            <w:tcW w:w="1728" w:type="dxa"/>
          </w:tcPr>
          <w:p w14:paraId="4266FADD" w14:textId="77777777" w:rsidR="00F3241B" w:rsidRPr="0035594A" w:rsidRDefault="00F3241B" w:rsidP="00F3241B">
            <w:pPr>
              <w:rPr>
                <w:rFonts w:ascii="Arial" w:hAnsi="Arial" w:cs="Arial"/>
                <w:sz w:val="20"/>
                <w:szCs w:val="20"/>
              </w:rPr>
            </w:pPr>
            <w:r w:rsidRPr="0035594A">
              <w:rPr>
                <w:rFonts w:ascii="Arial" w:hAnsi="Arial" w:cs="Arial"/>
                <w:sz w:val="20"/>
                <w:szCs w:val="20"/>
              </w:rPr>
              <w:t>4.0 ± 0.7</w:t>
            </w:r>
          </w:p>
        </w:tc>
        <w:tc>
          <w:tcPr>
            <w:tcW w:w="1728" w:type="dxa"/>
          </w:tcPr>
          <w:p w14:paraId="03B2BFB7" w14:textId="77777777" w:rsidR="00F3241B" w:rsidRPr="0035594A" w:rsidRDefault="00F3241B" w:rsidP="00F3241B">
            <w:pPr>
              <w:rPr>
                <w:rFonts w:ascii="Arial" w:hAnsi="Arial" w:cs="Arial"/>
                <w:sz w:val="20"/>
                <w:szCs w:val="20"/>
              </w:rPr>
            </w:pPr>
            <w:r w:rsidRPr="0035594A">
              <w:rPr>
                <w:rFonts w:ascii="Arial" w:hAnsi="Arial" w:cs="Arial"/>
                <w:sz w:val="20"/>
                <w:szCs w:val="20"/>
              </w:rPr>
              <w:t>4.6 ± 0.8*</w:t>
            </w:r>
          </w:p>
        </w:tc>
        <w:tc>
          <w:tcPr>
            <w:tcW w:w="1728" w:type="dxa"/>
          </w:tcPr>
          <w:p w14:paraId="7B717145" w14:textId="77777777" w:rsidR="00F3241B" w:rsidRPr="0035594A" w:rsidRDefault="00F3241B" w:rsidP="00F3241B">
            <w:pPr>
              <w:rPr>
                <w:rFonts w:ascii="Arial" w:hAnsi="Arial" w:cs="Arial"/>
                <w:sz w:val="20"/>
                <w:szCs w:val="20"/>
              </w:rPr>
            </w:pPr>
            <w:r w:rsidRPr="0035594A">
              <w:rPr>
                <w:rFonts w:ascii="Arial" w:hAnsi="Arial" w:cs="Arial"/>
                <w:sz w:val="20"/>
                <w:szCs w:val="20"/>
              </w:rPr>
              <w:t>4.9 ± 0.9*</w:t>
            </w:r>
          </w:p>
        </w:tc>
      </w:tr>
      <w:tr w:rsidR="0035594A" w:rsidRPr="0035594A" w14:paraId="099F8BFF" w14:textId="77777777" w:rsidTr="00670AD8">
        <w:tc>
          <w:tcPr>
            <w:tcW w:w="1728" w:type="dxa"/>
          </w:tcPr>
          <w:p w14:paraId="6484A230" w14:textId="77777777" w:rsidR="00F3241B" w:rsidRPr="0035594A" w:rsidRDefault="00F3241B" w:rsidP="00F3241B">
            <w:pPr>
              <w:spacing w:line="276" w:lineRule="auto"/>
              <w:rPr>
                <w:rFonts w:ascii="Arial" w:hAnsi="Arial" w:cs="Arial"/>
                <w:sz w:val="20"/>
                <w:szCs w:val="20"/>
              </w:rPr>
            </w:pPr>
          </w:p>
        </w:tc>
        <w:tc>
          <w:tcPr>
            <w:tcW w:w="1728" w:type="dxa"/>
          </w:tcPr>
          <w:p w14:paraId="4F4F0246"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8</w:t>
            </w:r>
          </w:p>
        </w:tc>
        <w:tc>
          <w:tcPr>
            <w:tcW w:w="1728" w:type="dxa"/>
          </w:tcPr>
          <w:p w14:paraId="2517146B"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3.9 ± 0.6</w:t>
            </w:r>
          </w:p>
        </w:tc>
        <w:tc>
          <w:tcPr>
            <w:tcW w:w="1728" w:type="dxa"/>
          </w:tcPr>
          <w:p w14:paraId="01771050"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5.0 ± 0.8*</w:t>
            </w:r>
          </w:p>
        </w:tc>
        <w:tc>
          <w:tcPr>
            <w:tcW w:w="1728" w:type="dxa"/>
          </w:tcPr>
          <w:p w14:paraId="4FB96C75"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5.4 ± 1.0*</w:t>
            </w:r>
          </w:p>
          <w:p w14:paraId="1782A278" w14:textId="77777777" w:rsidR="00F3241B" w:rsidRPr="0035594A" w:rsidRDefault="00F3241B" w:rsidP="00F3241B">
            <w:pPr>
              <w:spacing w:line="276" w:lineRule="auto"/>
              <w:rPr>
                <w:rFonts w:ascii="Arial" w:hAnsi="Arial" w:cs="Arial"/>
                <w:sz w:val="20"/>
                <w:szCs w:val="20"/>
              </w:rPr>
            </w:pPr>
          </w:p>
        </w:tc>
      </w:tr>
      <w:tr w:rsidR="0035594A" w:rsidRPr="0035594A" w14:paraId="0A4F10C6" w14:textId="77777777" w:rsidTr="00670AD8">
        <w:tc>
          <w:tcPr>
            <w:tcW w:w="1728" w:type="dxa"/>
          </w:tcPr>
          <w:p w14:paraId="48CA642B"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LH (mIU/mL)</w:t>
            </w:r>
          </w:p>
        </w:tc>
        <w:tc>
          <w:tcPr>
            <w:tcW w:w="1728" w:type="dxa"/>
          </w:tcPr>
          <w:p w14:paraId="177197BF"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0</w:t>
            </w:r>
          </w:p>
        </w:tc>
        <w:tc>
          <w:tcPr>
            <w:tcW w:w="1728" w:type="dxa"/>
          </w:tcPr>
          <w:p w14:paraId="7BD730DB"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2.6 ± 0.4</w:t>
            </w:r>
          </w:p>
        </w:tc>
        <w:tc>
          <w:tcPr>
            <w:tcW w:w="1728" w:type="dxa"/>
          </w:tcPr>
          <w:p w14:paraId="097A43CA"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2.5 ± 0.5</w:t>
            </w:r>
          </w:p>
        </w:tc>
        <w:tc>
          <w:tcPr>
            <w:tcW w:w="1728" w:type="dxa"/>
          </w:tcPr>
          <w:p w14:paraId="3287442C"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2.6 ± 0.4</w:t>
            </w:r>
          </w:p>
        </w:tc>
      </w:tr>
      <w:tr w:rsidR="0035594A" w:rsidRPr="0035594A" w14:paraId="2D213E73" w14:textId="77777777" w:rsidTr="00670AD8">
        <w:tc>
          <w:tcPr>
            <w:tcW w:w="1728" w:type="dxa"/>
          </w:tcPr>
          <w:p w14:paraId="164325AB" w14:textId="77777777" w:rsidR="00F3241B" w:rsidRPr="0035594A" w:rsidRDefault="00F3241B" w:rsidP="00F3241B">
            <w:pPr>
              <w:spacing w:line="276" w:lineRule="auto"/>
              <w:rPr>
                <w:rFonts w:ascii="Arial" w:hAnsi="Arial" w:cs="Arial"/>
                <w:sz w:val="20"/>
                <w:szCs w:val="20"/>
              </w:rPr>
            </w:pPr>
          </w:p>
        </w:tc>
        <w:tc>
          <w:tcPr>
            <w:tcW w:w="1728" w:type="dxa"/>
          </w:tcPr>
          <w:p w14:paraId="2908CB44"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4</w:t>
            </w:r>
          </w:p>
        </w:tc>
        <w:tc>
          <w:tcPr>
            <w:tcW w:w="1728" w:type="dxa"/>
          </w:tcPr>
          <w:p w14:paraId="516AC7BE"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2.7 ± 0.5</w:t>
            </w:r>
          </w:p>
        </w:tc>
        <w:tc>
          <w:tcPr>
            <w:tcW w:w="1728" w:type="dxa"/>
          </w:tcPr>
          <w:p w14:paraId="087DAE47"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2.9 ± 0.6</w:t>
            </w:r>
          </w:p>
        </w:tc>
        <w:tc>
          <w:tcPr>
            <w:tcW w:w="1728" w:type="dxa"/>
          </w:tcPr>
          <w:p w14:paraId="58937CA2"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3.0 ± 0.5</w:t>
            </w:r>
          </w:p>
        </w:tc>
      </w:tr>
      <w:tr w:rsidR="0035594A" w:rsidRPr="0035594A" w14:paraId="06BB1C50" w14:textId="77777777" w:rsidTr="00670AD8">
        <w:tc>
          <w:tcPr>
            <w:tcW w:w="1728" w:type="dxa"/>
          </w:tcPr>
          <w:p w14:paraId="6F659552" w14:textId="77777777" w:rsidR="00F3241B" w:rsidRPr="0035594A" w:rsidRDefault="00F3241B" w:rsidP="00F3241B">
            <w:pPr>
              <w:spacing w:line="276" w:lineRule="auto"/>
              <w:rPr>
                <w:rFonts w:ascii="Arial" w:hAnsi="Arial" w:cs="Arial"/>
                <w:sz w:val="20"/>
                <w:szCs w:val="20"/>
              </w:rPr>
            </w:pPr>
          </w:p>
        </w:tc>
        <w:tc>
          <w:tcPr>
            <w:tcW w:w="1728" w:type="dxa"/>
          </w:tcPr>
          <w:p w14:paraId="271E58EF"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8</w:t>
            </w:r>
          </w:p>
        </w:tc>
        <w:tc>
          <w:tcPr>
            <w:tcW w:w="1728" w:type="dxa"/>
          </w:tcPr>
          <w:p w14:paraId="5246A343"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2.6 ± 0.4</w:t>
            </w:r>
          </w:p>
        </w:tc>
        <w:tc>
          <w:tcPr>
            <w:tcW w:w="1728" w:type="dxa"/>
          </w:tcPr>
          <w:p w14:paraId="7AF22464"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3.0 ± 0.5</w:t>
            </w:r>
          </w:p>
        </w:tc>
        <w:tc>
          <w:tcPr>
            <w:tcW w:w="1728" w:type="dxa"/>
          </w:tcPr>
          <w:p w14:paraId="366B157A"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3.2 ± 0.6</w:t>
            </w:r>
          </w:p>
          <w:p w14:paraId="4523BA9E" w14:textId="77777777" w:rsidR="00F3241B" w:rsidRPr="0035594A" w:rsidRDefault="00F3241B" w:rsidP="00F3241B">
            <w:pPr>
              <w:spacing w:line="276" w:lineRule="auto"/>
              <w:rPr>
                <w:rFonts w:ascii="Arial" w:hAnsi="Arial" w:cs="Arial"/>
                <w:sz w:val="20"/>
                <w:szCs w:val="20"/>
              </w:rPr>
            </w:pPr>
          </w:p>
        </w:tc>
      </w:tr>
      <w:tr w:rsidR="0035594A" w:rsidRPr="0035594A" w14:paraId="35E43F6D" w14:textId="77777777" w:rsidTr="00670AD8">
        <w:tc>
          <w:tcPr>
            <w:tcW w:w="1728" w:type="dxa"/>
          </w:tcPr>
          <w:p w14:paraId="5339E587"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FSH (mIU/mL)</w:t>
            </w:r>
          </w:p>
        </w:tc>
        <w:tc>
          <w:tcPr>
            <w:tcW w:w="1728" w:type="dxa"/>
          </w:tcPr>
          <w:p w14:paraId="6F275C48"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0</w:t>
            </w:r>
          </w:p>
        </w:tc>
        <w:tc>
          <w:tcPr>
            <w:tcW w:w="1728" w:type="dxa"/>
          </w:tcPr>
          <w:p w14:paraId="540C3A1B"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1.9 ± 0.3</w:t>
            </w:r>
          </w:p>
        </w:tc>
        <w:tc>
          <w:tcPr>
            <w:tcW w:w="1728" w:type="dxa"/>
          </w:tcPr>
          <w:p w14:paraId="741DF2B3"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1.8 ± 0.4</w:t>
            </w:r>
          </w:p>
        </w:tc>
        <w:tc>
          <w:tcPr>
            <w:tcW w:w="1728" w:type="dxa"/>
          </w:tcPr>
          <w:p w14:paraId="3BF4B583"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1.9 ± 0.3</w:t>
            </w:r>
          </w:p>
        </w:tc>
      </w:tr>
      <w:tr w:rsidR="0035594A" w:rsidRPr="0035594A" w14:paraId="289A552B" w14:textId="77777777" w:rsidTr="00670AD8">
        <w:tc>
          <w:tcPr>
            <w:tcW w:w="1728" w:type="dxa"/>
          </w:tcPr>
          <w:p w14:paraId="10621477" w14:textId="77777777" w:rsidR="00F3241B" w:rsidRPr="0035594A" w:rsidRDefault="00F3241B" w:rsidP="00F3241B">
            <w:pPr>
              <w:spacing w:line="276" w:lineRule="auto"/>
              <w:rPr>
                <w:rFonts w:ascii="Arial" w:hAnsi="Arial" w:cs="Arial"/>
                <w:sz w:val="20"/>
                <w:szCs w:val="20"/>
              </w:rPr>
            </w:pPr>
          </w:p>
        </w:tc>
        <w:tc>
          <w:tcPr>
            <w:tcW w:w="1728" w:type="dxa"/>
          </w:tcPr>
          <w:p w14:paraId="1DB7C0DF"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4</w:t>
            </w:r>
          </w:p>
        </w:tc>
        <w:tc>
          <w:tcPr>
            <w:tcW w:w="1728" w:type="dxa"/>
          </w:tcPr>
          <w:p w14:paraId="2D6EE1DC"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1.8 ± 0.3</w:t>
            </w:r>
          </w:p>
        </w:tc>
        <w:tc>
          <w:tcPr>
            <w:tcW w:w="1728" w:type="dxa"/>
          </w:tcPr>
          <w:p w14:paraId="11DB8D44"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1.9 ± 0.3</w:t>
            </w:r>
          </w:p>
        </w:tc>
        <w:tc>
          <w:tcPr>
            <w:tcW w:w="1728" w:type="dxa"/>
          </w:tcPr>
          <w:p w14:paraId="2EC72319" w14:textId="77777777" w:rsidR="00F3241B" w:rsidRPr="0035594A" w:rsidRDefault="00F3241B" w:rsidP="00F3241B">
            <w:pPr>
              <w:spacing w:line="276" w:lineRule="auto"/>
              <w:rPr>
                <w:rFonts w:ascii="Arial" w:hAnsi="Arial" w:cs="Arial"/>
                <w:sz w:val="20"/>
                <w:szCs w:val="20"/>
              </w:rPr>
            </w:pPr>
            <w:r w:rsidRPr="0035594A">
              <w:rPr>
                <w:rFonts w:ascii="Arial" w:hAnsi="Arial" w:cs="Arial"/>
                <w:sz w:val="20"/>
                <w:szCs w:val="20"/>
              </w:rPr>
              <w:t>1.9 ± 0.4</w:t>
            </w:r>
          </w:p>
        </w:tc>
      </w:tr>
      <w:tr w:rsidR="0035594A" w:rsidRPr="0035594A" w14:paraId="158BD863" w14:textId="77777777" w:rsidTr="00670AD8">
        <w:tc>
          <w:tcPr>
            <w:tcW w:w="1728" w:type="dxa"/>
            <w:tcBorders>
              <w:bottom w:val="single" w:sz="4" w:space="0" w:color="auto"/>
            </w:tcBorders>
          </w:tcPr>
          <w:p w14:paraId="43C2195A" w14:textId="77777777" w:rsidR="00F3241B" w:rsidRPr="0035594A" w:rsidRDefault="00F3241B" w:rsidP="00F3241B">
            <w:pPr>
              <w:rPr>
                <w:rFonts w:ascii="Arial" w:hAnsi="Arial" w:cs="Arial"/>
                <w:sz w:val="20"/>
                <w:szCs w:val="20"/>
              </w:rPr>
            </w:pPr>
          </w:p>
        </w:tc>
        <w:tc>
          <w:tcPr>
            <w:tcW w:w="1728" w:type="dxa"/>
            <w:tcBorders>
              <w:bottom w:val="single" w:sz="4" w:space="0" w:color="auto"/>
            </w:tcBorders>
          </w:tcPr>
          <w:p w14:paraId="08537D85" w14:textId="77777777" w:rsidR="00F3241B" w:rsidRPr="0035594A" w:rsidRDefault="00F3241B" w:rsidP="00F3241B">
            <w:pPr>
              <w:rPr>
                <w:rFonts w:ascii="Arial" w:hAnsi="Arial" w:cs="Arial"/>
                <w:sz w:val="20"/>
                <w:szCs w:val="20"/>
              </w:rPr>
            </w:pPr>
            <w:r w:rsidRPr="0035594A">
              <w:rPr>
                <w:rFonts w:ascii="Arial" w:hAnsi="Arial" w:cs="Arial"/>
                <w:sz w:val="20"/>
                <w:szCs w:val="20"/>
              </w:rPr>
              <w:t>8</w:t>
            </w:r>
          </w:p>
        </w:tc>
        <w:tc>
          <w:tcPr>
            <w:tcW w:w="1728" w:type="dxa"/>
            <w:tcBorders>
              <w:bottom w:val="single" w:sz="4" w:space="0" w:color="auto"/>
            </w:tcBorders>
          </w:tcPr>
          <w:p w14:paraId="06031968" w14:textId="77777777" w:rsidR="00F3241B" w:rsidRPr="0035594A" w:rsidRDefault="00F3241B" w:rsidP="00F3241B">
            <w:pPr>
              <w:rPr>
                <w:rFonts w:ascii="Arial" w:hAnsi="Arial" w:cs="Arial"/>
                <w:sz w:val="20"/>
                <w:szCs w:val="20"/>
              </w:rPr>
            </w:pPr>
            <w:r w:rsidRPr="0035594A">
              <w:rPr>
                <w:rFonts w:ascii="Arial" w:hAnsi="Arial" w:cs="Arial"/>
                <w:sz w:val="20"/>
                <w:szCs w:val="20"/>
              </w:rPr>
              <w:t>1.9 ± 0.3</w:t>
            </w:r>
          </w:p>
        </w:tc>
        <w:tc>
          <w:tcPr>
            <w:tcW w:w="1728" w:type="dxa"/>
            <w:tcBorders>
              <w:bottom w:val="single" w:sz="4" w:space="0" w:color="auto"/>
            </w:tcBorders>
          </w:tcPr>
          <w:p w14:paraId="3FF26633" w14:textId="77777777" w:rsidR="00F3241B" w:rsidRPr="0035594A" w:rsidRDefault="00F3241B" w:rsidP="00F3241B">
            <w:pPr>
              <w:rPr>
                <w:rFonts w:ascii="Arial" w:hAnsi="Arial" w:cs="Arial"/>
                <w:sz w:val="20"/>
                <w:szCs w:val="20"/>
              </w:rPr>
            </w:pPr>
            <w:r w:rsidRPr="0035594A">
              <w:rPr>
                <w:rFonts w:ascii="Arial" w:hAnsi="Arial" w:cs="Arial"/>
                <w:sz w:val="20"/>
                <w:szCs w:val="20"/>
              </w:rPr>
              <w:t>2.0 ± 0.3</w:t>
            </w:r>
          </w:p>
        </w:tc>
        <w:tc>
          <w:tcPr>
            <w:tcW w:w="1728" w:type="dxa"/>
            <w:tcBorders>
              <w:bottom w:val="single" w:sz="4" w:space="0" w:color="auto"/>
            </w:tcBorders>
          </w:tcPr>
          <w:p w14:paraId="51478DF0" w14:textId="77777777" w:rsidR="00F3241B" w:rsidRPr="0035594A" w:rsidRDefault="00F3241B" w:rsidP="00F3241B">
            <w:pPr>
              <w:rPr>
                <w:rFonts w:ascii="Arial" w:hAnsi="Arial" w:cs="Arial"/>
                <w:sz w:val="20"/>
                <w:szCs w:val="20"/>
              </w:rPr>
            </w:pPr>
            <w:r w:rsidRPr="0035594A">
              <w:rPr>
                <w:rFonts w:ascii="Arial" w:hAnsi="Arial" w:cs="Arial"/>
                <w:sz w:val="20"/>
                <w:szCs w:val="20"/>
              </w:rPr>
              <w:t>2.1 ± 0.3</w:t>
            </w:r>
          </w:p>
          <w:p w14:paraId="411D211B" w14:textId="77777777" w:rsidR="00F3241B" w:rsidRPr="0035594A" w:rsidRDefault="00F3241B" w:rsidP="00F3241B">
            <w:pPr>
              <w:rPr>
                <w:rFonts w:ascii="Arial" w:hAnsi="Arial" w:cs="Arial"/>
                <w:sz w:val="20"/>
                <w:szCs w:val="20"/>
              </w:rPr>
            </w:pPr>
          </w:p>
        </w:tc>
      </w:tr>
    </w:tbl>
    <w:p w14:paraId="30F8FDB2" w14:textId="77777777" w:rsidR="00F3241B" w:rsidRPr="0035594A" w:rsidRDefault="00F3241B" w:rsidP="00FF64AE">
      <w:pPr>
        <w:spacing w:after="100" w:afterAutospacing="1"/>
        <w:rPr>
          <w:rFonts w:ascii="Arial" w:eastAsia="Times New Roman" w:hAnsi="Arial" w:cs="Arial"/>
          <w:sz w:val="20"/>
          <w:szCs w:val="20"/>
        </w:rPr>
      </w:pPr>
      <w:r w:rsidRPr="0035594A">
        <w:rPr>
          <w:rFonts w:ascii="Arial" w:eastAsia="Times New Roman" w:hAnsi="Arial" w:cs="Arial"/>
          <w:sz w:val="20"/>
          <w:szCs w:val="20"/>
        </w:rPr>
        <w:t>Values are presented as mean ± standard deviation (n=8 per group). LH = Luteinizing hormone; FSH = Follicle-stimulating hormone. Asterisks (*) indicate statistically significant differences (P &lt; 0.05) compared to the control group at the same time point using Tukey's HSD test.</w:t>
      </w:r>
    </w:p>
    <w:p w14:paraId="5B296430" w14:textId="77777777" w:rsidR="001501F1" w:rsidRDefault="001501F1" w:rsidP="00F3241B">
      <w:pPr>
        <w:spacing w:before="100" w:beforeAutospacing="1" w:after="100" w:afterAutospacing="1"/>
        <w:rPr>
          <w:rFonts w:ascii="Arial" w:eastAsia="Times New Roman" w:hAnsi="Arial" w:cs="Arial"/>
          <w:sz w:val="20"/>
          <w:szCs w:val="20"/>
        </w:rPr>
      </w:pPr>
    </w:p>
    <w:p w14:paraId="5DF56D10" w14:textId="77777777" w:rsidR="003A6692" w:rsidRPr="0035594A" w:rsidRDefault="003A6692" w:rsidP="003A6692">
      <w:pPr>
        <w:rPr>
          <w:rFonts w:ascii="Arial" w:eastAsia="Times New Roman" w:hAnsi="Arial" w:cs="Arial"/>
          <w:b/>
          <w:bCs/>
          <w:sz w:val="22"/>
          <w:szCs w:val="22"/>
        </w:rPr>
      </w:pPr>
      <w:r w:rsidRPr="0035594A">
        <w:rPr>
          <w:rFonts w:ascii="Arial" w:eastAsia="Times New Roman" w:hAnsi="Arial" w:cs="Arial"/>
          <w:b/>
          <w:bCs/>
          <w:sz w:val="22"/>
          <w:szCs w:val="22"/>
        </w:rPr>
        <w:t>Table 3: Composition of Commercial Breeder Mash</w:t>
      </w:r>
    </w:p>
    <w:tbl>
      <w:tblPr>
        <w:tblStyle w:val="TableGrid"/>
        <w:tblpPr w:leftFromText="180" w:rightFromText="180" w:vertAnchor="text"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09"/>
      </w:tblGrid>
      <w:tr w:rsidR="0035594A" w:rsidRPr="0035594A" w14:paraId="18C6354C" w14:textId="77777777" w:rsidTr="003A6692">
        <w:tc>
          <w:tcPr>
            <w:tcW w:w="4788" w:type="dxa"/>
            <w:tcBorders>
              <w:top w:val="single" w:sz="4" w:space="0" w:color="auto"/>
              <w:bottom w:val="single" w:sz="4" w:space="0" w:color="auto"/>
            </w:tcBorders>
          </w:tcPr>
          <w:p w14:paraId="2B65E0AC"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Nutrients</w:t>
            </w:r>
          </w:p>
        </w:tc>
        <w:tc>
          <w:tcPr>
            <w:tcW w:w="4788" w:type="dxa"/>
            <w:tcBorders>
              <w:top w:val="single" w:sz="4" w:space="0" w:color="auto"/>
              <w:bottom w:val="single" w:sz="4" w:space="0" w:color="auto"/>
            </w:tcBorders>
          </w:tcPr>
          <w:p w14:paraId="7E68E280"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Amount</w:t>
            </w:r>
          </w:p>
        </w:tc>
      </w:tr>
      <w:tr w:rsidR="0035594A" w:rsidRPr="0035594A" w14:paraId="41002299" w14:textId="77777777" w:rsidTr="003A6692">
        <w:tc>
          <w:tcPr>
            <w:tcW w:w="4788" w:type="dxa"/>
            <w:tcBorders>
              <w:top w:val="single" w:sz="4" w:space="0" w:color="auto"/>
            </w:tcBorders>
          </w:tcPr>
          <w:p w14:paraId="06F77490"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Crude Protein (%)                                                               </w:t>
            </w:r>
          </w:p>
        </w:tc>
        <w:tc>
          <w:tcPr>
            <w:tcW w:w="4788" w:type="dxa"/>
            <w:tcBorders>
              <w:top w:val="single" w:sz="4" w:space="0" w:color="auto"/>
            </w:tcBorders>
          </w:tcPr>
          <w:p w14:paraId="5E3F6485"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17.5</w:t>
            </w:r>
          </w:p>
        </w:tc>
      </w:tr>
      <w:tr w:rsidR="0035594A" w:rsidRPr="0035594A" w14:paraId="61C7F9D1" w14:textId="77777777" w:rsidTr="003A6692">
        <w:tc>
          <w:tcPr>
            <w:tcW w:w="4788" w:type="dxa"/>
          </w:tcPr>
          <w:p w14:paraId="3D3C3115"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Metabolizable Energy (kcal/kg)                                           </w:t>
            </w:r>
          </w:p>
        </w:tc>
        <w:tc>
          <w:tcPr>
            <w:tcW w:w="4788" w:type="dxa"/>
          </w:tcPr>
          <w:p w14:paraId="4933C2E0"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2800</w:t>
            </w:r>
          </w:p>
        </w:tc>
      </w:tr>
      <w:tr w:rsidR="0035594A" w:rsidRPr="0035594A" w14:paraId="7576D56F" w14:textId="77777777" w:rsidTr="003A6692">
        <w:tc>
          <w:tcPr>
            <w:tcW w:w="4788" w:type="dxa"/>
          </w:tcPr>
          <w:p w14:paraId="4FC7BD16"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Calcium (%)                                                                        </w:t>
            </w:r>
          </w:p>
        </w:tc>
        <w:tc>
          <w:tcPr>
            <w:tcW w:w="4788" w:type="dxa"/>
          </w:tcPr>
          <w:p w14:paraId="3CADDFFE"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3.5</w:t>
            </w:r>
          </w:p>
        </w:tc>
      </w:tr>
      <w:tr w:rsidR="0035594A" w:rsidRPr="0035594A" w14:paraId="437844E9" w14:textId="77777777" w:rsidTr="003A6692">
        <w:tc>
          <w:tcPr>
            <w:tcW w:w="4788" w:type="dxa"/>
          </w:tcPr>
          <w:p w14:paraId="6AE6EC12"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Available Phosphorus (%)                                                   </w:t>
            </w:r>
          </w:p>
        </w:tc>
        <w:tc>
          <w:tcPr>
            <w:tcW w:w="4788" w:type="dxa"/>
          </w:tcPr>
          <w:p w14:paraId="37FB6C58"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0.45</w:t>
            </w:r>
          </w:p>
        </w:tc>
      </w:tr>
      <w:tr w:rsidR="0035594A" w:rsidRPr="0035594A" w14:paraId="34198E49" w14:textId="77777777" w:rsidTr="003A6692">
        <w:tc>
          <w:tcPr>
            <w:tcW w:w="4788" w:type="dxa"/>
          </w:tcPr>
          <w:p w14:paraId="77F8696B"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Lysine (%)                                                                           </w:t>
            </w:r>
          </w:p>
        </w:tc>
        <w:tc>
          <w:tcPr>
            <w:tcW w:w="4788" w:type="dxa"/>
          </w:tcPr>
          <w:p w14:paraId="0FF138B7"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0.85</w:t>
            </w:r>
          </w:p>
        </w:tc>
      </w:tr>
      <w:tr w:rsidR="0035594A" w:rsidRPr="0035594A" w14:paraId="722857CF" w14:textId="77777777" w:rsidTr="003A6692">
        <w:tc>
          <w:tcPr>
            <w:tcW w:w="4788" w:type="dxa"/>
          </w:tcPr>
          <w:p w14:paraId="53745D23"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Methionine (%)                                                                    </w:t>
            </w:r>
          </w:p>
        </w:tc>
        <w:tc>
          <w:tcPr>
            <w:tcW w:w="4788" w:type="dxa"/>
          </w:tcPr>
          <w:p w14:paraId="3225E0A8"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0.42</w:t>
            </w:r>
          </w:p>
        </w:tc>
      </w:tr>
      <w:tr w:rsidR="0035594A" w:rsidRPr="0035594A" w14:paraId="483A5D12" w14:textId="77777777" w:rsidTr="00640CE1">
        <w:trPr>
          <w:trHeight w:val="80"/>
        </w:trPr>
        <w:tc>
          <w:tcPr>
            <w:tcW w:w="4788" w:type="dxa"/>
          </w:tcPr>
          <w:p w14:paraId="10BD84AE"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Crude Fiber (%)                                                                   </w:t>
            </w:r>
          </w:p>
        </w:tc>
        <w:tc>
          <w:tcPr>
            <w:tcW w:w="4788" w:type="dxa"/>
          </w:tcPr>
          <w:p w14:paraId="5197D104"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4.2</w:t>
            </w:r>
          </w:p>
        </w:tc>
      </w:tr>
      <w:tr w:rsidR="0035594A" w:rsidRPr="0035594A" w14:paraId="2E8B3C5A" w14:textId="77777777" w:rsidTr="003A6692">
        <w:tc>
          <w:tcPr>
            <w:tcW w:w="4788" w:type="dxa"/>
            <w:tcBorders>
              <w:bottom w:val="single" w:sz="4" w:space="0" w:color="auto"/>
            </w:tcBorders>
          </w:tcPr>
          <w:p w14:paraId="0211547C"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Crude Fat (%)                                                                      </w:t>
            </w:r>
          </w:p>
        </w:tc>
        <w:tc>
          <w:tcPr>
            <w:tcW w:w="4788" w:type="dxa"/>
            <w:tcBorders>
              <w:bottom w:val="single" w:sz="4" w:space="0" w:color="auto"/>
            </w:tcBorders>
          </w:tcPr>
          <w:p w14:paraId="6DE2BD76" w14:textId="77777777" w:rsidR="003A6692" w:rsidRPr="0035594A" w:rsidRDefault="003A6692" w:rsidP="003A6692">
            <w:pPr>
              <w:spacing w:before="100" w:beforeAutospacing="1" w:after="100" w:afterAutospacing="1"/>
              <w:rPr>
                <w:rFonts w:ascii="Arial" w:eastAsia="Times New Roman" w:hAnsi="Arial" w:cs="Arial"/>
                <w:sz w:val="20"/>
                <w:szCs w:val="20"/>
              </w:rPr>
            </w:pPr>
            <w:r w:rsidRPr="0035594A">
              <w:rPr>
                <w:rFonts w:ascii="Arial" w:eastAsia="Times New Roman" w:hAnsi="Arial" w:cs="Arial"/>
                <w:sz w:val="20"/>
                <w:szCs w:val="20"/>
              </w:rPr>
              <w:t xml:space="preserve">                                              4.5</w:t>
            </w:r>
          </w:p>
        </w:tc>
      </w:tr>
    </w:tbl>
    <w:p w14:paraId="2E970311" w14:textId="77777777" w:rsidR="00333B05" w:rsidRPr="0035594A" w:rsidRDefault="00333B05" w:rsidP="00DD0D65">
      <w:pPr>
        <w:spacing w:before="100" w:beforeAutospacing="1" w:after="100" w:afterAutospacing="1"/>
        <w:rPr>
          <w:rFonts w:ascii="Arial" w:eastAsia="Times New Roman" w:hAnsi="Arial" w:cs="Arial"/>
          <w:sz w:val="20"/>
          <w:szCs w:val="20"/>
        </w:rPr>
      </w:pPr>
    </w:p>
    <w:p w14:paraId="725D69C1" w14:textId="77777777" w:rsidR="00813DEE" w:rsidRPr="0035594A" w:rsidRDefault="00F3241B" w:rsidP="00FB683C">
      <w:pPr>
        <w:pStyle w:val="ListParagraph"/>
        <w:numPr>
          <w:ilvl w:val="0"/>
          <w:numId w:val="7"/>
        </w:numPr>
        <w:spacing w:line="480" w:lineRule="auto"/>
        <w:jc w:val="both"/>
        <w:rPr>
          <w:rFonts w:ascii="Arial" w:hAnsi="Arial" w:cs="Arial"/>
          <w:b/>
          <w:sz w:val="22"/>
          <w:szCs w:val="22"/>
        </w:rPr>
      </w:pPr>
      <w:r w:rsidRPr="0035594A">
        <w:rPr>
          <w:rFonts w:ascii="Arial" w:hAnsi="Arial" w:cs="Arial"/>
          <w:b/>
          <w:sz w:val="22"/>
          <w:szCs w:val="22"/>
        </w:rPr>
        <w:t>DISCUSSION</w:t>
      </w:r>
    </w:p>
    <w:p w14:paraId="04AF155E" w14:textId="77777777" w:rsidR="00813DEE" w:rsidRPr="0035594A" w:rsidRDefault="00813DEE" w:rsidP="00FB683C">
      <w:pPr>
        <w:spacing w:line="480" w:lineRule="auto"/>
        <w:contextualSpacing/>
        <w:jc w:val="both"/>
        <w:rPr>
          <w:rFonts w:ascii="Arial" w:hAnsi="Arial" w:cs="Arial"/>
          <w:b/>
          <w:sz w:val="22"/>
          <w:szCs w:val="22"/>
        </w:rPr>
      </w:pPr>
      <w:r w:rsidRPr="0035594A">
        <w:rPr>
          <w:rFonts w:ascii="Arial" w:hAnsi="Arial" w:cs="Arial"/>
          <w:sz w:val="20"/>
          <w:szCs w:val="20"/>
        </w:rPr>
        <w:t>The current study revealed that giving ethanolic garlic extract orally led to significant improvements in sperm motility and morphology. Interestingly, while sperm concentration, ejaculate volume, and viability didn't show any changes, total motility increased by 10.0-13.0% in the treated groups compared to the controls by week 8. Progressive motility saw even more impressive gains, with improvements of 12.0-16.0% compared to controls at week 8. The high-dose group reached 55.1% progressive motility, surpassing the critical threshold (≥50%) needed for optimal fertility in commercial breeding (Mičić </w:t>
      </w:r>
      <w:r w:rsidRPr="0035594A">
        <w:rPr>
          <w:rStyle w:val="Emphasis"/>
          <w:rFonts w:ascii="Arial" w:hAnsi="Arial" w:cs="Arial"/>
          <w:sz w:val="20"/>
          <w:szCs w:val="20"/>
        </w:rPr>
        <w:t>et al</w:t>
      </w:r>
      <w:r w:rsidRPr="0035594A">
        <w:rPr>
          <w:rFonts w:ascii="Arial" w:hAnsi="Arial" w:cs="Arial"/>
          <w:sz w:val="20"/>
          <w:szCs w:val="20"/>
        </w:rPr>
        <w:t xml:space="preserve">., 2018), marking a 16.0% improvement over the controls. Notably, the reduction in morphological defects from 14.5% in the controls to 10.5% in the high-dose group (a 27.6% </w:t>
      </w:r>
      <w:r w:rsidRPr="0035594A">
        <w:rPr>
          <w:rFonts w:ascii="Arial" w:hAnsi="Arial" w:cs="Arial"/>
          <w:sz w:val="20"/>
          <w:szCs w:val="20"/>
        </w:rPr>
        <w:lastRenderedPageBreak/>
        <w:t>decrease) is significant, as sperm with normal morphology tend to have better membrane integrity and DNA stability, which are crucial for successful fertilization.</w:t>
      </w:r>
    </w:p>
    <w:p w14:paraId="4BD35B30"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These enhancements could be linked to the antioxidants found in garlic, especially allicin and sulfur compounds, which help reduce oxidative stress and maintain sperm structural integrity. Our results are consistent with the findings of Okoro </w:t>
      </w:r>
      <w:r w:rsidRPr="0035594A">
        <w:rPr>
          <w:rStyle w:val="Emphasis"/>
          <w:rFonts w:ascii="Arial" w:hAnsi="Arial" w:cs="Arial"/>
          <w:sz w:val="20"/>
          <w:szCs w:val="20"/>
        </w:rPr>
        <w:t>et al.</w:t>
      </w:r>
      <w:r w:rsidRPr="0035594A">
        <w:rPr>
          <w:rFonts w:ascii="Arial" w:hAnsi="Arial" w:cs="Arial"/>
          <w:sz w:val="20"/>
          <w:szCs w:val="20"/>
        </w:rPr>
        <w:t> (2016) and Balogun </w:t>
      </w:r>
      <w:r w:rsidRPr="0035594A">
        <w:rPr>
          <w:rStyle w:val="Emphasis"/>
          <w:rFonts w:ascii="Arial" w:hAnsi="Arial" w:cs="Arial"/>
          <w:sz w:val="20"/>
          <w:szCs w:val="20"/>
        </w:rPr>
        <w:t>et al</w:t>
      </w:r>
      <w:r w:rsidRPr="0035594A">
        <w:rPr>
          <w:rFonts w:ascii="Arial" w:hAnsi="Arial" w:cs="Arial"/>
          <w:sz w:val="20"/>
          <w:szCs w:val="20"/>
        </w:rPr>
        <w:t>. (2017), who also noted improved progressive motility and fertilizing capacity in cock's sperm with garlic supplementation. However, unlike the studies by Okoro </w:t>
      </w:r>
      <w:r w:rsidRPr="0035594A">
        <w:rPr>
          <w:rStyle w:val="Emphasis"/>
          <w:rFonts w:ascii="Arial" w:hAnsi="Arial" w:cs="Arial"/>
          <w:sz w:val="20"/>
          <w:szCs w:val="20"/>
        </w:rPr>
        <w:t>et al</w:t>
      </w:r>
      <w:r w:rsidRPr="0035594A">
        <w:rPr>
          <w:rFonts w:ascii="Arial" w:hAnsi="Arial" w:cs="Arial"/>
          <w:sz w:val="20"/>
          <w:szCs w:val="20"/>
        </w:rPr>
        <w:t>. (2016) and Ekuma </w:t>
      </w:r>
      <w:r w:rsidRPr="0035594A">
        <w:rPr>
          <w:rStyle w:val="Emphasis"/>
          <w:rFonts w:ascii="Arial" w:hAnsi="Arial" w:cs="Arial"/>
          <w:sz w:val="20"/>
          <w:szCs w:val="20"/>
        </w:rPr>
        <w:t>et al</w:t>
      </w:r>
      <w:r w:rsidRPr="0035594A">
        <w:rPr>
          <w:rFonts w:ascii="Arial" w:hAnsi="Arial" w:cs="Arial"/>
          <w:sz w:val="20"/>
          <w:szCs w:val="20"/>
        </w:rPr>
        <w:t>. (2017), no improvements were observed in sperm concentration or viability. This discrepancy might be due to differences in how garlic was prepared, the methods of administration, and the specific bioavailability of its active compounds.</w:t>
      </w:r>
    </w:p>
    <w:p w14:paraId="065E2871"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 xml:space="preserve">The observed sperm concentration values in this study (2.1-2.3 × 10⁹/mL) were lower than typical ranges reported for commercial chicken breeds (4.0-7.0 × 10⁹/mL; </w:t>
      </w:r>
      <w:r w:rsidR="0041580A" w:rsidRPr="0035594A">
        <w:rPr>
          <w:rFonts w:ascii="Arial" w:hAnsi="Arial" w:cs="Arial"/>
          <w:sz w:val="20"/>
          <w:szCs w:val="20"/>
        </w:rPr>
        <w:t>Tare</w:t>
      </w:r>
      <w:r w:rsidR="00522752" w:rsidRPr="0035594A">
        <w:rPr>
          <w:rFonts w:ascii="Arial" w:hAnsi="Arial" w:cs="Arial"/>
          <w:sz w:val="20"/>
          <w:szCs w:val="20"/>
        </w:rPr>
        <w:t>kegn</w:t>
      </w:r>
      <w:r w:rsidRPr="0035594A">
        <w:rPr>
          <w:rFonts w:ascii="Arial" w:hAnsi="Arial" w:cs="Arial"/>
          <w:sz w:val="20"/>
          <w:szCs w:val="20"/>
        </w:rPr>
        <w:t> </w:t>
      </w:r>
      <w:r w:rsidRPr="0035594A">
        <w:rPr>
          <w:rStyle w:val="Emphasis"/>
          <w:rFonts w:ascii="Arial" w:hAnsi="Arial" w:cs="Arial"/>
          <w:sz w:val="20"/>
          <w:szCs w:val="20"/>
        </w:rPr>
        <w:t>et al</w:t>
      </w:r>
      <w:r w:rsidR="00C21981" w:rsidRPr="0035594A">
        <w:rPr>
          <w:rFonts w:ascii="Arial" w:hAnsi="Arial" w:cs="Arial"/>
          <w:sz w:val="20"/>
          <w:szCs w:val="20"/>
        </w:rPr>
        <w:t>., 2023</w:t>
      </w:r>
      <w:r w:rsidRPr="0035594A">
        <w:rPr>
          <w:rFonts w:ascii="Arial" w:hAnsi="Arial" w:cs="Arial"/>
          <w:sz w:val="20"/>
          <w:szCs w:val="20"/>
        </w:rPr>
        <w:t>). However, these values are consistent with previously documented characteristics of Nigerian indigenous poultry breeds, which exhibit 40-50% lower reproductive paramet</w:t>
      </w:r>
      <w:r w:rsidR="005B58C2" w:rsidRPr="0035594A">
        <w:rPr>
          <w:rFonts w:ascii="Arial" w:hAnsi="Arial" w:cs="Arial"/>
          <w:sz w:val="20"/>
          <w:szCs w:val="20"/>
        </w:rPr>
        <w:t>ers compared to commercial breeds</w:t>
      </w:r>
      <w:r w:rsidRPr="0035594A">
        <w:rPr>
          <w:rFonts w:ascii="Arial" w:hAnsi="Arial" w:cs="Arial"/>
          <w:sz w:val="20"/>
          <w:szCs w:val="20"/>
        </w:rPr>
        <w:t xml:space="preserve"> due to less intensive genetic selection for fertility traits (</w:t>
      </w:r>
      <w:r w:rsidR="00C21981" w:rsidRPr="0035594A">
        <w:rPr>
          <w:rFonts w:ascii="Arial" w:hAnsi="Arial" w:cs="Arial"/>
          <w:sz w:val="20"/>
          <w:szCs w:val="20"/>
        </w:rPr>
        <w:t>Tesfay</w:t>
      </w:r>
      <w:r w:rsidR="00FC2CB2" w:rsidRPr="0035594A">
        <w:rPr>
          <w:rFonts w:ascii="Arial" w:hAnsi="Arial" w:cs="Arial"/>
          <w:sz w:val="20"/>
          <w:szCs w:val="20"/>
        </w:rPr>
        <w:t xml:space="preserve"> </w:t>
      </w:r>
      <w:r w:rsidR="00FC2CB2" w:rsidRPr="0035594A">
        <w:rPr>
          <w:rFonts w:ascii="Arial" w:hAnsi="Arial" w:cs="Arial"/>
          <w:i/>
          <w:sz w:val="20"/>
          <w:szCs w:val="20"/>
        </w:rPr>
        <w:t>et al</w:t>
      </w:r>
      <w:r w:rsidR="00FC2CB2" w:rsidRPr="0035594A">
        <w:rPr>
          <w:rFonts w:ascii="Arial" w:hAnsi="Arial" w:cs="Arial"/>
          <w:sz w:val="20"/>
          <w:szCs w:val="20"/>
        </w:rPr>
        <w:t>.,</w:t>
      </w:r>
      <w:r w:rsidR="00C21981" w:rsidRPr="0035594A">
        <w:rPr>
          <w:rFonts w:ascii="Arial" w:hAnsi="Arial" w:cs="Arial"/>
          <w:sz w:val="20"/>
          <w:szCs w:val="20"/>
        </w:rPr>
        <w:t>2020</w:t>
      </w:r>
      <w:r w:rsidRPr="0035594A">
        <w:rPr>
          <w:rFonts w:ascii="Arial" w:hAnsi="Arial" w:cs="Arial"/>
          <w:sz w:val="20"/>
          <w:szCs w:val="20"/>
        </w:rPr>
        <w:t>). Additionally, the tropical environmental conditions in Yola (maximum temperatures reaching 37.9°C) likely contributed to heat stress-induced suppression of spermatogenesis, a well-documented phenomenon in poultry reproduction (</w:t>
      </w:r>
      <w:r w:rsidR="00FC2CB2" w:rsidRPr="0035594A">
        <w:rPr>
          <w:rFonts w:ascii="Arial" w:hAnsi="Arial" w:cs="Arial"/>
          <w:sz w:val="20"/>
          <w:szCs w:val="20"/>
        </w:rPr>
        <w:t>Gicheha, 2021</w:t>
      </w:r>
      <w:r w:rsidRPr="0035594A">
        <w:rPr>
          <w:rFonts w:ascii="Arial" w:hAnsi="Arial" w:cs="Arial"/>
          <w:sz w:val="20"/>
          <w:szCs w:val="20"/>
        </w:rPr>
        <w:t>). Despite lower absolute concentrations, the observed motility (67-68% total motility at baseline) and viability (76-77% at baseline) values were within normal ranges, indicating that these concentration values represent the physiological baseline for this indigenous population under local environmental conditions. Since our baseline sperm concentration was already within the normal range for this population, it suggests a ceiling effect, indicating that garlic supplementation might be most effective in birds with less-than-optimal baseline parameters.</w:t>
      </w:r>
    </w:p>
    <w:p w14:paraId="65422F05"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The eight-week supplementation period spanned approximately 4-5 complete spermatogenic cycles, given that the duration of spermatogenesis in chickens is approximately 12-13 days (Nicy </w:t>
      </w:r>
      <w:r w:rsidRPr="0035594A">
        <w:rPr>
          <w:rStyle w:val="Emphasis"/>
          <w:rFonts w:ascii="Arial" w:hAnsi="Arial" w:cs="Arial"/>
          <w:sz w:val="20"/>
          <w:szCs w:val="20"/>
        </w:rPr>
        <w:t>et al</w:t>
      </w:r>
      <w:r w:rsidRPr="0035594A">
        <w:rPr>
          <w:rFonts w:ascii="Arial" w:hAnsi="Arial" w:cs="Arial"/>
          <w:sz w:val="20"/>
          <w:szCs w:val="20"/>
        </w:rPr>
        <w:t xml:space="preserve">., 2024), which might explain why improvements were observed in functional parameters while the quantitative ones stayed the same. To substantially boost sperm production, supplementation needs to be maintained for around 10-15 weeks (or 6-10 complete cycles) to make a real impact on testicular germ cell populations (Hammed, 2022). The dose-response relationship observed, where </w:t>
      </w:r>
      <w:r w:rsidRPr="0035594A">
        <w:rPr>
          <w:rFonts w:ascii="Arial" w:hAnsi="Arial" w:cs="Arial"/>
          <w:sz w:val="20"/>
          <w:szCs w:val="20"/>
        </w:rPr>
        <w:lastRenderedPageBreak/>
        <w:t>500 mg/kg yielded better results than 250 mg/kg, indicates that higher concentration is needed for bioactive compounds to unlock the full reproductive benefits.</w:t>
      </w:r>
    </w:p>
    <w:p w14:paraId="3712C6F5"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One of the most notable hormonal findings was the significant rise in testosterone levels. The high-dose group experienced a 46.0% increase from baseline (increasing from 3.7 to 5.4 ng/mL) and a 38.5% rise compared to the control group by week 8. This increase is likely due to garlic's bioactive compounds, which help protect Leydig cells from oxidative damage and boost steroidogenic enzymes (CYP11A1, 3β-HSD, 17β-HSD) (Ricciutelli </w:t>
      </w:r>
      <w:r w:rsidRPr="0035594A">
        <w:rPr>
          <w:rStyle w:val="Emphasis"/>
          <w:rFonts w:ascii="Arial" w:hAnsi="Arial" w:cs="Arial"/>
          <w:sz w:val="20"/>
          <w:szCs w:val="20"/>
        </w:rPr>
        <w:t>et al</w:t>
      </w:r>
      <w:r w:rsidRPr="0035594A">
        <w:rPr>
          <w:rFonts w:ascii="Arial" w:hAnsi="Arial" w:cs="Arial"/>
          <w:sz w:val="20"/>
          <w:szCs w:val="20"/>
        </w:rPr>
        <w:t>., 2020). The rise in testosterone has important implications beyond just semen quality; it also plays a key role in maintaining libido, secondary sexual characteristics, and reproductive behavior in cocks, potentially leading to more frequent mating and better overall breeding efficiency.</w:t>
      </w:r>
    </w:p>
    <w:p w14:paraId="66676D4F"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The stable levels of LH and FSH provide valuable insights into the underlying mechanisms. While both gonadotropins did show slight numerical increases in the treated groups, these changes weren't statistically significant. This pattern suggests that garlic primarily acts directly at the testicular level rather than through the pituitary gland. The lack of LH suppression, even with elevated testosterone, might indicate that the testes are becoming more sensitive to the existing LH levels. From a practical perspective, this mechanism is beneficial because it boosts testosterone production without disrupting the hypothalamic-pituitary-gonadal axis, which is a significant advantage over synthetic hormonal treatments.</w:t>
      </w:r>
    </w:p>
    <w:p w14:paraId="28D95468" w14:textId="77777777" w:rsidR="00813DEE" w:rsidRPr="0035594A" w:rsidRDefault="00813DEE" w:rsidP="00C80CF3">
      <w:pPr>
        <w:spacing w:after="200" w:line="480" w:lineRule="auto"/>
        <w:contextualSpacing/>
        <w:jc w:val="both"/>
        <w:rPr>
          <w:rFonts w:ascii="Arial" w:hAnsi="Arial" w:cs="Arial"/>
          <w:sz w:val="20"/>
          <w:szCs w:val="20"/>
        </w:rPr>
      </w:pPr>
      <w:r w:rsidRPr="0035594A">
        <w:rPr>
          <w:rFonts w:ascii="Arial" w:hAnsi="Arial" w:cs="Arial"/>
          <w:sz w:val="20"/>
          <w:szCs w:val="20"/>
        </w:rPr>
        <w:t>The improvements observed in sperm motility, morphology, and testosterone levels carry important real-world implications. For instance, the boost in progressive motility to 55.1% could lead to better fertilization rates and improved hatchability, as strong correlations have been established between progressive sperm motility and fertility outcomes in poultry breeding operations (Li </w:t>
      </w:r>
      <w:r w:rsidRPr="0035594A">
        <w:rPr>
          <w:rStyle w:val="Emphasis"/>
          <w:rFonts w:ascii="Arial" w:hAnsi="Arial" w:cs="Arial"/>
          <w:sz w:val="20"/>
          <w:szCs w:val="20"/>
        </w:rPr>
        <w:t>et al</w:t>
      </w:r>
      <w:r w:rsidRPr="0035594A">
        <w:rPr>
          <w:rFonts w:ascii="Arial" w:hAnsi="Arial" w:cs="Arial"/>
          <w:sz w:val="20"/>
          <w:szCs w:val="20"/>
        </w:rPr>
        <w:t>., 2025). From an economic standpoint, garlic supplementation represents a cost-effective natural intervention compared to synthetic fertility enhancers (El Basuini </w:t>
      </w:r>
      <w:r w:rsidRPr="0035594A">
        <w:rPr>
          <w:rStyle w:val="Emphasis"/>
          <w:rFonts w:ascii="Arial" w:hAnsi="Arial" w:cs="Arial"/>
          <w:sz w:val="20"/>
          <w:szCs w:val="20"/>
        </w:rPr>
        <w:t>et al</w:t>
      </w:r>
      <w:r w:rsidRPr="0035594A">
        <w:rPr>
          <w:rFonts w:ascii="Arial" w:hAnsi="Arial" w:cs="Arial"/>
          <w:sz w:val="20"/>
          <w:szCs w:val="20"/>
        </w:rPr>
        <w:t>., 2024), and it offers similar benefits without the worries of residues or regulatory issues. Also, garlic, being classified as Generally Recognized As Safe (GRAS) and a natural feed additive, doesn't require a withdrawal period like synthetic hormones do (Ezeorba </w:t>
      </w:r>
      <w:r w:rsidRPr="0035594A">
        <w:rPr>
          <w:rStyle w:val="Emphasis"/>
          <w:rFonts w:ascii="Arial" w:hAnsi="Arial" w:cs="Arial"/>
          <w:sz w:val="20"/>
          <w:szCs w:val="20"/>
        </w:rPr>
        <w:t>et al</w:t>
      </w:r>
      <w:r w:rsidRPr="0035594A">
        <w:rPr>
          <w:rFonts w:ascii="Arial" w:hAnsi="Arial" w:cs="Arial"/>
          <w:sz w:val="20"/>
          <w:szCs w:val="20"/>
        </w:rPr>
        <w:t>., 2022), making it more appealing to consumers as a natural choice, with no drug residues and a low risk of resistance.</w:t>
      </w:r>
    </w:p>
    <w:p w14:paraId="3487D20E" w14:textId="77777777" w:rsidR="00813DEE" w:rsidRPr="0035594A" w:rsidRDefault="00813DEE" w:rsidP="00FB683C">
      <w:pPr>
        <w:spacing w:after="200" w:line="480" w:lineRule="auto"/>
        <w:contextualSpacing/>
        <w:jc w:val="both"/>
        <w:rPr>
          <w:rFonts w:ascii="Arial" w:hAnsi="Arial" w:cs="Arial"/>
          <w:b/>
          <w:sz w:val="22"/>
          <w:szCs w:val="22"/>
        </w:rPr>
      </w:pPr>
      <w:r w:rsidRPr="0035594A">
        <w:rPr>
          <w:rFonts w:ascii="Arial" w:hAnsi="Arial" w:cs="Arial"/>
          <w:sz w:val="20"/>
          <w:szCs w:val="20"/>
        </w:rPr>
        <w:t xml:space="preserve">However, there are several limitations in this study. The eight-week timeframe might not have been long enough to see changes in spermatogenic indices. While the sample size of eight birds per group </w:t>
      </w:r>
      <w:r w:rsidRPr="0035594A">
        <w:rPr>
          <w:rFonts w:ascii="Arial" w:hAnsi="Arial" w:cs="Arial"/>
          <w:sz w:val="20"/>
          <w:szCs w:val="20"/>
        </w:rPr>
        <w:lastRenderedPageBreak/>
        <w:t>is statistically sound, it might not be representative of different genetic lines. This study also didn't include direct fertility trials with hatchability measurements, which would give clearer evidence of reproductive improvements. We didn't measure oxidative stress biomarkers either, so we can't directly confirm the proposed antioxidant mechanism. The sperm concentration values, while verified and consistent with indigenous breed characteristics, represent a population-specific finding that may not extrapolate to commercial breeds. Lastly, since the study was done in controlled conditions, we still need to determine how effective this approach is in tougher field situations, like heat stress, disease challenges, or less-than-ideal nutrition</w:t>
      </w:r>
    </w:p>
    <w:p w14:paraId="5992265F" w14:textId="77777777" w:rsidR="005B58C2" w:rsidRPr="0035594A" w:rsidRDefault="00F3241B" w:rsidP="005B4941">
      <w:pPr>
        <w:pStyle w:val="ListParagraph"/>
        <w:numPr>
          <w:ilvl w:val="0"/>
          <w:numId w:val="7"/>
        </w:numPr>
        <w:spacing w:line="480" w:lineRule="auto"/>
        <w:jc w:val="both"/>
        <w:rPr>
          <w:rFonts w:ascii="Arial" w:hAnsi="Arial" w:cs="Arial"/>
          <w:b/>
          <w:sz w:val="22"/>
          <w:szCs w:val="22"/>
        </w:rPr>
      </w:pPr>
      <w:r w:rsidRPr="0035594A">
        <w:rPr>
          <w:rFonts w:ascii="Arial" w:hAnsi="Arial" w:cs="Arial"/>
          <w:b/>
          <w:sz w:val="22"/>
          <w:szCs w:val="22"/>
        </w:rPr>
        <w:t xml:space="preserve">CONCLUSION  </w:t>
      </w:r>
    </w:p>
    <w:p w14:paraId="56D6E8B2" w14:textId="77777777" w:rsidR="00645172" w:rsidRDefault="00645172" w:rsidP="00645172">
      <w:pPr>
        <w:spacing w:after="200" w:line="480" w:lineRule="auto"/>
        <w:jc w:val="both"/>
        <w:rPr>
          <w:rFonts w:ascii="Arial" w:hAnsi="Arial" w:cs="Arial"/>
          <w:sz w:val="20"/>
          <w:szCs w:val="20"/>
        </w:rPr>
      </w:pPr>
      <w:r w:rsidRPr="00645172">
        <w:rPr>
          <w:rFonts w:ascii="Arial" w:hAnsi="Arial" w:cs="Arial"/>
          <w:sz w:val="20"/>
          <w:szCs w:val="20"/>
        </w:rPr>
        <w:t>This study demonstrated that oral supplementation with ethanolic garlic extract at 250-500 mg/kg body weight significantly improved reproductive performance in Nigerian indigenous cocks. The high-dose group (500 mg/kg) showed 16.0% improvement in progressive motility (55.1% at week 8), 27.6% reduction in morphological defects (10.5% at week 8), and 38.5% elevation in testosterone levels (5.4 ng/mL at week 8) compared to controls. Progressive improvements were evident at both week 4 and week 8, demonstrating time-dependent effects. The alternative hypothesis was partially accepted: garlic supplementation enhanced functional semen parameters (motility and morphology) and testosterone levels in a dose-dependent manner, while quantitative parameters (volume, concentration, viability) and gonadotropins (LH and FSH) remained unchanged. This pattern ind</w:t>
      </w:r>
      <w:r w:rsidR="00333B05">
        <w:rPr>
          <w:rFonts w:ascii="Arial" w:hAnsi="Arial" w:cs="Arial"/>
          <w:sz w:val="20"/>
          <w:szCs w:val="20"/>
        </w:rPr>
        <w:t xml:space="preserve">icates direct testicular action </w:t>
      </w:r>
      <w:r w:rsidRPr="00645172">
        <w:rPr>
          <w:rFonts w:ascii="Arial" w:hAnsi="Arial" w:cs="Arial"/>
          <w:sz w:val="20"/>
          <w:szCs w:val="20"/>
        </w:rPr>
        <w:t>protecting Leydig cells from oxidative damage and enhancing steroid</w:t>
      </w:r>
      <w:r w:rsidR="00333B05">
        <w:rPr>
          <w:rFonts w:ascii="Arial" w:hAnsi="Arial" w:cs="Arial"/>
          <w:sz w:val="20"/>
          <w:szCs w:val="20"/>
        </w:rPr>
        <w:t xml:space="preserve">ogenic enzyme activity </w:t>
      </w:r>
      <w:r w:rsidRPr="00645172">
        <w:rPr>
          <w:rFonts w:ascii="Arial" w:hAnsi="Arial" w:cs="Arial"/>
          <w:sz w:val="20"/>
          <w:szCs w:val="20"/>
        </w:rPr>
        <w:t>rather than pituitary modulation. The 500 mg/kg dose demonstrated superior efficacy across all measured parameters. As a cost-effective intervention without concerns regarding residues or withdrawal periods, ethanolic garlic extract represents a viable natural alternative to synthetic fertility enhancers for poultry breeding programs, particularly for organic production systems and small-to-medium scale operations. Despite study limitations including the eight-week duration and absence of direct fertility trials, these findings support the practical application of ethanolic garlic extract as a reproductive enhancer in poultry breeding</w:t>
      </w:r>
    </w:p>
    <w:p w14:paraId="0DA9DADF" w14:textId="77777777" w:rsidR="000509B4" w:rsidRDefault="000509B4" w:rsidP="00645172">
      <w:pPr>
        <w:spacing w:after="200" w:line="480" w:lineRule="auto"/>
        <w:jc w:val="both"/>
        <w:rPr>
          <w:rFonts w:ascii="Arial" w:hAnsi="Arial" w:cs="Arial"/>
          <w:sz w:val="20"/>
          <w:szCs w:val="20"/>
        </w:rPr>
      </w:pPr>
    </w:p>
    <w:p w14:paraId="483E4732" w14:textId="77777777" w:rsidR="000509B4" w:rsidRDefault="000509B4" w:rsidP="00645172">
      <w:pPr>
        <w:spacing w:after="200" w:line="480" w:lineRule="auto"/>
        <w:jc w:val="both"/>
        <w:rPr>
          <w:rFonts w:ascii="Arial" w:eastAsiaTheme="minorHAnsi" w:hAnsi="Arial" w:cs="Arial"/>
          <w:b/>
          <w:iCs/>
          <w:sz w:val="20"/>
          <w:szCs w:val="20"/>
        </w:rPr>
      </w:pPr>
    </w:p>
    <w:p w14:paraId="183E2D1F" w14:textId="77777777" w:rsidR="003131C2" w:rsidRPr="003131C2" w:rsidRDefault="003131C2" w:rsidP="003131C2">
      <w:pPr>
        <w:spacing w:line="480" w:lineRule="auto"/>
        <w:jc w:val="both"/>
        <w:outlineLvl w:val="1"/>
        <w:rPr>
          <w:rFonts w:ascii="Arial" w:eastAsia="Times New Roman" w:hAnsi="Arial" w:cs="Arial"/>
          <w:b/>
          <w:bCs/>
          <w:sz w:val="22"/>
          <w:szCs w:val="22"/>
        </w:rPr>
      </w:pPr>
      <w:r w:rsidRPr="003131C2">
        <w:rPr>
          <w:rFonts w:ascii="Arial" w:eastAsia="Times New Roman" w:hAnsi="Arial" w:cs="Arial"/>
          <w:b/>
          <w:bCs/>
          <w:sz w:val="22"/>
          <w:szCs w:val="22"/>
        </w:rPr>
        <w:lastRenderedPageBreak/>
        <w:t>ACKNOWLEDGEMENT</w:t>
      </w:r>
    </w:p>
    <w:p w14:paraId="2455BD94" w14:textId="77777777" w:rsidR="003131C2" w:rsidRPr="003131C2" w:rsidRDefault="003131C2" w:rsidP="003131C2">
      <w:pPr>
        <w:spacing w:line="480" w:lineRule="auto"/>
        <w:jc w:val="both"/>
        <w:rPr>
          <w:rFonts w:ascii="Arial" w:eastAsia="Times New Roman" w:hAnsi="Arial" w:cs="Arial"/>
          <w:sz w:val="20"/>
          <w:szCs w:val="20"/>
        </w:rPr>
      </w:pPr>
      <w:r w:rsidRPr="003131C2">
        <w:rPr>
          <w:rFonts w:ascii="Arial" w:eastAsia="Times New Roman" w:hAnsi="Arial" w:cs="Arial"/>
          <w:sz w:val="20"/>
          <w:szCs w:val="20"/>
        </w:rPr>
        <w:t>The authors extend their heartfelt gratitude to the staff of the Poultry unit at the Teaching and Research Farm of Modibbo Adama University Yola, Adamawa State, Nigeria, for their invaluable support throughout the experimental period.</w:t>
      </w:r>
    </w:p>
    <w:p w14:paraId="08569CE7" w14:textId="77777777" w:rsidR="003131C2" w:rsidRPr="003131C2" w:rsidRDefault="003131C2" w:rsidP="003131C2">
      <w:pPr>
        <w:spacing w:line="480" w:lineRule="auto"/>
        <w:jc w:val="both"/>
        <w:outlineLvl w:val="1"/>
        <w:rPr>
          <w:rFonts w:ascii="Arial" w:eastAsia="Times New Roman" w:hAnsi="Arial" w:cs="Arial"/>
          <w:b/>
          <w:bCs/>
          <w:sz w:val="22"/>
          <w:szCs w:val="22"/>
        </w:rPr>
      </w:pPr>
      <w:r w:rsidRPr="003131C2">
        <w:rPr>
          <w:rFonts w:ascii="Arial" w:eastAsia="Times New Roman" w:hAnsi="Arial" w:cs="Arial"/>
          <w:b/>
          <w:bCs/>
          <w:sz w:val="22"/>
          <w:szCs w:val="22"/>
        </w:rPr>
        <w:t>COMPETING INTERESTS</w:t>
      </w:r>
    </w:p>
    <w:p w14:paraId="7DCDFDFD" w14:textId="77777777" w:rsidR="003131C2" w:rsidRPr="003131C2" w:rsidRDefault="003131C2" w:rsidP="003131C2">
      <w:pPr>
        <w:spacing w:line="480" w:lineRule="auto"/>
        <w:jc w:val="both"/>
        <w:rPr>
          <w:rFonts w:ascii="Arial" w:eastAsia="Times New Roman" w:hAnsi="Arial" w:cs="Arial"/>
          <w:sz w:val="20"/>
          <w:szCs w:val="20"/>
        </w:rPr>
      </w:pPr>
      <w:r w:rsidRPr="003131C2">
        <w:rPr>
          <w:rFonts w:ascii="Arial" w:eastAsia="Times New Roman" w:hAnsi="Arial" w:cs="Arial"/>
          <w:sz w:val="20"/>
          <w:szCs w:val="20"/>
        </w:rPr>
        <w:t>The authors declare no competing interests, whether financial, non-financial, or personal, that could have influenced the work reported in this paper.</w:t>
      </w:r>
    </w:p>
    <w:p w14:paraId="6295DC54" w14:textId="77777777" w:rsidR="003131C2" w:rsidRPr="003131C2" w:rsidRDefault="003131C2" w:rsidP="003131C2">
      <w:pPr>
        <w:spacing w:line="480" w:lineRule="auto"/>
        <w:jc w:val="both"/>
        <w:outlineLvl w:val="1"/>
        <w:rPr>
          <w:rFonts w:ascii="Arial" w:eastAsia="Times New Roman" w:hAnsi="Arial" w:cs="Arial"/>
          <w:b/>
          <w:bCs/>
          <w:sz w:val="22"/>
          <w:szCs w:val="22"/>
        </w:rPr>
      </w:pPr>
      <w:r w:rsidRPr="003131C2">
        <w:rPr>
          <w:rFonts w:ascii="Arial" w:eastAsia="Times New Roman" w:hAnsi="Arial" w:cs="Arial"/>
          <w:b/>
          <w:bCs/>
          <w:sz w:val="22"/>
          <w:szCs w:val="22"/>
        </w:rPr>
        <w:t>AUTHOR CONTRIBUTIONS</w:t>
      </w:r>
    </w:p>
    <w:p w14:paraId="2A326174" w14:textId="59799B7F" w:rsidR="003131C2" w:rsidRDefault="003131C2" w:rsidP="003131C2">
      <w:pPr>
        <w:spacing w:line="480" w:lineRule="auto"/>
        <w:jc w:val="both"/>
        <w:rPr>
          <w:rFonts w:ascii="Arial" w:eastAsia="Times New Roman" w:hAnsi="Arial" w:cs="Arial"/>
          <w:sz w:val="20"/>
          <w:szCs w:val="20"/>
        </w:rPr>
      </w:pPr>
      <w:r w:rsidRPr="003131C2">
        <w:rPr>
          <w:rFonts w:ascii="Arial" w:eastAsia="Times New Roman" w:hAnsi="Arial" w:cs="Arial"/>
          <w:sz w:val="20"/>
          <w:szCs w:val="20"/>
        </w:rPr>
        <w:t>All authors contributed collaboratively to this study. NAS conceptualized the research, designed the experimental methodology, and performed the experiments. UIB co-performed the experiment and contributed to the study design. APJ and JA jointly drafted the manuscript. BG and BMI conducted the literature searches. EBL supervised and monitored the experimental work. HM and RB performed the statistical analyses and provided insights in the interpretation of the analysis. All authors critically reviewed and approved the final version of the manuscript</w:t>
      </w:r>
    </w:p>
    <w:p w14:paraId="294F44C2" w14:textId="578A07AF" w:rsidR="00C76B8B" w:rsidRDefault="00C76B8B" w:rsidP="003131C2">
      <w:pPr>
        <w:spacing w:line="480" w:lineRule="auto"/>
        <w:jc w:val="both"/>
        <w:rPr>
          <w:rFonts w:ascii="Arial" w:eastAsia="Times New Roman" w:hAnsi="Arial" w:cs="Arial"/>
          <w:sz w:val="20"/>
          <w:szCs w:val="20"/>
        </w:rPr>
      </w:pPr>
    </w:p>
    <w:p w14:paraId="19F92374" w14:textId="01BD14B7" w:rsidR="00C76B8B" w:rsidRPr="006F2CE9" w:rsidRDefault="00C76B8B" w:rsidP="00C76B8B">
      <w:pPr>
        <w:spacing w:line="480" w:lineRule="auto"/>
        <w:jc w:val="both"/>
        <w:rPr>
          <w:rFonts w:ascii="Arial" w:eastAsia="Times New Roman" w:hAnsi="Arial" w:cs="Arial"/>
          <w:b/>
          <w:sz w:val="20"/>
          <w:szCs w:val="20"/>
        </w:rPr>
      </w:pPr>
      <w:r w:rsidRPr="006F2CE9">
        <w:rPr>
          <w:rFonts w:ascii="Arial" w:eastAsia="Times New Roman" w:hAnsi="Arial" w:cs="Arial"/>
          <w:b/>
          <w:sz w:val="20"/>
          <w:szCs w:val="20"/>
        </w:rPr>
        <w:t>Ethical Approval</w:t>
      </w:r>
    </w:p>
    <w:p w14:paraId="655599C4" w14:textId="56EBC50D" w:rsidR="00C76B8B" w:rsidRDefault="00C76B8B" w:rsidP="00C76B8B">
      <w:pPr>
        <w:spacing w:line="480" w:lineRule="auto"/>
        <w:jc w:val="both"/>
        <w:rPr>
          <w:rFonts w:ascii="Arial" w:eastAsia="Times New Roman" w:hAnsi="Arial" w:cs="Arial"/>
          <w:sz w:val="20"/>
          <w:szCs w:val="20"/>
        </w:rPr>
      </w:pPr>
      <w:r w:rsidRPr="00C76B8B">
        <w:rPr>
          <w:rFonts w:ascii="Arial" w:eastAsia="Times New Roman" w:hAnsi="Arial" w:cs="Arial"/>
          <w:sz w:val="20"/>
          <w:szCs w:val="20"/>
        </w:rPr>
        <w:t>All the experimental procedures involving the birds were conducted in accordance with the ethical guidelines for animal research and were approved b</w:t>
      </w:r>
      <w:bookmarkStart w:id="0" w:name="_GoBack"/>
      <w:bookmarkEnd w:id="0"/>
      <w:r w:rsidRPr="00C76B8B">
        <w:rPr>
          <w:rFonts w:ascii="Arial" w:eastAsia="Times New Roman" w:hAnsi="Arial" w:cs="Arial"/>
          <w:sz w:val="20"/>
          <w:szCs w:val="20"/>
        </w:rPr>
        <w:t>y the Animal Ethics Committee of Modibbo Adama University, Yola (Approval Number: MAU/AEC/2025/047). The study adhered to the principles outlined in the Guide for the Care and Use of Agricultural Animals in Research and Teaching. All efforts were made to minimize birds discomfort throughout the experimental period.</w:t>
      </w:r>
      <w:r>
        <w:rPr>
          <w:rFonts w:ascii="Arial" w:eastAsia="Times New Roman" w:hAnsi="Arial" w:cs="Arial"/>
          <w:sz w:val="20"/>
          <w:szCs w:val="20"/>
        </w:rPr>
        <w:t xml:space="preserve"> </w:t>
      </w:r>
    </w:p>
    <w:p w14:paraId="2DF36BA6" w14:textId="77777777" w:rsidR="00C76B8B" w:rsidRDefault="00C76B8B" w:rsidP="00C76B8B">
      <w:pPr>
        <w:spacing w:line="480" w:lineRule="auto"/>
        <w:jc w:val="both"/>
        <w:rPr>
          <w:rFonts w:ascii="Arial" w:eastAsia="Times New Roman" w:hAnsi="Arial" w:cs="Arial"/>
          <w:sz w:val="20"/>
          <w:szCs w:val="20"/>
        </w:rPr>
      </w:pPr>
    </w:p>
    <w:p w14:paraId="4A94B987" w14:textId="77777777" w:rsidR="00651EE1" w:rsidRDefault="00651EE1" w:rsidP="00651EE1">
      <w:r>
        <w:t>Disclaimer (Artificial intelligence)</w:t>
      </w:r>
    </w:p>
    <w:p w14:paraId="469E52CC" w14:textId="77777777" w:rsidR="00651EE1" w:rsidRDefault="00651EE1" w:rsidP="00651EE1">
      <w:r>
        <w:t xml:space="preserve">Option 1: </w:t>
      </w:r>
    </w:p>
    <w:p w14:paraId="42DB4562" w14:textId="77777777" w:rsidR="00651EE1" w:rsidRDefault="00651EE1" w:rsidP="00651EE1">
      <w:r>
        <w:t xml:space="preserve">Author(s) hereby declare that NO generative AI technologies such as Large Language Models (ChatGPT, COPILOT, etc.) and text-to-image generators have been used during the writing or editing of this manuscript. </w:t>
      </w:r>
    </w:p>
    <w:p w14:paraId="7101A24E" w14:textId="77777777" w:rsidR="00651EE1" w:rsidRDefault="00651EE1" w:rsidP="00651EE1">
      <w:r>
        <w:t xml:space="preserve">Option 2: </w:t>
      </w:r>
    </w:p>
    <w:p w14:paraId="66BC8524" w14:textId="77777777" w:rsidR="00651EE1" w:rsidRDefault="00651EE1" w:rsidP="00651EE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4CAB30" w14:textId="77777777" w:rsidR="00651EE1" w:rsidRDefault="00651EE1" w:rsidP="00651EE1">
      <w:r>
        <w:t>Details of the AI usage are given below:</w:t>
      </w:r>
    </w:p>
    <w:p w14:paraId="3D504CF8" w14:textId="77777777" w:rsidR="00651EE1" w:rsidRDefault="00651EE1" w:rsidP="00651EE1">
      <w:r>
        <w:t>1.</w:t>
      </w:r>
    </w:p>
    <w:p w14:paraId="4CA59B96" w14:textId="77777777" w:rsidR="00651EE1" w:rsidRDefault="00651EE1" w:rsidP="00651EE1">
      <w:r>
        <w:t>2.</w:t>
      </w:r>
    </w:p>
    <w:p w14:paraId="084EAD00" w14:textId="77777777" w:rsidR="00651EE1" w:rsidRPr="0053103C" w:rsidRDefault="00651EE1" w:rsidP="00651EE1">
      <w:r>
        <w:lastRenderedPageBreak/>
        <w:t>3.</w:t>
      </w:r>
    </w:p>
    <w:p w14:paraId="69D157EF" w14:textId="77777777" w:rsidR="00333B05" w:rsidRPr="003131C2" w:rsidRDefault="00333B05" w:rsidP="003131C2">
      <w:pPr>
        <w:spacing w:line="480" w:lineRule="auto"/>
        <w:jc w:val="both"/>
        <w:rPr>
          <w:rFonts w:ascii="Arial" w:eastAsia="Times New Roman" w:hAnsi="Arial" w:cs="Arial"/>
          <w:sz w:val="20"/>
          <w:szCs w:val="20"/>
        </w:rPr>
      </w:pPr>
    </w:p>
    <w:p w14:paraId="1F275FE4" w14:textId="77777777" w:rsidR="003131C2" w:rsidRPr="003131C2" w:rsidRDefault="003131C2" w:rsidP="00C11D57">
      <w:pPr>
        <w:ind w:hanging="720"/>
        <w:jc w:val="both"/>
        <w:rPr>
          <w:rFonts w:ascii="Arial" w:eastAsia="Times New Roman" w:hAnsi="Arial" w:cs="Arial"/>
          <w:b/>
          <w:sz w:val="22"/>
          <w:szCs w:val="22"/>
        </w:rPr>
      </w:pPr>
      <w:r w:rsidRPr="003131C2">
        <w:rPr>
          <w:rFonts w:ascii="Arial" w:eastAsia="Times New Roman" w:hAnsi="Arial" w:cs="Arial"/>
          <w:b/>
          <w:sz w:val="22"/>
          <w:szCs w:val="22"/>
        </w:rPr>
        <w:t>REFERENCES</w:t>
      </w:r>
    </w:p>
    <w:p w14:paraId="44966F2A" w14:textId="77777777" w:rsidR="003131C2" w:rsidRDefault="003131C2" w:rsidP="00C11D57">
      <w:pPr>
        <w:ind w:hanging="720"/>
        <w:jc w:val="both"/>
        <w:rPr>
          <w:rFonts w:ascii="Arial" w:eastAsia="Times New Roman" w:hAnsi="Arial" w:cs="Arial"/>
          <w:sz w:val="20"/>
          <w:szCs w:val="20"/>
        </w:rPr>
      </w:pPr>
    </w:p>
    <w:p w14:paraId="5A338715"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Abdelwahab, A. A., &amp; Abd El-Aziz, A. H. (2019). Effect of garlic supplementation to rabbit semen extender on semen metabolic and oxidative markers. </w:t>
      </w:r>
      <w:r w:rsidRPr="0035594A">
        <w:rPr>
          <w:rFonts w:ascii="Arial" w:eastAsia="Times New Roman" w:hAnsi="Arial" w:cs="Arial"/>
          <w:i/>
          <w:iCs/>
          <w:sz w:val="20"/>
          <w:szCs w:val="20"/>
        </w:rPr>
        <w:t>Alexandria Journal of Veterinary Sciences</w:t>
      </w:r>
      <w:r w:rsidRPr="0035594A">
        <w:rPr>
          <w:rFonts w:ascii="Arial" w:eastAsia="Times New Roman" w:hAnsi="Arial" w:cs="Arial"/>
          <w:sz w:val="20"/>
          <w:szCs w:val="20"/>
        </w:rPr>
        <w:t>, </w:t>
      </w:r>
      <w:r w:rsidRPr="0035594A">
        <w:rPr>
          <w:rFonts w:ascii="Arial" w:eastAsia="Times New Roman" w:hAnsi="Arial" w:cs="Arial"/>
          <w:i/>
          <w:iCs/>
          <w:sz w:val="20"/>
          <w:szCs w:val="20"/>
        </w:rPr>
        <w:t>60</w:t>
      </w:r>
      <w:r w:rsidRPr="0035594A">
        <w:rPr>
          <w:rFonts w:ascii="Arial" w:eastAsia="Times New Roman" w:hAnsi="Arial" w:cs="Arial"/>
          <w:sz w:val="20"/>
          <w:szCs w:val="20"/>
        </w:rPr>
        <w:t>(2), 108-117. https://doi.org/10.5455/ajvs.20798</w:t>
      </w:r>
    </w:p>
    <w:p w14:paraId="05D20EE4"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Abidi, O., Bouilli, A., Boussada, L., El Mahi, F., &amp; Hasib, A. (2022). Phytochemical compounds and pharmacological activities of garlic (</w:t>
      </w:r>
      <w:r w:rsidRPr="0035594A">
        <w:rPr>
          <w:rFonts w:ascii="Arial" w:eastAsia="Times New Roman" w:hAnsi="Arial" w:cs="Arial"/>
          <w:i/>
          <w:iCs/>
          <w:sz w:val="20"/>
          <w:szCs w:val="20"/>
        </w:rPr>
        <w:t>Allium sativum</w:t>
      </w:r>
      <w:r w:rsidRPr="0035594A">
        <w:rPr>
          <w:rFonts w:ascii="Arial" w:eastAsia="Times New Roman" w:hAnsi="Arial" w:cs="Arial"/>
          <w:sz w:val="20"/>
          <w:szCs w:val="20"/>
        </w:rPr>
        <w:t> L.): A review. </w:t>
      </w:r>
      <w:r w:rsidRPr="0035594A">
        <w:rPr>
          <w:rFonts w:ascii="Arial" w:eastAsia="Times New Roman" w:hAnsi="Arial" w:cs="Arial"/>
          <w:i/>
          <w:iCs/>
          <w:sz w:val="20"/>
          <w:szCs w:val="20"/>
        </w:rPr>
        <w:t>Moroccan Journal of Public Health</w:t>
      </w:r>
      <w:r w:rsidRPr="0035594A">
        <w:rPr>
          <w:rFonts w:ascii="Arial" w:eastAsia="Times New Roman" w:hAnsi="Arial" w:cs="Arial"/>
          <w:sz w:val="20"/>
          <w:szCs w:val="20"/>
        </w:rPr>
        <w:t>, </w:t>
      </w:r>
      <w:r w:rsidRPr="0035594A">
        <w:rPr>
          <w:rFonts w:ascii="Arial" w:eastAsia="Times New Roman" w:hAnsi="Arial" w:cs="Arial"/>
          <w:i/>
          <w:iCs/>
          <w:sz w:val="20"/>
          <w:szCs w:val="20"/>
        </w:rPr>
        <w:t>9</w:t>
      </w:r>
      <w:r w:rsidRPr="0035594A">
        <w:rPr>
          <w:rFonts w:ascii="Arial" w:eastAsia="Times New Roman" w:hAnsi="Arial" w:cs="Arial"/>
          <w:sz w:val="20"/>
          <w:szCs w:val="20"/>
        </w:rPr>
        <w:t>(1), 45-56. https://doi.org/10.80481/revuetest30290</w:t>
      </w:r>
    </w:p>
    <w:p w14:paraId="669207A2"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Abouzed, T. K., Althobaiti, F., Omran, A. F., Eldomany, E., El-Shazly, S. A., Alharthi, F., Elkattawy, A. M., Kahilo, K. A. A., &amp; Dorghamm, D. A. (2021). The chemoprevention of spirulina platensis and garlic against diethylnitrosamine induced liver cancer in rats via amelioration of inflammatory cytokines expression and oxidative stress. </w:t>
      </w:r>
      <w:r w:rsidRPr="0035594A">
        <w:rPr>
          <w:rFonts w:ascii="Arial" w:eastAsia="Times New Roman" w:hAnsi="Arial" w:cs="Arial"/>
          <w:i/>
          <w:iCs/>
          <w:sz w:val="20"/>
          <w:szCs w:val="20"/>
        </w:rPr>
        <w:t>Toxicology Research</w:t>
      </w:r>
      <w:r w:rsidRPr="0035594A">
        <w:rPr>
          <w:rFonts w:ascii="Arial" w:eastAsia="Times New Roman" w:hAnsi="Arial" w:cs="Arial"/>
          <w:sz w:val="20"/>
          <w:szCs w:val="20"/>
        </w:rPr>
        <w:t>, </w:t>
      </w:r>
      <w:r w:rsidRPr="0035594A">
        <w:rPr>
          <w:rFonts w:ascii="Arial" w:eastAsia="Times New Roman" w:hAnsi="Arial" w:cs="Arial"/>
          <w:i/>
          <w:iCs/>
          <w:sz w:val="20"/>
          <w:szCs w:val="20"/>
        </w:rPr>
        <w:t>10</w:t>
      </w:r>
      <w:r w:rsidRPr="0035594A">
        <w:rPr>
          <w:rFonts w:ascii="Arial" w:eastAsia="Times New Roman" w:hAnsi="Arial" w:cs="Arial"/>
          <w:sz w:val="20"/>
          <w:szCs w:val="20"/>
        </w:rPr>
        <w:t>(6), 1119-1130. https://doi.org/10.1093/toxres/tfab118</w:t>
      </w:r>
    </w:p>
    <w:p w14:paraId="0B3BC4A5"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Adebayo, A. A., &amp; Tukur, A. L. (1999). </w:t>
      </w:r>
      <w:r w:rsidRPr="0035594A">
        <w:rPr>
          <w:rFonts w:ascii="Arial" w:eastAsia="Times New Roman" w:hAnsi="Arial" w:cs="Arial"/>
          <w:i/>
          <w:iCs/>
          <w:sz w:val="20"/>
          <w:szCs w:val="20"/>
        </w:rPr>
        <w:t>Adamawa State in maps</w:t>
      </w:r>
      <w:r w:rsidRPr="0035594A">
        <w:rPr>
          <w:rFonts w:ascii="Arial" w:eastAsia="Times New Roman" w:hAnsi="Arial" w:cs="Arial"/>
          <w:sz w:val="20"/>
          <w:szCs w:val="20"/>
        </w:rPr>
        <w:t>. Paraclete Publishers, Yola, Nigeria.</w:t>
      </w:r>
    </w:p>
    <w:p w14:paraId="0EF3ABE9"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Balogun, A. S., Jimoh, O. A., Olayiwola, T., &amp; Abubakar, Z. (2017). Semen quality and fertilizing ability of roosters semen diluted with quail egg-yolk supplemented with polar and non polar dried garlic extracts. </w:t>
      </w:r>
      <w:r w:rsidRPr="0035594A">
        <w:rPr>
          <w:rFonts w:ascii="Arial" w:eastAsia="Times New Roman" w:hAnsi="Arial" w:cs="Arial"/>
          <w:i/>
          <w:iCs/>
          <w:sz w:val="20"/>
          <w:szCs w:val="20"/>
        </w:rPr>
        <w:t>Journal of Advances in Biology &amp; Biotechnology</w:t>
      </w:r>
      <w:r w:rsidRPr="0035594A">
        <w:rPr>
          <w:rFonts w:ascii="Arial" w:eastAsia="Times New Roman" w:hAnsi="Arial" w:cs="Arial"/>
          <w:sz w:val="20"/>
          <w:szCs w:val="20"/>
        </w:rPr>
        <w:t>, </w:t>
      </w:r>
      <w:r w:rsidRPr="0035594A">
        <w:rPr>
          <w:rFonts w:ascii="Arial" w:eastAsia="Times New Roman" w:hAnsi="Arial" w:cs="Arial"/>
          <w:i/>
          <w:iCs/>
          <w:sz w:val="20"/>
          <w:szCs w:val="20"/>
        </w:rPr>
        <w:t>13</w:t>
      </w:r>
      <w:r w:rsidRPr="0035594A">
        <w:rPr>
          <w:rFonts w:ascii="Arial" w:eastAsia="Times New Roman" w:hAnsi="Arial" w:cs="Arial"/>
          <w:sz w:val="20"/>
          <w:szCs w:val="20"/>
        </w:rPr>
        <w:t xml:space="preserve">(2), 1-9. </w:t>
      </w:r>
      <w:hyperlink r:id="rId7" w:history="1">
        <w:r w:rsidR="00522752" w:rsidRPr="0035594A">
          <w:rPr>
            <w:rStyle w:val="Hyperlink"/>
            <w:rFonts w:ascii="Arial" w:eastAsia="Times New Roman" w:hAnsi="Arial" w:cs="Arial"/>
            <w:color w:val="auto"/>
            <w:sz w:val="20"/>
            <w:szCs w:val="20"/>
          </w:rPr>
          <w:t>https://doi.org/10.9734/jabb/2017/32395</w:t>
        </w:r>
      </w:hyperlink>
    </w:p>
    <w:p w14:paraId="3516C570" w14:textId="77777777" w:rsidR="00522752" w:rsidRPr="0035594A" w:rsidRDefault="00522752" w:rsidP="00C11D57">
      <w:pPr>
        <w:jc w:val="both"/>
        <w:rPr>
          <w:rFonts w:ascii="Arial" w:eastAsia="Times New Roman" w:hAnsi="Arial" w:cs="Arial"/>
          <w:sz w:val="20"/>
          <w:szCs w:val="20"/>
        </w:rPr>
      </w:pPr>
    </w:p>
    <w:p w14:paraId="45A13194" w14:textId="77777777" w:rsidR="00522752" w:rsidRPr="0035594A" w:rsidRDefault="00522752" w:rsidP="00C11D57">
      <w:pPr>
        <w:ind w:hanging="720"/>
        <w:jc w:val="both"/>
        <w:rPr>
          <w:rFonts w:ascii="Arial" w:eastAsia="Times New Roman" w:hAnsi="Arial" w:cs="Arial"/>
          <w:sz w:val="20"/>
          <w:szCs w:val="20"/>
        </w:rPr>
      </w:pPr>
      <w:r w:rsidRPr="0035594A">
        <w:rPr>
          <w:rFonts w:ascii="Arial" w:hAnsi="Arial" w:cs="Arial"/>
          <w:sz w:val="20"/>
          <w:szCs w:val="20"/>
        </w:rPr>
        <w:t xml:space="preserve">Bates, D., Mächler, M., Bolker, B., &amp; Walker, S. (2015). Fitting linear mixed-effects models using lme4. </w:t>
      </w:r>
      <w:r w:rsidRPr="0035594A">
        <w:rPr>
          <w:rFonts w:ascii="Arial" w:hAnsi="Arial" w:cs="Arial"/>
          <w:i/>
          <w:iCs/>
          <w:sz w:val="20"/>
          <w:szCs w:val="20"/>
        </w:rPr>
        <w:t>Journal of Statistical Software</w:t>
      </w:r>
      <w:r w:rsidRPr="0035594A">
        <w:rPr>
          <w:rFonts w:ascii="Arial" w:hAnsi="Arial" w:cs="Arial"/>
          <w:sz w:val="20"/>
          <w:szCs w:val="20"/>
        </w:rPr>
        <w:t xml:space="preserve">, </w:t>
      </w:r>
      <w:r w:rsidRPr="0035594A">
        <w:rPr>
          <w:rFonts w:ascii="Arial" w:hAnsi="Arial" w:cs="Arial"/>
          <w:i/>
          <w:iCs/>
          <w:sz w:val="20"/>
          <w:szCs w:val="20"/>
        </w:rPr>
        <w:t>67</w:t>
      </w:r>
      <w:r w:rsidRPr="0035594A">
        <w:rPr>
          <w:rFonts w:ascii="Arial" w:hAnsi="Arial" w:cs="Arial"/>
          <w:sz w:val="20"/>
          <w:szCs w:val="20"/>
        </w:rPr>
        <w:t xml:space="preserve">(1), 1–48. </w:t>
      </w:r>
      <w:hyperlink r:id="rId8" w:history="1">
        <w:r w:rsidRPr="0035594A">
          <w:rPr>
            <w:rFonts w:ascii="Arial" w:hAnsi="Arial" w:cs="Arial"/>
            <w:sz w:val="20"/>
            <w:szCs w:val="20"/>
            <w:u w:val="single"/>
          </w:rPr>
          <w:t>https://doi.org/10.18637/jss.v067.i01</w:t>
        </w:r>
      </w:hyperlink>
    </w:p>
    <w:p w14:paraId="53F7D714"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Benedict, C. O., Titilope, M. D., Esther, O., Ibukunoluwa, A. S., Emmanuel, N. I., Daniel, O. O., Mercy, B. O., Uche, M. E., Eziuche, A. U., &amp; Emeka, I. (2023). The ethnobotanical, bioactive compounds, pharmacological activities and toxicological evaluation of garlic (</w:t>
      </w:r>
      <w:r w:rsidRPr="0035594A">
        <w:rPr>
          <w:rFonts w:ascii="Arial" w:eastAsia="Times New Roman" w:hAnsi="Arial" w:cs="Arial"/>
          <w:i/>
          <w:iCs/>
          <w:sz w:val="20"/>
          <w:szCs w:val="20"/>
        </w:rPr>
        <w:t>Allium sativum</w:t>
      </w:r>
      <w:r w:rsidRPr="0035594A">
        <w:rPr>
          <w:rFonts w:ascii="Arial" w:eastAsia="Times New Roman" w:hAnsi="Arial" w:cs="Arial"/>
          <w:sz w:val="20"/>
          <w:szCs w:val="20"/>
        </w:rPr>
        <w:t>): A review. </w:t>
      </w:r>
      <w:r w:rsidRPr="0035594A">
        <w:rPr>
          <w:rFonts w:ascii="Arial" w:eastAsia="Times New Roman" w:hAnsi="Arial" w:cs="Arial"/>
          <w:i/>
          <w:iCs/>
          <w:sz w:val="20"/>
          <w:szCs w:val="20"/>
        </w:rPr>
        <w:t>Pharmacological Research - Modern Chinese Medicine</w:t>
      </w:r>
      <w:r w:rsidRPr="0035594A">
        <w:rPr>
          <w:rFonts w:ascii="Arial" w:eastAsia="Times New Roman" w:hAnsi="Arial" w:cs="Arial"/>
          <w:sz w:val="20"/>
          <w:szCs w:val="20"/>
        </w:rPr>
        <w:t>, </w:t>
      </w:r>
      <w:r w:rsidRPr="0035594A">
        <w:rPr>
          <w:rFonts w:ascii="Arial" w:eastAsia="Times New Roman" w:hAnsi="Arial" w:cs="Arial"/>
          <w:i/>
          <w:iCs/>
          <w:sz w:val="20"/>
          <w:szCs w:val="20"/>
        </w:rPr>
        <w:t>7</w:t>
      </w:r>
      <w:r w:rsidRPr="0035594A">
        <w:rPr>
          <w:rFonts w:ascii="Arial" w:eastAsia="Times New Roman" w:hAnsi="Arial" w:cs="Arial"/>
          <w:sz w:val="20"/>
          <w:szCs w:val="20"/>
        </w:rPr>
        <w:t>, Article 100273. https://doi.org/10.1016/j.prmcm.2023.100273</w:t>
      </w:r>
    </w:p>
    <w:p w14:paraId="6602EBB6"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Burrows, W. H., &amp; Quinn, J. P. (1937). The collection of spermatozoa from the domestic fowl and turkey. </w:t>
      </w:r>
      <w:r w:rsidRPr="0035594A">
        <w:rPr>
          <w:rFonts w:ascii="Arial" w:eastAsia="Times New Roman" w:hAnsi="Arial" w:cs="Arial"/>
          <w:i/>
          <w:iCs/>
          <w:sz w:val="20"/>
          <w:szCs w:val="20"/>
        </w:rPr>
        <w:t>Poultry Science</w:t>
      </w:r>
      <w:r w:rsidRPr="0035594A">
        <w:rPr>
          <w:rFonts w:ascii="Arial" w:eastAsia="Times New Roman" w:hAnsi="Arial" w:cs="Arial"/>
          <w:sz w:val="20"/>
          <w:szCs w:val="20"/>
        </w:rPr>
        <w:t>, </w:t>
      </w:r>
      <w:r w:rsidRPr="0035594A">
        <w:rPr>
          <w:rFonts w:ascii="Arial" w:eastAsia="Times New Roman" w:hAnsi="Arial" w:cs="Arial"/>
          <w:i/>
          <w:iCs/>
          <w:sz w:val="20"/>
          <w:szCs w:val="20"/>
        </w:rPr>
        <w:t>16</w:t>
      </w:r>
      <w:r w:rsidRPr="0035594A">
        <w:rPr>
          <w:rFonts w:ascii="Arial" w:eastAsia="Times New Roman" w:hAnsi="Arial" w:cs="Arial"/>
          <w:sz w:val="20"/>
          <w:szCs w:val="20"/>
        </w:rPr>
        <w:t>(1), 19-24. https://doi.org/10.3382/ps.0160019</w:t>
      </w:r>
    </w:p>
    <w:p w14:paraId="19198FF8"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De Luca, M. N., Colone, M., Gambioli, R., Stringaro, A., &amp; Unfer, V. (2021). Oxidative stress and male fertility: Role of antioxidants and inositols. </w:t>
      </w:r>
      <w:r w:rsidRPr="0035594A">
        <w:rPr>
          <w:rFonts w:ascii="Arial" w:eastAsia="Times New Roman" w:hAnsi="Arial" w:cs="Arial"/>
          <w:i/>
          <w:iCs/>
          <w:sz w:val="20"/>
          <w:szCs w:val="20"/>
        </w:rPr>
        <w:t>Antioxidants</w:t>
      </w:r>
      <w:r w:rsidRPr="0035594A">
        <w:rPr>
          <w:rFonts w:ascii="Arial" w:eastAsia="Times New Roman" w:hAnsi="Arial" w:cs="Arial"/>
          <w:sz w:val="20"/>
          <w:szCs w:val="20"/>
        </w:rPr>
        <w:t>, </w:t>
      </w:r>
      <w:r w:rsidRPr="0035594A">
        <w:rPr>
          <w:rFonts w:ascii="Arial" w:eastAsia="Times New Roman" w:hAnsi="Arial" w:cs="Arial"/>
          <w:i/>
          <w:iCs/>
          <w:sz w:val="20"/>
          <w:szCs w:val="20"/>
        </w:rPr>
        <w:t>10</w:t>
      </w:r>
      <w:r w:rsidRPr="0035594A">
        <w:rPr>
          <w:rFonts w:ascii="Arial" w:eastAsia="Times New Roman" w:hAnsi="Arial" w:cs="Arial"/>
          <w:sz w:val="20"/>
          <w:szCs w:val="20"/>
        </w:rPr>
        <w:t>(8), Article 1283. https://doi.org/10.3390/antiox10081283</w:t>
      </w:r>
    </w:p>
    <w:p w14:paraId="04B4D153"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Dhama, K., Singh, R. P., Karthik, K., Chakraborty, S., Tiwari, R., Wani, M. Y., &amp; Mohan, J. (2014). Artificial insemination in poultry and possible transmission of infectious pathogens: A review. </w:t>
      </w:r>
      <w:r w:rsidRPr="0035594A">
        <w:rPr>
          <w:rFonts w:ascii="Arial" w:eastAsia="Times New Roman" w:hAnsi="Arial" w:cs="Arial"/>
          <w:i/>
          <w:iCs/>
          <w:sz w:val="20"/>
          <w:szCs w:val="20"/>
        </w:rPr>
        <w:t>Asian Journal of Animal and Veterinary Advances</w:t>
      </w:r>
      <w:r w:rsidRPr="0035594A">
        <w:rPr>
          <w:rFonts w:ascii="Arial" w:eastAsia="Times New Roman" w:hAnsi="Arial" w:cs="Arial"/>
          <w:sz w:val="20"/>
          <w:szCs w:val="20"/>
        </w:rPr>
        <w:t>, </w:t>
      </w:r>
      <w:r w:rsidRPr="0035594A">
        <w:rPr>
          <w:rFonts w:ascii="Arial" w:eastAsia="Times New Roman" w:hAnsi="Arial" w:cs="Arial"/>
          <w:i/>
          <w:iCs/>
          <w:sz w:val="20"/>
          <w:szCs w:val="20"/>
        </w:rPr>
        <w:t>9</w:t>
      </w:r>
      <w:r w:rsidRPr="0035594A">
        <w:rPr>
          <w:rFonts w:ascii="Arial" w:eastAsia="Times New Roman" w:hAnsi="Arial" w:cs="Arial"/>
          <w:sz w:val="20"/>
          <w:szCs w:val="20"/>
        </w:rPr>
        <w:t>(4), 211-228. https://doi.org/10.3923/ajava.2014.211.228</w:t>
      </w:r>
    </w:p>
    <w:p w14:paraId="27CF016B"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Ekuma, B. O., Amaduruonye, W., Onunkwo, D. N., &amp; Herber, U. (2017). Influence of garlic (</w:t>
      </w:r>
      <w:r w:rsidRPr="0035594A">
        <w:rPr>
          <w:rFonts w:ascii="Arial" w:eastAsia="Times New Roman" w:hAnsi="Arial" w:cs="Arial"/>
          <w:i/>
          <w:iCs/>
          <w:sz w:val="20"/>
          <w:szCs w:val="20"/>
        </w:rPr>
        <w:t>Allium sativum</w:t>
      </w:r>
      <w:r w:rsidRPr="0035594A">
        <w:rPr>
          <w:rFonts w:ascii="Arial" w:eastAsia="Times New Roman" w:hAnsi="Arial" w:cs="Arial"/>
          <w:sz w:val="20"/>
          <w:szCs w:val="20"/>
        </w:rPr>
        <w:t>) and vitamin E on semen characteristics, reproductive performance and histopathology of rabbit bucks. </w:t>
      </w:r>
      <w:r w:rsidRPr="0035594A">
        <w:rPr>
          <w:rFonts w:ascii="Arial" w:eastAsia="Times New Roman" w:hAnsi="Arial" w:cs="Arial"/>
          <w:i/>
          <w:iCs/>
          <w:sz w:val="20"/>
          <w:szCs w:val="20"/>
        </w:rPr>
        <w:t>Nigerian Journal of Animal Production</w:t>
      </w:r>
      <w:r w:rsidRPr="0035594A">
        <w:rPr>
          <w:rFonts w:ascii="Arial" w:eastAsia="Times New Roman" w:hAnsi="Arial" w:cs="Arial"/>
          <w:sz w:val="20"/>
          <w:szCs w:val="20"/>
        </w:rPr>
        <w:t>, </w:t>
      </w:r>
      <w:r w:rsidRPr="0035594A">
        <w:rPr>
          <w:rFonts w:ascii="Arial" w:eastAsia="Times New Roman" w:hAnsi="Arial" w:cs="Arial"/>
          <w:i/>
          <w:iCs/>
          <w:sz w:val="20"/>
          <w:szCs w:val="20"/>
        </w:rPr>
        <w:t>44</w:t>
      </w:r>
      <w:r w:rsidRPr="0035594A">
        <w:rPr>
          <w:rFonts w:ascii="Arial" w:eastAsia="Times New Roman" w:hAnsi="Arial" w:cs="Arial"/>
          <w:sz w:val="20"/>
          <w:szCs w:val="20"/>
        </w:rPr>
        <w:t>(3), 117-128. https://doi.org/10.51791/njap.v44i3.274</w:t>
      </w:r>
    </w:p>
    <w:p w14:paraId="4B763C6A"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El Basuini, M. F., Shaban, M., El-Hais, A. M., Soliman, A. A., Abu-Elala, N. M., Teiba, I. I., Alhoshy, M., Sallam, G. R., Shadrack, R. S., Mzengereza, K., &amp; Shehata, A. I. (2024). Exploring the dual benefits of fermented and non-fermented garlic powder on growth, antioxidative capacity, immune responses, and histology in gray mullet (</w:t>
      </w:r>
      <w:r w:rsidRPr="0035594A">
        <w:rPr>
          <w:rFonts w:ascii="Arial" w:eastAsia="Times New Roman" w:hAnsi="Arial" w:cs="Arial"/>
          <w:i/>
          <w:iCs/>
          <w:sz w:val="20"/>
          <w:szCs w:val="20"/>
        </w:rPr>
        <w:t>Liza ramada</w:t>
      </w:r>
      <w:r w:rsidRPr="0035594A">
        <w:rPr>
          <w:rFonts w:ascii="Arial" w:eastAsia="Times New Roman" w:hAnsi="Arial" w:cs="Arial"/>
          <w:sz w:val="20"/>
          <w:szCs w:val="20"/>
        </w:rPr>
        <w:t>). </w:t>
      </w:r>
      <w:r w:rsidRPr="0035594A">
        <w:rPr>
          <w:rFonts w:ascii="Arial" w:eastAsia="Times New Roman" w:hAnsi="Arial" w:cs="Arial"/>
          <w:i/>
          <w:iCs/>
          <w:sz w:val="20"/>
          <w:szCs w:val="20"/>
        </w:rPr>
        <w:t>Fishes</w:t>
      </w:r>
      <w:r w:rsidRPr="0035594A">
        <w:rPr>
          <w:rFonts w:ascii="Arial" w:eastAsia="Times New Roman" w:hAnsi="Arial" w:cs="Arial"/>
          <w:sz w:val="20"/>
          <w:szCs w:val="20"/>
        </w:rPr>
        <w:t>, </w:t>
      </w:r>
      <w:r w:rsidRPr="0035594A">
        <w:rPr>
          <w:rFonts w:ascii="Arial" w:eastAsia="Times New Roman" w:hAnsi="Arial" w:cs="Arial"/>
          <w:i/>
          <w:iCs/>
          <w:sz w:val="20"/>
          <w:szCs w:val="20"/>
        </w:rPr>
        <w:t>9</w:t>
      </w:r>
      <w:r w:rsidRPr="0035594A">
        <w:rPr>
          <w:rFonts w:ascii="Arial" w:eastAsia="Times New Roman" w:hAnsi="Arial" w:cs="Arial"/>
          <w:sz w:val="20"/>
          <w:szCs w:val="20"/>
        </w:rPr>
        <w:t>(10), Article 401. https://doi.org/10.3390/fishes9100401</w:t>
      </w:r>
    </w:p>
    <w:p w14:paraId="11F8807C"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Esguerra, J. P. M., Quimio, J. M. U. P. H., Geleo, Dichoso, G. A., Junsay, C. A., Magpantay, V. A., &amp; Sangel, P. P. (2020). Coconut water with either tomato juice or garlic extract as extender components for Paraoakan native chicken semen at different storage temperatures. </w:t>
      </w:r>
      <w:r w:rsidRPr="0035594A">
        <w:rPr>
          <w:rFonts w:ascii="Arial" w:eastAsia="Times New Roman" w:hAnsi="Arial" w:cs="Arial"/>
          <w:i/>
          <w:iCs/>
          <w:sz w:val="20"/>
          <w:szCs w:val="20"/>
        </w:rPr>
        <w:t>The Philippine Journal of Science</w:t>
      </w:r>
      <w:r w:rsidRPr="0035594A">
        <w:rPr>
          <w:rFonts w:ascii="Arial" w:eastAsia="Times New Roman" w:hAnsi="Arial" w:cs="Arial"/>
          <w:sz w:val="20"/>
          <w:szCs w:val="20"/>
        </w:rPr>
        <w:t>, </w:t>
      </w:r>
      <w:r w:rsidRPr="0035594A">
        <w:rPr>
          <w:rFonts w:ascii="Arial" w:eastAsia="Times New Roman" w:hAnsi="Arial" w:cs="Arial"/>
          <w:i/>
          <w:iCs/>
          <w:sz w:val="20"/>
          <w:szCs w:val="20"/>
        </w:rPr>
        <w:t>149</w:t>
      </w:r>
      <w:r w:rsidRPr="0035594A">
        <w:rPr>
          <w:rFonts w:ascii="Arial" w:eastAsia="Times New Roman" w:hAnsi="Arial" w:cs="Arial"/>
          <w:sz w:val="20"/>
          <w:szCs w:val="20"/>
        </w:rPr>
        <w:t>(1), 103-113. https://doi.org/10.56899/149.01.11</w:t>
      </w:r>
    </w:p>
    <w:p w14:paraId="0565BD96" w14:textId="77777777" w:rsidR="002C1C4F" w:rsidRPr="0035594A" w:rsidRDefault="002C1C4F" w:rsidP="00C11D57">
      <w:pPr>
        <w:ind w:hanging="720"/>
        <w:jc w:val="both"/>
        <w:rPr>
          <w:rFonts w:ascii="Arial" w:eastAsia="Times New Roman" w:hAnsi="Arial" w:cs="Arial"/>
          <w:sz w:val="20"/>
          <w:szCs w:val="20"/>
        </w:rPr>
      </w:pPr>
      <w:r w:rsidRPr="00A606CA">
        <w:rPr>
          <w:rFonts w:ascii="Arial" w:eastAsia="Times New Roman" w:hAnsi="Arial" w:cs="Arial"/>
          <w:sz w:val="20"/>
          <w:szCs w:val="20"/>
          <w:lang w:val="nl-BE"/>
        </w:rPr>
        <w:t xml:space="preserve">Ezeorba, T. P. C., Chukwudozie, K. I., Ezema, C. A., Anaduaka, E. G., Nweze, E. J., &amp; Okeke, E. S. (2022). </w:t>
      </w:r>
      <w:r w:rsidRPr="0035594A">
        <w:rPr>
          <w:rFonts w:ascii="Arial" w:eastAsia="Times New Roman" w:hAnsi="Arial" w:cs="Arial"/>
          <w:sz w:val="20"/>
          <w:szCs w:val="20"/>
        </w:rPr>
        <w:t>Potentials for health and therapeutic benefits of garlic essential oils: Recent findings and future prospects. </w:t>
      </w:r>
      <w:r w:rsidRPr="0035594A">
        <w:rPr>
          <w:rFonts w:ascii="Arial" w:eastAsia="Times New Roman" w:hAnsi="Arial" w:cs="Arial"/>
          <w:i/>
          <w:iCs/>
          <w:sz w:val="20"/>
          <w:szCs w:val="20"/>
        </w:rPr>
        <w:t>Pharmacological Research - Modern Chinese Medicine</w:t>
      </w:r>
      <w:r w:rsidRPr="0035594A">
        <w:rPr>
          <w:rFonts w:ascii="Arial" w:eastAsia="Times New Roman" w:hAnsi="Arial" w:cs="Arial"/>
          <w:sz w:val="20"/>
          <w:szCs w:val="20"/>
        </w:rPr>
        <w:t>, </w:t>
      </w:r>
      <w:r w:rsidRPr="0035594A">
        <w:rPr>
          <w:rFonts w:ascii="Arial" w:eastAsia="Times New Roman" w:hAnsi="Arial" w:cs="Arial"/>
          <w:i/>
          <w:iCs/>
          <w:sz w:val="20"/>
          <w:szCs w:val="20"/>
        </w:rPr>
        <w:t>5</w:t>
      </w:r>
      <w:r w:rsidRPr="0035594A">
        <w:rPr>
          <w:rFonts w:ascii="Arial" w:eastAsia="Times New Roman" w:hAnsi="Arial" w:cs="Arial"/>
          <w:sz w:val="20"/>
          <w:szCs w:val="20"/>
        </w:rPr>
        <w:t xml:space="preserve">, Article 100175. </w:t>
      </w:r>
      <w:hyperlink r:id="rId9" w:history="1">
        <w:r w:rsidR="00522752" w:rsidRPr="0035594A">
          <w:rPr>
            <w:rStyle w:val="Hyperlink"/>
            <w:rFonts w:ascii="Arial" w:eastAsia="Times New Roman" w:hAnsi="Arial" w:cs="Arial"/>
            <w:color w:val="auto"/>
            <w:sz w:val="20"/>
            <w:szCs w:val="20"/>
          </w:rPr>
          <w:t>https://doi.org/10.1016/j.prmcm.2022.100175</w:t>
        </w:r>
      </w:hyperlink>
    </w:p>
    <w:p w14:paraId="2B26E13C" w14:textId="77777777" w:rsidR="00522752" w:rsidRPr="0035594A" w:rsidRDefault="00522752" w:rsidP="00C11D57">
      <w:pPr>
        <w:ind w:hanging="720"/>
        <w:jc w:val="both"/>
        <w:rPr>
          <w:rFonts w:ascii="Arial" w:eastAsia="Times New Roman" w:hAnsi="Arial" w:cs="Arial"/>
          <w:sz w:val="20"/>
          <w:szCs w:val="20"/>
        </w:rPr>
      </w:pPr>
      <w:r w:rsidRPr="0035594A">
        <w:rPr>
          <w:rFonts w:ascii="Arial" w:hAnsi="Arial" w:cs="Arial"/>
          <w:sz w:val="20"/>
          <w:szCs w:val="20"/>
        </w:rPr>
        <w:t xml:space="preserve">Gicheha, M. G. (2021). The effects of heat stress on production, reproduction, health in chicken and its dietary amelioration. In </w:t>
      </w:r>
      <w:r w:rsidRPr="0035594A">
        <w:rPr>
          <w:rFonts w:ascii="Arial" w:hAnsi="Arial" w:cs="Arial"/>
          <w:i/>
          <w:iCs/>
          <w:sz w:val="20"/>
          <w:szCs w:val="20"/>
        </w:rPr>
        <w:t>Advances in poultry nutrition research</w:t>
      </w:r>
      <w:r w:rsidRPr="0035594A">
        <w:rPr>
          <w:rFonts w:ascii="Arial" w:hAnsi="Arial" w:cs="Arial"/>
          <w:sz w:val="20"/>
          <w:szCs w:val="20"/>
        </w:rPr>
        <w:t xml:space="preserve">. IntechOpen. </w:t>
      </w:r>
      <w:hyperlink r:id="rId10" w:history="1">
        <w:r w:rsidRPr="0035594A">
          <w:rPr>
            <w:rFonts w:ascii="Arial" w:hAnsi="Arial" w:cs="Arial"/>
            <w:sz w:val="20"/>
            <w:szCs w:val="20"/>
            <w:u w:val="single"/>
          </w:rPr>
          <w:t>https://doi.org/10.5772/intechopen.97284</w:t>
        </w:r>
      </w:hyperlink>
    </w:p>
    <w:p w14:paraId="0D9B880D"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Hammed, O. O. (2022). Evaluation of reproductive hormones and sperm characteristics of five strains of male broiler chicken raised in the derived savanna zone of Nigeria. </w:t>
      </w:r>
      <w:r w:rsidRPr="0035594A">
        <w:rPr>
          <w:rFonts w:ascii="Arial" w:eastAsia="Times New Roman" w:hAnsi="Arial" w:cs="Arial"/>
          <w:i/>
          <w:iCs/>
          <w:sz w:val="20"/>
          <w:szCs w:val="20"/>
        </w:rPr>
        <w:t>Nigerian Journal of Animal Production</w:t>
      </w:r>
      <w:r w:rsidRPr="0035594A">
        <w:rPr>
          <w:rFonts w:ascii="Arial" w:eastAsia="Times New Roman" w:hAnsi="Arial" w:cs="Arial"/>
          <w:sz w:val="20"/>
          <w:szCs w:val="20"/>
        </w:rPr>
        <w:t>, </w:t>
      </w:r>
      <w:r w:rsidRPr="0035594A">
        <w:rPr>
          <w:rFonts w:ascii="Arial" w:eastAsia="Times New Roman" w:hAnsi="Arial" w:cs="Arial"/>
          <w:i/>
          <w:iCs/>
          <w:sz w:val="20"/>
          <w:szCs w:val="20"/>
        </w:rPr>
        <w:t>49</w:t>
      </w:r>
      <w:r w:rsidRPr="0035594A">
        <w:rPr>
          <w:rFonts w:ascii="Arial" w:eastAsia="Times New Roman" w:hAnsi="Arial" w:cs="Arial"/>
          <w:sz w:val="20"/>
          <w:szCs w:val="20"/>
        </w:rPr>
        <w:t>(1), 63-73. https://doi.org/10.51791/njap.v49i1.3408</w:t>
      </w:r>
    </w:p>
    <w:p w14:paraId="22BF189E"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lastRenderedPageBreak/>
        <w:t>Klimowicz-Bodys, M. D., Batkowski, F., Ochrem, A. S., &amp; Savič, M. A. (2012). Comparison of assessment of pigeon sperm viability by contrast-phase microscope (eosin-nigrosin staining) and flow cytometry (SYBR-14/propidium iodide (PI) staining). </w:t>
      </w:r>
      <w:r w:rsidRPr="0035594A">
        <w:rPr>
          <w:rFonts w:ascii="Arial" w:eastAsia="Times New Roman" w:hAnsi="Arial" w:cs="Arial"/>
          <w:i/>
          <w:iCs/>
          <w:sz w:val="20"/>
          <w:szCs w:val="20"/>
        </w:rPr>
        <w:t>Theriogenology</w:t>
      </w:r>
      <w:r w:rsidRPr="0035594A">
        <w:rPr>
          <w:rFonts w:ascii="Arial" w:eastAsia="Times New Roman" w:hAnsi="Arial" w:cs="Arial"/>
          <w:sz w:val="20"/>
          <w:szCs w:val="20"/>
        </w:rPr>
        <w:t>, </w:t>
      </w:r>
      <w:r w:rsidRPr="0035594A">
        <w:rPr>
          <w:rFonts w:ascii="Arial" w:eastAsia="Times New Roman" w:hAnsi="Arial" w:cs="Arial"/>
          <w:i/>
          <w:iCs/>
          <w:sz w:val="20"/>
          <w:szCs w:val="20"/>
        </w:rPr>
        <w:t>78</w:t>
      </w:r>
      <w:r w:rsidRPr="0035594A">
        <w:rPr>
          <w:rFonts w:ascii="Arial" w:eastAsia="Times New Roman" w:hAnsi="Arial" w:cs="Arial"/>
          <w:sz w:val="20"/>
          <w:szCs w:val="20"/>
        </w:rPr>
        <w:t>(9), 2118-2124. https://doi.org/10.1016/j.theriogenology.2011.09.001</w:t>
      </w:r>
    </w:p>
    <w:p w14:paraId="18201A3A"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Li, J., Liu, P., Zhang, J., Tian, Y., Sun, G., Kang, X., Li, D., &amp; Gu, Y. (2025). PhospholipaseA2VI mediates the lipid peroxidation-ferroptosis axis to regulate rooster sperm motility. </w:t>
      </w:r>
      <w:r w:rsidRPr="0035594A">
        <w:rPr>
          <w:rFonts w:ascii="Arial" w:eastAsia="Times New Roman" w:hAnsi="Arial" w:cs="Arial"/>
          <w:i/>
          <w:iCs/>
          <w:sz w:val="20"/>
          <w:szCs w:val="20"/>
        </w:rPr>
        <w:t>Poultry Science</w:t>
      </w:r>
      <w:r w:rsidRPr="0035594A">
        <w:rPr>
          <w:rFonts w:ascii="Arial" w:eastAsia="Times New Roman" w:hAnsi="Arial" w:cs="Arial"/>
          <w:sz w:val="20"/>
          <w:szCs w:val="20"/>
        </w:rPr>
        <w:t>, </w:t>
      </w:r>
      <w:r w:rsidRPr="0035594A">
        <w:rPr>
          <w:rFonts w:ascii="Arial" w:eastAsia="Times New Roman" w:hAnsi="Arial" w:cs="Arial"/>
          <w:i/>
          <w:iCs/>
          <w:sz w:val="20"/>
          <w:szCs w:val="20"/>
        </w:rPr>
        <w:t>104</w:t>
      </w:r>
      <w:r w:rsidRPr="0035594A">
        <w:rPr>
          <w:rFonts w:ascii="Arial" w:eastAsia="Times New Roman" w:hAnsi="Arial" w:cs="Arial"/>
          <w:sz w:val="20"/>
          <w:szCs w:val="20"/>
        </w:rPr>
        <w:t>(2), Article 105751. https://doi.org/10.1016/j.psj.2025.105751</w:t>
      </w:r>
    </w:p>
    <w:p w14:paraId="229AD8B9"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Mandey, J. S., &amp; Sompie, F. L. (2021). Phytogenic feed additives as an alternative to antibiotic growth promoters in poultry nutrition. In </w:t>
      </w:r>
      <w:r w:rsidRPr="0035594A">
        <w:rPr>
          <w:rFonts w:ascii="Arial" w:eastAsia="Times New Roman" w:hAnsi="Arial" w:cs="Arial"/>
          <w:i/>
          <w:iCs/>
          <w:sz w:val="20"/>
          <w:szCs w:val="20"/>
        </w:rPr>
        <w:t>Veterinary Medicine and Science</w:t>
      </w:r>
      <w:r w:rsidRPr="0035594A">
        <w:rPr>
          <w:rFonts w:ascii="Arial" w:eastAsia="Times New Roman" w:hAnsi="Arial" w:cs="Arial"/>
          <w:sz w:val="20"/>
          <w:szCs w:val="20"/>
        </w:rPr>
        <w:t> (pp. 245-268). IntechOpen. https://doi.org/10.5772/intechopen.99401</w:t>
      </w:r>
    </w:p>
    <w:p w14:paraId="2978E6C8"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Mičić, S., Lalić, N., Djordjevic, D., Bojanić, N., Virmani, A., Busetto, G. M., &amp; Agarwal, A. (2018). Carnitines and essential nutrients ameliorate sperm vitality and DNA fragmentation index which also predict improvement in progressive sperm motility. </w:t>
      </w:r>
      <w:r w:rsidRPr="0035594A">
        <w:rPr>
          <w:rFonts w:ascii="Arial" w:eastAsia="Times New Roman" w:hAnsi="Arial" w:cs="Arial"/>
          <w:i/>
          <w:iCs/>
          <w:sz w:val="20"/>
          <w:szCs w:val="20"/>
        </w:rPr>
        <w:t>Fertility and Sterility</w:t>
      </w:r>
      <w:r w:rsidRPr="0035594A">
        <w:rPr>
          <w:rFonts w:ascii="Arial" w:eastAsia="Times New Roman" w:hAnsi="Arial" w:cs="Arial"/>
          <w:sz w:val="20"/>
          <w:szCs w:val="20"/>
        </w:rPr>
        <w:t>, </w:t>
      </w:r>
      <w:r w:rsidRPr="0035594A">
        <w:rPr>
          <w:rFonts w:ascii="Arial" w:eastAsia="Times New Roman" w:hAnsi="Arial" w:cs="Arial"/>
          <w:i/>
          <w:iCs/>
          <w:sz w:val="20"/>
          <w:szCs w:val="20"/>
        </w:rPr>
        <w:t>110</w:t>
      </w:r>
      <w:r w:rsidRPr="0035594A">
        <w:rPr>
          <w:rFonts w:ascii="Arial" w:eastAsia="Times New Roman" w:hAnsi="Arial" w:cs="Arial"/>
          <w:sz w:val="20"/>
          <w:szCs w:val="20"/>
        </w:rPr>
        <w:t>(4), e352. https://doi.org/10.1016/j.fertnstert.2018.07.834</w:t>
      </w:r>
    </w:p>
    <w:p w14:paraId="1E3A5BA1"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Moazamian, A., Gharagozloo, P., Aitken, R. J., &amp; Drevet, J. R. (2022). Oxidative stress and reproductive function: Sperm telomeres, oxidative stress, and infertility. </w:t>
      </w:r>
      <w:r w:rsidRPr="0035594A">
        <w:rPr>
          <w:rFonts w:ascii="Arial" w:eastAsia="Times New Roman" w:hAnsi="Arial" w:cs="Arial"/>
          <w:i/>
          <w:iCs/>
          <w:sz w:val="20"/>
          <w:szCs w:val="20"/>
        </w:rPr>
        <w:t>Reproduction</w:t>
      </w:r>
      <w:r w:rsidRPr="0035594A">
        <w:rPr>
          <w:rFonts w:ascii="Arial" w:eastAsia="Times New Roman" w:hAnsi="Arial" w:cs="Arial"/>
          <w:sz w:val="20"/>
          <w:szCs w:val="20"/>
        </w:rPr>
        <w:t>, </w:t>
      </w:r>
      <w:r w:rsidRPr="0035594A">
        <w:rPr>
          <w:rFonts w:ascii="Arial" w:eastAsia="Times New Roman" w:hAnsi="Arial" w:cs="Arial"/>
          <w:i/>
          <w:iCs/>
          <w:sz w:val="20"/>
          <w:szCs w:val="20"/>
        </w:rPr>
        <w:t>164</w:t>
      </w:r>
      <w:r w:rsidRPr="0035594A">
        <w:rPr>
          <w:rFonts w:ascii="Arial" w:eastAsia="Times New Roman" w:hAnsi="Arial" w:cs="Arial"/>
          <w:sz w:val="20"/>
          <w:szCs w:val="20"/>
        </w:rPr>
        <w:t>(3), R125-R133. https://doi.org/10.1530/rep-22-0189</w:t>
      </w:r>
    </w:p>
    <w:p w14:paraId="3FD9E237"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Mortimer, D. (2020). A technical note on the assessment of human sperm vitality using eosin-nigrosin staining. </w:t>
      </w:r>
      <w:r w:rsidRPr="0035594A">
        <w:rPr>
          <w:rFonts w:ascii="Arial" w:eastAsia="Times New Roman" w:hAnsi="Arial" w:cs="Arial"/>
          <w:i/>
          <w:iCs/>
          <w:sz w:val="20"/>
          <w:szCs w:val="20"/>
        </w:rPr>
        <w:t>Reproductive BioMedicine Online</w:t>
      </w:r>
      <w:r w:rsidRPr="0035594A">
        <w:rPr>
          <w:rFonts w:ascii="Arial" w:eastAsia="Times New Roman" w:hAnsi="Arial" w:cs="Arial"/>
          <w:sz w:val="20"/>
          <w:szCs w:val="20"/>
        </w:rPr>
        <w:t>, </w:t>
      </w:r>
      <w:r w:rsidRPr="0035594A">
        <w:rPr>
          <w:rFonts w:ascii="Arial" w:eastAsia="Times New Roman" w:hAnsi="Arial" w:cs="Arial"/>
          <w:i/>
          <w:iCs/>
          <w:sz w:val="20"/>
          <w:szCs w:val="20"/>
        </w:rPr>
        <w:t>41</w:t>
      </w:r>
      <w:r w:rsidRPr="0035594A">
        <w:rPr>
          <w:rFonts w:ascii="Arial" w:eastAsia="Times New Roman" w:hAnsi="Arial" w:cs="Arial"/>
          <w:sz w:val="20"/>
          <w:szCs w:val="20"/>
        </w:rPr>
        <w:t>(3), 549-550. https://doi.org/10.1016/j.rbmo.2020.03.002</w:t>
      </w:r>
    </w:p>
    <w:p w14:paraId="24C830B3"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Nicy, V., Gurusubramanian, G., &amp; Roy, V. K. (2024). Effects of chronic CuNPs treatment followed by termination for two spermatogenic cycles in the testicular functions of mice. </w:t>
      </w:r>
      <w:r w:rsidRPr="0035594A">
        <w:rPr>
          <w:rFonts w:ascii="Arial" w:eastAsia="Times New Roman" w:hAnsi="Arial" w:cs="Arial"/>
          <w:i/>
          <w:iCs/>
          <w:sz w:val="20"/>
          <w:szCs w:val="20"/>
        </w:rPr>
        <w:t>Reproductive Toxicology</w:t>
      </w:r>
      <w:r w:rsidRPr="0035594A">
        <w:rPr>
          <w:rFonts w:ascii="Arial" w:eastAsia="Times New Roman" w:hAnsi="Arial" w:cs="Arial"/>
          <w:sz w:val="20"/>
          <w:szCs w:val="20"/>
        </w:rPr>
        <w:t>, </w:t>
      </w:r>
      <w:r w:rsidRPr="0035594A">
        <w:rPr>
          <w:rFonts w:ascii="Arial" w:eastAsia="Times New Roman" w:hAnsi="Arial" w:cs="Arial"/>
          <w:i/>
          <w:iCs/>
          <w:sz w:val="20"/>
          <w:szCs w:val="20"/>
        </w:rPr>
        <w:t>128</w:t>
      </w:r>
      <w:r w:rsidRPr="0035594A">
        <w:rPr>
          <w:rFonts w:ascii="Arial" w:eastAsia="Times New Roman" w:hAnsi="Arial" w:cs="Arial"/>
          <w:sz w:val="20"/>
          <w:szCs w:val="20"/>
        </w:rPr>
        <w:t>, Article 108669. https://doi.org/10.1016/j.reprotox.2024.108669</w:t>
      </w:r>
    </w:p>
    <w:p w14:paraId="2F00F8E7"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Nigerian Meteorological Agency. (2018). </w:t>
      </w:r>
      <w:r w:rsidRPr="0035594A">
        <w:rPr>
          <w:rFonts w:ascii="Arial" w:eastAsia="Times New Roman" w:hAnsi="Arial" w:cs="Arial"/>
          <w:i/>
          <w:iCs/>
          <w:sz w:val="20"/>
          <w:szCs w:val="20"/>
        </w:rPr>
        <w:t>Climate data for Yola, Adamawa State</w:t>
      </w:r>
      <w:r w:rsidRPr="0035594A">
        <w:rPr>
          <w:rFonts w:ascii="Arial" w:eastAsia="Times New Roman" w:hAnsi="Arial" w:cs="Arial"/>
          <w:sz w:val="20"/>
          <w:szCs w:val="20"/>
        </w:rPr>
        <w:t>. Nigerian Meteorological Agency Annual Report, Abuja, Nigeria.</w:t>
      </w:r>
    </w:p>
    <w:p w14:paraId="53598065"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Okoro, V. M. O., Mbajiorgu, C. A., &amp; Mbajiorgu, E. F. (2016). Semen quality characteristics of Koekoek breeder cocks influenced by supplemental inclusion levels of onion and garlic mixture at 35-41 weeks of age. </w:t>
      </w:r>
      <w:r w:rsidRPr="0035594A">
        <w:rPr>
          <w:rFonts w:ascii="Arial" w:eastAsia="Times New Roman" w:hAnsi="Arial" w:cs="Arial"/>
          <w:i/>
          <w:iCs/>
          <w:sz w:val="20"/>
          <w:szCs w:val="20"/>
        </w:rPr>
        <w:t>Revista Brasileira de Zootecnia</w:t>
      </w:r>
      <w:r w:rsidRPr="0035594A">
        <w:rPr>
          <w:rFonts w:ascii="Arial" w:eastAsia="Times New Roman" w:hAnsi="Arial" w:cs="Arial"/>
          <w:sz w:val="20"/>
          <w:szCs w:val="20"/>
        </w:rPr>
        <w:t>, </w:t>
      </w:r>
      <w:r w:rsidRPr="0035594A">
        <w:rPr>
          <w:rFonts w:ascii="Arial" w:eastAsia="Times New Roman" w:hAnsi="Arial" w:cs="Arial"/>
          <w:i/>
          <w:iCs/>
          <w:sz w:val="20"/>
          <w:szCs w:val="20"/>
        </w:rPr>
        <w:t>45</w:t>
      </w:r>
      <w:r w:rsidRPr="0035594A">
        <w:rPr>
          <w:rFonts w:ascii="Arial" w:eastAsia="Times New Roman" w:hAnsi="Arial" w:cs="Arial"/>
          <w:sz w:val="20"/>
          <w:szCs w:val="20"/>
        </w:rPr>
        <w:t>(8), 447-454. https://doi.org/10.1590/s1806-92902016000800002</w:t>
      </w:r>
    </w:p>
    <w:p w14:paraId="2B9F91A9"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Okoro, V. M. O., Nwokeocha, A. C. C., Ijezie, C. O., Mbajiorgu, C. A., &amp; Mbajiorgu, E. F. (2016). Effect of varying dietary supplemental levels of onion and garlic on semen quality characteristics of Hubbard white breeder broiler cocks aged 35-41 weeks old. </w:t>
      </w:r>
      <w:r w:rsidRPr="0035594A">
        <w:rPr>
          <w:rFonts w:ascii="Arial" w:eastAsia="Times New Roman" w:hAnsi="Arial" w:cs="Arial"/>
          <w:i/>
          <w:iCs/>
          <w:sz w:val="20"/>
          <w:szCs w:val="20"/>
        </w:rPr>
        <w:t>Indian Journal of Animal Research</w:t>
      </w:r>
      <w:r w:rsidRPr="0035594A">
        <w:rPr>
          <w:rFonts w:ascii="Arial" w:eastAsia="Times New Roman" w:hAnsi="Arial" w:cs="Arial"/>
          <w:sz w:val="20"/>
          <w:szCs w:val="20"/>
        </w:rPr>
        <w:t>, </w:t>
      </w:r>
      <w:r w:rsidRPr="0035594A">
        <w:rPr>
          <w:rFonts w:ascii="Arial" w:eastAsia="Times New Roman" w:hAnsi="Arial" w:cs="Arial"/>
          <w:i/>
          <w:iCs/>
          <w:sz w:val="20"/>
          <w:szCs w:val="20"/>
        </w:rPr>
        <w:t>50</w:t>
      </w:r>
      <w:r w:rsidRPr="0035594A">
        <w:rPr>
          <w:rFonts w:ascii="Arial" w:eastAsia="Times New Roman" w:hAnsi="Arial" w:cs="Arial"/>
          <w:sz w:val="20"/>
          <w:szCs w:val="20"/>
        </w:rPr>
        <w:t>(6), 922-929. https://doi.org/10.18805/ijar.9370</w:t>
      </w:r>
    </w:p>
    <w:p w14:paraId="23A3DA9C"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Olawuwo, O. S. (2020). Seasonal fluctuations in luteinizing hormones (LH), follicle stimulating hormones (FSH) and testosterone levels in male African giant rats. </w:t>
      </w:r>
      <w:r w:rsidRPr="0035594A">
        <w:rPr>
          <w:rFonts w:ascii="Arial" w:eastAsia="Times New Roman" w:hAnsi="Arial" w:cs="Arial"/>
          <w:i/>
          <w:iCs/>
          <w:sz w:val="20"/>
          <w:szCs w:val="20"/>
        </w:rPr>
        <w:t>Journal of Veterinary and Biomedical Sciences</w:t>
      </w:r>
      <w:r w:rsidRPr="0035594A">
        <w:rPr>
          <w:rFonts w:ascii="Arial" w:eastAsia="Times New Roman" w:hAnsi="Arial" w:cs="Arial"/>
          <w:sz w:val="20"/>
          <w:szCs w:val="20"/>
        </w:rPr>
        <w:t>, </w:t>
      </w:r>
      <w:r w:rsidRPr="0035594A">
        <w:rPr>
          <w:rFonts w:ascii="Arial" w:eastAsia="Times New Roman" w:hAnsi="Arial" w:cs="Arial"/>
          <w:i/>
          <w:iCs/>
          <w:sz w:val="20"/>
          <w:szCs w:val="20"/>
        </w:rPr>
        <w:t>2</w:t>
      </w:r>
      <w:r w:rsidRPr="0035594A">
        <w:rPr>
          <w:rFonts w:ascii="Arial" w:eastAsia="Times New Roman" w:hAnsi="Arial" w:cs="Arial"/>
          <w:sz w:val="20"/>
          <w:szCs w:val="20"/>
        </w:rPr>
        <w:t>(1), 67-72. https://doi.org/10.36108/jvbs/9102.20.0281</w:t>
      </w:r>
    </w:p>
    <w:p w14:paraId="600660D2"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Pamungkas, I., Rahmi, A., Handarini, R., &amp; Baharun, A. (2025). Karakteristik semen cair kalkun dalam media pengencer ringer laktat kuning telur [Characteristics of turkey's liquid semen in ringer lactate egg yolk diluent]. </w:t>
      </w:r>
      <w:r w:rsidRPr="0035594A">
        <w:rPr>
          <w:rFonts w:ascii="Arial" w:eastAsia="Times New Roman" w:hAnsi="Arial" w:cs="Arial"/>
          <w:i/>
          <w:iCs/>
          <w:sz w:val="20"/>
          <w:szCs w:val="20"/>
        </w:rPr>
        <w:t>Jurnal Nukleus Peternakan</w:t>
      </w:r>
      <w:r w:rsidRPr="0035594A">
        <w:rPr>
          <w:rFonts w:ascii="Arial" w:eastAsia="Times New Roman" w:hAnsi="Arial" w:cs="Arial"/>
          <w:sz w:val="20"/>
          <w:szCs w:val="20"/>
        </w:rPr>
        <w:t>, </w:t>
      </w:r>
      <w:r w:rsidRPr="0035594A">
        <w:rPr>
          <w:rFonts w:ascii="Arial" w:eastAsia="Times New Roman" w:hAnsi="Arial" w:cs="Arial"/>
          <w:i/>
          <w:iCs/>
          <w:sz w:val="20"/>
          <w:szCs w:val="20"/>
        </w:rPr>
        <w:t>11</w:t>
      </w:r>
      <w:r w:rsidRPr="0035594A">
        <w:rPr>
          <w:rFonts w:ascii="Arial" w:eastAsia="Times New Roman" w:hAnsi="Arial" w:cs="Arial"/>
          <w:sz w:val="20"/>
          <w:szCs w:val="20"/>
        </w:rPr>
        <w:t>(2), 122-130. https://doi.org/10.35508/nukleus.v11i2.17272</w:t>
      </w:r>
    </w:p>
    <w:p w14:paraId="6FBD436F" w14:textId="77777777" w:rsidR="002C1C4F" w:rsidRPr="0035594A" w:rsidRDefault="002C1C4F" w:rsidP="00C11D57">
      <w:pPr>
        <w:ind w:hanging="720"/>
        <w:jc w:val="both"/>
        <w:rPr>
          <w:rFonts w:ascii="Arial" w:eastAsia="Times New Roman" w:hAnsi="Arial" w:cs="Arial"/>
          <w:sz w:val="20"/>
          <w:szCs w:val="20"/>
        </w:rPr>
      </w:pPr>
      <w:r w:rsidRPr="00A606CA">
        <w:rPr>
          <w:rFonts w:ascii="Arial" w:eastAsia="Times New Roman" w:hAnsi="Arial" w:cs="Arial"/>
          <w:sz w:val="20"/>
          <w:szCs w:val="20"/>
          <w:lang w:val="nl-BE"/>
        </w:rPr>
        <w:t xml:space="preserve">Rakha, B. A., Zuha, S., &amp; Akhter, S. (2025). </w:t>
      </w:r>
      <w:r w:rsidRPr="0035594A">
        <w:rPr>
          <w:rFonts w:ascii="Arial" w:eastAsia="Times New Roman" w:hAnsi="Arial" w:cs="Arial"/>
          <w:sz w:val="20"/>
          <w:szCs w:val="20"/>
        </w:rPr>
        <w:t>Semen extraction and analysis in avian species. In </w:t>
      </w:r>
      <w:r w:rsidRPr="0035594A">
        <w:rPr>
          <w:rFonts w:ascii="Arial" w:eastAsia="Times New Roman" w:hAnsi="Arial" w:cs="Arial"/>
          <w:i/>
          <w:iCs/>
          <w:sz w:val="20"/>
          <w:szCs w:val="20"/>
        </w:rPr>
        <w:t>Methods in Molecular Biology</w:t>
      </w:r>
      <w:r w:rsidRPr="0035594A">
        <w:rPr>
          <w:rFonts w:ascii="Arial" w:eastAsia="Times New Roman" w:hAnsi="Arial" w:cs="Arial"/>
          <w:sz w:val="20"/>
          <w:szCs w:val="20"/>
        </w:rPr>
        <w:t> (Vol. 2852, pp. 85-98). Springer. https://doi.org/10.1007/978-1-0716-4406-5_6</w:t>
      </w:r>
    </w:p>
    <w:p w14:paraId="4AD0EFC9"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Ricciutelli, M., Nzekoue, F. K., Caprioli, G., Sagratini, G., Alesi, A., Vici, G., &amp; Polzonetti, V. (2020). Study of the effect of marination treatment on garlic bioactive compounds through an innovative HPLC-DAD-MS method for alliin and curcuminoids analysis. </w:t>
      </w:r>
      <w:r w:rsidRPr="0035594A">
        <w:rPr>
          <w:rFonts w:ascii="Arial" w:eastAsia="Times New Roman" w:hAnsi="Arial" w:cs="Arial"/>
          <w:i/>
          <w:iCs/>
          <w:sz w:val="20"/>
          <w:szCs w:val="20"/>
        </w:rPr>
        <w:t>LWT - Food Science and Technology</w:t>
      </w:r>
      <w:r w:rsidRPr="0035594A">
        <w:rPr>
          <w:rFonts w:ascii="Arial" w:eastAsia="Times New Roman" w:hAnsi="Arial" w:cs="Arial"/>
          <w:sz w:val="20"/>
          <w:szCs w:val="20"/>
        </w:rPr>
        <w:t>, </w:t>
      </w:r>
      <w:r w:rsidRPr="0035594A">
        <w:rPr>
          <w:rFonts w:ascii="Arial" w:eastAsia="Times New Roman" w:hAnsi="Arial" w:cs="Arial"/>
          <w:i/>
          <w:iCs/>
          <w:sz w:val="20"/>
          <w:szCs w:val="20"/>
        </w:rPr>
        <w:t>133</w:t>
      </w:r>
      <w:r w:rsidRPr="0035594A">
        <w:rPr>
          <w:rFonts w:ascii="Arial" w:eastAsia="Times New Roman" w:hAnsi="Arial" w:cs="Arial"/>
          <w:sz w:val="20"/>
          <w:szCs w:val="20"/>
        </w:rPr>
        <w:t>, Article 109788. https://doi.org/10.1016/j.lwt.2020.109788</w:t>
      </w:r>
    </w:p>
    <w:p w14:paraId="4C8BD29A"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Sabzian-Melei, R., Zare-Shahneh, A., Zandi, M., Yousefi, A. R., &amp; Rafieian-Naeini, H. R. (2022). Effects of dietary supplementation of different sources and levels of selenium on the semen quality and reproductive performance in aged broiler breeder roosters. </w:t>
      </w:r>
      <w:r w:rsidRPr="0035594A">
        <w:rPr>
          <w:rFonts w:ascii="Arial" w:eastAsia="Times New Roman" w:hAnsi="Arial" w:cs="Arial"/>
          <w:i/>
          <w:iCs/>
          <w:sz w:val="20"/>
          <w:szCs w:val="20"/>
        </w:rPr>
        <w:t>Poultry Science</w:t>
      </w:r>
      <w:r w:rsidRPr="0035594A">
        <w:rPr>
          <w:rFonts w:ascii="Arial" w:eastAsia="Times New Roman" w:hAnsi="Arial" w:cs="Arial"/>
          <w:sz w:val="20"/>
          <w:szCs w:val="20"/>
        </w:rPr>
        <w:t>, </w:t>
      </w:r>
      <w:r w:rsidRPr="0035594A">
        <w:rPr>
          <w:rFonts w:ascii="Arial" w:eastAsia="Times New Roman" w:hAnsi="Arial" w:cs="Arial"/>
          <w:i/>
          <w:iCs/>
          <w:sz w:val="20"/>
          <w:szCs w:val="20"/>
        </w:rPr>
        <w:t>101</w:t>
      </w:r>
      <w:r w:rsidRPr="0035594A">
        <w:rPr>
          <w:rFonts w:ascii="Arial" w:eastAsia="Times New Roman" w:hAnsi="Arial" w:cs="Arial"/>
          <w:sz w:val="20"/>
          <w:szCs w:val="20"/>
        </w:rPr>
        <w:t>(8), Article 101908. https://doi.org/10.1016/j.psj.2022.101908</w:t>
      </w:r>
    </w:p>
    <w:p w14:paraId="2B1B3CF5"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t>Sun, L., He, M., Wu, C., Shushan, Zhang, S., Dai, J., &amp; Zhang, J. (2021). Beneficial influence of soybean lecithin nanoparticles on rooster frozen-thawed semen quality and fertility. </w:t>
      </w:r>
      <w:r w:rsidRPr="0035594A">
        <w:rPr>
          <w:rFonts w:ascii="Arial" w:eastAsia="Times New Roman" w:hAnsi="Arial" w:cs="Arial"/>
          <w:i/>
          <w:iCs/>
          <w:sz w:val="20"/>
          <w:szCs w:val="20"/>
        </w:rPr>
        <w:t>Animals</w:t>
      </w:r>
      <w:r w:rsidRPr="0035594A">
        <w:rPr>
          <w:rFonts w:ascii="Arial" w:eastAsia="Times New Roman" w:hAnsi="Arial" w:cs="Arial"/>
          <w:sz w:val="20"/>
          <w:szCs w:val="20"/>
        </w:rPr>
        <w:t>, </w:t>
      </w:r>
      <w:r w:rsidRPr="0035594A">
        <w:rPr>
          <w:rFonts w:ascii="Arial" w:eastAsia="Times New Roman" w:hAnsi="Arial" w:cs="Arial"/>
          <w:i/>
          <w:iCs/>
          <w:sz w:val="20"/>
          <w:szCs w:val="20"/>
        </w:rPr>
        <w:t>11</w:t>
      </w:r>
      <w:r w:rsidRPr="0035594A">
        <w:rPr>
          <w:rFonts w:ascii="Arial" w:eastAsia="Times New Roman" w:hAnsi="Arial" w:cs="Arial"/>
          <w:sz w:val="20"/>
          <w:szCs w:val="20"/>
        </w:rPr>
        <w:t xml:space="preserve">(6), Article 1769. </w:t>
      </w:r>
      <w:hyperlink r:id="rId11" w:history="1">
        <w:r w:rsidR="0041580A" w:rsidRPr="0035594A">
          <w:rPr>
            <w:rStyle w:val="Hyperlink"/>
            <w:rFonts w:ascii="Arial" w:eastAsia="Times New Roman" w:hAnsi="Arial" w:cs="Arial"/>
            <w:color w:val="auto"/>
            <w:sz w:val="20"/>
            <w:szCs w:val="20"/>
          </w:rPr>
          <w:t>https://doi.org/10.3390/ani11061769</w:t>
        </w:r>
      </w:hyperlink>
    </w:p>
    <w:p w14:paraId="4EFE42C4" w14:textId="77777777" w:rsidR="0041580A" w:rsidRPr="0035594A" w:rsidRDefault="0041580A" w:rsidP="00C11D57">
      <w:pPr>
        <w:ind w:hanging="720"/>
        <w:jc w:val="both"/>
        <w:rPr>
          <w:rFonts w:ascii="Arial" w:hAnsi="Arial" w:cs="Arial"/>
          <w:sz w:val="20"/>
          <w:szCs w:val="20"/>
        </w:rPr>
      </w:pPr>
      <w:r w:rsidRPr="00A606CA">
        <w:rPr>
          <w:rFonts w:ascii="Arial" w:hAnsi="Arial" w:cs="Arial"/>
          <w:sz w:val="20"/>
          <w:szCs w:val="20"/>
          <w:lang w:val="nl-BE"/>
        </w:rPr>
        <w:t xml:space="preserve">Tarekegn, G., Goshu, G., &amp; Lemma, A. (2023). </w:t>
      </w:r>
      <w:r w:rsidRPr="0035594A">
        <w:rPr>
          <w:rFonts w:ascii="Arial" w:hAnsi="Arial" w:cs="Arial"/>
          <w:sz w:val="20"/>
          <w:szCs w:val="20"/>
        </w:rPr>
        <w:t xml:space="preserve">Effects of commercial and homemade extenders on post-thaw sperm quality and fertility of semen from Ethiopian indigenous Horro chicken breed. </w:t>
      </w:r>
      <w:r w:rsidRPr="0035594A">
        <w:rPr>
          <w:rFonts w:ascii="Arial" w:hAnsi="Arial" w:cs="Arial"/>
          <w:i/>
          <w:iCs/>
          <w:sz w:val="20"/>
          <w:szCs w:val="20"/>
        </w:rPr>
        <w:t>World's Veterinary Journal</w:t>
      </w:r>
      <w:r w:rsidRPr="0035594A">
        <w:rPr>
          <w:rFonts w:ascii="Arial" w:hAnsi="Arial" w:cs="Arial"/>
          <w:sz w:val="20"/>
          <w:szCs w:val="20"/>
        </w:rPr>
        <w:t xml:space="preserve">. </w:t>
      </w:r>
      <w:hyperlink r:id="rId12" w:history="1">
        <w:r w:rsidRPr="0035594A">
          <w:rPr>
            <w:rFonts w:ascii="Arial" w:hAnsi="Arial" w:cs="Arial"/>
            <w:sz w:val="20"/>
            <w:szCs w:val="20"/>
            <w:u w:val="single"/>
          </w:rPr>
          <w:t>https://doi.org/10.54203/scil.2023.wvj37</w:t>
        </w:r>
      </w:hyperlink>
    </w:p>
    <w:p w14:paraId="0B544926" w14:textId="77777777" w:rsidR="0041580A" w:rsidRPr="0035594A" w:rsidRDefault="0041580A" w:rsidP="00C11D57">
      <w:pPr>
        <w:ind w:hanging="720"/>
        <w:jc w:val="both"/>
        <w:rPr>
          <w:rFonts w:ascii="Arial" w:eastAsia="Times New Roman" w:hAnsi="Arial" w:cs="Arial"/>
          <w:sz w:val="20"/>
          <w:szCs w:val="20"/>
        </w:rPr>
      </w:pPr>
      <w:r w:rsidRPr="0035594A">
        <w:rPr>
          <w:rFonts w:ascii="Arial" w:hAnsi="Arial" w:cs="Arial"/>
          <w:sz w:val="20"/>
          <w:szCs w:val="20"/>
        </w:rPr>
        <w:t xml:space="preserve">Tesfay, H. H., Sun, Y., Li, Y., Shi, L., Fan, J., Wang, P., Zong, Y., Ni, A., Ma, H., Isa, A. M., &amp; Chen, J. (2020). Comparative studies of semen quality traits and sperm kinematic parameters in relation to fertility rate between 2 genetic groups of breed lines. </w:t>
      </w:r>
      <w:r w:rsidRPr="0035594A">
        <w:rPr>
          <w:rFonts w:ascii="Arial" w:hAnsi="Arial" w:cs="Arial"/>
          <w:i/>
          <w:iCs/>
          <w:sz w:val="20"/>
          <w:szCs w:val="20"/>
        </w:rPr>
        <w:t>Poultry Science</w:t>
      </w:r>
      <w:r w:rsidRPr="0035594A">
        <w:rPr>
          <w:rFonts w:ascii="Arial" w:hAnsi="Arial" w:cs="Arial"/>
          <w:sz w:val="20"/>
          <w:szCs w:val="20"/>
        </w:rPr>
        <w:t xml:space="preserve">, </w:t>
      </w:r>
      <w:r w:rsidRPr="0035594A">
        <w:rPr>
          <w:rFonts w:ascii="Arial" w:hAnsi="Arial" w:cs="Arial"/>
          <w:i/>
          <w:iCs/>
          <w:sz w:val="20"/>
          <w:szCs w:val="20"/>
        </w:rPr>
        <w:t>99</w:t>
      </w:r>
      <w:r w:rsidRPr="0035594A">
        <w:rPr>
          <w:rFonts w:ascii="Arial" w:hAnsi="Arial" w:cs="Arial"/>
          <w:sz w:val="20"/>
          <w:szCs w:val="20"/>
        </w:rPr>
        <w:t xml:space="preserve">(11), 6139–6146. </w:t>
      </w:r>
      <w:hyperlink r:id="rId13" w:history="1">
        <w:r w:rsidRPr="0035594A">
          <w:rPr>
            <w:rFonts w:ascii="Arial" w:hAnsi="Arial" w:cs="Arial"/>
            <w:sz w:val="20"/>
            <w:szCs w:val="20"/>
            <w:u w:val="single"/>
          </w:rPr>
          <w:t>https://doi.org/10.1016/j.psj.2020.06.088</w:t>
        </w:r>
      </w:hyperlink>
    </w:p>
    <w:p w14:paraId="3B86F884" w14:textId="77777777" w:rsidR="002C1C4F" w:rsidRPr="0035594A" w:rsidRDefault="002C1C4F" w:rsidP="00C11D57">
      <w:pPr>
        <w:ind w:hanging="720"/>
        <w:jc w:val="both"/>
        <w:rPr>
          <w:rFonts w:ascii="Arial" w:eastAsia="Times New Roman" w:hAnsi="Arial" w:cs="Arial"/>
          <w:sz w:val="20"/>
          <w:szCs w:val="20"/>
        </w:rPr>
      </w:pPr>
      <w:r w:rsidRPr="0035594A">
        <w:rPr>
          <w:rFonts w:ascii="Arial" w:eastAsia="Times New Roman" w:hAnsi="Arial" w:cs="Arial"/>
          <w:sz w:val="20"/>
          <w:szCs w:val="20"/>
        </w:rPr>
        <w:lastRenderedPageBreak/>
        <w:t>World Health Organization. (2010). </w:t>
      </w:r>
      <w:r w:rsidRPr="0035594A">
        <w:rPr>
          <w:rFonts w:ascii="Arial" w:eastAsia="Times New Roman" w:hAnsi="Arial" w:cs="Arial"/>
          <w:i/>
          <w:iCs/>
          <w:sz w:val="20"/>
          <w:szCs w:val="20"/>
        </w:rPr>
        <w:t>WHO laboratory manual for the examination and processing of human semen</w:t>
      </w:r>
      <w:r w:rsidRPr="0035594A">
        <w:rPr>
          <w:rFonts w:ascii="Arial" w:eastAsia="Times New Roman" w:hAnsi="Arial" w:cs="Arial"/>
          <w:sz w:val="20"/>
          <w:szCs w:val="20"/>
        </w:rPr>
        <w:t> (5th ed.). WHO Press, Geneva, Switzerland.</w:t>
      </w:r>
    </w:p>
    <w:p w14:paraId="43F8C542" w14:textId="77777777" w:rsidR="002C1C4F" w:rsidRPr="0035594A" w:rsidRDefault="002C1C4F" w:rsidP="00C11D57">
      <w:pPr>
        <w:spacing w:before="100" w:beforeAutospacing="1" w:after="100" w:afterAutospacing="1"/>
        <w:jc w:val="both"/>
        <w:rPr>
          <w:rFonts w:ascii="Arial" w:eastAsia="Times New Roman" w:hAnsi="Arial" w:cs="Arial"/>
          <w:b/>
          <w:sz w:val="20"/>
          <w:szCs w:val="20"/>
        </w:rPr>
      </w:pPr>
    </w:p>
    <w:sectPr w:rsidR="002C1C4F" w:rsidRPr="0035594A" w:rsidSect="002C1C4F">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329C" w14:textId="77777777" w:rsidR="008B06E9" w:rsidRDefault="008B06E9" w:rsidP="00322BDC">
      <w:r>
        <w:separator/>
      </w:r>
    </w:p>
  </w:endnote>
  <w:endnote w:type="continuationSeparator" w:id="0">
    <w:p w14:paraId="7438EA6F" w14:textId="77777777" w:rsidR="008B06E9" w:rsidRDefault="008B06E9" w:rsidP="0032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15433"/>
      <w:docPartObj>
        <w:docPartGallery w:val="Page Numbers (Bottom of Page)"/>
        <w:docPartUnique/>
      </w:docPartObj>
    </w:sdtPr>
    <w:sdtEndPr>
      <w:rPr>
        <w:noProof/>
      </w:rPr>
    </w:sdtEndPr>
    <w:sdtContent>
      <w:p w14:paraId="313B620A" w14:textId="4CEBF41A" w:rsidR="00322BDC" w:rsidRDefault="00322BDC">
        <w:pPr>
          <w:pStyle w:val="Footer"/>
          <w:jc w:val="center"/>
        </w:pPr>
        <w:r>
          <w:fldChar w:fldCharType="begin"/>
        </w:r>
        <w:r>
          <w:instrText xml:space="preserve"> PAGE   \* MERGEFORMAT </w:instrText>
        </w:r>
        <w:r>
          <w:fldChar w:fldCharType="separate"/>
        </w:r>
        <w:r w:rsidR="006F2CE9">
          <w:rPr>
            <w:noProof/>
          </w:rPr>
          <w:t>16</w:t>
        </w:r>
        <w:r>
          <w:rPr>
            <w:noProof/>
          </w:rPr>
          <w:fldChar w:fldCharType="end"/>
        </w:r>
      </w:p>
    </w:sdtContent>
  </w:sdt>
  <w:p w14:paraId="4E2CE83C" w14:textId="77777777" w:rsidR="00322BDC" w:rsidRDefault="00322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484D" w14:textId="77777777" w:rsidR="008B06E9" w:rsidRDefault="008B06E9" w:rsidP="00322BDC">
      <w:r>
        <w:separator/>
      </w:r>
    </w:p>
  </w:footnote>
  <w:footnote w:type="continuationSeparator" w:id="0">
    <w:p w14:paraId="4A52FED2" w14:textId="77777777" w:rsidR="008B06E9" w:rsidRDefault="008B06E9" w:rsidP="00322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0999"/>
    <w:multiLevelType w:val="hybridMultilevel"/>
    <w:tmpl w:val="C108CE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4C61"/>
    <w:multiLevelType w:val="multilevel"/>
    <w:tmpl w:val="F44825F6"/>
    <w:lvl w:ilvl="0">
      <w:start w:val="1"/>
      <w:numFmt w:val="decimal"/>
      <w:lvlText w:val="%1."/>
      <w:lvlJc w:val="left"/>
      <w:pPr>
        <w:ind w:left="720" w:hanging="360"/>
      </w:pPr>
      <w:rPr>
        <w:rFonts w:ascii="Arial" w:hAnsi="Arial" w:cs="Arial" w:hint="default"/>
        <w:sz w:val="22"/>
        <w:szCs w:val="22"/>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DEA4683"/>
    <w:multiLevelType w:val="hybridMultilevel"/>
    <w:tmpl w:val="BE56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07CF4"/>
    <w:multiLevelType w:val="multilevel"/>
    <w:tmpl w:val="C8ACE2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74635F"/>
    <w:multiLevelType w:val="hybridMultilevel"/>
    <w:tmpl w:val="CAACE404"/>
    <w:lvl w:ilvl="0" w:tplc="F482C9C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10174"/>
    <w:multiLevelType w:val="multilevel"/>
    <w:tmpl w:val="FC0E286A"/>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5BB6014"/>
    <w:multiLevelType w:val="multilevel"/>
    <w:tmpl w:val="230CC978"/>
    <w:lvl w:ilvl="0">
      <w:start w:val="1"/>
      <w:numFmt w:val="decimal"/>
      <w:lvlText w:val="%1."/>
      <w:lvlJc w:val="left"/>
      <w:pPr>
        <w:ind w:left="63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7" w15:restartNumberingAfterBreak="0">
    <w:nsid w:val="7C0C236B"/>
    <w:multiLevelType w:val="multilevel"/>
    <w:tmpl w:val="02C4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F7"/>
    <w:rsid w:val="000000D1"/>
    <w:rsid w:val="000509B4"/>
    <w:rsid w:val="000B0710"/>
    <w:rsid w:val="000B3380"/>
    <w:rsid w:val="000E0496"/>
    <w:rsid w:val="00114607"/>
    <w:rsid w:val="00121FF7"/>
    <w:rsid w:val="00123305"/>
    <w:rsid w:val="001501F1"/>
    <w:rsid w:val="001732E2"/>
    <w:rsid w:val="001B3C59"/>
    <w:rsid w:val="001C6BD7"/>
    <w:rsid w:val="0021335C"/>
    <w:rsid w:val="00282CE9"/>
    <w:rsid w:val="002C1C4F"/>
    <w:rsid w:val="002D4DE1"/>
    <w:rsid w:val="002E08E0"/>
    <w:rsid w:val="003131C2"/>
    <w:rsid w:val="00322BDC"/>
    <w:rsid w:val="00333B05"/>
    <w:rsid w:val="0035259F"/>
    <w:rsid w:val="0035594A"/>
    <w:rsid w:val="0036031D"/>
    <w:rsid w:val="00362CAA"/>
    <w:rsid w:val="003A6692"/>
    <w:rsid w:val="003D2AA1"/>
    <w:rsid w:val="0041580A"/>
    <w:rsid w:val="00461354"/>
    <w:rsid w:val="00494B46"/>
    <w:rsid w:val="004B4F18"/>
    <w:rsid w:val="00522752"/>
    <w:rsid w:val="005B4941"/>
    <w:rsid w:val="005B58C2"/>
    <w:rsid w:val="006277D1"/>
    <w:rsid w:val="00640CE1"/>
    <w:rsid w:val="00645172"/>
    <w:rsid w:val="00651EE1"/>
    <w:rsid w:val="006F2CE9"/>
    <w:rsid w:val="007025F6"/>
    <w:rsid w:val="0071587F"/>
    <w:rsid w:val="007B5D61"/>
    <w:rsid w:val="007C794B"/>
    <w:rsid w:val="00813DEE"/>
    <w:rsid w:val="00862195"/>
    <w:rsid w:val="008B06E9"/>
    <w:rsid w:val="008E0E1D"/>
    <w:rsid w:val="009365AC"/>
    <w:rsid w:val="009660A3"/>
    <w:rsid w:val="009D0526"/>
    <w:rsid w:val="00A606CA"/>
    <w:rsid w:val="00A91B29"/>
    <w:rsid w:val="00A937D4"/>
    <w:rsid w:val="00A95B80"/>
    <w:rsid w:val="00AE21EF"/>
    <w:rsid w:val="00B01E13"/>
    <w:rsid w:val="00B029FA"/>
    <w:rsid w:val="00B53691"/>
    <w:rsid w:val="00B61A92"/>
    <w:rsid w:val="00BF206C"/>
    <w:rsid w:val="00C11D57"/>
    <w:rsid w:val="00C12909"/>
    <w:rsid w:val="00C217BC"/>
    <w:rsid w:val="00C21981"/>
    <w:rsid w:val="00C41C21"/>
    <w:rsid w:val="00C64227"/>
    <w:rsid w:val="00C720DC"/>
    <w:rsid w:val="00C762F0"/>
    <w:rsid w:val="00C76B8B"/>
    <w:rsid w:val="00C80CF3"/>
    <w:rsid w:val="00CB4C6F"/>
    <w:rsid w:val="00CC7025"/>
    <w:rsid w:val="00CD3EDF"/>
    <w:rsid w:val="00CF17C6"/>
    <w:rsid w:val="00CF7FA1"/>
    <w:rsid w:val="00D50CD1"/>
    <w:rsid w:val="00D818D0"/>
    <w:rsid w:val="00DB1F02"/>
    <w:rsid w:val="00DD0D65"/>
    <w:rsid w:val="00E96995"/>
    <w:rsid w:val="00F1259B"/>
    <w:rsid w:val="00F3241B"/>
    <w:rsid w:val="00F53AF5"/>
    <w:rsid w:val="00F66436"/>
    <w:rsid w:val="00F907C8"/>
    <w:rsid w:val="00FB683C"/>
    <w:rsid w:val="00FC2CB2"/>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C063"/>
  <w15:docId w15:val="{AAC66947-2533-446C-B232-04E81F4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FF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121FF7"/>
    <w:pPr>
      <w:spacing w:before="100" w:beforeAutospacing="1" w:after="100" w:afterAutospacing="1"/>
    </w:pPr>
  </w:style>
  <w:style w:type="character" w:styleId="Emphasis">
    <w:name w:val="Emphasis"/>
    <w:basedOn w:val="DefaultParagraphFont"/>
    <w:uiPriority w:val="20"/>
    <w:qFormat/>
    <w:rsid w:val="00C64227"/>
    <w:rPr>
      <w:i/>
      <w:iCs/>
    </w:rPr>
  </w:style>
  <w:style w:type="table" w:styleId="TableGrid">
    <w:name w:val="Table Grid"/>
    <w:basedOn w:val="TableNormal"/>
    <w:uiPriority w:val="59"/>
    <w:rsid w:val="00F6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3DEE"/>
    <w:pPr>
      <w:spacing w:before="100" w:beforeAutospacing="1" w:after="100" w:afterAutospacing="1"/>
    </w:pPr>
    <w:rPr>
      <w:rFonts w:eastAsia="Times New Roman"/>
    </w:rPr>
  </w:style>
  <w:style w:type="paragraph" w:styleId="ListParagraph">
    <w:name w:val="List Paragraph"/>
    <w:basedOn w:val="Normal"/>
    <w:uiPriority w:val="34"/>
    <w:qFormat/>
    <w:rsid w:val="00A91B29"/>
    <w:pPr>
      <w:ind w:left="720"/>
      <w:contextualSpacing/>
    </w:pPr>
  </w:style>
  <w:style w:type="character" w:styleId="Hyperlink">
    <w:name w:val="Hyperlink"/>
    <w:basedOn w:val="DefaultParagraphFont"/>
    <w:uiPriority w:val="99"/>
    <w:unhideWhenUsed/>
    <w:rsid w:val="00522752"/>
    <w:rPr>
      <w:color w:val="0000FF" w:themeColor="hyperlink"/>
      <w:u w:val="single"/>
    </w:rPr>
  </w:style>
  <w:style w:type="paragraph" w:styleId="Header">
    <w:name w:val="header"/>
    <w:basedOn w:val="Normal"/>
    <w:link w:val="HeaderChar"/>
    <w:uiPriority w:val="99"/>
    <w:unhideWhenUsed/>
    <w:rsid w:val="00322BDC"/>
    <w:pPr>
      <w:tabs>
        <w:tab w:val="center" w:pos="4680"/>
        <w:tab w:val="right" w:pos="9360"/>
      </w:tabs>
    </w:pPr>
  </w:style>
  <w:style w:type="character" w:customStyle="1" w:styleId="HeaderChar">
    <w:name w:val="Header Char"/>
    <w:basedOn w:val="DefaultParagraphFont"/>
    <w:link w:val="Header"/>
    <w:uiPriority w:val="99"/>
    <w:rsid w:val="00322BD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22BDC"/>
    <w:pPr>
      <w:tabs>
        <w:tab w:val="center" w:pos="4680"/>
        <w:tab w:val="right" w:pos="9360"/>
      </w:tabs>
    </w:pPr>
  </w:style>
  <w:style w:type="character" w:customStyle="1" w:styleId="FooterChar">
    <w:name w:val="Footer Char"/>
    <w:basedOn w:val="DefaultParagraphFont"/>
    <w:link w:val="Footer"/>
    <w:uiPriority w:val="99"/>
    <w:rsid w:val="00322BD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2588">
      <w:bodyDiv w:val="1"/>
      <w:marLeft w:val="0"/>
      <w:marRight w:val="0"/>
      <w:marTop w:val="0"/>
      <w:marBottom w:val="0"/>
      <w:divBdr>
        <w:top w:val="none" w:sz="0" w:space="0" w:color="auto"/>
        <w:left w:val="none" w:sz="0" w:space="0" w:color="auto"/>
        <w:bottom w:val="none" w:sz="0" w:space="0" w:color="auto"/>
        <w:right w:val="none" w:sz="0" w:space="0" w:color="auto"/>
      </w:divBdr>
    </w:div>
    <w:div w:id="259947788">
      <w:bodyDiv w:val="1"/>
      <w:marLeft w:val="0"/>
      <w:marRight w:val="0"/>
      <w:marTop w:val="0"/>
      <w:marBottom w:val="0"/>
      <w:divBdr>
        <w:top w:val="none" w:sz="0" w:space="0" w:color="auto"/>
        <w:left w:val="none" w:sz="0" w:space="0" w:color="auto"/>
        <w:bottom w:val="none" w:sz="0" w:space="0" w:color="auto"/>
        <w:right w:val="none" w:sz="0" w:space="0" w:color="auto"/>
      </w:divBdr>
    </w:div>
    <w:div w:id="1116221201">
      <w:bodyDiv w:val="1"/>
      <w:marLeft w:val="0"/>
      <w:marRight w:val="0"/>
      <w:marTop w:val="0"/>
      <w:marBottom w:val="0"/>
      <w:divBdr>
        <w:top w:val="none" w:sz="0" w:space="0" w:color="auto"/>
        <w:left w:val="none" w:sz="0" w:space="0" w:color="auto"/>
        <w:bottom w:val="none" w:sz="0" w:space="0" w:color="auto"/>
        <w:right w:val="none" w:sz="0" w:space="0" w:color="auto"/>
      </w:divBdr>
    </w:div>
    <w:div w:id="1252659604">
      <w:bodyDiv w:val="1"/>
      <w:marLeft w:val="0"/>
      <w:marRight w:val="0"/>
      <w:marTop w:val="0"/>
      <w:marBottom w:val="0"/>
      <w:divBdr>
        <w:top w:val="none" w:sz="0" w:space="0" w:color="auto"/>
        <w:left w:val="none" w:sz="0" w:space="0" w:color="auto"/>
        <w:bottom w:val="none" w:sz="0" w:space="0" w:color="auto"/>
        <w:right w:val="none" w:sz="0" w:space="0" w:color="auto"/>
      </w:divBdr>
    </w:div>
    <w:div w:id="1668285617">
      <w:bodyDiv w:val="1"/>
      <w:marLeft w:val="0"/>
      <w:marRight w:val="0"/>
      <w:marTop w:val="0"/>
      <w:marBottom w:val="0"/>
      <w:divBdr>
        <w:top w:val="none" w:sz="0" w:space="0" w:color="auto"/>
        <w:left w:val="none" w:sz="0" w:space="0" w:color="auto"/>
        <w:bottom w:val="none" w:sz="0" w:space="0" w:color="auto"/>
        <w:right w:val="none" w:sz="0" w:space="0" w:color="auto"/>
      </w:divBdr>
      <w:divsChild>
        <w:div w:id="1494905671">
          <w:marLeft w:val="720"/>
          <w:marRight w:val="0"/>
          <w:marTop w:val="0"/>
          <w:marBottom w:val="120"/>
          <w:divBdr>
            <w:top w:val="none" w:sz="0" w:space="0" w:color="auto"/>
            <w:left w:val="none" w:sz="0" w:space="0" w:color="auto"/>
            <w:bottom w:val="none" w:sz="0" w:space="0" w:color="auto"/>
            <w:right w:val="none" w:sz="0" w:space="0" w:color="auto"/>
          </w:divBdr>
        </w:div>
        <w:div w:id="140732362">
          <w:marLeft w:val="720"/>
          <w:marRight w:val="0"/>
          <w:marTop w:val="0"/>
          <w:marBottom w:val="120"/>
          <w:divBdr>
            <w:top w:val="none" w:sz="0" w:space="0" w:color="auto"/>
            <w:left w:val="none" w:sz="0" w:space="0" w:color="auto"/>
            <w:bottom w:val="none" w:sz="0" w:space="0" w:color="auto"/>
            <w:right w:val="none" w:sz="0" w:space="0" w:color="auto"/>
          </w:divBdr>
        </w:div>
        <w:div w:id="1475022214">
          <w:marLeft w:val="720"/>
          <w:marRight w:val="0"/>
          <w:marTop w:val="0"/>
          <w:marBottom w:val="120"/>
          <w:divBdr>
            <w:top w:val="none" w:sz="0" w:space="0" w:color="auto"/>
            <w:left w:val="none" w:sz="0" w:space="0" w:color="auto"/>
            <w:bottom w:val="none" w:sz="0" w:space="0" w:color="auto"/>
            <w:right w:val="none" w:sz="0" w:space="0" w:color="auto"/>
          </w:divBdr>
        </w:div>
        <w:div w:id="1765109538">
          <w:marLeft w:val="720"/>
          <w:marRight w:val="0"/>
          <w:marTop w:val="0"/>
          <w:marBottom w:val="120"/>
          <w:divBdr>
            <w:top w:val="none" w:sz="0" w:space="0" w:color="auto"/>
            <w:left w:val="none" w:sz="0" w:space="0" w:color="auto"/>
            <w:bottom w:val="none" w:sz="0" w:space="0" w:color="auto"/>
            <w:right w:val="none" w:sz="0" w:space="0" w:color="auto"/>
          </w:divBdr>
        </w:div>
        <w:div w:id="194119582">
          <w:marLeft w:val="720"/>
          <w:marRight w:val="0"/>
          <w:marTop w:val="0"/>
          <w:marBottom w:val="120"/>
          <w:divBdr>
            <w:top w:val="none" w:sz="0" w:space="0" w:color="auto"/>
            <w:left w:val="none" w:sz="0" w:space="0" w:color="auto"/>
            <w:bottom w:val="none" w:sz="0" w:space="0" w:color="auto"/>
            <w:right w:val="none" w:sz="0" w:space="0" w:color="auto"/>
          </w:divBdr>
        </w:div>
        <w:div w:id="873923801">
          <w:marLeft w:val="720"/>
          <w:marRight w:val="0"/>
          <w:marTop w:val="0"/>
          <w:marBottom w:val="120"/>
          <w:divBdr>
            <w:top w:val="none" w:sz="0" w:space="0" w:color="auto"/>
            <w:left w:val="none" w:sz="0" w:space="0" w:color="auto"/>
            <w:bottom w:val="none" w:sz="0" w:space="0" w:color="auto"/>
            <w:right w:val="none" w:sz="0" w:space="0" w:color="auto"/>
          </w:divBdr>
        </w:div>
        <w:div w:id="2097171337">
          <w:marLeft w:val="720"/>
          <w:marRight w:val="0"/>
          <w:marTop w:val="0"/>
          <w:marBottom w:val="120"/>
          <w:divBdr>
            <w:top w:val="none" w:sz="0" w:space="0" w:color="auto"/>
            <w:left w:val="none" w:sz="0" w:space="0" w:color="auto"/>
            <w:bottom w:val="none" w:sz="0" w:space="0" w:color="auto"/>
            <w:right w:val="none" w:sz="0" w:space="0" w:color="auto"/>
          </w:divBdr>
        </w:div>
        <w:div w:id="1899974846">
          <w:marLeft w:val="720"/>
          <w:marRight w:val="0"/>
          <w:marTop w:val="0"/>
          <w:marBottom w:val="120"/>
          <w:divBdr>
            <w:top w:val="none" w:sz="0" w:space="0" w:color="auto"/>
            <w:left w:val="none" w:sz="0" w:space="0" w:color="auto"/>
            <w:bottom w:val="none" w:sz="0" w:space="0" w:color="auto"/>
            <w:right w:val="none" w:sz="0" w:space="0" w:color="auto"/>
          </w:divBdr>
        </w:div>
        <w:div w:id="538706977">
          <w:marLeft w:val="720"/>
          <w:marRight w:val="0"/>
          <w:marTop w:val="0"/>
          <w:marBottom w:val="120"/>
          <w:divBdr>
            <w:top w:val="none" w:sz="0" w:space="0" w:color="auto"/>
            <w:left w:val="none" w:sz="0" w:space="0" w:color="auto"/>
            <w:bottom w:val="none" w:sz="0" w:space="0" w:color="auto"/>
            <w:right w:val="none" w:sz="0" w:space="0" w:color="auto"/>
          </w:divBdr>
        </w:div>
        <w:div w:id="2143960877">
          <w:marLeft w:val="720"/>
          <w:marRight w:val="0"/>
          <w:marTop w:val="0"/>
          <w:marBottom w:val="120"/>
          <w:divBdr>
            <w:top w:val="none" w:sz="0" w:space="0" w:color="auto"/>
            <w:left w:val="none" w:sz="0" w:space="0" w:color="auto"/>
            <w:bottom w:val="none" w:sz="0" w:space="0" w:color="auto"/>
            <w:right w:val="none" w:sz="0" w:space="0" w:color="auto"/>
          </w:divBdr>
        </w:div>
        <w:div w:id="1330867888">
          <w:marLeft w:val="720"/>
          <w:marRight w:val="0"/>
          <w:marTop w:val="0"/>
          <w:marBottom w:val="120"/>
          <w:divBdr>
            <w:top w:val="none" w:sz="0" w:space="0" w:color="auto"/>
            <w:left w:val="none" w:sz="0" w:space="0" w:color="auto"/>
            <w:bottom w:val="none" w:sz="0" w:space="0" w:color="auto"/>
            <w:right w:val="none" w:sz="0" w:space="0" w:color="auto"/>
          </w:divBdr>
        </w:div>
        <w:div w:id="1885405890">
          <w:marLeft w:val="720"/>
          <w:marRight w:val="0"/>
          <w:marTop w:val="0"/>
          <w:marBottom w:val="120"/>
          <w:divBdr>
            <w:top w:val="none" w:sz="0" w:space="0" w:color="auto"/>
            <w:left w:val="none" w:sz="0" w:space="0" w:color="auto"/>
            <w:bottom w:val="none" w:sz="0" w:space="0" w:color="auto"/>
            <w:right w:val="none" w:sz="0" w:space="0" w:color="auto"/>
          </w:divBdr>
        </w:div>
        <w:div w:id="1432971182">
          <w:marLeft w:val="720"/>
          <w:marRight w:val="0"/>
          <w:marTop w:val="0"/>
          <w:marBottom w:val="120"/>
          <w:divBdr>
            <w:top w:val="none" w:sz="0" w:space="0" w:color="auto"/>
            <w:left w:val="none" w:sz="0" w:space="0" w:color="auto"/>
            <w:bottom w:val="none" w:sz="0" w:space="0" w:color="auto"/>
            <w:right w:val="none" w:sz="0" w:space="0" w:color="auto"/>
          </w:divBdr>
        </w:div>
        <w:div w:id="676544837">
          <w:marLeft w:val="720"/>
          <w:marRight w:val="0"/>
          <w:marTop w:val="0"/>
          <w:marBottom w:val="120"/>
          <w:divBdr>
            <w:top w:val="none" w:sz="0" w:space="0" w:color="auto"/>
            <w:left w:val="none" w:sz="0" w:space="0" w:color="auto"/>
            <w:bottom w:val="none" w:sz="0" w:space="0" w:color="auto"/>
            <w:right w:val="none" w:sz="0" w:space="0" w:color="auto"/>
          </w:divBdr>
        </w:div>
        <w:div w:id="399910600">
          <w:marLeft w:val="720"/>
          <w:marRight w:val="0"/>
          <w:marTop w:val="0"/>
          <w:marBottom w:val="120"/>
          <w:divBdr>
            <w:top w:val="none" w:sz="0" w:space="0" w:color="auto"/>
            <w:left w:val="none" w:sz="0" w:space="0" w:color="auto"/>
            <w:bottom w:val="none" w:sz="0" w:space="0" w:color="auto"/>
            <w:right w:val="none" w:sz="0" w:space="0" w:color="auto"/>
          </w:divBdr>
        </w:div>
        <w:div w:id="1428229875">
          <w:marLeft w:val="720"/>
          <w:marRight w:val="0"/>
          <w:marTop w:val="0"/>
          <w:marBottom w:val="120"/>
          <w:divBdr>
            <w:top w:val="none" w:sz="0" w:space="0" w:color="auto"/>
            <w:left w:val="none" w:sz="0" w:space="0" w:color="auto"/>
            <w:bottom w:val="none" w:sz="0" w:space="0" w:color="auto"/>
            <w:right w:val="none" w:sz="0" w:space="0" w:color="auto"/>
          </w:divBdr>
        </w:div>
        <w:div w:id="112333737">
          <w:marLeft w:val="720"/>
          <w:marRight w:val="0"/>
          <w:marTop w:val="0"/>
          <w:marBottom w:val="120"/>
          <w:divBdr>
            <w:top w:val="none" w:sz="0" w:space="0" w:color="auto"/>
            <w:left w:val="none" w:sz="0" w:space="0" w:color="auto"/>
            <w:bottom w:val="none" w:sz="0" w:space="0" w:color="auto"/>
            <w:right w:val="none" w:sz="0" w:space="0" w:color="auto"/>
          </w:divBdr>
        </w:div>
        <w:div w:id="1013841945">
          <w:marLeft w:val="720"/>
          <w:marRight w:val="0"/>
          <w:marTop w:val="0"/>
          <w:marBottom w:val="120"/>
          <w:divBdr>
            <w:top w:val="none" w:sz="0" w:space="0" w:color="auto"/>
            <w:left w:val="none" w:sz="0" w:space="0" w:color="auto"/>
            <w:bottom w:val="none" w:sz="0" w:space="0" w:color="auto"/>
            <w:right w:val="none" w:sz="0" w:space="0" w:color="auto"/>
          </w:divBdr>
        </w:div>
        <w:div w:id="1321160281">
          <w:marLeft w:val="720"/>
          <w:marRight w:val="0"/>
          <w:marTop w:val="0"/>
          <w:marBottom w:val="120"/>
          <w:divBdr>
            <w:top w:val="none" w:sz="0" w:space="0" w:color="auto"/>
            <w:left w:val="none" w:sz="0" w:space="0" w:color="auto"/>
            <w:bottom w:val="none" w:sz="0" w:space="0" w:color="auto"/>
            <w:right w:val="none" w:sz="0" w:space="0" w:color="auto"/>
          </w:divBdr>
        </w:div>
        <w:div w:id="1183938955">
          <w:marLeft w:val="720"/>
          <w:marRight w:val="0"/>
          <w:marTop w:val="0"/>
          <w:marBottom w:val="120"/>
          <w:divBdr>
            <w:top w:val="none" w:sz="0" w:space="0" w:color="auto"/>
            <w:left w:val="none" w:sz="0" w:space="0" w:color="auto"/>
            <w:bottom w:val="none" w:sz="0" w:space="0" w:color="auto"/>
            <w:right w:val="none" w:sz="0" w:space="0" w:color="auto"/>
          </w:divBdr>
        </w:div>
        <w:div w:id="54009317">
          <w:marLeft w:val="720"/>
          <w:marRight w:val="0"/>
          <w:marTop w:val="0"/>
          <w:marBottom w:val="120"/>
          <w:divBdr>
            <w:top w:val="none" w:sz="0" w:space="0" w:color="auto"/>
            <w:left w:val="none" w:sz="0" w:space="0" w:color="auto"/>
            <w:bottom w:val="none" w:sz="0" w:space="0" w:color="auto"/>
            <w:right w:val="none" w:sz="0" w:space="0" w:color="auto"/>
          </w:divBdr>
        </w:div>
        <w:div w:id="1571310366">
          <w:marLeft w:val="720"/>
          <w:marRight w:val="0"/>
          <w:marTop w:val="0"/>
          <w:marBottom w:val="120"/>
          <w:divBdr>
            <w:top w:val="none" w:sz="0" w:space="0" w:color="auto"/>
            <w:left w:val="none" w:sz="0" w:space="0" w:color="auto"/>
            <w:bottom w:val="none" w:sz="0" w:space="0" w:color="auto"/>
            <w:right w:val="none" w:sz="0" w:space="0" w:color="auto"/>
          </w:divBdr>
        </w:div>
        <w:div w:id="1509254058">
          <w:marLeft w:val="720"/>
          <w:marRight w:val="0"/>
          <w:marTop w:val="0"/>
          <w:marBottom w:val="120"/>
          <w:divBdr>
            <w:top w:val="none" w:sz="0" w:space="0" w:color="auto"/>
            <w:left w:val="none" w:sz="0" w:space="0" w:color="auto"/>
            <w:bottom w:val="none" w:sz="0" w:space="0" w:color="auto"/>
            <w:right w:val="none" w:sz="0" w:space="0" w:color="auto"/>
          </w:divBdr>
        </w:div>
        <w:div w:id="88234292">
          <w:marLeft w:val="720"/>
          <w:marRight w:val="0"/>
          <w:marTop w:val="0"/>
          <w:marBottom w:val="120"/>
          <w:divBdr>
            <w:top w:val="none" w:sz="0" w:space="0" w:color="auto"/>
            <w:left w:val="none" w:sz="0" w:space="0" w:color="auto"/>
            <w:bottom w:val="none" w:sz="0" w:space="0" w:color="auto"/>
            <w:right w:val="none" w:sz="0" w:space="0" w:color="auto"/>
          </w:divBdr>
        </w:div>
        <w:div w:id="1435586738">
          <w:marLeft w:val="720"/>
          <w:marRight w:val="0"/>
          <w:marTop w:val="0"/>
          <w:marBottom w:val="120"/>
          <w:divBdr>
            <w:top w:val="none" w:sz="0" w:space="0" w:color="auto"/>
            <w:left w:val="none" w:sz="0" w:space="0" w:color="auto"/>
            <w:bottom w:val="none" w:sz="0" w:space="0" w:color="auto"/>
            <w:right w:val="none" w:sz="0" w:space="0" w:color="auto"/>
          </w:divBdr>
        </w:div>
        <w:div w:id="1349598350">
          <w:marLeft w:val="720"/>
          <w:marRight w:val="0"/>
          <w:marTop w:val="0"/>
          <w:marBottom w:val="120"/>
          <w:divBdr>
            <w:top w:val="none" w:sz="0" w:space="0" w:color="auto"/>
            <w:left w:val="none" w:sz="0" w:space="0" w:color="auto"/>
            <w:bottom w:val="none" w:sz="0" w:space="0" w:color="auto"/>
            <w:right w:val="none" w:sz="0" w:space="0" w:color="auto"/>
          </w:divBdr>
        </w:div>
        <w:div w:id="1018000292">
          <w:marLeft w:val="720"/>
          <w:marRight w:val="0"/>
          <w:marTop w:val="0"/>
          <w:marBottom w:val="120"/>
          <w:divBdr>
            <w:top w:val="none" w:sz="0" w:space="0" w:color="auto"/>
            <w:left w:val="none" w:sz="0" w:space="0" w:color="auto"/>
            <w:bottom w:val="none" w:sz="0" w:space="0" w:color="auto"/>
            <w:right w:val="none" w:sz="0" w:space="0" w:color="auto"/>
          </w:divBdr>
        </w:div>
        <w:div w:id="2106998641">
          <w:marLeft w:val="720"/>
          <w:marRight w:val="0"/>
          <w:marTop w:val="0"/>
          <w:marBottom w:val="120"/>
          <w:divBdr>
            <w:top w:val="none" w:sz="0" w:space="0" w:color="auto"/>
            <w:left w:val="none" w:sz="0" w:space="0" w:color="auto"/>
            <w:bottom w:val="none" w:sz="0" w:space="0" w:color="auto"/>
            <w:right w:val="none" w:sz="0" w:space="0" w:color="auto"/>
          </w:divBdr>
        </w:div>
        <w:div w:id="1727953562">
          <w:marLeft w:val="720"/>
          <w:marRight w:val="0"/>
          <w:marTop w:val="0"/>
          <w:marBottom w:val="120"/>
          <w:divBdr>
            <w:top w:val="none" w:sz="0" w:space="0" w:color="auto"/>
            <w:left w:val="none" w:sz="0" w:space="0" w:color="auto"/>
            <w:bottom w:val="none" w:sz="0" w:space="0" w:color="auto"/>
            <w:right w:val="none" w:sz="0" w:space="0" w:color="auto"/>
          </w:divBdr>
        </w:div>
        <w:div w:id="102043969">
          <w:marLeft w:val="720"/>
          <w:marRight w:val="0"/>
          <w:marTop w:val="0"/>
          <w:marBottom w:val="120"/>
          <w:divBdr>
            <w:top w:val="none" w:sz="0" w:space="0" w:color="auto"/>
            <w:left w:val="none" w:sz="0" w:space="0" w:color="auto"/>
            <w:bottom w:val="none" w:sz="0" w:space="0" w:color="auto"/>
            <w:right w:val="none" w:sz="0" w:space="0" w:color="auto"/>
          </w:divBdr>
        </w:div>
        <w:div w:id="1960380996">
          <w:marLeft w:val="720"/>
          <w:marRight w:val="0"/>
          <w:marTop w:val="0"/>
          <w:marBottom w:val="120"/>
          <w:divBdr>
            <w:top w:val="none" w:sz="0" w:space="0" w:color="auto"/>
            <w:left w:val="none" w:sz="0" w:space="0" w:color="auto"/>
            <w:bottom w:val="none" w:sz="0" w:space="0" w:color="auto"/>
            <w:right w:val="none" w:sz="0" w:space="0" w:color="auto"/>
          </w:divBdr>
        </w:div>
      </w:divsChild>
    </w:div>
    <w:div w:id="17923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637/jss.v067.i01" TargetMode="External"/><Relationship Id="rId13" Type="http://schemas.openxmlformats.org/officeDocument/2006/relationships/hyperlink" Target="https://doi.org/10.1016/j.psj.2020.06.088" TargetMode="External"/><Relationship Id="rId3" Type="http://schemas.openxmlformats.org/officeDocument/2006/relationships/settings" Target="settings.xml"/><Relationship Id="rId7" Type="http://schemas.openxmlformats.org/officeDocument/2006/relationships/hyperlink" Target="https://doi.org/10.9734/jabb/2017/32395" TargetMode="External"/><Relationship Id="rId12" Type="http://schemas.openxmlformats.org/officeDocument/2006/relationships/hyperlink" Target="https://doi.org/10.54203/scil.2023.wvj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i1106176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772/intechopen.97284" TargetMode="External"/><Relationship Id="rId4" Type="http://schemas.openxmlformats.org/officeDocument/2006/relationships/webSettings" Target="webSettings.xml"/><Relationship Id="rId9" Type="http://schemas.openxmlformats.org/officeDocument/2006/relationships/hyperlink" Target="https://doi.org/10.1016/j.prmcm.2022.1001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SDI CPU 1117</cp:lastModifiedBy>
  <cp:revision>67</cp:revision>
  <dcterms:created xsi:type="dcterms:W3CDTF">2025-10-25T05:56:00Z</dcterms:created>
  <dcterms:modified xsi:type="dcterms:W3CDTF">2025-10-30T10:22:00Z</dcterms:modified>
</cp:coreProperties>
</file>