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F7F19" w14:textId="77777777" w:rsidR="001F55D8" w:rsidRPr="00A3002B" w:rsidRDefault="001F55D8" w:rsidP="00C47FDD">
      <w:pPr>
        <w:suppressLineNumbers/>
        <w:spacing w:after="0" w:line="240" w:lineRule="auto"/>
        <w:jc w:val="both"/>
        <w:rPr>
          <w:rFonts w:ascii="Times New Roman" w:hAnsi="Times New Roman"/>
          <w:b/>
          <w:sz w:val="24"/>
          <w:szCs w:val="24"/>
        </w:rPr>
      </w:pPr>
      <w:bookmarkStart w:id="0" w:name="_Hlk195020014"/>
      <w:r w:rsidRPr="00A3002B">
        <w:rPr>
          <w:rFonts w:ascii="Times New Roman" w:hAnsi="Times New Roman"/>
          <w:b/>
          <w:sz w:val="24"/>
          <w:szCs w:val="24"/>
        </w:rPr>
        <w:t>Original Research Article</w:t>
      </w:r>
    </w:p>
    <w:p w14:paraId="3299B5A1" w14:textId="77777777" w:rsidR="001F55D8" w:rsidRPr="00A3002B" w:rsidRDefault="001F55D8" w:rsidP="00C47FDD">
      <w:pPr>
        <w:suppressLineNumbers/>
        <w:spacing w:after="0" w:line="240" w:lineRule="auto"/>
        <w:jc w:val="both"/>
        <w:rPr>
          <w:rFonts w:ascii="Times New Roman" w:hAnsi="Times New Roman"/>
          <w:b/>
          <w:sz w:val="24"/>
          <w:szCs w:val="24"/>
        </w:rPr>
      </w:pPr>
    </w:p>
    <w:p w14:paraId="76063390" w14:textId="6A86C7FD" w:rsidR="006B79D2" w:rsidRPr="00A3002B" w:rsidRDefault="00D861DC" w:rsidP="00C47FDD">
      <w:pPr>
        <w:suppressLineNumbers/>
        <w:spacing w:after="0" w:line="240" w:lineRule="auto"/>
        <w:jc w:val="both"/>
        <w:rPr>
          <w:rFonts w:ascii="Times New Roman" w:hAnsi="Times New Roman"/>
          <w:b/>
          <w:sz w:val="24"/>
          <w:szCs w:val="24"/>
        </w:rPr>
      </w:pPr>
      <w:r w:rsidRPr="00D861DC">
        <w:rPr>
          <w:rFonts w:ascii="Times New Roman" w:hAnsi="Times New Roman"/>
          <w:b/>
          <w:sz w:val="24"/>
          <w:szCs w:val="24"/>
        </w:rPr>
        <w:t>Evaluation of Herbicidal Formulations for Weed Control in Jute (</w:t>
      </w:r>
      <w:r w:rsidRPr="00D861DC">
        <w:rPr>
          <w:rFonts w:ascii="Times New Roman" w:hAnsi="Times New Roman"/>
          <w:b/>
          <w:i/>
          <w:iCs/>
          <w:sz w:val="24"/>
          <w:szCs w:val="24"/>
        </w:rPr>
        <w:t xml:space="preserve">Corchorus </w:t>
      </w:r>
      <w:proofErr w:type="spellStart"/>
      <w:r w:rsidRPr="00D861DC">
        <w:rPr>
          <w:rFonts w:ascii="Times New Roman" w:hAnsi="Times New Roman"/>
          <w:b/>
          <w:i/>
          <w:iCs/>
          <w:sz w:val="24"/>
          <w:szCs w:val="24"/>
        </w:rPr>
        <w:t>olitorius</w:t>
      </w:r>
      <w:proofErr w:type="spellEnd"/>
      <w:r w:rsidRPr="00D861DC">
        <w:rPr>
          <w:rFonts w:ascii="Times New Roman" w:hAnsi="Times New Roman"/>
          <w:b/>
          <w:sz w:val="24"/>
          <w:szCs w:val="24"/>
        </w:rPr>
        <w:t xml:space="preserve"> L.) under Variable </w:t>
      </w:r>
      <w:proofErr w:type="spellStart"/>
      <w:r w:rsidRPr="00D861DC">
        <w:rPr>
          <w:rFonts w:ascii="Times New Roman" w:hAnsi="Times New Roman"/>
          <w:b/>
          <w:sz w:val="24"/>
          <w:szCs w:val="24"/>
        </w:rPr>
        <w:t>Agro</w:t>
      </w:r>
      <w:proofErr w:type="spellEnd"/>
      <w:r w:rsidRPr="00D861DC">
        <w:rPr>
          <w:rFonts w:ascii="Times New Roman" w:hAnsi="Times New Roman"/>
          <w:b/>
          <w:sz w:val="24"/>
          <w:szCs w:val="24"/>
        </w:rPr>
        <w:t>-Ecological Conditions of Bangladesh</w:t>
      </w:r>
    </w:p>
    <w:bookmarkEnd w:id="0"/>
    <w:p w14:paraId="61B5B9E8" w14:textId="77777777" w:rsidR="00CC55C6" w:rsidRDefault="00CC55C6" w:rsidP="003B5C1D">
      <w:pPr>
        <w:spacing w:after="0"/>
        <w:ind w:right="-29"/>
        <w:jc w:val="both"/>
        <w:rPr>
          <w:rFonts w:ascii="Times New Roman" w:hAnsi="Times New Roman"/>
          <w:b/>
          <w:sz w:val="24"/>
          <w:szCs w:val="24"/>
        </w:rPr>
      </w:pPr>
    </w:p>
    <w:p w14:paraId="4F57DF36" w14:textId="19D028B0" w:rsidR="003B5C1D" w:rsidRPr="00A3002B" w:rsidRDefault="003B5C1D" w:rsidP="003B5C1D">
      <w:pPr>
        <w:spacing w:after="0"/>
        <w:ind w:right="-29"/>
        <w:jc w:val="both"/>
        <w:rPr>
          <w:rFonts w:ascii="Times New Roman" w:hAnsi="Times New Roman"/>
          <w:b/>
          <w:sz w:val="24"/>
          <w:szCs w:val="24"/>
        </w:rPr>
      </w:pPr>
      <w:r w:rsidRPr="00A3002B">
        <w:rPr>
          <w:rFonts w:ascii="Times New Roman" w:hAnsi="Times New Roman"/>
          <w:b/>
          <w:sz w:val="24"/>
          <w:szCs w:val="24"/>
        </w:rPr>
        <w:t xml:space="preserve">                                                                  </w:t>
      </w:r>
    </w:p>
    <w:p w14:paraId="791AF37B" w14:textId="77777777" w:rsidR="003B5C1D" w:rsidRPr="00A3002B" w:rsidRDefault="003B5C1D" w:rsidP="003B5C1D">
      <w:pPr>
        <w:spacing w:after="0"/>
        <w:ind w:right="-29"/>
        <w:jc w:val="center"/>
        <w:rPr>
          <w:rFonts w:ascii="Times New Roman" w:hAnsi="Times New Roman"/>
          <w:b/>
          <w:sz w:val="24"/>
          <w:szCs w:val="24"/>
        </w:rPr>
      </w:pPr>
      <w:r w:rsidRPr="00A3002B">
        <w:rPr>
          <w:rFonts w:ascii="Times New Roman" w:hAnsi="Times New Roman"/>
          <w:b/>
          <w:sz w:val="24"/>
          <w:szCs w:val="24"/>
        </w:rPr>
        <w:t>Abstract</w:t>
      </w:r>
    </w:p>
    <w:p w14:paraId="65CF8DC2" w14:textId="347038F8" w:rsidR="00F70DA1" w:rsidRDefault="00F70DA1" w:rsidP="00F70DA1">
      <w:pPr>
        <w:spacing w:after="0" w:line="240" w:lineRule="auto"/>
        <w:ind w:left="720" w:right="479"/>
        <w:jc w:val="both"/>
        <w:rPr>
          <w:rFonts w:ascii="Times New Roman" w:hAnsi="Times New Roman"/>
          <w:bCs/>
          <w:sz w:val="24"/>
          <w:szCs w:val="24"/>
        </w:rPr>
      </w:pPr>
      <w:r w:rsidRPr="00F70DA1">
        <w:rPr>
          <w:rFonts w:ascii="Times New Roman" w:hAnsi="Times New Roman"/>
          <w:bCs/>
          <w:sz w:val="24"/>
          <w:szCs w:val="24"/>
        </w:rPr>
        <w:t>Jute (</w:t>
      </w:r>
      <w:r w:rsidRPr="00F70DA1">
        <w:rPr>
          <w:rFonts w:ascii="Times New Roman" w:hAnsi="Times New Roman"/>
          <w:bCs/>
          <w:i/>
          <w:iCs/>
          <w:sz w:val="24"/>
          <w:szCs w:val="24"/>
        </w:rPr>
        <w:t xml:space="preserve">Corchorus </w:t>
      </w:r>
      <w:proofErr w:type="spellStart"/>
      <w:r w:rsidRPr="00F70DA1">
        <w:rPr>
          <w:rFonts w:ascii="Times New Roman" w:hAnsi="Times New Roman"/>
          <w:bCs/>
          <w:i/>
          <w:iCs/>
          <w:sz w:val="24"/>
          <w:szCs w:val="24"/>
        </w:rPr>
        <w:t>olitorius</w:t>
      </w:r>
      <w:proofErr w:type="spellEnd"/>
      <w:r w:rsidRPr="00F70DA1">
        <w:rPr>
          <w:rFonts w:ascii="Times New Roman" w:hAnsi="Times New Roman"/>
          <w:bCs/>
          <w:sz w:val="24"/>
          <w:szCs w:val="24"/>
        </w:rPr>
        <w:t xml:space="preserve"> L.) is a major </w:t>
      </w:r>
      <w:proofErr w:type="spellStart"/>
      <w:r w:rsidRPr="00F70DA1">
        <w:rPr>
          <w:rFonts w:ascii="Times New Roman" w:hAnsi="Times New Roman"/>
          <w:bCs/>
          <w:sz w:val="24"/>
          <w:szCs w:val="24"/>
        </w:rPr>
        <w:t>fibre</w:t>
      </w:r>
      <w:proofErr w:type="spellEnd"/>
      <w:r w:rsidRPr="00F70DA1">
        <w:rPr>
          <w:rFonts w:ascii="Times New Roman" w:hAnsi="Times New Roman"/>
          <w:bCs/>
          <w:sz w:val="24"/>
          <w:szCs w:val="24"/>
        </w:rPr>
        <w:t xml:space="preserve"> crop of Bangladesh, but its yield is seriously constrained by heavy weed infestation during early growth stages. To address this challenge, a field study was conducted at the Jute Agriculture Experimental Station (JAES), Manikganj, and the Jute Research Sub-Station, </w:t>
      </w:r>
      <w:proofErr w:type="spellStart"/>
      <w:r w:rsidRPr="00F70DA1">
        <w:rPr>
          <w:rFonts w:ascii="Times New Roman" w:hAnsi="Times New Roman"/>
          <w:bCs/>
          <w:sz w:val="24"/>
          <w:szCs w:val="24"/>
        </w:rPr>
        <w:t>Tarabo</w:t>
      </w:r>
      <w:proofErr w:type="spellEnd"/>
      <w:r w:rsidRPr="00F70DA1">
        <w:rPr>
          <w:rFonts w:ascii="Times New Roman" w:hAnsi="Times New Roman"/>
          <w:bCs/>
          <w:sz w:val="24"/>
          <w:szCs w:val="24"/>
        </w:rPr>
        <w:t xml:space="preserve">, during the 2023 and 2024 kharif seasons to evaluate the efficacy of 18 commercial herbicidal formulations under diverse </w:t>
      </w:r>
      <w:proofErr w:type="spellStart"/>
      <w:r w:rsidRPr="00F70DA1">
        <w:rPr>
          <w:rFonts w:ascii="Times New Roman" w:hAnsi="Times New Roman"/>
          <w:bCs/>
          <w:sz w:val="24"/>
          <w:szCs w:val="24"/>
        </w:rPr>
        <w:t>agro</w:t>
      </w:r>
      <w:proofErr w:type="spellEnd"/>
      <w:r w:rsidRPr="00F70DA1">
        <w:rPr>
          <w:rFonts w:ascii="Times New Roman" w:hAnsi="Times New Roman"/>
          <w:bCs/>
          <w:sz w:val="24"/>
          <w:szCs w:val="24"/>
        </w:rPr>
        <w:t>-ecological conditions. The experiment was laid out in a randomized complete block design with t</w:t>
      </w:r>
      <w:r>
        <w:rPr>
          <w:rFonts w:ascii="Times New Roman" w:hAnsi="Times New Roman"/>
          <w:bCs/>
          <w:sz w:val="24"/>
          <w:szCs w:val="24"/>
        </w:rPr>
        <w:t>wo</w:t>
      </w:r>
      <w:r w:rsidRPr="00F70DA1">
        <w:rPr>
          <w:rFonts w:ascii="Times New Roman" w:hAnsi="Times New Roman"/>
          <w:bCs/>
          <w:sz w:val="24"/>
          <w:szCs w:val="24"/>
        </w:rPr>
        <w:t xml:space="preserve"> replications on silty loam and sandy clay loam soils. Treatments included different formulations of </w:t>
      </w:r>
      <w:proofErr w:type="spellStart"/>
      <w:r w:rsidRPr="00F70DA1">
        <w:rPr>
          <w:rFonts w:ascii="Times New Roman" w:hAnsi="Times New Roman"/>
          <w:bCs/>
          <w:sz w:val="24"/>
          <w:szCs w:val="24"/>
        </w:rPr>
        <w:t>Quizalofop</w:t>
      </w:r>
      <w:proofErr w:type="spellEnd"/>
      <w:r w:rsidRPr="00F70DA1">
        <w:rPr>
          <w:rFonts w:ascii="Times New Roman" w:hAnsi="Times New Roman"/>
          <w:bCs/>
          <w:sz w:val="24"/>
          <w:szCs w:val="24"/>
        </w:rPr>
        <w:t xml:space="preserve">-p-ethyl, </w:t>
      </w:r>
      <w:proofErr w:type="spellStart"/>
      <w:r w:rsidRPr="00F70DA1">
        <w:rPr>
          <w:rFonts w:ascii="Times New Roman" w:hAnsi="Times New Roman"/>
          <w:bCs/>
          <w:sz w:val="24"/>
          <w:szCs w:val="24"/>
        </w:rPr>
        <w:t>Glufosinate</w:t>
      </w:r>
      <w:proofErr w:type="spellEnd"/>
      <w:r w:rsidRPr="00F70DA1">
        <w:rPr>
          <w:rFonts w:ascii="Times New Roman" w:hAnsi="Times New Roman"/>
          <w:bCs/>
          <w:sz w:val="24"/>
          <w:szCs w:val="24"/>
        </w:rPr>
        <w:t xml:space="preserve">-ammonium, Pretilachlor, </w:t>
      </w:r>
      <w:proofErr w:type="spellStart"/>
      <w:r w:rsidRPr="00F70DA1">
        <w:rPr>
          <w:rFonts w:ascii="Times New Roman" w:hAnsi="Times New Roman"/>
          <w:bCs/>
          <w:sz w:val="24"/>
          <w:szCs w:val="24"/>
        </w:rPr>
        <w:t>Benzoylprop</w:t>
      </w:r>
      <w:proofErr w:type="spellEnd"/>
      <w:r w:rsidRPr="00F70DA1">
        <w:rPr>
          <w:rFonts w:ascii="Times New Roman" w:hAnsi="Times New Roman"/>
          <w:bCs/>
          <w:sz w:val="24"/>
          <w:szCs w:val="24"/>
        </w:rPr>
        <w:t xml:space="preserve">-ethyl, and 2,4-D amine salt, applied at recommended rates. Results indicated that all herbicides provided substantial weed suppression (75–85% control efficiency), significantly reducing weed density and fresh biomass compared to the untreated control. </w:t>
      </w:r>
      <w:proofErr w:type="spellStart"/>
      <w:r w:rsidRPr="00F70DA1">
        <w:rPr>
          <w:rFonts w:ascii="Times New Roman" w:hAnsi="Times New Roman"/>
          <w:bCs/>
          <w:sz w:val="24"/>
          <w:szCs w:val="24"/>
        </w:rPr>
        <w:t>Quizalofop</w:t>
      </w:r>
      <w:proofErr w:type="spellEnd"/>
      <w:r w:rsidRPr="00F70DA1">
        <w:rPr>
          <w:rFonts w:ascii="Times New Roman" w:hAnsi="Times New Roman"/>
          <w:bCs/>
          <w:sz w:val="24"/>
          <w:szCs w:val="24"/>
        </w:rPr>
        <w:t xml:space="preserve">-p-ethyl-based formulations, either alone or combined with </w:t>
      </w:r>
      <w:proofErr w:type="spellStart"/>
      <w:r w:rsidRPr="00F70DA1">
        <w:rPr>
          <w:rFonts w:ascii="Times New Roman" w:hAnsi="Times New Roman"/>
          <w:bCs/>
          <w:sz w:val="24"/>
          <w:szCs w:val="24"/>
        </w:rPr>
        <w:t>Ethoxysulfuron</w:t>
      </w:r>
      <w:proofErr w:type="spellEnd"/>
      <w:r w:rsidRPr="00F70DA1">
        <w:rPr>
          <w:rFonts w:ascii="Times New Roman" w:hAnsi="Times New Roman"/>
          <w:bCs/>
          <w:sz w:val="24"/>
          <w:szCs w:val="24"/>
        </w:rPr>
        <w:t xml:space="preserve"> (e.g., Natai 21OD, </w:t>
      </w:r>
      <w:proofErr w:type="spellStart"/>
      <w:r w:rsidRPr="00F70DA1">
        <w:rPr>
          <w:rFonts w:ascii="Times New Roman" w:hAnsi="Times New Roman"/>
          <w:bCs/>
          <w:sz w:val="24"/>
          <w:szCs w:val="24"/>
        </w:rPr>
        <w:t>Raker</w:t>
      </w:r>
      <w:proofErr w:type="spellEnd"/>
      <w:r w:rsidRPr="00F70DA1">
        <w:rPr>
          <w:rFonts w:ascii="Times New Roman" w:hAnsi="Times New Roman"/>
          <w:bCs/>
          <w:sz w:val="24"/>
          <w:szCs w:val="24"/>
        </w:rPr>
        <w:t xml:space="preserve"> 21OD), and </w:t>
      </w:r>
      <w:proofErr w:type="spellStart"/>
      <w:r w:rsidRPr="00F70DA1">
        <w:rPr>
          <w:rFonts w:ascii="Times New Roman" w:hAnsi="Times New Roman"/>
          <w:bCs/>
          <w:sz w:val="24"/>
          <w:szCs w:val="24"/>
        </w:rPr>
        <w:t>Glufosinate</w:t>
      </w:r>
      <w:proofErr w:type="spellEnd"/>
      <w:r w:rsidRPr="00F70DA1">
        <w:rPr>
          <w:rFonts w:ascii="Times New Roman" w:hAnsi="Times New Roman"/>
          <w:bCs/>
          <w:sz w:val="24"/>
          <w:szCs w:val="24"/>
        </w:rPr>
        <w:t xml:space="preserve">-ammonium formulations (e.g., Fire 20SL, </w:t>
      </w:r>
      <w:proofErr w:type="spellStart"/>
      <w:r w:rsidRPr="00F70DA1">
        <w:rPr>
          <w:rFonts w:ascii="Times New Roman" w:hAnsi="Times New Roman"/>
          <w:bCs/>
          <w:sz w:val="24"/>
          <w:szCs w:val="24"/>
        </w:rPr>
        <w:t>Imulin</w:t>
      </w:r>
      <w:proofErr w:type="spellEnd"/>
      <w:r w:rsidRPr="00F70DA1">
        <w:rPr>
          <w:rFonts w:ascii="Times New Roman" w:hAnsi="Times New Roman"/>
          <w:bCs/>
          <w:sz w:val="24"/>
          <w:szCs w:val="24"/>
        </w:rPr>
        <w:t xml:space="preserve"> 20SL) showed the most consistent performance across locations and years. No visible phytotoxicity was recorded on the jute crop. The effective herbicides, particularly </w:t>
      </w:r>
      <w:proofErr w:type="spellStart"/>
      <w:r w:rsidRPr="00F70DA1">
        <w:rPr>
          <w:rFonts w:ascii="Times New Roman" w:hAnsi="Times New Roman"/>
          <w:bCs/>
          <w:sz w:val="24"/>
          <w:szCs w:val="24"/>
        </w:rPr>
        <w:t>Emifit</w:t>
      </w:r>
      <w:proofErr w:type="spellEnd"/>
      <w:r w:rsidRPr="00F70DA1">
        <w:rPr>
          <w:rFonts w:ascii="Times New Roman" w:hAnsi="Times New Roman"/>
          <w:bCs/>
          <w:sz w:val="24"/>
          <w:szCs w:val="24"/>
        </w:rPr>
        <w:t xml:space="preserve"> 50EC, </w:t>
      </w:r>
      <w:proofErr w:type="spellStart"/>
      <w:r w:rsidRPr="00F70DA1">
        <w:rPr>
          <w:rFonts w:ascii="Times New Roman" w:hAnsi="Times New Roman"/>
          <w:bCs/>
          <w:sz w:val="24"/>
          <w:szCs w:val="24"/>
        </w:rPr>
        <w:t>Natai</w:t>
      </w:r>
      <w:proofErr w:type="spellEnd"/>
      <w:r w:rsidRPr="00F70DA1">
        <w:rPr>
          <w:rFonts w:ascii="Times New Roman" w:hAnsi="Times New Roman"/>
          <w:bCs/>
          <w:sz w:val="24"/>
          <w:szCs w:val="24"/>
        </w:rPr>
        <w:t xml:space="preserve"> 21OD, Orin 72SL, and Cutter 50EC, are promising candidates for inclusion in integrated weed management programs for jute. Adoption of these formulations could minimize </w:t>
      </w:r>
      <w:proofErr w:type="spellStart"/>
      <w:r w:rsidRPr="00F70DA1">
        <w:rPr>
          <w:rFonts w:ascii="Times New Roman" w:hAnsi="Times New Roman"/>
          <w:bCs/>
          <w:sz w:val="24"/>
          <w:szCs w:val="24"/>
        </w:rPr>
        <w:t>labour</w:t>
      </w:r>
      <w:proofErr w:type="spellEnd"/>
      <w:r w:rsidRPr="00F70DA1">
        <w:rPr>
          <w:rFonts w:ascii="Times New Roman" w:hAnsi="Times New Roman"/>
          <w:bCs/>
          <w:sz w:val="24"/>
          <w:szCs w:val="24"/>
        </w:rPr>
        <w:t xml:space="preserve"> dependency on hand weeding, improve </w:t>
      </w:r>
      <w:proofErr w:type="spellStart"/>
      <w:r w:rsidRPr="00F70DA1">
        <w:rPr>
          <w:rFonts w:ascii="Times New Roman" w:hAnsi="Times New Roman"/>
          <w:bCs/>
          <w:sz w:val="24"/>
          <w:szCs w:val="24"/>
        </w:rPr>
        <w:t>fibre</w:t>
      </w:r>
      <w:proofErr w:type="spellEnd"/>
      <w:r w:rsidRPr="00F70DA1">
        <w:rPr>
          <w:rFonts w:ascii="Times New Roman" w:hAnsi="Times New Roman"/>
          <w:bCs/>
          <w:sz w:val="24"/>
          <w:szCs w:val="24"/>
        </w:rPr>
        <w:t xml:space="preserve"> yield, and promote sustainable jute production across </w:t>
      </w:r>
      <w:r w:rsidR="001B70E1">
        <w:rPr>
          <w:rFonts w:ascii="Times New Roman" w:hAnsi="Times New Roman"/>
          <w:bCs/>
          <w:sz w:val="24"/>
          <w:szCs w:val="24"/>
        </w:rPr>
        <w:t xml:space="preserve">the </w:t>
      </w:r>
      <w:r w:rsidRPr="00F70DA1">
        <w:rPr>
          <w:rFonts w:ascii="Times New Roman" w:hAnsi="Times New Roman"/>
          <w:bCs/>
          <w:sz w:val="24"/>
          <w:szCs w:val="24"/>
        </w:rPr>
        <w:t xml:space="preserve">variable </w:t>
      </w:r>
      <w:proofErr w:type="spellStart"/>
      <w:r w:rsidRPr="00F70DA1">
        <w:rPr>
          <w:rFonts w:ascii="Times New Roman" w:hAnsi="Times New Roman"/>
          <w:bCs/>
          <w:sz w:val="24"/>
          <w:szCs w:val="24"/>
        </w:rPr>
        <w:t>agro</w:t>
      </w:r>
      <w:proofErr w:type="spellEnd"/>
      <w:r w:rsidRPr="00F70DA1">
        <w:rPr>
          <w:rFonts w:ascii="Times New Roman" w:hAnsi="Times New Roman"/>
          <w:bCs/>
          <w:sz w:val="24"/>
          <w:szCs w:val="24"/>
        </w:rPr>
        <w:t>-ecological zones of Bangladesh.</w:t>
      </w:r>
    </w:p>
    <w:p w14:paraId="2DDFB7EF" w14:textId="70A85417" w:rsidR="00C15A0E" w:rsidRDefault="00C15A0E" w:rsidP="00C15A0E">
      <w:pPr>
        <w:spacing w:after="0" w:line="240" w:lineRule="auto"/>
        <w:ind w:right="479"/>
        <w:jc w:val="both"/>
        <w:rPr>
          <w:rFonts w:ascii="Times New Roman" w:hAnsi="Times New Roman"/>
          <w:bCs/>
          <w:sz w:val="24"/>
          <w:szCs w:val="24"/>
        </w:rPr>
      </w:pPr>
      <w:r w:rsidRPr="00C15A0E">
        <w:rPr>
          <w:rFonts w:ascii="Times New Roman" w:hAnsi="Times New Roman"/>
          <w:b/>
          <w:sz w:val="24"/>
          <w:szCs w:val="24"/>
        </w:rPr>
        <w:t>Key Words:</w:t>
      </w:r>
      <w:r>
        <w:rPr>
          <w:rFonts w:ascii="Times New Roman" w:hAnsi="Times New Roman"/>
          <w:bCs/>
          <w:sz w:val="24"/>
          <w:szCs w:val="24"/>
        </w:rPr>
        <w:t xml:space="preserve"> </w:t>
      </w:r>
      <w:r w:rsidRPr="00C15A0E">
        <w:rPr>
          <w:rFonts w:ascii="Times New Roman" w:hAnsi="Times New Roman"/>
          <w:bCs/>
          <w:sz w:val="24"/>
          <w:szCs w:val="24"/>
        </w:rPr>
        <w:t>Jute (</w:t>
      </w:r>
      <w:r w:rsidRPr="00C15A0E">
        <w:rPr>
          <w:rFonts w:ascii="Times New Roman" w:hAnsi="Times New Roman"/>
          <w:bCs/>
          <w:i/>
          <w:iCs/>
          <w:sz w:val="24"/>
          <w:szCs w:val="24"/>
        </w:rPr>
        <w:t xml:space="preserve">Corchorus </w:t>
      </w:r>
      <w:proofErr w:type="spellStart"/>
      <w:r w:rsidRPr="00C15A0E">
        <w:rPr>
          <w:rFonts w:ascii="Times New Roman" w:hAnsi="Times New Roman"/>
          <w:bCs/>
          <w:i/>
          <w:iCs/>
          <w:sz w:val="24"/>
          <w:szCs w:val="24"/>
        </w:rPr>
        <w:t>olitorius</w:t>
      </w:r>
      <w:proofErr w:type="spellEnd"/>
      <w:r w:rsidRPr="00C15A0E">
        <w:rPr>
          <w:rFonts w:ascii="Times New Roman" w:hAnsi="Times New Roman"/>
          <w:bCs/>
          <w:sz w:val="24"/>
          <w:szCs w:val="24"/>
        </w:rPr>
        <w:t xml:space="preserve"> L.); Weed management; Herbicide efficacy; </w:t>
      </w:r>
      <w:proofErr w:type="spellStart"/>
      <w:r w:rsidRPr="00C15A0E">
        <w:rPr>
          <w:rFonts w:ascii="Times New Roman" w:hAnsi="Times New Roman"/>
          <w:bCs/>
          <w:sz w:val="24"/>
          <w:szCs w:val="24"/>
        </w:rPr>
        <w:t>Quizalofop</w:t>
      </w:r>
      <w:proofErr w:type="spellEnd"/>
      <w:r w:rsidRPr="00C15A0E">
        <w:rPr>
          <w:rFonts w:ascii="Times New Roman" w:hAnsi="Times New Roman"/>
          <w:bCs/>
          <w:sz w:val="24"/>
          <w:szCs w:val="24"/>
        </w:rPr>
        <w:t xml:space="preserve">-p-ethyl; </w:t>
      </w:r>
      <w:proofErr w:type="spellStart"/>
      <w:r w:rsidRPr="00C15A0E">
        <w:rPr>
          <w:rFonts w:ascii="Times New Roman" w:hAnsi="Times New Roman"/>
          <w:bCs/>
          <w:sz w:val="24"/>
          <w:szCs w:val="24"/>
        </w:rPr>
        <w:t>Glufosinate</w:t>
      </w:r>
      <w:proofErr w:type="spellEnd"/>
      <w:r w:rsidRPr="00C15A0E">
        <w:rPr>
          <w:rFonts w:ascii="Times New Roman" w:hAnsi="Times New Roman"/>
          <w:bCs/>
          <w:sz w:val="24"/>
          <w:szCs w:val="24"/>
        </w:rPr>
        <w:t>-ammonium; Integrated weed management</w:t>
      </w:r>
    </w:p>
    <w:p w14:paraId="793C46E5" w14:textId="77777777" w:rsidR="00C15A0E" w:rsidRDefault="00C15A0E" w:rsidP="00F5388B">
      <w:pPr>
        <w:spacing w:after="0" w:line="240" w:lineRule="auto"/>
        <w:ind w:right="-29"/>
        <w:jc w:val="both"/>
        <w:rPr>
          <w:rFonts w:ascii="Times New Roman" w:hAnsi="Times New Roman"/>
          <w:b/>
          <w:sz w:val="24"/>
          <w:szCs w:val="24"/>
        </w:rPr>
      </w:pPr>
    </w:p>
    <w:p w14:paraId="65307D3B" w14:textId="47789D6D" w:rsidR="003B5C1D" w:rsidRPr="00A3002B" w:rsidRDefault="00190B5E" w:rsidP="00F5388B">
      <w:pPr>
        <w:spacing w:after="0" w:line="240" w:lineRule="auto"/>
        <w:ind w:right="-29"/>
        <w:jc w:val="both"/>
        <w:rPr>
          <w:rFonts w:ascii="Times New Roman" w:hAnsi="Times New Roman"/>
          <w:b/>
          <w:sz w:val="24"/>
          <w:szCs w:val="24"/>
        </w:rPr>
      </w:pPr>
      <w:r w:rsidRPr="00A3002B">
        <w:rPr>
          <w:rFonts w:ascii="Times New Roman" w:hAnsi="Times New Roman"/>
          <w:b/>
          <w:sz w:val="24"/>
          <w:szCs w:val="24"/>
        </w:rPr>
        <w:t xml:space="preserve">1. </w:t>
      </w:r>
      <w:r w:rsidR="003B5C1D" w:rsidRPr="00A3002B">
        <w:rPr>
          <w:rFonts w:ascii="Times New Roman" w:hAnsi="Times New Roman"/>
          <w:b/>
          <w:sz w:val="24"/>
          <w:szCs w:val="24"/>
        </w:rPr>
        <w:t>Introduction</w:t>
      </w:r>
    </w:p>
    <w:p w14:paraId="0D250A99" w14:textId="77777777" w:rsidR="00F75ADC" w:rsidRDefault="00F75ADC" w:rsidP="00F75ADC">
      <w:pPr>
        <w:pStyle w:val="NormalWeb"/>
        <w:spacing w:after="0"/>
        <w:jc w:val="both"/>
      </w:pPr>
      <w:r>
        <w:t>Jute (</w:t>
      </w:r>
      <w:r w:rsidRPr="00F75ADC">
        <w:rPr>
          <w:i/>
          <w:iCs/>
        </w:rPr>
        <w:t>Corchorus spp.</w:t>
      </w:r>
      <w:r>
        <w:t xml:space="preserve">) is an important </w:t>
      </w:r>
      <w:proofErr w:type="spellStart"/>
      <w:r>
        <w:t>bast</w:t>
      </w:r>
      <w:proofErr w:type="spellEnd"/>
      <w:r>
        <w:t xml:space="preserve"> </w:t>
      </w:r>
      <w:proofErr w:type="spellStart"/>
      <w:r>
        <w:t>fibre</w:t>
      </w:r>
      <w:proofErr w:type="spellEnd"/>
      <w:r>
        <w:t xml:space="preserve"> crop and a major cash commodity in Bangladesh, contributing substantially to the rural economy, </w:t>
      </w:r>
      <w:proofErr w:type="spellStart"/>
      <w:r>
        <w:t>agro</w:t>
      </w:r>
      <w:proofErr w:type="spellEnd"/>
      <w:r>
        <w:t xml:space="preserve">-based industries, and export earnings (Akter </w:t>
      </w:r>
      <w:r w:rsidRPr="00F75ADC">
        <w:rPr>
          <w:i/>
          <w:iCs/>
        </w:rPr>
        <w:t>et al.,</w:t>
      </w:r>
      <w:r>
        <w:t xml:space="preserve"> 2020; Anonymous, 2022). Grown mainly during the summer (kharif) season, it plays a crucial role in sustainable agriculture by offering an eco-friendly alternative to synthetic </w:t>
      </w:r>
      <w:proofErr w:type="spellStart"/>
      <w:r>
        <w:t>fibres</w:t>
      </w:r>
      <w:proofErr w:type="spellEnd"/>
      <w:r>
        <w:t xml:space="preserve"> (Majumder </w:t>
      </w:r>
      <w:r w:rsidRPr="00F75ADC">
        <w:rPr>
          <w:i/>
          <w:iCs/>
        </w:rPr>
        <w:t>et al.,</w:t>
      </w:r>
      <w:r>
        <w:t xml:space="preserve"> 2020; </w:t>
      </w:r>
      <w:proofErr w:type="spellStart"/>
      <w:r>
        <w:t>Ngomuo</w:t>
      </w:r>
      <w:proofErr w:type="spellEnd"/>
      <w:r>
        <w:t xml:space="preserve"> </w:t>
      </w:r>
      <w:r w:rsidRPr="00F75ADC">
        <w:rPr>
          <w:i/>
          <w:iCs/>
        </w:rPr>
        <w:t>et al.,</w:t>
      </w:r>
      <w:r>
        <w:t xml:space="preserve"> 2017). Bangladesh is globally recognized for producing high-quality jute </w:t>
      </w:r>
      <w:proofErr w:type="spellStart"/>
      <w:r>
        <w:t>fibre</w:t>
      </w:r>
      <w:proofErr w:type="spellEnd"/>
      <w:r>
        <w:t xml:space="preserve">, which provides employment to millions and supports small- and medium-scale industries (Islam &amp; Ali, 2017; Mukul </w:t>
      </w:r>
      <w:r w:rsidRPr="00F75ADC">
        <w:rPr>
          <w:i/>
          <w:iCs/>
        </w:rPr>
        <w:t>et al.,</w:t>
      </w:r>
      <w:r>
        <w:t xml:space="preserve"> 2021).</w:t>
      </w:r>
    </w:p>
    <w:p w14:paraId="6114484D" w14:textId="77777777" w:rsidR="00F75ADC" w:rsidRDefault="00F75ADC" w:rsidP="00F75ADC">
      <w:pPr>
        <w:pStyle w:val="NormalWeb"/>
        <w:spacing w:after="0"/>
        <w:jc w:val="both"/>
      </w:pPr>
    </w:p>
    <w:p w14:paraId="62269F11" w14:textId="2F3FE853" w:rsidR="00F75ADC" w:rsidRDefault="00F75ADC" w:rsidP="00F75ADC">
      <w:pPr>
        <w:pStyle w:val="NormalWeb"/>
        <w:spacing w:after="0"/>
        <w:jc w:val="both"/>
      </w:pPr>
      <w:r>
        <w:t xml:space="preserve">However, jute yield remains below its potential due to several agronomic challenges, among which weed infestation is particularly destructive </w:t>
      </w:r>
      <w:r w:rsidRPr="00F75ADC">
        <w:rPr>
          <w:color w:val="000000" w:themeColor="text1"/>
        </w:rPr>
        <w:t xml:space="preserve">(Hossain </w:t>
      </w:r>
      <w:r w:rsidRPr="00F75ADC">
        <w:rPr>
          <w:i/>
          <w:iCs/>
          <w:color w:val="000000" w:themeColor="text1"/>
        </w:rPr>
        <w:t>et al.,</w:t>
      </w:r>
      <w:r w:rsidRPr="00F75ADC">
        <w:rPr>
          <w:color w:val="000000" w:themeColor="text1"/>
        </w:rPr>
        <w:t xml:space="preserve"> 2023a; </w:t>
      </w:r>
      <w:r>
        <w:t xml:space="preserve">Jena </w:t>
      </w:r>
      <w:r w:rsidRPr="00F75ADC">
        <w:rPr>
          <w:i/>
          <w:iCs/>
        </w:rPr>
        <w:t>et al.,</w:t>
      </w:r>
      <w:r>
        <w:t xml:space="preserve"> 2017). Weeds compete with jute for nutrients, moisture, and light during early growth when the crop canopy is not yet developed (Swanton </w:t>
      </w:r>
      <w:r w:rsidRPr="00F75ADC">
        <w:rPr>
          <w:i/>
          <w:iCs/>
        </w:rPr>
        <w:t>et al.,</w:t>
      </w:r>
      <w:r>
        <w:t xml:space="preserve"> 2015; Zimdahl &amp; Basinger, 2024). The warm and humid climate of Bangladesh encourages rapid weed growth, allowing species such as </w:t>
      </w:r>
      <w:proofErr w:type="spellStart"/>
      <w:r>
        <w:t>Cyperus</w:t>
      </w:r>
      <w:proofErr w:type="spellEnd"/>
      <w:r>
        <w:t xml:space="preserve"> </w:t>
      </w:r>
      <w:proofErr w:type="spellStart"/>
      <w:r>
        <w:t>rotundus</w:t>
      </w:r>
      <w:proofErr w:type="spellEnd"/>
      <w:r>
        <w:t xml:space="preserve">, </w:t>
      </w:r>
      <w:proofErr w:type="spellStart"/>
      <w:r>
        <w:t>Echinochloa</w:t>
      </w:r>
      <w:proofErr w:type="spellEnd"/>
      <w:r>
        <w:t xml:space="preserve"> </w:t>
      </w:r>
      <w:proofErr w:type="spellStart"/>
      <w:r>
        <w:t>colona</w:t>
      </w:r>
      <w:proofErr w:type="spellEnd"/>
      <w:r>
        <w:t xml:space="preserve">, Amaranthus </w:t>
      </w:r>
      <w:proofErr w:type="spellStart"/>
      <w:r>
        <w:t>spinosus</w:t>
      </w:r>
      <w:proofErr w:type="spellEnd"/>
      <w:r>
        <w:t xml:space="preserve">, and Chenopodium album to dominate </w:t>
      </w:r>
      <w:r>
        <w:lastRenderedPageBreak/>
        <w:t xml:space="preserve">(Mandal &amp; Mukherjee, 2018; Hossain </w:t>
      </w:r>
      <w:r w:rsidRPr="00F75ADC">
        <w:rPr>
          <w:i/>
          <w:iCs/>
        </w:rPr>
        <w:t>et al.,</w:t>
      </w:r>
      <w:r>
        <w:t xml:space="preserve"> 2024). This intense competition reduces nutrient uptake and light interception, ultimately leading to poor photosynthesis and low </w:t>
      </w:r>
      <w:proofErr w:type="spellStart"/>
      <w:r>
        <w:t>fibre</w:t>
      </w:r>
      <w:proofErr w:type="spellEnd"/>
      <w:r>
        <w:t xml:space="preserve"> yield (Charles </w:t>
      </w:r>
      <w:r w:rsidRPr="00F75ADC">
        <w:rPr>
          <w:i/>
          <w:iCs/>
        </w:rPr>
        <w:t>et al.,</w:t>
      </w:r>
      <w:r>
        <w:t xml:space="preserve"> 2019; </w:t>
      </w:r>
      <w:proofErr w:type="spellStart"/>
      <w:r>
        <w:t>Korres</w:t>
      </w:r>
      <w:proofErr w:type="spellEnd"/>
      <w:r>
        <w:t xml:space="preserve"> &amp; </w:t>
      </w:r>
      <w:proofErr w:type="spellStart"/>
      <w:r>
        <w:t>Norsworthy</w:t>
      </w:r>
      <w:proofErr w:type="spellEnd"/>
      <w:r>
        <w:t xml:space="preserve">, 2015). Reported yield losses due to weeds range from 40% to 70%, depending on weed density and competition duration (Kumar </w:t>
      </w:r>
      <w:r w:rsidRPr="00F75ADC">
        <w:rPr>
          <w:i/>
          <w:iCs/>
        </w:rPr>
        <w:t>et al.,</w:t>
      </w:r>
      <w:r>
        <w:t xml:space="preserve"> 2015; Singh, Bhagwan, &amp; Prakash, 2015</w:t>
      </w:r>
      <w:r w:rsidR="00A212F8">
        <w:t>b</w:t>
      </w:r>
      <w:r>
        <w:t xml:space="preserve">). The period between 30 and 45 days after sowing is considered the critical time for effective weed control (Mahajan &amp; Chauhan, 2013; Karimi </w:t>
      </w:r>
      <w:r w:rsidRPr="00F75ADC">
        <w:rPr>
          <w:i/>
          <w:iCs/>
        </w:rPr>
        <w:t xml:space="preserve">et al., </w:t>
      </w:r>
      <w:r>
        <w:t>2021).</w:t>
      </w:r>
    </w:p>
    <w:p w14:paraId="7EB13AFE" w14:textId="77777777" w:rsidR="00F75ADC" w:rsidRDefault="00F75ADC" w:rsidP="00F75ADC">
      <w:pPr>
        <w:pStyle w:val="NormalWeb"/>
        <w:spacing w:after="0"/>
        <w:jc w:val="both"/>
      </w:pPr>
    </w:p>
    <w:p w14:paraId="70313116" w14:textId="22AED364" w:rsidR="00F75ADC" w:rsidRDefault="00F75ADC" w:rsidP="00F75ADC">
      <w:pPr>
        <w:pStyle w:val="NormalWeb"/>
        <w:spacing w:after="0"/>
        <w:jc w:val="both"/>
      </w:pPr>
      <w:r>
        <w:t xml:space="preserve">Farmers in Bangladesh still depend mainly on traditional weeding methods such as </w:t>
      </w:r>
      <w:proofErr w:type="spellStart"/>
      <w:r>
        <w:t>niri</w:t>
      </w:r>
      <w:proofErr w:type="spellEnd"/>
      <w:r>
        <w:t xml:space="preserve"> (hand weeding) and raking (Mandal &amp; Mukherjee, 2018). Although effective, these practices are </w:t>
      </w:r>
      <w:proofErr w:type="spellStart"/>
      <w:r>
        <w:t>labour-intensive</w:t>
      </w:r>
      <w:proofErr w:type="spellEnd"/>
      <w:r>
        <w:t xml:space="preserve">, expensive, and time-consuming—accounting for nearly half of the total cultivation cost (Mahbub &amp; Bhuiyan, 2021; Abbas </w:t>
      </w:r>
      <w:r w:rsidRPr="00F75ADC">
        <w:rPr>
          <w:i/>
          <w:iCs/>
        </w:rPr>
        <w:t>et al.,</w:t>
      </w:r>
      <w:r>
        <w:t xml:space="preserve"> 2018). Moreover, </w:t>
      </w:r>
      <w:proofErr w:type="spellStart"/>
      <w:r>
        <w:t>labour</w:t>
      </w:r>
      <w:proofErr w:type="spellEnd"/>
      <w:r>
        <w:t xml:space="preserve"> shortages and rising wages make manual weeding increasingly impractical (Morsy &amp; </w:t>
      </w:r>
      <w:proofErr w:type="spellStart"/>
      <w:r>
        <w:t>Tantawy</w:t>
      </w:r>
      <w:proofErr w:type="spellEnd"/>
      <w:r>
        <w:t xml:space="preserve">, 2018; </w:t>
      </w:r>
      <w:proofErr w:type="spellStart"/>
      <w:r>
        <w:t>Susha</w:t>
      </w:r>
      <w:proofErr w:type="spellEnd"/>
      <w:r>
        <w:t xml:space="preserve"> </w:t>
      </w:r>
      <w:r w:rsidRPr="00F75ADC">
        <w:rPr>
          <w:i/>
          <w:iCs/>
        </w:rPr>
        <w:t>et al.,</w:t>
      </w:r>
      <w:r>
        <w:t xml:space="preserve"> 2018). Mechanical weeders are rarely used because of small landholdings, irregular field conditions, and narrow crop spacing (Mukherjee, 2013; Singh </w:t>
      </w:r>
      <w:r w:rsidRPr="00F75ADC">
        <w:rPr>
          <w:i/>
          <w:iCs/>
        </w:rPr>
        <w:t>et al.,</w:t>
      </w:r>
      <w:r>
        <w:t xml:space="preserve"> 2015</w:t>
      </w:r>
      <w:r w:rsidR="008758DB">
        <w:t>b</w:t>
      </w:r>
      <w:r>
        <w:t>).</w:t>
      </w:r>
    </w:p>
    <w:p w14:paraId="2A34FAED" w14:textId="77777777" w:rsidR="00F75ADC" w:rsidRDefault="00F75ADC" w:rsidP="00F75ADC">
      <w:pPr>
        <w:pStyle w:val="NormalWeb"/>
        <w:spacing w:after="0"/>
        <w:jc w:val="both"/>
      </w:pPr>
    </w:p>
    <w:p w14:paraId="4D8B1928" w14:textId="77777777" w:rsidR="00F75ADC" w:rsidRDefault="00F75ADC" w:rsidP="00F75ADC">
      <w:pPr>
        <w:pStyle w:val="NormalWeb"/>
        <w:spacing w:after="0"/>
        <w:jc w:val="both"/>
      </w:pPr>
      <w:r>
        <w:t xml:space="preserve">Herbicides therefore present a practical and cost-effective alternative. Chemical weed management reduces </w:t>
      </w:r>
      <w:proofErr w:type="spellStart"/>
      <w:r>
        <w:t>labour</w:t>
      </w:r>
      <w:proofErr w:type="spellEnd"/>
      <w:r>
        <w:t xml:space="preserve"> needs, ensures timely control, and supports higher yields (Islam </w:t>
      </w:r>
      <w:r w:rsidRPr="00F75ADC">
        <w:rPr>
          <w:i/>
          <w:iCs/>
        </w:rPr>
        <w:t xml:space="preserve">et al., </w:t>
      </w:r>
      <w:r>
        <w:t xml:space="preserve">2017; Bhuiyan </w:t>
      </w:r>
      <w:r w:rsidRPr="00F75ADC">
        <w:rPr>
          <w:i/>
          <w:iCs/>
        </w:rPr>
        <w:t>et al.,</w:t>
      </w:r>
      <w:r>
        <w:t xml:space="preserve"> 2018). Previous studies have shown that both pre- and post-emergence herbicides can effectively suppress weeds without harming jute (Nabiha </w:t>
      </w:r>
      <w:r w:rsidRPr="00F75ADC">
        <w:rPr>
          <w:i/>
          <w:iCs/>
        </w:rPr>
        <w:t>et al.,</w:t>
      </w:r>
      <w:r>
        <w:t xml:space="preserve"> 2014; Schnelle &amp; Cole, 2017). However, their selectivity and efficiency must be evaluated under different </w:t>
      </w:r>
      <w:proofErr w:type="spellStart"/>
      <w:r>
        <w:t>agro</w:t>
      </w:r>
      <w:proofErr w:type="spellEnd"/>
      <w:r>
        <w:t xml:space="preserve">-ecological conditions of Bangladesh (Hossain </w:t>
      </w:r>
      <w:r w:rsidRPr="00F75ADC">
        <w:rPr>
          <w:i/>
          <w:iCs/>
        </w:rPr>
        <w:t>et al.,</w:t>
      </w:r>
      <w:r>
        <w:t xml:space="preserve"> 2023b; </w:t>
      </w:r>
      <w:proofErr w:type="spellStart"/>
      <w:r>
        <w:t>Korres</w:t>
      </w:r>
      <w:proofErr w:type="spellEnd"/>
      <w:r>
        <w:t xml:space="preserve"> &amp; </w:t>
      </w:r>
      <w:proofErr w:type="spellStart"/>
      <w:r>
        <w:t>Norsworthy</w:t>
      </w:r>
      <w:proofErr w:type="spellEnd"/>
      <w:r>
        <w:t>, 2015).</w:t>
      </w:r>
    </w:p>
    <w:p w14:paraId="6C51032C" w14:textId="77777777" w:rsidR="00F75ADC" w:rsidRDefault="00F75ADC" w:rsidP="00F75ADC">
      <w:pPr>
        <w:pStyle w:val="NormalWeb"/>
        <w:spacing w:after="0"/>
        <w:jc w:val="both"/>
      </w:pPr>
    </w:p>
    <w:p w14:paraId="7AF3A18C" w14:textId="6858BC62" w:rsidR="00F75ADC" w:rsidRDefault="00F75ADC" w:rsidP="00F75ADC">
      <w:pPr>
        <w:pStyle w:val="NormalWeb"/>
        <w:spacing w:after="0"/>
        <w:jc w:val="both"/>
      </w:pPr>
      <w:r>
        <w:t xml:space="preserve">Integrated weed management (IWM) — combining cultural, mechanical, and chemical methods — has become a central strategy for sustainable weed control (Sarkar &amp; Gawande, 2016; Singh </w:t>
      </w:r>
      <w:r w:rsidRPr="00F75ADC">
        <w:rPr>
          <w:i/>
          <w:iCs/>
        </w:rPr>
        <w:t>et al.,</w:t>
      </w:r>
      <w:r>
        <w:t xml:space="preserve"> 2015</w:t>
      </w:r>
      <w:r w:rsidR="00A212F8">
        <w:t>a</w:t>
      </w:r>
      <w:r>
        <w:t xml:space="preserve">). Effective IWM for jute requires understanding weed biology, emergence ecology, herbicide performance, and crop sensitivity (Abbas </w:t>
      </w:r>
      <w:r w:rsidRPr="00F75ADC">
        <w:rPr>
          <w:i/>
          <w:iCs/>
        </w:rPr>
        <w:t>et al.,</w:t>
      </w:r>
      <w:r>
        <w:t xml:space="preserve"> 2018; </w:t>
      </w:r>
      <w:proofErr w:type="spellStart"/>
      <w:r>
        <w:t>Susha</w:t>
      </w:r>
      <w:proofErr w:type="spellEnd"/>
      <w:r>
        <w:t xml:space="preserve"> </w:t>
      </w:r>
      <w:r w:rsidRPr="00F75ADC">
        <w:rPr>
          <w:i/>
          <w:iCs/>
        </w:rPr>
        <w:t xml:space="preserve">et al., </w:t>
      </w:r>
      <w:r>
        <w:t xml:space="preserve">2018). Knowledge of weed dormancy, competition dynamics, and the critical weed-free period enhances eco-friendly and economically viable management (Swanton </w:t>
      </w:r>
      <w:r w:rsidRPr="00F75ADC">
        <w:rPr>
          <w:i/>
          <w:iCs/>
        </w:rPr>
        <w:t>et al.,</w:t>
      </w:r>
      <w:r>
        <w:t xml:space="preserve"> 2015; Zimdahl &amp; Basinger, 2024).</w:t>
      </w:r>
    </w:p>
    <w:p w14:paraId="6F896DB8" w14:textId="77777777" w:rsidR="00F75ADC" w:rsidRDefault="00F75ADC" w:rsidP="00F75ADC">
      <w:pPr>
        <w:pStyle w:val="NormalWeb"/>
        <w:spacing w:after="0"/>
        <w:jc w:val="both"/>
      </w:pPr>
    </w:p>
    <w:p w14:paraId="06432169" w14:textId="792DAD27" w:rsidR="00F75ADC" w:rsidRDefault="00F75ADC" w:rsidP="00F75ADC">
      <w:pPr>
        <w:pStyle w:val="NormalWeb"/>
        <w:spacing w:after="0"/>
        <w:jc w:val="both"/>
      </w:pPr>
      <w:r>
        <w:t xml:space="preserve">The Bangladesh Jute Research Institute (BJRI) and the Department of Agricultural Extension (DAE) routinely assess herbicides for efficacy and safety across different soils and climates (Islam &amp; Ali, 2017; Hossain </w:t>
      </w:r>
      <w:r w:rsidRPr="00F75ADC">
        <w:rPr>
          <w:i/>
          <w:iCs/>
        </w:rPr>
        <w:t>et al.,</w:t>
      </w:r>
      <w:r>
        <w:t xml:space="preserve"> 2023). Hence, identifying effective, selective, and environmentally safe herbicides is vital for improving </w:t>
      </w:r>
      <w:proofErr w:type="spellStart"/>
      <w:r>
        <w:t>fibre</w:t>
      </w:r>
      <w:proofErr w:type="spellEnd"/>
      <w:r>
        <w:t xml:space="preserve"> yield and sustainability. This study was therefore conducted to evaluate the efficacy of various herbicidal formulations for weed control, crop safety, and profitability in jute across variable </w:t>
      </w:r>
      <w:proofErr w:type="spellStart"/>
      <w:r>
        <w:t>agro</w:t>
      </w:r>
      <w:proofErr w:type="spellEnd"/>
      <w:r>
        <w:t>-ecological zones of Bangladesh.</w:t>
      </w:r>
    </w:p>
    <w:p w14:paraId="58656C78" w14:textId="77777777" w:rsidR="00F75ADC" w:rsidRDefault="00F75ADC" w:rsidP="00F75ADC">
      <w:pPr>
        <w:pStyle w:val="NormalWeb"/>
        <w:spacing w:after="0"/>
        <w:jc w:val="both"/>
      </w:pPr>
    </w:p>
    <w:p w14:paraId="4178F24D" w14:textId="77777777" w:rsidR="00F75ADC" w:rsidRDefault="00F75ADC" w:rsidP="00F75ADC">
      <w:pPr>
        <w:pStyle w:val="NormalWeb"/>
        <w:spacing w:before="0" w:beforeAutospacing="0" w:after="0" w:afterAutospacing="0"/>
        <w:jc w:val="both"/>
      </w:pPr>
      <w:r>
        <w:lastRenderedPageBreak/>
        <w:t xml:space="preserve">Furthermore, increasing reports of herbicide resistance emphasize the need for diversified and judicious use of chemicals (Mahajan &amp; Chauhan, 2013; Zimdahl &amp; Basinger, 2024). Overuse of a single herbicide group may cause resistance, alter weed flora, and harm soil health (Charles </w:t>
      </w:r>
      <w:r w:rsidRPr="00F75ADC">
        <w:rPr>
          <w:i/>
          <w:iCs/>
        </w:rPr>
        <w:t>et al.,</w:t>
      </w:r>
      <w:r>
        <w:t xml:space="preserve"> 2019; </w:t>
      </w:r>
      <w:proofErr w:type="spellStart"/>
      <w:r>
        <w:t>Korres</w:t>
      </w:r>
      <w:proofErr w:type="spellEnd"/>
      <w:r>
        <w:t xml:space="preserve"> &amp; </w:t>
      </w:r>
      <w:proofErr w:type="spellStart"/>
      <w:r>
        <w:t>Norsworthy</w:t>
      </w:r>
      <w:proofErr w:type="spellEnd"/>
      <w:r>
        <w:t xml:space="preserve">, 2015). Integrating chemical control with sound agronomic practices—such as optimum plant density, timely sowing, and balanced fertilization—can enhance crop vigor while minimizing weed pressure (Mandal &amp; Mukherjee, 2018; Abbas </w:t>
      </w:r>
      <w:r w:rsidRPr="00F75ADC">
        <w:rPr>
          <w:i/>
          <w:iCs/>
        </w:rPr>
        <w:t xml:space="preserve">et al., </w:t>
      </w:r>
      <w:r>
        <w:t>2018). Thus, the present research aims to identify efficient herbicides that can form part of a sustainable, economically viable, and farmer-friendly weed management strategy for jute cultivation in Bangladesh.</w:t>
      </w:r>
    </w:p>
    <w:p w14:paraId="5E1471D9" w14:textId="67BC64EE" w:rsidR="003A34FE" w:rsidRPr="00A3002B" w:rsidRDefault="00190B5E" w:rsidP="00F75ADC">
      <w:pPr>
        <w:pStyle w:val="NormalWeb"/>
        <w:spacing w:before="0" w:beforeAutospacing="0" w:after="0" w:afterAutospacing="0"/>
        <w:jc w:val="both"/>
        <w:rPr>
          <w:b/>
          <w:bCs/>
        </w:rPr>
      </w:pPr>
      <w:r w:rsidRPr="00A3002B">
        <w:rPr>
          <w:b/>
          <w:bCs/>
        </w:rPr>
        <w:t xml:space="preserve">2. </w:t>
      </w:r>
      <w:r w:rsidR="003A34FE" w:rsidRPr="00A3002B">
        <w:rPr>
          <w:b/>
          <w:bCs/>
        </w:rPr>
        <w:t>Materials and Methods</w:t>
      </w:r>
    </w:p>
    <w:p w14:paraId="70819D5A" w14:textId="18EADE42" w:rsidR="003A34FE" w:rsidRPr="00A3002B" w:rsidRDefault="00190B5E" w:rsidP="00F5388B">
      <w:pPr>
        <w:pStyle w:val="NormalWeb"/>
        <w:spacing w:before="0" w:beforeAutospacing="0" w:after="0" w:afterAutospacing="0"/>
        <w:jc w:val="both"/>
        <w:rPr>
          <w:b/>
          <w:bCs/>
        </w:rPr>
      </w:pPr>
      <w:r w:rsidRPr="00A3002B">
        <w:rPr>
          <w:b/>
          <w:bCs/>
        </w:rPr>
        <w:t xml:space="preserve">2.1 </w:t>
      </w:r>
      <w:r w:rsidR="003A34FE" w:rsidRPr="00A3002B">
        <w:rPr>
          <w:b/>
          <w:bCs/>
        </w:rPr>
        <w:t>Experimental Sites and Duration</w:t>
      </w:r>
    </w:p>
    <w:p w14:paraId="5D8D6EE9" w14:textId="78B5C9EA" w:rsidR="003A34FE"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The field trials were conducted during two consecutive </w:t>
      </w:r>
      <w:r w:rsidRPr="00A3002B">
        <w:rPr>
          <w:rFonts w:ascii="Times New Roman" w:hAnsi="Times New Roman"/>
          <w:i/>
          <w:iCs/>
          <w:sz w:val="24"/>
          <w:szCs w:val="24"/>
          <w:lang w:bidi="ar-SA"/>
        </w:rPr>
        <w:t>kharif</w:t>
      </w:r>
      <w:r w:rsidRPr="00A3002B">
        <w:rPr>
          <w:rFonts w:ascii="Times New Roman" w:hAnsi="Times New Roman"/>
          <w:sz w:val="24"/>
          <w:szCs w:val="24"/>
          <w:lang w:bidi="ar-SA"/>
        </w:rPr>
        <w:t xml:space="preserve"> seasons (2023 and 2024) at two contrasting </w:t>
      </w:r>
      <w:proofErr w:type="spellStart"/>
      <w:r w:rsidRPr="00A3002B">
        <w:rPr>
          <w:rFonts w:ascii="Times New Roman" w:hAnsi="Times New Roman"/>
          <w:sz w:val="24"/>
          <w:szCs w:val="24"/>
          <w:lang w:bidi="ar-SA"/>
        </w:rPr>
        <w:t>agro</w:t>
      </w:r>
      <w:proofErr w:type="spellEnd"/>
      <w:r w:rsidRPr="00A3002B">
        <w:rPr>
          <w:rFonts w:ascii="Times New Roman" w:hAnsi="Times New Roman"/>
          <w:sz w:val="24"/>
          <w:szCs w:val="24"/>
          <w:lang w:bidi="ar-SA"/>
        </w:rPr>
        <w:t>-ecological zones (AEZs) of Bangladesh to assess the consistency of herbicide performance under varied soil and climatic conditions. The first site was located at the Jute Agriculture Experimental Station (JAES), Manikganj</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representing the Young Brahmaputra and Jamuna Floodplain (AEZ-8)</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 xml:space="preserve">characterized by silty loam soil with moderate organic matter content. The second site, the Jute Research Sub-Station, </w:t>
      </w:r>
      <w:proofErr w:type="spellStart"/>
      <w:r w:rsidRPr="00A3002B">
        <w:rPr>
          <w:rFonts w:ascii="Times New Roman" w:hAnsi="Times New Roman"/>
          <w:sz w:val="24"/>
          <w:szCs w:val="24"/>
          <w:lang w:bidi="ar-SA"/>
        </w:rPr>
        <w:t>Tarabo</w:t>
      </w:r>
      <w:proofErr w:type="spellEnd"/>
      <w:r w:rsidRPr="00A3002B">
        <w:rPr>
          <w:rFonts w:ascii="Times New Roman" w:hAnsi="Times New Roman"/>
          <w:sz w:val="24"/>
          <w:szCs w:val="24"/>
          <w:lang w:bidi="ar-SA"/>
        </w:rPr>
        <w:t xml:space="preserve">, Narayanganj, lies within the Madhupur Tract (AEZ-28), where the soil is sandy clay loam and slightly acidic. Both locations experience a subtropical monsoon climate with mean monthly temperatures ranging from 25°C to 33°C and relative humidity exceeding 75% during the growing season. Rainfall distribution was generally favorable for jute growth but also highly conducive to weed germination and proliferation (Hossain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2023; Chakraborty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2020).</w:t>
      </w:r>
    </w:p>
    <w:p w14:paraId="711018C1" w14:textId="77777777" w:rsidR="00BA30AB" w:rsidRDefault="00BA30AB" w:rsidP="00F5388B">
      <w:pPr>
        <w:spacing w:after="0" w:line="240" w:lineRule="auto"/>
        <w:jc w:val="both"/>
        <w:rPr>
          <w:rFonts w:ascii="Times New Roman" w:hAnsi="Times New Roman"/>
          <w:sz w:val="24"/>
          <w:szCs w:val="24"/>
          <w:lang w:bidi="ar-SA"/>
        </w:rPr>
      </w:pPr>
    </w:p>
    <w:p w14:paraId="00AE51D4" w14:textId="4F36472F" w:rsidR="00153397" w:rsidRPr="00BA30AB" w:rsidRDefault="00BA30AB" w:rsidP="00F5388B">
      <w:pPr>
        <w:spacing w:after="0" w:line="240" w:lineRule="auto"/>
        <w:jc w:val="both"/>
        <w:rPr>
          <w:rFonts w:ascii="Times New Roman" w:hAnsi="Times New Roman"/>
          <w:b/>
          <w:sz w:val="24"/>
          <w:szCs w:val="24"/>
          <w:lang w:bidi="ar-SA"/>
        </w:rPr>
      </w:pPr>
      <w:r w:rsidRPr="00BA30AB">
        <w:rPr>
          <w:rFonts w:ascii="Times New Roman" w:hAnsi="Times New Roman"/>
          <w:b/>
          <w:sz w:val="24"/>
          <w:szCs w:val="24"/>
          <w:lang w:bidi="ar-SA"/>
        </w:rPr>
        <w:t xml:space="preserve">Table 1: </w:t>
      </w:r>
      <w:r w:rsidR="000F0191" w:rsidRPr="00BA30AB">
        <w:rPr>
          <w:rFonts w:ascii="Times New Roman" w:hAnsi="Times New Roman"/>
          <w:b/>
          <w:sz w:val="24"/>
          <w:szCs w:val="24"/>
          <w:lang w:bidi="ar-SA"/>
        </w:rPr>
        <w:t>Soil Properties of two locations</w:t>
      </w:r>
    </w:p>
    <w:tbl>
      <w:tblPr>
        <w:tblStyle w:val="TableGrid"/>
        <w:tblW w:w="0" w:type="auto"/>
        <w:tblLook w:val="04A0" w:firstRow="1" w:lastRow="0" w:firstColumn="1" w:lastColumn="0" w:noHBand="0" w:noVBand="1"/>
      </w:tblPr>
      <w:tblGrid>
        <w:gridCol w:w="3055"/>
        <w:gridCol w:w="3150"/>
        <w:gridCol w:w="2700"/>
      </w:tblGrid>
      <w:tr w:rsidR="000F0191" w:rsidRPr="003854A2" w14:paraId="19074882" w14:textId="77777777" w:rsidTr="00160A09">
        <w:trPr>
          <w:trHeight w:val="215"/>
        </w:trPr>
        <w:tc>
          <w:tcPr>
            <w:tcW w:w="3055" w:type="dxa"/>
            <w:vAlign w:val="center"/>
          </w:tcPr>
          <w:p w14:paraId="282D59D0" w14:textId="77777777" w:rsidR="000F0191" w:rsidRPr="003854A2" w:rsidRDefault="000F0191" w:rsidP="00D63C51">
            <w:pPr>
              <w:rPr>
                <w:rFonts w:ascii="Times New Roman" w:hAnsi="Times New Roman"/>
              </w:rPr>
            </w:pPr>
            <w:r w:rsidRPr="003854A2">
              <w:rPr>
                <w:rFonts w:ascii="Times New Roman" w:hAnsi="Times New Roman"/>
                <w:b/>
                <w:bCs/>
              </w:rPr>
              <w:t>Soil Property</w:t>
            </w:r>
          </w:p>
        </w:tc>
        <w:tc>
          <w:tcPr>
            <w:tcW w:w="3150" w:type="dxa"/>
            <w:vAlign w:val="center"/>
          </w:tcPr>
          <w:p w14:paraId="6EDB40A0" w14:textId="77777777" w:rsidR="000F0191" w:rsidRPr="003854A2" w:rsidRDefault="000F0191" w:rsidP="00D63C51">
            <w:pPr>
              <w:rPr>
                <w:rFonts w:ascii="Times New Roman" w:hAnsi="Times New Roman"/>
              </w:rPr>
            </w:pPr>
            <w:r w:rsidRPr="003854A2">
              <w:rPr>
                <w:rFonts w:ascii="Times New Roman" w:hAnsi="Times New Roman"/>
                <w:b/>
                <w:bCs/>
              </w:rPr>
              <w:t>JAES, Manikganj (AEZ-8)</w:t>
            </w:r>
          </w:p>
        </w:tc>
        <w:tc>
          <w:tcPr>
            <w:tcW w:w="2700" w:type="dxa"/>
            <w:vAlign w:val="center"/>
          </w:tcPr>
          <w:p w14:paraId="6C4B1F93" w14:textId="77777777" w:rsidR="000F0191" w:rsidRPr="003854A2" w:rsidRDefault="000F0191" w:rsidP="00D63C51">
            <w:pPr>
              <w:rPr>
                <w:rFonts w:ascii="Times New Roman" w:hAnsi="Times New Roman"/>
              </w:rPr>
            </w:pPr>
            <w:r w:rsidRPr="003854A2">
              <w:rPr>
                <w:rFonts w:ascii="Times New Roman" w:hAnsi="Times New Roman"/>
                <w:b/>
                <w:bCs/>
              </w:rPr>
              <w:t>J</w:t>
            </w:r>
            <w:r>
              <w:rPr>
                <w:rFonts w:ascii="Times New Roman" w:hAnsi="Times New Roman"/>
                <w:b/>
                <w:bCs/>
              </w:rPr>
              <w:t xml:space="preserve">RSS, </w:t>
            </w:r>
            <w:proofErr w:type="spellStart"/>
            <w:r>
              <w:rPr>
                <w:rFonts w:ascii="Times New Roman" w:hAnsi="Times New Roman"/>
                <w:b/>
                <w:bCs/>
              </w:rPr>
              <w:t>Tarabo</w:t>
            </w:r>
            <w:proofErr w:type="spellEnd"/>
            <w:r w:rsidRPr="003854A2">
              <w:rPr>
                <w:rFonts w:ascii="Times New Roman" w:hAnsi="Times New Roman"/>
                <w:b/>
                <w:bCs/>
              </w:rPr>
              <w:t xml:space="preserve"> (AEZ-28)</w:t>
            </w:r>
          </w:p>
        </w:tc>
      </w:tr>
      <w:tr w:rsidR="000F0191" w:rsidRPr="003854A2" w14:paraId="70E1562F" w14:textId="77777777" w:rsidTr="000F0191">
        <w:trPr>
          <w:trHeight w:val="341"/>
        </w:trPr>
        <w:tc>
          <w:tcPr>
            <w:tcW w:w="3055" w:type="dxa"/>
            <w:vAlign w:val="center"/>
          </w:tcPr>
          <w:p w14:paraId="477571AD" w14:textId="77777777" w:rsidR="000F0191" w:rsidRPr="003854A2" w:rsidRDefault="000F0191" w:rsidP="00D63C51">
            <w:pPr>
              <w:rPr>
                <w:rFonts w:ascii="Times New Roman" w:hAnsi="Times New Roman"/>
              </w:rPr>
            </w:pPr>
            <w:r w:rsidRPr="003854A2">
              <w:rPr>
                <w:rFonts w:ascii="Times New Roman" w:hAnsi="Times New Roman"/>
              </w:rPr>
              <w:t>Soil texture</w:t>
            </w:r>
          </w:p>
        </w:tc>
        <w:tc>
          <w:tcPr>
            <w:tcW w:w="3150" w:type="dxa"/>
          </w:tcPr>
          <w:p w14:paraId="7F96DA80" w14:textId="77777777" w:rsidR="000F0191" w:rsidRPr="003854A2" w:rsidRDefault="000F0191" w:rsidP="00D63C51">
            <w:pPr>
              <w:jc w:val="center"/>
              <w:rPr>
                <w:rFonts w:ascii="Times New Roman" w:hAnsi="Times New Roman"/>
              </w:rPr>
            </w:pPr>
            <w:r w:rsidRPr="003854A2">
              <w:rPr>
                <w:rFonts w:ascii="Times New Roman" w:hAnsi="Times New Roman"/>
              </w:rPr>
              <w:t>Silty loam</w:t>
            </w:r>
          </w:p>
        </w:tc>
        <w:tc>
          <w:tcPr>
            <w:tcW w:w="2700" w:type="dxa"/>
          </w:tcPr>
          <w:p w14:paraId="59496CD7" w14:textId="77777777" w:rsidR="000F0191" w:rsidRPr="003854A2" w:rsidRDefault="000F0191" w:rsidP="00D63C51">
            <w:pPr>
              <w:jc w:val="center"/>
              <w:rPr>
                <w:rFonts w:ascii="Times New Roman" w:hAnsi="Times New Roman"/>
              </w:rPr>
            </w:pPr>
            <w:r w:rsidRPr="003854A2">
              <w:rPr>
                <w:rFonts w:ascii="Times New Roman" w:hAnsi="Times New Roman"/>
              </w:rPr>
              <w:t>Sandy clay loam</w:t>
            </w:r>
          </w:p>
        </w:tc>
      </w:tr>
      <w:tr w:rsidR="000F0191" w:rsidRPr="003854A2" w14:paraId="2EFDD9DC" w14:textId="77777777" w:rsidTr="000F0191">
        <w:trPr>
          <w:trHeight w:val="305"/>
        </w:trPr>
        <w:tc>
          <w:tcPr>
            <w:tcW w:w="3055" w:type="dxa"/>
            <w:vAlign w:val="center"/>
          </w:tcPr>
          <w:p w14:paraId="0FB4405D" w14:textId="77777777" w:rsidR="000F0191" w:rsidRPr="003854A2" w:rsidRDefault="000F0191" w:rsidP="00D63C51">
            <w:pPr>
              <w:rPr>
                <w:rFonts w:ascii="Times New Roman" w:hAnsi="Times New Roman"/>
              </w:rPr>
            </w:pPr>
            <w:r w:rsidRPr="003854A2">
              <w:rPr>
                <w:rFonts w:ascii="Times New Roman" w:hAnsi="Times New Roman"/>
              </w:rPr>
              <w:t>pH (1:2.5 soil:</w:t>
            </w:r>
            <w:r>
              <w:rPr>
                <w:rFonts w:ascii="Times New Roman" w:hAnsi="Times New Roman"/>
              </w:rPr>
              <w:t xml:space="preserve"> </w:t>
            </w:r>
            <w:r w:rsidRPr="003854A2">
              <w:rPr>
                <w:rFonts w:ascii="Times New Roman" w:hAnsi="Times New Roman"/>
              </w:rPr>
              <w:t>water)</w:t>
            </w:r>
          </w:p>
        </w:tc>
        <w:tc>
          <w:tcPr>
            <w:tcW w:w="3150" w:type="dxa"/>
          </w:tcPr>
          <w:p w14:paraId="1115E9DC" w14:textId="77777777" w:rsidR="000F0191" w:rsidRPr="003854A2" w:rsidRDefault="000F0191" w:rsidP="00D63C51">
            <w:pPr>
              <w:jc w:val="center"/>
              <w:rPr>
                <w:rFonts w:ascii="Times New Roman" w:hAnsi="Times New Roman"/>
              </w:rPr>
            </w:pPr>
            <w:r w:rsidRPr="003854A2">
              <w:rPr>
                <w:rFonts w:ascii="Times New Roman" w:hAnsi="Times New Roman"/>
              </w:rPr>
              <w:t>6.8</w:t>
            </w:r>
          </w:p>
        </w:tc>
        <w:tc>
          <w:tcPr>
            <w:tcW w:w="2700" w:type="dxa"/>
          </w:tcPr>
          <w:p w14:paraId="10B947A2" w14:textId="77777777" w:rsidR="000F0191" w:rsidRPr="003854A2" w:rsidRDefault="000F0191" w:rsidP="00D63C51">
            <w:pPr>
              <w:jc w:val="center"/>
              <w:rPr>
                <w:rFonts w:ascii="Times New Roman" w:hAnsi="Times New Roman"/>
              </w:rPr>
            </w:pPr>
            <w:r w:rsidRPr="003854A2">
              <w:rPr>
                <w:rFonts w:ascii="Times New Roman" w:hAnsi="Times New Roman"/>
              </w:rPr>
              <w:t>6.2</w:t>
            </w:r>
          </w:p>
        </w:tc>
      </w:tr>
      <w:tr w:rsidR="000F0191" w:rsidRPr="003854A2" w14:paraId="648DB787" w14:textId="77777777" w:rsidTr="00D63C51">
        <w:tc>
          <w:tcPr>
            <w:tcW w:w="3055" w:type="dxa"/>
            <w:vAlign w:val="center"/>
          </w:tcPr>
          <w:p w14:paraId="5B9B95C0" w14:textId="77777777" w:rsidR="000F0191" w:rsidRPr="003854A2" w:rsidRDefault="000F0191" w:rsidP="00D63C51">
            <w:pPr>
              <w:rPr>
                <w:rFonts w:ascii="Times New Roman" w:hAnsi="Times New Roman"/>
              </w:rPr>
            </w:pPr>
            <w:r w:rsidRPr="003854A2">
              <w:rPr>
                <w:rFonts w:ascii="Times New Roman" w:hAnsi="Times New Roman"/>
              </w:rPr>
              <w:t>Organic matter (%)</w:t>
            </w:r>
          </w:p>
        </w:tc>
        <w:tc>
          <w:tcPr>
            <w:tcW w:w="3150" w:type="dxa"/>
          </w:tcPr>
          <w:p w14:paraId="7ACCD5DE" w14:textId="77777777" w:rsidR="000F0191" w:rsidRPr="003854A2" w:rsidRDefault="000F0191" w:rsidP="00D63C51">
            <w:pPr>
              <w:jc w:val="center"/>
              <w:rPr>
                <w:rFonts w:ascii="Times New Roman" w:hAnsi="Times New Roman"/>
              </w:rPr>
            </w:pPr>
            <w:r w:rsidRPr="003854A2">
              <w:rPr>
                <w:rFonts w:ascii="Times New Roman" w:hAnsi="Times New Roman"/>
              </w:rPr>
              <w:t>1.45</w:t>
            </w:r>
          </w:p>
        </w:tc>
        <w:tc>
          <w:tcPr>
            <w:tcW w:w="2700" w:type="dxa"/>
          </w:tcPr>
          <w:p w14:paraId="1F358DCD" w14:textId="77777777" w:rsidR="000F0191" w:rsidRPr="003854A2" w:rsidRDefault="000F0191" w:rsidP="00D63C51">
            <w:pPr>
              <w:jc w:val="center"/>
              <w:rPr>
                <w:rFonts w:ascii="Times New Roman" w:hAnsi="Times New Roman"/>
              </w:rPr>
            </w:pPr>
            <w:r w:rsidRPr="003854A2">
              <w:rPr>
                <w:rFonts w:ascii="Times New Roman" w:hAnsi="Times New Roman"/>
              </w:rPr>
              <w:t>1.20</w:t>
            </w:r>
          </w:p>
        </w:tc>
      </w:tr>
      <w:tr w:rsidR="000F0191" w:rsidRPr="003854A2" w14:paraId="0106619A" w14:textId="77777777" w:rsidTr="00D63C51">
        <w:tc>
          <w:tcPr>
            <w:tcW w:w="3055" w:type="dxa"/>
            <w:vAlign w:val="center"/>
          </w:tcPr>
          <w:p w14:paraId="2BC6AFE1" w14:textId="77777777" w:rsidR="000F0191" w:rsidRPr="003854A2" w:rsidRDefault="000F0191" w:rsidP="00D63C51">
            <w:pPr>
              <w:rPr>
                <w:rFonts w:ascii="Times New Roman" w:hAnsi="Times New Roman"/>
              </w:rPr>
            </w:pPr>
            <w:r w:rsidRPr="003854A2">
              <w:rPr>
                <w:rFonts w:ascii="Times New Roman" w:hAnsi="Times New Roman"/>
              </w:rPr>
              <w:t>Total nitrogen (%)</w:t>
            </w:r>
          </w:p>
        </w:tc>
        <w:tc>
          <w:tcPr>
            <w:tcW w:w="3150" w:type="dxa"/>
          </w:tcPr>
          <w:p w14:paraId="00560B8E" w14:textId="77777777" w:rsidR="000F0191" w:rsidRPr="003854A2" w:rsidRDefault="000F0191" w:rsidP="00D63C51">
            <w:pPr>
              <w:jc w:val="center"/>
              <w:rPr>
                <w:rFonts w:ascii="Times New Roman" w:hAnsi="Times New Roman"/>
              </w:rPr>
            </w:pPr>
            <w:r w:rsidRPr="003854A2">
              <w:rPr>
                <w:rFonts w:ascii="Times New Roman" w:hAnsi="Times New Roman"/>
              </w:rPr>
              <w:t>0.095</w:t>
            </w:r>
          </w:p>
        </w:tc>
        <w:tc>
          <w:tcPr>
            <w:tcW w:w="2700" w:type="dxa"/>
          </w:tcPr>
          <w:p w14:paraId="0005FEA3" w14:textId="77777777" w:rsidR="000F0191" w:rsidRPr="003854A2" w:rsidRDefault="000F0191" w:rsidP="00D63C51">
            <w:pPr>
              <w:jc w:val="center"/>
              <w:rPr>
                <w:rFonts w:ascii="Times New Roman" w:hAnsi="Times New Roman"/>
              </w:rPr>
            </w:pPr>
            <w:r w:rsidRPr="003854A2">
              <w:rPr>
                <w:rFonts w:ascii="Times New Roman" w:hAnsi="Times New Roman"/>
              </w:rPr>
              <w:t>0.082</w:t>
            </w:r>
          </w:p>
        </w:tc>
      </w:tr>
      <w:tr w:rsidR="000F0191" w:rsidRPr="003854A2" w14:paraId="5619F2F9" w14:textId="77777777" w:rsidTr="00D63C51">
        <w:tc>
          <w:tcPr>
            <w:tcW w:w="3055" w:type="dxa"/>
            <w:vAlign w:val="center"/>
          </w:tcPr>
          <w:p w14:paraId="6CDAFD23" w14:textId="77777777" w:rsidR="000F0191" w:rsidRPr="003854A2" w:rsidRDefault="000F0191" w:rsidP="00D63C51">
            <w:pPr>
              <w:rPr>
                <w:rFonts w:ascii="Times New Roman" w:hAnsi="Times New Roman"/>
              </w:rPr>
            </w:pPr>
            <w:r w:rsidRPr="003854A2">
              <w:rPr>
                <w:rFonts w:ascii="Times New Roman" w:hAnsi="Times New Roman"/>
              </w:rPr>
              <w:t>Available phosphorus (mg kg⁻¹)</w:t>
            </w:r>
          </w:p>
        </w:tc>
        <w:tc>
          <w:tcPr>
            <w:tcW w:w="3150" w:type="dxa"/>
          </w:tcPr>
          <w:p w14:paraId="282E2802" w14:textId="77777777" w:rsidR="000F0191" w:rsidRPr="003854A2" w:rsidRDefault="000F0191" w:rsidP="00D63C51">
            <w:pPr>
              <w:jc w:val="center"/>
              <w:rPr>
                <w:rFonts w:ascii="Times New Roman" w:hAnsi="Times New Roman"/>
              </w:rPr>
            </w:pPr>
            <w:r w:rsidRPr="003854A2">
              <w:rPr>
                <w:rFonts w:ascii="Times New Roman" w:hAnsi="Times New Roman"/>
              </w:rPr>
              <w:t>14.8</w:t>
            </w:r>
          </w:p>
        </w:tc>
        <w:tc>
          <w:tcPr>
            <w:tcW w:w="2700" w:type="dxa"/>
          </w:tcPr>
          <w:p w14:paraId="0DC19265" w14:textId="77777777" w:rsidR="000F0191" w:rsidRPr="003854A2" w:rsidRDefault="000F0191" w:rsidP="00D63C51">
            <w:pPr>
              <w:jc w:val="center"/>
              <w:rPr>
                <w:rFonts w:ascii="Times New Roman" w:hAnsi="Times New Roman"/>
              </w:rPr>
            </w:pPr>
            <w:r w:rsidRPr="003854A2">
              <w:rPr>
                <w:rFonts w:ascii="Times New Roman" w:hAnsi="Times New Roman"/>
              </w:rPr>
              <w:t>12.6</w:t>
            </w:r>
          </w:p>
        </w:tc>
      </w:tr>
      <w:tr w:rsidR="000F0191" w:rsidRPr="003854A2" w14:paraId="7738C86B" w14:textId="77777777" w:rsidTr="00D63C51">
        <w:tc>
          <w:tcPr>
            <w:tcW w:w="3055" w:type="dxa"/>
            <w:vAlign w:val="center"/>
          </w:tcPr>
          <w:p w14:paraId="3C8B22D5" w14:textId="77777777" w:rsidR="000F0191" w:rsidRPr="003854A2" w:rsidRDefault="000F0191" w:rsidP="00D63C51">
            <w:pPr>
              <w:rPr>
                <w:rFonts w:ascii="Times New Roman" w:hAnsi="Times New Roman"/>
              </w:rPr>
            </w:pPr>
            <w:r w:rsidRPr="003854A2">
              <w:rPr>
                <w:rFonts w:ascii="Times New Roman" w:hAnsi="Times New Roman"/>
              </w:rPr>
              <w:t>Exchangeable potassium (</w:t>
            </w:r>
            <w:proofErr w:type="spellStart"/>
            <w:r w:rsidRPr="003854A2">
              <w:rPr>
                <w:rFonts w:ascii="Times New Roman" w:hAnsi="Times New Roman"/>
              </w:rPr>
              <w:t>meq</w:t>
            </w:r>
            <w:proofErr w:type="spellEnd"/>
            <w:r w:rsidRPr="003854A2">
              <w:rPr>
                <w:rFonts w:ascii="Times New Roman" w:hAnsi="Times New Roman"/>
              </w:rPr>
              <w:t xml:space="preserve"> 100 g⁻¹ soil)</w:t>
            </w:r>
          </w:p>
        </w:tc>
        <w:tc>
          <w:tcPr>
            <w:tcW w:w="3150" w:type="dxa"/>
          </w:tcPr>
          <w:p w14:paraId="40C42031" w14:textId="77777777" w:rsidR="000F0191" w:rsidRPr="003854A2" w:rsidRDefault="000F0191" w:rsidP="00D63C51">
            <w:pPr>
              <w:jc w:val="center"/>
              <w:rPr>
                <w:rFonts w:ascii="Times New Roman" w:hAnsi="Times New Roman"/>
              </w:rPr>
            </w:pPr>
            <w:r w:rsidRPr="003854A2">
              <w:rPr>
                <w:rFonts w:ascii="Times New Roman" w:hAnsi="Times New Roman"/>
              </w:rPr>
              <w:t>0.21</w:t>
            </w:r>
          </w:p>
        </w:tc>
        <w:tc>
          <w:tcPr>
            <w:tcW w:w="2700" w:type="dxa"/>
          </w:tcPr>
          <w:p w14:paraId="3F13D756" w14:textId="77777777" w:rsidR="000F0191" w:rsidRPr="003854A2" w:rsidRDefault="000F0191" w:rsidP="00D63C51">
            <w:pPr>
              <w:jc w:val="center"/>
              <w:rPr>
                <w:rFonts w:ascii="Times New Roman" w:hAnsi="Times New Roman"/>
              </w:rPr>
            </w:pPr>
            <w:r w:rsidRPr="003854A2">
              <w:rPr>
                <w:rFonts w:ascii="Times New Roman" w:hAnsi="Times New Roman"/>
              </w:rPr>
              <w:t>0.19</w:t>
            </w:r>
          </w:p>
        </w:tc>
      </w:tr>
      <w:tr w:rsidR="000F0191" w:rsidRPr="003854A2" w14:paraId="5EC3C09D" w14:textId="77777777" w:rsidTr="00D63C51">
        <w:tc>
          <w:tcPr>
            <w:tcW w:w="3055" w:type="dxa"/>
            <w:vAlign w:val="center"/>
          </w:tcPr>
          <w:p w14:paraId="586DAA54" w14:textId="77777777" w:rsidR="000F0191" w:rsidRPr="003854A2" w:rsidRDefault="000F0191" w:rsidP="00D63C51">
            <w:pPr>
              <w:rPr>
                <w:rFonts w:ascii="Times New Roman" w:hAnsi="Times New Roman"/>
              </w:rPr>
            </w:pPr>
            <w:r w:rsidRPr="003854A2">
              <w:rPr>
                <w:rFonts w:ascii="Times New Roman" w:hAnsi="Times New Roman"/>
              </w:rPr>
              <w:t>Cation exchange capacity (</w:t>
            </w:r>
            <w:proofErr w:type="spellStart"/>
            <w:r w:rsidRPr="003854A2">
              <w:rPr>
                <w:rFonts w:ascii="Times New Roman" w:hAnsi="Times New Roman"/>
              </w:rPr>
              <w:t>cmol</w:t>
            </w:r>
            <w:proofErr w:type="spellEnd"/>
            <w:r w:rsidRPr="003854A2">
              <w:rPr>
                <w:rFonts w:ascii="Times New Roman" w:hAnsi="Times New Roman"/>
              </w:rPr>
              <w:t xml:space="preserve"> kg⁻¹)</w:t>
            </w:r>
          </w:p>
        </w:tc>
        <w:tc>
          <w:tcPr>
            <w:tcW w:w="3150" w:type="dxa"/>
          </w:tcPr>
          <w:p w14:paraId="022C434B" w14:textId="77777777" w:rsidR="000F0191" w:rsidRPr="003854A2" w:rsidRDefault="000F0191" w:rsidP="00D63C51">
            <w:pPr>
              <w:jc w:val="center"/>
              <w:rPr>
                <w:rFonts w:ascii="Times New Roman" w:hAnsi="Times New Roman"/>
              </w:rPr>
            </w:pPr>
            <w:r w:rsidRPr="003854A2">
              <w:rPr>
                <w:rFonts w:ascii="Times New Roman" w:hAnsi="Times New Roman"/>
              </w:rPr>
              <w:t>12.5</w:t>
            </w:r>
          </w:p>
        </w:tc>
        <w:tc>
          <w:tcPr>
            <w:tcW w:w="2700" w:type="dxa"/>
          </w:tcPr>
          <w:p w14:paraId="771E4180" w14:textId="77777777" w:rsidR="000F0191" w:rsidRPr="003854A2" w:rsidRDefault="000F0191" w:rsidP="00D63C51">
            <w:pPr>
              <w:jc w:val="center"/>
              <w:rPr>
                <w:rFonts w:ascii="Times New Roman" w:hAnsi="Times New Roman"/>
              </w:rPr>
            </w:pPr>
            <w:r w:rsidRPr="003854A2">
              <w:rPr>
                <w:rFonts w:ascii="Times New Roman" w:hAnsi="Times New Roman"/>
              </w:rPr>
              <w:t>11.2</w:t>
            </w:r>
          </w:p>
        </w:tc>
      </w:tr>
      <w:tr w:rsidR="000F0191" w:rsidRPr="003854A2" w14:paraId="152AB44B" w14:textId="77777777" w:rsidTr="000F0191">
        <w:trPr>
          <w:trHeight w:val="188"/>
        </w:trPr>
        <w:tc>
          <w:tcPr>
            <w:tcW w:w="3055" w:type="dxa"/>
            <w:vAlign w:val="center"/>
          </w:tcPr>
          <w:p w14:paraId="16C13435" w14:textId="77777777" w:rsidR="000F0191" w:rsidRPr="003854A2" w:rsidRDefault="000F0191" w:rsidP="00D63C51">
            <w:pPr>
              <w:rPr>
                <w:rFonts w:ascii="Times New Roman" w:hAnsi="Times New Roman"/>
              </w:rPr>
            </w:pPr>
            <w:r w:rsidRPr="003854A2">
              <w:rPr>
                <w:rFonts w:ascii="Times New Roman" w:hAnsi="Times New Roman"/>
              </w:rPr>
              <w:t>Bulk density (g cm⁻³)</w:t>
            </w:r>
          </w:p>
        </w:tc>
        <w:tc>
          <w:tcPr>
            <w:tcW w:w="3150" w:type="dxa"/>
          </w:tcPr>
          <w:p w14:paraId="0CFCA1AF" w14:textId="77777777" w:rsidR="000F0191" w:rsidRPr="003854A2" w:rsidRDefault="000F0191" w:rsidP="00D63C51">
            <w:pPr>
              <w:jc w:val="center"/>
              <w:rPr>
                <w:rFonts w:ascii="Times New Roman" w:hAnsi="Times New Roman"/>
              </w:rPr>
            </w:pPr>
            <w:r w:rsidRPr="003854A2">
              <w:rPr>
                <w:rFonts w:ascii="Times New Roman" w:hAnsi="Times New Roman"/>
              </w:rPr>
              <w:t>1.38</w:t>
            </w:r>
          </w:p>
        </w:tc>
        <w:tc>
          <w:tcPr>
            <w:tcW w:w="2700" w:type="dxa"/>
          </w:tcPr>
          <w:p w14:paraId="52D3748A" w14:textId="77777777" w:rsidR="000F0191" w:rsidRPr="003854A2" w:rsidRDefault="000F0191" w:rsidP="00D63C51">
            <w:pPr>
              <w:jc w:val="center"/>
              <w:rPr>
                <w:rFonts w:ascii="Times New Roman" w:hAnsi="Times New Roman"/>
              </w:rPr>
            </w:pPr>
            <w:r w:rsidRPr="003854A2">
              <w:rPr>
                <w:rFonts w:ascii="Times New Roman" w:hAnsi="Times New Roman"/>
              </w:rPr>
              <w:t>1.42</w:t>
            </w:r>
          </w:p>
        </w:tc>
      </w:tr>
      <w:tr w:rsidR="000F0191" w:rsidRPr="003854A2" w14:paraId="46B94604" w14:textId="77777777" w:rsidTr="000F0191">
        <w:trPr>
          <w:trHeight w:val="404"/>
        </w:trPr>
        <w:tc>
          <w:tcPr>
            <w:tcW w:w="3055" w:type="dxa"/>
            <w:vAlign w:val="center"/>
          </w:tcPr>
          <w:p w14:paraId="225352C7" w14:textId="77777777" w:rsidR="000F0191" w:rsidRPr="003854A2" w:rsidRDefault="000F0191" w:rsidP="00D63C51">
            <w:pPr>
              <w:rPr>
                <w:rFonts w:ascii="Times New Roman" w:hAnsi="Times New Roman"/>
              </w:rPr>
            </w:pPr>
            <w:r w:rsidRPr="003854A2">
              <w:rPr>
                <w:rFonts w:ascii="Times New Roman" w:hAnsi="Times New Roman"/>
              </w:rPr>
              <w:t>Microbial biomass carbon (mg kg⁻¹)</w:t>
            </w:r>
          </w:p>
        </w:tc>
        <w:tc>
          <w:tcPr>
            <w:tcW w:w="3150" w:type="dxa"/>
          </w:tcPr>
          <w:p w14:paraId="719B523D" w14:textId="77777777" w:rsidR="000F0191" w:rsidRPr="003854A2" w:rsidRDefault="000F0191" w:rsidP="00D63C51">
            <w:pPr>
              <w:jc w:val="center"/>
              <w:rPr>
                <w:rFonts w:ascii="Times New Roman" w:hAnsi="Times New Roman"/>
              </w:rPr>
            </w:pPr>
            <w:r w:rsidRPr="003854A2">
              <w:rPr>
                <w:rFonts w:ascii="Times New Roman" w:hAnsi="Times New Roman"/>
              </w:rPr>
              <w:t>298</w:t>
            </w:r>
          </w:p>
        </w:tc>
        <w:tc>
          <w:tcPr>
            <w:tcW w:w="2700" w:type="dxa"/>
          </w:tcPr>
          <w:p w14:paraId="6EAEE5F8" w14:textId="77777777" w:rsidR="000F0191" w:rsidRPr="003854A2" w:rsidRDefault="000F0191" w:rsidP="00D63C51">
            <w:pPr>
              <w:jc w:val="center"/>
              <w:rPr>
                <w:rFonts w:ascii="Times New Roman" w:hAnsi="Times New Roman"/>
              </w:rPr>
            </w:pPr>
            <w:r w:rsidRPr="003854A2">
              <w:rPr>
                <w:rFonts w:ascii="Times New Roman" w:hAnsi="Times New Roman"/>
              </w:rPr>
              <w:t>260</w:t>
            </w:r>
          </w:p>
        </w:tc>
      </w:tr>
    </w:tbl>
    <w:p w14:paraId="35C2D27D" w14:textId="77777777" w:rsidR="000F0191" w:rsidRPr="000F0191" w:rsidRDefault="000F0191" w:rsidP="00F5388B">
      <w:pPr>
        <w:spacing w:after="0" w:line="240" w:lineRule="auto"/>
        <w:jc w:val="both"/>
        <w:rPr>
          <w:rFonts w:ascii="Times New Roman" w:hAnsi="Times New Roman"/>
          <w:sz w:val="24"/>
          <w:szCs w:val="24"/>
          <w:lang w:bidi="ar-SA"/>
        </w:rPr>
      </w:pPr>
    </w:p>
    <w:p w14:paraId="15E4C919" w14:textId="2F1E665C"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The experiments were aimed at evaluating the comparative efficacy of eighteen</w:t>
      </w:r>
      <w:r w:rsidR="00190B5E" w:rsidRPr="00A3002B">
        <w:rPr>
          <w:rFonts w:ascii="Times New Roman" w:hAnsi="Times New Roman"/>
          <w:sz w:val="24"/>
          <w:szCs w:val="24"/>
          <w:lang w:bidi="ar-SA"/>
        </w:rPr>
        <w:t xml:space="preserve"> (18)</w:t>
      </w:r>
      <w:r w:rsidRPr="00A3002B">
        <w:rPr>
          <w:rFonts w:ascii="Times New Roman" w:hAnsi="Times New Roman"/>
          <w:sz w:val="24"/>
          <w:szCs w:val="24"/>
          <w:lang w:bidi="ar-SA"/>
        </w:rPr>
        <w:t xml:space="preserve"> commercial herbicide samples</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seventeen chemical treatments and one untreated control</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 xml:space="preserve">in suppressing major weed species in </w:t>
      </w:r>
      <w:proofErr w:type="spellStart"/>
      <w:r w:rsidR="00190B5E" w:rsidRPr="00A3002B">
        <w:rPr>
          <w:rFonts w:ascii="Times New Roman" w:hAnsi="Times New Roman"/>
          <w:sz w:val="24"/>
          <w:szCs w:val="24"/>
          <w:lang w:bidi="ar-SA"/>
        </w:rPr>
        <w:t>T</w:t>
      </w:r>
      <w:r w:rsidRPr="00A3002B">
        <w:rPr>
          <w:rFonts w:ascii="Times New Roman" w:hAnsi="Times New Roman"/>
          <w:sz w:val="24"/>
          <w:szCs w:val="24"/>
          <w:lang w:bidi="ar-SA"/>
        </w:rPr>
        <w:t>ossa</w:t>
      </w:r>
      <w:proofErr w:type="spellEnd"/>
      <w:r w:rsidRPr="00A3002B">
        <w:rPr>
          <w:rFonts w:ascii="Times New Roman" w:hAnsi="Times New Roman"/>
          <w:sz w:val="24"/>
          <w:szCs w:val="24"/>
          <w:lang w:bidi="ar-SA"/>
        </w:rPr>
        <w:t xml:space="preserve"> jute (</w:t>
      </w:r>
      <w:r w:rsidRPr="00A3002B">
        <w:rPr>
          <w:rFonts w:ascii="Times New Roman" w:hAnsi="Times New Roman"/>
          <w:i/>
          <w:iCs/>
          <w:sz w:val="24"/>
          <w:szCs w:val="24"/>
          <w:lang w:bidi="ar-SA"/>
        </w:rPr>
        <w:t xml:space="preserve">Corchorus </w:t>
      </w:r>
      <w:proofErr w:type="spellStart"/>
      <w:r w:rsidRPr="00A3002B">
        <w:rPr>
          <w:rFonts w:ascii="Times New Roman" w:hAnsi="Times New Roman"/>
          <w:i/>
          <w:iCs/>
          <w:sz w:val="24"/>
          <w:szCs w:val="24"/>
          <w:lang w:bidi="ar-SA"/>
        </w:rPr>
        <w:t>olitorius</w:t>
      </w:r>
      <w:proofErr w:type="spellEnd"/>
      <w:r w:rsidRPr="00A3002B">
        <w:rPr>
          <w:rFonts w:ascii="Times New Roman" w:hAnsi="Times New Roman"/>
          <w:sz w:val="24"/>
          <w:szCs w:val="24"/>
          <w:lang w:bidi="ar-SA"/>
        </w:rPr>
        <w:t xml:space="preserve"> L.) fields. The study also </w:t>
      </w:r>
      <w:r w:rsidRPr="00A3002B">
        <w:rPr>
          <w:rFonts w:ascii="Times New Roman" w:hAnsi="Times New Roman"/>
          <w:sz w:val="24"/>
          <w:szCs w:val="24"/>
          <w:lang w:bidi="ar-SA"/>
        </w:rPr>
        <w:lastRenderedPageBreak/>
        <w:t>sought to identify potential herbicide candidates suitable for recommendation in the national jute production program based on effectiveness, crop safety, and cost-efficiency.</w:t>
      </w:r>
    </w:p>
    <w:p w14:paraId="3FFF69CB" w14:textId="6E55FF0D" w:rsidR="003A34FE" w:rsidRPr="00A3002B" w:rsidRDefault="004701B2" w:rsidP="00F5388B">
      <w:pPr>
        <w:spacing w:after="0" w:line="240" w:lineRule="auto"/>
        <w:rPr>
          <w:rFonts w:ascii="Times New Roman" w:hAnsi="Times New Roman"/>
          <w:b/>
          <w:bCs/>
          <w:sz w:val="24"/>
          <w:szCs w:val="24"/>
          <w:lang w:bidi="ar-SA"/>
        </w:rPr>
      </w:pPr>
      <w:r w:rsidRPr="00A3002B">
        <w:rPr>
          <w:rFonts w:ascii="Times New Roman" w:hAnsi="Times New Roman"/>
          <w:b/>
          <w:bCs/>
          <w:sz w:val="24"/>
          <w:szCs w:val="24"/>
          <w:lang w:bidi="ar-SA"/>
        </w:rPr>
        <w:t xml:space="preserve">2.2 </w:t>
      </w:r>
      <w:r w:rsidR="003A34FE" w:rsidRPr="00A3002B">
        <w:rPr>
          <w:rFonts w:ascii="Times New Roman" w:hAnsi="Times New Roman"/>
          <w:b/>
          <w:bCs/>
          <w:sz w:val="24"/>
          <w:szCs w:val="24"/>
          <w:lang w:bidi="ar-SA"/>
        </w:rPr>
        <w:t>Experimental Design and Treatments</w:t>
      </w:r>
    </w:p>
    <w:p w14:paraId="7CAAD78F" w14:textId="2FC4297C"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The experiment followed a Randomized Complete Block Design (RCBD) with two replications to minimize environmental variation and ensure statistical precision. Each experimental plot measured 4.0 m × </w:t>
      </w:r>
      <w:r w:rsidR="004701B2" w:rsidRPr="00A3002B">
        <w:rPr>
          <w:rFonts w:ascii="Times New Roman" w:hAnsi="Times New Roman"/>
          <w:sz w:val="24"/>
          <w:szCs w:val="24"/>
          <w:lang w:bidi="ar-SA"/>
        </w:rPr>
        <w:t>2</w:t>
      </w:r>
      <w:r w:rsidRPr="00A3002B">
        <w:rPr>
          <w:rFonts w:ascii="Times New Roman" w:hAnsi="Times New Roman"/>
          <w:sz w:val="24"/>
          <w:szCs w:val="24"/>
          <w:lang w:bidi="ar-SA"/>
        </w:rPr>
        <w:t>.</w:t>
      </w:r>
      <w:r w:rsidR="004701B2" w:rsidRPr="00A3002B">
        <w:rPr>
          <w:rFonts w:ascii="Times New Roman" w:hAnsi="Times New Roman"/>
          <w:sz w:val="24"/>
          <w:szCs w:val="24"/>
          <w:lang w:bidi="ar-SA"/>
        </w:rPr>
        <w:t>5</w:t>
      </w:r>
      <w:r w:rsidRPr="00A3002B">
        <w:rPr>
          <w:rFonts w:ascii="Times New Roman" w:hAnsi="Times New Roman"/>
          <w:sz w:val="24"/>
          <w:szCs w:val="24"/>
          <w:lang w:bidi="ar-SA"/>
        </w:rPr>
        <w:t xml:space="preserve"> m, separated by 0.5 m b</w:t>
      </w:r>
      <w:r w:rsidR="004701B2" w:rsidRPr="00A3002B">
        <w:rPr>
          <w:rFonts w:ascii="Times New Roman" w:hAnsi="Times New Roman"/>
          <w:sz w:val="24"/>
          <w:szCs w:val="24"/>
          <w:lang w:bidi="ar-SA"/>
        </w:rPr>
        <w:t>a</w:t>
      </w:r>
      <w:r w:rsidRPr="00A3002B">
        <w:rPr>
          <w:rFonts w:ascii="Times New Roman" w:hAnsi="Times New Roman"/>
          <w:sz w:val="24"/>
          <w:szCs w:val="24"/>
          <w:lang w:bidi="ar-SA"/>
        </w:rPr>
        <w:t>nds to prevent chemical drift between treatments. A total of 18 treatments were included: 17 commercial herbicide samples supplied by the Plant Protection Wing of the Department of Agricultural Extension (DAE) and one untreated control for baseline comparison.</w:t>
      </w:r>
    </w:p>
    <w:p w14:paraId="411C7EF6"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The herbicide samples represented diverse modes of action and active ingredients, including:</w:t>
      </w:r>
    </w:p>
    <w:p w14:paraId="7D3F8080"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proofErr w:type="spellStart"/>
      <w:r w:rsidRPr="00A3002B">
        <w:rPr>
          <w:rFonts w:ascii="Times New Roman" w:hAnsi="Times New Roman"/>
          <w:sz w:val="24"/>
          <w:szCs w:val="24"/>
          <w:lang w:bidi="ar-SA"/>
        </w:rPr>
        <w:t>Quizalofop</w:t>
      </w:r>
      <w:proofErr w:type="spellEnd"/>
      <w:r w:rsidRPr="00A3002B">
        <w:rPr>
          <w:rFonts w:ascii="Times New Roman" w:hAnsi="Times New Roman"/>
          <w:sz w:val="24"/>
          <w:szCs w:val="24"/>
          <w:lang w:bidi="ar-SA"/>
        </w:rPr>
        <w:t xml:space="preserve">-p-ethyl (as a post-emergence graminicide, alone or mixed with </w:t>
      </w:r>
      <w:proofErr w:type="spellStart"/>
      <w:r w:rsidRPr="00A3002B">
        <w:rPr>
          <w:rFonts w:ascii="Times New Roman" w:hAnsi="Times New Roman"/>
          <w:i/>
          <w:iCs/>
          <w:sz w:val="24"/>
          <w:szCs w:val="24"/>
          <w:lang w:bidi="ar-SA"/>
        </w:rPr>
        <w:t>Ethoxysulfuron</w:t>
      </w:r>
      <w:proofErr w:type="spellEnd"/>
      <w:r w:rsidRPr="00A3002B">
        <w:rPr>
          <w:rFonts w:ascii="Times New Roman" w:hAnsi="Times New Roman"/>
          <w:sz w:val="24"/>
          <w:szCs w:val="24"/>
          <w:lang w:bidi="ar-SA"/>
        </w:rPr>
        <w:t>)</w:t>
      </w:r>
    </w:p>
    <w:p w14:paraId="0831A63D"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proofErr w:type="spellStart"/>
      <w:r w:rsidRPr="00A3002B">
        <w:rPr>
          <w:rFonts w:ascii="Times New Roman" w:hAnsi="Times New Roman"/>
          <w:sz w:val="24"/>
          <w:szCs w:val="24"/>
          <w:lang w:bidi="ar-SA"/>
        </w:rPr>
        <w:t>Glufosinate</w:t>
      </w:r>
      <w:proofErr w:type="spellEnd"/>
      <w:r w:rsidRPr="00A3002B">
        <w:rPr>
          <w:rFonts w:ascii="Times New Roman" w:hAnsi="Times New Roman"/>
          <w:sz w:val="24"/>
          <w:szCs w:val="24"/>
          <w:lang w:bidi="ar-SA"/>
        </w:rPr>
        <w:t>-ammonium (non-selective contact herbicide)</w:t>
      </w:r>
    </w:p>
    <w:p w14:paraId="73C32FD3"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Pretilachlor (pre-emergence chloroacetamide herbicide)</w:t>
      </w:r>
    </w:p>
    <w:p w14:paraId="220E9E4D"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proofErr w:type="spellStart"/>
      <w:r w:rsidRPr="00A3002B">
        <w:rPr>
          <w:rFonts w:ascii="Times New Roman" w:hAnsi="Times New Roman"/>
          <w:sz w:val="24"/>
          <w:szCs w:val="24"/>
          <w:lang w:bidi="ar-SA"/>
        </w:rPr>
        <w:t>Benzoylprop</w:t>
      </w:r>
      <w:proofErr w:type="spellEnd"/>
      <w:r w:rsidRPr="00A3002B">
        <w:rPr>
          <w:rFonts w:ascii="Times New Roman" w:hAnsi="Times New Roman"/>
          <w:sz w:val="24"/>
          <w:szCs w:val="24"/>
          <w:lang w:bidi="ar-SA"/>
        </w:rPr>
        <w:t>-ethyl (acetyl-CoA carboxylase inhibitor)</w:t>
      </w:r>
    </w:p>
    <w:p w14:paraId="25DBB223"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2,4-D amine salt (selective systemic herbicide targeting broadleaf weeds)</w:t>
      </w:r>
    </w:p>
    <w:p w14:paraId="784DAB19" w14:textId="77777777" w:rsidR="003A34FE" w:rsidRDefault="003A34FE" w:rsidP="003A34FE">
      <w:pPr>
        <w:spacing w:before="100" w:beforeAutospacing="1" w:after="100" w:afterAutospacing="1" w:line="240" w:lineRule="auto"/>
        <w:rPr>
          <w:rFonts w:ascii="Times New Roman" w:hAnsi="Times New Roman"/>
          <w:sz w:val="24"/>
          <w:szCs w:val="24"/>
          <w:lang w:bidi="ar-SA"/>
        </w:rPr>
      </w:pPr>
      <w:r w:rsidRPr="00A3002B">
        <w:rPr>
          <w:rFonts w:ascii="Times New Roman" w:hAnsi="Times New Roman"/>
          <w:sz w:val="24"/>
          <w:szCs w:val="24"/>
          <w:lang w:bidi="ar-SA"/>
        </w:rPr>
        <w:t xml:space="preserve">All herbicide formulations were applied following manufacturer-recommended rates and safety protocols. The detailed information regarding trade names, concentrations, formulation types, and supplier details are summarized in Table 1. Herbicide assignment to plots was randomized within each block to reduce bias and ensure equal representation (Swanton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 Zimdahl &amp; Basinger, 2024).</w:t>
      </w:r>
    </w:p>
    <w:p w14:paraId="79D39FFA" w14:textId="512096F2" w:rsidR="00160A09" w:rsidRDefault="00BA30AB" w:rsidP="003A34FE">
      <w:pPr>
        <w:spacing w:before="100" w:beforeAutospacing="1" w:after="100" w:afterAutospacing="1" w:line="240" w:lineRule="auto"/>
        <w:rPr>
          <w:rFonts w:ascii="Times New Roman" w:hAnsi="Times New Roman"/>
          <w:sz w:val="24"/>
          <w:szCs w:val="24"/>
          <w:lang w:bidi="ar-SA"/>
        </w:rPr>
      </w:pPr>
      <w:r w:rsidRPr="00BA30AB">
        <w:rPr>
          <w:rFonts w:ascii="Times New Roman" w:hAnsi="Times New Roman"/>
          <w:sz w:val="24"/>
          <w:szCs w:val="24"/>
          <w:lang w:bidi="ar-SA"/>
        </w:rPr>
        <w:t xml:space="preserve">Table </w:t>
      </w:r>
      <w:r>
        <w:rPr>
          <w:rFonts w:ascii="Times New Roman" w:hAnsi="Times New Roman"/>
          <w:sz w:val="24"/>
          <w:szCs w:val="24"/>
          <w:lang w:bidi="ar-SA"/>
        </w:rPr>
        <w:t xml:space="preserve">2: </w:t>
      </w:r>
      <w:r w:rsidR="00160A09">
        <w:rPr>
          <w:rFonts w:ascii="Times New Roman" w:hAnsi="Times New Roman"/>
          <w:sz w:val="24"/>
          <w:szCs w:val="24"/>
          <w:lang w:bidi="ar-SA"/>
        </w:rPr>
        <w:t>List of weedicides used as treatment</w:t>
      </w:r>
    </w:p>
    <w:tbl>
      <w:tblPr>
        <w:tblStyle w:val="TableGrid"/>
        <w:tblW w:w="0" w:type="auto"/>
        <w:tblLook w:val="04A0" w:firstRow="1" w:lastRow="0" w:firstColumn="1" w:lastColumn="0" w:noHBand="0" w:noVBand="1"/>
      </w:tblPr>
      <w:tblGrid>
        <w:gridCol w:w="1525"/>
        <w:gridCol w:w="2880"/>
        <w:gridCol w:w="1530"/>
        <w:gridCol w:w="2790"/>
      </w:tblGrid>
      <w:tr w:rsidR="00160A09" w:rsidRPr="00A24C4D" w14:paraId="04E7BF4D" w14:textId="77777777" w:rsidTr="00D63C51">
        <w:tc>
          <w:tcPr>
            <w:tcW w:w="1525" w:type="dxa"/>
          </w:tcPr>
          <w:p w14:paraId="6D128E3D" w14:textId="77777777" w:rsidR="00160A09" w:rsidRPr="00A24C4D" w:rsidRDefault="00160A09" w:rsidP="00D63C51">
            <w:pPr>
              <w:rPr>
                <w:rFonts w:ascii="Times New Roman" w:hAnsi="Times New Roman"/>
                <w:b/>
                <w:bCs/>
              </w:rPr>
            </w:pPr>
            <w:r w:rsidRPr="00A24C4D">
              <w:rPr>
                <w:rFonts w:ascii="Times New Roman" w:hAnsi="Times New Roman"/>
                <w:b/>
                <w:bCs/>
              </w:rPr>
              <w:t>Trade Name</w:t>
            </w:r>
          </w:p>
        </w:tc>
        <w:tc>
          <w:tcPr>
            <w:tcW w:w="2880" w:type="dxa"/>
          </w:tcPr>
          <w:p w14:paraId="7BE7A7ED" w14:textId="77777777" w:rsidR="00160A09" w:rsidRPr="00A24C4D" w:rsidRDefault="00160A09" w:rsidP="00D63C51">
            <w:pPr>
              <w:rPr>
                <w:rFonts w:ascii="Times New Roman" w:hAnsi="Times New Roman"/>
                <w:b/>
                <w:bCs/>
              </w:rPr>
            </w:pPr>
            <w:r w:rsidRPr="00A24C4D">
              <w:rPr>
                <w:rFonts w:ascii="Times New Roman" w:hAnsi="Times New Roman"/>
                <w:b/>
                <w:bCs/>
              </w:rPr>
              <w:t>Active Ingredient (and concentration)</w:t>
            </w:r>
          </w:p>
        </w:tc>
        <w:tc>
          <w:tcPr>
            <w:tcW w:w="1530" w:type="dxa"/>
          </w:tcPr>
          <w:p w14:paraId="0122335A" w14:textId="77777777" w:rsidR="00160A09" w:rsidRPr="00A24C4D" w:rsidRDefault="00160A09" w:rsidP="00D63C51">
            <w:pPr>
              <w:rPr>
                <w:rFonts w:ascii="Times New Roman" w:hAnsi="Times New Roman"/>
                <w:b/>
                <w:bCs/>
              </w:rPr>
            </w:pPr>
            <w:r w:rsidRPr="00A24C4D">
              <w:rPr>
                <w:rFonts w:ascii="Times New Roman" w:hAnsi="Times New Roman"/>
                <w:b/>
                <w:bCs/>
              </w:rPr>
              <w:t>Rate of Use (ha⁻¹)</w:t>
            </w:r>
          </w:p>
        </w:tc>
        <w:tc>
          <w:tcPr>
            <w:tcW w:w="2790" w:type="dxa"/>
          </w:tcPr>
          <w:p w14:paraId="1818A7BD" w14:textId="77777777" w:rsidR="00160A09" w:rsidRPr="00A24C4D" w:rsidRDefault="00160A09" w:rsidP="00D63C51">
            <w:pPr>
              <w:rPr>
                <w:rFonts w:ascii="Times New Roman" w:hAnsi="Times New Roman"/>
                <w:b/>
                <w:bCs/>
              </w:rPr>
            </w:pPr>
            <w:r w:rsidRPr="00A24C4D">
              <w:rPr>
                <w:rFonts w:ascii="Times New Roman" w:hAnsi="Times New Roman"/>
                <w:b/>
                <w:bCs/>
              </w:rPr>
              <w:t>Producing / Marketing Company</w:t>
            </w:r>
          </w:p>
        </w:tc>
      </w:tr>
      <w:tr w:rsidR="00160A09" w:rsidRPr="00A24C4D" w14:paraId="0C88056D" w14:textId="77777777" w:rsidTr="00D63C51">
        <w:tc>
          <w:tcPr>
            <w:tcW w:w="1525" w:type="dxa"/>
          </w:tcPr>
          <w:p w14:paraId="49A2B072" w14:textId="77777777" w:rsidR="00160A09" w:rsidRPr="00A24C4D" w:rsidRDefault="00160A09" w:rsidP="00D63C51">
            <w:pPr>
              <w:rPr>
                <w:rFonts w:ascii="Times New Roman" w:hAnsi="Times New Roman"/>
              </w:rPr>
            </w:pPr>
            <w:r w:rsidRPr="00A24C4D">
              <w:rPr>
                <w:rFonts w:ascii="Times New Roman" w:hAnsi="Times New Roman"/>
              </w:rPr>
              <w:t>Erase 5EC</w:t>
            </w:r>
          </w:p>
        </w:tc>
        <w:tc>
          <w:tcPr>
            <w:tcW w:w="2880" w:type="dxa"/>
          </w:tcPr>
          <w:p w14:paraId="0157E1D8" w14:textId="77777777" w:rsidR="00160A09" w:rsidRPr="00A24C4D" w:rsidRDefault="00160A09" w:rsidP="00D63C51">
            <w:pPr>
              <w:rPr>
                <w:rFonts w:ascii="Times New Roman" w:hAnsi="Times New Roman"/>
              </w:rPr>
            </w:pPr>
            <w:proofErr w:type="spellStart"/>
            <w:r w:rsidRPr="00A24C4D">
              <w:rPr>
                <w:rFonts w:ascii="Times New Roman" w:hAnsi="Times New Roman"/>
              </w:rPr>
              <w:t>Quizalofop</w:t>
            </w:r>
            <w:proofErr w:type="spellEnd"/>
            <w:r w:rsidRPr="00A24C4D">
              <w:rPr>
                <w:rFonts w:ascii="Times New Roman" w:hAnsi="Times New Roman"/>
              </w:rPr>
              <w:t>-p-ethyl 5%</w:t>
            </w:r>
          </w:p>
        </w:tc>
        <w:tc>
          <w:tcPr>
            <w:tcW w:w="1530" w:type="dxa"/>
          </w:tcPr>
          <w:p w14:paraId="237FBDCA" w14:textId="77777777" w:rsidR="00160A09" w:rsidRPr="00A24C4D" w:rsidRDefault="00160A09" w:rsidP="00D63C51">
            <w:pPr>
              <w:rPr>
                <w:rFonts w:ascii="Times New Roman" w:hAnsi="Times New Roman"/>
              </w:rPr>
            </w:pPr>
            <w:r w:rsidRPr="00A24C4D">
              <w:rPr>
                <w:rFonts w:ascii="Times New Roman" w:hAnsi="Times New Roman"/>
              </w:rPr>
              <w:t xml:space="preserve">200 g </w:t>
            </w:r>
            <w:proofErr w:type="spellStart"/>
            <w:r w:rsidRPr="00A24C4D">
              <w:rPr>
                <w:rFonts w:ascii="Times New Roman" w:hAnsi="Times New Roman"/>
              </w:rPr>
              <w:t>a.i.</w:t>
            </w:r>
            <w:proofErr w:type="spellEnd"/>
            <w:r w:rsidRPr="00A24C4D">
              <w:rPr>
                <w:rFonts w:ascii="Times New Roman" w:hAnsi="Times New Roman"/>
              </w:rPr>
              <w:t xml:space="preserve"> ha⁻¹</w:t>
            </w:r>
          </w:p>
        </w:tc>
        <w:tc>
          <w:tcPr>
            <w:tcW w:w="2790" w:type="dxa"/>
          </w:tcPr>
          <w:p w14:paraId="76A0A933" w14:textId="77777777" w:rsidR="00160A09" w:rsidRPr="00A24C4D" w:rsidRDefault="00160A09" w:rsidP="00D63C51">
            <w:pPr>
              <w:rPr>
                <w:rFonts w:ascii="Times New Roman" w:hAnsi="Times New Roman"/>
              </w:rPr>
            </w:pPr>
            <w:r w:rsidRPr="00A24C4D">
              <w:rPr>
                <w:rFonts w:ascii="Times New Roman" w:hAnsi="Times New Roman"/>
              </w:rPr>
              <w:t>Square Pharmaceutical Ltd.</w:t>
            </w:r>
          </w:p>
        </w:tc>
      </w:tr>
      <w:tr w:rsidR="00160A09" w:rsidRPr="00A24C4D" w14:paraId="36E4AFB1" w14:textId="77777777" w:rsidTr="00D63C51">
        <w:tc>
          <w:tcPr>
            <w:tcW w:w="1525" w:type="dxa"/>
          </w:tcPr>
          <w:p w14:paraId="5944D414" w14:textId="77777777" w:rsidR="00160A09" w:rsidRPr="00A24C4D" w:rsidRDefault="00160A09" w:rsidP="00D63C51">
            <w:pPr>
              <w:rPr>
                <w:rFonts w:ascii="Times New Roman" w:hAnsi="Times New Roman"/>
              </w:rPr>
            </w:pPr>
            <w:proofErr w:type="spellStart"/>
            <w:r w:rsidRPr="00A24C4D">
              <w:rPr>
                <w:rFonts w:ascii="Times New Roman" w:hAnsi="Times New Roman"/>
              </w:rPr>
              <w:t>Zadu</w:t>
            </w:r>
            <w:proofErr w:type="spellEnd"/>
            <w:r w:rsidRPr="00A24C4D">
              <w:rPr>
                <w:rFonts w:ascii="Times New Roman" w:hAnsi="Times New Roman"/>
              </w:rPr>
              <w:t xml:space="preserve"> 15EC</w:t>
            </w:r>
          </w:p>
        </w:tc>
        <w:tc>
          <w:tcPr>
            <w:tcW w:w="2880" w:type="dxa"/>
          </w:tcPr>
          <w:p w14:paraId="4088E6EC" w14:textId="77777777" w:rsidR="00160A09" w:rsidRPr="00A24C4D" w:rsidRDefault="00160A09" w:rsidP="00D63C51">
            <w:pPr>
              <w:rPr>
                <w:rFonts w:ascii="Times New Roman" w:hAnsi="Times New Roman"/>
              </w:rPr>
            </w:pPr>
            <w:proofErr w:type="spellStart"/>
            <w:r w:rsidRPr="00A24C4D">
              <w:rPr>
                <w:rFonts w:ascii="Times New Roman" w:hAnsi="Times New Roman"/>
              </w:rPr>
              <w:t>Quizalofop</w:t>
            </w:r>
            <w:proofErr w:type="spellEnd"/>
            <w:r w:rsidRPr="00A24C4D">
              <w:rPr>
                <w:rFonts w:ascii="Times New Roman" w:hAnsi="Times New Roman"/>
              </w:rPr>
              <w:t>-p-ethyl 15%</w:t>
            </w:r>
          </w:p>
        </w:tc>
        <w:tc>
          <w:tcPr>
            <w:tcW w:w="1530" w:type="dxa"/>
          </w:tcPr>
          <w:p w14:paraId="5F0FB58A" w14:textId="77777777" w:rsidR="00160A09" w:rsidRPr="00A24C4D" w:rsidRDefault="00160A09" w:rsidP="00D63C51">
            <w:pPr>
              <w:rPr>
                <w:rFonts w:ascii="Times New Roman" w:hAnsi="Times New Roman"/>
              </w:rPr>
            </w:pPr>
            <w:r w:rsidRPr="00A24C4D">
              <w:rPr>
                <w:rFonts w:ascii="Times New Roman" w:hAnsi="Times New Roman"/>
              </w:rPr>
              <w:t>650 mL ha⁻¹</w:t>
            </w:r>
          </w:p>
        </w:tc>
        <w:tc>
          <w:tcPr>
            <w:tcW w:w="2790" w:type="dxa"/>
          </w:tcPr>
          <w:p w14:paraId="78B445BF" w14:textId="77777777" w:rsidR="00160A09" w:rsidRPr="00A24C4D" w:rsidRDefault="00160A09" w:rsidP="00D63C51">
            <w:pPr>
              <w:rPr>
                <w:rFonts w:ascii="Times New Roman" w:hAnsi="Times New Roman"/>
              </w:rPr>
            </w:pPr>
            <w:r w:rsidRPr="00A24C4D">
              <w:rPr>
                <w:rFonts w:ascii="Times New Roman" w:hAnsi="Times New Roman"/>
              </w:rPr>
              <w:t xml:space="preserve">Delco </w:t>
            </w:r>
            <w:proofErr w:type="spellStart"/>
            <w:r w:rsidRPr="00A24C4D">
              <w:rPr>
                <w:rFonts w:ascii="Times New Roman" w:hAnsi="Times New Roman"/>
              </w:rPr>
              <w:t>Agro</w:t>
            </w:r>
            <w:proofErr w:type="spellEnd"/>
            <w:r w:rsidRPr="00A24C4D">
              <w:rPr>
                <w:rFonts w:ascii="Times New Roman" w:hAnsi="Times New Roman"/>
              </w:rPr>
              <w:t xml:space="preserve"> Ltd.</w:t>
            </w:r>
          </w:p>
        </w:tc>
      </w:tr>
      <w:tr w:rsidR="00160A09" w:rsidRPr="00A24C4D" w14:paraId="7CC6DD38" w14:textId="77777777" w:rsidTr="00D63C51">
        <w:tc>
          <w:tcPr>
            <w:tcW w:w="1525" w:type="dxa"/>
          </w:tcPr>
          <w:p w14:paraId="7E34E427" w14:textId="77777777" w:rsidR="00160A09" w:rsidRPr="00A24C4D" w:rsidRDefault="00160A09" w:rsidP="00D63C51">
            <w:pPr>
              <w:rPr>
                <w:rFonts w:ascii="Times New Roman" w:hAnsi="Times New Roman"/>
              </w:rPr>
            </w:pPr>
            <w:proofErr w:type="spellStart"/>
            <w:r w:rsidRPr="00A24C4D">
              <w:rPr>
                <w:rFonts w:ascii="Times New Roman" w:hAnsi="Times New Roman"/>
              </w:rPr>
              <w:t>Sucarol</w:t>
            </w:r>
            <w:proofErr w:type="spellEnd"/>
            <w:r w:rsidRPr="00A24C4D">
              <w:rPr>
                <w:rFonts w:ascii="Times New Roman" w:hAnsi="Times New Roman"/>
              </w:rPr>
              <w:t xml:space="preserve"> 20SL</w:t>
            </w:r>
          </w:p>
        </w:tc>
        <w:tc>
          <w:tcPr>
            <w:tcW w:w="2880" w:type="dxa"/>
          </w:tcPr>
          <w:p w14:paraId="4E21979D" w14:textId="77777777" w:rsidR="00160A09" w:rsidRPr="00A24C4D" w:rsidRDefault="00160A09" w:rsidP="00D63C51">
            <w:pPr>
              <w:rPr>
                <w:rFonts w:ascii="Times New Roman" w:hAnsi="Times New Roman"/>
              </w:rPr>
            </w:pPr>
            <w:proofErr w:type="spellStart"/>
            <w:r w:rsidRPr="00A24C4D">
              <w:rPr>
                <w:rFonts w:ascii="Times New Roman" w:hAnsi="Times New Roman"/>
              </w:rPr>
              <w:t>Glufosinate</w:t>
            </w:r>
            <w:proofErr w:type="spellEnd"/>
            <w:r w:rsidRPr="00A24C4D">
              <w:rPr>
                <w:rFonts w:ascii="Times New Roman" w:hAnsi="Times New Roman"/>
              </w:rPr>
              <w:t>-ammonium 200 g L⁻¹</w:t>
            </w:r>
          </w:p>
        </w:tc>
        <w:tc>
          <w:tcPr>
            <w:tcW w:w="1530" w:type="dxa"/>
          </w:tcPr>
          <w:p w14:paraId="79C24E27" w14:textId="77777777" w:rsidR="00160A09" w:rsidRPr="00A24C4D" w:rsidRDefault="00160A09" w:rsidP="00D63C51">
            <w:pPr>
              <w:rPr>
                <w:rFonts w:ascii="Times New Roman" w:hAnsi="Times New Roman"/>
              </w:rPr>
            </w:pPr>
            <w:r w:rsidRPr="00A24C4D">
              <w:rPr>
                <w:rFonts w:ascii="Times New Roman" w:hAnsi="Times New Roman"/>
              </w:rPr>
              <w:t xml:space="preserve">190 g </w:t>
            </w:r>
            <w:proofErr w:type="spellStart"/>
            <w:r w:rsidRPr="00A24C4D">
              <w:rPr>
                <w:rFonts w:ascii="Times New Roman" w:hAnsi="Times New Roman"/>
              </w:rPr>
              <w:t>a.i.</w:t>
            </w:r>
            <w:proofErr w:type="spellEnd"/>
            <w:r w:rsidRPr="00A24C4D">
              <w:rPr>
                <w:rFonts w:ascii="Times New Roman" w:hAnsi="Times New Roman"/>
              </w:rPr>
              <w:t xml:space="preserve"> ha⁻¹</w:t>
            </w:r>
          </w:p>
        </w:tc>
        <w:tc>
          <w:tcPr>
            <w:tcW w:w="2790" w:type="dxa"/>
          </w:tcPr>
          <w:p w14:paraId="2E3D327E" w14:textId="77777777" w:rsidR="00160A09" w:rsidRPr="00A24C4D" w:rsidRDefault="00160A09" w:rsidP="00D63C51">
            <w:pPr>
              <w:rPr>
                <w:rFonts w:ascii="Times New Roman" w:hAnsi="Times New Roman"/>
              </w:rPr>
            </w:pPr>
            <w:proofErr w:type="spellStart"/>
            <w:r w:rsidRPr="00A24C4D">
              <w:rPr>
                <w:rFonts w:ascii="Times New Roman" w:hAnsi="Times New Roman"/>
              </w:rPr>
              <w:t>Agro</w:t>
            </w:r>
            <w:proofErr w:type="spellEnd"/>
            <w:r w:rsidRPr="00A24C4D">
              <w:rPr>
                <w:rFonts w:ascii="Times New Roman" w:hAnsi="Times New Roman"/>
              </w:rPr>
              <w:t xml:space="preserve"> Source Ltd.</w:t>
            </w:r>
          </w:p>
        </w:tc>
      </w:tr>
      <w:tr w:rsidR="00160A09" w:rsidRPr="00A24C4D" w14:paraId="27F59821" w14:textId="77777777" w:rsidTr="00D63C51">
        <w:tc>
          <w:tcPr>
            <w:tcW w:w="1525" w:type="dxa"/>
          </w:tcPr>
          <w:p w14:paraId="74219830" w14:textId="77777777" w:rsidR="00160A09" w:rsidRPr="00A24C4D" w:rsidRDefault="00160A09" w:rsidP="00D63C51">
            <w:pPr>
              <w:rPr>
                <w:rFonts w:ascii="Times New Roman" w:hAnsi="Times New Roman"/>
              </w:rPr>
            </w:pPr>
            <w:r w:rsidRPr="00A24C4D">
              <w:rPr>
                <w:rFonts w:ascii="Times New Roman" w:hAnsi="Times New Roman"/>
              </w:rPr>
              <w:t>Natai 21OD</w:t>
            </w:r>
          </w:p>
        </w:tc>
        <w:tc>
          <w:tcPr>
            <w:tcW w:w="2880" w:type="dxa"/>
          </w:tcPr>
          <w:p w14:paraId="47D86A8A" w14:textId="77777777" w:rsidR="00160A09" w:rsidRPr="00A24C4D" w:rsidRDefault="00160A09" w:rsidP="00D63C51">
            <w:pPr>
              <w:rPr>
                <w:rFonts w:ascii="Times New Roman" w:hAnsi="Times New Roman"/>
              </w:rPr>
            </w:pPr>
            <w:proofErr w:type="spellStart"/>
            <w:r w:rsidRPr="00A24C4D">
              <w:rPr>
                <w:rFonts w:ascii="Times New Roman" w:hAnsi="Times New Roman"/>
              </w:rPr>
              <w:t>Quizalofop</w:t>
            </w:r>
            <w:proofErr w:type="spellEnd"/>
            <w:r w:rsidRPr="00A24C4D">
              <w:rPr>
                <w:rFonts w:ascii="Times New Roman" w:hAnsi="Times New Roman"/>
              </w:rPr>
              <w:t xml:space="preserve">-p-ethyl 9% + </w:t>
            </w:r>
            <w:proofErr w:type="spellStart"/>
            <w:r w:rsidRPr="00A24C4D">
              <w:rPr>
                <w:rFonts w:ascii="Times New Roman" w:hAnsi="Times New Roman"/>
              </w:rPr>
              <w:t>Ethoxysulfuron</w:t>
            </w:r>
            <w:proofErr w:type="spellEnd"/>
            <w:r w:rsidRPr="00A24C4D">
              <w:rPr>
                <w:rFonts w:ascii="Times New Roman" w:hAnsi="Times New Roman"/>
              </w:rPr>
              <w:t xml:space="preserve"> 12%</w:t>
            </w:r>
          </w:p>
        </w:tc>
        <w:tc>
          <w:tcPr>
            <w:tcW w:w="1530" w:type="dxa"/>
          </w:tcPr>
          <w:p w14:paraId="547C08C6" w14:textId="77777777" w:rsidR="00160A09" w:rsidRPr="00A24C4D" w:rsidRDefault="00160A09" w:rsidP="00D63C51">
            <w:pPr>
              <w:rPr>
                <w:rFonts w:ascii="Times New Roman" w:hAnsi="Times New Roman"/>
              </w:rPr>
            </w:pPr>
            <w:r w:rsidRPr="00A24C4D">
              <w:rPr>
                <w:rFonts w:ascii="Times New Roman" w:hAnsi="Times New Roman"/>
              </w:rPr>
              <w:t xml:space="preserve">200 g </w:t>
            </w:r>
            <w:proofErr w:type="spellStart"/>
            <w:r w:rsidRPr="00A24C4D">
              <w:rPr>
                <w:rFonts w:ascii="Times New Roman" w:hAnsi="Times New Roman"/>
              </w:rPr>
              <w:t>a.i.</w:t>
            </w:r>
            <w:proofErr w:type="spellEnd"/>
            <w:r w:rsidRPr="00A24C4D">
              <w:rPr>
                <w:rFonts w:ascii="Times New Roman" w:hAnsi="Times New Roman"/>
              </w:rPr>
              <w:t xml:space="preserve"> ha⁻¹</w:t>
            </w:r>
          </w:p>
        </w:tc>
        <w:tc>
          <w:tcPr>
            <w:tcW w:w="2790" w:type="dxa"/>
          </w:tcPr>
          <w:p w14:paraId="35696933" w14:textId="77777777" w:rsidR="00160A09" w:rsidRPr="00A24C4D" w:rsidRDefault="00160A09" w:rsidP="00D63C51">
            <w:pPr>
              <w:rPr>
                <w:rFonts w:ascii="Times New Roman" w:hAnsi="Times New Roman"/>
              </w:rPr>
            </w:pPr>
            <w:r w:rsidRPr="00A24C4D">
              <w:rPr>
                <w:rFonts w:ascii="Times New Roman" w:hAnsi="Times New Roman"/>
              </w:rPr>
              <w:t>Green Bangla Agrovet</w:t>
            </w:r>
          </w:p>
        </w:tc>
      </w:tr>
      <w:tr w:rsidR="00160A09" w:rsidRPr="00A24C4D" w14:paraId="3BB60710" w14:textId="77777777" w:rsidTr="00D63C51">
        <w:tc>
          <w:tcPr>
            <w:tcW w:w="1525" w:type="dxa"/>
          </w:tcPr>
          <w:p w14:paraId="13D9F239" w14:textId="77777777" w:rsidR="00160A09" w:rsidRPr="00A24C4D" w:rsidRDefault="00160A09" w:rsidP="00D63C51">
            <w:pPr>
              <w:rPr>
                <w:rFonts w:ascii="Times New Roman" w:hAnsi="Times New Roman"/>
              </w:rPr>
            </w:pPr>
            <w:r w:rsidRPr="00A24C4D">
              <w:rPr>
                <w:rFonts w:ascii="Times New Roman" w:hAnsi="Times New Roman"/>
              </w:rPr>
              <w:t>Orin 72SL</w:t>
            </w:r>
          </w:p>
        </w:tc>
        <w:tc>
          <w:tcPr>
            <w:tcW w:w="2880" w:type="dxa"/>
          </w:tcPr>
          <w:p w14:paraId="2B2E2C15" w14:textId="77777777" w:rsidR="00160A09" w:rsidRPr="00A24C4D" w:rsidRDefault="00160A09" w:rsidP="00D63C51">
            <w:pPr>
              <w:rPr>
                <w:rFonts w:ascii="Times New Roman" w:hAnsi="Times New Roman"/>
              </w:rPr>
            </w:pPr>
            <w:r w:rsidRPr="00A24C4D">
              <w:rPr>
                <w:rFonts w:ascii="Times New Roman" w:hAnsi="Times New Roman"/>
              </w:rPr>
              <w:t>2,4-D amine salt</w:t>
            </w:r>
          </w:p>
        </w:tc>
        <w:tc>
          <w:tcPr>
            <w:tcW w:w="1530" w:type="dxa"/>
          </w:tcPr>
          <w:p w14:paraId="255DDE06" w14:textId="77777777" w:rsidR="00160A09" w:rsidRPr="00A24C4D" w:rsidRDefault="00160A09" w:rsidP="00D63C51">
            <w:pPr>
              <w:rPr>
                <w:rFonts w:ascii="Times New Roman" w:hAnsi="Times New Roman"/>
              </w:rPr>
            </w:pPr>
            <w:r w:rsidRPr="00A24C4D">
              <w:rPr>
                <w:rFonts w:ascii="Times New Roman" w:hAnsi="Times New Roman"/>
              </w:rPr>
              <w:t>2.8 L ha⁻¹</w:t>
            </w:r>
          </w:p>
        </w:tc>
        <w:tc>
          <w:tcPr>
            <w:tcW w:w="2790" w:type="dxa"/>
          </w:tcPr>
          <w:p w14:paraId="1D1B4F18" w14:textId="77777777" w:rsidR="00160A09" w:rsidRPr="00A24C4D" w:rsidRDefault="00160A09" w:rsidP="00D63C51">
            <w:pPr>
              <w:rPr>
                <w:rFonts w:ascii="Times New Roman" w:hAnsi="Times New Roman"/>
              </w:rPr>
            </w:pPr>
            <w:r w:rsidRPr="00A24C4D">
              <w:rPr>
                <w:rFonts w:ascii="Times New Roman" w:hAnsi="Times New Roman"/>
              </w:rPr>
              <w:t>Orient International</w:t>
            </w:r>
          </w:p>
        </w:tc>
      </w:tr>
      <w:tr w:rsidR="00160A09" w:rsidRPr="00A24C4D" w14:paraId="242F5F79" w14:textId="77777777" w:rsidTr="00D63C51">
        <w:tc>
          <w:tcPr>
            <w:tcW w:w="1525" w:type="dxa"/>
          </w:tcPr>
          <w:p w14:paraId="5139C542" w14:textId="77777777" w:rsidR="00160A09" w:rsidRPr="00A24C4D" w:rsidRDefault="00160A09" w:rsidP="00D63C51">
            <w:pPr>
              <w:rPr>
                <w:rFonts w:ascii="Times New Roman" w:hAnsi="Times New Roman"/>
              </w:rPr>
            </w:pPr>
            <w:r w:rsidRPr="00A24C4D">
              <w:rPr>
                <w:rFonts w:ascii="Times New Roman" w:hAnsi="Times New Roman"/>
              </w:rPr>
              <w:t>Fire 20SL</w:t>
            </w:r>
          </w:p>
        </w:tc>
        <w:tc>
          <w:tcPr>
            <w:tcW w:w="2880" w:type="dxa"/>
          </w:tcPr>
          <w:p w14:paraId="305143A7" w14:textId="77777777" w:rsidR="00160A09" w:rsidRPr="00A24C4D" w:rsidRDefault="00160A09" w:rsidP="00D63C51">
            <w:pPr>
              <w:rPr>
                <w:rFonts w:ascii="Times New Roman" w:hAnsi="Times New Roman"/>
              </w:rPr>
            </w:pPr>
            <w:proofErr w:type="spellStart"/>
            <w:r w:rsidRPr="00A24C4D">
              <w:rPr>
                <w:rFonts w:ascii="Times New Roman" w:hAnsi="Times New Roman"/>
              </w:rPr>
              <w:t>Glufosinate</w:t>
            </w:r>
            <w:proofErr w:type="spellEnd"/>
            <w:r w:rsidRPr="00A24C4D">
              <w:rPr>
                <w:rFonts w:ascii="Times New Roman" w:hAnsi="Times New Roman"/>
              </w:rPr>
              <w:t>-ammonium 20%</w:t>
            </w:r>
          </w:p>
        </w:tc>
        <w:tc>
          <w:tcPr>
            <w:tcW w:w="1530" w:type="dxa"/>
          </w:tcPr>
          <w:p w14:paraId="389D2CDE" w14:textId="77777777" w:rsidR="00160A09" w:rsidRPr="00A24C4D" w:rsidRDefault="00160A09" w:rsidP="00D63C51">
            <w:pPr>
              <w:rPr>
                <w:rFonts w:ascii="Times New Roman" w:hAnsi="Times New Roman"/>
              </w:rPr>
            </w:pPr>
            <w:r w:rsidRPr="00A24C4D">
              <w:rPr>
                <w:rFonts w:ascii="Times New Roman" w:hAnsi="Times New Roman"/>
              </w:rPr>
              <w:t>2.5 L ha⁻¹</w:t>
            </w:r>
          </w:p>
        </w:tc>
        <w:tc>
          <w:tcPr>
            <w:tcW w:w="2790" w:type="dxa"/>
          </w:tcPr>
          <w:p w14:paraId="00CF1A44" w14:textId="77777777" w:rsidR="00160A09" w:rsidRPr="00A24C4D" w:rsidRDefault="00160A09" w:rsidP="00D63C51">
            <w:pPr>
              <w:rPr>
                <w:rFonts w:ascii="Times New Roman" w:hAnsi="Times New Roman"/>
              </w:rPr>
            </w:pPr>
            <w:proofErr w:type="spellStart"/>
            <w:r w:rsidRPr="00A24C4D">
              <w:rPr>
                <w:rFonts w:ascii="Times New Roman" w:hAnsi="Times New Roman"/>
              </w:rPr>
              <w:t>Sasco</w:t>
            </w:r>
            <w:proofErr w:type="spellEnd"/>
            <w:r w:rsidRPr="00A24C4D">
              <w:rPr>
                <w:rFonts w:ascii="Times New Roman" w:hAnsi="Times New Roman"/>
              </w:rPr>
              <w:t xml:space="preserve"> International</w:t>
            </w:r>
          </w:p>
        </w:tc>
      </w:tr>
      <w:tr w:rsidR="00160A09" w:rsidRPr="00A24C4D" w14:paraId="64AA3A0F" w14:textId="77777777" w:rsidTr="00D63C51">
        <w:tc>
          <w:tcPr>
            <w:tcW w:w="1525" w:type="dxa"/>
          </w:tcPr>
          <w:p w14:paraId="486E6459" w14:textId="77777777" w:rsidR="00160A09" w:rsidRPr="00A24C4D" w:rsidRDefault="00160A09" w:rsidP="00D63C51">
            <w:pPr>
              <w:rPr>
                <w:rFonts w:ascii="Times New Roman" w:hAnsi="Times New Roman"/>
              </w:rPr>
            </w:pPr>
            <w:proofErr w:type="spellStart"/>
            <w:r w:rsidRPr="00A24C4D">
              <w:rPr>
                <w:rFonts w:ascii="Times New Roman" w:hAnsi="Times New Roman"/>
              </w:rPr>
              <w:t>Imulin</w:t>
            </w:r>
            <w:proofErr w:type="spellEnd"/>
            <w:r w:rsidRPr="00A24C4D">
              <w:rPr>
                <w:rFonts w:ascii="Times New Roman" w:hAnsi="Times New Roman"/>
              </w:rPr>
              <w:t xml:space="preserve"> 20SL</w:t>
            </w:r>
          </w:p>
        </w:tc>
        <w:tc>
          <w:tcPr>
            <w:tcW w:w="2880" w:type="dxa"/>
          </w:tcPr>
          <w:p w14:paraId="4E0C82EF" w14:textId="77777777" w:rsidR="00160A09" w:rsidRPr="00A24C4D" w:rsidRDefault="00160A09" w:rsidP="00D63C51">
            <w:pPr>
              <w:rPr>
                <w:rFonts w:ascii="Times New Roman" w:hAnsi="Times New Roman"/>
              </w:rPr>
            </w:pPr>
            <w:proofErr w:type="spellStart"/>
            <w:r w:rsidRPr="00A24C4D">
              <w:rPr>
                <w:rFonts w:ascii="Times New Roman" w:hAnsi="Times New Roman"/>
              </w:rPr>
              <w:t>Glufosinate</w:t>
            </w:r>
            <w:proofErr w:type="spellEnd"/>
            <w:r w:rsidRPr="00A24C4D">
              <w:rPr>
                <w:rFonts w:ascii="Times New Roman" w:hAnsi="Times New Roman"/>
              </w:rPr>
              <w:t>-ammonium 20%</w:t>
            </w:r>
          </w:p>
        </w:tc>
        <w:tc>
          <w:tcPr>
            <w:tcW w:w="1530" w:type="dxa"/>
          </w:tcPr>
          <w:p w14:paraId="5107EFD4" w14:textId="77777777" w:rsidR="00160A09" w:rsidRPr="00A24C4D" w:rsidRDefault="00160A09" w:rsidP="00D63C51">
            <w:pPr>
              <w:rPr>
                <w:rFonts w:ascii="Times New Roman" w:hAnsi="Times New Roman"/>
              </w:rPr>
            </w:pPr>
            <w:r w:rsidRPr="00A24C4D">
              <w:rPr>
                <w:rFonts w:ascii="Times New Roman" w:hAnsi="Times New Roman"/>
              </w:rPr>
              <w:t>2.5–3 L ha⁻¹</w:t>
            </w:r>
          </w:p>
        </w:tc>
        <w:tc>
          <w:tcPr>
            <w:tcW w:w="2790" w:type="dxa"/>
          </w:tcPr>
          <w:p w14:paraId="38886C29" w14:textId="77777777" w:rsidR="00160A09" w:rsidRPr="00A24C4D" w:rsidRDefault="00160A09" w:rsidP="00D63C51">
            <w:pPr>
              <w:rPr>
                <w:rFonts w:ascii="Times New Roman" w:hAnsi="Times New Roman"/>
              </w:rPr>
            </w:pPr>
            <w:r w:rsidRPr="00A24C4D">
              <w:rPr>
                <w:rFonts w:ascii="Times New Roman" w:hAnsi="Times New Roman"/>
              </w:rPr>
              <w:t>Dhaka Hangzhou Biotechnology</w:t>
            </w:r>
          </w:p>
        </w:tc>
      </w:tr>
      <w:tr w:rsidR="00160A09" w:rsidRPr="00A24C4D" w14:paraId="2E460AE5" w14:textId="77777777" w:rsidTr="00D63C51">
        <w:tc>
          <w:tcPr>
            <w:tcW w:w="1525" w:type="dxa"/>
          </w:tcPr>
          <w:p w14:paraId="71823121" w14:textId="77777777" w:rsidR="00160A09" w:rsidRPr="00A24C4D" w:rsidRDefault="00160A09" w:rsidP="00D63C51">
            <w:pPr>
              <w:rPr>
                <w:rFonts w:ascii="Times New Roman" w:hAnsi="Times New Roman"/>
              </w:rPr>
            </w:pPr>
            <w:r w:rsidRPr="00A24C4D">
              <w:rPr>
                <w:rFonts w:ascii="Times New Roman" w:hAnsi="Times New Roman"/>
              </w:rPr>
              <w:t>Windup 20EC</w:t>
            </w:r>
          </w:p>
        </w:tc>
        <w:tc>
          <w:tcPr>
            <w:tcW w:w="2880" w:type="dxa"/>
          </w:tcPr>
          <w:p w14:paraId="2AA3BD78" w14:textId="77777777" w:rsidR="00160A09" w:rsidRPr="00A24C4D" w:rsidRDefault="00160A09" w:rsidP="00D63C51">
            <w:pPr>
              <w:rPr>
                <w:rFonts w:ascii="Times New Roman" w:hAnsi="Times New Roman"/>
              </w:rPr>
            </w:pPr>
            <w:proofErr w:type="spellStart"/>
            <w:r w:rsidRPr="00A24C4D">
              <w:rPr>
                <w:rFonts w:ascii="Times New Roman" w:hAnsi="Times New Roman"/>
              </w:rPr>
              <w:t>Benzoylprop</w:t>
            </w:r>
            <w:proofErr w:type="spellEnd"/>
            <w:r w:rsidRPr="00A24C4D">
              <w:rPr>
                <w:rFonts w:ascii="Times New Roman" w:hAnsi="Times New Roman"/>
              </w:rPr>
              <w:t>-ethyl 20%</w:t>
            </w:r>
          </w:p>
        </w:tc>
        <w:tc>
          <w:tcPr>
            <w:tcW w:w="1530" w:type="dxa"/>
          </w:tcPr>
          <w:p w14:paraId="66A86F72" w14:textId="77777777" w:rsidR="00160A09" w:rsidRPr="00A24C4D" w:rsidRDefault="00160A09" w:rsidP="00D63C51">
            <w:pPr>
              <w:rPr>
                <w:rFonts w:ascii="Times New Roman" w:hAnsi="Times New Roman"/>
              </w:rPr>
            </w:pPr>
            <w:r w:rsidRPr="00A24C4D">
              <w:rPr>
                <w:rFonts w:ascii="Times New Roman" w:hAnsi="Times New Roman"/>
              </w:rPr>
              <w:t>600 mL ha⁻¹</w:t>
            </w:r>
          </w:p>
        </w:tc>
        <w:tc>
          <w:tcPr>
            <w:tcW w:w="2790" w:type="dxa"/>
          </w:tcPr>
          <w:p w14:paraId="66C853DC" w14:textId="77777777" w:rsidR="00160A09" w:rsidRPr="00A24C4D" w:rsidRDefault="00160A09" w:rsidP="00D63C51">
            <w:pPr>
              <w:rPr>
                <w:rFonts w:ascii="Times New Roman" w:hAnsi="Times New Roman"/>
              </w:rPr>
            </w:pPr>
            <w:r w:rsidRPr="00A24C4D">
              <w:rPr>
                <w:rFonts w:ascii="Times New Roman" w:hAnsi="Times New Roman"/>
              </w:rPr>
              <w:t>Xplore</w:t>
            </w:r>
          </w:p>
        </w:tc>
      </w:tr>
      <w:tr w:rsidR="00160A09" w:rsidRPr="00A24C4D" w14:paraId="1F0D74A2" w14:textId="77777777" w:rsidTr="00D63C51">
        <w:tc>
          <w:tcPr>
            <w:tcW w:w="1525" w:type="dxa"/>
          </w:tcPr>
          <w:p w14:paraId="501CC337" w14:textId="77777777" w:rsidR="00160A09" w:rsidRPr="00A24C4D" w:rsidRDefault="00160A09" w:rsidP="00D63C51">
            <w:pPr>
              <w:rPr>
                <w:rFonts w:ascii="Times New Roman" w:hAnsi="Times New Roman"/>
              </w:rPr>
            </w:pPr>
            <w:proofErr w:type="spellStart"/>
            <w:r w:rsidRPr="00A24C4D">
              <w:rPr>
                <w:rFonts w:ascii="Times New Roman" w:hAnsi="Times New Roman"/>
              </w:rPr>
              <w:lastRenderedPageBreak/>
              <w:t>Emifit</w:t>
            </w:r>
            <w:proofErr w:type="spellEnd"/>
            <w:r w:rsidRPr="00A24C4D">
              <w:rPr>
                <w:rFonts w:ascii="Times New Roman" w:hAnsi="Times New Roman"/>
              </w:rPr>
              <w:t xml:space="preserve"> 50EC</w:t>
            </w:r>
          </w:p>
        </w:tc>
        <w:tc>
          <w:tcPr>
            <w:tcW w:w="2880" w:type="dxa"/>
          </w:tcPr>
          <w:p w14:paraId="7A79EE84" w14:textId="77777777" w:rsidR="00160A09" w:rsidRPr="00A24C4D" w:rsidRDefault="00160A09" w:rsidP="00D63C51">
            <w:pPr>
              <w:rPr>
                <w:rFonts w:ascii="Times New Roman" w:hAnsi="Times New Roman"/>
              </w:rPr>
            </w:pPr>
            <w:r w:rsidRPr="00A24C4D">
              <w:rPr>
                <w:rFonts w:ascii="Times New Roman" w:hAnsi="Times New Roman"/>
              </w:rPr>
              <w:t>Pretilachlor 50%</w:t>
            </w:r>
          </w:p>
        </w:tc>
        <w:tc>
          <w:tcPr>
            <w:tcW w:w="1530" w:type="dxa"/>
          </w:tcPr>
          <w:p w14:paraId="32C0407B" w14:textId="77777777" w:rsidR="00160A09" w:rsidRPr="00A24C4D" w:rsidRDefault="00160A09" w:rsidP="00D63C51">
            <w:pPr>
              <w:rPr>
                <w:rFonts w:ascii="Times New Roman" w:hAnsi="Times New Roman"/>
              </w:rPr>
            </w:pPr>
            <w:r w:rsidRPr="00A24C4D">
              <w:rPr>
                <w:rFonts w:ascii="Times New Roman" w:hAnsi="Times New Roman"/>
              </w:rPr>
              <w:t>1.5–2 L ha⁻¹</w:t>
            </w:r>
          </w:p>
        </w:tc>
        <w:tc>
          <w:tcPr>
            <w:tcW w:w="2790" w:type="dxa"/>
          </w:tcPr>
          <w:p w14:paraId="14767259" w14:textId="77777777" w:rsidR="00160A09" w:rsidRPr="00A24C4D" w:rsidRDefault="00160A09" w:rsidP="00D63C51">
            <w:pPr>
              <w:rPr>
                <w:rFonts w:ascii="Times New Roman" w:hAnsi="Times New Roman"/>
              </w:rPr>
            </w:pPr>
            <w:r w:rsidRPr="00A24C4D">
              <w:rPr>
                <w:rFonts w:ascii="Times New Roman" w:hAnsi="Times New Roman"/>
              </w:rPr>
              <w:t>Eminence Chemical Industries Ltd.</w:t>
            </w:r>
          </w:p>
        </w:tc>
      </w:tr>
      <w:tr w:rsidR="00160A09" w:rsidRPr="00A24C4D" w14:paraId="5FF30F9C" w14:textId="77777777" w:rsidTr="00D63C51">
        <w:tc>
          <w:tcPr>
            <w:tcW w:w="1525" w:type="dxa"/>
          </w:tcPr>
          <w:p w14:paraId="62403C72" w14:textId="77777777" w:rsidR="00160A09" w:rsidRPr="00A24C4D" w:rsidRDefault="00160A09" w:rsidP="00D63C51">
            <w:pPr>
              <w:rPr>
                <w:rFonts w:ascii="Times New Roman" w:hAnsi="Times New Roman"/>
              </w:rPr>
            </w:pPr>
            <w:r w:rsidRPr="00A24C4D">
              <w:rPr>
                <w:rFonts w:ascii="Times New Roman" w:hAnsi="Times New Roman"/>
              </w:rPr>
              <w:t>Raker 21OD</w:t>
            </w:r>
          </w:p>
        </w:tc>
        <w:tc>
          <w:tcPr>
            <w:tcW w:w="2880" w:type="dxa"/>
          </w:tcPr>
          <w:p w14:paraId="555BDA33" w14:textId="77777777" w:rsidR="00160A09" w:rsidRPr="00A24C4D" w:rsidRDefault="00160A09" w:rsidP="00D63C51">
            <w:pPr>
              <w:rPr>
                <w:rFonts w:ascii="Times New Roman" w:hAnsi="Times New Roman"/>
              </w:rPr>
            </w:pPr>
            <w:proofErr w:type="spellStart"/>
            <w:r w:rsidRPr="00A24C4D">
              <w:rPr>
                <w:rFonts w:ascii="Times New Roman" w:hAnsi="Times New Roman"/>
              </w:rPr>
              <w:t>Quizalofop</w:t>
            </w:r>
            <w:proofErr w:type="spellEnd"/>
            <w:r w:rsidRPr="00A24C4D">
              <w:rPr>
                <w:rFonts w:ascii="Times New Roman" w:hAnsi="Times New Roman"/>
              </w:rPr>
              <w:t xml:space="preserve">-p-ethyl 12% + </w:t>
            </w:r>
            <w:proofErr w:type="spellStart"/>
            <w:r w:rsidRPr="00A24C4D">
              <w:rPr>
                <w:rFonts w:ascii="Times New Roman" w:hAnsi="Times New Roman"/>
              </w:rPr>
              <w:t>Ethoxysulfuron</w:t>
            </w:r>
            <w:proofErr w:type="spellEnd"/>
            <w:r w:rsidRPr="00A24C4D">
              <w:rPr>
                <w:rFonts w:ascii="Times New Roman" w:hAnsi="Times New Roman"/>
              </w:rPr>
              <w:t xml:space="preserve"> 9%</w:t>
            </w:r>
          </w:p>
        </w:tc>
        <w:tc>
          <w:tcPr>
            <w:tcW w:w="1530" w:type="dxa"/>
          </w:tcPr>
          <w:p w14:paraId="3FCEA8E0" w14:textId="77777777" w:rsidR="00160A09" w:rsidRPr="00A24C4D" w:rsidRDefault="00160A09" w:rsidP="00D63C51">
            <w:pPr>
              <w:rPr>
                <w:rFonts w:ascii="Times New Roman" w:hAnsi="Times New Roman"/>
              </w:rPr>
            </w:pPr>
            <w:r w:rsidRPr="00A24C4D">
              <w:rPr>
                <w:rFonts w:ascii="Times New Roman" w:hAnsi="Times New Roman"/>
              </w:rPr>
              <w:t>650 mL ha⁻¹</w:t>
            </w:r>
          </w:p>
        </w:tc>
        <w:tc>
          <w:tcPr>
            <w:tcW w:w="2790" w:type="dxa"/>
          </w:tcPr>
          <w:p w14:paraId="763164C0" w14:textId="77777777" w:rsidR="00160A09" w:rsidRPr="00A24C4D" w:rsidRDefault="00160A09" w:rsidP="00D63C51">
            <w:pPr>
              <w:rPr>
                <w:rFonts w:ascii="Times New Roman" w:hAnsi="Times New Roman"/>
              </w:rPr>
            </w:pPr>
            <w:r w:rsidRPr="00A24C4D">
              <w:rPr>
                <w:rFonts w:ascii="Times New Roman" w:hAnsi="Times New Roman"/>
              </w:rPr>
              <w:t>Roof Crop Care Ltd.</w:t>
            </w:r>
          </w:p>
        </w:tc>
      </w:tr>
      <w:tr w:rsidR="00160A09" w:rsidRPr="00A24C4D" w14:paraId="4FD2F22D" w14:textId="77777777" w:rsidTr="00D63C51">
        <w:tc>
          <w:tcPr>
            <w:tcW w:w="1525" w:type="dxa"/>
          </w:tcPr>
          <w:p w14:paraId="0AAAC93D" w14:textId="77777777" w:rsidR="00160A09" w:rsidRPr="00A24C4D" w:rsidRDefault="00160A09" w:rsidP="00D63C51">
            <w:pPr>
              <w:rPr>
                <w:rFonts w:ascii="Times New Roman" w:hAnsi="Times New Roman"/>
              </w:rPr>
            </w:pPr>
            <w:proofErr w:type="spellStart"/>
            <w:r w:rsidRPr="00A24C4D">
              <w:rPr>
                <w:rFonts w:ascii="Times New Roman" w:hAnsi="Times New Roman"/>
              </w:rPr>
              <w:t>Raxil</w:t>
            </w:r>
            <w:proofErr w:type="spellEnd"/>
            <w:r w:rsidRPr="00A24C4D">
              <w:rPr>
                <w:rFonts w:ascii="Times New Roman" w:hAnsi="Times New Roman"/>
              </w:rPr>
              <w:t xml:space="preserve"> 50EC</w:t>
            </w:r>
          </w:p>
        </w:tc>
        <w:tc>
          <w:tcPr>
            <w:tcW w:w="2880" w:type="dxa"/>
          </w:tcPr>
          <w:p w14:paraId="54F6DC69" w14:textId="77777777" w:rsidR="00160A09" w:rsidRPr="00A24C4D" w:rsidRDefault="00160A09" w:rsidP="00D63C51">
            <w:pPr>
              <w:rPr>
                <w:rFonts w:ascii="Times New Roman" w:hAnsi="Times New Roman"/>
              </w:rPr>
            </w:pPr>
            <w:proofErr w:type="spellStart"/>
            <w:r w:rsidRPr="00A24C4D">
              <w:rPr>
                <w:rFonts w:ascii="Times New Roman" w:hAnsi="Times New Roman"/>
              </w:rPr>
              <w:t>Quizalofop</w:t>
            </w:r>
            <w:proofErr w:type="spellEnd"/>
            <w:r w:rsidRPr="00A24C4D">
              <w:rPr>
                <w:rFonts w:ascii="Times New Roman" w:hAnsi="Times New Roman"/>
              </w:rPr>
              <w:t>-p-ethyl 50%</w:t>
            </w:r>
          </w:p>
        </w:tc>
        <w:tc>
          <w:tcPr>
            <w:tcW w:w="1530" w:type="dxa"/>
          </w:tcPr>
          <w:p w14:paraId="1D728B47" w14:textId="77777777" w:rsidR="00160A09" w:rsidRPr="00A24C4D" w:rsidRDefault="00160A09" w:rsidP="00D63C51">
            <w:pPr>
              <w:rPr>
                <w:rFonts w:ascii="Times New Roman" w:hAnsi="Times New Roman"/>
              </w:rPr>
            </w:pPr>
            <w:r w:rsidRPr="00A24C4D">
              <w:rPr>
                <w:rFonts w:ascii="Times New Roman" w:hAnsi="Times New Roman"/>
              </w:rPr>
              <w:t>300 mL ha⁻¹</w:t>
            </w:r>
          </w:p>
        </w:tc>
        <w:tc>
          <w:tcPr>
            <w:tcW w:w="2790" w:type="dxa"/>
          </w:tcPr>
          <w:p w14:paraId="4E55E22F" w14:textId="77777777" w:rsidR="00160A09" w:rsidRPr="00A24C4D" w:rsidRDefault="00160A09" w:rsidP="00D63C51">
            <w:pPr>
              <w:rPr>
                <w:rFonts w:ascii="Times New Roman" w:hAnsi="Times New Roman"/>
              </w:rPr>
            </w:pPr>
            <w:r w:rsidRPr="00A24C4D">
              <w:rPr>
                <w:rFonts w:ascii="Times New Roman" w:hAnsi="Times New Roman"/>
              </w:rPr>
              <w:t xml:space="preserve">RAS </w:t>
            </w:r>
            <w:proofErr w:type="spellStart"/>
            <w:r w:rsidRPr="00A24C4D">
              <w:rPr>
                <w:rFonts w:ascii="Times New Roman" w:hAnsi="Times New Roman"/>
              </w:rPr>
              <w:t>Agro</w:t>
            </w:r>
            <w:proofErr w:type="spellEnd"/>
            <w:r w:rsidRPr="00A24C4D">
              <w:rPr>
                <w:rFonts w:ascii="Times New Roman" w:hAnsi="Times New Roman"/>
              </w:rPr>
              <w:t xml:space="preserve"> Industries</w:t>
            </w:r>
          </w:p>
        </w:tc>
      </w:tr>
      <w:tr w:rsidR="00160A09" w:rsidRPr="00A24C4D" w14:paraId="50095D8B" w14:textId="77777777" w:rsidTr="00D63C51">
        <w:tc>
          <w:tcPr>
            <w:tcW w:w="1525" w:type="dxa"/>
          </w:tcPr>
          <w:p w14:paraId="6AA17EAA" w14:textId="77777777" w:rsidR="00160A09" w:rsidRPr="00A24C4D" w:rsidRDefault="00160A09" w:rsidP="00D63C51">
            <w:pPr>
              <w:rPr>
                <w:rFonts w:ascii="Times New Roman" w:hAnsi="Times New Roman"/>
              </w:rPr>
            </w:pPr>
            <w:r w:rsidRPr="00A24C4D">
              <w:rPr>
                <w:rFonts w:ascii="Times New Roman" w:hAnsi="Times New Roman"/>
              </w:rPr>
              <w:t>Cutter 50EC</w:t>
            </w:r>
          </w:p>
        </w:tc>
        <w:tc>
          <w:tcPr>
            <w:tcW w:w="2880" w:type="dxa"/>
          </w:tcPr>
          <w:p w14:paraId="50852330" w14:textId="77777777" w:rsidR="00160A09" w:rsidRPr="00A24C4D" w:rsidRDefault="00160A09" w:rsidP="00D63C51">
            <w:pPr>
              <w:rPr>
                <w:rFonts w:ascii="Times New Roman" w:hAnsi="Times New Roman"/>
              </w:rPr>
            </w:pPr>
            <w:proofErr w:type="spellStart"/>
            <w:r w:rsidRPr="00A24C4D">
              <w:rPr>
                <w:rFonts w:ascii="Times New Roman" w:hAnsi="Times New Roman"/>
              </w:rPr>
              <w:t>Quizalofop</w:t>
            </w:r>
            <w:proofErr w:type="spellEnd"/>
            <w:r w:rsidRPr="00A24C4D">
              <w:rPr>
                <w:rFonts w:ascii="Times New Roman" w:hAnsi="Times New Roman"/>
              </w:rPr>
              <w:t>-p-ethyl 50%</w:t>
            </w:r>
          </w:p>
        </w:tc>
        <w:tc>
          <w:tcPr>
            <w:tcW w:w="1530" w:type="dxa"/>
          </w:tcPr>
          <w:p w14:paraId="1EA3C3B4" w14:textId="77777777" w:rsidR="00160A09" w:rsidRPr="00A24C4D" w:rsidRDefault="00160A09" w:rsidP="00D63C51">
            <w:pPr>
              <w:rPr>
                <w:rFonts w:ascii="Times New Roman" w:hAnsi="Times New Roman"/>
              </w:rPr>
            </w:pPr>
            <w:r w:rsidRPr="00A24C4D">
              <w:rPr>
                <w:rFonts w:ascii="Times New Roman" w:hAnsi="Times New Roman"/>
              </w:rPr>
              <w:t>300 mL ha⁻¹</w:t>
            </w:r>
          </w:p>
        </w:tc>
        <w:tc>
          <w:tcPr>
            <w:tcW w:w="2790" w:type="dxa"/>
          </w:tcPr>
          <w:p w14:paraId="0B978D03" w14:textId="77777777" w:rsidR="00160A09" w:rsidRPr="00A24C4D" w:rsidRDefault="00160A09" w:rsidP="00D63C51">
            <w:pPr>
              <w:rPr>
                <w:rFonts w:ascii="Times New Roman" w:hAnsi="Times New Roman"/>
              </w:rPr>
            </w:pPr>
            <w:r w:rsidRPr="00A24C4D">
              <w:rPr>
                <w:rFonts w:ascii="Times New Roman" w:hAnsi="Times New Roman"/>
              </w:rPr>
              <w:t>Crop Protection &amp; Care Centre</w:t>
            </w:r>
          </w:p>
        </w:tc>
      </w:tr>
      <w:tr w:rsidR="00160A09" w:rsidRPr="00A24C4D" w14:paraId="7AFCDBC4" w14:textId="77777777" w:rsidTr="00D63C51">
        <w:tc>
          <w:tcPr>
            <w:tcW w:w="1525" w:type="dxa"/>
          </w:tcPr>
          <w:p w14:paraId="125672D8" w14:textId="77777777" w:rsidR="00160A09" w:rsidRPr="00A24C4D" w:rsidRDefault="00160A09" w:rsidP="00D63C51">
            <w:pPr>
              <w:rPr>
                <w:rFonts w:ascii="Times New Roman" w:hAnsi="Times New Roman"/>
              </w:rPr>
            </w:pPr>
            <w:proofErr w:type="spellStart"/>
            <w:r w:rsidRPr="00A24C4D">
              <w:rPr>
                <w:rFonts w:ascii="Times New Roman" w:hAnsi="Times New Roman"/>
              </w:rPr>
              <w:t>Viquin</w:t>
            </w:r>
            <w:proofErr w:type="spellEnd"/>
            <w:r w:rsidRPr="00A24C4D">
              <w:rPr>
                <w:rFonts w:ascii="Times New Roman" w:hAnsi="Times New Roman"/>
              </w:rPr>
              <w:t xml:space="preserve"> 5EC</w:t>
            </w:r>
          </w:p>
        </w:tc>
        <w:tc>
          <w:tcPr>
            <w:tcW w:w="2880" w:type="dxa"/>
          </w:tcPr>
          <w:p w14:paraId="198077AD" w14:textId="77777777" w:rsidR="00160A09" w:rsidRPr="00A24C4D" w:rsidRDefault="00160A09" w:rsidP="00D63C51">
            <w:pPr>
              <w:rPr>
                <w:rFonts w:ascii="Times New Roman" w:hAnsi="Times New Roman"/>
              </w:rPr>
            </w:pPr>
            <w:proofErr w:type="spellStart"/>
            <w:r w:rsidRPr="00A24C4D">
              <w:rPr>
                <w:rFonts w:ascii="Times New Roman" w:hAnsi="Times New Roman"/>
              </w:rPr>
              <w:t>Quizalofop</w:t>
            </w:r>
            <w:proofErr w:type="spellEnd"/>
            <w:r w:rsidRPr="00A24C4D">
              <w:rPr>
                <w:rFonts w:ascii="Times New Roman" w:hAnsi="Times New Roman"/>
              </w:rPr>
              <w:t>-p-ethyl 5%</w:t>
            </w:r>
          </w:p>
        </w:tc>
        <w:tc>
          <w:tcPr>
            <w:tcW w:w="1530" w:type="dxa"/>
          </w:tcPr>
          <w:p w14:paraId="707BEBF4" w14:textId="77777777" w:rsidR="00160A09" w:rsidRPr="00A24C4D" w:rsidRDefault="00160A09" w:rsidP="00D63C51">
            <w:pPr>
              <w:rPr>
                <w:rFonts w:ascii="Times New Roman" w:hAnsi="Times New Roman"/>
              </w:rPr>
            </w:pPr>
            <w:r w:rsidRPr="00A24C4D">
              <w:rPr>
                <w:rFonts w:ascii="Times New Roman" w:hAnsi="Times New Roman"/>
              </w:rPr>
              <w:t>650 mL ha⁻¹</w:t>
            </w:r>
          </w:p>
        </w:tc>
        <w:tc>
          <w:tcPr>
            <w:tcW w:w="2790" w:type="dxa"/>
          </w:tcPr>
          <w:p w14:paraId="5D17F41D" w14:textId="77777777" w:rsidR="00160A09" w:rsidRPr="00A24C4D" w:rsidRDefault="00160A09" w:rsidP="00D63C51">
            <w:pPr>
              <w:rPr>
                <w:rFonts w:ascii="Times New Roman" w:hAnsi="Times New Roman"/>
              </w:rPr>
            </w:pPr>
            <w:proofErr w:type="spellStart"/>
            <w:r w:rsidRPr="00A24C4D">
              <w:rPr>
                <w:rFonts w:ascii="Times New Roman" w:hAnsi="Times New Roman"/>
              </w:rPr>
              <w:t>Agro</w:t>
            </w:r>
            <w:proofErr w:type="spellEnd"/>
            <w:r w:rsidRPr="00A24C4D">
              <w:rPr>
                <w:rFonts w:ascii="Times New Roman" w:hAnsi="Times New Roman"/>
              </w:rPr>
              <w:t xml:space="preserve"> Vim Ltd.</w:t>
            </w:r>
          </w:p>
        </w:tc>
      </w:tr>
      <w:tr w:rsidR="00160A09" w:rsidRPr="00A24C4D" w14:paraId="5F785D8C" w14:textId="77777777" w:rsidTr="00D63C51">
        <w:tc>
          <w:tcPr>
            <w:tcW w:w="1525" w:type="dxa"/>
          </w:tcPr>
          <w:p w14:paraId="5187E93C" w14:textId="77777777" w:rsidR="00160A09" w:rsidRPr="00A24C4D" w:rsidRDefault="00160A09" w:rsidP="00D63C51">
            <w:pPr>
              <w:rPr>
                <w:rFonts w:ascii="Times New Roman" w:hAnsi="Times New Roman"/>
              </w:rPr>
            </w:pPr>
            <w:proofErr w:type="spellStart"/>
            <w:r w:rsidRPr="00A24C4D">
              <w:rPr>
                <w:rFonts w:ascii="Times New Roman" w:hAnsi="Times New Roman"/>
              </w:rPr>
              <w:t>Eround</w:t>
            </w:r>
            <w:proofErr w:type="spellEnd"/>
            <w:r w:rsidRPr="00A24C4D">
              <w:rPr>
                <w:rFonts w:ascii="Times New Roman" w:hAnsi="Times New Roman"/>
              </w:rPr>
              <w:t xml:space="preserve"> Plus 20SL</w:t>
            </w:r>
          </w:p>
        </w:tc>
        <w:tc>
          <w:tcPr>
            <w:tcW w:w="2880" w:type="dxa"/>
          </w:tcPr>
          <w:p w14:paraId="660B8686" w14:textId="77777777" w:rsidR="00160A09" w:rsidRPr="00A24C4D" w:rsidRDefault="00160A09" w:rsidP="00D63C51">
            <w:pPr>
              <w:rPr>
                <w:rFonts w:ascii="Times New Roman" w:hAnsi="Times New Roman"/>
              </w:rPr>
            </w:pPr>
            <w:proofErr w:type="spellStart"/>
            <w:r w:rsidRPr="00A24C4D">
              <w:rPr>
                <w:rFonts w:ascii="Times New Roman" w:hAnsi="Times New Roman"/>
              </w:rPr>
              <w:t>Glufosinate</w:t>
            </w:r>
            <w:proofErr w:type="spellEnd"/>
            <w:r w:rsidRPr="00A24C4D">
              <w:rPr>
                <w:rFonts w:ascii="Times New Roman" w:hAnsi="Times New Roman"/>
              </w:rPr>
              <w:t>-ammonium 30%</w:t>
            </w:r>
          </w:p>
        </w:tc>
        <w:tc>
          <w:tcPr>
            <w:tcW w:w="1530" w:type="dxa"/>
          </w:tcPr>
          <w:p w14:paraId="6334B9D0" w14:textId="77777777" w:rsidR="00160A09" w:rsidRPr="00A24C4D" w:rsidRDefault="00160A09" w:rsidP="00D63C51">
            <w:pPr>
              <w:rPr>
                <w:rFonts w:ascii="Times New Roman" w:hAnsi="Times New Roman"/>
              </w:rPr>
            </w:pPr>
            <w:r w:rsidRPr="00A24C4D">
              <w:rPr>
                <w:rFonts w:ascii="Times New Roman" w:hAnsi="Times New Roman"/>
              </w:rPr>
              <w:t>2.5 L ha⁻¹</w:t>
            </w:r>
          </w:p>
        </w:tc>
        <w:tc>
          <w:tcPr>
            <w:tcW w:w="2790" w:type="dxa"/>
          </w:tcPr>
          <w:p w14:paraId="78C9596B" w14:textId="77777777" w:rsidR="00160A09" w:rsidRPr="00A24C4D" w:rsidRDefault="00160A09" w:rsidP="00D63C51">
            <w:pPr>
              <w:rPr>
                <w:rFonts w:ascii="Times New Roman" w:hAnsi="Times New Roman"/>
              </w:rPr>
            </w:pPr>
            <w:r w:rsidRPr="00A24C4D">
              <w:rPr>
                <w:rFonts w:ascii="Times New Roman" w:hAnsi="Times New Roman"/>
              </w:rPr>
              <w:t>Axil Life Science Ltd.</w:t>
            </w:r>
          </w:p>
        </w:tc>
      </w:tr>
      <w:tr w:rsidR="00160A09" w:rsidRPr="00A24C4D" w14:paraId="6DFF2C3F" w14:textId="77777777" w:rsidTr="00D63C51">
        <w:tc>
          <w:tcPr>
            <w:tcW w:w="1525" w:type="dxa"/>
          </w:tcPr>
          <w:p w14:paraId="27A9B17B" w14:textId="77777777" w:rsidR="00160A09" w:rsidRPr="00A24C4D" w:rsidRDefault="00160A09" w:rsidP="00D63C51">
            <w:pPr>
              <w:rPr>
                <w:rFonts w:ascii="Times New Roman" w:hAnsi="Times New Roman"/>
              </w:rPr>
            </w:pPr>
            <w:r w:rsidRPr="00A24C4D">
              <w:rPr>
                <w:rFonts w:ascii="Times New Roman" w:hAnsi="Times New Roman"/>
              </w:rPr>
              <w:t>Gama Hit 200SL</w:t>
            </w:r>
          </w:p>
        </w:tc>
        <w:tc>
          <w:tcPr>
            <w:tcW w:w="2880" w:type="dxa"/>
          </w:tcPr>
          <w:p w14:paraId="340A8B8F" w14:textId="77777777" w:rsidR="00160A09" w:rsidRPr="00A24C4D" w:rsidRDefault="00160A09" w:rsidP="00D63C51">
            <w:pPr>
              <w:rPr>
                <w:rFonts w:ascii="Times New Roman" w:hAnsi="Times New Roman"/>
              </w:rPr>
            </w:pPr>
            <w:proofErr w:type="spellStart"/>
            <w:r w:rsidRPr="00A24C4D">
              <w:rPr>
                <w:rFonts w:ascii="Times New Roman" w:hAnsi="Times New Roman"/>
              </w:rPr>
              <w:t>Glufosinate</w:t>
            </w:r>
            <w:proofErr w:type="spellEnd"/>
            <w:r w:rsidRPr="00A24C4D">
              <w:rPr>
                <w:rFonts w:ascii="Times New Roman" w:hAnsi="Times New Roman"/>
              </w:rPr>
              <w:t>-ammonium 200 g L⁻¹</w:t>
            </w:r>
          </w:p>
        </w:tc>
        <w:tc>
          <w:tcPr>
            <w:tcW w:w="1530" w:type="dxa"/>
          </w:tcPr>
          <w:p w14:paraId="1398B88E" w14:textId="77777777" w:rsidR="00160A09" w:rsidRPr="00A24C4D" w:rsidRDefault="00160A09" w:rsidP="00D63C51">
            <w:pPr>
              <w:rPr>
                <w:rFonts w:ascii="Times New Roman" w:hAnsi="Times New Roman"/>
              </w:rPr>
            </w:pPr>
            <w:r w:rsidRPr="00A24C4D">
              <w:rPr>
                <w:rFonts w:ascii="Times New Roman" w:hAnsi="Times New Roman"/>
              </w:rPr>
              <w:t>2.5 L ha⁻¹</w:t>
            </w:r>
          </w:p>
        </w:tc>
        <w:tc>
          <w:tcPr>
            <w:tcW w:w="2790" w:type="dxa"/>
          </w:tcPr>
          <w:p w14:paraId="64ECDDA0" w14:textId="77777777" w:rsidR="00160A09" w:rsidRPr="00A24C4D" w:rsidRDefault="00160A09" w:rsidP="00D63C51">
            <w:pPr>
              <w:rPr>
                <w:rFonts w:ascii="Times New Roman" w:hAnsi="Times New Roman"/>
              </w:rPr>
            </w:pPr>
            <w:r w:rsidRPr="00A24C4D">
              <w:rPr>
                <w:rFonts w:ascii="Times New Roman" w:hAnsi="Times New Roman"/>
              </w:rPr>
              <w:t>DM Crop Care Ltd.</w:t>
            </w:r>
          </w:p>
        </w:tc>
      </w:tr>
      <w:tr w:rsidR="00160A09" w:rsidRPr="00A24C4D" w14:paraId="190D84E3" w14:textId="77777777" w:rsidTr="00D63C51">
        <w:tc>
          <w:tcPr>
            <w:tcW w:w="1525" w:type="dxa"/>
          </w:tcPr>
          <w:p w14:paraId="71516704" w14:textId="77777777" w:rsidR="00160A09" w:rsidRPr="00A24C4D" w:rsidRDefault="00160A09" w:rsidP="00D63C51">
            <w:pPr>
              <w:rPr>
                <w:rFonts w:ascii="Times New Roman" w:hAnsi="Times New Roman"/>
              </w:rPr>
            </w:pPr>
            <w:proofErr w:type="spellStart"/>
            <w:r w:rsidRPr="00A24C4D">
              <w:rPr>
                <w:rFonts w:ascii="Times New Roman" w:hAnsi="Times New Roman"/>
              </w:rPr>
              <w:t>Grogo</w:t>
            </w:r>
            <w:proofErr w:type="spellEnd"/>
            <w:r w:rsidRPr="00A24C4D">
              <w:rPr>
                <w:rFonts w:ascii="Times New Roman" w:hAnsi="Times New Roman"/>
              </w:rPr>
              <w:t xml:space="preserve"> 5EC</w:t>
            </w:r>
          </w:p>
        </w:tc>
        <w:tc>
          <w:tcPr>
            <w:tcW w:w="2880" w:type="dxa"/>
          </w:tcPr>
          <w:p w14:paraId="5AEA07A7" w14:textId="77777777" w:rsidR="00160A09" w:rsidRPr="00A24C4D" w:rsidRDefault="00160A09" w:rsidP="00D63C51">
            <w:pPr>
              <w:rPr>
                <w:rFonts w:ascii="Times New Roman" w:hAnsi="Times New Roman"/>
              </w:rPr>
            </w:pPr>
            <w:proofErr w:type="spellStart"/>
            <w:r w:rsidRPr="00A24C4D">
              <w:rPr>
                <w:rFonts w:ascii="Times New Roman" w:hAnsi="Times New Roman"/>
              </w:rPr>
              <w:t>Quizalofop</w:t>
            </w:r>
            <w:proofErr w:type="spellEnd"/>
            <w:r w:rsidRPr="00A24C4D">
              <w:rPr>
                <w:rFonts w:ascii="Times New Roman" w:hAnsi="Times New Roman"/>
              </w:rPr>
              <w:t>-p-ethyl 5%</w:t>
            </w:r>
          </w:p>
        </w:tc>
        <w:tc>
          <w:tcPr>
            <w:tcW w:w="1530" w:type="dxa"/>
          </w:tcPr>
          <w:p w14:paraId="5F346D9A" w14:textId="77777777" w:rsidR="00160A09" w:rsidRPr="00A24C4D" w:rsidRDefault="00160A09" w:rsidP="00D63C51">
            <w:pPr>
              <w:rPr>
                <w:rFonts w:ascii="Times New Roman" w:hAnsi="Times New Roman"/>
              </w:rPr>
            </w:pPr>
            <w:r w:rsidRPr="00A24C4D">
              <w:rPr>
                <w:rFonts w:ascii="Times New Roman" w:hAnsi="Times New Roman"/>
              </w:rPr>
              <w:t>650 mL ha⁻¹</w:t>
            </w:r>
          </w:p>
        </w:tc>
        <w:tc>
          <w:tcPr>
            <w:tcW w:w="2790" w:type="dxa"/>
          </w:tcPr>
          <w:p w14:paraId="795DA846" w14:textId="77777777" w:rsidR="00160A09" w:rsidRPr="00A24C4D" w:rsidRDefault="00160A09" w:rsidP="00D63C51">
            <w:pPr>
              <w:rPr>
                <w:rFonts w:ascii="Times New Roman" w:hAnsi="Times New Roman"/>
              </w:rPr>
            </w:pPr>
            <w:proofErr w:type="spellStart"/>
            <w:r w:rsidRPr="00A24C4D">
              <w:rPr>
                <w:rFonts w:ascii="Times New Roman" w:hAnsi="Times New Roman"/>
              </w:rPr>
              <w:t>Gurpukur</w:t>
            </w:r>
            <w:proofErr w:type="spellEnd"/>
            <w:r w:rsidRPr="00A24C4D">
              <w:rPr>
                <w:rFonts w:ascii="Times New Roman" w:hAnsi="Times New Roman"/>
              </w:rPr>
              <w:t xml:space="preserve"> Corporation</w:t>
            </w:r>
          </w:p>
        </w:tc>
      </w:tr>
      <w:tr w:rsidR="00160A09" w:rsidRPr="00A24C4D" w14:paraId="25C1DE70" w14:textId="77777777" w:rsidTr="00D63C51">
        <w:tc>
          <w:tcPr>
            <w:tcW w:w="1525" w:type="dxa"/>
          </w:tcPr>
          <w:p w14:paraId="36AFAAE4" w14:textId="77777777" w:rsidR="00160A09" w:rsidRPr="00A24C4D" w:rsidRDefault="00160A09" w:rsidP="00D63C51">
            <w:pPr>
              <w:rPr>
                <w:rFonts w:ascii="Times New Roman" w:hAnsi="Times New Roman"/>
              </w:rPr>
            </w:pPr>
            <w:proofErr w:type="spellStart"/>
            <w:r w:rsidRPr="00A24C4D">
              <w:rPr>
                <w:rFonts w:ascii="Times New Roman" w:hAnsi="Times New Roman"/>
              </w:rPr>
              <w:t>Zoventa</w:t>
            </w:r>
            <w:proofErr w:type="spellEnd"/>
            <w:r w:rsidRPr="00A24C4D">
              <w:rPr>
                <w:rFonts w:ascii="Times New Roman" w:hAnsi="Times New Roman"/>
              </w:rPr>
              <w:t xml:space="preserve"> 5EC</w:t>
            </w:r>
          </w:p>
        </w:tc>
        <w:tc>
          <w:tcPr>
            <w:tcW w:w="2880" w:type="dxa"/>
          </w:tcPr>
          <w:p w14:paraId="0C3BD009" w14:textId="77777777" w:rsidR="00160A09" w:rsidRPr="00A24C4D" w:rsidRDefault="00160A09" w:rsidP="00D63C51">
            <w:pPr>
              <w:rPr>
                <w:rFonts w:ascii="Times New Roman" w:hAnsi="Times New Roman"/>
              </w:rPr>
            </w:pPr>
            <w:proofErr w:type="spellStart"/>
            <w:r w:rsidRPr="00A24C4D">
              <w:rPr>
                <w:rFonts w:ascii="Times New Roman" w:hAnsi="Times New Roman"/>
              </w:rPr>
              <w:t>Quizalofop</w:t>
            </w:r>
            <w:proofErr w:type="spellEnd"/>
            <w:r w:rsidRPr="00A24C4D">
              <w:rPr>
                <w:rFonts w:ascii="Times New Roman" w:hAnsi="Times New Roman"/>
              </w:rPr>
              <w:t>-p-ethyl 5%</w:t>
            </w:r>
          </w:p>
        </w:tc>
        <w:tc>
          <w:tcPr>
            <w:tcW w:w="1530" w:type="dxa"/>
          </w:tcPr>
          <w:p w14:paraId="6DA8AFA0" w14:textId="77777777" w:rsidR="00160A09" w:rsidRPr="00A24C4D" w:rsidRDefault="00160A09" w:rsidP="00D63C51">
            <w:pPr>
              <w:rPr>
                <w:rFonts w:ascii="Times New Roman" w:hAnsi="Times New Roman"/>
              </w:rPr>
            </w:pPr>
            <w:r w:rsidRPr="00A24C4D">
              <w:rPr>
                <w:rFonts w:ascii="Times New Roman" w:hAnsi="Times New Roman"/>
              </w:rPr>
              <w:t>650 mL ha⁻¹</w:t>
            </w:r>
          </w:p>
        </w:tc>
        <w:tc>
          <w:tcPr>
            <w:tcW w:w="2790" w:type="dxa"/>
          </w:tcPr>
          <w:p w14:paraId="7B667C77" w14:textId="77777777" w:rsidR="00160A09" w:rsidRPr="00A24C4D" w:rsidRDefault="00160A09" w:rsidP="00D63C51">
            <w:pPr>
              <w:rPr>
                <w:rFonts w:ascii="Times New Roman" w:hAnsi="Times New Roman"/>
              </w:rPr>
            </w:pPr>
            <w:proofErr w:type="spellStart"/>
            <w:r w:rsidRPr="00A24C4D">
              <w:rPr>
                <w:rFonts w:ascii="Times New Roman" w:hAnsi="Times New Roman"/>
              </w:rPr>
              <w:t>Naher</w:t>
            </w:r>
            <w:proofErr w:type="spellEnd"/>
            <w:r w:rsidRPr="00A24C4D">
              <w:rPr>
                <w:rFonts w:ascii="Times New Roman" w:hAnsi="Times New Roman"/>
              </w:rPr>
              <w:t xml:space="preserve"> </w:t>
            </w:r>
            <w:proofErr w:type="spellStart"/>
            <w:r w:rsidRPr="00A24C4D">
              <w:rPr>
                <w:rFonts w:ascii="Times New Roman" w:hAnsi="Times New Roman"/>
              </w:rPr>
              <w:t>Agro</w:t>
            </w:r>
            <w:proofErr w:type="spellEnd"/>
            <w:r w:rsidRPr="00A24C4D">
              <w:rPr>
                <w:rFonts w:ascii="Times New Roman" w:hAnsi="Times New Roman"/>
              </w:rPr>
              <w:t xml:space="preserve"> International</w:t>
            </w:r>
          </w:p>
        </w:tc>
      </w:tr>
      <w:tr w:rsidR="00160A09" w:rsidRPr="00A24C4D" w14:paraId="527F8FE0" w14:textId="77777777" w:rsidTr="00D63C51">
        <w:tc>
          <w:tcPr>
            <w:tcW w:w="1525" w:type="dxa"/>
          </w:tcPr>
          <w:p w14:paraId="197F363F" w14:textId="77777777" w:rsidR="00160A09" w:rsidRPr="00A24C4D" w:rsidRDefault="00160A09" w:rsidP="00D63C51">
            <w:pPr>
              <w:rPr>
                <w:rFonts w:ascii="Times New Roman" w:hAnsi="Times New Roman"/>
              </w:rPr>
            </w:pPr>
            <w:proofErr w:type="spellStart"/>
            <w:r w:rsidRPr="00A24C4D">
              <w:rPr>
                <w:rFonts w:ascii="Times New Roman" w:hAnsi="Times New Roman"/>
              </w:rPr>
              <w:t>Upaye</w:t>
            </w:r>
            <w:proofErr w:type="spellEnd"/>
            <w:r w:rsidRPr="00A24C4D">
              <w:rPr>
                <w:rFonts w:ascii="Times New Roman" w:hAnsi="Times New Roman"/>
              </w:rPr>
              <w:t xml:space="preserve"> 15EC</w:t>
            </w:r>
          </w:p>
        </w:tc>
        <w:tc>
          <w:tcPr>
            <w:tcW w:w="2880" w:type="dxa"/>
          </w:tcPr>
          <w:p w14:paraId="4050D445" w14:textId="77777777" w:rsidR="00160A09" w:rsidRPr="00A24C4D" w:rsidRDefault="00160A09" w:rsidP="00D63C51">
            <w:pPr>
              <w:rPr>
                <w:rFonts w:ascii="Times New Roman" w:hAnsi="Times New Roman"/>
              </w:rPr>
            </w:pPr>
            <w:proofErr w:type="spellStart"/>
            <w:r w:rsidRPr="00A24C4D">
              <w:rPr>
                <w:rFonts w:ascii="Times New Roman" w:hAnsi="Times New Roman"/>
              </w:rPr>
              <w:t>Quizalofop</w:t>
            </w:r>
            <w:proofErr w:type="spellEnd"/>
            <w:r w:rsidRPr="00A24C4D">
              <w:rPr>
                <w:rFonts w:ascii="Times New Roman" w:hAnsi="Times New Roman"/>
              </w:rPr>
              <w:t>-p-ethyl 15%</w:t>
            </w:r>
          </w:p>
        </w:tc>
        <w:tc>
          <w:tcPr>
            <w:tcW w:w="1530" w:type="dxa"/>
          </w:tcPr>
          <w:p w14:paraId="77EC3C8C" w14:textId="77777777" w:rsidR="00160A09" w:rsidRPr="00A24C4D" w:rsidRDefault="00160A09" w:rsidP="00D63C51">
            <w:pPr>
              <w:rPr>
                <w:rFonts w:ascii="Times New Roman" w:hAnsi="Times New Roman"/>
              </w:rPr>
            </w:pPr>
            <w:r w:rsidRPr="00A24C4D">
              <w:rPr>
                <w:rFonts w:ascii="Times New Roman" w:hAnsi="Times New Roman"/>
              </w:rPr>
              <w:t>650 mL ha⁻¹</w:t>
            </w:r>
          </w:p>
        </w:tc>
        <w:tc>
          <w:tcPr>
            <w:tcW w:w="2790" w:type="dxa"/>
          </w:tcPr>
          <w:p w14:paraId="3CDBACC3" w14:textId="77777777" w:rsidR="00160A09" w:rsidRPr="00A24C4D" w:rsidRDefault="00160A09" w:rsidP="00D63C51">
            <w:pPr>
              <w:rPr>
                <w:rFonts w:ascii="Times New Roman" w:hAnsi="Times New Roman"/>
              </w:rPr>
            </w:pPr>
            <w:r w:rsidRPr="00A24C4D">
              <w:rPr>
                <w:rFonts w:ascii="Times New Roman" w:hAnsi="Times New Roman"/>
              </w:rPr>
              <w:t xml:space="preserve">Welfare </w:t>
            </w:r>
            <w:proofErr w:type="spellStart"/>
            <w:r w:rsidRPr="00A24C4D">
              <w:rPr>
                <w:rFonts w:ascii="Times New Roman" w:hAnsi="Times New Roman"/>
              </w:rPr>
              <w:t>Agro</w:t>
            </w:r>
            <w:proofErr w:type="spellEnd"/>
            <w:r w:rsidRPr="00A24C4D">
              <w:rPr>
                <w:rFonts w:ascii="Times New Roman" w:hAnsi="Times New Roman"/>
              </w:rPr>
              <w:t xml:space="preserve"> Science</w:t>
            </w:r>
          </w:p>
        </w:tc>
      </w:tr>
    </w:tbl>
    <w:p w14:paraId="6B1DB0BF" w14:textId="77777777" w:rsidR="00160A09" w:rsidRPr="00A3002B" w:rsidRDefault="00160A09" w:rsidP="003A34FE">
      <w:pPr>
        <w:spacing w:before="100" w:beforeAutospacing="1" w:after="100" w:afterAutospacing="1" w:line="240" w:lineRule="auto"/>
        <w:rPr>
          <w:rFonts w:ascii="Times New Roman" w:hAnsi="Times New Roman"/>
          <w:sz w:val="24"/>
          <w:szCs w:val="24"/>
          <w:lang w:bidi="ar-SA"/>
        </w:rPr>
      </w:pPr>
    </w:p>
    <w:p w14:paraId="6BC61E1B" w14:textId="4A783033" w:rsidR="003A34FE" w:rsidRPr="00A3002B" w:rsidRDefault="004701B2" w:rsidP="00F5388B">
      <w:pPr>
        <w:spacing w:after="0" w:line="240" w:lineRule="auto"/>
        <w:rPr>
          <w:rFonts w:ascii="Times New Roman" w:hAnsi="Times New Roman"/>
          <w:b/>
          <w:bCs/>
          <w:sz w:val="24"/>
          <w:szCs w:val="24"/>
          <w:lang w:bidi="ar-SA"/>
        </w:rPr>
      </w:pPr>
      <w:r w:rsidRPr="00A3002B">
        <w:rPr>
          <w:rFonts w:ascii="Times New Roman" w:hAnsi="Times New Roman"/>
          <w:b/>
          <w:bCs/>
          <w:sz w:val="24"/>
          <w:szCs w:val="24"/>
          <w:lang w:bidi="ar-SA"/>
        </w:rPr>
        <w:t xml:space="preserve">2.3 </w:t>
      </w:r>
      <w:r w:rsidR="003A34FE" w:rsidRPr="00A3002B">
        <w:rPr>
          <w:rFonts w:ascii="Times New Roman" w:hAnsi="Times New Roman"/>
          <w:b/>
          <w:bCs/>
          <w:sz w:val="24"/>
          <w:szCs w:val="24"/>
          <w:lang w:bidi="ar-SA"/>
        </w:rPr>
        <w:t>Crop Management</w:t>
      </w:r>
    </w:p>
    <w:p w14:paraId="6A6FC8C7" w14:textId="7D456F27"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The BJRI </w:t>
      </w:r>
      <w:proofErr w:type="spellStart"/>
      <w:r w:rsidRPr="00A3002B">
        <w:rPr>
          <w:rFonts w:ascii="Times New Roman" w:hAnsi="Times New Roman"/>
          <w:sz w:val="24"/>
          <w:szCs w:val="24"/>
          <w:lang w:bidi="ar-SA"/>
        </w:rPr>
        <w:t>Tossa</w:t>
      </w:r>
      <w:proofErr w:type="spellEnd"/>
      <w:r w:rsidRPr="00A3002B">
        <w:rPr>
          <w:rFonts w:ascii="Times New Roman" w:hAnsi="Times New Roman"/>
          <w:sz w:val="24"/>
          <w:szCs w:val="24"/>
          <w:lang w:bidi="ar-SA"/>
        </w:rPr>
        <w:t xml:space="preserve"> Pat-8 variety, a high-yielding and widely cultivated </w:t>
      </w:r>
      <w:proofErr w:type="spellStart"/>
      <w:r w:rsidRPr="00A3002B">
        <w:rPr>
          <w:rFonts w:ascii="Times New Roman" w:hAnsi="Times New Roman"/>
          <w:sz w:val="24"/>
          <w:szCs w:val="24"/>
          <w:lang w:bidi="ar-SA"/>
        </w:rPr>
        <w:t>tossa</w:t>
      </w:r>
      <w:proofErr w:type="spellEnd"/>
      <w:r w:rsidRPr="00A3002B">
        <w:rPr>
          <w:rFonts w:ascii="Times New Roman" w:hAnsi="Times New Roman"/>
          <w:sz w:val="24"/>
          <w:szCs w:val="24"/>
          <w:lang w:bidi="ar-SA"/>
        </w:rPr>
        <w:t xml:space="preserve"> jute variety, was selected for uniformity and consistency across sites. The land was prepared by ploughing twice with a power tiller, followed by laddering to ensure a fine tilth suitable for seedbed establishment. Seeds were sown manually in lines spaced 30 cm apart and later thinned to maintain a 10 cm intra-row spacing at 10–12 days after emergence.</w:t>
      </w:r>
    </w:p>
    <w:p w14:paraId="5D765E05"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Recommended fertilizer doses (N–P–K–S: 60–20–40–20 kg ha⁻¹) were applied following BJRI guidelines, with urea applied in two splits—half at final land preparation and the rest at 25 days after sowing (Islam &amp; Ali, 2017). Weeding in the control plots and other cultural operations such as irrigation and pest control were carried out uniformly across all treatments.</w:t>
      </w:r>
    </w:p>
    <w:p w14:paraId="2101DCF4"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Herbicide applications were made 13–15 days after sowing (DAS) using a hand-operated knapsack sprayer equipped with a flat-fan nozzle to ensure uniform spray distribution. The spray volume was maintained at 500 L ha⁻¹, and applications were conducted in calm weather conditions to prevent drift. Before spraying, the sprayer was calibrated to ensure accurate delivery of the recommended dose (Bhuiyan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2018; Mandal &amp; Mukherjee, 2018).</w:t>
      </w:r>
    </w:p>
    <w:p w14:paraId="5F864F23" w14:textId="71D5B3C0" w:rsidR="003A34FE" w:rsidRPr="00A3002B" w:rsidRDefault="003A34FE" w:rsidP="003A34FE">
      <w:pPr>
        <w:spacing w:after="0" w:line="240" w:lineRule="auto"/>
        <w:rPr>
          <w:rFonts w:ascii="Times New Roman" w:hAnsi="Times New Roman"/>
          <w:sz w:val="24"/>
          <w:szCs w:val="24"/>
          <w:lang w:bidi="ar-SA"/>
        </w:rPr>
      </w:pPr>
    </w:p>
    <w:p w14:paraId="62AAB970" w14:textId="745D69A1" w:rsidR="003A34FE" w:rsidRPr="00A3002B" w:rsidRDefault="004701B2" w:rsidP="00F5388B">
      <w:pPr>
        <w:spacing w:after="0" w:line="240" w:lineRule="auto"/>
        <w:rPr>
          <w:rFonts w:ascii="Times New Roman" w:hAnsi="Times New Roman"/>
          <w:b/>
          <w:bCs/>
          <w:sz w:val="24"/>
          <w:szCs w:val="24"/>
          <w:lang w:bidi="ar-SA"/>
        </w:rPr>
      </w:pPr>
      <w:r w:rsidRPr="00A3002B">
        <w:rPr>
          <w:rFonts w:ascii="Times New Roman" w:hAnsi="Times New Roman"/>
          <w:b/>
          <w:bCs/>
          <w:sz w:val="24"/>
          <w:szCs w:val="24"/>
          <w:lang w:bidi="ar-SA"/>
        </w:rPr>
        <w:t xml:space="preserve">2.4 </w:t>
      </w:r>
      <w:r w:rsidR="003A34FE" w:rsidRPr="00A3002B">
        <w:rPr>
          <w:rFonts w:ascii="Times New Roman" w:hAnsi="Times New Roman"/>
          <w:b/>
          <w:bCs/>
          <w:sz w:val="24"/>
          <w:szCs w:val="24"/>
          <w:lang w:bidi="ar-SA"/>
        </w:rPr>
        <w:t>Weed Sampling and Data Collection</w:t>
      </w:r>
    </w:p>
    <w:p w14:paraId="39F7B92A" w14:textId="26D8B529"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Weed observations were recorded 20 days after herbicide application, representing the period when weed suppression effects were most apparent. Weed density and biomass were measured using a 1 m × 1 m quadrat, randomly placed at three spots within each plot. All weeds inside the quadrat were counted and identified to species level following standard taxonomic keys.</w:t>
      </w:r>
    </w:p>
    <w:p w14:paraId="6F875021"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lastRenderedPageBreak/>
        <w:t xml:space="preserve">Weed density (number per m²) and fresh biomass (g m⁻²) were recorded immediately after uprooting. The major weed flora observed during both seasons included </w:t>
      </w:r>
      <w:proofErr w:type="spellStart"/>
      <w:r w:rsidRPr="00A3002B">
        <w:rPr>
          <w:rFonts w:ascii="Times New Roman" w:hAnsi="Times New Roman"/>
          <w:i/>
          <w:iCs/>
          <w:sz w:val="24"/>
          <w:szCs w:val="24"/>
          <w:lang w:bidi="ar-SA"/>
        </w:rPr>
        <w:t>Echinochloa</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colona</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Khudesama</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i/>
          <w:iCs/>
          <w:sz w:val="24"/>
          <w:szCs w:val="24"/>
          <w:lang w:bidi="ar-SA"/>
        </w:rPr>
        <w:t>Digitaria</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sanguinalis</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Angulighas</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i/>
          <w:iCs/>
          <w:sz w:val="24"/>
          <w:szCs w:val="24"/>
          <w:lang w:bidi="ar-SA"/>
        </w:rPr>
        <w:t>Cyperus</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rotundus</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Mutha</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i/>
          <w:iCs/>
          <w:sz w:val="24"/>
          <w:szCs w:val="24"/>
          <w:lang w:bidi="ar-SA"/>
        </w:rPr>
        <w:t>Cynodon</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dactylon</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Durba</w:t>
      </w:r>
      <w:proofErr w:type="spellEnd"/>
      <w:r w:rsidRPr="00A3002B">
        <w:rPr>
          <w:rFonts w:ascii="Times New Roman" w:hAnsi="Times New Roman"/>
          <w:sz w:val="24"/>
          <w:szCs w:val="24"/>
          <w:lang w:bidi="ar-SA"/>
        </w:rPr>
        <w:t xml:space="preserve">), and </w:t>
      </w:r>
      <w:proofErr w:type="spellStart"/>
      <w:r w:rsidRPr="00A3002B">
        <w:rPr>
          <w:rFonts w:ascii="Times New Roman" w:hAnsi="Times New Roman"/>
          <w:i/>
          <w:iCs/>
          <w:sz w:val="24"/>
          <w:szCs w:val="24"/>
          <w:lang w:bidi="ar-SA"/>
        </w:rPr>
        <w:t>Eleusine</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indica</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Chapra</w:t>
      </w:r>
      <w:proofErr w:type="spellEnd"/>
      <w:r w:rsidRPr="00A3002B">
        <w:rPr>
          <w:rFonts w:ascii="Times New Roman" w:hAnsi="Times New Roman"/>
          <w:sz w:val="24"/>
          <w:szCs w:val="24"/>
          <w:lang w:bidi="ar-SA"/>
        </w:rPr>
        <w:t xml:space="preserve">). These species are well-documented as dominant competitors in summer jute fields under Bangladesh conditions (Ghorai, 2015; Kumar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w:t>
      </w:r>
    </w:p>
    <w:p w14:paraId="3519F3F5" w14:textId="27F05F46" w:rsidR="003A34FE" w:rsidRPr="00A3002B" w:rsidRDefault="003A34FE" w:rsidP="003A34FE">
      <w:pPr>
        <w:spacing w:before="100" w:beforeAutospacing="1" w:after="100" w:afterAutospacing="1" w:line="240" w:lineRule="auto"/>
        <w:rPr>
          <w:rFonts w:ascii="Times New Roman" w:hAnsi="Times New Roman"/>
          <w:sz w:val="24"/>
          <w:szCs w:val="24"/>
          <w:lang w:bidi="ar-SA"/>
        </w:rPr>
      </w:pPr>
      <w:r w:rsidRPr="00A3002B">
        <w:rPr>
          <w:rFonts w:ascii="Times New Roman" w:hAnsi="Times New Roman"/>
          <w:sz w:val="24"/>
          <w:szCs w:val="24"/>
          <w:lang w:bidi="ar-SA"/>
        </w:rPr>
        <w:t xml:space="preserve">The weed control efficacy (WCE) was calculated using the following equation (Singh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w:t>
      </w:r>
      <w:r w:rsidR="008758DB">
        <w:rPr>
          <w:rFonts w:ascii="Times New Roman" w:hAnsi="Times New Roman"/>
          <w:sz w:val="24"/>
          <w:szCs w:val="24"/>
          <w:lang w:bidi="ar-SA"/>
        </w:rPr>
        <w:t>a</w:t>
      </w:r>
      <w:r w:rsidRPr="00A3002B">
        <w:rPr>
          <w:rFonts w:ascii="Times New Roman" w:hAnsi="Times New Roman"/>
          <w:sz w:val="24"/>
          <w:szCs w:val="24"/>
          <w:lang w:bidi="ar-SA"/>
        </w:rPr>
        <w:t>):</w:t>
      </w:r>
    </w:p>
    <w:p w14:paraId="3FB0BC1F" w14:textId="77777777" w:rsidR="003A34FE" w:rsidRPr="00A3002B" w:rsidRDefault="003A34FE" w:rsidP="003A34FE">
      <w:pPr>
        <w:spacing w:after="0" w:line="240" w:lineRule="auto"/>
        <w:rPr>
          <w:rFonts w:ascii="Times New Roman" w:hAnsi="Times New Roman"/>
          <w:sz w:val="24"/>
          <w:szCs w:val="24"/>
          <w:lang w:bidi="ar-SA"/>
        </w:rPr>
      </w:pPr>
      <m:oMathPara>
        <m:oMath>
          <m:r>
            <w:rPr>
              <w:rFonts w:ascii="Cambria Math" w:hAnsi="Cambria Math"/>
              <w:sz w:val="24"/>
              <w:szCs w:val="24"/>
              <w:lang w:bidi="ar-SA"/>
            </w:rPr>
            <m:t>WCE(</m:t>
          </m:r>
          <m:r>
            <m:rPr>
              <m:sty m:val="p"/>
            </m:rPr>
            <w:rPr>
              <w:rFonts w:ascii="Cambria Math" w:hAnsi="Cambria Math"/>
              <w:sz w:val="24"/>
              <w:szCs w:val="24"/>
              <w:lang w:bidi="ar-SA"/>
            </w:rPr>
            <m:t>%</m:t>
          </m:r>
          <m:r>
            <w:rPr>
              <w:rFonts w:ascii="Cambria Math" w:hAnsi="Cambria Math"/>
              <w:sz w:val="24"/>
              <w:szCs w:val="24"/>
              <w:lang w:bidi="ar-SA"/>
            </w:rPr>
            <m:t>)=</m:t>
          </m:r>
          <m:f>
            <m:fPr>
              <m:ctrlPr>
                <w:rPr>
                  <w:rFonts w:ascii="Cambria Math" w:hAnsi="Cambria Math"/>
                  <w:sz w:val="24"/>
                  <w:szCs w:val="24"/>
                  <w:lang w:bidi="ar-SA"/>
                </w:rPr>
              </m:ctrlPr>
            </m:fPr>
            <m:num>
              <m:sSub>
                <m:sSubPr>
                  <m:ctrlPr>
                    <w:rPr>
                      <w:rFonts w:ascii="Cambria Math" w:hAnsi="Cambria Math"/>
                      <w:sz w:val="24"/>
                      <w:szCs w:val="24"/>
                      <w:lang w:bidi="ar-SA"/>
                    </w:rPr>
                  </m:ctrlPr>
                </m:sSubPr>
                <m:e>
                  <m:r>
                    <w:rPr>
                      <w:rFonts w:ascii="Cambria Math" w:hAnsi="Cambria Math"/>
                      <w:sz w:val="24"/>
                      <w:szCs w:val="24"/>
                      <w:lang w:bidi="ar-SA"/>
                    </w:rPr>
                    <m:t>W</m:t>
                  </m:r>
                </m:e>
                <m:sub>
                  <m:r>
                    <w:rPr>
                      <w:rFonts w:ascii="Cambria Math" w:hAnsi="Cambria Math"/>
                      <w:sz w:val="24"/>
                      <w:szCs w:val="24"/>
                      <w:lang w:bidi="ar-SA"/>
                    </w:rPr>
                    <m:t>0</m:t>
                  </m:r>
                </m:sub>
              </m:sSub>
              <m:r>
                <w:rPr>
                  <w:rFonts w:ascii="Cambria Math" w:hAnsi="Cambria Math"/>
                  <w:sz w:val="24"/>
                  <w:szCs w:val="24"/>
                  <w:lang w:bidi="ar-SA"/>
                </w:rPr>
                <m:t>-</m:t>
              </m:r>
              <m:sSub>
                <m:sSubPr>
                  <m:ctrlPr>
                    <w:rPr>
                      <w:rFonts w:ascii="Cambria Math" w:hAnsi="Cambria Math"/>
                      <w:sz w:val="24"/>
                      <w:szCs w:val="24"/>
                      <w:lang w:bidi="ar-SA"/>
                    </w:rPr>
                  </m:ctrlPr>
                </m:sSubPr>
                <m:e>
                  <m:r>
                    <w:rPr>
                      <w:rFonts w:ascii="Cambria Math" w:hAnsi="Cambria Math"/>
                      <w:sz w:val="24"/>
                      <w:szCs w:val="24"/>
                      <w:lang w:bidi="ar-SA"/>
                    </w:rPr>
                    <m:t>W</m:t>
                  </m:r>
                </m:e>
                <m:sub>
                  <m:r>
                    <w:rPr>
                      <w:rFonts w:ascii="Cambria Math" w:hAnsi="Cambria Math"/>
                      <w:sz w:val="24"/>
                      <w:szCs w:val="24"/>
                      <w:lang w:bidi="ar-SA"/>
                    </w:rPr>
                    <m:t>t</m:t>
                  </m:r>
                </m:sub>
              </m:sSub>
            </m:num>
            <m:den>
              <m:sSub>
                <m:sSubPr>
                  <m:ctrlPr>
                    <w:rPr>
                      <w:rFonts w:ascii="Cambria Math" w:hAnsi="Cambria Math"/>
                      <w:sz w:val="24"/>
                      <w:szCs w:val="24"/>
                      <w:lang w:bidi="ar-SA"/>
                    </w:rPr>
                  </m:ctrlPr>
                </m:sSubPr>
                <m:e>
                  <m:r>
                    <w:rPr>
                      <w:rFonts w:ascii="Cambria Math" w:hAnsi="Cambria Math"/>
                      <w:sz w:val="24"/>
                      <w:szCs w:val="24"/>
                      <w:lang w:bidi="ar-SA"/>
                    </w:rPr>
                    <m:t>W</m:t>
                  </m:r>
                </m:e>
                <m:sub>
                  <m:r>
                    <w:rPr>
                      <w:rFonts w:ascii="Cambria Math" w:hAnsi="Cambria Math"/>
                      <w:sz w:val="24"/>
                      <w:szCs w:val="24"/>
                      <w:lang w:bidi="ar-SA"/>
                    </w:rPr>
                    <m:t>0</m:t>
                  </m:r>
                </m:sub>
              </m:sSub>
            </m:den>
          </m:f>
          <m:r>
            <w:rPr>
              <w:rFonts w:ascii="Cambria Math" w:hAnsi="Cambria Math"/>
              <w:sz w:val="24"/>
              <w:szCs w:val="24"/>
              <w:lang w:bidi="ar-SA"/>
            </w:rPr>
            <m:t>×100</m:t>
          </m:r>
          <m:r>
            <m:rPr>
              <m:sty m:val="p"/>
            </m:rPr>
            <w:rPr>
              <w:rFonts w:ascii="Cambria Math" w:hAnsi="Cambria Math"/>
              <w:sz w:val="24"/>
              <w:szCs w:val="24"/>
              <w:lang w:bidi="ar-SA"/>
            </w:rPr>
            <w:br/>
          </m:r>
        </m:oMath>
      </m:oMathPara>
    </w:p>
    <w:p w14:paraId="7A2DBAFD" w14:textId="35F7BF26" w:rsidR="003A34FE"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where </w:t>
      </w:r>
      <m:oMath>
        <m:sSub>
          <m:sSubPr>
            <m:ctrlPr>
              <w:rPr>
                <w:rFonts w:ascii="Cambria Math" w:hAnsi="Cambria Math"/>
                <w:sz w:val="24"/>
                <w:szCs w:val="24"/>
                <w:lang w:bidi="ar-SA"/>
              </w:rPr>
            </m:ctrlPr>
          </m:sSubPr>
          <m:e>
            <m:r>
              <w:rPr>
                <w:rFonts w:ascii="Cambria Math" w:hAnsi="Cambria Math"/>
                <w:sz w:val="24"/>
                <w:szCs w:val="24"/>
                <w:lang w:bidi="ar-SA"/>
              </w:rPr>
              <m:t>W</m:t>
            </m:r>
          </m:e>
          <m:sub>
            <m:r>
              <w:rPr>
                <w:rFonts w:ascii="Cambria Math" w:hAnsi="Cambria Math"/>
                <w:sz w:val="24"/>
                <w:szCs w:val="24"/>
                <w:lang w:bidi="ar-SA"/>
              </w:rPr>
              <m:t>0</m:t>
            </m:r>
          </m:sub>
        </m:sSub>
      </m:oMath>
      <w:r w:rsidRPr="00A3002B">
        <w:rPr>
          <w:rFonts w:ascii="Times New Roman" w:hAnsi="Times New Roman"/>
          <w:sz w:val="24"/>
          <w:szCs w:val="24"/>
          <w:lang w:bidi="ar-SA"/>
        </w:rPr>
        <w:t xml:space="preserve">represents the weed biomass in the untreated control plot, and </w:t>
      </w:r>
      <m:oMath>
        <m:sSub>
          <m:sSubPr>
            <m:ctrlPr>
              <w:rPr>
                <w:rFonts w:ascii="Cambria Math" w:hAnsi="Cambria Math"/>
                <w:sz w:val="24"/>
                <w:szCs w:val="24"/>
                <w:lang w:bidi="ar-SA"/>
              </w:rPr>
            </m:ctrlPr>
          </m:sSubPr>
          <m:e>
            <m:r>
              <w:rPr>
                <w:rFonts w:ascii="Cambria Math" w:hAnsi="Cambria Math"/>
                <w:sz w:val="24"/>
                <w:szCs w:val="24"/>
                <w:lang w:bidi="ar-SA"/>
              </w:rPr>
              <m:t>W</m:t>
            </m:r>
          </m:e>
          <m:sub>
            <m:r>
              <w:rPr>
                <w:rFonts w:ascii="Cambria Math" w:hAnsi="Cambria Math"/>
                <w:sz w:val="24"/>
                <w:szCs w:val="24"/>
                <w:lang w:bidi="ar-SA"/>
              </w:rPr>
              <m:t>t</m:t>
            </m:r>
          </m:sub>
        </m:sSub>
      </m:oMath>
      <w:r w:rsidRPr="00A3002B">
        <w:rPr>
          <w:rFonts w:ascii="Times New Roman" w:hAnsi="Times New Roman"/>
          <w:sz w:val="24"/>
          <w:szCs w:val="24"/>
          <w:lang w:bidi="ar-SA"/>
        </w:rPr>
        <w:t>denotes the biomass in the treated plot. Additionally, visual observations on crop phytotoxicity were recorded using a 0–10 scale, where 0 indicated no visible injury and 10 denoted complete plant death.</w:t>
      </w:r>
    </w:p>
    <w:p w14:paraId="047AB6DA" w14:textId="16BC0B83" w:rsidR="00160A09" w:rsidRDefault="00BA30AB" w:rsidP="003A34FE">
      <w:pPr>
        <w:spacing w:before="100" w:beforeAutospacing="1" w:after="100" w:afterAutospacing="1" w:line="240" w:lineRule="auto"/>
        <w:jc w:val="both"/>
        <w:rPr>
          <w:rFonts w:ascii="Times New Roman" w:hAnsi="Times New Roman"/>
          <w:sz w:val="24"/>
          <w:szCs w:val="24"/>
          <w:lang w:bidi="ar-SA"/>
        </w:rPr>
      </w:pPr>
      <w:r w:rsidRPr="00BA30AB">
        <w:rPr>
          <w:rFonts w:ascii="Times New Roman" w:hAnsi="Times New Roman"/>
          <w:sz w:val="24"/>
          <w:szCs w:val="24"/>
          <w:lang w:bidi="ar-SA"/>
        </w:rPr>
        <w:t xml:space="preserve">Table </w:t>
      </w:r>
      <w:r>
        <w:rPr>
          <w:rFonts w:ascii="Times New Roman" w:hAnsi="Times New Roman"/>
          <w:sz w:val="24"/>
          <w:szCs w:val="24"/>
          <w:lang w:bidi="ar-SA"/>
        </w:rPr>
        <w:t xml:space="preserve">3: </w:t>
      </w:r>
      <w:r w:rsidR="00160A09">
        <w:rPr>
          <w:rFonts w:ascii="Times New Roman" w:hAnsi="Times New Roman"/>
          <w:sz w:val="24"/>
          <w:szCs w:val="24"/>
          <w:lang w:bidi="ar-SA"/>
        </w:rPr>
        <w:t>List of Weeds used to control in this experiment</w:t>
      </w:r>
    </w:p>
    <w:tbl>
      <w:tblPr>
        <w:tblStyle w:val="TableGrid"/>
        <w:tblW w:w="0" w:type="auto"/>
        <w:tblLook w:val="04A0" w:firstRow="1" w:lastRow="0" w:firstColumn="1" w:lastColumn="0" w:noHBand="0" w:noVBand="1"/>
      </w:tblPr>
      <w:tblGrid>
        <w:gridCol w:w="1870"/>
        <w:gridCol w:w="1545"/>
        <w:gridCol w:w="1620"/>
        <w:gridCol w:w="1350"/>
        <w:gridCol w:w="1620"/>
      </w:tblGrid>
      <w:tr w:rsidR="00160A09" w:rsidRPr="00C73056" w14:paraId="62AB2997" w14:textId="77777777" w:rsidTr="00D63C51">
        <w:tc>
          <w:tcPr>
            <w:tcW w:w="1870" w:type="dxa"/>
            <w:vAlign w:val="center"/>
          </w:tcPr>
          <w:p w14:paraId="44DD4908" w14:textId="77777777" w:rsidR="00160A09" w:rsidRPr="00C73056" w:rsidRDefault="00160A09" w:rsidP="00D63C51">
            <w:pPr>
              <w:jc w:val="both"/>
              <w:rPr>
                <w:rFonts w:ascii="Times New Roman" w:hAnsi="Times New Roman"/>
              </w:rPr>
            </w:pPr>
            <w:r w:rsidRPr="003854A2">
              <w:rPr>
                <w:rFonts w:ascii="Times New Roman" w:hAnsi="Times New Roman"/>
                <w:b/>
                <w:bCs/>
              </w:rPr>
              <w:t>Type of Weed</w:t>
            </w:r>
          </w:p>
        </w:tc>
        <w:tc>
          <w:tcPr>
            <w:tcW w:w="1545" w:type="dxa"/>
            <w:vAlign w:val="center"/>
          </w:tcPr>
          <w:p w14:paraId="78479710" w14:textId="77777777" w:rsidR="00160A09" w:rsidRPr="00C73056" w:rsidRDefault="00160A09" w:rsidP="00D63C51">
            <w:pPr>
              <w:jc w:val="both"/>
              <w:rPr>
                <w:rFonts w:ascii="Times New Roman" w:hAnsi="Times New Roman"/>
              </w:rPr>
            </w:pPr>
            <w:r w:rsidRPr="003854A2">
              <w:rPr>
                <w:rFonts w:ascii="Times New Roman" w:hAnsi="Times New Roman"/>
                <w:b/>
                <w:bCs/>
              </w:rPr>
              <w:t>Scientific Name</w:t>
            </w:r>
          </w:p>
        </w:tc>
        <w:tc>
          <w:tcPr>
            <w:tcW w:w="1620" w:type="dxa"/>
            <w:vAlign w:val="center"/>
          </w:tcPr>
          <w:p w14:paraId="6D7B34E0" w14:textId="77777777" w:rsidR="00160A09" w:rsidRPr="00C73056" w:rsidRDefault="00160A09" w:rsidP="00D63C51">
            <w:pPr>
              <w:jc w:val="both"/>
              <w:rPr>
                <w:rFonts w:ascii="Times New Roman" w:hAnsi="Times New Roman"/>
              </w:rPr>
            </w:pPr>
            <w:r w:rsidRPr="003854A2">
              <w:rPr>
                <w:rFonts w:ascii="Times New Roman" w:hAnsi="Times New Roman"/>
                <w:b/>
                <w:bCs/>
              </w:rPr>
              <w:t>Common Name (Local)</w:t>
            </w:r>
          </w:p>
        </w:tc>
        <w:tc>
          <w:tcPr>
            <w:tcW w:w="1350" w:type="dxa"/>
            <w:vAlign w:val="center"/>
          </w:tcPr>
          <w:p w14:paraId="2AA85D27" w14:textId="77777777" w:rsidR="00160A09" w:rsidRPr="00C73056" w:rsidRDefault="00160A09" w:rsidP="00D63C51">
            <w:pPr>
              <w:jc w:val="both"/>
              <w:rPr>
                <w:rFonts w:ascii="Times New Roman" w:hAnsi="Times New Roman"/>
              </w:rPr>
            </w:pPr>
            <w:r w:rsidRPr="003854A2">
              <w:rPr>
                <w:rFonts w:ascii="Times New Roman" w:hAnsi="Times New Roman"/>
                <w:b/>
                <w:bCs/>
              </w:rPr>
              <w:t>Family</w:t>
            </w:r>
          </w:p>
        </w:tc>
        <w:tc>
          <w:tcPr>
            <w:tcW w:w="1620" w:type="dxa"/>
            <w:vAlign w:val="center"/>
          </w:tcPr>
          <w:p w14:paraId="180A6AAD" w14:textId="77777777" w:rsidR="00160A09" w:rsidRPr="00C73056" w:rsidRDefault="00160A09" w:rsidP="00D63C51">
            <w:pPr>
              <w:jc w:val="both"/>
              <w:rPr>
                <w:rFonts w:ascii="Times New Roman" w:hAnsi="Times New Roman"/>
              </w:rPr>
            </w:pPr>
            <w:r w:rsidRPr="003854A2">
              <w:rPr>
                <w:rFonts w:ascii="Times New Roman" w:hAnsi="Times New Roman"/>
                <w:b/>
                <w:bCs/>
              </w:rPr>
              <w:t>Growth Habit</w:t>
            </w:r>
          </w:p>
        </w:tc>
      </w:tr>
      <w:tr w:rsidR="00160A09" w:rsidRPr="00C73056" w14:paraId="7668A155" w14:textId="77777777" w:rsidTr="00D63C51">
        <w:tc>
          <w:tcPr>
            <w:tcW w:w="1870" w:type="dxa"/>
          </w:tcPr>
          <w:p w14:paraId="5B676F47" w14:textId="77777777" w:rsidR="00160A09" w:rsidRPr="00C73056" w:rsidRDefault="00160A09" w:rsidP="00D63C51">
            <w:pPr>
              <w:rPr>
                <w:rFonts w:ascii="Times New Roman" w:hAnsi="Times New Roman"/>
              </w:rPr>
            </w:pPr>
            <w:r w:rsidRPr="00C73056">
              <w:rPr>
                <w:rFonts w:ascii="Times New Roman" w:hAnsi="Times New Roman"/>
                <w:b/>
                <w:bCs/>
              </w:rPr>
              <w:t>Narrow-leaved (grassy) weeds</w:t>
            </w:r>
          </w:p>
        </w:tc>
        <w:tc>
          <w:tcPr>
            <w:tcW w:w="1545" w:type="dxa"/>
          </w:tcPr>
          <w:p w14:paraId="2A24E670" w14:textId="77777777" w:rsidR="00160A09" w:rsidRPr="00C73056" w:rsidRDefault="00160A09" w:rsidP="00D63C51">
            <w:pPr>
              <w:rPr>
                <w:rFonts w:ascii="Times New Roman" w:hAnsi="Times New Roman"/>
                <w:i/>
                <w:iCs/>
              </w:rPr>
            </w:pPr>
            <w:proofErr w:type="spellStart"/>
            <w:r w:rsidRPr="00C73056">
              <w:rPr>
                <w:rFonts w:ascii="Times New Roman" w:hAnsi="Times New Roman"/>
                <w:i/>
                <w:iCs/>
              </w:rPr>
              <w:t>Echinochloa</w:t>
            </w:r>
            <w:proofErr w:type="spellEnd"/>
            <w:r w:rsidRPr="00C73056">
              <w:rPr>
                <w:rFonts w:ascii="Times New Roman" w:hAnsi="Times New Roman"/>
                <w:i/>
                <w:iCs/>
              </w:rPr>
              <w:t xml:space="preserve"> </w:t>
            </w:r>
            <w:proofErr w:type="spellStart"/>
            <w:r w:rsidRPr="00C73056">
              <w:rPr>
                <w:rFonts w:ascii="Times New Roman" w:hAnsi="Times New Roman"/>
                <w:i/>
                <w:iCs/>
              </w:rPr>
              <w:t>colona</w:t>
            </w:r>
            <w:proofErr w:type="spellEnd"/>
          </w:p>
        </w:tc>
        <w:tc>
          <w:tcPr>
            <w:tcW w:w="1620" w:type="dxa"/>
          </w:tcPr>
          <w:p w14:paraId="64A922E3" w14:textId="77777777" w:rsidR="00160A09" w:rsidRPr="00C73056" w:rsidRDefault="00160A09" w:rsidP="00D63C51">
            <w:pPr>
              <w:rPr>
                <w:rFonts w:ascii="Times New Roman" w:hAnsi="Times New Roman"/>
              </w:rPr>
            </w:pPr>
            <w:proofErr w:type="spellStart"/>
            <w:r w:rsidRPr="00C73056">
              <w:rPr>
                <w:rFonts w:ascii="Times New Roman" w:hAnsi="Times New Roman"/>
              </w:rPr>
              <w:t>Khudesama</w:t>
            </w:r>
            <w:proofErr w:type="spellEnd"/>
          </w:p>
        </w:tc>
        <w:tc>
          <w:tcPr>
            <w:tcW w:w="1350" w:type="dxa"/>
          </w:tcPr>
          <w:p w14:paraId="47AC5441" w14:textId="77777777" w:rsidR="00160A09" w:rsidRPr="00C73056" w:rsidRDefault="00160A09" w:rsidP="00D63C51">
            <w:pPr>
              <w:rPr>
                <w:rFonts w:ascii="Times New Roman" w:hAnsi="Times New Roman"/>
              </w:rPr>
            </w:pPr>
            <w:proofErr w:type="spellStart"/>
            <w:r w:rsidRPr="00C73056">
              <w:rPr>
                <w:rFonts w:ascii="Times New Roman" w:hAnsi="Times New Roman"/>
              </w:rPr>
              <w:t>Poaceae</w:t>
            </w:r>
            <w:proofErr w:type="spellEnd"/>
          </w:p>
        </w:tc>
        <w:tc>
          <w:tcPr>
            <w:tcW w:w="1620" w:type="dxa"/>
          </w:tcPr>
          <w:p w14:paraId="392909C5" w14:textId="77777777" w:rsidR="00160A09" w:rsidRPr="00C73056" w:rsidRDefault="00160A09" w:rsidP="00D63C51">
            <w:pPr>
              <w:rPr>
                <w:rFonts w:ascii="Times New Roman" w:hAnsi="Times New Roman"/>
              </w:rPr>
            </w:pPr>
            <w:r w:rsidRPr="00C73056">
              <w:rPr>
                <w:rFonts w:ascii="Times New Roman" w:hAnsi="Times New Roman"/>
              </w:rPr>
              <w:t>Annual</w:t>
            </w:r>
          </w:p>
        </w:tc>
      </w:tr>
      <w:tr w:rsidR="00160A09" w:rsidRPr="00C73056" w14:paraId="5BF5A770" w14:textId="77777777" w:rsidTr="00D63C51">
        <w:tc>
          <w:tcPr>
            <w:tcW w:w="1870" w:type="dxa"/>
          </w:tcPr>
          <w:p w14:paraId="270220C2" w14:textId="77777777" w:rsidR="00160A09" w:rsidRPr="00C73056" w:rsidRDefault="00160A09" w:rsidP="00D63C51">
            <w:pPr>
              <w:rPr>
                <w:rFonts w:ascii="Times New Roman" w:hAnsi="Times New Roman"/>
              </w:rPr>
            </w:pPr>
          </w:p>
        </w:tc>
        <w:tc>
          <w:tcPr>
            <w:tcW w:w="1545" w:type="dxa"/>
          </w:tcPr>
          <w:p w14:paraId="17AF7517" w14:textId="77777777" w:rsidR="00160A09" w:rsidRPr="00C73056" w:rsidRDefault="00160A09" w:rsidP="00D63C51">
            <w:pPr>
              <w:rPr>
                <w:rFonts w:ascii="Times New Roman" w:hAnsi="Times New Roman"/>
                <w:i/>
                <w:iCs/>
              </w:rPr>
            </w:pPr>
            <w:proofErr w:type="spellStart"/>
            <w:r w:rsidRPr="00C73056">
              <w:rPr>
                <w:rFonts w:ascii="Times New Roman" w:hAnsi="Times New Roman"/>
                <w:i/>
                <w:iCs/>
              </w:rPr>
              <w:t>Digitaria</w:t>
            </w:r>
            <w:proofErr w:type="spellEnd"/>
            <w:r w:rsidRPr="00C73056">
              <w:rPr>
                <w:rFonts w:ascii="Times New Roman" w:hAnsi="Times New Roman"/>
                <w:i/>
                <w:iCs/>
              </w:rPr>
              <w:t xml:space="preserve"> </w:t>
            </w:r>
            <w:proofErr w:type="spellStart"/>
            <w:r w:rsidRPr="00C73056">
              <w:rPr>
                <w:rFonts w:ascii="Times New Roman" w:hAnsi="Times New Roman"/>
                <w:i/>
                <w:iCs/>
              </w:rPr>
              <w:t>sanguinalis</w:t>
            </w:r>
            <w:proofErr w:type="spellEnd"/>
          </w:p>
        </w:tc>
        <w:tc>
          <w:tcPr>
            <w:tcW w:w="1620" w:type="dxa"/>
          </w:tcPr>
          <w:p w14:paraId="412BB930" w14:textId="77777777" w:rsidR="00160A09" w:rsidRPr="00C73056" w:rsidRDefault="00160A09" w:rsidP="00D63C51">
            <w:pPr>
              <w:rPr>
                <w:rFonts w:ascii="Times New Roman" w:hAnsi="Times New Roman"/>
              </w:rPr>
            </w:pPr>
            <w:proofErr w:type="spellStart"/>
            <w:r w:rsidRPr="00C73056">
              <w:rPr>
                <w:rFonts w:ascii="Times New Roman" w:hAnsi="Times New Roman"/>
              </w:rPr>
              <w:t>Angulighas</w:t>
            </w:r>
            <w:proofErr w:type="spellEnd"/>
          </w:p>
        </w:tc>
        <w:tc>
          <w:tcPr>
            <w:tcW w:w="1350" w:type="dxa"/>
          </w:tcPr>
          <w:p w14:paraId="456C4B5E" w14:textId="77777777" w:rsidR="00160A09" w:rsidRPr="00C73056" w:rsidRDefault="00160A09" w:rsidP="00D63C51">
            <w:pPr>
              <w:rPr>
                <w:rFonts w:ascii="Times New Roman" w:hAnsi="Times New Roman"/>
              </w:rPr>
            </w:pPr>
            <w:proofErr w:type="spellStart"/>
            <w:r w:rsidRPr="00C73056">
              <w:rPr>
                <w:rFonts w:ascii="Times New Roman" w:hAnsi="Times New Roman"/>
              </w:rPr>
              <w:t>Poaceae</w:t>
            </w:r>
            <w:proofErr w:type="spellEnd"/>
          </w:p>
        </w:tc>
        <w:tc>
          <w:tcPr>
            <w:tcW w:w="1620" w:type="dxa"/>
          </w:tcPr>
          <w:p w14:paraId="66942253" w14:textId="77777777" w:rsidR="00160A09" w:rsidRPr="00C73056" w:rsidRDefault="00160A09" w:rsidP="00D63C51">
            <w:pPr>
              <w:rPr>
                <w:rFonts w:ascii="Times New Roman" w:hAnsi="Times New Roman"/>
              </w:rPr>
            </w:pPr>
            <w:r w:rsidRPr="00C73056">
              <w:rPr>
                <w:rFonts w:ascii="Times New Roman" w:hAnsi="Times New Roman"/>
              </w:rPr>
              <w:t>Annual</w:t>
            </w:r>
          </w:p>
        </w:tc>
      </w:tr>
      <w:tr w:rsidR="00160A09" w:rsidRPr="00C73056" w14:paraId="780B435B" w14:textId="77777777" w:rsidTr="00D63C51">
        <w:tc>
          <w:tcPr>
            <w:tcW w:w="1870" w:type="dxa"/>
          </w:tcPr>
          <w:p w14:paraId="7A2552FE" w14:textId="77777777" w:rsidR="00160A09" w:rsidRPr="00C73056" w:rsidRDefault="00160A09" w:rsidP="00D63C51">
            <w:pPr>
              <w:rPr>
                <w:rFonts w:ascii="Times New Roman" w:hAnsi="Times New Roman"/>
              </w:rPr>
            </w:pPr>
          </w:p>
        </w:tc>
        <w:tc>
          <w:tcPr>
            <w:tcW w:w="1545" w:type="dxa"/>
          </w:tcPr>
          <w:p w14:paraId="04EDDC47" w14:textId="77777777" w:rsidR="00160A09" w:rsidRPr="00C73056" w:rsidRDefault="00160A09" w:rsidP="00D63C51">
            <w:pPr>
              <w:rPr>
                <w:rFonts w:ascii="Times New Roman" w:hAnsi="Times New Roman"/>
                <w:i/>
                <w:iCs/>
              </w:rPr>
            </w:pPr>
            <w:r w:rsidRPr="00C73056">
              <w:rPr>
                <w:rFonts w:ascii="Times New Roman" w:hAnsi="Times New Roman"/>
                <w:i/>
                <w:iCs/>
              </w:rPr>
              <w:t>Eleusine indica</w:t>
            </w:r>
          </w:p>
        </w:tc>
        <w:tc>
          <w:tcPr>
            <w:tcW w:w="1620" w:type="dxa"/>
          </w:tcPr>
          <w:p w14:paraId="342848F7" w14:textId="77777777" w:rsidR="00160A09" w:rsidRPr="00C73056" w:rsidRDefault="00160A09" w:rsidP="00D63C51">
            <w:pPr>
              <w:rPr>
                <w:rFonts w:ascii="Times New Roman" w:hAnsi="Times New Roman"/>
              </w:rPr>
            </w:pPr>
            <w:proofErr w:type="spellStart"/>
            <w:r w:rsidRPr="00C73056">
              <w:rPr>
                <w:rFonts w:ascii="Times New Roman" w:hAnsi="Times New Roman"/>
              </w:rPr>
              <w:t>Chapra</w:t>
            </w:r>
            <w:proofErr w:type="spellEnd"/>
          </w:p>
        </w:tc>
        <w:tc>
          <w:tcPr>
            <w:tcW w:w="1350" w:type="dxa"/>
          </w:tcPr>
          <w:p w14:paraId="0883F5EA" w14:textId="77777777" w:rsidR="00160A09" w:rsidRPr="00C73056" w:rsidRDefault="00160A09" w:rsidP="00D63C51">
            <w:pPr>
              <w:rPr>
                <w:rFonts w:ascii="Times New Roman" w:hAnsi="Times New Roman"/>
              </w:rPr>
            </w:pPr>
            <w:proofErr w:type="spellStart"/>
            <w:r w:rsidRPr="00C73056">
              <w:rPr>
                <w:rFonts w:ascii="Times New Roman" w:hAnsi="Times New Roman"/>
              </w:rPr>
              <w:t>Poaceae</w:t>
            </w:r>
            <w:proofErr w:type="spellEnd"/>
          </w:p>
        </w:tc>
        <w:tc>
          <w:tcPr>
            <w:tcW w:w="1620" w:type="dxa"/>
          </w:tcPr>
          <w:p w14:paraId="497DBEBD" w14:textId="77777777" w:rsidR="00160A09" w:rsidRPr="00C73056" w:rsidRDefault="00160A09" w:rsidP="00D63C51">
            <w:pPr>
              <w:rPr>
                <w:rFonts w:ascii="Times New Roman" w:hAnsi="Times New Roman"/>
              </w:rPr>
            </w:pPr>
            <w:r w:rsidRPr="00C73056">
              <w:rPr>
                <w:rFonts w:ascii="Times New Roman" w:hAnsi="Times New Roman"/>
              </w:rPr>
              <w:t>Annual</w:t>
            </w:r>
          </w:p>
        </w:tc>
      </w:tr>
      <w:tr w:rsidR="00160A09" w:rsidRPr="00C73056" w14:paraId="4AE06498" w14:textId="77777777" w:rsidTr="00D63C51">
        <w:tc>
          <w:tcPr>
            <w:tcW w:w="1870" w:type="dxa"/>
          </w:tcPr>
          <w:p w14:paraId="6323ED12" w14:textId="77777777" w:rsidR="00160A09" w:rsidRPr="00C73056" w:rsidRDefault="00160A09" w:rsidP="00D63C51">
            <w:pPr>
              <w:rPr>
                <w:rFonts w:ascii="Times New Roman" w:hAnsi="Times New Roman"/>
              </w:rPr>
            </w:pPr>
          </w:p>
        </w:tc>
        <w:tc>
          <w:tcPr>
            <w:tcW w:w="1545" w:type="dxa"/>
          </w:tcPr>
          <w:p w14:paraId="744AC4D8" w14:textId="77777777" w:rsidR="00160A09" w:rsidRPr="00C73056" w:rsidRDefault="00160A09" w:rsidP="00D63C51">
            <w:pPr>
              <w:rPr>
                <w:rFonts w:ascii="Times New Roman" w:hAnsi="Times New Roman"/>
                <w:i/>
                <w:iCs/>
              </w:rPr>
            </w:pPr>
            <w:proofErr w:type="spellStart"/>
            <w:r w:rsidRPr="00C73056">
              <w:rPr>
                <w:rFonts w:ascii="Times New Roman" w:hAnsi="Times New Roman"/>
                <w:i/>
                <w:iCs/>
              </w:rPr>
              <w:t>Cynodon</w:t>
            </w:r>
            <w:proofErr w:type="spellEnd"/>
            <w:r w:rsidRPr="00C73056">
              <w:rPr>
                <w:rFonts w:ascii="Times New Roman" w:hAnsi="Times New Roman"/>
                <w:i/>
                <w:iCs/>
              </w:rPr>
              <w:t xml:space="preserve"> </w:t>
            </w:r>
            <w:proofErr w:type="spellStart"/>
            <w:r w:rsidRPr="00C73056">
              <w:rPr>
                <w:rFonts w:ascii="Times New Roman" w:hAnsi="Times New Roman"/>
                <w:i/>
                <w:iCs/>
              </w:rPr>
              <w:t>dactylon</w:t>
            </w:r>
            <w:proofErr w:type="spellEnd"/>
          </w:p>
        </w:tc>
        <w:tc>
          <w:tcPr>
            <w:tcW w:w="1620" w:type="dxa"/>
          </w:tcPr>
          <w:p w14:paraId="736E9597" w14:textId="77777777" w:rsidR="00160A09" w:rsidRPr="00C73056" w:rsidRDefault="00160A09" w:rsidP="00D63C51">
            <w:pPr>
              <w:rPr>
                <w:rFonts w:ascii="Times New Roman" w:hAnsi="Times New Roman"/>
              </w:rPr>
            </w:pPr>
            <w:r w:rsidRPr="00C73056">
              <w:rPr>
                <w:rFonts w:ascii="Times New Roman" w:hAnsi="Times New Roman"/>
              </w:rPr>
              <w:t>Durba</w:t>
            </w:r>
          </w:p>
        </w:tc>
        <w:tc>
          <w:tcPr>
            <w:tcW w:w="1350" w:type="dxa"/>
          </w:tcPr>
          <w:p w14:paraId="746DBD42" w14:textId="77777777" w:rsidR="00160A09" w:rsidRPr="00C73056" w:rsidRDefault="00160A09" w:rsidP="00D63C51">
            <w:pPr>
              <w:rPr>
                <w:rFonts w:ascii="Times New Roman" w:hAnsi="Times New Roman"/>
              </w:rPr>
            </w:pPr>
            <w:proofErr w:type="spellStart"/>
            <w:r w:rsidRPr="00C73056">
              <w:rPr>
                <w:rFonts w:ascii="Times New Roman" w:hAnsi="Times New Roman"/>
              </w:rPr>
              <w:t>Poaceae</w:t>
            </w:r>
            <w:proofErr w:type="spellEnd"/>
          </w:p>
        </w:tc>
        <w:tc>
          <w:tcPr>
            <w:tcW w:w="1620" w:type="dxa"/>
          </w:tcPr>
          <w:p w14:paraId="31029379" w14:textId="77777777" w:rsidR="00160A09" w:rsidRPr="00C73056" w:rsidRDefault="00160A09" w:rsidP="00D63C51">
            <w:pPr>
              <w:rPr>
                <w:rFonts w:ascii="Times New Roman" w:hAnsi="Times New Roman"/>
              </w:rPr>
            </w:pPr>
            <w:r w:rsidRPr="00C73056">
              <w:rPr>
                <w:rFonts w:ascii="Times New Roman" w:hAnsi="Times New Roman"/>
              </w:rPr>
              <w:t>Perennial</w:t>
            </w:r>
          </w:p>
        </w:tc>
      </w:tr>
      <w:tr w:rsidR="00160A09" w:rsidRPr="00C73056" w14:paraId="39F071E0" w14:textId="77777777" w:rsidTr="00D63C51">
        <w:tc>
          <w:tcPr>
            <w:tcW w:w="1870" w:type="dxa"/>
          </w:tcPr>
          <w:p w14:paraId="1D7FFAAE" w14:textId="77777777" w:rsidR="00160A09" w:rsidRPr="00C73056" w:rsidRDefault="00160A09" w:rsidP="00D63C51">
            <w:pPr>
              <w:rPr>
                <w:rFonts w:ascii="Times New Roman" w:hAnsi="Times New Roman"/>
                <w:b/>
                <w:bCs/>
              </w:rPr>
            </w:pPr>
            <w:r w:rsidRPr="00C73056">
              <w:rPr>
                <w:rFonts w:ascii="Times New Roman" w:hAnsi="Times New Roman"/>
                <w:b/>
                <w:bCs/>
              </w:rPr>
              <w:t>Sedges</w:t>
            </w:r>
          </w:p>
        </w:tc>
        <w:tc>
          <w:tcPr>
            <w:tcW w:w="1545" w:type="dxa"/>
          </w:tcPr>
          <w:p w14:paraId="51C0A86C" w14:textId="77777777" w:rsidR="00160A09" w:rsidRPr="00C73056" w:rsidRDefault="00160A09" w:rsidP="00D63C51">
            <w:pPr>
              <w:rPr>
                <w:rFonts w:ascii="Times New Roman" w:hAnsi="Times New Roman"/>
                <w:i/>
                <w:iCs/>
              </w:rPr>
            </w:pPr>
            <w:r w:rsidRPr="00C73056">
              <w:rPr>
                <w:rFonts w:ascii="Times New Roman" w:hAnsi="Times New Roman"/>
                <w:i/>
                <w:iCs/>
              </w:rPr>
              <w:t>Cyperus rotundus</w:t>
            </w:r>
          </w:p>
        </w:tc>
        <w:tc>
          <w:tcPr>
            <w:tcW w:w="1620" w:type="dxa"/>
          </w:tcPr>
          <w:p w14:paraId="670A0E73" w14:textId="77777777" w:rsidR="00160A09" w:rsidRPr="00C73056" w:rsidRDefault="00160A09" w:rsidP="00D63C51">
            <w:pPr>
              <w:rPr>
                <w:rFonts w:ascii="Times New Roman" w:hAnsi="Times New Roman"/>
              </w:rPr>
            </w:pPr>
            <w:r w:rsidRPr="00C73056">
              <w:rPr>
                <w:rFonts w:ascii="Times New Roman" w:hAnsi="Times New Roman"/>
              </w:rPr>
              <w:t>Mutha</w:t>
            </w:r>
          </w:p>
        </w:tc>
        <w:tc>
          <w:tcPr>
            <w:tcW w:w="1350" w:type="dxa"/>
          </w:tcPr>
          <w:p w14:paraId="07D93C1B" w14:textId="77777777" w:rsidR="00160A09" w:rsidRPr="00C73056" w:rsidRDefault="00160A09" w:rsidP="00D63C51">
            <w:pPr>
              <w:rPr>
                <w:rFonts w:ascii="Times New Roman" w:hAnsi="Times New Roman"/>
              </w:rPr>
            </w:pPr>
            <w:r w:rsidRPr="00C73056">
              <w:rPr>
                <w:rFonts w:ascii="Times New Roman" w:hAnsi="Times New Roman"/>
              </w:rPr>
              <w:t>Cyperaceae</w:t>
            </w:r>
          </w:p>
        </w:tc>
        <w:tc>
          <w:tcPr>
            <w:tcW w:w="1620" w:type="dxa"/>
          </w:tcPr>
          <w:p w14:paraId="33E3819F" w14:textId="77777777" w:rsidR="00160A09" w:rsidRPr="00C73056" w:rsidRDefault="00160A09" w:rsidP="00D63C51">
            <w:pPr>
              <w:rPr>
                <w:rFonts w:ascii="Times New Roman" w:hAnsi="Times New Roman"/>
              </w:rPr>
            </w:pPr>
            <w:r w:rsidRPr="00C73056">
              <w:rPr>
                <w:rFonts w:ascii="Times New Roman" w:hAnsi="Times New Roman"/>
              </w:rPr>
              <w:t>Perennial</w:t>
            </w:r>
          </w:p>
        </w:tc>
      </w:tr>
    </w:tbl>
    <w:p w14:paraId="4B061EED" w14:textId="77777777" w:rsidR="00160A09" w:rsidRPr="00A3002B" w:rsidRDefault="00160A09" w:rsidP="003A34FE">
      <w:pPr>
        <w:spacing w:before="100" w:beforeAutospacing="1" w:after="100" w:afterAutospacing="1" w:line="240" w:lineRule="auto"/>
        <w:jc w:val="both"/>
        <w:rPr>
          <w:rFonts w:ascii="Times New Roman" w:hAnsi="Times New Roman"/>
          <w:sz w:val="24"/>
          <w:szCs w:val="24"/>
          <w:lang w:bidi="ar-SA"/>
        </w:rPr>
      </w:pPr>
    </w:p>
    <w:p w14:paraId="476B71EC" w14:textId="29D08102" w:rsidR="003A34FE" w:rsidRPr="00A3002B" w:rsidRDefault="003A34FE" w:rsidP="003A34FE">
      <w:pPr>
        <w:spacing w:after="0" w:line="240" w:lineRule="auto"/>
        <w:rPr>
          <w:rFonts w:ascii="Times New Roman" w:hAnsi="Times New Roman"/>
          <w:sz w:val="24"/>
          <w:szCs w:val="24"/>
          <w:lang w:bidi="ar-SA"/>
        </w:rPr>
      </w:pPr>
    </w:p>
    <w:p w14:paraId="25C81F31" w14:textId="216A2ED7" w:rsidR="004701B2" w:rsidRPr="00A3002B" w:rsidRDefault="004701B2" w:rsidP="00F5388B">
      <w:pPr>
        <w:spacing w:after="0" w:line="240" w:lineRule="auto"/>
        <w:jc w:val="both"/>
        <w:rPr>
          <w:rFonts w:ascii="Times New Roman" w:hAnsi="Times New Roman"/>
          <w:b/>
          <w:bCs/>
          <w:sz w:val="24"/>
          <w:szCs w:val="24"/>
          <w:lang w:bidi="ar-SA"/>
        </w:rPr>
      </w:pPr>
      <w:r w:rsidRPr="00A3002B">
        <w:rPr>
          <w:rFonts w:ascii="Times New Roman" w:hAnsi="Times New Roman"/>
          <w:b/>
          <w:bCs/>
          <w:sz w:val="24"/>
          <w:szCs w:val="24"/>
          <w:lang w:bidi="ar-SA"/>
        </w:rPr>
        <w:t>2.5 Statistical Analysis</w:t>
      </w:r>
    </w:p>
    <w:p w14:paraId="09E01EA2" w14:textId="059E524A"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All data collected from both sites and years were subjected to analysis of variance (ANOVA) following the RCBD model to test for treatment effects using statistical software (</w:t>
      </w:r>
      <w:r w:rsidR="00E62EA6" w:rsidRPr="00A3002B">
        <w:rPr>
          <w:rFonts w:ascii="Times New Roman" w:hAnsi="Times New Roman"/>
          <w:sz w:val="24"/>
          <w:szCs w:val="24"/>
          <w:lang w:bidi="ar-SA"/>
        </w:rPr>
        <w:t>R software, version 4.3.2, employing the Analysis of Design of Experiments for Biological Research package</w:t>
      </w:r>
      <w:r w:rsidRPr="00A3002B">
        <w:rPr>
          <w:rFonts w:ascii="Times New Roman" w:hAnsi="Times New Roman"/>
          <w:sz w:val="24"/>
          <w:szCs w:val="24"/>
          <w:lang w:bidi="ar-SA"/>
        </w:rPr>
        <w:t xml:space="preserve">). When significant differences were detected, treatment means were compared using the Least Significant Difference (LSD) test at a 5% probability level. Combined analysis across locations and years was performed to assess treatment consistency and interaction effects between site and herbicide type. The experimental protocol and data interpretation followed </w:t>
      </w:r>
      <w:r w:rsidRPr="00A3002B">
        <w:rPr>
          <w:rFonts w:ascii="Times New Roman" w:hAnsi="Times New Roman"/>
          <w:sz w:val="24"/>
          <w:szCs w:val="24"/>
          <w:lang w:bidi="ar-SA"/>
        </w:rPr>
        <w:lastRenderedPageBreak/>
        <w:t xml:space="preserve">accepted methodologies in weed competition and herbicide efficacy research (Hossain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2024; Zimdahl &amp; Basinger, 2024).</w:t>
      </w:r>
    </w:p>
    <w:p w14:paraId="0E255722" w14:textId="77777777" w:rsidR="003B5C1D" w:rsidRPr="00A3002B" w:rsidRDefault="003B5C1D" w:rsidP="003B5C1D">
      <w:pPr>
        <w:spacing w:after="0"/>
        <w:rPr>
          <w:rFonts w:ascii="Times New Roman" w:hAnsi="Times New Roman"/>
          <w:b/>
          <w:sz w:val="24"/>
          <w:szCs w:val="24"/>
        </w:rPr>
      </w:pPr>
    </w:p>
    <w:p w14:paraId="7F6C7FFE" w14:textId="77777777" w:rsidR="003530FB" w:rsidRPr="00A3002B" w:rsidRDefault="003530FB" w:rsidP="003B5C1D">
      <w:pPr>
        <w:spacing w:after="120"/>
        <w:rPr>
          <w:rFonts w:ascii="Times New Roman" w:hAnsi="Times New Roman"/>
          <w:b/>
          <w:sz w:val="24"/>
          <w:szCs w:val="24"/>
        </w:rPr>
      </w:pPr>
    </w:p>
    <w:p w14:paraId="51B2BD22" w14:textId="77777777" w:rsidR="003530FB" w:rsidRPr="00A3002B" w:rsidRDefault="003530FB" w:rsidP="003530FB">
      <w:pPr>
        <w:spacing w:before="100" w:beforeAutospacing="1" w:after="100" w:afterAutospacing="1" w:line="240" w:lineRule="auto"/>
        <w:jc w:val="both"/>
        <w:rPr>
          <w:rFonts w:ascii="Times New Roman" w:hAnsi="Times New Roman"/>
          <w:b/>
          <w:bCs/>
          <w:sz w:val="27"/>
          <w:szCs w:val="27"/>
          <w:lang w:bidi="ar-SA"/>
        </w:rPr>
      </w:pPr>
      <w:r w:rsidRPr="00A3002B">
        <w:rPr>
          <w:rFonts w:ascii="Times New Roman" w:hAnsi="Times New Roman"/>
          <w:b/>
          <w:bCs/>
          <w:sz w:val="27"/>
          <w:szCs w:val="27"/>
          <w:lang w:bidi="ar-SA"/>
        </w:rPr>
        <w:t>3. Results and Discussion</w:t>
      </w:r>
    </w:p>
    <w:p w14:paraId="3379A118" w14:textId="40BEEBDE" w:rsidR="00E93119" w:rsidRPr="00E93119" w:rsidRDefault="00E93119" w:rsidP="00E93119">
      <w:pPr>
        <w:spacing w:after="120"/>
        <w:jc w:val="both"/>
        <w:rPr>
          <w:rFonts w:ascii="Times New Roman" w:hAnsi="Times New Roman"/>
          <w:sz w:val="24"/>
          <w:szCs w:val="24"/>
          <w:lang w:bidi="ar-SA"/>
        </w:rPr>
      </w:pPr>
      <w:r w:rsidRPr="00E93119">
        <w:rPr>
          <w:rFonts w:ascii="Times New Roman" w:hAnsi="Times New Roman"/>
          <w:sz w:val="24"/>
          <w:szCs w:val="24"/>
          <w:lang w:bidi="ar-SA"/>
        </w:rPr>
        <w:t xml:space="preserve">The results summarized in Table </w:t>
      </w:r>
      <w:r w:rsidR="00FF0516">
        <w:rPr>
          <w:rFonts w:ascii="Times New Roman" w:hAnsi="Times New Roman"/>
          <w:sz w:val="24"/>
          <w:szCs w:val="24"/>
          <w:lang w:bidi="ar-SA"/>
        </w:rPr>
        <w:t>4</w:t>
      </w:r>
      <w:r w:rsidRPr="00E93119">
        <w:rPr>
          <w:rFonts w:ascii="Times New Roman" w:hAnsi="Times New Roman"/>
          <w:sz w:val="24"/>
          <w:szCs w:val="24"/>
          <w:lang w:bidi="ar-SA"/>
        </w:rPr>
        <w:t xml:space="preserve"> present a comprehensive evaluation of 18 herbicidal formulations tested against dominant weed species infesting jute fields—</w:t>
      </w:r>
      <w:proofErr w:type="spellStart"/>
      <w:r w:rsidRPr="00E93119">
        <w:rPr>
          <w:rFonts w:ascii="Times New Roman" w:hAnsi="Times New Roman"/>
          <w:i/>
          <w:iCs/>
          <w:sz w:val="24"/>
          <w:szCs w:val="24"/>
          <w:lang w:bidi="ar-SA"/>
        </w:rPr>
        <w:t>Echinochloa</w:t>
      </w:r>
      <w:proofErr w:type="spellEnd"/>
      <w:r w:rsidRPr="00E93119">
        <w:rPr>
          <w:rFonts w:ascii="Times New Roman" w:hAnsi="Times New Roman"/>
          <w:i/>
          <w:iCs/>
          <w:sz w:val="24"/>
          <w:szCs w:val="24"/>
          <w:lang w:bidi="ar-SA"/>
        </w:rPr>
        <w:t xml:space="preserve"> </w:t>
      </w:r>
      <w:proofErr w:type="spellStart"/>
      <w:r w:rsidRPr="00E93119">
        <w:rPr>
          <w:rFonts w:ascii="Times New Roman" w:hAnsi="Times New Roman"/>
          <w:i/>
          <w:iCs/>
          <w:sz w:val="24"/>
          <w:szCs w:val="24"/>
          <w:lang w:bidi="ar-SA"/>
        </w:rPr>
        <w:t>colona</w:t>
      </w:r>
      <w:proofErr w:type="spellEnd"/>
      <w:r w:rsidRPr="00E93119">
        <w:rPr>
          <w:rFonts w:ascii="Times New Roman" w:hAnsi="Times New Roman"/>
          <w:sz w:val="24"/>
          <w:szCs w:val="24"/>
          <w:lang w:bidi="ar-SA"/>
        </w:rPr>
        <w:t xml:space="preserve"> (</w:t>
      </w:r>
      <w:proofErr w:type="spellStart"/>
      <w:r w:rsidRPr="00E93119">
        <w:rPr>
          <w:rFonts w:ascii="Times New Roman" w:hAnsi="Times New Roman"/>
          <w:sz w:val="24"/>
          <w:szCs w:val="24"/>
          <w:lang w:bidi="ar-SA"/>
        </w:rPr>
        <w:t>Khudesama</w:t>
      </w:r>
      <w:proofErr w:type="spellEnd"/>
      <w:r w:rsidRPr="00E93119">
        <w:rPr>
          <w:rFonts w:ascii="Times New Roman" w:hAnsi="Times New Roman"/>
          <w:sz w:val="24"/>
          <w:szCs w:val="24"/>
          <w:lang w:bidi="ar-SA"/>
        </w:rPr>
        <w:t xml:space="preserve">), </w:t>
      </w:r>
      <w:proofErr w:type="spellStart"/>
      <w:r w:rsidRPr="00E93119">
        <w:rPr>
          <w:rFonts w:ascii="Times New Roman" w:hAnsi="Times New Roman"/>
          <w:i/>
          <w:iCs/>
          <w:sz w:val="24"/>
          <w:szCs w:val="24"/>
          <w:lang w:bidi="ar-SA"/>
        </w:rPr>
        <w:t>Digitaria</w:t>
      </w:r>
      <w:proofErr w:type="spellEnd"/>
      <w:r w:rsidRPr="00E93119">
        <w:rPr>
          <w:rFonts w:ascii="Times New Roman" w:hAnsi="Times New Roman"/>
          <w:i/>
          <w:iCs/>
          <w:sz w:val="24"/>
          <w:szCs w:val="24"/>
          <w:lang w:bidi="ar-SA"/>
        </w:rPr>
        <w:t xml:space="preserve"> </w:t>
      </w:r>
      <w:proofErr w:type="spellStart"/>
      <w:r w:rsidRPr="00E93119">
        <w:rPr>
          <w:rFonts w:ascii="Times New Roman" w:hAnsi="Times New Roman"/>
          <w:i/>
          <w:iCs/>
          <w:sz w:val="24"/>
          <w:szCs w:val="24"/>
          <w:lang w:bidi="ar-SA"/>
        </w:rPr>
        <w:t>sanguinalis</w:t>
      </w:r>
      <w:proofErr w:type="spellEnd"/>
      <w:r w:rsidRPr="00E93119">
        <w:rPr>
          <w:rFonts w:ascii="Times New Roman" w:hAnsi="Times New Roman"/>
          <w:sz w:val="24"/>
          <w:szCs w:val="24"/>
          <w:lang w:bidi="ar-SA"/>
        </w:rPr>
        <w:t xml:space="preserve"> (</w:t>
      </w:r>
      <w:proofErr w:type="spellStart"/>
      <w:r w:rsidRPr="00E93119">
        <w:rPr>
          <w:rFonts w:ascii="Times New Roman" w:hAnsi="Times New Roman"/>
          <w:sz w:val="24"/>
          <w:szCs w:val="24"/>
          <w:lang w:bidi="ar-SA"/>
        </w:rPr>
        <w:t>Angulighas</w:t>
      </w:r>
      <w:proofErr w:type="spellEnd"/>
      <w:r w:rsidRPr="00E93119">
        <w:rPr>
          <w:rFonts w:ascii="Times New Roman" w:hAnsi="Times New Roman"/>
          <w:sz w:val="24"/>
          <w:szCs w:val="24"/>
          <w:lang w:bidi="ar-SA"/>
        </w:rPr>
        <w:t xml:space="preserve">), </w:t>
      </w:r>
      <w:proofErr w:type="spellStart"/>
      <w:r w:rsidRPr="00E93119">
        <w:rPr>
          <w:rFonts w:ascii="Times New Roman" w:hAnsi="Times New Roman"/>
          <w:i/>
          <w:iCs/>
          <w:sz w:val="24"/>
          <w:szCs w:val="24"/>
          <w:lang w:bidi="ar-SA"/>
        </w:rPr>
        <w:t>Cyperus</w:t>
      </w:r>
      <w:proofErr w:type="spellEnd"/>
      <w:r w:rsidRPr="00E93119">
        <w:rPr>
          <w:rFonts w:ascii="Times New Roman" w:hAnsi="Times New Roman"/>
          <w:i/>
          <w:iCs/>
          <w:sz w:val="24"/>
          <w:szCs w:val="24"/>
          <w:lang w:bidi="ar-SA"/>
        </w:rPr>
        <w:t xml:space="preserve"> </w:t>
      </w:r>
      <w:proofErr w:type="spellStart"/>
      <w:r w:rsidRPr="00E93119">
        <w:rPr>
          <w:rFonts w:ascii="Times New Roman" w:hAnsi="Times New Roman"/>
          <w:i/>
          <w:iCs/>
          <w:sz w:val="24"/>
          <w:szCs w:val="24"/>
          <w:lang w:bidi="ar-SA"/>
        </w:rPr>
        <w:t>rotundus</w:t>
      </w:r>
      <w:proofErr w:type="spellEnd"/>
      <w:r w:rsidRPr="00E93119">
        <w:rPr>
          <w:rFonts w:ascii="Times New Roman" w:hAnsi="Times New Roman"/>
          <w:sz w:val="24"/>
          <w:szCs w:val="24"/>
          <w:lang w:bidi="ar-SA"/>
        </w:rPr>
        <w:t xml:space="preserve"> (</w:t>
      </w:r>
      <w:proofErr w:type="spellStart"/>
      <w:r w:rsidRPr="00E93119">
        <w:rPr>
          <w:rFonts w:ascii="Times New Roman" w:hAnsi="Times New Roman"/>
          <w:sz w:val="24"/>
          <w:szCs w:val="24"/>
          <w:lang w:bidi="ar-SA"/>
        </w:rPr>
        <w:t>Mutha</w:t>
      </w:r>
      <w:proofErr w:type="spellEnd"/>
      <w:r w:rsidRPr="00E93119">
        <w:rPr>
          <w:rFonts w:ascii="Times New Roman" w:hAnsi="Times New Roman"/>
          <w:sz w:val="24"/>
          <w:szCs w:val="24"/>
          <w:lang w:bidi="ar-SA"/>
        </w:rPr>
        <w:t xml:space="preserve">), </w:t>
      </w:r>
      <w:proofErr w:type="spellStart"/>
      <w:r w:rsidRPr="00E93119">
        <w:rPr>
          <w:rFonts w:ascii="Times New Roman" w:hAnsi="Times New Roman"/>
          <w:i/>
          <w:iCs/>
          <w:sz w:val="24"/>
          <w:szCs w:val="24"/>
          <w:lang w:bidi="ar-SA"/>
        </w:rPr>
        <w:t>Cynodon</w:t>
      </w:r>
      <w:proofErr w:type="spellEnd"/>
      <w:r w:rsidRPr="00E93119">
        <w:rPr>
          <w:rFonts w:ascii="Times New Roman" w:hAnsi="Times New Roman"/>
          <w:i/>
          <w:iCs/>
          <w:sz w:val="24"/>
          <w:szCs w:val="24"/>
          <w:lang w:bidi="ar-SA"/>
        </w:rPr>
        <w:t xml:space="preserve"> </w:t>
      </w:r>
      <w:proofErr w:type="spellStart"/>
      <w:r w:rsidRPr="00E93119">
        <w:rPr>
          <w:rFonts w:ascii="Times New Roman" w:hAnsi="Times New Roman"/>
          <w:i/>
          <w:iCs/>
          <w:sz w:val="24"/>
          <w:szCs w:val="24"/>
          <w:lang w:bidi="ar-SA"/>
        </w:rPr>
        <w:t>dactylon</w:t>
      </w:r>
      <w:proofErr w:type="spellEnd"/>
      <w:r w:rsidRPr="00E93119">
        <w:rPr>
          <w:rFonts w:ascii="Times New Roman" w:hAnsi="Times New Roman"/>
          <w:sz w:val="24"/>
          <w:szCs w:val="24"/>
          <w:lang w:bidi="ar-SA"/>
        </w:rPr>
        <w:t xml:space="preserve"> (</w:t>
      </w:r>
      <w:proofErr w:type="spellStart"/>
      <w:r w:rsidRPr="00E93119">
        <w:rPr>
          <w:rFonts w:ascii="Times New Roman" w:hAnsi="Times New Roman"/>
          <w:sz w:val="24"/>
          <w:szCs w:val="24"/>
          <w:lang w:bidi="ar-SA"/>
        </w:rPr>
        <w:t>Durba</w:t>
      </w:r>
      <w:proofErr w:type="spellEnd"/>
      <w:r w:rsidRPr="00E93119">
        <w:rPr>
          <w:rFonts w:ascii="Times New Roman" w:hAnsi="Times New Roman"/>
          <w:sz w:val="24"/>
          <w:szCs w:val="24"/>
          <w:lang w:bidi="ar-SA"/>
        </w:rPr>
        <w:t xml:space="preserve">), and </w:t>
      </w:r>
      <w:proofErr w:type="spellStart"/>
      <w:r w:rsidRPr="00E93119">
        <w:rPr>
          <w:rFonts w:ascii="Times New Roman" w:hAnsi="Times New Roman"/>
          <w:i/>
          <w:iCs/>
          <w:sz w:val="24"/>
          <w:szCs w:val="24"/>
          <w:lang w:bidi="ar-SA"/>
        </w:rPr>
        <w:t>Eleusine</w:t>
      </w:r>
      <w:proofErr w:type="spellEnd"/>
      <w:r w:rsidRPr="00E93119">
        <w:rPr>
          <w:rFonts w:ascii="Times New Roman" w:hAnsi="Times New Roman"/>
          <w:i/>
          <w:iCs/>
          <w:sz w:val="24"/>
          <w:szCs w:val="24"/>
          <w:lang w:bidi="ar-SA"/>
        </w:rPr>
        <w:t xml:space="preserve"> </w:t>
      </w:r>
      <w:proofErr w:type="spellStart"/>
      <w:r w:rsidRPr="00E93119">
        <w:rPr>
          <w:rFonts w:ascii="Times New Roman" w:hAnsi="Times New Roman"/>
          <w:i/>
          <w:iCs/>
          <w:sz w:val="24"/>
          <w:szCs w:val="24"/>
          <w:lang w:bidi="ar-SA"/>
        </w:rPr>
        <w:t>indica</w:t>
      </w:r>
      <w:proofErr w:type="spellEnd"/>
      <w:r w:rsidRPr="00E93119">
        <w:rPr>
          <w:rFonts w:ascii="Times New Roman" w:hAnsi="Times New Roman"/>
          <w:sz w:val="24"/>
          <w:szCs w:val="24"/>
          <w:lang w:bidi="ar-SA"/>
        </w:rPr>
        <w:t xml:space="preserve"> (</w:t>
      </w:r>
      <w:proofErr w:type="spellStart"/>
      <w:r w:rsidRPr="00E93119">
        <w:rPr>
          <w:rFonts w:ascii="Times New Roman" w:hAnsi="Times New Roman"/>
          <w:sz w:val="24"/>
          <w:szCs w:val="24"/>
          <w:lang w:bidi="ar-SA"/>
        </w:rPr>
        <w:t>Chapra</w:t>
      </w:r>
      <w:proofErr w:type="spellEnd"/>
      <w:r w:rsidRPr="00E93119">
        <w:rPr>
          <w:rFonts w:ascii="Times New Roman" w:hAnsi="Times New Roman"/>
          <w:sz w:val="24"/>
          <w:szCs w:val="24"/>
          <w:lang w:bidi="ar-SA"/>
        </w:rPr>
        <w:t xml:space="preserve">)—over two consecutive growing seasons at </w:t>
      </w:r>
      <w:proofErr w:type="spellStart"/>
      <w:r w:rsidRPr="00E93119">
        <w:rPr>
          <w:rFonts w:ascii="Times New Roman" w:hAnsi="Times New Roman"/>
          <w:sz w:val="24"/>
          <w:szCs w:val="24"/>
          <w:lang w:bidi="ar-SA"/>
        </w:rPr>
        <w:t>Manikganj</w:t>
      </w:r>
      <w:proofErr w:type="spellEnd"/>
      <w:r w:rsidRPr="00E93119">
        <w:rPr>
          <w:rFonts w:ascii="Times New Roman" w:hAnsi="Times New Roman"/>
          <w:sz w:val="24"/>
          <w:szCs w:val="24"/>
          <w:lang w:bidi="ar-SA"/>
        </w:rPr>
        <w:t xml:space="preserve"> and </w:t>
      </w:r>
      <w:proofErr w:type="spellStart"/>
      <w:r w:rsidRPr="00E93119">
        <w:rPr>
          <w:rFonts w:ascii="Times New Roman" w:hAnsi="Times New Roman"/>
          <w:sz w:val="24"/>
          <w:szCs w:val="24"/>
          <w:lang w:bidi="ar-SA"/>
        </w:rPr>
        <w:t>Tarabo</w:t>
      </w:r>
      <w:proofErr w:type="spellEnd"/>
      <w:r w:rsidRPr="00E93119">
        <w:rPr>
          <w:rFonts w:ascii="Times New Roman" w:hAnsi="Times New Roman"/>
          <w:sz w:val="24"/>
          <w:szCs w:val="24"/>
          <w:lang w:bidi="ar-SA"/>
        </w:rPr>
        <w:t xml:space="preserve">. All herbicides exhibited substantial weed control efficacy, ranging from 75% to 85% across species and years, suggesting that multiple formulations were effective under varying </w:t>
      </w:r>
      <w:proofErr w:type="spellStart"/>
      <w:r w:rsidRPr="00E93119">
        <w:rPr>
          <w:rFonts w:ascii="Times New Roman" w:hAnsi="Times New Roman"/>
          <w:sz w:val="24"/>
          <w:szCs w:val="24"/>
          <w:lang w:bidi="ar-SA"/>
        </w:rPr>
        <w:t>agro</w:t>
      </w:r>
      <w:proofErr w:type="spellEnd"/>
      <w:r w:rsidRPr="00E93119">
        <w:rPr>
          <w:rFonts w:ascii="Times New Roman" w:hAnsi="Times New Roman"/>
          <w:sz w:val="24"/>
          <w:szCs w:val="24"/>
          <w:lang w:bidi="ar-SA"/>
        </w:rPr>
        <w:t>-ecological conditions.</w:t>
      </w:r>
    </w:p>
    <w:p w14:paraId="5C25E2E5" w14:textId="77777777" w:rsidR="00E93119" w:rsidRPr="00E93119" w:rsidRDefault="00E93119" w:rsidP="00E93119">
      <w:pPr>
        <w:spacing w:after="120"/>
        <w:jc w:val="both"/>
        <w:rPr>
          <w:rFonts w:ascii="Times New Roman" w:hAnsi="Times New Roman"/>
          <w:sz w:val="24"/>
          <w:szCs w:val="24"/>
          <w:lang w:bidi="ar-SA"/>
        </w:rPr>
      </w:pPr>
      <w:r w:rsidRPr="00E93119">
        <w:rPr>
          <w:rFonts w:ascii="Times New Roman" w:hAnsi="Times New Roman"/>
          <w:sz w:val="24"/>
          <w:szCs w:val="24"/>
          <w:lang w:bidi="ar-SA"/>
        </w:rPr>
        <w:t xml:space="preserve">Among the treatments, herbicides containing </w:t>
      </w:r>
      <w:proofErr w:type="spellStart"/>
      <w:r w:rsidRPr="00E93119">
        <w:rPr>
          <w:rFonts w:ascii="Times New Roman" w:hAnsi="Times New Roman"/>
          <w:sz w:val="24"/>
          <w:szCs w:val="24"/>
          <w:lang w:bidi="ar-SA"/>
        </w:rPr>
        <w:t>Quizalofop</w:t>
      </w:r>
      <w:proofErr w:type="spellEnd"/>
      <w:r w:rsidRPr="00E93119">
        <w:rPr>
          <w:rFonts w:ascii="Times New Roman" w:hAnsi="Times New Roman"/>
          <w:sz w:val="24"/>
          <w:szCs w:val="24"/>
          <w:lang w:bidi="ar-SA"/>
        </w:rPr>
        <w:t xml:space="preserve">-p-ethyl—either as single active ingredients (e.g., Erase 5EC, </w:t>
      </w:r>
      <w:proofErr w:type="spellStart"/>
      <w:r w:rsidRPr="00E93119">
        <w:rPr>
          <w:rFonts w:ascii="Times New Roman" w:hAnsi="Times New Roman"/>
          <w:sz w:val="24"/>
          <w:szCs w:val="24"/>
          <w:lang w:bidi="ar-SA"/>
        </w:rPr>
        <w:t>Viquin</w:t>
      </w:r>
      <w:proofErr w:type="spellEnd"/>
      <w:r w:rsidRPr="00E93119">
        <w:rPr>
          <w:rFonts w:ascii="Times New Roman" w:hAnsi="Times New Roman"/>
          <w:sz w:val="24"/>
          <w:szCs w:val="24"/>
          <w:lang w:bidi="ar-SA"/>
        </w:rPr>
        <w:t xml:space="preserve"> 5EC, Cutter 50EC) or in combination with </w:t>
      </w:r>
      <w:proofErr w:type="spellStart"/>
      <w:r w:rsidRPr="00E93119">
        <w:rPr>
          <w:rFonts w:ascii="Times New Roman" w:hAnsi="Times New Roman"/>
          <w:sz w:val="24"/>
          <w:szCs w:val="24"/>
          <w:lang w:bidi="ar-SA"/>
        </w:rPr>
        <w:t>Ethoxysulfuron</w:t>
      </w:r>
      <w:proofErr w:type="spellEnd"/>
      <w:r w:rsidRPr="00E93119">
        <w:rPr>
          <w:rFonts w:ascii="Times New Roman" w:hAnsi="Times New Roman"/>
          <w:sz w:val="24"/>
          <w:szCs w:val="24"/>
          <w:lang w:bidi="ar-SA"/>
        </w:rPr>
        <w:t xml:space="preserve"> (e.g., Natai 21OD, Raker 21OD)—showed consistently high control of grassy weeds, particularly </w:t>
      </w:r>
      <w:r w:rsidRPr="00E93119">
        <w:rPr>
          <w:rFonts w:ascii="Times New Roman" w:hAnsi="Times New Roman"/>
          <w:i/>
          <w:iCs/>
          <w:sz w:val="24"/>
          <w:szCs w:val="24"/>
          <w:lang w:bidi="ar-SA"/>
        </w:rPr>
        <w:t xml:space="preserve">E. </w:t>
      </w:r>
      <w:proofErr w:type="spellStart"/>
      <w:r w:rsidRPr="00E93119">
        <w:rPr>
          <w:rFonts w:ascii="Times New Roman" w:hAnsi="Times New Roman"/>
          <w:i/>
          <w:iCs/>
          <w:sz w:val="24"/>
          <w:szCs w:val="24"/>
          <w:lang w:bidi="ar-SA"/>
        </w:rPr>
        <w:t>colona</w:t>
      </w:r>
      <w:proofErr w:type="spellEnd"/>
      <w:r w:rsidRPr="00E93119">
        <w:rPr>
          <w:rFonts w:ascii="Times New Roman" w:hAnsi="Times New Roman"/>
          <w:sz w:val="24"/>
          <w:szCs w:val="24"/>
          <w:lang w:bidi="ar-SA"/>
        </w:rPr>
        <w:t xml:space="preserve"> and </w:t>
      </w:r>
      <w:r w:rsidRPr="00E93119">
        <w:rPr>
          <w:rFonts w:ascii="Times New Roman" w:hAnsi="Times New Roman"/>
          <w:i/>
          <w:iCs/>
          <w:sz w:val="24"/>
          <w:szCs w:val="24"/>
          <w:lang w:bidi="ar-SA"/>
        </w:rPr>
        <w:t xml:space="preserve">D. </w:t>
      </w:r>
      <w:proofErr w:type="spellStart"/>
      <w:r w:rsidRPr="00E93119">
        <w:rPr>
          <w:rFonts w:ascii="Times New Roman" w:hAnsi="Times New Roman"/>
          <w:i/>
          <w:iCs/>
          <w:sz w:val="24"/>
          <w:szCs w:val="24"/>
          <w:lang w:bidi="ar-SA"/>
        </w:rPr>
        <w:t>sanguinalis</w:t>
      </w:r>
      <w:proofErr w:type="spellEnd"/>
      <w:r w:rsidRPr="00E93119">
        <w:rPr>
          <w:rFonts w:ascii="Times New Roman" w:hAnsi="Times New Roman"/>
          <w:sz w:val="24"/>
          <w:szCs w:val="24"/>
          <w:lang w:bidi="ar-SA"/>
        </w:rPr>
        <w:t xml:space="preserve">. Likewise, Pretilachlor-based </w:t>
      </w:r>
      <w:proofErr w:type="spellStart"/>
      <w:r w:rsidRPr="00E93119">
        <w:rPr>
          <w:rFonts w:ascii="Times New Roman" w:hAnsi="Times New Roman"/>
          <w:sz w:val="24"/>
          <w:szCs w:val="24"/>
          <w:lang w:bidi="ar-SA"/>
        </w:rPr>
        <w:t>Emifit</w:t>
      </w:r>
      <w:proofErr w:type="spellEnd"/>
      <w:r w:rsidRPr="00E93119">
        <w:rPr>
          <w:rFonts w:ascii="Times New Roman" w:hAnsi="Times New Roman"/>
          <w:sz w:val="24"/>
          <w:szCs w:val="24"/>
          <w:lang w:bidi="ar-SA"/>
        </w:rPr>
        <w:t xml:space="preserve"> 50EC and 2,4-D amine-based Orin 72SL maintained stable performance against annual weeds with little seasonal variation. In addition, </w:t>
      </w:r>
      <w:proofErr w:type="spellStart"/>
      <w:r w:rsidRPr="00E93119">
        <w:rPr>
          <w:rFonts w:ascii="Times New Roman" w:hAnsi="Times New Roman"/>
          <w:sz w:val="24"/>
          <w:szCs w:val="24"/>
          <w:lang w:bidi="ar-SA"/>
        </w:rPr>
        <w:t>Glufosinate</w:t>
      </w:r>
      <w:proofErr w:type="spellEnd"/>
      <w:r w:rsidRPr="00E93119">
        <w:rPr>
          <w:rFonts w:ascii="Times New Roman" w:hAnsi="Times New Roman"/>
          <w:sz w:val="24"/>
          <w:szCs w:val="24"/>
          <w:lang w:bidi="ar-SA"/>
        </w:rPr>
        <w:t xml:space="preserve">-ammonium formulations such as Fire 20SL, </w:t>
      </w:r>
      <w:proofErr w:type="spellStart"/>
      <w:r w:rsidRPr="00E93119">
        <w:rPr>
          <w:rFonts w:ascii="Times New Roman" w:hAnsi="Times New Roman"/>
          <w:sz w:val="24"/>
          <w:szCs w:val="24"/>
          <w:lang w:bidi="ar-SA"/>
        </w:rPr>
        <w:t>Imulin</w:t>
      </w:r>
      <w:proofErr w:type="spellEnd"/>
      <w:r w:rsidRPr="00E93119">
        <w:rPr>
          <w:rFonts w:ascii="Times New Roman" w:hAnsi="Times New Roman"/>
          <w:sz w:val="24"/>
          <w:szCs w:val="24"/>
          <w:lang w:bidi="ar-SA"/>
        </w:rPr>
        <w:t xml:space="preserve"> 20SL, and </w:t>
      </w:r>
      <w:proofErr w:type="spellStart"/>
      <w:r w:rsidRPr="00E93119">
        <w:rPr>
          <w:rFonts w:ascii="Times New Roman" w:hAnsi="Times New Roman"/>
          <w:sz w:val="24"/>
          <w:szCs w:val="24"/>
          <w:lang w:bidi="ar-SA"/>
        </w:rPr>
        <w:t>Eround</w:t>
      </w:r>
      <w:proofErr w:type="spellEnd"/>
      <w:r w:rsidRPr="00E93119">
        <w:rPr>
          <w:rFonts w:ascii="Times New Roman" w:hAnsi="Times New Roman"/>
          <w:sz w:val="24"/>
          <w:szCs w:val="24"/>
          <w:lang w:bidi="ar-SA"/>
        </w:rPr>
        <w:t xml:space="preserve"> Plus 20SL demonstrated broad-spectrum activity, effectively suppressing </w:t>
      </w:r>
      <w:r w:rsidRPr="00E93119">
        <w:rPr>
          <w:rFonts w:ascii="Times New Roman" w:hAnsi="Times New Roman"/>
          <w:i/>
          <w:iCs/>
          <w:sz w:val="24"/>
          <w:szCs w:val="24"/>
          <w:lang w:bidi="ar-SA"/>
        </w:rPr>
        <w:t>C. rotundus</w:t>
      </w:r>
      <w:r w:rsidRPr="00E93119">
        <w:rPr>
          <w:rFonts w:ascii="Times New Roman" w:hAnsi="Times New Roman"/>
          <w:sz w:val="24"/>
          <w:szCs w:val="24"/>
          <w:lang w:bidi="ar-SA"/>
        </w:rPr>
        <w:t xml:space="preserve"> and </w:t>
      </w:r>
      <w:r w:rsidRPr="00E93119">
        <w:rPr>
          <w:rFonts w:ascii="Times New Roman" w:hAnsi="Times New Roman"/>
          <w:i/>
          <w:iCs/>
          <w:sz w:val="24"/>
          <w:szCs w:val="24"/>
          <w:lang w:bidi="ar-SA"/>
        </w:rPr>
        <w:t xml:space="preserve">D. </w:t>
      </w:r>
      <w:proofErr w:type="spellStart"/>
      <w:r w:rsidRPr="00E93119">
        <w:rPr>
          <w:rFonts w:ascii="Times New Roman" w:hAnsi="Times New Roman"/>
          <w:i/>
          <w:iCs/>
          <w:sz w:val="24"/>
          <w:szCs w:val="24"/>
          <w:lang w:bidi="ar-SA"/>
        </w:rPr>
        <w:t>sanguinalis</w:t>
      </w:r>
      <w:proofErr w:type="spellEnd"/>
      <w:r w:rsidRPr="00E93119">
        <w:rPr>
          <w:rFonts w:ascii="Times New Roman" w:hAnsi="Times New Roman"/>
          <w:sz w:val="24"/>
          <w:szCs w:val="24"/>
          <w:lang w:bidi="ar-SA"/>
        </w:rPr>
        <w:t xml:space="preserve">. Cutter 50EC and </w:t>
      </w:r>
      <w:proofErr w:type="spellStart"/>
      <w:r w:rsidRPr="00E93119">
        <w:rPr>
          <w:rFonts w:ascii="Times New Roman" w:hAnsi="Times New Roman"/>
          <w:sz w:val="24"/>
          <w:szCs w:val="24"/>
          <w:lang w:bidi="ar-SA"/>
        </w:rPr>
        <w:t>Raxil</w:t>
      </w:r>
      <w:proofErr w:type="spellEnd"/>
      <w:r w:rsidRPr="00E93119">
        <w:rPr>
          <w:rFonts w:ascii="Times New Roman" w:hAnsi="Times New Roman"/>
          <w:sz w:val="24"/>
          <w:szCs w:val="24"/>
          <w:lang w:bidi="ar-SA"/>
        </w:rPr>
        <w:t xml:space="preserve"> 50EC were particularly effective against perennial weeds like </w:t>
      </w:r>
      <w:r w:rsidRPr="00E93119">
        <w:rPr>
          <w:rFonts w:ascii="Times New Roman" w:hAnsi="Times New Roman"/>
          <w:i/>
          <w:iCs/>
          <w:sz w:val="24"/>
          <w:szCs w:val="24"/>
          <w:lang w:bidi="ar-SA"/>
        </w:rPr>
        <w:t xml:space="preserve">C. </w:t>
      </w:r>
      <w:proofErr w:type="spellStart"/>
      <w:r w:rsidRPr="00E93119">
        <w:rPr>
          <w:rFonts w:ascii="Times New Roman" w:hAnsi="Times New Roman"/>
          <w:i/>
          <w:iCs/>
          <w:sz w:val="24"/>
          <w:szCs w:val="24"/>
          <w:lang w:bidi="ar-SA"/>
        </w:rPr>
        <w:t>dactylon</w:t>
      </w:r>
      <w:proofErr w:type="spellEnd"/>
      <w:r w:rsidRPr="00E93119">
        <w:rPr>
          <w:rFonts w:ascii="Times New Roman" w:hAnsi="Times New Roman"/>
          <w:sz w:val="24"/>
          <w:szCs w:val="24"/>
          <w:lang w:bidi="ar-SA"/>
        </w:rPr>
        <w:t xml:space="preserve"> and </w:t>
      </w:r>
      <w:r w:rsidRPr="00E93119">
        <w:rPr>
          <w:rFonts w:ascii="Times New Roman" w:hAnsi="Times New Roman"/>
          <w:i/>
          <w:iCs/>
          <w:sz w:val="24"/>
          <w:szCs w:val="24"/>
          <w:lang w:bidi="ar-SA"/>
        </w:rPr>
        <w:t>E. indica</w:t>
      </w:r>
      <w:r w:rsidRPr="00E93119">
        <w:rPr>
          <w:rFonts w:ascii="Times New Roman" w:hAnsi="Times New Roman"/>
          <w:sz w:val="24"/>
          <w:szCs w:val="24"/>
          <w:lang w:bidi="ar-SA"/>
        </w:rPr>
        <w:t>, achieving more than 80% control efficiency. Despite minor fluctuations between seasons, the overall performance of these herbicides remained consistent, confirming their reliability for integrated weed management (IWM) in jute.</w:t>
      </w:r>
    </w:p>
    <w:p w14:paraId="347E487A" w14:textId="77777777" w:rsidR="00E93119" w:rsidRPr="00E93119" w:rsidRDefault="00E93119" w:rsidP="00E93119">
      <w:pPr>
        <w:spacing w:after="120"/>
        <w:jc w:val="both"/>
        <w:rPr>
          <w:rFonts w:ascii="Times New Roman" w:hAnsi="Times New Roman"/>
          <w:sz w:val="24"/>
          <w:szCs w:val="24"/>
          <w:lang w:bidi="ar-SA"/>
        </w:rPr>
      </w:pPr>
      <w:r w:rsidRPr="00E93119">
        <w:rPr>
          <w:rFonts w:ascii="Times New Roman" w:hAnsi="Times New Roman"/>
          <w:sz w:val="24"/>
          <w:szCs w:val="24"/>
          <w:lang w:bidi="ar-SA"/>
        </w:rPr>
        <w:t xml:space="preserve">The superior performance of </w:t>
      </w:r>
      <w:proofErr w:type="spellStart"/>
      <w:r w:rsidRPr="00E93119">
        <w:rPr>
          <w:rFonts w:ascii="Times New Roman" w:hAnsi="Times New Roman"/>
          <w:sz w:val="24"/>
          <w:szCs w:val="24"/>
          <w:lang w:bidi="ar-SA"/>
        </w:rPr>
        <w:t>Quizalofop</w:t>
      </w:r>
      <w:proofErr w:type="spellEnd"/>
      <w:r w:rsidRPr="00E93119">
        <w:rPr>
          <w:rFonts w:ascii="Times New Roman" w:hAnsi="Times New Roman"/>
          <w:sz w:val="24"/>
          <w:szCs w:val="24"/>
          <w:lang w:bidi="ar-SA"/>
        </w:rPr>
        <w:t xml:space="preserve">-p-ethyl formulations aligns with earlier reports indicating that </w:t>
      </w:r>
      <w:proofErr w:type="spellStart"/>
      <w:r w:rsidRPr="00E93119">
        <w:rPr>
          <w:rFonts w:ascii="Times New Roman" w:hAnsi="Times New Roman"/>
          <w:sz w:val="24"/>
          <w:szCs w:val="24"/>
          <w:lang w:bidi="ar-SA"/>
        </w:rPr>
        <w:t>ACCase</w:t>
      </w:r>
      <w:proofErr w:type="spellEnd"/>
      <w:r w:rsidRPr="00E93119">
        <w:rPr>
          <w:rFonts w:ascii="Times New Roman" w:hAnsi="Times New Roman"/>
          <w:sz w:val="24"/>
          <w:szCs w:val="24"/>
          <w:lang w:bidi="ar-SA"/>
        </w:rPr>
        <w:t xml:space="preserve">-inhibiting herbicides are highly effective against both annual and perennial grasses when applied at the appropriate growth stage (Mahbub &amp; Bhuiyan, 2021). Comparable results were also reported by Hossain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(2024), who found that </w:t>
      </w:r>
      <w:proofErr w:type="spellStart"/>
      <w:r w:rsidRPr="00E93119">
        <w:rPr>
          <w:rFonts w:ascii="Times New Roman" w:hAnsi="Times New Roman"/>
          <w:sz w:val="24"/>
          <w:szCs w:val="24"/>
          <w:lang w:bidi="ar-SA"/>
        </w:rPr>
        <w:t>Quizalofop</w:t>
      </w:r>
      <w:proofErr w:type="spellEnd"/>
      <w:r w:rsidRPr="00E93119">
        <w:rPr>
          <w:rFonts w:ascii="Times New Roman" w:hAnsi="Times New Roman"/>
          <w:sz w:val="24"/>
          <w:szCs w:val="24"/>
          <w:lang w:bidi="ar-SA"/>
        </w:rPr>
        <w:t xml:space="preserve">-p-ethyl and </w:t>
      </w:r>
      <w:proofErr w:type="spellStart"/>
      <w:r w:rsidRPr="00E93119">
        <w:rPr>
          <w:rFonts w:ascii="Times New Roman" w:hAnsi="Times New Roman"/>
          <w:sz w:val="24"/>
          <w:szCs w:val="24"/>
          <w:lang w:bidi="ar-SA"/>
        </w:rPr>
        <w:t>Ethoxysulfuron</w:t>
      </w:r>
      <w:proofErr w:type="spellEnd"/>
      <w:r w:rsidRPr="00E93119">
        <w:rPr>
          <w:rFonts w:ascii="Times New Roman" w:hAnsi="Times New Roman"/>
          <w:sz w:val="24"/>
          <w:szCs w:val="24"/>
          <w:lang w:bidi="ar-SA"/>
        </w:rPr>
        <w:t xml:space="preserve"> combinations effectively reduced weed density and biomass in </w:t>
      </w:r>
      <w:r w:rsidRPr="00E93119">
        <w:rPr>
          <w:rFonts w:ascii="Times New Roman" w:hAnsi="Times New Roman"/>
          <w:i/>
          <w:iCs/>
          <w:sz w:val="24"/>
          <w:szCs w:val="24"/>
          <w:lang w:bidi="ar-SA"/>
        </w:rPr>
        <w:t xml:space="preserve">Corchorus </w:t>
      </w:r>
      <w:proofErr w:type="spellStart"/>
      <w:r w:rsidRPr="00E93119">
        <w:rPr>
          <w:rFonts w:ascii="Times New Roman" w:hAnsi="Times New Roman"/>
          <w:i/>
          <w:iCs/>
          <w:sz w:val="24"/>
          <w:szCs w:val="24"/>
          <w:lang w:bidi="ar-SA"/>
        </w:rPr>
        <w:t>olitorius</w:t>
      </w:r>
      <w:proofErr w:type="spellEnd"/>
      <w:r w:rsidRPr="00E93119">
        <w:rPr>
          <w:rFonts w:ascii="Times New Roman" w:hAnsi="Times New Roman"/>
          <w:sz w:val="24"/>
          <w:szCs w:val="24"/>
          <w:lang w:bidi="ar-SA"/>
        </w:rPr>
        <w:t xml:space="preserve"> fields while minimizing phytotoxic symptoms. Similarly, Bhuiyan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(2018) emphasized that combining graminicides with sulfonylurea herbicides extends the spectrum of weed control, improving efficacy against both monocot and dicot species. Such combinations may also delay herbicide resistance development, as noted in multi-season trials of rice and jute systems (Kumar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2015). The high level of consistency observed across the two experimental zones in this study suggests that soil type and climatic variability exerted limited influence on herbicide activity—likely due to uniform absorption and persistence characteristics of the applied formulations (Charles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2019).</w:t>
      </w:r>
    </w:p>
    <w:p w14:paraId="6BAF4FA0" w14:textId="15928B98" w:rsidR="00E93119" w:rsidRPr="00E93119" w:rsidRDefault="00E93119" w:rsidP="00E93119">
      <w:pPr>
        <w:spacing w:after="120"/>
        <w:jc w:val="both"/>
        <w:rPr>
          <w:rFonts w:ascii="Times New Roman" w:hAnsi="Times New Roman"/>
          <w:sz w:val="24"/>
          <w:szCs w:val="24"/>
          <w:lang w:bidi="ar-SA"/>
        </w:rPr>
      </w:pPr>
      <w:r w:rsidRPr="00E93119">
        <w:rPr>
          <w:rFonts w:ascii="Times New Roman" w:hAnsi="Times New Roman"/>
          <w:sz w:val="24"/>
          <w:szCs w:val="24"/>
          <w:lang w:bidi="ar-SA"/>
        </w:rPr>
        <w:t xml:space="preserve">Seasonal variations in weed control efficacy observed in this study can be partly attributed to differences in rainfall and weed emergence timing, a finding consistent with the observations of Singh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(2015</w:t>
      </w:r>
      <w:r w:rsidR="00F75ADC">
        <w:rPr>
          <w:rFonts w:ascii="Times New Roman" w:hAnsi="Times New Roman"/>
          <w:sz w:val="24"/>
          <w:szCs w:val="24"/>
          <w:lang w:bidi="ar-SA"/>
        </w:rPr>
        <w:t>b</w:t>
      </w:r>
      <w:r w:rsidRPr="00E93119">
        <w:rPr>
          <w:rFonts w:ascii="Times New Roman" w:hAnsi="Times New Roman"/>
          <w:sz w:val="24"/>
          <w:szCs w:val="24"/>
          <w:lang w:bidi="ar-SA"/>
        </w:rPr>
        <w:t xml:space="preserve">) and Ghorai (2015), who highlighted that the critical period of weed competition in jute fluctuates depending on environmental conditions and management </w:t>
      </w:r>
      <w:r w:rsidRPr="00E93119">
        <w:rPr>
          <w:rFonts w:ascii="Times New Roman" w:hAnsi="Times New Roman"/>
          <w:sz w:val="24"/>
          <w:szCs w:val="24"/>
          <w:lang w:bidi="ar-SA"/>
        </w:rPr>
        <w:lastRenderedPageBreak/>
        <w:t xml:space="preserve">practices. Mandal and Mukherjee (2018) similarly reported that effective weed management during the early growth phase of jute is essential for maximizing </w:t>
      </w:r>
      <w:proofErr w:type="spellStart"/>
      <w:r w:rsidRPr="00E93119">
        <w:rPr>
          <w:rFonts w:ascii="Times New Roman" w:hAnsi="Times New Roman"/>
          <w:sz w:val="24"/>
          <w:szCs w:val="24"/>
          <w:lang w:bidi="ar-SA"/>
        </w:rPr>
        <w:t>fibre</w:t>
      </w:r>
      <w:proofErr w:type="spellEnd"/>
      <w:r w:rsidRPr="00E93119">
        <w:rPr>
          <w:rFonts w:ascii="Times New Roman" w:hAnsi="Times New Roman"/>
          <w:sz w:val="24"/>
          <w:szCs w:val="24"/>
          <w:lang w:bidi="ar-SA"/>
        </w:rPr>
        <w:t xml:space="preserve"> yield, as unchecked weed growth during this stage can lead to yield reductions exceeding 50%. The current results reaffirm that maintaining at least 75% weed control during the first 30–40 days after sowing is crucial for ensuring optimal growth and canopy establishment in jute crops (Kumar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2015; Hossain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2023). Furthermore, the ability of </w:t>
      </w:r>
      <w:proofErr w:type="spellStart"/>
      <w:r w:rsidRPr="00E93119">
        <w:rPr>
          <w:rFonts w:ascii="Times New Roman" w:hAnsi="Times New Roman"/>
          <w:sz w:val="24"/>
          <w:szCs w:val="24"/>
          <w:lang w:bidi="ar-SA"/>
        </w:rPr>
        <w:t>Glufosinate</w:t>
      </w:r>
      <w:proofErr w:type="spellEnd"/>
      <w:r w:rsidRPr="00E93119">
        <w:rPr>
          <w:rFonts w:ascii="Times New Roman" w:hAnsi="Times New Roman"/>
          <w:sz w:val="24"/>
          <w:szCs w:val="24"/>
          <w:lang w:bidi="ar-SA"/>
        </w:rPr>
        <w:t>-ammonium-based herbicides to control a wide range of weed flora, including sedges and perennials, is particularly valuable in diverse jute-growing environments, where weed communities differ markedly across locations (</w:t>
      </w:r>
      <w:proofErr w:type="spellStart"/>
      <w:r w:rsidRPr="00E93119">
        <w:rPr>
          <w:rFonts w:ascii="Times New Roman" w:hAnsi="Times New Roman"/>
          <w:sz w:val="24"/>
          <w:szCs w:val="24"/>
          <w:lang w:bidi="ar-SA"/>
        </w:rPr>
        <w:t>Susha</w:t>
      </w:r>
      <w:proofErr w:type="spellEnd"/>
      <w:r w:rsidRPr="00E93119">
        <w:rPr>
          <w:rFonts w:ascii="Times New Roman" w:hAnsi="Times New Roman"/>
          <w:sz w:val="24"/>
          <w:szCs w:val="24"/>
          <w:lang w:bidi="ar-SA"/>
        </w:rPr>
        <w:t xml:space="preserve">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2018).</w:t>
      </w:r>
    </w:p>
    <w:p w14:paraId="3F8EAF20" w14:textId="48DB066E" w:rsidR="00E93119" w:rsidRPr="00E93119" w:rsidRDefault="00E93119" w:rsidP="00E93119">
      <w:pPr>
        <w:spacing w:after="120"/>
        <w:jc w:val="both"/>
        <w:rPr>
          <w:rFonts w:ascii="Times New Roman" w:hAnsi="Times New Roman"/>
          <w:sz w:val="24"/>
          <w:szCs w:val="24"/>
          <w:lang w:bidi="ar-SA"/>
        </w:rPr>
      </w:pPr>
      <w:r w:rsidRPr="00E93119">
        <w:rPr>
          <w:rFonts w:ascii="Times New Roman" w:hAnsi="Times New Roman"/>
          <w:sz w:val="24"/>
          <w:szCs w:val="24"/>
          <w:lang w:bidi="ar-SA"/>
        </w:rPr>
        <w:t xml:space="preserve">From an agronomic standpoint, these findings underscore the importance of adopting multi-mode herbicide strategies as part of a broader integrated weed management (IWM) framework. As emphasized by Swanton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(2015), integrating chemical control with cultural and mechanical practices—such as narrow row spacing, early canopy closure, and timely hand weeding—enhances weed suppression and reduces reliance on synthetic herbicides. Ghorai (2015) also pointed out that rotational use of herbicides with different action mechanisms, combined with preventive measures, helps sustain soil health and delays the evolution of herbicide-resistant weed populations. In this context, products like Cutter 50EC and Raker 21OD, which demonstrated consistent performance across years and sites, appear promising for inclusion in rotational or combination weed management systems for jute. The results also complement previous findings on integrated weed control approaches in other </w:t>
      </w:r>
      <w:proofErr w:type="spellStart"/>
      <w:r w:rsidRPr="00E93119">
        <w:rPr>
          <w:rFonts w:ascii="Times New Roman" w:hAnsi="Times New Roman"/>
          <w:sz w:val="24"/>
          <w:szCs w:val="24"/>
          <w:lang w:bidi="ar-SA"/>
        </w:rPr>
        <w:t>fibre</w:t>
      </w:r>
      <w:proofErr w:type="spellEnd"/>
      <w:r w:rsidRPr="00E93119">
        <w:rPr>
          <w:rFonts w:ascii="Times New Roman" w:hAnsi="Times New Roman"/>
          <w:sz w:val="24"/>
          <w:szCs w:val="24"/>
          <w:lang w:bidi="ar-SA"/>
        </w:rPr>
        <w:t xml:space="preserve"> crops such as kenaf and </w:t>
      </w:r>
      <w:proofErr w:type="spellStart"/>
      <w:r w:rsidRPr="00E93119">
        <w:rPr>
          <w:rFonts w:ascii="Times New Roman" w:hAnsi="Times New Roman"/>
          <w:sz w:val="24"/>
          <w:szCs w:val="24"/>
          <w:lang w:bidi="ar-SA"/>
        </w:rPr>
        <w:t>mesta</w:t>
      </w:r>
      <w:proofErr w:type="spellEnd"/>
      <w:r w:rsidRPr="00E93119">
        <w:rPr>
          <w:rFonts w:ascii="Times New Roman" w:hAnsi="Times New Roman"/>
          <w:sz w:val="24"/>
          <w:szCs w:val="24"/>
          <w:lang w:bidi="ar-SA"/>
        </w:rPr>
        <w:t xml:space="preserve"> (Islam &amp; Ali, 2017; Singh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2015</w:t>
      </w:r>
      <w:r w:rsidR="00F75ADC">
        <w:rPr>
          <w:rFonts w:ascii="Times New Roman" w:hAnsi="Times New Roman"/>
          <w:sz w:val="24"/>
          <w:szCs w:val="24"/>
          <w:lang w:bidi="ar-SA"/>
        </w:rPr>
        <w:t>a</w:t>
      </w:r>
      <w:r w:rsidRPr="00E93119">
        <w:rPr>
          <w:rFonts w:ascii="Times New Roman" w:hAnsi="Times New Roman"/>
          <w:sz w:val="24"/>
          <w:szCs w:val="24"/>
          <w:lang w:bidi="ar-SA"/>
        </w:rPr>
        <w:t xml:space="preserve">), emphasizing the broader relevance of chemical–cultural integration for sustainable </w:t>
      </w:r>
      <w:proofErr w:type="spellStart"/>
      <w:r w:rsidRPr="00E93119">
        <w:rPr>
          <w:rFonts w:ascii="Times New Roman" w:hAnsi="Times New Roman"/>
          <w:sz w:val="24"/>
          <w:szCs w:val="24"/>
          <w:lang w:bidi="ar-SA"/>
        </w:rPr>
        <w:t>fibre</w:t>
      </w:r>
      <w:proofErr w:type="spellEnd"/>
      <w:r w:rsidRPr="00E93119">
        <w:rPr>
          <w:rFonts w:ascii="Times New Roman" w:hAnsi="Times New Roman"/>
          <w:sz w:val="24"/>
          <w:szCs w:val="24"/>
          <w:lang w:bidi="ar-SA"/>
        </w:rPr>
        <w:t xml:space="preserve"> crop production.</w:t>
      </w:r>
    </w:p>
    <w:p w14:paraId="5FE13E28" w14:textId="77777777" w:rsidR="00E93119" w:rsidRPr="00E93119" w:rsidRDefault="00E93119" w:rsidP="00E93119">
      <w:pPr>
        <w:spacing w:after="120"/>
        <w:jc w:val="both"/>
        <w:rPr>
          <w:rFonts w:ascii="Times New Roman" w:hAnsi="Times New Roman"/>
          <w:sz w:val="24"/>
          <w:szCs w:val="24"/>
          <w:lang w:bidi="ar-SA"/>
        </w:rPr>
      </w:pPr>
      <w:r w:rsidRPr="00E93119">
        <w:rPr>
          <w:rFonts w:ascii="Times New Roman" w:hAnsi="Times New Roman"/>
          <w:sz w:val="24"/>
          <w:szCs w:val="24"/>
          <w:lang w:bidi="ar-SA"/>
        </w:rPr>
        <w:t xml:space="preserve">Overall, this study provides clear evidence that modern herbicide formulations, particularly those containing </w:t>
      </w:r>
      <w:proofErr w:type="spellStart"/>
      <w:r w:rsidRPr="00E93119">
        <w:rPr>
          <w:rFonts w:ascii="Times New Roman" w:hAnsi="Times New Roman"/>
          <w:sz w:val="24"/>
          <w:szCs w:val="24"/>
          <w:lang w:bidi="ar-SA"/>
        </w:rPr>
        <w:t>Quizalofop</w:t>
      </w:r>
      <w:proofErr w:type="spellEnd"/>
      <w:r w:rsidRPr="00E93119">
        <w:rPr>
          <w:rFonts w:ascii="Times New Roman" w:hAnsi="Times New Roman"/>
          <w:sz w:val="24"/>
          <w:szCs w:val="24"/>
          <w:lang w:bidi="ar-SA"/>
        </w:rPr>
        <w:t xml:space="preserve">-p-ethyl, </w:t>
      </w:r>
      <w:proofErr w:type="spellStart"/>
      <w:r w:rsidRPr="00E93119">
        <w:rPr>
          <w:rFonts w:ascii="Times New Roman" w:hAnsi="Times New Roman"/>
          <w:sz w:val="24"/>
          <w:szCs w:val="24"/>
          <w:lang w:bidi="ar-SA"/>
        </w:rPr>
        <w:t>Ethoxysulfuron</w:t>
      </w:r>
      <w:proofErr w:type="spellEnd"/>
      <w:r w:rsidRPr="00E93119">
        <w:rPr>
          <w:rFonts w:ascii="Times New Roman" w:hAnsi="Times New Roman"/>
          <w:sz w:val="24"/>
          <w:szCs w:val="24"/>
          <w:lang w:bidi="ar-SA"/>
        </w:rPr>
        <w:t xml:space="preserve">, and </w:t>
      </w:r>
      <w:proofErr w:type="spellStart"/>
      <w:r w:rsidRPr="00E93119">
        <w:rPr>
          <w:rFonts w:ascii="Times New Roman" w:hAnsi="Times New Roman"/>
          <w:sz w:val="24"/>
          <w:szCs w:val="24"/>
          <w:lang w:bidi="ar-SA"/>
        </w:rPr>
        <w:t>Glufosinate</w:t>
      </w:r>
      <w:proofErr w:type="spellEnd"/>
      <w:r w:rsidRPr="00E93119">
        <w:rPr>
          <w:rFonts w:ascii="Times New Roman" w:hAnsi="Times New Roman"/>
          <w:sz w:val="24"/>
          <w:szCs w:val="24"/>
          <w:lang w:bidi="ar-SA"/>
        </w:rPr>
        <w:t xml:space="preserve">-ammonium, offer effective and adaptable weed control options across multiple </w:t>
      </w:r>
      <w:proofErr w:type="spellStart"/>
      <w:r w:rsidRPr="00E93119">
        <w:rPr>
          <w:rFonts w:ascii="Times New Roman" w:hAnsi="Times New Roman"/>
          <w:sz w:val="24"/>
          <w:szCs w:val="24"/>
          <w:lang w:bidi="ar-SA"/>
        </w:rPr>
        <w:t>agro</w:t>
      </w:r>
      <w:proofErr w:type="spellEnd"/>
      <w:r w:rsidRPr="00E93119">
        <w:rPr>
          <w:rFonts w:ascii="Times New Roman" w:hAnsi="Times New Roman"/>
          <w:sz w:val="24"/>
          <w:szCs w:val="24"/>
          <w:lang w:bidi="ar-SA"/>
        </w:rPr>
        <w:t xml:space="preserve">-ecological conditions in Bangladesh. The observed stability and cross-season efficacy of these formulations make them suitable candidates for region-specific IWM packages aimed at minimizing weed pressure and improving </w:t>
      </w:r>
      <w:proofErr w:type="spellStart"/>
      <w:r w:rsidRPr="00E93119">
        <w:rPr>
          <w:rFonts w:ascii="Times New Roman" w:hAnsi="Times New Roman"/>
          <w:sz w:val="24"/>
          <w:szCs w:val="24"/>
          <w:lang w:bidi="ar-SA"/>
        </w:rPr>
        <w:t>fibre</w:t>
      </w:r>
      <w:proofErr w:type="spellEnd"/>
      <w:r w:rsidRPr="00E93119">
        <w:rPr>
          <w:rFonts w:ascii="Times New Roman" w:hAnsi="Times New Roman"/>
          <w:sz w:val="24"/>
          <w:szCs w:val="24"/>
          <w:lang w:bidi="ar-SA"/>
        </w:rPr>
        <w:t xml:space="preserve"> yield. These results are consistent with earlier studies demonstrating that appropriate weed control practices significantly enhance crop competitiveness, </w:t>
      </w:r>
      <w:proofErr w:type="spellStart"/>
      <w:r w:rsidRPr="00E93119">
        <w:rPr>
          <w:rFonts w:ascii="Times New Roman" w:hAnsi="Times New Roman"/>
          <w:sz w:val="24"/>
          <w:szCs w:val="24"/>
          <w:lang w:bidi="ar-SA"/>
        </w:rPr>
        <w:t>fibre</w:t>
      </w:r>
      <w:proofErr w:type="spellEnd"/>
      <w:r w:rsidRPr="00E93119">
        <w:rPr>
          <w:rFonts w:ascii="Times New Roman" w:hAnsi="Times New Roman"/>
          <w:sz w:val="24"/>
          <w:szCs w:val="24"/>
          <w:lang w:bidi="ar-SA"/>
        </w:rPr>
        <w:t xml:space="preserve"> quality, and overall jute productivity (Jena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2017; Hossain </w:t>
      </w:r>
      <w:r w:rsidRPr="00E93119">
        <w:rPr>
          <w:rFonts w:ascii="Times New Roman" w:hAnsi="Times New Roman"/>
          <w:i/>
          <w:iCs/>
          <w:sz w:val="24"/>
          <w:szCs w:val="24"/>
          <w:lang w:bidi="ar-SA"/>
        </w:rPr>
        <w:t>et al.,</w:t>
      </w:r>
      <w:r w:rsidRPr="00E93119">
        <w:rPr>
          <w:rFonts w:ascii="Times New Roman" w:hAnsi="Times New Roman"/>
          <w:sz w:val="24"/>
          <w:szCs w:val="24"/>
          <w:lang w:bidi="ar-SA"/>
        </w:rPr>
        <w:t xml:space="preserve"> 2024). In summary, these findings highlight that the combined use of selective herbicides with complementary modes of action can effectively suppress diverse weed species, reduce </w:t>
      </w:r>
      <w:proofErr w:type="spellStart"/>
      <w:r w:rsidRPr="00E93119">
        <w:rPr>
          <w:rFonts w:ascii="Times New Roman" w:hAnsi="Times New Roman"/>
          <w:sz w:val="24"/>
          <w:szCs w:val="24"/>
          <w:lang w:bidi="ar-SA"/>
        </w:rPr>
        <w:t>labour</w:t>
      </w:r>
      <w:proofErr w:type="spellEnd"/>
      <w:r w:rsidRPr="00E93119">
        <w:rPr>
          <w:rFonts w:ascii="Times New Roman" w:hAnsi="Times New Roman"/>
          <w:sz w:val="24"/>
          <w:szCs w:val="24"/>
          <w:lang w:bidi="ar-SA"/>
        </w:rPr>
        <w:t xml:space="preserve"> dependency, and promote sustainable jute production across Bangladesh.</w:t>
      </w:r>
    </w:p>
    <w:p w14:paraId="2A20C6E3" w14:textId="42A71E9A" w:rsidR="003B5C1D" w:rsidRPr="00A3002B" w:rsidRDefault="003B5C1D" w:rsidP="003530FB">
      <w:pPr>
        <w:spacing w:after="120"/>
        <w:rPr>
          <w:rFonts w:ascii="Times New Roman" w:hAnsi="Times New Roman"/>
          <w:sz w:val="24"/>
          <w:szCs w:val="24"/>
        </w:rPr>
        <w:sectPr w:rsidR="003B5C1D" w:rsidRPr="00A3002B" w:rsidSect="003B5C1D">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p>
    <w:p w14:paraId="467AC530" w14:textId="4182CB80" w:rsidR="003B5C1D" w:rsidRPr="00A3002B" w:rsidRDefault="003B5C1D" w:rsidP="003B5C1D">
      <w:pPr>
        <w:spacing w:after="0"/>
        <w:jc w:val="both"/>
        <w:rPr>
          <w:rFonts w:ascii="Times New Roman" w:hAnsi="Times New Roman"/>
          <w:b/>
          <w:sz w:val="24"/>
          <w:szCs w:val="24"/>
        </w:rPr>
      </w:pPr>
      <w:r w:rsidRPr="00A3002B">
        <w:rPr>
          <w:rFonts w:ascii="Times New Roman" w:hAnsi="Times New Roman"/>
          <w:b/>
          <w:sz w:val="24"/>
          <w:szCs w:val="24"/>
        </w:rPr>
        <w:lastRenderedPageBreak/>
        <w:t xml:space="preserve">Table </w:t>
      </w:r>
      <w:r w:rsidR="00BA30AB">
        <w:rPr>
          <w:rFonts w:ascii="Times New Roman" w:hAnsi="Times New Roman"/>
          <w:b/>
          <w:sz w:val="24"/>
          <w:szCs w:val="24"/>
        </w:rPr>
        <w:t>4</w:t>
      </w:r>
      <w:r w:rsidRPr="00A3002B">
        <w:rPr>
          <w:rFonts w:ascii="Times New Roman" w:hAnsi="Times New Roman"/>
          <w:b/>
          <w:sz w:val="24"/>
          <w:szCs w:val="24"/>
        </w:rPr>
        <w:t>: Field Trial Report of Weedicide samples</w:t>
      </w:r>
    </w:p>
    <w:tbl>
      <w:tblPr>
        <w:tblW w:w="13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1262"/>
        <w:gridCol w:w="1800"/>
        <w:gridCol w:w="1890"/>
        <w:gridCol w:w="720"/>
        <w:gridCol w:w="3502"/>
        <w:gridCol w:w="635"/>
        <w:gridCol w:w="630"/>
        <w:gridCol w:w="720"/>
        <w:gridCol w:w="630"/>
        <w:gridCol w:w="1263"/>
      </w:tblGrid>
      <w:tr w:rsidR="003B5C1D" w:rsidRPr="00A3002B" w14:paraId="72A6684B" w14:textId="77777777" w:rsidTr="00FC3F7B">
        <w:trPr>
          <w:trHeight w:val="149"/>
          <w:jc w:val="center"/>
        </w:trPr>
        <w:tc>
          <w:tcPr>
            <w:tcW w:w="623" w:type="dxa"/>
            <w:vMerge w:val="restart"/>
          </w:tcPr>
          <w:p w14:paraId="6EEB8A4B"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Sl. No</w:t>
            </w:r>
          </w:p>
        </w:tc>
        <w:tc>
          <w:tcPr>
            <w:tcW w:w="1262" w:type="dxa"/>
            <w:vMerge w:val="restart"/>
          </w:tcPr>
          <w:p w14:paraId="5D254080"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Trade name</w:t>
            </w:r>
          </w:p>
        </w:tc>
        <w:tc>
          <w:tcPr>
            <w:tcW w:w="1800" w:type="dxa"/>
            <w:vMerge w:val="restart"/>
          </w:tcPr>
          <w:p w14:paraId="79286602"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Generic name</w:t>
            </w:r>
          </w:p>
        </w:tc>
        <w:tc>
          <w:tcPr>
            <w:tcW w:w="1890" w:type="dxa"/>
            <w:vMerge w:val="restart"/>
          </w:tcPr>
          <w:p w14:paraId="1DDE5011"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Name of Organization</w:t>
            </w:r>
          </w:p>
        </w:tc>
        <w:tc>
          <w:tcPr>
            <w:tcW w:w="720" w:type="dxa"/>
            <w:vMerge w:val="restart"/>
          </w:tcPr>
          <w:p w14:paraId="74B26108"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Dose</w:t>
            </w:r>
          </w:p>
        </w:tc>
        <w:tc>
          <w:tcPr>
            <w:tcW w:w="3502" w:type="dxa"/>
            <w:vMerge w:val="restart"/>
          </w:tcPr>
          <w:p w14:paraId="7A416D55"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 xml:space="preserve">Name of </w:t>
            </w:r>
            <w:r w:rsidRPr="00A3002B">
              <w:rPr>
                <w:rStyle w:val="IntenseEmphasis"/>
                <w:rFonts w:ascii="Times New Roman" w:hAnsi="Times New Roman"/>
                <w:b/>
                <w:color w:val="auto"/>
                <w:szCs w:val="22"/>
              </w:rPr>
              <w:t>controlled</w:t>
            </w:r>
            <w:r w:rsidRPr="00A3002B">
              <w:rPr>
                <w:rFonts w:ascii="Times New Roman" w:hAnsi="Times New Roman"/>
                <w:b/>
                <w:i/>
                <w:iCs/>
                <w:szCs w:val="22"/>
              </w:rPr>
              <w:t xml:space="preserve"> </w:t>
            </w:r>
            <w:r w:rsidRPr="00A3002B">
              <w:rPr>
                <w:rFonts w:ascii="Times New Roman" w:hAnsi="Times New Roman"/>
                <w:b/>
                <w:szCs w:val="22"/>
              </w:rPr>
              <w:t>weed</w:t>
            </w:r>
          </w:p>
        </w:tc>
        <w:tc>
          <w:tcPr>
            <w:tcW w:w="2615" w:type="dxa"/>
            <w:gridSpan w:val="4"/>
          </w:tcPr>
          <w:p w14:paraId="3B0C58C7"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b/>
                <w:szCs w:val="22"/>
              </w:rPr>
              <w:t>Effectiveness (%)</w:t>
            </w:r>
          </w:p>
        </w:tc>
        <w:tc>
          <w:tcPr>
            <w:tcW w:w="1263" w:type="dxa"/>
            <w:vMerge w:val="restart"/>
          </w:tcPr>
          <w:p w14:paraId="63B6B0B8" w14:textId="77777777" w:rsidR="003B5C1D" w:rsidRPr="00A3002B" w:rsidRDefault="003B5C1D" w:rsidP="00FC3F7B">
            <w:pPr>
              <w:spacing w:after="0"/>
              <w:ind w:left="-15" w:right="-21"/>
              <w:jc w:val="center"/>
              <w:rPr>
                <w:rFonts w:ascii="Times New Roman" w:hAnsi="Times New Roman"/>
                <w:b/>
                <w:szCs w:val="22"/>
              </w:rPr>
            </w:pPr>
            <w:r w:rsidRPr="00A3002B">
              <w:rPr>
                <w:rFonts w:ascii="Times New Roman" w:hAnsi="Times New Roman"/>
                <w:b/>
                <w:szCs w:val="22"/>
              </w:rPr>
              <w:t>Comments</w:t>
            </w:r>
          </w:p>
        </w:tc>
      </w:tr>
      <w:tr w:rsidR="003B5C1D" w:rsidRPr="00A3002B" w14:paraId="6D2BAD2C" w14:textId="77777777" w:rsidTr="00FC3F7B">
        <w:trPr>
          <w:trHeight w:val="123"/>
          <w:jc w:val="center"/>
        </w:trPr>
        <w:tc>
          <w:tcPr>
            <w:tcW w:w="623" w:type="dxa"/>
            <w:vMerge/>
            <w:vAlign w:val="center"/>
          </w:tcPr>
          <w:p w14:paraId="74FC0333" w14:textId="77777777" w:rsidR="003B5C1D" w:rsidRPr="00A3002B" w:rsidRDefault="003B5C1D" w:rsidP="00FC3F7B">
            <w:pPr>
              <w:spacing w:after="0"/>
              <w:jc w:val="center"/>
              <w:rPr>
                <w:rFonts w:ascii="Times New Roman" w:hAnsi="Times New Roman"/>
                <w:b/>
                <w:szCs w:val="22"/>
              </w:rPr>
            </w:pPr>
          </w:p>
        </w:tc>
        <w:tc>
          <w:tcPr>
            <w:tcW w:w="1262" w:type="dxa"/>
            <w:vMerge/>
            <w:vAlign w:val="center"/>
          </w:tcPr>
          <w:p w14:paraId="0313A268" w14:textId="77777777" w:rsidR="003B5C1D" w:rsidRPr="00A3002B" w:rsidRDefault="003B5C1D" w:rsidP="00FC3F7B">
            <w:pPr>
              <w:spacing w:after="0"/>
              <w:jc w:val="center"/>
              <w:rPr>
                <w:rFonts w:ascii="Times New Roman" w:hAnsi="Times New Roman"/>
                <w:b/>
                <w:szCs w:val="22"/>
              </w:rPr>
            </w:pPr>
          </w:p>
        </w:tc>
        <w:tc>
          <w:tcPr>
            <w:tcW w:w="1800" w:type="dxa"/>
            <w:vMerge/>
            <w:vAlign w:val="center"/>
          </w:tcPr>
          <w:p w14:paraId="234A3265" w14:textId="77777777" w:rsidR="003B5C1D" w:rsidRPr="00A3002B" w:rsidRDefault="003B5C1D" w:rsidP="00FC3F7B">
            <w:pPr>
              <w:spacing w:after="0"/>
              <w:jc w:val="center"/>
              <w:rPr>
                <w:rFonts w:ascii="Times New Roman" w:hAnsi="Times New Roman"/>
                <w:b/>
                <w:szCs w:val="22"/>
              </w:rPr>
            </w:pPr>
          </w:p>
        </w:tc>
        <w:tc>
          <w:tcPr>
            <w:tcW w:w="1890" w:type="dxa"/>
            <w:vMerge/>
            <w:vAlign w:val="center"/>
          </w:tcPr>
          <w:p w14:paraId="707C1286" w14:textId="77777777" w:rsidR="003B5C1D" w:rsidRPr="00A3002B" w:rsidRDefault="003B5C1D" w:rsidP="00FC3F7B">
            <w:pPr>
              <w:spacing w:after="0"/>
              <w:jc w:val="center"/>
              <w:rPr>
                <w:rFonts w:ascii="Times New Roman" w:hAnsi="Times New Roman"/>
                <w:b/>
                <w:szCs w:val="22"/>
              </w:rPr>
            </w:pPr>
          </w:p>
        </w:tc>
        <w:tc>
          <w:tcPr>
            <w:tcW w:w="720" w:type="dxa"/>
            <w:vMerge/>
          </w:tcPr>
          <w:p w14:paraId="62DF9A9C" w14:textId="77777777" w:rsidR="003B5C1D" w:rsidRPr="00A3002B" w:rsidRDefault="003B5C1D" w:rsidP="00FC3F7B">
            <w:pPr>
              <w:spacing w:after="0"/>
              <w:jc w:val="center"/>
              <w:rPr>
                <w:rFonts w:ascii="Times New Roman" w:hAnsi="Times New Roman"/>
                <w:b/>
                <w:szCs w:val="22"/>
              </w:rPr>
            </w:pPr>
          </w:p>
        </w:tc>
        <w:tc>
          <w:tcPr>
            <w:tcW w:w="3502" w:type="dxa"/>
            <w:vMerge/>
          </w:tcPr>
          <w:p w14:paraId="373B3D4C" w14:textId="77777777" w:rsidR="003B5C1D" w:rsidRPr="00A3002B" w:rsidRDefault="003B5C1D" w:rsidP="00FC3F7B">
            <w:pPr>
              <w:spacing w:after="0"/>
              <w:rPr>
                <w:rFonts w:ascii="Times New Roman" w:hAnsi="Times New Roman"/>
                <w:b/>
                <w:szCs w:val="22"/>
              </w:rPr>
            </w:pPr>
          </w:p>
        </w:tc>
        <w:tc>
          <w:tcPr>
            <w:tcW w:w="1265" w:type="dxa"/>
            <w:gridSpan w:val="2"/>
          </w:tcPr>
          <w:p w14:paraId="76AB524A"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 xml:space="preserve"> Manikganj</w:t>
            </w:r>
          </w:p>
        </w:tc>
        <w:tc>
          <w:tcPr>
            <w:tcW w:w="1350" w:type="dxa"/>
            <w:gridSpan w:val="2"/>
          </w:tcPr>
          <w:p w14:paraId="2580DE3D" w14:textId="77777777" w:rsidR="003B5C1D" w:rsidRPr="00A3002B" w:rsidRDefault="003B5C1D" w:rsidP="00FC3F7B">
            <w:pPr>
              <w:spacing w:after="0"/>
              <w:ind w:left="-104"/>
              <w:jc w:val="center"/>
              <w:rPr>
                <w:rFonts w:ascii="Times New Roman" w:hAnsi="Times New Roman"/>
                <w:b/>
                <w:szCs w:val="22"/>
              </w:rPr>
            </w:pPr>
            <w:proofErr w:type="spellStart"/>
            <w:r w:rsidRPr="00A3002B">
              <w:rPr>
                <w:rFonts w:ascii="Times New Roman" w:hAnsi="Times New Roman"/>
                <w:b/>
                <w:szCs w:val="22"/>
              </w:rPr>
              <w:t>Tarabo</w:t>
            </w:r>
            <w:proofErr w:type="spellEnd"/>
          </w:p>
        </w:tc>
        <w:tc>
          <w:tcPr>
            <w:tcW w:w="1263" w:type="dxa"/>
            <w:vMerge/>
          </w:tcPr>
          <w:p w14:paraId="5BDA9FA7" w14:textId="77777777" w:rsidR="003B5C1D" w:rsidRPr="00A3002B" w:rsidRDefault="003B5C1D" w:rsidP="00FC3F7B">
            <w:pPr>
              <w:spacing w:after="0"/>
              <w:ind w:left="-15" w:right="-21"/>
              <w:jc w:val="center"/>
              <w:rPr>
                <w:rFonts w:ascii="Times New Roman" w:hAnsi="Times New Roman"/>
                <w:b/>
                <w:szCs w:val="22"/>
              </w:rPr>
            </w:pPr>
          </w:p>
        </w:tc>
      </w:tr>
      <w:tr w:rsidR="003B5C1D" w:rsidRPr="00A3002B" w14:paraId="738659A9" w14:textId="77777777" w:rsidTr="00FC3F7B">
        <w:trPr>
          <w:trHeight w:val="152"/>
          <w:jc w:val="center"/>
        </w:trPr>
        <w:tc>
          <w:tcPr>
            <w:tcW w:w="623" w:type="dxa"/>
            <w:vMerge/>
            <w:vAlign w:val="center"/>
          </w:tcPr>
          <w:p w14:paraId="3F9F5337" w14:textId="77777777" w:rsidR="003B5C1D" w:rsidRPr="00A3002B" w:rsidRDefault="003B5C1D" w:rsidP="00FC3F7B">
            <w:pPr>
              <w:spacing w:after="0"/>
              <w:jc w:val="center"/>
              <w:rPr>
                <w:rFonts w:ascii="Times New Roman" w:hAnsi="Times New Roman"/>
                <w:b/>
                <w:szCs w:val="22"/>
              </w:rPr>
            </w:pPr>
          </w:p>
        </w:tc>
        <w:tc>
          <w:tcPr>
            <w:tcW w:w="1262" w:type="dxa"/>
            <w:vMerge/>
            <w:vAlign w:val="center"/>
          </w:tcPr>
          <w:p w14:paraId="5E4843EA" w14:textId="77777777" w:rsidR="003B5C1D" w:rsidRPr="00A3002B" w:rsidRDefault="003B5C1D" w:rsidP="00FC3F7B">
            <w:pPr>
              <w:spacing w:after="0"/>
              <w:jc w:val="center"/>
              <w:rPr>
                <w:rFonts w:ascii="Times New Roman" w:hAnsi="Times New Roman"/>
                <w:b/>
                <w:szCs w:val="22"/>
              </w:rPr>
            </w:pPr>
          </w:p>
        </w:tc>
        <w:tc>
          <w:tcPr>
            <w:tcW w:w="1800" w:type="dxa"/>
            <w:vMerge/>
            <w:vAlign w:val="center"/>
          </w:tcPr>
          <w:p w14:paraId="1562472B" w14:textId="77777777" w:rsidR="003B5C1D" w:rsidRPr="00A3002B" w:rsidRDefault="003B5C1D" w:rsidP="00FC3F7B">
            <w:pPr>
              <w:spacing w:after="0"/>
              <w:jc w:val="center"/>
              <w:rPr>
                <w:rFonts w:ascii="Times New Roman" w:hAnsi="Times New Roman"/>
                <w:b/>
                <w:szCs w:val="22"/>
              </w:rPr>
            </w:pPr>
          </w:p>
        </w:tc>
        <w:tc>
          <w:tcPr>
            <w:tcW w:w="1890" w:type="dxa"/>
            <w:vMerge/>
            <w:vAlign w:val="center"/>
          </w:tcPr>
          <w:p w14:paraId="76510A52" w14:textId="77777777" w:rsidR="003B5C1D" w:rsidRPr="00A3002B" w:rsidRDefault="003B5C1D" w:rsidP="00FC3F7B">
            <w:pPr>
              <w:spacing w:after="0"/>
              <w:jc w:val="center"/>
              <w:rPr>
                <w:rFonts w:ascii="Times New Roman" w:hAnsi="Times New Roman"/>
                <w:b/>
                <w:szCs w:val="22"/>
              </w:rPr>
            </w:pPr>
          </w:p>
        </w:tc>
        <w:tc>
          <w:tcPr>
            <w:tcW w:w="720" w:type="dxa"/>
            <w:vMerge/>
          </w:tcPr>
          <w:p w14:paraId="1E05D37E" w14:textId="77777777" w:rsidR="003B5C1D" w:rsidRPr="00A3002B" w:rsidRDefault="003B5C1D" w:rsidP="00FC3F7B">
            <w:pPr>
              <w:spacing w:after="0"/>
              <w:jc w:val="center"/>
              <w:rPr>
                <w:rFonts w:ascii="Times New Roman" w:hAnsi="Times New Roman"/>
                <w:b/>
                <w:szCs w:val="22"/>
              </w:rPr>
            </w:pPr>
          </w:p>
        </w:tc>
        <w:tc>
          <w:tcPr>
            <w:tcW w:w="3502" w:type="dxa"/>
            <w:vMerge/>
          </w:tcPr>
          <w:p w14:paraId="608F4B3C" w14:textId="77777777" w:rsidR="003B5C1D" w:rsidRPr="00A3002B" w:rsidRDefault="003B5C1D" w:rsidP="00FC3F7B">
            <w:pPr>
              <w:spacing w:after="0"/>
              <w:rPr>
                <w:rFonts w:ascii="Times New Roman" w:hAnsi="Times New Roman"/>
                <w:b/>
                <w:szCs w:val="22"/>
              </w:rPr>
            </w:pPr>
          </w:p>
        </w:tc>
        <w:tc>
          <w:tcPr>
            <w:tcW w:w="635" w:type="dxa"/>
          </w:tcPr>
          <w:p w14:paraId="74461B0E"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2022</w:t>
            </w:r>
          </w:p>
        </w:tc>
        <w:tc>
          <w:tcPr>
            <w:tcW w:w="630" w:type="dxa"/>
          </w:tcPr>
          <w:p w14:paraId="4088D542"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2023</w:t>
            </w:r>
          </w:p>
        </w:tc>
        <w:tc>
          <w:tcPr>
            <w:tcW w:w="720" w:type="dxa"/>
          </w:tcPr>
          <w:p w14:paraId="5C6A117A"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2023</w:t>
            </w:r>
          </w:p>
        </w:tc>
        <w:tc>
          <w:tcPr>
            <w:tcW w:w="630" w:type="dxa"/>
          </w:tcPr>
          <w:p w14:paraId="6C2D609E"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2024</w:t>
            </w:r>
          </w:p>
        </w:tc>
        <w:tc>
          <w:tcPr>
            <w:tcW w:w="1263" w:type="dxa"/>
            <w:vMerge/>
          </w:tcPr>
          <w:p w14:paraId="23E06B6F" w14:textId="77777777" w:rsidR="003B5C1D" w:rsidRPr="00A3002B" w:rsidRDefault="003B5C1D" w:rsidP="00FC3F7B">
            <w:pPr>
              <w:spacing w:after="0"/>
              <w:ind w:left="-15" w:right="-21"/>
              <w:jc w:val="center"/>
              <w:rPr>
                <w:rFonts w:ascii="Times New Roman" w:hAnsi="Times New Roman"/>
                <w:b/>
                <w:szCs w:val="22"/>
              </w:rPr>
            </w:pPr>
          </w:p>
        </w:tc>
      </w:tr>
      <w:tr w:rsidR="003B5C1D" w:rsidRPr="00A3002B" w14:paraId="39E7950B" w14:textId="77777777" w:rsidTr="00FC3F7B">
        <w:trPr>
          <w:trHeight w:val="278"/>
          <w:jc w:val="center"/>
        </w:trPr>
        <w:tc>
          <w:tcPr>
            <w:tcW w:w="623" w:type="dxa"/>
            <w:vMerge w:val="restart"/>
          </w:tcPr>
          <w:p w14:paraId="042AAE85" w14:textId="77777777" w:rsidR="003B5C1D" w:rsidRPr="00A3002B" w:rsidRDefault="003B5C1D" w:rsidP="00FC3F7B">
            <w:pPr>
              <w:spacing w:after="0"/>
              <w:ind w:right="-61"/>
              <w:jc w:val="center"/>
              <w:rPr>
                <w:rFonts w:ascii="Times New Roman" w:hAnsi="Times New Roman"/>
                <w:bCs/>
                <w:iCs/>
                <w:szCs w:val="22"/>
              </w:rPr>
            </w:pPr>
            <w:r w:rsidRPr="00A3002B">
              <w:rPr>
                <w:rFonts w:ascii="Times New Roman" w:hAnsi="Times New Roman"/>
                <w:bCs/>
                <w:iCs/>
                <w:szCs w:val="22"/>
              </w:rPr>
              <w:t>1.</w:t>
            </w:r>
          </w:p>
        </w:tc>
        <w:tc>
          <w:tcPr>
            <w:tcW w:w="1262" w:type="dxa"/>
            <w:vMerge w:val="restart"/>
          </w:tcPr>
          <w:p w14:paraId="7475DD2F" w14:textId="77777777" w:rsidR="003B5C1D" w:rsidRPr="00A3002B" w:rsidRDefault="003B5C1D" w:rsidP="00FC3F7B">
            <w:pPr>
              <w:spacing w:after="0"/>
              <w:ind w:left="-18" w:right="-61"/>
              <w:rPr>
                <w:rFonts w:ascii="Times New Roman" w:hAnsi="Times New Roman"/>
                <w:bCs/>
                <w:iCs/>
                <w:szCs w:val="22"/>
              </w:rPr>
            </w:pPr>
            <w:r w:rsidRPr="00A3002B">
              <w:rPr>
                <w:rFonts w:ascii="Times New Roman" w:hAnsi="Times New Roman"/>
                <w:bCs/>
                <w:iCs/>
                <w:szCs w:val="22"/>
              </w:rPr>
              <w:t>Erase 5EC</w:t>
            </w:r>
          </w:p>
        </w:tc>
        <w:tc>
          <w:tcPr>
            <w:tcW w:w="1800" w:type="dxa"/>
            <w:vMerge w:val="restart"/>
          </w:tcPr>
          <w:p w14:paraId="68B34F1B"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w:t>
            </w:r>
          </w:p>
        </w:tc>
        <w:tc>
          <w:tcPr>
            <w:tcW w:w="1890" w:type="dxa"/>
            <w:vMerge w:val="restart"/>
          </w:tcPr>
          <w:p w14:paraId="41EEA28A"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Square Pharmaceutical Ltd.</w:t>
            </w:r>
          </w:p>
        </w:tc>
        <w:tc>
          <w:tcPr>
            <w:tcW w:w="720" w:type="dxa"/>
            <w:vMerge w:val="restart"/>
          </w:tcPr>
          <w:p w14:paraId="7ADE58E7"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200 g/ha</w:t>
            </w:r>
          </w:p>
        </w:tc>
        <w:tc>
          <w:tcPr>
            <w:tcW w:w="3502" w:type="dxa"/>
            <w:vAlign w:val="center"/>
          </w:tcPr>
          <w:p w14:paraId="3F058EC7" w14:textId="77777777" w:rsidR="003B5C1D" w:rsidRPr="00A3002B" w:rsidRDefault="003B5C1D" w:rsidP="00FC3F7B">
            <w:pPr>
              <w:spacing w:after="0"/>
              <w:rPr>
                <w:rFonts w:ascii="Times New Roman" w:hAnsi="Times New Roman"/>
                <w:i/>
                <w:iCs/>
                <w:szCs w:val="22"/>
              </w:rPr>
            </w:pPr>
            <w:proofErr w:type="spellStart"/>
            <w:r w:rsidRPr="00A3002B">
              <w:rPr>
                <w:rFonts w:ascii="Times New Roman" w:hAnsi="Times New Roman"/>
                <w:b/>
                <w:bCs/>
                <w:kern w:val="24"/>
                <w:szCs w:val="22"/>
              </w:rPr>
              <w:t>Khudesama</w:t>
            </w:r>
            <w:proofErr w:type="spellEnd"/>
            <w:r w:rsidRPr="00A3002B">
              <w:rPr>
                <w:rFonts w:ascii="Times New Roman" w:hAnsi="Times New Roman"/>
                <w:i/>
                <w:iCs/>
                <w:kern w:val="24"/>
                <w:szCs w:val="22"/>
              </w:rPr>
              <w:t xml:space="preserve"> (</w:t>
            </w:r>
            <w:proofErr w:type="spellStart"/>
            <w:r w:rsidRPr="00A3002B">
              <w:rPr>
                <w:rFonts w:ascii="Times New Roman" w:hAnsi="Times New Roman"/>
                <w:i/>
                <w:iCs/>
                <w:kern w:val="24"/>
                <w:szCs w:val="22"/>
              </w:rPr>
              <w:t>Echinochloa</w:t>
            </w:r>
            <w:proofErr w:type="spellEnd"/>
            <w:r w:rsidRPr="00A3002B">
              <w:rPr>
                <w:rFonts w:ascii="Times New Roman" w:hAnsi="Times New Roman"/>
                <w:i/>
                <w:iCs/>
                <w:kern w:val="24"/>
                <w:szCs w:val="22"/>
              </w:rPr>
              <w:t xml:space="preserve"> </w:t>
            </w:r>
            <w:proofErr w:type="spellStart"/>
            <w:r w:rsidRPr="00A3002B">
              <w:rPr>
                <w:rFonts w:ascii="Times New Roman" w:hAnsi="Times New Roman"/>
                <w:i/>
                <w:iCs/>
                <w:kern w:val="24"/>
                <w:szCs w:val="22"/>
              </w:rPr>
              <w:t>colonum</w:t>
            </w:r>
            <w:proofErr w:type="spellEnd"/>
            <w:r w:rsidRPr="00A3002B">
              <w:rPr>
                <w:rFonts w:ascii="Times New Roman" w:hAnsi="Times New Roman"/>
                <w:i/>
                <w:iCs/>
                <w:kern w:val="24"/>
                <w:szCs w:val="22"/>
              </w:rPr>
              <w:t xml:space="preserve">) </w:t>
            </w:r>
          </w:p>
        </w:tc>
        <w:tc>
          <w:tcPr>
            <w:tcW w:w="635" w:type="dxa"/>
            <w:vAlign w:val="center"/>
          </w:tcPr>
          <w:p w14:paraId="534341AE"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563BA4C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492E183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086435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1263" w:type="dxa"/>
            <w:vAlign w:val="center"/>
          </w:tcPr>
          <w:p w14:paraId="0753EE3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3DE0D106" w14:textId="77777777" w:rsidTr="00FC3F7B">
        <w:trPr>
          <w:trHeight w:val="267"/>
          <w:jc w:val="center"/>
        </w:trPr>
        <w:tc>
          <w:tcPr>
            <w:tcW w:w="623" w:type="dxa"/>
            <w:vMerge/>
          </w:tcPr>
          <w:p w14:paraId="044D9CA5" w14:textId="77777777" w:rsidR="003B5C1D" w:rsidRPr="00A3002B" w:rsidRDefault="003B5C1D" w:rsidP="00FC3F7B">
            <w:pPr>
              <w:spacing w:after="0"/>
              <w:ind w:left="-18" w:right="-61"/>
              <w:jc w:val="center"/>
              <w:rPr>
                <w:rFonts w:ascii="Times New Roman" w:hAnsi="Times New Roman"/>
                <w:bCs/>
                <w:iCs/>
                <w:szCs w:val="22"/>
              </w:rPr>
            </w:pPr>
          </w:p>
        </w:tc>
        <w:tc>
          <w:tcPr>
            <w:tcW w:w="1262" w:type="dxa"/>
            <w:vMerge/>
          </w:tcPr>
          <w:p w14:paraId="307F0AA8"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14C8A906" w14:textId="77777777" w:rsidR="003B5C1D" w:rsidRPr="00A3002B" w:rsidRDefault="003B5C1D" w:rsidP="00FC3F7B">
            <w:pPr>
              <w:spacing w:after="0"/>
              <w:jc w:val="center"/>
              <w:rPr>
                <w:rFonts w:ascii="Times New Roman" w:hAnsi="Times New Roman"/>
                <w:bCs/>
                <w:iCs/>
                <w:szCs w:val="22"/>
              </w:rPr>
            </w:pPr>
          </w:p>
        </w:tc>
        <w:tc>
          <w:tcPr>
            <w:tcW w:w="1890" w:type="dxa"/>
            <w:vMerge/>
          </w:tcPr>
          <w:p w14:paraId="7109046C" w14:textId="77777777" w:rsidR="003B5C1D" w:rsidRPr="00A3002B" w:rsidRDefault="003B5C1D" w:rsidP="00FC3F7B">
            <w:pPr>
              <w:spacing w:after="0"/>
              <w:ind w:right="-108"/>
              <w:rPr>
                <w:rFonts w:ascii="Times New Roman" w:hAnsi="Times New Roman"/>
                <w:bCs/>
                <w:iCs/>
                <w:szCs w:val="22"/>
              </w:rPr>
            </w:pPr>
          </w:p>
        </w:tc>
        <w:tc>
          <w:tcPr>
            <w:tcW w:w="720" w:type="dxa"/>
            <w:vMerge/>
          </w:tcPr>
          <w:p w14:paraId="01FB9AC0"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2C6C6070"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bCs/>
                <w:szCs w:val="22"/>
              </w:rPr>
              <w:t>Angulighas</w:t>
            </w:r>
            <w:proofErr w:type="spellEnd"/>
            <w:r w:rsidRPr="00A3002B">
              <w:rPr>
                <w:rFonts w:ascii="Times New Roman" w:hAnsi="Times New Roman"/>
                <w:szCs w:val="22"/>
              </w:rPr>
              <w:t xml:space="preserve"> </w:t>
            </w:r>
            <w:r w:rsidRPr="00A3002B">
              <w:rPr>
                <w:rFonts w:ascii="Times New Roman" w:hAnsi="Times New Roman"/>
                <w:i/>
                <w:szCs w:val="22"/>
              </w:rPr>
              <w:t>(</w:t>
            </w:r>
            <w:proofErr w:type="spellStart"/>
            <w:r w:rsidRPr="00A3002B">
              <w:rPr>
                <w:rFonts w:ascii="Times New Roman" w:hAnsi="Times New Roman"/>
                <w:i/>
                <w:szCs w:val="22"/>
              </w:rPr>
              <w:t>Digitaria</w:t>
            </w:r>
            <w:proofErr w:type="spellEnd"/>
            <w:r w:rsidRPr="00A3002B">
              <w:rPr>
                <w:rFonts w:ascii="Times New Roman" w:hAnsi="Times New Roman"/>
                <w:i/>
                <w:szCs w:val="22"/>
              </w:rPr>
              <w:t xml:space="preserve"> </w:t>
            </w:r>
            <w:proofErr w:type="spellStart"/>
            <w:r w:rsidRPr="00A3002B">
              <w:rPr>
                <w:rFonts w:ascii="Times New Roman" w:hAnsi="Times New Roman"/>
                <w:i/>
                <w:szCs w:val="22"/>
              </w:rPr>
              <w:t>sanguinalis</w:t>
            </w:r>
            <w:proofErr w:type="spellEnd"/>
            <w:r w:rsidRPr="00A3002B">
              <w:rPr>
                <w:rFonts w:ascii="Times New Roman" w:hAnsi="Times New Roman"/>
                <w:i/>
                <w:szCs w:val="22"/>
              </w:rPr>
              <w:t>)</w:t>
            </w:r>
          </w:p>
        </w:tc>
        <w:tc>
          <w:tcPr>
            <w:tcW w:w="635" w:type="dxa"/>
            <w:vAlign w:val="center"/>
          </w:tcPr>
          <w:p w14:paraId="54BC745E"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5CC9162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2963FED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7C34065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2E45D6B"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2F68296" w14:textId="77777777" w:rsidTr="00FC3F7B">
        <w:trPr>
          <w:trHeight w:val="169"/>
          <w:jc w:val="center"/>
        </w:trPr>
        <w:tc>
          <w:tcPr>
            <w:tcW w:w="623" w:type="dxa"/>
            <w:vMerge/>
          </w:tcPr>
          <w:p w14:paraId="74BFB675" w14:textId="77777777" w:rsidR="003B5C1D" w:rsidRPr="00A3002B" w:rsidRDefault="003B5C1D" w:rsidP="00FC3F7B">
            <w:pPr>
              <w:spacing w:after="0"/>
              <w:ind w:left="-18" w:right="-61"/>
              <w:jc w:val="center"/>
              <w:rPr>
                <w:rFonts w:ascii="Times New Roman" w:hAnsi="Times New Roman"/>
                <w:bCs/>
                <w:iCs/>
                <w:szCs w:val="22"/>
              </w:rPr>
            </w:pPr>
          </w:p>
        </w:tc>
        <w:tc>
          <w:tcPr>
            <w:tcW w:w="1262" w:type="dxa"/>
            <w:vMerge/>
          </w:tcPr>
          <w:p w14:paraId="79C79A31"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79733505" w14:textId="77777777" w:rsidR="003B5C1D" w:rsidRPr="00A3002B" w:rsidRDefault="003B5C1D" w:rsidP="00FC3F7B">
            <w:pPr>
              <w:spacing w:after="0"/>
              <w:jc w:val="center"/>
              <w:rPr>
                <w:rFonts w:ascii="Times New Roman" w:hAnsi="Times New Roman"/>
                <w:bCs/>
                <w:iCs/>
                <w:szCs w:val="22"/>
              </w:rPr>
            </w:pPr>
          </w:p>
        </w:tc>
        <w:tc>
          <w:tcPr>
            <w:tcW w:w="1890" w:type="dxa"/>
            <w:vMerge/>
          </w:tcPr>
          <w:p w14:paraId="53C5FE52" w14:textId="77777777" w:rsidR="003B5C1D" w:rsidRPr="00A3002B" w:rsidRDefault="003B5C1D" w:rsidP="00FC3F7B">
            <w:pPr>
              <w:spacing w:after="0"/>
              <w:ind w:right="-108"/>
              <w:rPr>
                <w:rFonts w:ascii="Times New Roman" w:hAnsi="Times New Roman"/>
                <w:bCs/>
                <w:iCs/>
                <w:szCs w:val="22"/>
              </w:rPr>
            </w:pPr>
          </w:p>
        </w:tc>
        <w:tc>
          <w:tcPr>
            <w:tcW w:w="720" w:type="dxa"/>
            <w:vMerge/>
          </w:tcPr>
          <w:p w14:paraId="6DBA7337"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24E3069C" w14:textId="77777777" w:rsidR="003B5C1D" w:rsidRPr="00A3002B" w:rsidRDefault="003B5C1D" w:rsidP="00FC3F7B">
            <w:pPr>
              <w:spacing w:after="0"/>
              <w:rPr>
                <w:rFonts w:ascii="Times New Roman" w:hAnsi="Times New Roman"/>
                <w:kern w:val="24"/>
                <w:szCs w:val="22"/>
              </w:rPr>
            </w:pPr>
            <w:r w:rsidRPr="00A3002B">
              <w:rPr>
                <w:rFonts w:ascii="Times New Roman" w:hAnsi="Times New Roman"/>
                <w:kern w:val="24"/>
                <w:szCs w:val="22"/>
              </w:rPr>
              <w:t>Mutha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34814B7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5F37ED7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720" w:type="dxa"/>
            <w:vAlign w:val="center"/>
          </w:tcPr>
          <w:p w14:paraId="7F9CD52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3EAA0F7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1D20EB7B"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E3519E4" w14:textId="77777777" w:rsidTr="00FC3F7B">
        <w:trPr>
          <w:trHeight w:val="278"/>
          <w:jc w:val="center"/>
        </w:trPr>
        <w:tc>
          <w:tcPr>
            <w:tcW w:w="623" w:type="dxa"/>
            <w:vMerge w:val="restart"/>
          </w:tcPr>
          <w:p w14:paraId="15FC711D"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2.</w:t>
            </w:r>
          </w:p>
        </w:tc>
        <w:tc>
          <w:tcPr>
            <w:tcW w:w="1262" w:type="dxa"/>
            <w:vMerge w:val="restart"/>
          </w:tcPr>
          <w:p w14:paraId="108C16FE" w14:textId="77777777" w:rsidR="003B5C1D" w:rsidRPr="00A3002B" w:rsidRDefault="003B5C1D" w:rsidP="00FC3F7B">
            <w:pPr>
              <w:spacing w:after="0"/>
              <w:ind w:left="-18" w:right="-61"/>
              <w:rPr>
                <w:rFonts w:ascii="Times New Roman" w:hAnsi="Times New Roman"/>
                <w:bCs/>
                <w:iCs/>
                <w:szCs w:val="22"/>
              </w:rPr>
            </w:pPr>
            <w:proofErr w:type="spellStart"/>
            <w:r w:rsidRPr="00A3002B">
              <w:rPr>
                <w:rFonts w:ascii="Times New Roman" w:hAnsi="Times New Roman"/>
                <w:bCs/>
                <w:iCs/>
                <w:szCs w:val="22"/>
              </w:rPr>
              <w:t>Zadu</w:t>
            </w:r>
            <w:proofErr w:type="spellEnd"/>
            <w:r w:rsidRPr="00A3002B">
              <w:rPr>
                <w:rFonts w:ascii="Times New Roman" w:hAnsi="Times New Roman"/>
                <w:bCs/>
                <w:iCs/>
                <w:szCs w:val="22"/>
              </w:rPr>
              <w:t xml:space="preserve"> 15 EC </w:t>
            </w:r>
          </w:p>
        </w:tc>
        <w:tc>
          <w:tcPr>
            <w:tcW w:w="1800" w:type="dxa"/>
            <w:vMerge w:val="restart"/>
          </w:tcPr>
          <w:p w14:paraId="695ABD40"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 xml:space="preserve">-p-ethyl 15% </w:t>
            </w:r>
          </w:p>
        </w:tc>
        <w:tc>
          <w:tcPr>
            <w:tcW w:w="1890" w:type="dxa"/>
            <w:vMerge w:val="restart"/>
          </w:tcPr>
          <w:p w14:paraId="591B3C2E"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Delco </w:t>
            </w:r>
            <w:proofErr w:type="spellStart"/>
            <w:r w:rsidRPr="00A3002B">
              <w:rPr>
                <w:rFonts w:ascii="Times New Roman" w:hAnsi="Times New Roman"/>
                <w:bCs/>
                <w:iCs/>
                <w:szCs w:val="22"/>
              </w:rPr>
              <w:t>Agro</w:t>
            </w:r>
            <w:proofErr w:type="spellEnd"/>
            <w:r w:rsidRPr="00A3002B">
              <w:rPr>
                <w:rFonts w:ascii="Times New Roman" w:hAnsi="Times New Roman"/>
                <w:bCs/>
                <w:iCs/>
                <w:szCs w:val="22"/>
              </w:rPr>
              <w:t xml:space="preserve"> Ltd.</w:t>
            </w:r>
          </w:p>
        </w:tc>
        <w:tc>
          <w:tcPr>
            <w:tcW w:w="720" w:type="dxa"/>
            <w:vMerge w:val="restart"/>
          </w:tcPr>
          <w:p w14:paraId="04E09B3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650 ml/ha</w:t>
            </w:r>
          </w:p>
        </w:tc>
        <w:tc>
          <w:tcPr>
            <w:tcW w:w="3502" w:type="dxa"/>
            <w:vAlign w:val="center"/>
          </w:tcPr>
          <w:p w14:paraId="37AE382F" w14:textId="77777777" w:rsidR="003B5C1D" w:rsidRPr="00A3002B" w:rsidRDefault="003B5C1D" w:rsidP="00FC3F7B">
            <w:pPr>
              <w:spacing w:after="0"/>
              <w:rPr>
                <w:rFonts w:ascii="Times New Roman" w:hAnsi="Times New Roman"/>
                <w:kern w:val="24"/>
                <w:szCs w:val="22"/>
              </w:rPr>
            </w:pPr>
            <w:proofErr w:type="spellStart"/>
            <w:r w:rsidRPr="00A3002B">
              <w:rPr>
                <w:rFonts w:ascii="Times New Roman" w:hAnsi="Times New Roman"/>
                <w:b/>
                <w:bCs/>
                <w:kern w:val="24"/>
                <w:szCs w:val="22"/>
              </w:rPr>
              <w:t>Khudesama</w:t>
            </w:r>
            <w:proofErr w:type="spellEnd"/>
            <w:r w:rsidRPr="00A3002B">
              <w:rPr>
                <w:rFonts w:ascii="Times New Roman" w:hAnsi="Times New Roman"/>
                <w:i/>
                <w:iCs/>
                <w:kern w:val="24"/>
                <w:szCs w:val="22"/>
              </w:rPr>
              <w:t xml:space="preserve"> (</w:t>
            </w:r>
            <w:proofErr w:type="spellStart"/>
            <w:r w:rsidRPr="00A3002B">
              <w:rPr>
                <w:rFonts w:ascii="Times New Roman" w:hAnsi="Times New Roman"/>
                <w:i/>
                <w:iCs/>
                <w:kern w:val="24"/>
                <w:szCs w:val="22"/>
              </w:rPr>
              <w:t>Echinochloa</w:t>
            </w:r>
            <w:proofErr w:type="spellEnd"/>
            <w:r w:rsidRPr="00A3002B">
              <w:rPr>
                <w:rFonts w:ascii="Times New Roman" w:hAnsi="Times New Roman"/>
                <w:i/>
                <w:iCs/>
                <w:kern w:val="24"/>
                <w:szCs w:val="22"/>
              </w:rPr>
              <w:t xml:space="preserve"> </w:t>
            </w:r>
            <w:proofErr w:type="spellStart"/>
            <w:r w:rsidRPr="00A3002B">
              <w:rPr>
                <w:rFonts w:ascii="Times New Roman" w:hAnsi="Times New Roman"/>
                <w:i/>
                <w:iCs/>
                <w:kern w:val="24"/>
                <w:szCs w:val="22"/>
              </w:rPr>
              <w:t>colonum</w:t>
            </w:r>
            <w:proofErr w:type="spellEnd"/>
            <w:r w:rsidRPr="00A3002B">
              <w:rPr>
                <w:rFonts w:ascii="Times New Roman" w:hAnsi="Times New Roman"/>
                <w:i/>
                <w:iCs/>
                <w:kern w:val="24"/>
                <w:szCs w:val="22"/>
              </w:rPr>
              <w:t xml:space="preserve">) </w:t>
            </w:r>
          </w:p>
        </w:tc>
        <w:tc>
          <w:tcPr>
            <w:tcW w:w="635" w:type="dxa"/>
            <w:vAlign w:val="center"/>
          </w:tcPr>
          <w:p w14:paraId="31AE424F"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0532A55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02FEEABB"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087FCAC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2992C24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 xml:space="preserve">Satisfactory </w:t>
            </w:r>
          </w:p>
        </w:tc>
      </w:tr>
      <w:tr w:rsidR="003B5C1D" w:rsidRPr="00A3002B" w14:paraId="0A2481BE" w14:textId="77777777" w:rsidTr="00FC3F7B">
        <w:trPr>
          <w:trHeight w:val="242"/>
          <w:jc w:val="center"/>
        </w:trPr>
        <w:tc>
          <w:tcPr>
            <w:tcW w:w="623" w:type="dxa"/>
            <w:vMerge/>
          </w:tcPr>
          <w:p w14:paraId="562F428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E18905B" w14:textId="77777777" w:rsidR="003B5C1D" w:rsidRPr="00A3002B" w:rsidRDefault="003B5C1D" w:rsidP="00FC3F7B">
            <w:pPr>
              <w:spacing w:after="0"/>
              <w:ind w:left="-108" w:right="-108"/>
              <w:jc w:val="center"/>
              <w:rPr>
                <w:rFonts w:ascii="Times New Roman" w:hAnsi="Times New Roman"/>
                <w:bCs/>
                <w:iCs/>
                <w:szCs w:val="22"/>
              </w:rPr>
            </w:pPr>
          </w:p>
        </w:tc>
        <w:tc>
          <w:tcPr>
            <w:tcW w:w="1800" w:type="dxa"/>
            <w:vMerge/>
          </w:tcPr>
          <w:p w14:paraId="3F66E64C" w14:textId="77777777" w:rsidR="003B5C1D" w:rsidRPr="00A3002B" w:rsidRDefault="003B5C1D" w:rsidP="00FC3F7B">
            <w:pPr>
              <w:spacing w:after="0"/>
              <w:ind w:left="-108" w:right="-18"/>
              <w:jc w:val="center"/>
              <w:rPr>
                <w:rFonts w:ascii="Times New Roman" w:hAnsi="Times New Roman"/>
                <w:bCs/>
                <w:iCs/>
                <w:szCs w:val="22"/>
              </w:rPr>
            </w:pPr>
          </w:p>
        </w:tc>
        <w:tc>
          <w:tcPr>
            <w:tcW w:w="1890" w:type="dxa"/>
            <w:vMerge/>
          </w:tcPr>
          <w:p w14:paraId="699DD988" w14:textId="77777777" w:rsidR="003B5C1D" w:rsidRPr="00A3002B" w:rsidRDefault="003B5C1D" w:rsidP="00FC3F7B">
            <w:pPr>
              <w:spacing w:after="0"/>
              <w:ind w:right="-108"/>
              <w:rPr>
                <w:rFonts w:ascii="Times New Roman" w:hAnsi="Times New Roman"/>
                <w:bCs/>
                <w:iCs/>
                <w:szCs w:val="22"/>
              </w:rPr>
            </w:pPr>
          </w:p>
        </w:tc>
        <w:tc>
          <w:tcPr>
            <w:tcW w:w="720" w:type="dxa"/>
            <w:vMerge/>
            <w:vAlign w:val="center"/>
          </w:tcPr>
          <w:p w14:paraId="67AF3422" w14:textId="77777777" w:rsidR="003B5C1D" w:rsidRPr="00A3002B" w:rsidRDefault="003B5C1D" w:rsidP="00FC3F7B">
            <w:pPr>
              <w:kinsoku w:val="0"/>
              <w:overflowPunct w:val="0"/>
              <w:spacing w:after="0"/>
              <w:jc w:val="center"/>
              <w:textAlignment w:val="baseline"/>
              <w:rPr>
                <w:rFonts w:ascii="Times New Roman" w:hAnsi="Times New Roman"/>
                <w:kern w:val="24"/>
                <w:szCs w:val="22"/>
              </w:rPr>
            </w:pPr>
          </w:p>
        </w:tc>
        <w:tc>
          <w:tcPr>
            <w:tcW w:w="3502" w:type="dxa"/>
            <w:vAlign w:val="center"/>
          </w:tcPr>
          <w:p w14:paraId="476FF49D"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bCs/>
                <w:szCs w:val="22"/>
              </w:rPr>
              <w:t>Angulighas</w:t>
            </w:r>
            <w:proofErr w:type="spellEnd"/>
            <w:r w:rsidRPr="00A3002B">
              <w:rPr>
                <w:rFonts w:ascii="Times New Roman" w:hAnsi="Times New Roman"/>
                <w:szCs w:val="22"/>
              </w:rPr>
              <w:t xml:space="preserve"> </w:t>
            </w:r>
            <w:r w:rsidRPr="00A3002B">
              <w:rPr>
                <w:rFonts w:ascii="Times New Roman" w:hAnsi="Times New Roman"/>
                <w:i/>
                <w:szCs w:val="22"/>
              </w:rPr>
              <w:t>(</w:t>
            </w:r>
            <w:proofErr w:type="spellStart"/>
            <w:r w:rsidRPr="00A3002B">
              <w:rPr>
                <w:rFonts w:ascii="Times New Roman" w:hAnsi="Times New Roman"/>
                <w:i/>
                <w:szCs w:val="22"/>
              </w:rPr>
              <w:t>Digitaria</w:t>
            </w:r>
            <w:proofErr w:type="spellEnd"/>
            <w:r w:rsidRPr="00A3002B">
              <w:rPr>
                <w:rFonts w:ascii="Times New Roman" w:hAnsi="Times New Roman"/>
                <w:i/>
                <w:szCs w:val="22"/>
              </w:rPr>
              <w:t xml:space="preserve"> </w:t>
            </w:r>
            <w:proofErr w:type="spellStart"/>
            <w:r w:rsidRPr="00A3002B">
              <w:rPr>
                <w:rFonts w:ascii="Times New Roman" w:hAnsi="Times New Roman"/>
                <w:i/>
                <w:szCs w:val="22"/>
              </w:rPr>
              <w:t>sanguinalis</w:t>
            </w:r>
            <w:proofErr w:type="spellEnd"/>
            <w:r w:rsidRPr="00A3002B">
              <w:rPr>
                <w:rFonts w:ascii="Times New Roman" w:hAnsi="Times New Roman"/>
                <w:i/>
                <w:szCs w:val="22"/>
              </w:rPr>
              <w:t>)</w:t>
            </w:r>
          </w:p>
        </w:tc>
        <w:tc>
          <w:tcPr>
            <w:tcW w:w="635" w:type="dxa"/>
            <w:vAlign w:val="center"/>
          </w:tcPr>
          <w:p w14:paraId="2D07F2F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2500D5F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2C1CE4E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6B85738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9AD586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176F880" w14:textId="77777777" w:rsidTr="00FC3F7B">
        <w:trPr>
          <w:trHeight w:val="215"/>
          <w:jc w:val="center"/>
        </w:trPr>
        <w:tc>
          <w:tcPr>
            <w:tcW w:w="623" w:type="dxa"/>
            <w:vMerge/>
          </w:tcPr>
          <w:p w14:paraId="35921D48" w14:textId="77777777" w:rsidR="003B5C1D" w:rsidRPr="00A3002B" w:rsidRDefault="003B5C1D" w:rsidP="00FC3F7B">
            <w:pPr>
              <w:spacing w:after="0"/>
              <w:ind w:left="-108" w:right="-108"/>
              <w:jc w:val="center"/>
              <w:rPr>
                <w:rFonts w:ascii="Times New Roman" w:hAnsi="Times New Roman"/>
                <w:bCs/>
                <w:iCs/>
                <w:szCs w:val="22"/>
              </w:rPr>
            </w:pPr>
          </w:p>
        </w:tc>
        <w:tc>
          <w:tcPr>
            <w:tcW w:w="1262" w:type="dxa"/>
            <w:vMerge/>
          </w:tcPr>
          <w:p w14:paraId="417A2308" w14:textId="77777777" w:rsidR="003B5C1D" w:rsidRPr="00A3002B" w:rsidRDefault="003B5C1D" w:rsidP="00FC3F7B">
            <w:pPr>
              <w:spacing w:after="0"/>
              <w:ind w:left="-108" w:right="-108"/>
              <w:jc w:val="center"/>
              <w:rPr>
                <w:rFonts w:ascii="Times New Roman" w:hAnsi="Times New Roman"/>
                <w:bCs/>
                <w:iCs/>
                <w:szCs w:val="22"/>
              </w:rPr>
            </w:pPr>
          </w:p>
        </w:tc>
        <w:tc>
          <w:tcPr>
            <w:tcW w:w="1800" w:type="dxa"/>
            <w:vMerge/>
          </w:tcPr>
          <w:p w14:paraId="059EB583" w14:textId="77777777" w:rsidR="003B5C1D" w:rsidRPr="00A3002B" w:rsidRDefault="003B5C1D" w:rsidP="00FC3F7B">
            <w:pPr>
              <w:spacing w:after="0"/>
              <w:ind w:left="-108" w:right="-18"/>
              <w:jc w:val="center"/>
              <w:rPr>
                <w:rFonts w:ascii="Times New Roman" w:hAnsi="Times New Roman"/>
                <w:bCs/>
                <w:iCs/>
                <w:szCs w:val="22"/>
              </w:rPr>
            </w:pPr>
          </w:p>
        </w:tc>
        <w:tc>
          <w:tcPr>
            <w:tcW w:w="1890" w:type="dxa"/>
            <w:vMerge/>
          </w:tcPr>
          <w:p w14:paraId="34A620A2" w14:textId="77777777" w:rsidR="003B5C1D" w:rsidRPr="00A3002B" w:rsidRDefault="003B5C1D" w:rsidP="00FC3F7B">
            <w:pPr>
              <w:spacing w:after="0"/>
              <w:ind w:right="-108"/>
              <w:rPr>
                <w:rFonts w:ascii="Times New Roman" w:hAnsi="Times New Roman"/>
                <w:bCs/>
                <w:iCs/>
                <w:szCs w:val="22"/>
              </w:rPr>
            </w:pPr>
          </w:p>
        </w:tc>
        <w:tc>
          <w:tcPr>
            <w:tcW w:w="720" w:type="dxa"/>
            <w:vMerge/>
            <w:vAlign w:val="center"/>
          </w:tcPr>
          <w:p w14:paraId="643EA99C"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52FDBFCE"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6BB41E85"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7803C89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4433B88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0F3BD5C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058459D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8AD01EA" w14:textId="77777777" w:rsidTr="00FC3F7B">
        <w:trPr>
          <w:trHeight w:val="458"/>
          <w:jc w:val="center"/>
        </w:trPr>
        <w:tc>
          <w:tcPr>
            <w:tcW w:w="623" w:type="dxa"/>
          </w:tcPr>
          <w:p w14:paraId="0C282237" w14:textId="77777777" w:rsidR="003B5C1D" w:rsidRPr="00A3002B" w:rsidRDefault="003B5C1D" w:rsidP="00FC3F7B">
            <w:pPr>
              <w:spacing w:after="0"/>
              <w:ind w:left="-108" w:right="-108"/>
              <w:jc w:val="center"/>
              <w:rPr>
                <w:rFonts w:ascii="Times New Roman" w:hAnsi="Times New Roman"/>
                <w:bCs/>
                <w:iCs/>
                <w:szCs w:val="22"/>
              </w:rPr>
            </w:pPr>
            <w:r w:rsidRPr="00A3002B">
              <w:rPr>
                <w:rFonts w:ascii="Times New Roman" w:hAnsi="Times New Roman"/>
                <w:bCs/>
                <w:iCs/>
                <w:szCs w:val="22"/>
              </w:rPr>
              <w:t xml:space="preserve">  3.</w:t>
            </w:r>
          </w:p>
        </w:tc>
        <w:tc>
          <w:tcPr>
            <w:tcW w:w="1262" w:type="dxa"/>
          </w:tcPr>
          <w:p w14:paraId="7AB5580A" w14:textId="77777777" w:rsidR="003B5C1D" w:rsidRPr="00A3002B" w:rsidRDefault="003B5C1D" w:rsidP="00FC3F7B">
            <w:pPr>
              <w:spacing w:after="0"/>
              <w:ind w:left="-108" w:right="-108"/>
              <w:rPr>
                <w:rFonts w:ascii="Times New Roman" w:hAnsi="Times New Roman"/>
                <w:bCs/>
                <w:iCs/>
                <w:szCs w:val="22"/>
              </w:rPr>
            </w:pPr>
            <w:proofErr w:type="spellStart"/>
            <w:r w:rsidRPr="00A3002B">
              <w:rPr>
                <w:rFonts w:ascii="Times New Roman" w:hAnsi="Times New Roman"/>
                <w:bCs/>
                <w:iCs/>
                <w:szCs w:val="22"/>
              </w:rPr>
              <w:t>Sucarol</w:t>
            </w:r>
            <w:proofErr w:type="spellEnd"/>
            <w:r w:rsidRPr="00A3002B">
              <w:rPr>
                <w:rFonts w:ascii="Times New Roman" w:hAnsi="Times New Roman"/>
                <w:bCs/>
                <w:iCs/>
                <w:szCs w:val="22"/>
              </w:rPr>
              <w:t xml:space="preserve"> 20 SL </w:t>
            </w:r>
          </w:p>
        </w:tc>
        <w:tc>
          <w:tcPr>
            <w:tcW w:w="1800" w:type="dxa"/>
          </w:tcPr>
          <w:p w14:paraId="19FF8374" w14:textId="77777777" w:rsidR="003B5C1D" w:rsidRPr="00A3002B" w:rsidRDefault="003B5C1D" w:rsidP="00FC3F7B">
            <w:pPr>
              <w:spacing w:after="0"/>
              <w:ind w:left="-108" w:right="-105"/>
              <w:jc w:val="center"/>
              <w:rPr>
                <w:rFonts w:ascii="Times New Roman" w:hAnsi="Times New Roman"/>
                <w:bCs/>
                <w:iCs/>
                <w:szCs w:val="22"/>
              </w:rPr>
            </w:pPr>
            <w:proofErr w:type="spellStart"/>
            <w:r w:rsidRPr="00A3002B">
              <w:rPr>
                <w:rFonts w:ascii="Times New Roman" w:hAnsi="Times New Roman"/>
                <w:bCs/>
                <w:iCs/>
                <w:szCs w:val="22"/>
              </w:rPr>
              <w:t>Gluphosinate</w:t>
            </w:r>
            <w:proofErr w:type="spellEnd"/>
            <w:r w:rsidRPr="00A3002B">
              <w:rPr>
                <w:rFonts w:ascii="Times New Roman" w:hAnsi="Times New Roman"/>
                <w:bCs/>
                <w:iCs/>
                <w:szCs w:val="22"/>
              </w:rPr>
              <w:t>-ammonium 200 g/L</w:t>
            </w:r>
          </w:p>
        </w:tc>
        <w:tc>
          <w:tcPr>
            <w:tcW w:w="1890" w:type="dxa"/>
          </w:tcPr>
          <w:p w14:paraId="7A62AA84" w14:textId="77777777" w:rsidR="003B5C1D" w:rsidRPr="00A3002B" w:rsidRDefault="003B5C1D" w:rsidP="00FC3F7B">
            <w:pPr>
              <w:spacing w:after="0"/>
              <w:ind w:right="-108"/>
              <w:rPr>
                <w:rFonts w:ascii="Times New Roman" w:hAnsi="Times New Roman"/>
                <w:bCs/>
                <w:iCs/>
                <w:szCs w:val="22"/>
              </w:rPr>
            </w:pPr>
            <w:proofErr w:type="spellStart"/>
            <w:r w:rsidRPr="00A3002B">
              <w:rPr>
                <w:rFonts w:ascii="Times New Roman" w:hAnsi="Times New Roman"/>
                <w:bCs/>
                <w:iCs/>
                <w:szCs w:val="22"/>
              </w:rPr>
              <w:t>Agro</w:t>
            </w:r>
            <w:proofErr w:type="spellEnd"/>
            <w:r w:rsidRPr="00A3002B">
              <w:rPr>
                <w:rFonts w:ascii="Times New Roman" w:hAnsi="Times New Roman"/>
                <w:bCs/>
                <w:iCs/>
                <w:szCs w:val="22"/>
              </w:rPr>
              <w:t xml:space="preserve"> Source Ltd.</w:t>
            </w:r>
          </w:p>
        </w:tc>
        <w:tc>
          <w:tcPr>
            <w:tcW w:w="720" w:type="dxa"/>
            <w:vAlign w:val="center"/>
          </w:tcPr>
          <w:p w14:paraId="36347EB1"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r w:rsidRPr="00A3002B">
              <w:rPr>
                <w:rFonts w:ascii="Times New Roman" w:hAnsi="Times New Roman"/>
                <w:bCs/>
                <w:iCs/>
                <w:szCs w:val="22"/>
              </w:rPr>
              <w:t>190 g/ha</w:t>
            </w:r>
          </w:p>
        </w:tc>
        <w:tc>
          <w:tcPr>
            <w:tcW w:w="3502" w:type="dxa"/>
            <w:vAlign w:val="center"/>
          </w:tcPr>
          <w:p w14:paraId="16ED2625" w14:textId="77777777" w:rsidR="003B5C1D" w:rsidRPr="00A3002B" w:rsidRDefault="003B5C1D" w:rsidP="00FC3F7B">
            <w:pPr>
              <w:spacing w:after="0"/>
              <w:rPr>
                <w:rFonts w:ascii="Times New Roman" w:hAnsi="Times New Roman"/>
                <w:kern w:val="24"/>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22DD04C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140C132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77</w:t>
            </w:r>
          </w:p>
        </w:tc>
        <w:tc>
          <w:tcPr>
            <w:tcW w:w="720" w:type="dxa"/>
            <w:vAlign w:val="center"/>
          </w:tcPr>
          <w:p w14:paraId="2E471A4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78C8EE1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4F62B45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748D93C" w14:textId="77777777" w:rsidTr="00FC3F7B">
        <w:trPr>
          <w:trHeight w:val="69"/>
          <w:jc w:val="center"/>
        </w:trPr>
        <w:tc>
          <w:tcPr>
            <w:tcW w:w="623" w:type="dxa"/>
            <w:vMerge w:val="restart"/>
          </w:tcPr>
          <w:p w14:paraId="402F2A1A"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4.</w:t>
            </w:r>
          </w:p>
          <w:p w14:paraId="6C6EF4D8" w14:textId="77777777" w:rsidR="003B5C1D" w:rsidRPr="00A3002B" w:rsidRDefault="003B5C1D" w:rsidP="00FC3F7B">
            <w:pPr>
              <w:spacing w:after="0"/>
              <w:ind w:right="-108"/>
              <w:jc w:val="center"/>
              <w:rPr>
                <w:rFonts w:ascii="Times New Roman" w:hAnsi="Times New Roman"/>
                <w:bCs/>
                <w:iCs/>
                <w:szCs w:val="22"/>
              </w:rPr>
            </w:pPr>
          </w:p>
        </w:tc>
        <w:tc>
          <w:tcPr>
            <w:tcW w:w="1262" w:type="dxa"/>
            <w:vMerge w:val="restart"/>
          </w:tcPr>
          <w:p w14:paraId="77B3F4A8"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Natai 21 OD</w:t>
            </w:r>
          </w:p>
        </w:tc>
        <w:tc>
          <w:tcPr>
            <w:tcW w:w="1800" w:type="dxa"/>
            <w:vMerge w:val="restart"/>
          </w:tcPr>
          <w:p w14:paraId="4DBDCA57" w14:textId="77777777" w:rsidR="003B5C1D" w:rsidRPr="00A3002B" w:rsidRDefault="003B5C1D" w:rsidP="00FC3F7B">
            <w:pPr>
              <w:spacing w:after="0"/>
              <w:ind w:left="-108" w:right="-105"/>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 xml:space="preserve">-p-ethyl 9% + Ethoxy </w:t>
            </w:r>
            <w:proofErr w:type="spellStart"/>
            <w:r w:rsidRPr="00A3002B">
              <w:rPr>
                <w:rFonts w:ascii="Times New Roman" w:hAnsi="Times New Roman"/>
                <w:bCs/>
                <w:iCs/>
                <w:szCs w:val="22"/>
              </w:rPr>
              <w:t>sulfuran</w:t>
            </w:r>
            <w:proofErr w:type="spellEnd"/>
            <w:r w:rsidRPr="00A3002B">
              <w:rPr>
                <w:rFonts w:ascii="Times New Roman" w:hAnsi="Times New Roman"/>
                <w:bCs/>
                <w:iCs/>
                <w:szCs w:val="22"/>
              </w:rPr>
              <w:t xml:space="preserve"> 12%</w:t>
            </w:r>
          </w:p>
        </w:tc>
        <w:tc>
          <w:tcPr>
            <w:tcW w:w="1890" w:type="dxa"/>
            <w:vMerge w:val="restart"/>
          </w:tcPr>
          <w:p w14:paraId="05084872"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Green Bangla Agrovet </w:t>
            </w:r>
          </w:p>
        </w:tc>
        <w:tc>
          <w:tcPr>
            <w:tcW w:w="720" w:type="dxa"/>
            <w:vMerge w:val="restart"/>
          </w:tcPr>
          <w:p w14:paraId="29CFF2EA"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200 g/ha</w:t>
            </w:r>
          </w:p>
        </w:tc>
        <w:tc>
          <w:tcPr>
            <w:tcW w:w="3502" w:type="dxa"/>
            <w:vAlign w:val="center"/>
          </w:tcPr>
          <w:p w14:paraId="29A6C903" w14:textId="77777777" w:rsidR="003B5C1D" w:rsidRPr="00A3002B" w:rsidRDefault="003B5C1D" w:rsidP="00FC3F7B">
            <w:pPr>
              <w:spacing w:after="0"/>
              <w:rPr>
                <w:rFonts w:ascii="Times New Roman" w:hAnsi="Times New Roman"/>
                <w:i/>
                <w:szCs w:val="22"/>
              </w:rPr>
            </w:pPr>
            <w:proofErr w:type="spellStart"/>
            <w:r w:rsidRPr="00A3002B">
              <w:rPr>
                <w:rFonts w:ascii="Times New Roman" w:hAnsi="Times New Roman"/>
                <w:b/>
                <w:szCs w:val="22"/>
              </w:rPr>
              <w:t>Khudesama</w:t>
            </w:r>
            <w:proofErr w:type="spellEnd"/>
            <w:r w:rsidRPr="00A3002B">
              <w:rPr>
                <w:rFonts w:ascii="Times New Roman" w:hAnsi="Times New Roman"/>
                <w:bCs/>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7E7A2EEF"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3067858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0E7A6BE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0989566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4C57C92"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D581CC2" w14:textId="77777777" w:rsidTr="00FC3F7B">
        <w:trPr>
          <w:trHeight w:val="69"/>
          <w:jc w:val="center"/>
        </w:trPr>
        <w:tc>
          <w:tcPr>
            <w:tcW w:w="623" w:type="dxa"/>
            <w:vMerge/>
          </w:tcPr>
          <w:p w14:paraId="20C2B7B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90F27BF" w14:textId="77777777" w:rsidR="003B5C1D" w:rsidRPr="00A3002B" w:rsidRDefault="003B5C1D" w:rsidP="00FC3F7B">
            <w:pPr>
              <w:spacing w:after="0"/>
              <w:ind w:right="-108"/>
              <w:rPr>
                <w:rFonts w:ascii="Times New Roman" w:hAnsi="Times New Roman"/>
                <w:bCs/>
                <w:iCs/>
                <w:szCs w:val="22"/>
              </w:rPr>
            </w:pPr>
          </w:p>
        </w:tc>
        <w:tc>
          <w:tcPr>
            <w:tcW w:w="1800" w:type="dxa"/>
            <w:vMerge/>
          </w:tcPr>
          <w:p w14:paraId="0574A7AD" w14:textId="77777777" w:rsidR="003B5C1D" w:rsidRPr="00A3002B" w:rsidRDefault="003B5C1D" w:rsidP="00FC3F7B">
            <w:pPr>
              <w:spacing w:after="0"/>
              <w:ind w:left="-108" w:right="-18"/>
              <w:jc w:val="center"/>
              <w:rPr>
                <w:rFonts w:ascii="Times New Roman" w:hAnsi="Times New Roman"/>
                <w:bCs/>
                <w:iCs/>
                <w:szCs w:val="22"/>
              </w:rPr>
            </w:pPr>
          </w:p>
        </w:tc>
        <w:tc>
          <w:tcPr>
            <w:tcW w:w="1890" w:type="dxa"/>
            <w:vMerge/>
          </w:tcPr>
          <w:p w14:paraId="675150CB" w14:textId="77777777" w:rsidR="003B5C1D" w:rsidRPr="00A3002B" w:rsidRDefault="003B5C1D" w:rsidP="00FC3F7B">
            <w:pPr>
              <w:spacing w:after="0"/>
              <w:ind w:right="-108"/>
              <w:rPr>
                <w:rFonts w:ascii="Times New Roman" w:hAnsi="Times New Roman"/>
                <w:bCs/>
                <w:iCs/>
                <w:szCs w:val="22"/>
              </w:rPr>
            </w:pPr>
          </w:p>
        </w:tc>
        <w:tc>
          <w:tcPr>
            <w:tcW w:w="720" w:type="dxa"/>
            <w:vMerge/>
          </w:tcPr>
          <w:p w14:paraId="35955762" w14:textId="77777777" w:rsidR="003B5C1D" w:rsidRPr="00A3002B" w:rsidRDefault="003B5C1D" w:rsidP="00FC3F7B">
            <w:pPr>
              <w:kinsoku w:val="0"/>
              <w:overflowPunct w:val="0"/>
              <w:spacing w:after="0"/>
              <w:jc w:val="right"/>
              <w:textAlignment w:val="baseline"/>
              <w:rPr>
                <w:rFonts w:ascii="Times New Roman" w:hAnsi="Times New Roman"/>
                <w:bCs/>
                <w:iCs/>
                <w:szCs w:val="22"/>
              </w:rPr>
            </w:pPr>
          </w:p>
        </w:tc>
        <w:tc>
          <w:tcPr>
            <w:tcW w:w="3502" w:type="dxa"/>
            <w:vAlign w:val="center"/>
          </w:tcPr>
          <w:p w14:paraId="3D462A10"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47C86B0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84</w:t>
            </w:r>
          </w:p>
        </w:tc>
        <w:tc>
          <w:tcPr>
            <w:tcW w:w="630" w:type="dxa"/>
            <w:vAlign w:val="center"/>
          </w:tcPr>
          <w:p w14:paraId="6EBE9C6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85</w:t>
            </w:r>
          </w:p>
        </w:tc>
        <w:tc>
          <w:tcPr>
            <w:tcW w:w="720" w:type="dxa"/>
            <w:vAlign w:val="center"/>
          </w:tcPr>
          <w:p w14:paraId="2182B90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2F009EB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45D52779"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28F5402" w14:textId="77777777" w:rsidTr="00FC3F7B">
        <w:trPr>
          <w:trHeight w:val="215"/>
          <w:jc w:val="center"/>
        </w:trPr>
        <w:tc>
          <w:tcPr>
            <w:tcW w:w="623" w:type="dxa"/>
            <w:vMerge/>
          </w:tcPr>
          <w:p w14:paraId="5854031C"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A0831B3" w14:textId="77777777" w:rsidR="003B5C1D" w:rsidRPr="00A3002B" w:rsidRDefault="003B5C1D" w:rsidP="00FC3F7B">
            <w:pPr>
              <w:spacing w:after="0"/>
              <w:ind w:right="-108"/>
              <w:rPr>
                <w:rFonts w:ascii="Times New Roman" w:hAnsi="Times New Roman"/>
                <w:bCs/>
                <w:iCs/>
                <w:szCs w:val="22"/>
              </w:rPr>
            </w:pPr>
          </w:p>
        </w:tc>
        <w:tc>
          <w:tcPr>
            <w:tcW w:w="1800" w:type="dxa"/>
            <w:vMerge/>
          </w:tcPr>
          <w:p w14:paraId="1767626B" w14:textId="77777777" w:rsidR="003B5C1D" w:rsidRPr="00A3002B" w:rsidRDefault="003B5C1D" w:rsidP="00FC3F7B">
            <w:pPr>
              <w:spacing w:after="0"/>
              <w:jc w:val="center"/>
              <w:rPr>
                <w:rFonts w:ascii="Times New Roman" w:hAnsi="Times New Roman"/>
                <w:bCs/>
                <w:iCs/>
                <w:szCs w:val="22"/>
              </w:rPr>
            </w:pPr>
          </w:p>
        </w:tc>
        <w:tc>
          <w:tcPr>
            <w:tcW w:w="1890" w:type="dxa"/>
            <w:vMerge/>
          </w:tcPr>
          <w:p w14:paraId="743753CC" w14:textId="77777777" w:rsidR="003B5C1D" w:rsidRPr="00A3002B" w:rsidRDefault="003B5C1D" w:rsidP="00FC3F7B">
            <w:pPr>
              <w:spacing w:after="0"/>
              <w:ind w:left="-65" w:right="-108" w:firstLine="47"/>
              <w:rPr>
                <w:rFonts w:ascii="Times New Roman" w:hAnsi="Times New Roman"/>
                <w:szCs w:val="22"/>
              </w:rPr>
            </w:pPr>
          </w:p>
        </w:tc>
        <w:tc>
          <w:tcPr>
            <w:tcW w:w="720" w:type="dxa"/>
            <w:vMerge/>
            <w:vAlign w:val="center"/>
          </w:tcPr>
          <w:p w14:paraId="0996AA68"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413FD78"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bCs/>
                <w:szCs w:val="22"/>
              </w:rPr>
              <w:t>Chapra</w:t>
            </w:r>
            <w:proofErr w:type="spellEnd"/>
            <w:r w:rsidRPr="00A3002B">
              <w:rPr>
                <w:rFonts w:ascii="Times New Roman" w:hAnsi="Times New Roman"/>
                <w:szCs w:val="22"/>
              </w:rPr>
              <w:t xml:space="preserve"> (</w:t>
            </w:r>
            <w:proofErr w:type="spellStart"/>
            <w:r w:rsidRPr="00A3002B">
              <w:rPr>
                <w:rFonts w:ascii="Times New Roman" w:hAnsi="Times New Roman"/>
                <w:szCs w:val="22"/>
              </w:rPr>
              <w:t>Eleusine</w:t>
            </w:r>
            <w:proofErr w:type="spellEnd"/>
            <w:r w:rsidRPr="00A3002B">
              <w:rPr>
                <w:rFonts w:ascii="Times New Roman" w:hAnsi="Times New Roman"/>
                <w:szCs w:val="22"/>
              </w:rPr>
              <w:t xml:space="preserve"> </w:t>
            </w:r>
            <w:proofErr w:type="spellStart"/>
            <w:r w:rsidRPr="00A3002B">
              <w:rPr>
                <w:rFonts w:ascii="Times New Roman" w:hAnsi="Times New Roman"/>
                <w:szCs w:val="22"/>
              </w:rPr>
              <w:t>indica</w:t>
            </w:r>
            <w:proofErr w:type="spellEnd"/>
            <w:r w:rsidRPr="00A3002B">
              <w:rPr>
                <w:rFonts w:ascii="Times New Roman" w:hAnsi="Times New Roman"/>
                <w:szCs w:val="22"/>
              </w:rPr>
              <w:t>)</w:t>
            </w:r>
          </w:p>
        </w:tc>
        <w:tc>
          <w:tcPr>
            <w:tcW w:w="635" w:type="dxa"/>
            <w:vAlign w:val="center"/>
          </w:tcPr>
          <w:p w14:paraId="3DEFCC72"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82</w:t>
            </w:r>
          </w:p>
        </w:tc>
        <w:tc>
          <w:tcPr>
            <w:tcW w:w="630" w:type="dxa"/>
            <w:vAlign w:val="center"/>
          </w:tcPr>
          <w:p w14:paraId="338301F7"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83</w:t>
            </w:r>
          </w:p>
        </w:tc>
        <w:tc>
          <w:tcPr>
            <w:tcW w:w="720" w:type="dxa"/>
            <w:vAlign w:val="center"/>
          </w:tcPr>
          <w:p w14:paraId="43EF1E5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476B157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722362B9"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E6590A6" w14:textId="77777777" w:rsidTr="00FC3F7B">
        <w:trPr>
          <w:trHeight w:val="278"/>
          <w:jc w:val="center"/>
        </w:trPr>
        <w:tc>
          <w:tcPr>
            <w:tcW w:w="623" w:type="dxa"/>
            <w:vMerge w:val="restart"/>
          </w:tcPr>
          <w:p w14:paraId="5F96B3DB"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5.</w:t>
            </w:r>
          </w:p>
        </w:tc>
        <w:tc>
          <w:tcPr>
            <w:tcW w:w="1262" w:type="dxa"/>
            <w:vMerge w:val="restart"/>
          </w:tcPr>
          <w:p w14:paraId="337EBE50"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Orin 72 SL </w:t>
            </w:r>
          </w:p>
        </w:tc>
        <w:tc>
          <w:tcPr>
            <w:tcW w:w="1800" w:type="dxa"/>
            <w:vMerge w:val="restart"/>
          </w:tcPr>
          <w:p w14:paraId="2057D02A"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 xml:space="preserve">2,4-D Amine salt </w:t>
            </w:r>
          </w:p>
        </w:tc>
        <w:tc>
          <w:tcPr>
            <w:tcW w:w="1890" w:type="dxa"/>
            <w:vMerge w:val="restart"/>
          </w:tcPr>
          <w:p w14:paraId="63D9B193"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Orient International /</w:t>
            </w:r>
            <w:proofErr w:type="spellStart"/>
            <w:r w:rsidRPr="00A3002B">
              <w:rPr>
                <w:rFonts w:ascii="Times New Roman" w:hAnsi="Times New Roman"/>
                <w:bCs/>
                <w:iCs/>
                <w:szCs w:val="22"/>
              </w:rPr>
              <w:t>Nac</w:t>
            </w:r>
            <w:proofErr w:type="spellEnd"/>
            <w:r w:rsidRPr="00A3002B">
              <w:rPr>
                <w:rFonts w:ascii="Times New Roman" w:hAnsi="Times New Roman"/>
                <w:bCs/>
                <w:iCs/>
                <w:szCs w:val="22"/>
              </w:rPr>
              <w:t xml:space="preserve"> </w:t>
            </w:r>
            <w:proofErr w:type="spellStart"/>
            <w:r w:rsidRPr="00A3002B">
              <w:rPr>
                <w:rFonts w:ascii="Times New Roman" w:hAnsi="Times New Roman"/>
                <w:bCs/>
                <w:iCs/>
                <w:szCs w:val="22"/>
              </w:rPr>
              <w:t>Nationa</w:t>
            </w:r>
            <w:proofErr w:type="spellEnd"/>
            <w:r w:rsidRPr="00A3002B">
              <w:rPr>
                <w:rFonts w:ascii="Times New Roman" w:hAnsi="Times New Roman"/>
                <w:bCs/>
                <w:iCs/>
                <w:szCs w:val="22"/>
              </w:rPr>
              <w:t xml:space="preserve"> </w:t>
            </w:r>
            <w:proofErr w:type="spellStart"/>
            <w:r w:rsidRPr="00A3002B">
              <w:rPr>
                <w:rFonts w:ascii="Times New Roman" w:hAnsi="Times New Roman"/>
                <w:bCs/>
                <w:iCs/>
                <w:szCs w:val="22"/>
              </w:rPr>
              <w:t>Agro</w:t>
            </w:r>
            <w:proofErr w:type="spellEnd"/>
            <w:r w:rsidRPr="00A3002B">
              <w:rPr>
                <w:rFonts w:ascii="Times New Roman" w:hAnsi="Times New Roman"/>
                <w:bCs/>
                <w:iCs/>
                <w:szCs w:val="22"/>
              </w:rPr>
              <w:t xml:space="preserve"> </w:t>
            </w:r>
          </w:p>
        </w:tc>
        <w:tc>
          <w:tcPr>
            <w:tcW w:w="720" w:type="dxa"/>
            <w:vMerge w:val="restart"/>
          </w:tcPr>
          <w:p w14:paraId="317E37D5"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2.8 L/ha</w:t>
            </w:r>
          </w:p>
        </w:tc>
        <w:tc>
          <w:tcPr>
            <w:tcW w:w="3502" w:type="dxa"/>
            <w:vAlign w:val="center"/>
          </w:tcPr>
          <w:p w14:paraId="5230C1A4"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3381938F"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0D06ACC5"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82</w:t>
            </w:r>
          </w:p>
        </w:tc>
        <w:tc>
          <w:tcPr>
            <w:tcW w:w="720" w:type="dxa"/>
            <w:vAlign w:val="center"/>
          </w:tcPr>
          <w:p w14:paraId="541EB08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3867C06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7F4E001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FE2ABA4" w14:textId="77777777" w:rsidTr="00FC3F7B">
        <w:trPr>
          <w:trHeight w:val="439"/>
          <w:jc w:val="center"/>
        </w:trPr>
        <w:tc>
          <w:tcPr>
            <w:tcW w:w="623" w:type="dxa"/>
            <w:vMerge/>
          </w:tcPr>
          <w:p w14:paraId="496B0F8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B3FF5E1"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4FC87CEC" w14:textId="77777777" w:rsidR="003B5C1D" w:rsidRPr="00A3002B" w:rsidRDefault="003B5C1D" w:rsidP="00FC3F7B">
            <w:pPr>
              <w:spacing w:after="0"/>
              <w:jc w:val="center"/>
              <w:rPr>
                <w:rFonts w:ascii="Times New Roman" w:hAnsi="Times New Roman"/>
                <w:bCs/>
                <w:iCs/>
                <w:szCs w:val="22"/>
              </w:rPr>
            </w:pPr>
          </w:p>
        </w:tc>
        <w:tc>
          <w:tcPr>
            <w:tcW w:w="1890" w:type="dxa"/>
            <w:vMerge/>
            <w:vAlign w:val="center"/>
          </w:tcPr>
          <w:p w14:paraId="596D4ED0" w14:textId="77777777" w:rsidR="003B5C1D" w:rsidRPr="00A3002B" w:rsidRDefault="003B5C1D" w:rsidP="00FC3F7B">
            <w:pPr>
              <w:spacing w:after="0"/>
              <w:ind w:right="-108"/>
              <w:jc w:val="center"/>
              <w:rPr>
                <w:rFonts w:ascii="Times New Roman" w:hAnsi="Times New Roman"/>
                <w:bCs/>
                <w:iCs/>
                <w:szCs w:val="22"/>
              </w:rPr>
            </w:pPr>
          </w:p>
        </w:tc>
        <w:tc>
          <w:tcPr>
            <w:tcW w:w="720" w:type="dxa"/>
            <w:vMerge/>
            <w:vAlign w:val="center"/>
          </w:tcPr>
          <w:p w14:paraId="51755CAD"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1E712DE5"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76FA63E2"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7ED6D00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11F8AC2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0BF088B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25B9B1B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F44E4CD" w14:textId="77777777" w:rsidTr="00FC3F7B">
        <w:trPr>
          <w:trHeight w:val="305"/>
          <w:jc w:val="center"/>
        </w:trPr>
        <w:tc>
          <w:tcPr>
            <w:tcW w:w="623" w:type="dxa"/>
            <w:vMerge w:val="restart"/>
          </w:tcPr>
          <w:p w14:paraId="15DF9257"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6.</w:t>
            </w:r>
          </w:p>
        </w:tc>
        <w:tc>
          <w:tcPr>
            <w:tcW w:w="1262" w:type="dxa"/>
            <w:vMerge w:val="restart"/>
          </w:tcPr>
          <w:p w14:paraId="3CFDCC54"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Fire 20 SL </w:t>
            </w:r>
          </w:p>
        </w:tc>
        <w:tc>
          <w:tcPr>
            <w:tcW w:w="1800" w:type="dxa"/>
            <w:vMerge w:val="restart"/>
          </w:tcPr>
          <w:p w14:paraId="6F94793F"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Gluphosinate</w:t>
            </w:r>
            <w:proofErr w:type="spellEnd"/>
            <w:r w:rsidRPr="00A3002B">
              <w:rPr>
                <w:rFonts w:ascii="Times New Roman" w:hAnsi="Times New Roman"/>
                <w:bCs/>
                <w:iCs/>
                <w:szCs w:val="22"/>
              </w:rPr>
              <w:t xml:space="preserve">-ammonium 20% </w:t>
            </w:r>
          </w:p>
        </w:tc>
        <w:tc>
          <w:tcPr>
            <w:tcW w:w="1890" w:type="dxa"/>
            <w:vMerge w:val="restart"/>
          </w:tcPr>
          <w:p w14:paraId="2DFC51B6" w14:textId="77777777" w:rsidR="003B5C1D" w:rsidRPr="00A3002B" w:rsidRDefault="003B5C1D" w:rsidP="00FC3F7B">
            <w:pPr>
              <w:spacing w:after="0"/>
              <w:ind w:right="-108"/>
              <w:jc w:val="center"/>
              <w:rPr>
                <w:rFonts w:ascii="Times New Roman" w:hAnsi="Times New Roman"/>
                <w:bCs/>
                <w:iCs/>
                <w:szCs w:val="22"/>
              </w:rPr>
            </w:pPr>
            <w:proofErr w:type="spellStart"/>
            <w:r w:rsidRPr="00A3002B">
              <w:rPr>
                <w:rFonts w:ascii="Times New Roman" w:hAnsi="Times New Roman"/>
                <w:bCs/>
                <w:iCs/>
                <w:szCs w:val="22"/>
              </w:rPr>
              <w:t>Sasco</w:t>
            </w:r>
            <w:proofErr w:type="spellEnd"/>
            <w:r w:rsidRPr="00A3002B">
              <w:rPr>
                <w:rFonts w:ascii="Times New Roman" w:hAnsi="Times New Roman"/>
                <w:bCs/>
                <w:iCs/>
                <w:szCs w:val="22"/>
              </w:rPr>
              <w:t xml:space="preserve"> International </w:t>
            </w:r>
          </w:p>
        </w:tc>
        <w:tc>
          <w:tcPr>
            <w:tcW w:w="720" w:type="dxa"/>
            <w:vMerge w:val="restart"/>
          </w:tcPr>
          <w:p w14:paraId="43D77547"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r w:rsidRPr="00A3002B">
              <w:rPr>
                <w:rFonts w:ascii="Times New Roman" w:hAnsi="Times New Roman"/>
                <w:kern w:val="24"/>
                <w:szCs w:val="22"/>
              </w:rPr>
              <w:t>2.5 L/ha</w:t>
            </w:r>
          </w:p>
        </w:tc>
        <w:tc>
          <w:tcPr>
            <w:tcW w:w="3502" w:type="dxa"/>
            <w:vAlign w:val="center"/>
          </w:tcPr>
          <w:p w14:paraId="3BBB0D8B"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120364CA"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82</w:t>
            </w:r>
          </w:p>
        </w:tc>
        <w:tc>
          <w:tcPr>
            <w:tcW w:w="630" w:type="dxa"/>
            <w:vAlign w:val="center"/>
          </w:tcPr>
          <w:p w14:paraId="273E645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1F9B1D1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1CB8C96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812AB5C"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1C76956" w14:textId="77777777" w:rsidTr="00FC3F7B">
        <w:trPr>
          <w:trHeight w:val="260"/>
          <w:jc w:val="center"/>
        </w:trPr>
        <w:tc>
          <w:tcPr>
            <w:tcW w:w="623" w:type="dxa"/>
            <w:vMerge/>
          </w:tcPr>
          <w:p w14:paraId="110A7A65"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5A063A26"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3BF1AC41" w14:textId="77777777" w:rsidR="003B5C1D" w:rsidRPr="00A3002B" w:rsidRDefault="003B5C1D" w:rsidP="00FC3F7B">
            <w:pPr>
              <w:spacing w:after="0"/>
              <w:jc w:val="center"/>
              <w:rPr>
                <w:rFonts w:ascii="Times New Roman" w:hAnsi="Times New Roman"/>
                <w:bCs/>
                <w:iCs/>
                <w:szCs w:val="22"/>
              </w:rPr>
            </w:pPr>
          </w:p>
        </w:tc>
        <w:tc>
          <w:tcPr>
            <w:tcW w:w="1890" w:type="dxa"/>
            <w:vMerge/>
            <w:vAlign w:val="center"/>
          </w:tcPr>
          <w:p w14:paraId="416A1B65" w14:textId="77777777" w:rsidR="003B5C1D" w:rsidRPr="00A3002B" w:rsidRDefault="003B5C1D" w:rsidP="00FC3F7B">
            <w:pPr>
              <w:spacing w:after="0"/>
              <w:ind w:right="-108"/>
              <w:jc w:val="center"/>
              <w:rPr>
                <w:rFonts w:ascii="Times New Roman" w:hAnsi="Times New Roman"/>
                <w:bCs/>
                <w:iCs/>
                <w:szCs w:val="22"/>
              </w:rPr>
            </w:pPr>
          </w:p>
        </w:tc>
        <w:tc>
          <w:tcPr>
            <w:tcW w:w="720" w:type="dxa"/>
            <w:vMerge/>
            <w:vAlign w:val="center"/>
          </w:tcPr>
          <w:p w14:paraId="1EA9CD1B"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732E4F5C"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52A7725C"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7CDB09A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7A0E9B3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1D6592E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5CC08BFE"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B36DFBB" w14:textId="77777777" w:rsidTr="00FC3F7B">
        <w:trPr>
          <w:trHeight w:val="143"/>
          <w:jc w:val="center"/>
        </w:trPr>
        <w:tc>
          <w:tcPr>
            <w:tcW w:w="623" w:type="dxa"/>
            <w:vMerge/>
          </w:tcPr>
          <w:p w14:paraId="3A20EED2"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1C76BB51"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11FCE1C7" w14:textId="77777777" w:rsidR="003B5C1D" w:rsidRPr="00A3002B" w:rsidRDefault="003B5C1D" w:rsidP="00FC3F7B">
            <w:pPr>
              <w:spacing w:after="0"/>
              <w:jc w:val="center"/>
              <w:rPr>
                <w:rFonts w:ascii="Times New Roman" w:hAnsi="Times New Roman"/>
                <w:bCs/>
                <w:iCs/>
                <w:szCs w:val="22"/>
              </w:rPr>
            </w:pPr>
          </w:p>
        </w:tc>
        <w:tc>
          <w:tcPr>
            <w:tcW w:w="1890" w:type="dxa"/>
            <w:vMerge/>
            <w:vAlign w:val="center"/>
          </w:tcPr>
          <w:p w14:paraId="2D6E507B" w14:textId="77777777" w:rsidR="003B5C1D" w:rsidRPr="00A3002B" w:rsidRDefault="003B5C1D" w:rsidP="00FC3F7B">
            <w:pPr>
              <w:spacing w:after="0"/>
              <w:ind w:right="-108"/>
              <w:jc w:val="center"/>
              <w:rPr>
                <w:rFonts w:ascii="Times New Roman" w:hAnsi="Times New Roman"/>
                <w:bCs/>
                <w:iCs/>
                <w:szCs w:val="22"/>
              </w:rPr>
            </w:pPr>
          </w:p>
        </w:tc>
        <w:tc>
          <w:tcPr>
            <w:tcW w:w="720" w:type="dxa"/>
            <w:vMerge/>
            <w:vAlign w:val="center"/>
          </w:tcPr>
          <w:p w14:paraId="7C125991"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67031C8A"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7D6AC68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0450090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0D78456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5A0BB97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0ED7E347"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8FAEAAA" w14:textId="77777777" w:rsidTr="00FC3F7B">
        <w:tblPrEx>
          <w:jc w:val="left"/>
        </w:tblPrEx>
        <w:trPr>
          <w:trHeight w:val="287"/>
        </w:trPr>
        <w:tc>
          <w:tcPr>
            <w:tcW w:w="623" w:type="dxa"/>
            <w:vMerge w:val="restart"/>
          </w:tcPr>
          <w:p w14:paraId="5331C09B"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7.</w:t>
            </w:r>
          </w:p>
        </w:tc>
        <w:tc>
          <w:tcPr>
            <w:tcW w:w="1262" w:type="dxa"/>
            <w:vMerge w:val="restart"/>
          </w:tcPr>
          <w:p w14:paraId="36B6D293" w14:textId="77777777" w:rsidR="003B5C1D" w:rsidRPr="00A3002B" w:rsidRDefault="003B5C1D" w:rsidP="00FC3F7B">
            <w:pPr>
              <w:spacing w:after="0"/>
              <w:ind w:left="-18" w:right="-61"/>
              <w:rPr>
                <w:rFonts w:ascii="Times New Roman" w:hAnsi="Times New Roman"/>
                <w:bCs/>
                <w:iCs/>
                <w:szCs w:val="22"/>
              </w:rPr>
            </w:pPr>
            <w:proofErr w:type="spellStart"/>
            <w:r w:rsidRPr="00A3002B">
              <w:rPr>
                <w:rFonts w:ascii="Times New Roman" w:hAnsi="Times New Roman"/>
                <w:bCs/>
                <w:iCs/>
                <w:szCs w:val="22"/>
              </w:rPr>
              <w:t>Imulin</w:t>
            </w:r>
            <w:proofErr w:type="spellEnd"/>
            <w:r w:rsidRPr="00A3002B">
              <w:rPr>
                <w:rFonts w:ascii="Times New Roman" w:hAnsi="Times New Roman"/>
                <w:bCs/>
                <w:iCs/>
                <w:szCs w:val="22"/>
              </w:rPr>
              <w:t xml:space="preserve"> 20 SL </w:t>
            </w:r>
          </w:p>
        </w:tc>
        <w:tc>
          <w:tcPr>
            <w:tcW w:w="1800" w:type="dxa"/>
            <w:vMerge w:val="restart"/>
          </w:tcPr>
          <w:p w14:paraId="1EB92A32"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Gluphosinate</w:t>
            </w:r>
            <w:proofErr w:type="spellEnd"/>
            <w:r w:rsidRPr="00A3002B">
              <w:rPr>
                <w:rFonts w:ascii="Times New Roman" w:hAnsi="Times New Roman"/>
                <w:bCs/>
                <w:iCs/>
                <w:szCs w:val="22"/>
              </w:rPr>
              <w:t>-ammonium 20%</w:t>
            </w:r>
          </w:p>
        </w:tc>
        <w:tc>
          <w:tcPr>
            <w:tcW w:w="1890" w:type="dxa"/>
            <w:vMerge w:val="restart"/>
          </w:tcPr>
          <w:p w14:paraId="40947D02"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Dhaka Hangzhou Biotechnology </w:t>
            </w:r>
          </w:p>
        </w:tc>
        <w:tc>
          <w:tcPr>
            <w:tcW w:w="720" w:type="dxa"/>
            <w:vMerge w:val="restart"/>
          </w:tcPr>
          <w:p w14:paraId="1B8C7C16"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2.5-3 L/ha</w:t>
            </w:r>
          </w:p>
        </w:tc>
        <w:tc>
          <w:tcPr>
            <w:tcW w:w="3502" w:type="dxa"/>
            <w:vAlign w:val="center"/>
          </w:tcPr>
          <w:p w14:paraId="778120F8"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2FDAC72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82</w:t>
            </w:r>
          </w:p>
        </w:tc>
        <w:tc>
          <w:tcPr>
            <w:tcW w:w="630" w:type="dxa"/>
            <w:vAlign w:val="center"/>
          </w:tcPr>
          <w:p w14:paraId="7716DCC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720" w:type="dxa"/>
            <w:vAlign w:val="center"/>
          </w:tcPr>
          <w:p w14:paraId="4320FF0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63E3D07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35C1057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DC8FA2E" w14:textId="77777777" w:rsidTr="00FC3F7B">
        <w:tblPrEx>
          <w:jc w:val="left"/>
        </w:tblPrEx>
        <w:trPr>
          <w:trHeight w:val="188"/>
        </w:trPr>
        <w:tc>
          <w:tcPr>
            <w:tcW w:w="623" w:type="dxa"/>
            <w:vMerge/>
          </w:tcPr>
          <w:p w14:paraId="5D094616" w14:textId="77777777" w:rsidR="003B5C1D" w:rsidRPr="00A3002B" w:rsidRDefault="003B5C1D" w:rsidP="00FC3F7B">
            <w:pPr>
              <w:spacing w:after="0"/>
              <w:ind w:right="-61"/>
              <w:jc w:val="center"/>
              <w:rPr>
                <w:rFonts w:ascii="Times New Roman" w:hAnsi="Times New Roman"/>
                <w:bCs/>
                <w:iCs/>
                <w:szCs w:val="22"/>
              </w:rPr>
            </w:pPr>
          </w:p>
        </w:tc>
        <w:tc>
          <w:tcPr>
            <w:tcW w:w="1262" w:type="dxa"/>
            <w:vMerge/>
          </w:tcPr>
          <w:p w14:paraId="47D29B06"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759217A2"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0A1959F" w14:textId="77777777" w:rsidR="003B5C1D" w:rsidRPr="00A3002B" w:rsidRDefault="003B5C1D" w:rsidP="00FC3F7B">
            <w:pPr>
              <w:spacing w:after="0"/>
              <w:ind w:right="-108"/>
              <w:rPr>
                <w:rFonts w:ascii="Times New Roman" w:hAnsi="Times New Roman"/>
                <w:bCs/>
                <w:iCs/>
                <w:szCs w:val="22"/>
              </w:rPr>
            </w:pPr>
          </w:p>
        </w:tc>
        <w:tc>
          <w:tcPr>
            <w:tcW w:w="720" w:type="dxa"/>
            <w:vMerge/>
            <w:vAlign w:val="center"/>
          </w:tcPr>
          <w:p w14:paraId="51F59A4D"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562D55E3"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2444C992"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7DF5B34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55EC022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5A1AD4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5245E0AC"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6665DAE" w14:textId="77777777" w:rsidTr="00FC3F7B">
        <w:tblPrEx>
          <w:jc w:val="left"/>
        </w:tblPrEx>
        <w:trPr>
          <w:trHeight w:val="285"/>
        </w:trPr>
        <w:tc>
          <w:tcPr>
            <w:tcW w:w="623" w:type="dxa"/>
            <w:vMerge/>
          </w:tcPr>
          <w:p w14:paraId="02328C6F" w14:textId="77777777" w:rsidR="003B5C1D" w:rsidRPr="00A3002B" w:rsidRDefault="003B5C1D" w:rsidP="00FC3F7B">
            <w:pPr>
              <w:spacing w:after="0"/>
              <w:ind w:left="-18" w:right="-61"/>
              <w:jc w:val="center"/>
              <w:rPr>
                <w:rFonts w:ascii="Times New Roman" w:hAnsi="Times New Roman"/>
                <w:bCs/>
                <w:iCs/>
                <w:szCs w:val="22"/>
              </w:rPr>
            </w:pPr>
          </w:p>
        </w:tc>
        <w:tc>
          <w:tcPr>
            <w:tcW w:w="1262" w:type="dxa"/>
            <w:vMerge/>
          </w:tcPr>
          <w:p w14:paraId="68422A01"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4D526499" w14:textId="77777777" w:rsidR="003B5C1D" w:rsidRPr="00A3002B" w:rsidRDefault="003B5C1D" w:rsidP="00FC3F7B">
            <w:pPr>
              <w:spacing w:after="0"/>
              <w:jc w:val="center"/>
              <w:rPr>
                <w:rFonts w:ascii="Times New Roman" w:hAnsi="Times New Roman"/>
                <w:bCs/>
                <w:iCs/>
                <w:szCs w:val="22"/>
              </w:rPr>
            </w:pPr>
          </w:p>
        </w:tc>
        <w:tc>
          <w:tcPr>
            <w:tcW w:w="1890" w:type="dxa"/>
            <w:vMerge/>
          </w:tcPr>
          <w:p w14:paraId="6CEA1234" w14:textId="77777777" w:rsidR="003B5C1D" w:rsidRPr="00A3002B" w:rsidRDefault="003B5C1D" w:rsidP="00FC3F7B">
            <w:pPr>
              <w:spacing w:after="0"/>
              <w:ind w:right="-108"/>
              <w:rPr>
                <w:rFonts w:ascii="Times New Roman" w:hAnsi="Times New Roman"/>
                <w:bCs/>
                <w:iCs/>
                <w:szCs w:val="22"/>
              </w:rPr>
            </w:pPr>
          </w:p>
        </w:tc>
        <w:tc>
          <w:tcPr>
            <w:tcW w:w="720" w:type="dxa"/>
            <w:vMerge/>
          </w:tcPr>
          <w:p w14:paraId="6AC93FD0"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45A1F032"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70887BB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3EFEF53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56133CB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3B0E0A1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24A699C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27F050A" w14:textId="77777777" w:rsidTr="00FC3F7B">
        <w:tblPrEx>
          <w:jc w:val="left"/>
        </w:tblPrEx>
        <w:trPr>
          <w:trHeight w:val="250"/>
        </w:trPr>
        <w:tc>
          <w:tcPr>
            <w:tcW w:w="623" w:type="dxa"/>
            <w:vMerge w:val="restart"/>
          </w:tcPr>
          <w:p w14:paraId="4024B5C0"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8.</w:t>
            </w:r>
          </w:p>
        </w:tc>
        <w:tc>
          <w:tcPr>
            <w:tcW w:w="1262" w:type="dxa"/>
            <w:vMerge w:val="restart"/>
          </w:tcPr>
          <w:p w14:paraId="5B5D62E9"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Windup 20 EC </w:t>
            </w:r>
          </w:p>
        </w:tc>
        <w:tc>
          <w:tcPr>
            <w:tcW w:w="1800" w:type="dxa"/>
            <w:vMerge w:val="restart"/>
          </w:tcPr>
          <w:p w14:paraId="28A86E85"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Benzolyprop</w:t>
            </w:r>
            <w:proofErr w:type="spellEnd"/>
            <w:r w:rsidRPr="00A3002B">
              <w:rPr>
                <w:rFonts w:ascii="Times New Roman" w:hAnsi="Times New Roman"/>
                <w:bCs/>
                <w:iCs/>
                <w:szCs w:val="22"/>
              </w:rPr>
              <w:t xml:space="preserve">-ethyl 20% </w:t>
            </w:r>
          </w:p>
        </w:tc>
        <w:tc>
          <w:tcPr>
            <w:tcW w:w="1890" w:type="dxa"/>
            <w:vMerge w:val="restart"/>
          </w:tcPr>
          <w:p w14:paraId="60A4B10B"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Xplore</w:t>
            </w:r>
          </w:p>
        </w:tc>
        <w:tc>
          <w:tcPr>
            <w:tcW w:w="720" w:type="dxa"/>
            <w:vMerge w:val="restart"/>
          </w:tcPr>
          <w:p w14:paraId="2928CCD6"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600 ml/ha</w:t>
            </w:r>
          </w:p>
        </w:tc>
        <w:tc>
          <w:tcPr>
            <w:tcW w:w="3502" w:type="dxa"/>
            <w:vAlign w:val="center"/>
          </w:tcPr>
          <w:p w14:paraId="1D46FF6B"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47C15EE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60626BC7"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82</w:t>
            </w:r>
          </w:p>
        </w:tc>
        <w:tc>
          <w:tcPr>
            <w:tcW w:w="720" w:type="dxa"/>
            <w:vAlign w:val="center"/>
          </w:tcPr>
          <w:p w14:paraId="3ACDA36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7E02BF1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4A6AE92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A3D557B" w14:textId="77777777" w:rsidTr="00FC3F7B">
        <w:tblPrEx>
          <w:jc w:val="left"/>
        </w:tblPrEx>
        <w:trPr>
          <w:trHeight w:val="158"/>
        </w:trPr>
        <w:tc>
          <w:tcPr>
            <w:tcW w:w="623" w:type="dxa"/>
            <w:vMerge/>
          </w:tcPr>
          <w:p w14:paraId="5DF106E1"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02A1D311"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152AD7D2" w14:textId="77777777" w:rsidR="003B5C1D" w:rsidRPr="00A3002B" w:rsidRDefault="003B5C1D" w:rsidP="00FC3F7B">
            <w:pPr>
              <w:spacing w:after="0"/>
              <w:jc w:val="center"/>
              <w:rPr>
                <w:rFonts w:ascii="Times New Roman" w:hAnsi="Times New Roman"/>
                <w:bCs/>
                <w:iCs/>
                <w:szCs w:val="22"/>
              </w:rPr>
            </w:pPr>
          </w:p>
        </w:tc>
        <w:tc>
          <w:tcPr>
            <w:tcW w:w="1890" w:type="dxa"/>
            <w:vMerge/>
          </w:tcPr>
          <w:p w14:paraId="27A63FF3" w14:textId="77777777" w:rsidR="003B5C1D" w:rsidRPr="00A3002B" w:rsidRDefault="003B5C1D" w:rsidP="00FC3F7B">
            <w:pPr>
              <w:spacing w:after="0"/>
              <w:ind w:left="-65" w:right="-108" w:firstLine="47"/>
              <w:jc w:val="center"/>
              <w:rPr>
                <w:rFonts w:ascii="Times New Roman" w:hAnsi="Times New Roman"/>
                <w:bCs/>
                <w:iCs/>
                <w:szCs w:val="22"/>
              </w:rPr>
            </w:pPr>
          </w:p>
        </w:tc>
        <w:tc>
          <w:tcPr>
            <w:tcW w:w="720" w:type="dxa"/>
            <w:vMerge/>
            <w:vAlign w:val="center"/>
          </w:tcPr>
          <w:p w14:paraId="2FF021A6"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2A47A503"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1992376A"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1964906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85</w:t>
            </w:r>
          </w:p>
        </w:tc>
        <w:tc>
          <w:tcPr>
            <w:tcW w:w="720" w:type="dxa"/>
            <w:vAlign w:val="center"/>
          </w:tcPr>
          <w:p w14:paraId="4203E64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2AA51F9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1BBA6EE7"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342E76B9" w14:textId="77777777" w:rsidTr="00FC3F7B">
        <w:tblPrEx>
          <w:jc w:val="left"/>
        </w:tblPrEx>
        <w:trPr>
          <w:trHeight w:val="250"/>
        </w:trPr>
        <w:tc>
          <w:tcPr>
            <w:tcW w:w="623" w:type="dxa"/>
            <w:vMerge w:val="restart"/>
          </w:tcPr>
          <w:p w14:paraId="7E05270C"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  9.</w:t>
            </w:r>
          </w:p>
        </w:tc>
        <w:tc>
          <w:tcPr>
            <w:tcW w:w="1262" w:type="dxa"/>
            <w:vMerge w:val="restart"/>
          </w:tcPr>
          <w:p w14:paraId="26B7EF9F" w14:textId="77777777" w:rsidR="003B5C1D" w:rsidRPr="00A3002B" w:rsidRDefault="003B5C1D" w:rsidP="00FC3F7B">
            <w:pPr>
              <w:spacing w:after="0"/>
              <w:ind w:right="-108"/>
              <w:rPr>
                <w:rFonts w:ascii="Times New Roman" w:hAnsi="Times New Roman"/>
                <w:bCs/>
                <w:iCs/>
                <w:szCs w:val="22"/>
              </w:rPr>
            </w:pPr>
            <w:proofErr w:type="spellStart"/>
            <w:r w:rsidRPr="00A3002B">
              <w:rPr>
                <w:rFonts w:ascii="Times New Roman" w:hAnsi="Times New Roman"/>
                <w:bCs/>
                <w:iCs/>
                <w:szCs w:val="22"/>
              </w:rPr>
              <w:t>Emifit</w:t>
            </w:r>
            <w:proofErr w:type="spellEnd"/>
            <w:r w:rsidRPr="00A3002B">
              <w:rPr>
                <w:rFonts w:ascii="Times New Roman" w:hAnsi="Times New Roman"/>
                <w:bCs/>
                <w:iCs/>
                <w:szCs w:val="22"/>
              </w:rPr>
              <w:t xml:space="preserve"> 50 EC </w:t>
            </w:r>
          </w:p>
        </w:tc>
        <w:tc>
          <w:tcPr>
            <w:tcW w:w="1800" w:type="dxa"/>
            <w:vMerge w:val="restart"/>
          </w:tcPr>
          <w:p w14:paraId="79706EC4"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Pretilachlor 50%</w:t>
            </w:r>
          </w:p>
        </w:tc>
        <w:tc>
          <w:tcPr>
            <w:tcW w:w="1890" w:type="dxa"/>
            <w:vMerge w:val="restart"/>
          </w:tcPr>
          <w:p w14:paraId="69564465" w14:textId="77777777" w:rsidR="003B5C1D" w:rsidRPr="00A3002B" w:rsidRDefault="003B5C1D" w:rsidP="00FC3F7B">
            <w:pPr>
              <w:spacing w:after="0"/>
              <w:ind w:left="-104" w:right="-108"/>
              <w:rPr>
                <w:rFonts w:ascii="Times New Roman" w:hAnsi="Times New Roman"/>
                <w:sz w:val="20"/>
                <w:szCs w:val="20"/>
              </w:rPr>
            </w:pPr>
            <w:r w:rsidRPr="00A3002B">
              <w:rPr>
                <w:rFonts w:ascii="Times New Roman" w:hAnsi="Times New Roman"/>
                <w:bCs/>
                <w:iCs/>
                <w:szCs w:val="22"/>
              </w:rPr>
              <w:t>Eminence Chemical Industries Ltd.</w:t>
            </w:r>
          </w:p>
        </w:tc>
        <w:tc>
          <w:tcPr>
            <w:tcW w:w="720" w:type="dxa"/>
            <w:vMerge w:val="restart"/>
          </w:tcPr>
          <w:p w14:paraId="2D8AC5D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1.5-2 L/ha</w:t>
            </w:r>
          </w:p>
        </w:tc>
        <w:tc>
          <w:tcPr>
            <w:tcW w:w="3502" w:type="dxa"/>
            <w:vAlign w:val="center"/>
          </w:tcPr>
          <w:p w14:paraId="3FD37E5A"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2FA3089B"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1C8DE7D8"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82</w:t>
            </w:r>
          </w:p>
        </w:tc>
        <w:tc>
          <w:tcPr>
            <w:tcW w:w="720" w:type="dxa"/>
            <w:vAlign w:val="center"/>
          </w:tcPr>
          <w:p w14:paraId="0B04128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630" w:type="dxa"/>
            <w:vAlign w:val="center"/>
          </w:tcPr>
          <w:p w14:paraId="36477C5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6F79F164"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ABD9502" w14:textId="77777777" w:rsidTr="00FC3F7B">
        <w:tblPrEx>
          <w:jc w:val="left"/>
        </w:tblPrEx>
        <w:trPr>
          <w:trHeight w:val="221"/>
        </w:trPr>
        <w:tc>
          <w:tcPr>
            <w:tcW w:w="623" w:type="dxa"/>
            <w:vMerge/>
          </w:tcPr>
          <w:p w14:paraId="758D7889"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4F561E19"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35CD8883" w14:textId="77777777" w:rsidR="003B5C1D" w:rsidRPr="00A3002B" w:rsidRDefault="003B5C1D" w:rsidP="00FC3F7B">
            <w:pPr>
              <w:spacing w:after="0"/>
              <w:jc w:val="center"/>
              <w:rPr>
                <w:rFonts w:ascii="Times New Roman" w:hAnsi="Times New Roman"/>
                <w:bCs/>
                <w:iCs/>
                <w:szCs w:val="22"/>
              </w:rPr>
            </w:pPr>
          </w:p>
        </w:tc>
        <w:tc>
          <w:tcPr>
            <w:tcW w:w="1890" w:type="dxa"/>
            <w:vMerge/>
          </w:tcPr>
          <w:p w14:paraId="28FAE4DB"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3C2A622D"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4105302A"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7F159099"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84</w:t>
            </w:r>
          </w:p>
        </w:tc>
        <w:tc>
          <w:tcPr>
            <w:tcW w:w="630" w:type="dxa"/>
            <w:vAlign w:val="center"/>
          </w:tcPr>
          <w:p w14:paraId="7959398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6F00413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77D2A0B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666D50B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FB946AA" w14:textId="77777777" w:rsidTr="00FC3F7B">
        <w:tblPrEx>
          <w:jc w:val="left"/>
        </w:tblPrEx>
        <w:trPr>
          <w:trHeight w:val="221"/>
        </w:trPr>
        <w:tc>
          <w:tcPr>
            <w:tcW w:w="623" w:type="dxa"/>
            <w:vMerge w:val="restart"/>
          </w:tcPr>
          <w:p w14:paraId="260A2720"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10.</w:t>
            </w:r>
          </w:p>
        </w:tc>
        <w:tc>
          <w:tcPr>
            <w:tcW w:w="1262" w:type="dxa"/>
            <w:vMerge w:val="restart"/>
          </w:tcPr>
          <w:p w14:paraId="6E8BAF58"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Raker 21 OD </w:t>
            </w:r>
          </w:p>
        </w:tc>
        <w:tc>
          <w:tcPr>
            <w:tcW w:w="1800" w:type="dxa"/>
            <w:vMerge w:val="restart"/>
          </w:tcPr>
          <w:p w14:paraId="7FD2B010" w14:textId="77777777" w:rsidR="003B5C1D" w:rsidRPr="00A3002B" w:rsidRDefault="003B5C1D" w:rsidP="00FC3F7B">
            <w:pPr>
              <w:spacing w:after="0"/>
              <w:ind w:left="-104" w:right="-195"/>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 xml:space="preserve">-p-ethyl 12% + Ethoxy </w:t>
            </w:r>
            <w:proofErr w:type="spellStart"/>
            <w:r w:rsidRPr="00A3002B">
              <w:rPr>
                <w:rFonts w:ascii="Times New Roman" w:hAnsi="Times New Roman"/>
                <w:bCs/>
                <w:iCs/>
                <w:szCs w:val="22"/>
              </w:rPr>
              <w:t>sulfuran</w:t>
            </w:r>
            <w:proofErr w:type="spellEnd"/>
            <w:r w:rsidRPr="00A3002B">
              <w:rPr>
                <w:rFonts w:ascii="Times New Roman" w:hAnsi="Times New Roman"/>
                <w:bCs/>
                <w:iCs/>
                <w:szCs w:val="22"/>
              </w:rPr>
              <w:t xml:space="preserve"> 9%</w:t>
            </w:r>
          </w:p>
        </w:tc>
        <w:tc>
          <w:tcPr>
            <w:tcW w:w="1890" w:type="dxa"/>
            <w:vMerge w:val="restart"/>
          </w:tcPr>
          <w:p w14:paraId="50B941A2" w14:textId="77777777" w:rsidR="003B5C1D" w:rsidRPr="00A3002B" w:rsidRDefault="003B5C1D" w:rsidP="00FC3F7B">
            <w:pPr>
              <w:spacing w:after="0"/>
              <w:ind w:left="-65" w:right="-108" w:firstLine="47"/>
              <w:rPr>
                <w:rFonts w:ascii="Times New Roman" w:hAnsi="Times New Roman"/>
                <w:szCs w:val="22"/>
              </w:rPr>
            </w:pPr>
            <w:r w:rsidRPr="00A3002B">
              <w:rPr>
                <w:rFonts w:ascii="Times New Roman" w:hAnsi="Times New Roman"/>
                <w:szCs w:val="22"/>
              </w:rPr>
              <w:t>Roof Crop care Ltd.</w:t>
            </w:r>
          </w:p>
        </w:tc>
        <w:tc>
          <w:tcPr>
            <w:tcW w:w="720" w:type="dxa"/>
            <w:vMerge w:val="restart"/>
          </w:tcPr>
          <w:p w14:paraId="6E17CC6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220867A0"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377C3C9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342C5F8B"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255A1B4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0CD667F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185E2B8C"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90CF5D2" w14:textId="77777777" w:rsidTr="00FC3F7B">
        <w:tblPrEx>
          <w:jc w:val="left"/>
        </w:tblPrEx>
        <w:trPr>
          <w:trHeight w:val="572"/>
        </w:trPr>
        <w:tc>
          <w:tcPr>
            <w:tcW w:w="623" w:type="dxa"/>
            <w:vMerge/>
          </w:tcPr>
          <w:p w14:paraId="31D8D96D"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719F333"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6993EC1A" w14:textId="77777777" w:rsidR="003B5C1D" w:rsidRPr="00A3002B" w:rsidRDefault="003B5C1D" w:rsidP="00FC3F7B">
            <w:pPr>
              <w:spacing w:after="0"/>
              <w:jc w:val="center"/>
              <w:rPr>
                <w:rFonts w:ascii="Times New Roman" w:hAnsi="Times New Roman"/>
                <w:bCs/>
                <w:iCs/>
                <w:szCs w:val="22"/>
              </w:rPr>
            </w:pPr>
          </w:p>
        </w:tc>
        <w:tc>
          <w:tcPr>
            <w:tcW w:w="1890" w:type="dxa"/>
            <w:vMerge/>
          </w:tcPr>
          <w:p w14:paraId="6AD595F5"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1EE6C327"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15D97F6B"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53F9F3F4"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3710A77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14F45EB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7DE1481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4697CFD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A2D84CE" w14:textId="77777777" w:rsidTr="00FC3F7B">
        <w:tblPrEx>
          <w:jc w:val="left"/>
        </w:tblPrEx>
        <w:trPr>
          <w:trHeight w:val="441"/>
        </w:trPr>
        <w:tc>
          <w:tcPr>
            <w:tcW w:w="623" w:type="dxa"/>
            <w:vMerge w:val="restart"/>
          </w:tcPr>
          <w:p w14:paraId="113F5228"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lastRenderedPageBreak/>
              <w:t>11.</w:t>
            </w:r>
          </w:p>
          <w:p w14:paraId="453F8C57" w14:textId="77777777" w:rsidR="003B5C1D" w:rsidRPr="00A3002B" w:rsidRDefault="003B5C1D" w:rsidP="00FC3F7B">
            <w:pPr>
              <w:spacing w:after="0"/>
              <w:ind w:right="-108"/>
              <w:jc w:val="center"/>
              <w:rPr>
                <w:rFonts w:ascii="Times New Roman" w:hAnsi="Times New Roman"/>
                <w:bCs/>
                <w:iCs/>
                <w:szCs w:val="22"/>
              </w:rPr>
            </w:pPr>
          </w:p>
        </w:tc>
        <w:tc>
          <w:tcPr>
            <w:tcW w:w="1262" w:type="dxa"/>
            <w:vMerge w:val="restart"/>
          </w:tcPr>
          <w:p w14:paraId="31F7CE35" w14:textId="77777777" w:rsidR="003B5C1D" w:rsidRPr="00A3002B" w:rsidRDefault="003B5C1D" w:rsidP="00FC3F7B">
            <w:pPr>
              <w:spacing w:after="0"/>
              <w:ind w:right="-108"/>
              <w:rPr>
                <w:rFonts w:ascii="Times New Roman" w:hAnsi="Times New Roman"/>
                <w:bCs/>
                <w:iCs/>
                <w:szCs w:val="22"/>
              </w:rPr>
            </w:pPr>
            <w:proofErr w:type="spellStart"/>
            <w:r w:rsidRPr="00A3002B">
              <w:rPr>
                <w:rFonts w:ascii="Times New Roman" w:hAnsi="Times New Roman"/>
                <w:bCs/>
                <w:iCs/>
                <w:szCs w:val="22"/>
              </w:rPr>
              <w:t>Raxil</w:t>
            </w:r>
            <w:proofErr w:type="spellEnd"/>
            <w:r w:rsidRPr="00A3002B">
              <w:rPr>
                <w:rFonts w:ascii="Times New Roman" w:hAnsi="Times New Roman"/>
                <w:bCs/>
                <w:iCs/>
                <w:szCs w:val="22"/>
              </w:rPr>
              <w:t xml:space="preserve"> 50 EC </w:t>
            </w:r>
          </w:p>
        </w:tc>
        <w:tc>
          <w:tcPr>
            <w:tcW w:w="1800" w:type="dxa"/>
            <w:vMerge w:val="restart"/>
          </w:tcPr>
          <w:p w14:paraId="0AAE909D"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50%</w:t>
            </w:r>
          </w:p>
        </w:tc>
        <w:tc>
          <w:tcPr>
            <w:tcW w:w="1890" w:type="dxa"/>
            <w:vMerge w:val="restart"/>
          </w:tcPr>
          <w:p w14:paraId="65EE83D7" w14:textId="77777777" w:rsidR="003B5C1D" w:rsidRPr="00A3002B" w:rsidRDefault="003B5C1D" w:rsidP="00FC3F7B">
            <w:pPr>
              <w:spacing w:after="0"/>
              <w:ind w:right="-108"/>
              <w:rPr>
                <w:rFonts w:ascii="Times New Roman" w:hAnsi="Times New Roman"/>
                <w:szCs w:val="22"/>
              </w:rPr>
            </w:pPr>
            <w:r w:rsidRPr="00A3002B">
              <w:rPr>
                <w:rFonts w:ascii="Times New Roman" w:hAnsi="Times New Roman"/>
                <w:szCs w:val="22"/>
              </w:rPr>
              <w:t xml:space="preserve">RAS </w:t>
            </w:r>
            <w:proofErr w:type="spellStart"/>
            <w:r w:rsidRPr="00A3002B">
              <w:rPr>
                <w:rFonts w:ascii="Times New Roman" w:hAnsi="Times New Roman"/>
                <w:szCs w:val="22"/>
              </w:rPr>
              <w:t>Agro</w:t>
            </w:r>
            <w:proofErr w:type="spellEnd"/>
            <w:r w:rsidRPr="00A3002B">
              <w:rPr>
                <w:rFonts w:ascii="Times New Roman" w:hAnsi="Times New Roman"/>
                <w:szCs w:val="22"/>
              </w:rPr>
              <w:t xml:space="preserve"> Industries</w:t>
            </w:r>
          </w:p>
        </w:tc>
        <w:tc>
          <w:tcPr>
            <w:tcW w:w="720" w:type="dxa"/>
            <w:vMerge w:val="restart"/>
          </w:tcPr>
          <w:p w14:paraId="0A44C0C6"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300 ml/ha</w:t>
            </w:r>
          </w:p>
        </w:tc>
        <w:tc>
          <w:tcPr>
            <w:tcW w:w="3502" w:type="dxa"/>
            <w:vAlign w:val="center"/>
          </w:tcPr>
          <w:p w14:paraId="0AA43477"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587D661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5DC338C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720" w:type="dxa"/>
            <w:vAlign w:val="center"/>
          </w:tcPr>
          <w:p w14:paraId="2567219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0081314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1263" w:type="dxa"/>
            <w:vAlign w:val="center"/>
          </w:tcPr>
          <w:p w14:paraId="774CD8FE"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3CFC0D8E" w14:textId="77777777" w:rsidTr="00FC3F7B">
        <w:tblPrEx>
          <w:jc w:val="left"/>
        </w:tblPrEx>
        <w:trPr>
          <w:trHeight w:val="214"/>
        </w:trPr>
        <w:tc>
          <w:tcPr>
            <w:tcW w:w="623" w:type="dxa"/>
            <w:vMerge/>
          </w:tcPr>
          <w:p w14:paraId="1F4CB3DF"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5C9D2E1A" w14:textId="77777777" w:rsidR="003B5C1D" w:rsidRPr="00A3002B" w:rsidRDefault="003B5C1D" w:rsidP="00FC3F7B">
            <w:pPr>
              <w:spacing w:after="0"/>
              <w:ind w:right="-108"/>
              <w:rPr>
                <w:rFonts w:ascii="Times New Roman" w:hAnsi="Times New Roman"/>
                <w:bCs/>
                <w:iCs/>
                <w:szCs w:val="22"/>
              </w:rPr>
            </w:pPr>
          </w:p>
        </w:tc>
        <w:tc>
          <w:tcPr>
            <w:tcW w:w="1800" w:type="dxa"/>
            <w:vMerge/>
          </w:tcPr>
          <w:p w14:paraId="14FE8F36"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4C8D673" w14:textId="77777777" w:rsidR="003B5C1D" w:rsidRPr="00A3002B" w:rsidRDefault="003B5C1D" w:rsidP="00FC3F7B">
            <w:pPr>
              <w:spacing w:after="0"/>
              <w:ind w:right="-108"/>
              <w:rPr>
                <w:rFonts w:ascii="Times New Roman" w:hAnsi="Times New Roman"/>
                <w:szCs w:val="22"/>
              </w:rPr>
            </w:pPr>
          </w:p>
        </w:tc>
        <w:tc>
          <w:tcPr>
            <w:tcW w:w="720" w:type="dxa"/>
            <w:vMerge/>
          </w:tcPr>
          <w:p w14:paraId="27D7A65D"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1715F430"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Durba</w:t>
            </w:r>
            <w:proofErr w:type="spellEnd"/>
            <w:r w:rsidRPr="00A3002B">
              <w:rPr>
                <w:rFonts w:ascii="Times New Roman" w:hAnsi="Times New Roman"/>
                <w:b/>
                <w:szCs w:val="22"/>
              </w:rPr>
              <w:t xml:space="preserve"> </w:t>
            </w:r>
            <w:r w:rsidRPr="00A3002B">
              <w:rPr>
                <w:rFonts w:ascii="Times New Roman" w:hAnsi="Times New Roman"/>
                <w:bCs/>
                <w:i/>
                <w:iCs/>
                <w:szCs w:val="22"/>
              </w:rPr>
              <w:t>(</w:t>
            </w:r>
            <w:proofErr w:type="spellStart"/>
            <w:r w:rsidRPr="00A3002B">
              <w:rPr>
                <w:rFonts w:ascii="Times New Roman" w:hAnsi="Times New Roman"/>
                <w:bCs/>
                <w:i/>
                <w:iCs/>
                <w:szCs w:val="22"/>
              </w:rPr>
              <w:t>Cynodon</w:t>
            </w:r>
            <w:proofErr w:type="spellEnd"/>
            <w:r w:rsidRPr="00A3002B">
              <w:rPr>
                <w:rFonts w:ascii="Times New Roman" w:hAnsi="Times New Roman"/>
                <w:bCs/>
                <w:i/>
                <w:iCs/>
                <w:szCs w:val="22"/>
              </w:rPr>
              <w:t xml:space="preserve"> </w:t>
            </w:r>
            <w:proofErr w:type="spellStart"/>
            <w:r w:rsidRPr="00A3002B">
              <w:rPr>
                <w:rFonts w:ascii="Times New Roman" w:hAnsi="Times New Roman"/>
                <w:bCs/>
                <w:i/>
                <w:iCs/>
                <w:szCs w:val="22"/>
              </w:rPr>
              <w:t>dactylon</w:t>
            </w:r>
            <w:proofErr w:type="spellEnd"/>
            <w:r w:rsidRPr="00A3002B">
              <w:rPr>
                <w:rFonts w:ascii="Times New Roman" w:hAnsi="Times New Roman"/>
                <w:bCs/>
                <w:i/>
                <w:iCs/>
                <w:szCs w:val="22"/>
              </w:rPr>
              <w:t>)</w:t>
            </w:r>
          </w:p>
        </w:tc>
        <w:tc>
          <w:tcPr>
            <w:tcW w:w="635" w:type="dxa"/>
            <w:vAlign w:val="center"/>
          </w:tcPr>
          <w:p w14:paraId="404583F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45E4933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6CF081D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61B10AC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5FF7B58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A8FE0DB" w14:textId="77777777" w:rsidTr="00FC3F7B">
        <w:tblPrEx>
          <w:jc w:val="left"/>
        </w:tblPrEx>
        <w:trPr>
          <w:trHeight w:val="223"/>
        </w:trPr>
        <w:tc>
          <w:tcPr>
            <w:tcW w:w="623" w:type="dxa"/>
            <w:vMerge/>
          </w:tcPr>
          <w:p w14:paraId="2CA0D0B0"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3072AA15" w14:textId="77777777" w:rsidR="003B5C1D" w:rsidRPr="00A3002B" w:rsidRDefault="003B5C1D" w:rsidP="00FC3F7B">
            <w:pPr>
              <w:spacing w:after="0"/>
              <w:ind w:right="-108"/>
              <w:rPr>
                <w:rFonts w:ascii="Times New Roman" w:hAnsi="Times New Roman"/>
                <w:bCs/>
                <w:iCs/>
                <w:szCs w:val="22"/>
              </w:rPr>
            </w:pPr>
          </w:p>
        </w:tc>
        <w:tc>
          <w:tcPr>
            <w:tcW w:w="1800" w:type="dxa"/>
            <w:vMerge/>
          </w:tcPr>
          <w:p w14:paraId="39F3BFAC" w14:textId="77777777" w:rsidR="003B5C1D" w:rsidRPr="00A3002B" w:rsidRDefault="003B5C1D" w:rsidP="00FC3F7B">
            <w:pPr>
              <w:spacing w:after="0"/>
              <w:jc w:val="center"/>
              <w:rPr>
                <w:rFonts w:ascii="Times New Roman" w:hAnsi="Times New Roman"/>
                <w:bCs/>
                <w:iCs/>
                <w:szCs w:val="22"/>
              </w:rPr>
            </w:pPr>
          </w:p>
        </w:tc>
        <w:tc>
          <w:tcPr>
            <w:tcW w:w="1890" w:type="dxa"/>
            <w:vMerge/>
          </w:tcPr>
          <w:p w14:paraId="570CED5E" w14:textId="77777777" w:rsidR="003B5C1D" w:rsidRPr="00A3002B" w:rsidRDefault="003B5C1D" w:rsidP="00FC3F7B">
            <w:pPr>
              <w:spacing w:after="0"/>
              <w:ind w:right="-108"/>
              <w:rPr>
                <w:rFonts w:ascii="Times New Roman" w:hAnsi="Times New Roman"/>
                <w:szCs w:val="22"/>
              </w:rPr>
            </w:pPr>
          </w:p>
        </w:tc>
        <w:tc>
          <w:tcPr>
            <w:tcW w:w="720" w:type="dxa"/>
            <w:vMerge/>
          </w:tcPr>
          <w:p w14:paraId="25FB1EB8"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2DD63E14"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bCs/>
                <w:szCs w:val="22"/>
              </w:rPr>
              <w:t>Chapra</w:t>
            </w:r>
            <w:proofErr w:type="spellEnd"/>
            <w:r w:rsidRPr="00A3002B">
              <w:rPr>
                <w:rFonts w:ascii="Times New Roman" w:hAnsi="Times New Roman"/>
                <w:szCs w:val="22"/>
              </w:rPr>
              <w:t xml:space="preserve"> </w:t>
            </w:r>
            <w:r w:rsidRPr="00A3002B">
              <w:rPr>
                <w:rFonts w:ascii="Times New Roman" w:hAnsi="Times New Roman"/>
                <w:i/>
                <w:iCs/>
                <w:szCs w:val="22"/>
              </w:rPr>
              <w:t>(</w:t>
            </w:r>
            <w:proofErr w:type="spellStart"/>
            <w:r w:rsidRPr="00A3002B">
              <w:rPr>
                <w:rFonts w:ascii="Times New Roman" w:hAnsi="Times New Roman"/>
                <w:i/>
                <w:iCs/>
                <w:szCs w:val="22"/>
              </w:rPr>
              <w:t>Eleusine</w:t>
            </w:r>
            <w:proofErr w:type="spellEnd"/>
            <w:r w:rsidRPr="00A3002B">
              <w:rPr>
                <w:rFonts w:ascii="Times New Roman" w:hAnsi="Times New Roman"/>
                <w:i/>
                <w:iCs/>
                <w:szCs w:val="22"/>
              </w:rPr>
              <w:t xml:space="preserve"> </w:t>
            </w:r>
            <w:proofErr w:type="spellStart"/>
            <w:r w:rsidRPr="00A3002B">
              <w:rPr>
                <w:rFonts w:ascii="Times New Roman" w:hAnsi="Times New Roman"/>
                <w:i/>
                <w:iCs/>
                <w:szCs w:val="22"/>
              </w:rPr>
              <w:t>indica</w:t>
            </w:r>
            <w:proofErr w:type="spellEnd"/>
            <w:r w:rsidRPr="00A3002B">
              <w:rPr>
                <w:rFonts w:ascii="Times New Roman" w:hAnsi="Times New Roman"/>
                <w:i/>
                <w:iCs/>
                <w:szCs w:val="22"/>
              </w:rPr>
              <w:t>)</w:t>
            </w:r>
          </w:p>
        </w:tc>
        <w:tc>
          <w:tcPr>
            <w:tcW w:w="635" w:type="dxa"/>
            <w:vAlign w:val="center"/>
          </w:tcPr>
          <w:p w14:paraId="0F1858D0"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3413EB5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7B38694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3E2ADE1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0D9725C0"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57121DB" w14:textId="77777777" w:rsidTr="00FC3F7B">
        <w:tblPrEx>
          <w:jc w:val="left"/>
        </w:tblPrEx>
        <w:trPr>
          <w:trHeight w:val="119"/>
        </w:trPr>
        <w:tc>
          <w:tcPr>
            <w:tcW w:w="623" w:type="dxa"/>
            <w:vMerge w:val="restart"/>
          </w:tcPr>
          <w:p w14:paraId="7CB234E8"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12.</w:t>
            </w:r>
          </w:p>
        </w:tc>
        <w:tc>
          <w:tcPr>
            <w:tcW w:w="1262" w:type="dxa"/>
            <w:vMerge w:val="restart"/>
          </w:tcPr>
          <w:p w14:paraId="5BA49227"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Cutter 50 EC </w:t>
            </w:r>
          </w:p>
        </w:tc>
        <w:tc>
          <w:tcPr>
            <w:tcW w:w="1800" w:type="dxa"/>
            <w:vMerge w:val="restart"/>
          </w:tcPr>
          <w:p w14:paraId="5387D555"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50%</w:t>
            </w:r>
          </w:p>
        </w:tc>
        <w:tc>
          <w:tcPr>
            <w:tcW w:w="1890" w:type="dxa"/>
            <w:vMerge w:val="restart"/>
          </w:tcPr>
          <w:p w14:paraId="1D0FFEB0" w14:textId="77777777" w:rsidR="003B5C1D" w:rsidRPr="00A3002B" w:rsidRDefault="003B5C1D" w:rsidP="00FC3F7B">
            <w:pPr>
              <w:spacing w:after="0"/>
              <w:ind w:right="-108"/>
              <w:rPr>
                <w:rFonts w:ascii="Times New Roman" w:hAnsi="Times New Roman"/>
                <w:szCs w:val="22"/>
              </w:rPr>
            </w:pPr>
            <w:r w:rsidRPr="00A3002B">
              <w:rPr>
                <w:rFonts w:ascii="Times New Roman" w:hAnsi="Times New Roman"/>
                <w:szCs w:val="22"/>
              </w:rPr>
              <w:t>Crop Protection &amp; Care Centre</w:t>
            </w:r>
          </w:p>
        </w:tc>
        <w:tc>
          <w:tcPr>
            <w:tcW w:w="720" w:type="dxa"/>
            <w:vMerge w:val="restart"/>
            <w:vAlign w:val="center"/>
          </w:tcPr>
          <w:p w14:paraId="09AA737E"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300 ml/ha</w:t>
            </w:r>
          </w:p>
        </w:tc>
        <w:tc>
          <w:tcPr>
            <w:tcW w:w="3502" w:type="dxa"/>
            <w:vAlign w:val="center"/>
          </w:tcPr>
          <w:p w14:paraId="6B1D5C2C"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Durba</w:t>
            </w:r>
            <w:proofErr w:type="spellEnd"/>
            <w:r w:rsidRPr="00A3002B">
              <w:rPr>
                <w:rFonts w:ascii="Times New Roman" w:hAnsi="Times New Roman"/>
                <w:b/>
                <w:szCs w:val="22"/>
              </w:rPr>
              <w:t xml:space="preserve"> </w:t>
            </w:r>
            <w:r w:rsidRPr="00A3002B">
              <w:rPr>
                <w:rFonts w:ascii="Times New Roman" w:hAnsi="Times New Roman"/>
                <w:bCs/>
                <w:i/>
                <w:iCs/>
                <w:szCs w:val="22"/>
              </w:rPr>
              <w:t>(</w:t>
            </w:r>
            <w:proofErr w:type="spellStart"/>
            <w:r w:rsidRPr="00A3002B">
              <w:rPr>
                <w:rFonts w:ascii="Times New Roman" w:hAnsi="Times New Roman"/>
                <w:bCs/>
                <w:i/>
                <w:iCs/>
                <w:szCs w:val="22"/>
              </w:rPr>
              <w:t>Cynodon</w:t>
            </w:r>
            <w:proofErr w:type="spellEnd"/>
            <w:r w:rsidRPr="00A3002B">
              <w:rPr>
                <w:rFonts w:ascii="Times New Roman" w:hAnsi="Times New Roman"/>
                <w:bCs/>
                <w:i/>
                <w:iCs/>
                <w:szCs w:val="22"/>
              </w:rPr>
              <w:t xml:space="preserve"> </w:t>
            </w:r>
            <w:proofErr w:type="spellStart"/>
            <w:r w:rsidRPr="00A3002B">
              <w:rPr>
                <w:rFonts w:ascii="Times New Roman" w:hAnsi="Times New Roman"/>
                <w:bCs/>
                <w:i/>
                <w:iCs/>
                <w:szCs w:val="22"/>
              </w:rPr>
              <w:t>dactylon</w:t>
            </w:r>
            <w:proofErr w:type="spellEnd"/>
            <w:r w:rsidRPr="00A3002B">
              <w:rPr>
                <w:rFonts w:ascii="Times New Roman" w:hAnsi="Times New Roman"/>
                <w:bCs/>
                <w:i/>
                <w:iCs/>
                <w:szCs w:val="22"/>
              </w:rPr>
              <w:t>)</w:t>
            </w:r>
          </w:p>
        </w:tc>
        <w:tc>
          <w:tcPr>
            <w:tcW w:w="635" w:type="dxa"/>
            <w:vAlign w:val="center"/>
          </w:tcPr>
          <w:p w14:paraId="6065F50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4276D14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85</w:t>
            </w:r>
          </w:p>
        </w:tc>
        <w:tc>
          <w:tcPr>
            <w:tcW w:w="720" w:type="dxa"/>
            <w:vAlign w:val="center"/>
          </w:tcPr>
          <w:p w14:paraId="6348988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730FF17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45AF698D"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056F044" w14:textId="77777777" w:rsidTr="00FC3F7B">
        <w:tblPrEx>
          <w:jc w:val="left"/>
        </w:tblPrEx>
        <w:trPr>
          <w:trHeight w:val="322"/>
        </w:trPr>
        <w:tc>
          <w:tcPr>
            <w:tcW w:w="623" w:type="dxa"/>
            <w:vMerge/>
          </w:tcPr>
          <w:p w14:paraId="102CD462"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2DC76F7" w14:textId="77777777" w:rsidR="003B5C1D" w:rsidRPr="00A3002B" w:rsidRDefault="003B5C1D" w:rsidP="00FC3F7B">
            <w:pPr>
              <w:spacing w:after="0"/>
              <w:ind w:right="-108"/>
              <w:rPr>
                <w:rFonts w:ascii="Times New Roman" w:hAnsi="Times New Roman"/>
                <w:bCs/>
                <w:iCs/>
                <w:szCs w:val="22"/>
              </w:rPr>
            </w:pPr>
          </w:p>
        </w:tc>
        <w:tc>
          <w:tcPr>
            <w:tcW w:w="1800" w:type="dxa"/>
            <w:vMerge/>
          </w:tcPr>
          <w:p w14:paraId="7ECCA084"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B36F067" w14:textId="77777777" w:rsidR="003B5C1D" w:rsidRPr="00A3002B" w:rsidRDefault="003B5C1D" w:rsidP="00FC3F7B">
            <w:pPr>
              <w:spacing w:after="0"/>
              <w:ind w:right="-108"/>
              <w:rPr>
                <w:rFonts w:ascii="Times New Roman" w:hAnsi="Times New Roman"/>
                <w:szCs w:val="22"/>
              </w:rPr>
            </w:pPr>
          </w:p>
        </w:tc>
        <w:tc>
          <w:tcPr>
            <w:tcW w:w="720" w:type="dxa"/>
            <w:vMerge/>
            <w:vAlign w:val="center"/>
          </w:tcPr>
          <w:p w14:paraId="55B14A0D"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0D72BC21"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05A7E495"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14F8CA2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276FD91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08E908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6EE69E6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BA32137" w14:textId="77777777" w:rsidTr="00FC3F7B">
        <w:tblPrEx>
          <w:jc w:val="left"/>
        </w:tblPrEx>
        <w:trPr>
          <w:trHeight w:val="185"/>
        </w:trPr>
        <w:tc>
          <w:tcPr>
            <w:tcW w:w="623" w:type="dxa"/>
            <w:vMerge/>
          </w:tcPr>
          <w:p w14:paraId="424C3273"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00384624" w14:textId="77777777" w:rsidR="003B5C1D" w:rsidRPr="00A3002B" w:rsidRDefault="003B5C1D" w:rsidP="00FC3F7B">
            <w:pPr>
              <w:spacing w:after="0"/>
              <w:ind w:right="-108"/>
              <w:rPr>
                <w:rFonts w:ascii="Times New Roman" w:hAnsi="Times New Roman"/>
                <w:bCs/>
                <w:iCs/>
                <w:szCs w:val="22"/>
              </w:rPr>
            </w:pPr>
          </w:p>
        </w:tc>
        <w:tc>
          <w:tcPr>
            <w:tcW w:w="1800" w:type="dxa"/>
            <w:vMerge/>
          </w:tcPr>
          <w:p w14:paraId="09E776D3"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FC6226C" w14:textId="77777777" w:rsidR="003B5C1D" w:rsidRPr="00A3002B" w:rsidRDefault="003B5C1D" w:rsidP="00FC3F7B">
            <w:pPr>
              <w:spacing w:after="0"/>
              <w:ind w:right="-108"/>
              <w:rPr>
                <w:rFonts w:ascii="Times New Roman" w:hAnsi="Times New Roman"/>
                <w:szCs w:val="22"/>
              </w:rPr>
            </w:pPr>
          </w:p>
        </w:tc>
        <w:tc>
          <w:tcPr>
            <w:tcW w:w="720" w:type="dxa"/>
            <w:vMerge/>
            <w:vAlign w:val="center"/>
          </w:tcPr>
          <w:p w14:paraId="3F2339B4"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45698CFD"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bCs/>
                <w:szCs w:val="22"/>
              </w:rPr>
              <w:t>Chapra</w:t>
            </w:r>
            <w:proofErr w:type="spellEnd"/>
            <w:r w:rsidRPr="00A3002B">
              <w:rPr>
                <w:rFonts w:ascii="Times New Roman" w:hAnsi="Times New Roman"/>
                <w:szCs w:val="22"/>
              </w:rPr>
              <w:t xml:space="preserve"> </w:t>
            </w:r>
            <w:r w:rsidRPr="00A3002B">
              <w:rPr>
                <w:rFonts w:ascii="Times New Roman" w:hAnsi="Times New Roman"/>
                <w:i/>
                <w:iCs/>
                <w:szCs w:val="22"/>
              </w:rPr>
              <w:t>(</w:t>
            </w:r>
            <w:proofErr w:type="spellStart"/>
            <w:r w:rsidRPr="00A3002B">
              <w:rPr>
                <w:rFonts w:ascii="Times New Roman" w:hAnsi="Times New Roman"/>
                <w:i/>
                <w:iCs/>
                <w:szCs w:val="22"/>
              </w:rPr>
              <w:t>Eleusine</w:t>
            </w:r>
            <w:proofErr w:type="spellEnd"/>
            <w:r w:rsidRPr="00A3002B">
              <w:rPr>
                <w:rFonts w:ascii="Times New Roman" w:hAnsi="Times New Roman"/>
                <w:i/>
                <w:iCs/>
                <w:szCs w:val="22"/>
              </w:rPr>
              <w:t xml:space="preserve"> </w:t>
            </w:r>
            <w:proofErr w:type="spellStart"/>
            <w:r w:rsidRPr="00A3002B">
              <w:rPr>
                <w:rFonts w:ascii="Times New Roman" w:hAnsi="Times New Roman"/>
                <w:i/>
                <w:iCs/>
                <w:szCs w:val="22"/>
              </w:rPr>
              <w:t>indica</w:t>
            </w:r>
            <w:proofErr w:type="spellEnd"/>
            <w:r w:rsidRPr="00A3002B">
              <w:rPr>
                <w:rFonts w:ascii="Times New Roman" w:hAnsi="Times New Roman"/>
                <w:i/>
                <w:iCs/>
                <w:szCs w:val="22"/>
              </w:rPr>
              <w:t>)</w:t>
            </w:r>
          </w:p>
        </w:tc>
        <w:tc>
          <w:tcPr>
            <w:tcW w:w="635" w:type="dxa"/>
            <w:vAlign w:val="center"/>
          </w:tcPr>
          <w:p w14:paraId="7D5298E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64C1C63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78DD16A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54BAB7C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1263" w:type="dxa"/>
            <w:vAlign w:val="center"/>
          </w:tcPr>
          <w:p w14:paraId="1A28D5EA"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CCC6DDA" w14:textId="77777777" w:rsidTr="00FC3F7B">
        <w:tblPrEx>
          <w:jc w:val="left"/>
        </w:tblPrEx>
        <w:trPr>
          <w:trHeight w:val="267"/>
        </w:trPr>
        <w:tc>
          <w:tcPr>
            <w:tcW w:w="623" w:type="dxa"/>
            <w:vMerge w:val="restart"/>
          </w:tcPr>
          <w:p w14:paraId="2C3DFF18"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13.</w:t>
            </w:r>
          </w:p>
        </w:tc>
        <w:tc>
          <w:tcPr>
            <w:tcW w:w="1262" w:type="dxa"/>
            <w:vMerge w:val="restart"/>
          </w:tcPr>
          <w:p w14:paraId="616FF377" w14:textId="77777777" w:rsidR="003B5C1D" w:rsidRPr="00A3002B" w:rsidRDefault="003B5C1D" w:rsidP="00FC3F7B">
            <w:pPr>
              <w:spacing w:after="0"/>
              <w:ind w:right="-108"/>
              <w:rPr>
                <w:rFonts w:ascii="Times New Roman" w:hAnsi="Times New Roman"/>
                <w:bCs/>
                <w:iCs/>
                <w:szCs w:val="22"/>
              </w:rPr>
            </w:pPr>
            <w:proofErr w:type="spellStart"/>
            <w:r w:rsidRPr="00A3002B">
              <w:rPr>
                <w:rFonts w:ascii="Times New Roman" w:hAnsi="Times New Roman"/>
                <w:bCs/>
                <w:iCs/>
                <w:szCs w:val="22"/>
              </w:rPr>
              <w:t>Viquin</w:t>
            </w:r>
            <w:proofErr w:type="spellEnd"/>
            <w:r w:rsidRPr="00A3002B">
              <w:rPr>
                <w:rFonts w:ascii="Times New Roman" w:hAnsi="Times New Roman"/>
                <w:bCs/>
                <w:iCs/>
                <w:szCs w:val="22"/>
              </w:rPr>
              <w:t xml:space="preserve"> 5 EC </w:t>
            </w:r>
          </w:p>
        </w:tc>
        <w:tc>
          <w:tcPr>
            <w:tcW w:w="1800" w:type="dxa"/>
            <w:vMerge w:val="restart"/>
          </w:tcPr>
          <w:p w14:paraId="1EDBFB77"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w:t>
            </w:r>
          </w:p>
        </w:tc>
        <w:tc>
          <w:tcPr>
            <w:tcW w:w="1890" w:type="dxa"/>
            <w:vMerge w:val="restart"/>
          </w:tcPr>
          <w:p w14:paraId="784AD8E5" w14:textId="77777777" w:rsidR="003B5C1D" w:rsidRPr="00A3002B" w:rsidRDefault="003B5C1D" w:rsidP="00FC3F7B">
            <w:pPr>
              <w:spacing w:after="0"/>
              <w:ind w:right="-108"/>
              <w:rPr>
                <w:rFonts w:ascii="Times New Roman" w:hAnsi="Times New Roman"/>
                <w:szCs w:val="22"/>
              </w:rPr>
            </w:pPr>
            <w:proofErr w:type="spellStart"/>
            <w:r w:rsidRPr="00A3002B">
              <w:rPr>
                <w:rFonts w:ascii="Times New Roman" w:hAnsi="Times New Roman"/>
                <w:szCs w:val="22"/>
              </w:rPr>
              <w:t>Agro</w:t>
            </w:r>
            <w:proofErr w:type="spellEnd"/>
            <w:r w:rsidRPr="00A3002B">
              <w:rPr>
                <w:rFonts w:ascii="Times New Roman" w:hAnsi="Times New Roman"/>
                <w:szCs w:val="22"/>
              </w:rPr>
              <w:t xml:space="preserve"> Vim Ltd.</w:t>
            </w:r>
          </w:p>
        </w:tc>
        <w:tc>
          <w:tcPr>
            <w:tcW w:w="720" w:type="dxa"/>
            <w:vMerge w:val="restart"/>
            <w:vAlign w:val="center"/>
          </w:tcPr>
          <w:p w14:paraId="6A6FD322"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5F03A8A0"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2A68E3D5"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85</w:t>
            </w:r>
          </w:p>
        </w:tc>
        <w:tc>
          <w:tcPr>
            <w:tcW w:w="630" w:type="dxa"/>
            <w:vAlign w:val="center"/>
          </w:tcPr>
          <w:p w14:paraId="14F936D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37B90B5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50F464B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4AC89A1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6A09194" w14:textId="77777777" w:rsidTr="00FC3F7B">
        <w:tblPrEx>
          <w:jc w:val="left"/>
        </w:tblPrEx>
        <w:trPr>
          <w:trHeight w:val="89"/>
        </w:trPr>
        <w:tc>
          <w:tcPr>
            <w:tcW w:w="623" w:type="dxa"/>
            <w:vMerge/>
          </w:tcPr>
          <w:p w14:paraId="199F0396"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04595E99" w14:textId="77777777" w:rsidR="003B5C1D" w:rsidRPr="00A3002B" w:rsidRDefault="003B5C1D" w:rsidP="00FC3F7B">
            <w:pPr>
              <w:spacing w:after="0"/>
              <w:ind w:right="-108"/>
              <w:rPr>
                <w:rFonts w:ascii="Times New Roman" w:hAnsi="Times New Roman"/>
                <w:bCs/>
                <w:iCs/>
                <w:szCs w:val="22"/>
              </w:rPr>
            </w:pPr>
          </w:p>
        </w:tc>
        <w:tc>
          <w:tcPr>
            <w:tcW w:w="1800" w:type="dxa"/>
            <w:vMerge/>
          </w:tcPr>
          <w:p w14:paraId="738EC389" w14:textId="77777777" w:rsidR="003B5C1D" w:rsidRPr="00A3002B" w:rsidRDefault="003B5C1D" w:rsidP="00FC3F7B">
            <w:pPr>
              <w:spacing w:after="0"/>
              <w:jc w:val="center"/>
              <w:rPr>
                <w:rFonts w:ascii="Times New Roman" w:hAnsi="Times New Roman"/>
                <w:bCs/>
                <w:iCs/>
                <w:szCs w:val="22"/>
              </w:rPr>
            </w:pPr>
          </w:p>
        </w:tc>
        <w:tc>
          <w:tcPr>
            <w:tcW w:w="1890" w:type="dxa"/>
            <w:vMerge/>
          </w:tcPr>
          <w:p w14:paraId="46F04233" w14:textId="77777777" w:rsidR="003B5C1D" w:rsidRPr="00A3002B" w:rsidRDefault="003B5C1D" w:rsidP="00FC3F7B">
            <w:pPr>
              <w:spacing w:after="0"/>
              <w:ind w:right="-108"/>
              <w:rPr>
                <w:rFonts w:ascii="Times New Roman" w:hAnsi="Times New Roman"/>
                <w:szCs w:val="22"/>
              </w:rPr>
            </w:pPr>
          </w:p>
        </w:tc>
        <w:tc>
          <w:tcPr>
            <w:tcW w:w="720" w:type="dxa"/>
            <w:vMerge/>
            <w:vAlign w:val="center"/>
          </w:tcPr>
          <w:p w14:paraId="0A2879DE"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4DD7FD3C"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721ABA7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0671497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431D38D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5319A62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1A082C84"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14ACF4F" w14:textId="77777777" w:rsidTr="00FC3F7B">
        <w:tblPrEx>
          <w:jc w:val="left"/>
        </w:tblPrEx>
        <w:trPr>
          <w:trHeight w:val="278"/>
        </w:trPr>
        <w:tc>
          <w:tcPr>
            <w:tcW w:w="623" w:type="dxa"/>
            <w:vMerge w:val="restart"/>
          </w:tcPr>
          <w:p w14:paraId="18FDBB80"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14.</w:t>
            </w:r>
          </w:p>
        </w:tc>
        <w:tc>
          <w:tcPr>
            <w:tcW w:w="1262" w:type="dxa"/>
            <w:vMerge w:val="restart"/>
          </w:tcPr>
          <w:p w14:paraId="590EE415" w14:textId="77777777" w:rsidR="003B5C1D" w:rsidRPr="00A3002B" w:rsidRDefault="003B5C1D" w:rsidP="00FC3F7B">
            <w:pPr>
              <w:spacing w:after="0"/>
              <w:ind w:right="-108"/>
              <w:rPr>
                <w:rFonts w:ascii="Times New Roman" w:hAnsi="Times New Roman"/>
                <w:bCs/>
                <w:iCs/>
                <w:szCs w:val="22"/>
              </w:rPr>
            </w:pPr>
            <w:proofErr w:type="spellStart"/>
            <w:r w:rsidRPr="00A3002B">
              <w:rPr>
                <w:rFonts w:ascii="Times New Roman" w:hAnsi="Times New Roman"/>
                <w:bCs/>
                <w:iCs/>
                <w:szCs w:val="22"/>
              </w:rPr>
              <w:t>Eround</w:t>
            </w:r>
            <w:proofErr w:type="spellEnd"/>
            <w:r w:rsidRPr="00A3002B">
              <w:rPr>
                <w:rFonts w:ascii="Times New Roman" w:hAnsi="Times New Roman"/>
                <w:bCs/>
                <w:iCs/>
                <w:szCs w:val="22"/>
              </w:rPr>
              <w:t xml:space="preserve"> Plus 20 SL</w:t>
            </w:r>
          </w:p>
        </w:tc>
        <w:tc>
          <w:tcPr>
            <w:tcW w:w="1800" w:type="dxa"/>
            <w:vMerge w:val="restart"/>
          </w:tcPr>
          <w:p w14:paraId="2B50D784"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Gluphosinate</w:t>
            </w:r>
            <w:proofErr w:type="spellEnd"/>
            <w:r w:rsidRPr="00A3002B">
              <w:rPr>
                <w:rFonts w:ascii="Times New Roman" w:hAnsi="Times New Roman"/>
                <w:bCs/>
                <w:iCs/>
                <w:szCs w:val="22"/>
              </w:rPr>
              <w:t>-ammonium 30%</w:t>
            </w:r>
          </w:p>
        </w:tc>
        <w:tc>
          <w:tcPr>
            <w:tcW w:w="1890" w:type="dxa"/>
            <w:vMerge w:val="restart"/>
          </w:tcPr>
          <w:p w14:paraId="5768AD48"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Axil Life Science Ltd.</w:t>
            </w:r>
          </w:p>
        </w:tc>
        <w:tc>
          <w:tcPr>
            <w:tcW w:w="720" w:type="dxa"/>
            <w:vMerge w:val="restart"/>
            <w:vAlign w:val="center"/>
          </w:tcPr>
          <w:p w14:paraId="65CC843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2.5 L/ha</w:t>
            </w:r>
          </w:p>
        </w:tc>
        <w:tc>
          <w:tcPr>
            <w:tcW w:w="3502" w:type="dxa"/>
            <w:vAlign w:val="center"/>
          </w:tcPr>
          <w:p w14:paraId="71F807E4"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bCs/>
                <w:szCs w:val="22"/>
              </w:rPr>
              <w:t>Angulighas</w:t>
            </w:r>
            <w:proofErr w:type="spellEnd"/>
            <w:r w:rsidRPr="00A3002B">
              <w:rPr>
                <w:rFonts w:ascii="Times New Roman" w:hAnsi="Times New Roman"/>
                <w:b/>
                <w:bCs/>
                <w:szCs w:val="22"/>
              </w:rPr>
              <w:t xml:space="preserve"> </w:t>
            </w:r>
            <w:r w:rsidRPr="00A3002B">
              <w:rPr>
                <w:rFonts w:ascii="Times New Roman" w:hAnsi="Times New Roman"/>
                <w:i/>
                <w:iCs/>
                <w:szCs w:val="22"/>
              </w:rPr>
              <w:t>(</w:t>
            </w:r>
            <w:proofErr w:type="spellStart"/>
            <w:r w:rsidRPr="00A3002B">
              <w:rPr>
                <w:rFonts w:ascii="Times New Roman" w:hAnsi="Times New Roman"/>
                <w:i/>
                <w:iCs/>
                <w:szCs w:val="22"/>
              </w:rPr>
              <w:t>Digitaria</w:t>
            </w:r>
            <w:proofErr w:type="spellEnd"/>
            <w:r w:rsidRPr="00A3002B">
              <w:rPr>
                <w:rFonts w:ascii="Times New Roman" w:hAnsi="Times New Roman"/>
                <w:i/>
                <w:iCs/>
                <w:szCs w:val="22"/>
              </w:rPr>
              <w:t xml:space="preserve"> </w:t>
            </w:r>
            <w:proofErr w:type="spellStart"/>
            <w:r w:rsidRPr="00A3002B">
              <w:rPr>
                <w:rFonts w:ascii="Times New Roman" w:hAnsi="Times New Roman"/>
                <w:i/>
                <w:iCs/>
                <w:szCs w:val="22"/>
              </w:rPr>
              <w:t>sanguinalis</w:t>
            </w:r>
            <w:proofErr w:type="spellEnd"/>
            <w:r w:rsidRPr="00A3002B">
              <w:rPr>
                <w:rFonts w:ascii="Times New Roman" w:hAnsi="Times New Roman"/>
                <w:i/>
                <w:iCs/>
                <w:szCs w:val="22"/>
              </w:rPr>
              <w:t>)</w:t>
            </w:r>
          </w:p>
        </w:tc>
        <w:tc>
          <w:tcPr>
            <w:tcW w:w="635" w:type="dxa"/>
            <w:vAlign w:val="center"/>
          </w:tcPr>
          <w:p w14:paraId="5353A997"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4B9DF81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720" w:type="dxa"/>
            <w:vAlign w:val="center"/>
          </w:tcPr>
          <w:p w14:paraId="0644972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106871F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11E9CC2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46656BD" w14:textId="77777777" w:rsidTr="00FC3F7B">
        <w:tblPrEx>
          <w:jc w:val="left"/>
        </w:tblPrEx>
        <w:trPr>
          <w:trHeight w:val="152"/>
        </w:trPr>
        <w:tc>
          <w:tcPr>
            <w:tcW w:w="623" w:type="dxa"/>
            <w:vMerge/>
          </w:tcPr>
          <w:p w14:paraId="3DFFF84B"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1FE532FC" w14:textId="77777777" w:rsidR="003B5C1D" w:rsidRPr="00A3002B" w:rsidRDefault="003B5C1D" w:rsidP="00FC3F7B">
            <w:pPr>
              <w:spacing w:after="0"/>
              <w:ind w:right="-108"/>
              <w:rPr>
                <w:rFonts w:ascii="Times New Roman" w:hAnsi="Times New Roman"/>
                <w:bCs/>
                <w:iCs/>
                <w:szCs w:val="22"/>
              </w:rPr>
            </w:pPr>
          </w:p>
        </w:tc>
        <w:tc>
          <w:tcPr>
            <w:tcW w:w="1800" w:type="dxa"/>
            <w:vMerge/>
          </w:tcPr>
          <w:p w14:paraId="36E1A9F1"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A414577"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0512A194"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36CD58D9" w14:textId="77777777" w:rsidR="003B5C1D" w:rsidRPr="00A3002B" w:rsidRDefault="003B5C1D" w:rsidP="00FC3F7B">
            <w:pPr>
              <w:spacing w:after="0"/>
              <w:rPr>
                <w:rFonts w:ascii="Times New Roman" w:hAnsi="Times New Roman"/>
                <w:b/>
                <w:bCs/>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7ED64B8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7E1B896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0173F44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586F7EB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485C34E7"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EEE3568" w14:textId="77777777" w:rsidTr="00FC3F7B">
        <w:tblPrEx>
          <w:jc w:val="left"/>
        </w:tblPrEx>
        <w:trPr>
          <w:trHeight w:val="250"/>
        </w:trPr>
        <w:tc>
          <w:tcPr>
            <w:tcW w:w="623" w:type="dxa"/>
            <w:vMerge w:val="restart"/>
          </w:tcPr>
          <w:p w14:paraId="351A5BD0"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15.</w:t>
            </w:r>
          </w:p>
        </w:tc>
        <w:tc>
          <w:tcPr>
            <w:tcW w:w="1262" w:type="dxa"/>
            <w:vMerge w:val="restart"/>
          </w:tcPr>
          <w:p w14:paraId="4F411B85"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Gama Hit 200 SL </w:t>
            </w:r>
          </w:p>
        </w:tc>
        <w:tc>
          <w:tcPr>
            <w:tcW w:w="1800" w:type="dxa"/>
            <w:vMerge w:val="restart"/>
          </w:tcPr>
          <w:p w14:paraId="0FC998CF"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Gluphosinate</w:t>
            </w:r>
            <w:proofErr w:type="spellEnd"/>
            <w:r w:rsidRPr="00A3002B">
              <w:rPr>
                <w:rFonts w:ascii="Times New Roman" w:hAnsi="Times New Roman"/>
                <w:bCs/>
                <w:iCs/>
                <w:szCs w:val="22"/>
              </w:rPr>
              <w:t>-ammonium 200g/L</w:t>
            </w:r>
          </w:p>
        </w:tc>
        <w:tc>
          <w:tcPr>
            <w:tcW w:w="1890" w:type="dxa"/>
            <w:vMerge w:val="restart"/>
          </w:tcPr>
          <w:p w14:paraId="43F7E85C"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DM Crop care Ltd.</w:t>
            </w:r>
          </w:p>
        </w:tc>
        <w:tc>
          <w:tcPr>
            <w:tcW w:w="720" w:type="dxa"/>
            <w:vMerge w:val="restart"/>
            <w:vAlign w:val="center"/>
          </w:tcPr>
          <w:p w14:paraId="1899DCE1"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2.5 L/ha</w:t>
            </w:r>
          </w:p>
        </w:tc>
        <w:tc>
          <w:tcPr>
            <w:tcW w:w="3502" w:type="dxa"/>
            <w:vAlign w:val="center"/>
          </w:tcPr>
          <w:p w14:paraId="61BB53D7"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Durba</w:t>
            </w:r>
            <w:proofErr w:type="spellEnd"/>
            <w:r w:rsidRPr="00A3002B">
              <w:rPr>
                <w:rFonts w:ascii="Times New Roman" w:hAnsi="Times New Roman"/>
                <w:b/>
                <w:szCs w:val="22"/>
              </w:rPr>
              <w:t xml:space="preserve"> </w:t>
            </w:r>
            <w:r w:rsidRPr="00A3002B">
              <w:rPr>
                <w:rFonts w:ascii="Times New Roman" w:hAnsi="Times New Roman"/>
                <w:bCs/>
                <w:i/>
                <w:iCs/>
                <w:szCs w:val="22"/>
              </w:rPr>
              <w:t>(</w:t>
            </w:r>
            <w:proofErr w:type="spellStart"/>
            <w:r w:rsidRPr="00A3002B">
              <w:rPr>
                <w:rFonts w:ascii="Times New Roman" w:hAnsi="Times New Roman"/>
                <w:bCs/>
                <w:i/>
                <w:iCs/>
                <w:szCs w:val="22"/>
              </w:rPr>
              <w:t>Cynodon</w:t>
            </w:r>
            <w:proofErr w:type="spellEnd"/>
            <w:r w:rsidRPr="00A3002B">
              <w:rPr>
                <w:rFonts w:ascii="Times New Roman" w:hAnsi="Times New Roman"/>
                <w:bCs/>
                <w:i/>
                <w:iCs/>
                <w:szCs w:val="22"/>
              </w:rPr>
              <w:t xml:space="preserve"> </w:t>
            </w:r>
            <w:proofErr w:type="spellStart"/>
            <w:r w:rsidRPr="00A3002B">
              <w:rPr>
                <w:rFonts w:ascii="Times New Roman" w:hAnsi="Times New Roman"/>
                <w:bCs/>
                <w:i/>
                <w:iCs/>
                <w:szCs w:val="22"/>
              </w:rPr>
              <w:t>dactylon</w:t>
            </w:r>
            <w:proofErr w:type="spellEnd"/>
            <w:r w:rsidRPr="00A3002B">
              <w:rPr>
                <w:rFonts w:ascii="Times New Roman" w:hAnsi="Times New Roman"/>
                <w:bCs/>
                <w:i/>
                <w:iCs/>
                <w:szCs w:val="22"/>
              </w:rPr>
              <w:t>)</w:t>
            </w:r>
          </w:p>
        </w:tc>
        <w:tc>
          <w:tcPr>
            <w:tcW w:w="635" w:type="dxa"/>
            <w:vAlign w:val="center"/>
          </w:tcPr>
          <w:p w14:paraId="6A8C507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23F804FB"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7CE3CE8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75</w:t>
            </w:r>
          </w:p>
        </w:tc>
        <w:tc>
          <w:tcPr>
            <w:tcW w:w="630" w:type="dxa"/>
            <w:vAlign w:val="center"/>
          </w:tcPr>
          <w:p w14:paraId="4A77C7F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7040544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D54C73A" w14:textId="77777777" w:rsidTr="00FC3F7B">
        <w:tblPrEx>
          <w:jc w:val="left"/>
        </w:tblPrEx>
        <w:trPr>
          <w:trHeight w:val="238"/>
        </w:trPr>
        <w:tc>
          <w:tcPr>
            <w:tcW w:w="623" w:type="dxa"/>
            <w:vMerge/>
          </w:tcPr>
          <w:p w14:paraId="4383BC4F"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FDC0156" w14:textId="77777777" w:rsidR="003B5C1D" w:rsidRPr="00A3002B" w:rsidRDefault="003B5C1D" w:rsidP="00FC3F7B">
            <w:pPr>
              <w:spacing w:after="0"/>
              <w:ind w:right="-108"/>
              <w:rPr>
                <w:rFonts w:ascii="Times New Roman" w:hAnsi="Times New Roman"/>
                <w:bCs/>
                <w:iCs/>
                <w:szCs w:val="22"/>
              </w:rPr>
            </w:pPr>
          </w:p>
        </w:tc>
        <w:tc>
          <w:tcPr>
            <w:tcW w:w="1800" w:type="dxa"/>
            <w:vMerge/>
          </w:tcPr>
          <w:p w14:paraId="262C0388"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190303B"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13970747"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23FED8FB"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02D6DE4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081A17C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6C0E340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77EEA86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1263" w:type="dxa"/>
            <w:vAlign w:val="center"/>
          </w:tcPr>
          <w:p w14:paraId="19BEF1F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2C9E990" w14:textId="77777777" w:rsidTr="00FC3F7B">
        <w:tblPrEx>
          <w:jc w:val="left"/>
        </w:tblPrEx>
        <w:trPr>
          <w:trHeight w:val="242"/>
        </w:trPr>
        <w:tc>
          <w:tcPr>
            <w:tcW w:w="623" w:type="dxa"/>
            <w:vMerge/>
          </w:tcPr>
          <w:p w14:paraId="486BCEA4"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AE349DC" w14:textId="77777777" w:rsidR="003B5C1D" w:rsidRPr="00A3002B" w:rsidRDefault="003B5C1D" w:rsidP="00FC3F7B">
            <w:pPr>
              <w:spacing w:after="0"/>
              <w:ind w:right="-108"/>
              <w:rPr>
                <w:rFonts w:ascii="Times New Roman" w:hAnsi="Times New Roman"/>
                <w:bCs/>
                <w:iCs/>
                <w:szCs w:val="22"/>
              </w:rPr>
            </w:pPr>
          </w:p>
        </w:tc>
        <w:tc>
          <w:tcPr>
            <w:tcW w:w="1800" w:type="dxa"/>
            <w:vMerge/>
          </w:tcPr>
          <w:p w14:paraId="2C95666C" w14:textId="77777777" w:rsidR="003B5C1D" w:rsidRPr="00A3002B" w:rsidRDefault="003B5C1D" w:rsidP="00FC3F7B">
            <w:pPr>
              <w:spacing w:after="0"/>
              <w:jc w:val="center"/>
              <w:rPr>
                <w:rFonts w:ascii="Times New Roman" w:hAnsi="Times New Roman"/>
                <w:bCs/>
                <w:iCs/>
                <w:szCs w:val="22"/>
              </w:rPr>
            </w:pPr>
          </w:p>
        </w:tc>
        <w:tc>
          <w:tcPr>
            <w:tcW w:w="1890" w:type="dxa"/>
            <w:vMerge/>
          </w:tcPr>
          <w:p w14:paraId="7A870D7B"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2A1D1621"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38E6BFF0"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bCs/>
                <w:szCs w:val="22"/>
              </w:rPr>
              <w:t>Angulighas</w:t>
            </w:r>
            <w:proofErr w:type="spellEnd"/>
            <w:r w:rsidRPr="00A3002B">
              <w:rPr>
                <w:rFonts w:ascii="Times New Roman" w:hAnsi="Times New Roman"/>
                <w:b/>
                <w:bCs/>
                <w:szCs w:val="22"/>
              </w:rPr>
              <w:t xml:space="preserve"> </w:t>
            </w:r>
            <w:r w:rsidRPr="00A3002B">
              <w:rPr>
                <w:rFonts w:ascii="Times New Roman" w:hAnsi="Times New Roman"/>
                <w:i/>
                <w:iCs/>
                <w:szCs w:val="22"/>
              </w:rPr>
              <w:t>(</w:t>
            </w:r>
            <w:proofErr w:type="spellStart"/>
            <w:r w:rsidRPr="00A3002B">
              <w:rPr>
                <w:rFonts w:ascii="Times New Roman" w:hAnsi="Times New Roman"/>
                <w:i/>
                <w:iCs/>
                <w:szCs w:val="22"/>
              </w:rPr>
              <w:t>Digitaria</w:t>
            </w:r>
            <w:proofErr w:type="spellEnd"/>
            <w:r w:rsidRPr="00A3002B">
              <w:rPr>
                <w:rFonts w:ascii="Times New Roman" w:hAnsi="Times New Roman"/>
                <w:i/>
                <w:iCs/>
                <w:szCs w:val="22"/>
              </w:rPr>
              <w:t xml:space="preserve"> </w:t>
            </w:r>
            <w:proofErr w:type="spellStart"/>
            <w:r w:rsidRPr="00A3002B">
              <w:rPr>
                <w:rFonts w:ascii="Times New Roman" w:hAnsi="Times New Roman"/>
                <w:i/>
                <w:iCs/>
                <w:szCs w:val="22"/>
              </w:rPr>
              <w:t>sanguinalis</w:t>
            </w:r>
            <w:proofErr w:type="spellEnd"/>
            <w:r w:rsidRPr="00A3002B">
              <w:rPr>
                <w:rFonts w:ascii="Times New Roman" w:hAnsi="Times New Roman"/>
                <w:i/>
                <w:iCs/>
                <w:szCs w:val="22"/>
              </w:rPr>
              <w:t>)</w:t>
            </w:r>
          </w:p>
        </w:tc>
        <w:tc>
          <w:tcPr>
            <w:tcW w:w="635" w:type="dxa"/>
            <w:vAlign w:val="center"/>
          </w:tcPr>
          <w:p w14:paraId="075E2CC3"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42E7EEC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720" w:type="dxa"/>
            <w:vAlign w:val="center"/>
          </w:tcPr>
          <w:p w14:paraId="56BF71F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0984541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3499FE9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AC3F6CF" w14:textId="77777777" w:rsidTr="00FC3F7B">
        <w:tblPrEx>
          <w:jc w:val="left"/>
        </w:tblPrEx>
        <w:trPr>
          <w:trHeight w:val="305"/>
        </w:trPr>
        <w:tc>
          <w:tcPr>
            <w:tcW w:w="623" w:type="dxa"/>
            <w:vMerge w:val="restart"/>
          </w:tcPr>
          <w:p w14:paraId="6711FDF2"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16.</w:t>
            </w:r>
          </w:p>
        </w:tc>
        <w:tc>
          <w:tcPr>
            <w:tcW w:w="1262" w:type="dxa"/>
            <w:vMerge w:val="restart"/>
          </w:tcPr>
          <w:p w14:paraId="38481571" w14:textId="77777777" w:rsidR="003B5C1D" w:rsidRPr="00A3002B" w:rsidRDefault="003B5C1D" w:rsidP="00FC3F7B">
            <w:pPr>
              <w:spacing w:after="0"/>
              <w:ind w:right="-108"/>
              <w:jc w:val="center"/>
              <w:rPr>
                <w:rFonts w:ascii="Times New Roman" w:hAnsi="Times New Roman"/>
                <w:bCs/>
                <w:iCs/>
                <w:szCs w:val="22"/>
              </w:rPr>
            </w:pPr>
            <w:proofErr w:type="spellStart"/>
            <w:r w:rsidRPr="00A3002B">
              <w:rPr>
                <w:rFonts w:ascii="Times New Roman" w:hAnsi="Times New Roman"/>
                <w:bCs/>
                <w:iCs/>
                <w:szCs w:val="22"/>
              </w:rPr>
              <w:t>Grogo</w:t>
            </w:r>
            <w:proofErr w:type="spellEnd"/>
            <w:r w:rsidRPr="00A3002B">
              <w:rPr>
                <w:rFonts w:ascii="Times New Roman" w:hAnsi="Times New Roman"/>
                <w:bCs/>
                <w:iCs/>
                <w:szCs w:val="22"/>
              </w:rPr>
              <w:t xml:space="preserve"> 5 EC </w:t>
            </w:r>
          </w:p>
        </w:tc>
        <w:tc>
          <w:tcPr>
            <w:tcW w:w="1800" w:type="dxa"/>
            <w:vMerge w:val="restart"/>
          </w:tcPr>
          <w:p w14:paraId="406B5270"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w:t>
            </w:r>
          </w:p>
        </w:tc>
        <w:tc>
          <w:tcPr>
            <w:tcW w:w="1890" w:type="dxa"/>
            <w:vMerge w:val="restart"/>
          </w:tcPr>
          <w:p w14:paraId="704669FA" w14:textId="77777777" w:rsidR="003B5C1D" w:rsidRPr="00A3002B" w:rsidRDefault="003B5C1D" w:rsidP="00FC3F7B">
            <w:pPr>
              <w:spacing w:after="0"/>
              <w:ind w:left="-65" w:right="-108" w:firstLine="47"/>
              <w:jc w:val="center"/>
              <w:rPr>
                <w:rFonts w:ascii="Times New Roman" w:hAnsi="Times New Roman"/>
                <w:szCs w:val="22"/>
              </w:rPr>
            </w:pPr>
            <w:proofErr w:type="spellStart"/>
            <w:r w:rsidRPr="00A3002B">
              <w:rPr>
                <w:rFonts w:ascii="Times New Roman" w:hAnsi="Times New Roman"/>
                <w:szCs w:val="22"/>
              </w:rPr>
              <w:t>Gurpukur</w:t>
            </w:r>
            <w:proofErr w:type="spellEnd"/>
            <w:r w:rsidRPr="00A3002B">
              <w:rPr>
                <w:rFonts w:ascii="Times New Roman" w:hAnsi="Times New Roman"/>
                <w:szCs w:val="22"/>
              </w:rPr>
              <w:t xml:space="preserve"> Corporation</w:t>
            </w:r>
          </w:p>
        </w:tc>
        <w:tc>
          <w:tcPr>
            <w:tcW w:w="720" w:type="dxa"/>
            <w:vMerge w:val="restart"/>
            <w:vAlign w:val="center"/>
          </w:tcPr>
          <w:p w14:paraId="585C8D1C"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719E5D96"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b/>
                <w:szCs w:val="22"/>
              </w:rPr>
              <w:t xml:space="preserve">) </w:t>
            </w:r>
          </w:p>
        </w:tc>
        <w:tc>
          <w:tcPr>
            <w:tcW w:w="635" w:type="dxa"/>
            <w:vAlign w:val="center"/>
          </w:tcPr>
          <w:p w14:paraId="63792B57"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3A809F8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73746EE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630" w:type="dxa"/>
            <w:vAlign w:val="center"/>
          </w:tcPr>
          <w:p w14:paraId="54CF9FF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3C38669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354421D" w14:textId="77777777" w:rsidTr="00FC3F7B">
        <w:tblPrEx>
          <w:jc w:val="left"/>
        </w:tblPrEx>
        <w:trPr>
          <w:trHeight w:val="262"/>
        </w:trPr>
        <w:tc>
          <w:tcPr>
            <w:tcW w:w="623" w:type="dxa"/>
            <w:vMerge/>
          </w:tcPr>
          <w:p w14:paraId="2AE04223"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7855F182"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141EFC4B"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3C18AAA"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32F13ED3"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6C03FECA"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705278E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75</w:t>
            </w:r>
          </w:p>
        </w:tc>
        <w:tc>
          <w:tcPr>
            <w:tcW w:w="630" w:type="dxa"/>
            <w:vAlign w:val="center"/>
          </w:tcPr>
          <w:p w14:paraId="26F60B8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4824A4B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40CED6B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5A0F2D9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7CFDBF1" w14:textId="77777777" w:rsidTr="00FC3F7B">
        <w:tblPrEx>
          <w:jc w:val="left"/>
        </w:tblPrEx>
        <w:trPr>
          <w:trHeight w:val="383"/>
        </w:trPr>
        <w:tc>
          <w:tcPr>
            <w:tcW w:w="623" w:type="dxa"/>
          </w:tcPr>
          <w:p w14:paraId="2279009E"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17.</w:t>
            </w:r>
          </w:p>
        </w:tc>
        <w:tc>
          <w:tcPr>
            <w:tcW w:w="1262" w:type="dxa"/>
          </w:tcPr>
          <w:p w14:paraId="17197C13" w14:textId="77777777" w:rsidR="003B5C1D" w:rsidRPr="00A3002B" w:rsidRDefault="003B5C1D" w:rsidP="00FC3F7B">
            <w:pPr>
              <w:spacing w:after="0"/>
              <w:ind w:right="-108"/>
              <w:jc w:val="center"/>
              <w:rPr>
                <w:rFonts w:ascii="Times New Roman" w:hAnsi="Times New Roman"/>
                <w:bCs/>
                <w:iCs/>
                <w:szCs w:val="22"/>
              </w:rPr>
            </w:pPr>
            <w:proofErr w:type="spellStart"/>
            <w:r w:rsidRPr="00A3002B">
              <w:rPr>
                <w:rFonts w:ascii="Times New Roman" w:hAnsi="Times New Roman"/>
                <w:bCs/>
                <w:iCs/>
                <w:szCs w:val="22"/>
              </w:rPr>
              <w:t>Zoventa</w:t>
            </w:r>
            <w:proofErr w:type="spellEnd"/>
            <w:r w:rsidRPr="00A3002B">
              <w:rPr>
                <w:rFonts w:ascii="Times New Roman" w:hAnsi="Times New Roman"/>
                <w:bCs/>
                <w:iCs/>
                <w:szCs w:val="22"/>
              </w:rPr>
              <w:t xml:space="preserve"> 5 EC </w:t>
            </w:r>
          </w:p>
        </w:tc>
        <w:tc>
          <w:tcPr>
            <w:tcW w:w="1800" w:type="dxa"/>
          </w:tcPr>
          <w:p w14:paraId="47B9B41A"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w:t>
            </w:r>
          </w:p>
        </w:tc>
        <w:tc>
          <w:tcPr>
            <w:tcW w:w="1890" w:type="dxa"/>
          </w:tcPr>
          <w:p w14:paraId="3A3F230F" w14:textId="77777777" w:rsidR="003B5C1D" w:rsidRPr="00A3002B" w:rsidRDefault="003B5C1D" w:rsidP="00FC3F7B">
            <w:pPr>
              <w:spacing w:after="0"/>
              <w:ind w:left="-65" w:right="-108" w:firstLine="47"/>
              <w:jc w:val="center"/>
              <w:rPr>
                <w:rFonts w:ascii="Times New Roman" w:hAnsi="Times New Roman"/>
                <w:szCs w:val="22"/>
              </w:rPr>
            </w:pPr>
            <w:proofErr w:type="spellStart"/>
            <w:r w:rsidRPr="00A3002B">
              <w:rPr>
                <w:rFonts w:ascii="Times New Roman" w:hAnsi="Times New Roman"/>
                <w:szCs w:val="22"/>
              </w:rPr>
              <w:t>Naher</w:t>
            </w:r>
            <w:proofErr w:type="spellEnd"/>
            <w:r w:rsidRPr="00A3002B">
              <w:rPr>
                <w:rFonts w:ascii="Times New Roman" w:hAnsi="Times New Roman"/>
                <w:szCs w:val="22"/>
              </w:rPr>
              <w:t xml:space="preserve"> </w:t>
            </w:r>
            <w:proofErr w:type="spellStart"/>
            <w:r w:rsidRPr="00A3002B">
              <w:rPr>
                <w:rFonts w:ascii="Times New Roman" w:hAnsi="Times New Roman"/>
                <w:szCs w:val="22"/>
              </w:rPr>
              <w:t>Agro</w:t>
            </w:r>
            <w:proofErr w:type="spellEnd"/>
            <w:r w:rsidRPr="00A3002B">
              <w:rPr>
                <w:rFonts w:ascii="Times New Roman" w:hAnsi="Times New Roman"/>
                <w:szCs w:val="22"/>
              </w:rPr>
              <w:t xml:space="preserve"> International</w:t>
            </w:r>
          </w:p>
        </w:tc>
        <w:tc>
          <w:tcPr>
            <w:tcW w:w="720" w:type="dxa"/>
            <w:vAlign w:val="center"/>
          </w:tcPr>
          <w:p w14:paraId="2330D995"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2417E885"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bCs/>
                <w:i/>
                <w:szCs w:val="22"/>
              </w:rPr>
              <w:t>)</w:t>
            </w:r>
          </w:p>
        </w:tc>
        <w:tc>
          <w:tcPr>
            <w:tcW w:w="635" w:type="dxa"/>
            <w:vAlign w:val="center"/>
          </w:tcPr>
          <w:p w14:paraId="4440036B"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66CFF63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532472D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385789E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1263" w:type="dxa"/>
            <w:vAlign w:val="center"/>
          </w:tcPr>
          <w:p w14:paraId="115292A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F7D0614" w14:textId="77777777" w:rsidTr="00FC3F7B">
        <w:tblPrEx>
          <w:jc w:val="left"/>
        </w:tblPrEx>
        <w:trPr>
          <w:trHeight w:val="285"/>
        </w:trPr>
        <w:tc>
          <w:tcPr>
            <w:tcW w:w="623" w:type="dxa"/>
            <w:vMerge w:val="restart"/>
          </w:tcPr>
          <w:p w14:paraId="6C3581E4"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18.</w:t>
            </w:r>
          </w:p>
        </w:tc>
        <w:tc>
          <w:tcPr>
            <w:tcW w:w="1262" w:type="dxa"/>
            <w:vMerge w:val="restart"/>
          </w:tcPr>
          <w:p w14:paraId="5BC503C2" w14:textId="77777777" w:rsidR="003B5C1D" w:rsidRPr="00A3002B" w:rsidRDefault="003B5C1D" w:rsidP="00FC3F7B">
            <w:pPr>
              <w:spacing w:after="0"/>
              <w:ind w:right="-108"/>
              <w:jc w:val="center"/>
              <w:rPr>
                <w:rFonts w:ascii="Times New Roman" w:hAnsi="Times New Roman"/>
                <w:bCs/>
                <w:iCs/>
                <w:szCs w:val="22"/>
              </w:rPr>
            </w:pPr>
            <w:proofErr w:type="spellStart"/>
            <w:r w:rsidRPr="00A3002B">
              <w:rPr>
                <w:rFonts w:ascii="Times New Roman" w:hAnsi="Times New Roman"/>
                <w:bCs/>
                <w:iCs/>
                <w:szCs w:val="22"/>
              </w:rPr>
              <w:t>Upaye</w:t>
            </w:r>
            <w:proofErr w:type="spellEnd"/>
            <w:r w:rsidRPr="00A3002B">
              <w:rPr>
                <w:rFonts w:ascii="Times New Roman" w:hAnsi="Times New Roman"/>
                <w:bCs/>
                <w:iCs/>
                <w:szCs w:val="22"/>
              </w:rPr>
              <w:t xml:space="preserve"> 15 EC </w:t>
            </w:r>
          </w:p>
        </w:tc>
        <w:tc>
          <w:tcPr>
            <w:tcW w:w="1800" w:type="dxa"/>
            <w:vMerge w:val="restart"/>
          </w:tcPr>
          <w:p w14:paraId="302E141A"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15%</w:t>
            </w:r>
          </w:p>
        </w:tc>
        <w:tc>
          <w:tcPr>
            <w:tcW w:w="1890" w:type="dxa"/>
            <w:vMerge w:val="restart"/>
          </w:tcPr>
          <w:p w14:paraId="72C5EF20"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 xml:space="preserve">Welfare </w:t>
            </w:r>
            <w:proofErr w:type="spellStart"/>
            <w:r w:rsidRPr="00A3002B">
              <w:rPr>
                <w:rFonts w:ascii="Times New Roman" w:hAnsi="Times New Roman"/>
                <w:szCs w:val="22"/>
              </w:rPr>
              <w:t>Agro</w:t>
            </w:r>
            <w:proofErr w:type="spellEnd"/>
            <w:r w:rsidRPr="00A3002B">
              <w:rPr>
                <w:rFonts w:ascii="Times New Roman" w:hAnsi="Times New Roman"/>
                <w:szCs w:val="22"/>
              </w:rPr>
              <w:t xml:space="preserve"> Science</w:t>
            </w:r>
          </w:p>
        </w:tc>
        <w:tc>
          <w:tcPr>
            <w:tcW w:w="720" w:type="dxa"/>
            <w:vMerge w:val="restart"/>
            <w:vAlign w:val="center"/>
          </w:tcPr>
          <w:p w14:paraId="2E739BFB"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2433C1AE"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7099ED5A"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5C3377E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3D8C9E0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630" w:type="dxa"/>
            <w:vAlign w:val="center"/>
          </w:tcPr>
          <w:p w14:paraId="5697781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0BE5F1E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8766D72" w14:textId="77777777" w:rsidTr="00FC3F7B">
        <w:tblPrEx>
          <w:jc w:val="left"/>
        </w:tblPrEx>
        <w:trPr>
          <w:trHeight w:val="152"/>
        </w:trPr>
        <w:tc>
          <w:tcPr>
            <w:tcW w:w="623" w:type="dxa"/>
            <w:vMerge/>
          </w:tcPr>
          <w:p w14:paraId="4A5EEFB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371F90D5"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5104022F" w14:textId="77777777" w:rsidR="003B5C1D" w:rsidRPr="00A3002B" w:rsidRDefault="003B5C1D" w:rsidP="00FC3F7B">
            <w:pPr>
              <w:spacing w:after="0"/>
              <w:jc w:val="center"/>
              <w:rPr>
                <w:rFonts w:ascii="Times New Roman" w:hAnsi="Times New Roman"/>
                <w:bCs/>
                <w:iCs/>
                <w:szCs w:val="22"/>
              </w:rPr>
            </w:pPr>
          </w:p>
        </w:tc>
        <w:tc>
          <w:tcPr>
            <w:tcW w:w="1890" w:type="dxa"/>
            <w:vMerge/>
          </w:tcPr>
          <w:p w14:paraId="21D4B7DE"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789E7D9C"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345D230"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Durba</w:t>
            </w:r>
            <w:proofErr w:type="spellEnd"/>
            <w:r w:rsidRPr="00A3002B">
              <w:rPr>
                <w:rFonts w:ascii="Times New Roman" w:hAnsi="Times New Roman"/>
                <w:b/>
                <w:szCs w:val="22"/>
              </w:rPr>
              <w:t xml:space="preserve"> </w:t>
            </w:r>
            <w:r w:rsidRPr="00A3002B">
              <w:rPr>
                <w:rFonts w:ascii="Times New Roman" w:hAnsi="Times New Roman"/>
                <w:bCs/>
                <w:i/>
                <w:iCs/>
                <w:szCs w:val="22"/>
              </w:rPr>
              <w:t>(</w:t>
            </w:r>
            <w:proofErr w:type="spellStart"/>
            <w:r w:rsidRPr="00A3002B">
              <w:rPr>
                <w:rFonts w:ascii="Times New Roman" w:hAnsi="Times New Roman"/>
                <w:bCs/>
                <w:i/>
                <w:iCs/>
                <w:szCs w:val="22"/>
              </w:rPr>
              <w:t>Cynodon</w:t>
            </w:r>
            <w:proofErr w:type="spellEnd"/>
            <w:r w:rsidRPr="00A3002B">
              <w:rPr>
                <w:rFonts w:ascii="Times New Roman" w:hAnsi="Times New Roman"/>
                <w:bCs/>
                <w:i/>
                <w:iCs/>
                <w:szCs w:val="22"/>
              </w:rPr>
              <w:t xml:space="preserve"> </w:t>
            </w:r>
            <w:proofErr w:type="spellStart"/>
            <w:r w:rsidRPr="00A3002B">
              <w:rPr>
                <w:rFonts w:ascii="Times New Roman" w:hAnsi="Times New Roman"/>
                <w:bCs/>
                <w:i/>
                <w:iCs/>
                <w:szCs w:val="22"/>
              </w:rPr>
              <w:t>dactylon</w:t>
            </w:r>
            <w:proofErr w:type="spellEnd"/>
            <w:r w:rsidRPr="00A3002B">
              <w:rPr>
                <w:rFonts w:ascii="Times New Roman" w:hAnsi="Times New Roman"/>
                <w:bCs/>
                <w:i/>
                <w:iCs/>
                <w:szCs w:val="22"/>
              </w:rPr>
              <w:t>)</w:t>
            </w:r>
          </w:p>
        </w:tc>
        <w:tc>
          <w:tcPr>
            <w:tcW w:w="635" w:type="dxa"/>
            <w:vAlign w:val="center"/>
          </w:tcPr>
          <w:p w14:paraId="589D79D7"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2C58176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4A87A72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5123AAD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605D5AE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8CF617B" w14:textId="77777777" w:rsidTr="00FC3F7B">
        <w:tblPrEx>
          <w:jc w:val="left"/>
        </w:tblPrEx>
        <w:trPr>
          <w:trHeight w:val="107"/>
        </w:trPr>
        <w:tc>
          <w:tcPr>
            <w:tcW w:w="623" w:type="dxa"/>
            <w:vMerge/>
          </w:tcPr>
          <w:p w14:paraId="72519A75"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3F9F7802"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63CBC828" w14:textId="77777777" w:rsidR="003B5C1D" w:rsidRPr="00A3002B" w:rsidRDefault="003B5C1D" w:rsidP="00FC3F7B">
            <w:pPr>
              <w:spacing w:after="0"/>
              <w:jc w:val="center"/>
              <w:rPr>
                <w:rFonts w:ascii="Times New Roman" w:hAnsi="Times New Roman"/>
                <w:bCs/>
                <w:iCs/>
                <w:szCs w:val="22"/>
              </w:rPr>
            </w:pPr>
          </w:p>
        </w:tc>
        <w:tc>
          <w:tcPr>
            <w:tcW w:w="1890" w:type="dxa"/>
            <w:vMerge/>
          </w:tcPr>
          <w:p w14:paraId="1BCA81CC"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42E22BBA"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9B45662"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bCs/>
                <w:szCs w:val="22"/>
              </w:rPr>
              <w:t>Chapra</w:t>
            </w:r>
            <w:proofErr w:type="spellEnd"/>
            <w:r w:rsidRPr="00A3002B">
              <w:rPr>
                <w:rFonts w:ascii="Times New Roman" w:hAnsi="Times New Roman"/>
                <w:szCs w:val="22"/>
              </w:rPr>
              <w:t xml:space="preserve"> </w:t>
            </w:r>
            <w:r w:rsidRPr="00A3002B">
              <w:rPr>
                <w:rFonts w:ascii="Times New Roman" w:hAnsi="Times New Roman"/>
                <w:i/>
                <w:iCs/>
                <w:szCs w:val="22"/>
              </w:rPr>
              <w:t>(</w:t>
            </w:r>
            <w:proofErr w:type="spellStart"/>
            <w:r w:rsidRPr="00A3002B">
              <w:rPr>
                <w:rFonts w:ascii="Times New Roman" w:hAnsi="Times New Roman"/>
                <w:i/>
                <w:iCs/>
                <w:szCs w:val="22"/>
              </w:rPr>
              <w:t>Eleusine</w:t>
            </w:r>
            <w:proofErr w:type="spellEnd"/>
            <w:r w:rsidRPr="00A3002B">
              <w:rPr>
                <w:rFonts w:ascii="Times New Roman" w:hAnsi="Times New Roman"/>
                <w:i/>
                <w:iCs/>
                <w:szCs w:val="22"/>
              </w:rPr>
              <w:t xml:space="preserve"> </w:t>
            </w:r>
            <w:proofErr w:type="spellStart"/>
            <w:r w:rsidRPr="00A3002B">
              <w:rPr>
                <w:rFonts w:ascii="Times New Roman" w:hAnsi="Times New Roman"/>
                <w:i/>
                <w:iCs/>
                <w:szCs w:val="22"/>
              </w:rPr>
              <w:t>indica</w:t>
            </w:r>
            <w:proofErr w:type="spellEnd"/>
            <w:r w:rsidRPr="00A3002B">
              <w:rPr>
                <w:rFonts w:ascii="Times New Roman" w:hAnsi="Times New Roman"/>
                <w:i/>
                <w:iCs/>
                <w:szCs w:val="22"/>
              </w:rPr>
              <w:t>)</w:t>
            </w:r>
          </w:p>
        </w:tc>
        <w:tc>
          <w:tcPr>
            <w:tcW w:w="635" w:type="dxa"/>
            <w:vAlign w:val="center"/>
          </w:tcPr>
          <w:p w14:paraId="1662E950"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6B9D515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0D4668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61126E7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1B25EBA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721B38" w:rsidRPr="00A3002B" w14:paraId="37CCA9D3" w14:textId="77777777" w:rsidTr="00877909">
        <w:tblPrEx>
          <w:jc w:val="left"/>
        </w:tblPrEx>
        <w:trPr>
          <w:trHeight w:val="107"/>
        </w:trPr>
        <w:tc>
          <w:tcPr>
            <w:tcW w:w="6295" w:type="dxa"/>
            <w:gridSpan w:val="5"/>
            <w:vMerge w:val="restart"/>
          </w:tcPr>
          <w:p w14:paraId="7D37B7CC" w14:textId="77777777" w:rsidR="00721B38" w:rsidRPr="00A3002B" w:rsidRDefault="00721B38"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5D9304D8" w14:textId="7F43B24A" w:rsidR="00721B38" w:rsidRPr="00A3002B" w:rsidRDefault="00721B38" w:rsidP="00FC3F7B">
            <w:pPr>
              <w:spacing w:after="0"/>
              <w:rPr>
                <w:rFonts w:ascii="Times New Roman" w:hAnsi="Times New Roman"/>
                <w:b/>
                <w:bCs/>
                <w:szCs w:val="22"/>
              </w:rPr>
            </w:pPr>
            <w:r w:rsidRPr="00A3002B">
              <w:rPr>
                <w:rFonts w:ascii="Times New Roman" w:hAnsi="Times New Roman"/>
                <w:b/>
                <w:bCs/>
                <w:szCs w:val="22"/>
              </w:rPr>
              <w:t>% CV</w:t>
            </w:r>
          </w:p>
        </w:tc>
        <w:tc>
          <w:tcPr>
            <w:tcW w:w="635" w:type="dxa"/>
            <w:vAlign w:val="center"/>
          </w:tcPr>
          <w:p w14:paraId="6C2DB67F" w14:textId="4DCDAFD1" w:rsidR="00721B38" w:rsidRPr="00A3002B" w:rsidRDefault="00721B38" w:rsidP="00FC3F7B">
            <w:pPr>
              <w:spacing w:after="0"/>
              <w:jc w:val="center"/>
              <w:rPr>
                <w:rFonts w:ascii="Times New Roman" w:hAnsi="Times New Roman"/>
                <w:szCs w:val="22"/>
              </w:rPr>
            </w:pPr>
            <w:r w:rsidRPr="00A3002B">
              <w:rPr>
                <w:rFonts w:ascii="Times New Roman" w:hAnsi="Times New Roman"/>
                <w:szCs w:val="22"/>
              </w:rPr>
              <w:t>2.34</w:t>
            </w:r>
          </w:p>
        </w:tc>
        <w:tc>
          <w:tcPr>
            <w:tcW w:w="630" w:type="dxa"/>
            <w:vAlign w:val="center"/>
          </w:tcPr>
          <w:p w14:paraId="30BF12C9" w14:textId="4AA9ED7C"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2.69</w:t>
            </w:r>
          </w:p>
        </w:tc>
        <w:tc>
          <w:tcPr>
            <w:tcW w:w="720" w:type="dxa"/>
            <w:vAlign w:val="center"/>
          </w:tcPr>
          <w:p w14:paraId="2D406B2F" w14:textId="2E3DB7E5"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2.77</w:t>
            </w:r>
          </w:p>
        </w:tc>
        <w:tc>
          <w:tcPr>
            <w:tcW w:w="630" w:type="dxa"/>
            <w:vAlign w:val="center"/>
          </w:tcPr>
          <w:p w14:paraId="1B5CAC77" w14:textId="6E59BE4A"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1.79</w:t>
            </w:r>
          </w:p>
        </w:tc>
        <w:tc>
          <w:tcPr>
            <w:tcW w:w="1263" w:type="dxa"/>
            <w:vMerge w:val="restart"/>
            <w:vAlign w:val="center"/>
          </w:tcPr>
          <w:p w14:paraId="4D510228" w14:textId="77777777" w:rsidR="00721B38" w:rsidRPr="00A3002B" w:rsidRDefault="00721B38" w:rsidP="00FC3F7B">
            <w:pPr>
              <w:spacing w:after="0"/>
              <w:ind w:left="-15" w:right="-21"/>
              <w:jc w:val="center"/>
              <w:rPr>
                <w:rFonts w:ascii="Times New Roman" w:hAnsi="Times New Roman"/>
                <w:szCs w:val="22"/>
              </w:rPr>
            </w:pPr>
          </w:p>
        </w:tc>
      </w:tr>
      <w:tr w:rsidR="00721B38" w:rsidRPr="00A3002B" w14:paraId="1A338F84" w14:textId="77777777" w:rsidTr="00877909">
        <w:tblPrEx>
          <w:jc w:val="left"/>
        </w:tblPrEx>
        <w:trPr>
          <w:trHeight w:val="107"/>
        </w:trPr>
        <w:tc>
          <w:tcPr>
            <w:tcW w:w="6295" w:type="dxa"/>
            <w:gridSpan w:val="5"/>
            <w:vMerge/>
          </w:tcPr>
          <w:p w14:paraId="17AD613F" w14:textId="77777777" w:rsidR="00721B38" w:rsidRPr="00A3002B" w:rsidRDefault="00721B38"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1786BB3" w14:textId="33ECCDC5" w:rsidR="00721B38" w:rsidRPr="00A3002B" w:rsidRDefault="00721B38" w:rsidP="00FC3F7B">
            <w:pPr>
              <w:spacing w:after="0"/>
              <w:rPr>
                <w:rFonts w:ascii="Times New Roman" w:hAnsi="Times New Roman"/>
                <w:b/>
                <w:bCs/>
                <w:szCs w:val="22"/>
              </w:rPr>
            </w:pPr>
            <w:proofErr w:type="gramStart"/>
            <w:r w:rsidRPr="00A3002B">
              <w:rPr>
                <w:rFonts w:ascii="Times New Roman" w:hAnsi="Times New Roman"/>
                <w:b/>
                <w:bCs/>
                <w:szCs w:val="22"/>
              </w:rPr>
              <w:t>LSD(</w:t>
            </w:r>
            <w:proofErr w:type="gramEnd"/>
            <w:r w:rsidRPr="00A3002B">
              <w:rPr>
                <w:rFonts w:ascii="Times New Roman" w:hAnsi="Times New Roman"/>
                <w:b/>
                <w:bCs/>
                <w:szCs w:val="22"/>
              </w:rPr>
              <w:t>0.05)</w:t>
            </w:r>
          </w:p>
        </w:tc>
        <w:tc>
          <w:tcPr>
            <w:tcW w:w="635" w:type="dxa"/>
            <w:vAlign w:val="center"/>
          </w:tcPr>
          <w:p w14:paraId="33C8AC9C" w14:textId="1F0C539B" w:rsidR="00721B38" w:rsidRPr="00A3002B" w:rsidRDefault="00721B38" w:rsidP="00FC3F7B">
            <w:pPr>
              <w:spacing w:after="0"/>
              <w:jc w:val="center"/>
              <w:rPr>
                <w:rFonts w:ascii="Times New Roman" w:hAnsi="Times New Roman"/>
                <w:szCs w:val="22"/>
              </w:rPr>
            </w:pPr>
            <w:r w:rsidRPr="00A3002B">
              <w:rPr>
                <w:rFonts w:ascii="Times New Roman" w:hAnsi="Times New Roman"/>
                <w:szCs w:val="22"/>
              </w:rPr>
              <w:t>0.87</w:t>
            </w:r>
          </w:p>
        </w:tc>
        <w:tc>
          <w:tcPr>
            <w:tcW w:w="630" w:type="dxa"/>
            <w:vAlign w:val="center"/>
          </w:tcPr>
          <w:p w14:paraId="3492BCCE" w14:textId="25B04720"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1.01</w:t>
            </w:r>
          </w:p>
        </w:tc>
        <w:tc>
          <w:tcPr>
            <w:tcW w:w="720" w:type="dxa"/>
            <w:vAlign w:val="center"/>
          </w:tcPr>
          <w:p w14:paraId="7C620665" w14:textId="1E6F9202"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1.03</w:t>
            </w:r>
          </w:p>
        </w:tc>
        <w:tc>
          <w:tcPr>
            <w:tcW w:w="630" w:type="dxa"/>
            <w:vAlign w:val="center"/>
          </w:tcPr>
          <w:p w14:paraId="579C4F8B" w14:textId="070D7D9E"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0.67</w:t>
            </w:r>
          </w:p>
        </w:tc>
        <w:tc>
          <w:tcPr>
            <w:tcW w:w="1263" w:type="dxa"/>
            <w:vMerge/>
            <w:vAlign w:val="center"/>
          </w:tcPr>
          <w:p w14:paraId="22A47545" w14:textId="77777777" w:rsidR="00721B38" w:rsidRPr="00A3002B" w:rsidRDefault="00721B38" w:rsidP="00FC3F7B">
            <w:pPr>
              <w:spacing w:after="0"/>
              <w:ind w:left="-15" w:right="-21"/>
              <w:jc w:val="center"/>
              <w:rPr>
                <w:rFonts w:ascii="Times New Roman" w:hAnsi="Times New Roman"/>
                <w:szCs w:val="22"/>
              </w:rPr>
            </w:pPr>
          </w:p>
        </w:tc>
      </w:tr>
    </w:tbl>
    <w:p w14:paraId="66DB7B68" w14:textId="77777777" w:rsidR="003B5C1D" w:rsidRPr="00A3002B" w:rsidRDefault="003B5C1D" w:rsidP="003B5C1D">
      <w:pPr>
        <w:spacing w:after="0"/>
        <w:ind w:right="-29"/>
        <w:jc w:val="both"/>
        <w:rPr>
          <w:rFonts w:ascii="Times New Roman" w:hAnsi="Times New Roman"/>
          <w:b/>
          <w:sz w:val="24"/>
          <w:szCs w:val="24"/>
        </w:rPr>
      </w:pPr>
      <w:r w:rsidRPr="00A3002B">
        <w:rPr>
          <w:rFonts w:ascii="Times New Roman" w:hAnsi="Times New Roman"/>
          <w:b/>
          <w:sz w:val="24"/>
          <w:szCs w:val="24"/>
        </w:rPr>
        <w:t xml:space="preserve"> </w:t>
      </w:r>
    </w:p>
    <w:p w14:paraId="0F263826" w14:textId="77777777" w:rsidR="009E1815" w:rsidRDefault="005A48BC" w:rsidP="003B5C1D">
      <w:pPr>
        <w:spacing w:after="0"/>
        <w:ind w:right="-29"/>
        <w:jc w:val="both"/>
        <w:rPr>
          <w:rFonts w:ascii="Times New Roman" w:hAnsi="Times New Roman"/>
          <w:b/>
          <w:sz w:val="24"/>
          <w:szCs w:val="24"/>
        </w:rPr>
      </w:pPr>
      <w:r w:rsidRPr="00A3002B">
        <w:rPr>
          <w:rFonts w:ascii="Times New Roman" w:hAnsi="Times New Roman"/>
          <w:b/>
          <w:sz w:val="24"/>
          <w:szCs w:val="24"/>
        </w:rPr>
        <w:t xml:space="preserve">4. </w:t>
      </w:r>
      <w:r w:rsidR="003B5C1D" w:rsidRPr="00A3002B">
        <w:rPr>
          <w:rFonts w:ascii="Times New Roman" w:hAnsi="Times New Roman"/>
          <w:b/>
          <w:sz w:val="24"/>
          <w:szCs w:val="24"/>
        </w:rPr>
        <w:t xml:space="preserve">Conclusion:  </w:t>
      </w:r>
    </w:p>
    <w:p w14:paraId="0D1A28D0" w14:textId="79D22D71" w:rsidR="003B5C1D" w:rsidRPr="00A3002B" w:rsidRDefault="009E1815" w:rsidP="003B5C1D">
      <w:pPr>
        <w:spacing w:after="0"/>
        <w:ind w:right="-29"/>
        <w:jc w:val="both"/>
        <w:rPr>
          <w:rFonts w:ascii="Times New Roman" w:hAnsi="Times New Roman"/>
          <w:b/>
          <w:sz w:val="24"/>
          <w:szCs w:val="24"/>
        </w:rPr>
        <w:sectPr w:rsidR="003B5C1D" w:rsidRPr="00A3002B" w:rsidSect="003B5C1D">
          <w:pgSz w:w="15840" w:h="12240" w:orient="landscape"/>
          <w:pgMar w:top="1440" w:right="1440" w:bottom="1440" w:left="1440" w:header="720" w:footer="720" w:gutter="0"/>
          <w:cols w:space="720"/>
          <w:docGrid w:linePitch="360"/>
        </w:sectPr>
      </w:pPr>
      <w:r w:rsidRPr="009E1815">
        <w:rPr>
          <w:rFonts w:ascii="Times New Roman" w:hAnsi="Times New Roman"/>
          <w:sz w:val="24"/>
          <w:szCs w:val="24"/>
        </w:rPr>
        <w:t xml:space="preserve">The field evaluation of 18 herbicide samples conducted across two </w:t>
      </w:r>
      <w:proofErr w:type="spellStart"/>
      <w:r w:rsidRPr="009E1815">
        <w:rPr>
          <w:rFonts w:ascii="Times New Roman" w:hAnsi="Times New Roman"/>
          <w:sz w:val="24"/>
          <w:szCs w:val="24"/>
        </w:rPr>
        <w:t>agro</w:t>
      </w:r>
      <w:proofErr w:type="spellEnd"/>
      <w:r w:rsidRPr="009E1815">
        <w:rPr>
          <w:rFonts w:ascii="Times New Roman" w:hAnsi="Times New Roman"/>
          <w:sz w:val="24"/>
          <w:szCs w:val="24"/>
        </w:rPr>
        <w:t xml:space="preserve">-ecological sites over two consecutive years (four seasons) demonstrated that all tested weedicides provided satisfactory control of major weeds commonly found in jute fields, including </w:t>
      </w:r>
      <w:proofErr w:type="spellStart"/>
      <w:r w:rsidRPr="009E1815">
        <w:rPr>
          <w:rFonts w:ascii="Times New Roman" w:hAnsi="Times New Roman"/>
          <w:sz w:val="24"/>
          <w:szCs w:val="24"/>
        </w:rPr>
        <w:t>Echinochloa</w:t>
      </w:r>
      <w:proofErr w:type="spellEnd"/>
      <w:r w:rsidRPr="009E1815">
        <w:rPr>
          <w:rFonts w:ascii="Times New Roman" w:hAnsi="Times New Roman"/>
          <w:sz w:val="24"/>
          <w:szCs w:val="24"/>
        </w:rPr>
        <w:t xml:space="preserve"> </w:t>
      </w:r>
      <w:proofErr w:type="spellStart"/>
      <w:r w:rsidRPr="009E1815">
        <w:rPr>
          <w:rFonts w:ascii="Times New Roman" w:hAnsi="Times New Roman"/>
          <w:sz w:val="24"/>
          <w:szCs w:val="24"/>
        </w:rPr>
        <w:t>colona</w:t>
      </w:r>
      <w:proofErr w:type="spellEnd"/>
      <w:r w:rsidRPr="009E1815">
        <w:rPr>
          <w:rFonts w:ascii="Times New Roman" w:hAnsi="Times New Roman"/>
          <w:sz w:val="24"/>
          <w:szCs w:val="24"/>
        </w:rPr>
        <w:t xml:space="preserve">, </w:t>
      </w:r>
      <w:proofErr w:type="spellStart"/>
      <w:r w:rsidRPr="009E1815">
        <w:rPr>
          <w:rFonts w:ascii="Times New Roman" w:hAnsi="Times New Roman"/>
          <w:sz w:val="24"/>
          <w:szCs w:val="24"/>
        </w:rPr>
        <w:t>Digitaria</w:t>
      </w:r>
      <w:proofErr w:type="spellEnd"/>
      <w:r w:rsidRPr="009E1815">
        <w:rPr>
          <w:rFonts w:ascii="Times New Roman" w:hAnsi="Times New Roman"/>
          <w:sz w:val="24"/>
          <w:szCs w:val="24"/>
        </w:rPr>
        <w:t xml:space="preserve"> </w:t>
      </w:r>
      <w:proofErr w:type="spellStart"/>
      <w:r w:rsidRPr="009E1815">
        <w:rPr>
          <w:rFonts w:ascii="Times New Roman" w:hAnsi="Times New Roman"/>
          <w:sz w:val="24"/>
          <w:szCs w:val="24"/>
        </w:rPr>
        <w:t>sanguinalis</w:t>
      </w:r>
      <w:proofErr w:type="spellEnd"/>
      <w:r w:rsidRPr="009E1815">
        <w:rPr>
          <w:rFonts w:ascii="Times New Roman" w:hAnsi="Times New Roman"/>
          <w:sz w:val="24"/>
          <w:szCs w:val="24"/>
        </w:rPr>
        <w:t xml:space="preserve">, </w:t>
      </w:r>
      <w:proofErr w:type="spellStart"/>
      <w:r w:rsidRPr="009E1815">
        <w:rPr>
          <w:rFonts w:ascii="Times New Roman" w:hAnsi="Times New Roman"/>
          <w:sz w:val="24"/>
          <w:szCs w:val="24"/>
        </w:rPr>
        <w:t>Cyperus</w:t>
      </w:r>
      <w:proofErr w:type="spellEnd"/>
      <w:r w:rsidRPr="009E1815">
        <w:rPr>
          <w:rFonts w:ascii="Times New Roman" w:hAnsi="Times New Roman"/>
          <w:sz w:val="24"/>
          <w:szCs w:val="24"/>
        </w:rPr>
        <w:t xml:space="preserve"> </w:t>
      </w:r>
      <w:proofErr w:type="spellStart"/>
      <w:r w:rsidRPr="009E1815">
        <w:rPr>
          <w:rFonts w:ascii="Times New Roman" w:hAnsi="Times New Roman"/>
          <w:sz w:val="24"/>
          <w:szCs w:val="24"/>
        </w:rPr>
        <w:t>rotundus</w:t>
      </w:r>
      <w:proofErr w:type="spellEnd"/>
      <w:r w:rsidRPr="009E1815">
        <w:rPr>
          <w:rFonts w:ascii="Times New Roman" w:hAnsi="Times New Roman"/>
          <w:sz w:val="24"/>
          <w:szCs w:val="24"/>
        </w:rPr>
        <w:t xml:space="preserve">, </w:t>
      </w:r>
      <w:proofErr w:type="spellStart"/>
      <w:r w:rsidRPr="009E1815">
        <w:rPr>
          <w:rFonts w:ascii="Times New Roman" w:hAnsi="Times New Roman"/>
          <w:sz w:val="24"/>
          <w:szCs w:val="24"/>
        </w:rPr>
        <w:t>Cynodon</w:t>
      </w:r>
      <w:proofErr w:type="spellEnd"/>
      <w:r w:rsidRPr="009E1815">
        <w:rPr>
          <w:rFonts w:ascii="Times New Roman" w:hAnsi="Times New Roman"/>
          <w:sz w:val="24"/>
          <w:szCs w:val="24"/>
        </w:rPr>
        <w:t xml:space="preserve"> </w:t>
      </w:r>
      <w:proofErr w:type="spellStart"/>
      <w:r w:rsidRPr="009E1815">
        <w:rPr>
          <w:rFonts w:ascii="Times New Roman" w:hAnsi="Times New Roman"/>
          <w:sz w:val="24"/>
          <w:szCs w:val="24"/>
        </w:rPr>
        <w:t>dactylon</w:t>
      </w:r>
      <w:proofErr w:type="spellEnd"/>
      <w:r w:rsidRPr="009E1815">
        <w:rPr>
          <w:rFonts w:ascii="Times New Roman" w:hAnsi="Times New Roman"/>
          <w:sz w:val="24"/>
          <w:szCs w:val="24"/>
        </w:rPr>
        <w:t xml:space="preserve">, and </w:t>
      </w:r>
      <w:proofErr w:type="spellStart"/>
      <w:r w:rsidRPr="009E1815">
        <w:rPr>
          <w:rFonts w:ascii="Times New Roman" w:hAnsi="Times New Roman"/>
          <w:sz w:val="24"/>
          <w:szCs w:val="24"/>
        </w:rPr>
        <w:t>Eleusine</w:t>
      </w:r>
      <w:proofErr w:type="spellEnd"/>
      <w:r w:rsidRPr="009E1815">
        <w:rPr>
          <w:rFonts w:ascii="Times New Roman" w:hAnsi="Times New Roman"/>
          <w:sz w:val="24"/>
          <w:szCs w:val="24"/>
        </w:rPr>
        <w:t xml:space="preserve"> indica. Among the treatments, herbicides containing </w:t>
      </w:r>
      <w:proofErr w:type="spellStart"/>
      <w:r w:rsidRPr="009E1815">
        <w:rPr>
          <w:rFonts w:ascii="Times New Roman" w:hAnsi="Times New Roman"/>
          <w:sz w:val="24"/>
          <w:szCs w:val="24"/>
        </w:rPr>
        <w:t>Quizalofop</w:t>
      </w:r>
      <w:proofErr w:type="spellEnd"/>
      <w:r w:rsidRPr="009E1815">
        <w:rPr>
          <w:rFonts w:ascii="Times New Roman" w:hAnsi="Times New Roman"/>
          <w:sz w:val="24"/>
          <w:szCs w:val="24"/>
        </w:rPr>
        <w:t xml:space="preserve">-p-ethyl alone or in combination with </w:t>
      </w:r>
      <w:proofErr w:type="spellStart"/>
      <w:r w:rsidRPr="009E1815">
        <w:rPr>
          <w:rFonts w:ascii="Times New Roman" w:hAnsi="Times New Roman"/>
          <w:sz w:val="24"/>
          <w:szCs w:val="24"/>
        </w:rPr>
        <w:t>Ethoxysulfuron</w:t>
      </w:r>
      <w:proofErr w:type="spellEnd"/>
      <w:r w:rsidRPr="009E1815">
        <w:rPr>
          <w:rFonts w:ascii="Times New Roman" w:hAnsi="Times New Roman"/>
          <w:sz w:val="24"/>
          <w:szCs w:val="24"/>
        </w:rPr>
        <w:t xml:space="preserve">, as well as </w:t>
      </w:r>
      <w:proofErr w:type="spellStart"/>
      <w:r w:rsidRPr="009E1815">
        <w:rPr>
          <w:rFonts w:ascii="Times New Roman" w:hAnsi="Times New Roman"/>
          <w:sz w:val="24"/>
          <w:szCs w:val="24"/>
        </w:rPr>
        <w:t>Glufosinate</w:t>
      </w:r>
      <w:proofErr w:type="spellEnd"/>
      <w:r w:rsidRPr="009E1815">
        <w:rPr>
          <w:rFonts w:ascii="Times New Roman" w:hAnsi="Times New Roman"/>
          <w:sz w:val="24"/>
          <w:szCs w:val="24"/>
        </w:rPr>
        <w:t xml:space="preserve">-ammonium-based formulations, consistently achieved high levels of weed control (up to 85% effectiveness). Products such as </w:t>
      </w:r>
      <w:proofErr w:type="spellStart"/>
      <w:r w:rsidRPr="009E1815">
        <w:rPr>
          <w:rFonts w:ascii="Times New Roman" w:hAnsi="Times New Roman"/>
          <w:sz w:val="24"/>
          <w:szCs w:val="24"/>
        </w:rPr>
        <w:t>Emifit</w:t>
      </w:r>
      <w:proofErr w:type="spellEnd"/>
      <w:r w:rsidRPr="009E1815">
        <w:rPr>
          <w:rFonts w:ascii="Times New Roman" w:hAnsi="Times New Roman"/>
          <w:sz w:val="24"/>
          <w:szCs w:val="24"/>
        </w:rPr>
        <w:t xml:space="preserve"> 50EC, </w:t>
      </w:r>
      <w:proofErr w:type="spellStart"/>
      <w:r w:rsidRPr="009E1815">
        <w:rPr>
          <w:rFonts w:ascii="Times New Roman" w:hAnsi="Times New Roman"/>
          <w:sz w:val="24"/>
          <w:szCs w:val="24"/>
        </w:rPr>
        <w:t>Natai</w:t>
      </w:r>
      <w:proofErr w:type="spellEnd"/>
      <w:r w:rsidRPr="009E1815">
        <w:rPr>
          <w:rFonts w:ascii="Times New Roman" w:hAnsi="Times New Roman"/>
          <w:sz w:val="24"/>
          <w:szCs w:val="24"/>
        </w:rPr>
        <w:t xml:space="preserve"> 21OD, Orin 72SL, and Cutter 50EC showed superior and stable performance across both locations and years. These results indicate that the tested herbicides </w:t>
      </w:r>
      <w:r w:rsidRPr="009E1815">
        <w:rPr>
          <w:rFonts w:ascii="Times New Roman" w:hAnsi="Times New Roman"/>
          <w:sz w:val="24"/>
          <w:szCs w:val="24"/>
        </w:rPr>
        <w:lastRenderedPageBreak/>
        <w:t>can be considered effective and reliable components of integrated weed management programs for jute cultivation. Their adoption could significantly reduce labor costs associated with manual weeding and contribute to increased crop productivity and profitability. Future studies should also assess the environmental safety and residual behavior of these herbicides to ensure sustainable jute production.</w:t>
      </w:r>
    </w:p>
    <w:p w14:paraId="14D937A0" w14:textId="77777777" w:rsidR="005A48BC" w:rsidRPr="00A3002B" w:rsidRDefault="005A48BC" w:rsidP="005A48BC">
      <w:pPr>
        <w:spacing w:after="160" w:line="256" w:lineRule="auto"/>
        <w:rPr>
          <w:rFonts w:ascii="Times New Roman" w:eastAsia="Calibri" w:hAnsi="Times New Roman"/>
          <w:b/>
          <w:bCs/>
          <w:kern w:val="2"/>
          <w:sz w:val="24"/>
          <w:szCs w:val="24"/>
          <w:lang w:bidi="ar-SA"/>
          <w14:ligatures w14:val="standardContextual"/>
        </w:rPr>
      </w:pPr>
      <w:bookmarkStart w:id="1" w:name="_GoBack"/>
      <w:bookmarkEnd w:id="1"/>
      <w:r w:rsidRPr="00A3002B">
        <w:rPr>
          <w:rFonts w:ascii="Times New Roman" w:eastAsia="Calibri" w:hAnsi="Times New Roman"/>
          <w:b/>
          <w:bCs/>
          <w:kern w:val="2"/>
          <w:sz w:val="24"/>
          <w:szCs w:val="24"/>
          <w:lang w:bidi="ar-SA"/>
          <w14:ligatures w14:val="standardContextual"/>
        </w:rPr>
        <w:lastRenderedPageBreak/>
        <w:t>Disclaimer (Artificial intelligence)</w:t>
      </w:r>
    </w:p>
    <w:p w14:paraId="5C0C63B3" w14:textId="6C37A3BA" w:rsidR="005A48BC" w:rsidRPr="00A3002B" w:rsidRDefault="005A48BC" w:rsidP="005A48BC">
      <w:pPr>
        <w:spacing w:after="160" w:line="256" w:lineRule="auto"/>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The author (s) hereby declare that NO generative AI technologies such as Large Language Models (ChatGPT, COPILOT, etc.) and text-to-image generators have been used during the writing or editing of this manuscript. </w:t>
      </w:r>
    </w:p>
    <w:p w14:paraId="015BEF36" w14:textId="2EDD7A5D" w:rsidR="003B461F" w:rsidRPr="00A3002B" w:rsidRDefault="005A48BC" w:rsidP="003B461F">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t xml:space="preserve">6. </w:t>
      </w:r>
      <w:r w:rsidR="003B461F" w:rsidRPr="00A3002B">
        <w:rPr>
          <w:rFonts w:ascii="Times New Roman" w:eastAsia="Calibri" w:hAnsi="Times New Roman"/>
          <w:b/>
          <w:bCs/>
          <w:kern w:val="2"/>
          <w:sz w:val="24"/>
          <w:szCs w:val="24"/>
          <w:lang w:bidi="ar-SA"/>
          <w14:ligatures w14:val="standardContextual"/>
        </w:rPr>
        <w:t>References</w:t>
      </w:r>
    </w:p>
    <w:p w14:paraId="3EF4A211"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Abbas, T., Zahir, Z. A., Naveed, M., &amp; Kremer, R. J. (2018). Limitations of existing weed control practices necessitate development of alternative techniques based on biological approaches. </w:t>
      </w:r>
      <w:r w:rsidRPr="00A3002B">
        <w:rPr>
          <w:rFonts w:ascii="Times New Roman" w:eastAsia="Calibri" w:hAnsi="Times New Roman"/>
          <w:i/>
          <w:iCs/>
          <w:kern w:val="2"/>
          <w:sz w:val="24"/>
          <w:szCs w:val="24"/>
          <w:lang w:bidi="ar-SA"/>
          <w14:ligatures w14:val="standardContextual"/>
        </w:rPr>
        <w:t>Advances in Agronomy, 147</w:t>
      </w:r>
      <w:r w:rsidRPr="00A3002B">
        <w:rPr>
          <w:rFonts w:ascii="Times New Roman" w:eastAsia="Calibri" w:hAnsi="Times New Roman"/>
          <w:kern w:val="2"/>
          <w:sz w:val="24"/>
          <w:szCs w:val="24"/>
          <w:lang w:bidi="ar-SA"/>
          <w14:ligatures w14:val="standardContextual"/>
        </w:rPr>
        <w:t xml:space="preserve">, 239–280. </w:t>
      </w:r>
      <w:hyperlink r:id="rId13"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https://doi.org/10.1016/bs.agron.2017.10.005</w:t>
        </w:r>
      </w:hyperlink>
    </w:p>
    <w:p w14:paraId="49FA298A"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Akter, S., </w:t>
      </w:r>
      <w:proofErr w:type="spellStart"/>
      <w:r w:rsidRPr="00A3002B">
        <w:rPr>
          <w:rFonts w:ascii="Times New Roman" w:eastAsia="Calibri" w:hAnsi="Times New Roman"/>
          <w:kern w:val="2"/>
          <w:sz w:val="24"/>
          <w:szCs w:val="24"/>
          <w:lang w:bidi="ar-SA"/>
          <w14:ligatures w14:val="standardContextual"/>
        </w:rPr>
        <w:t>Sadekin</w:t>
      </w:r>
      <w:proofErr w:type="spellEnd"/>
      <w:r w:rsidRPr="00A3002B">
        <w:rPr>
          <w:rFonts w:ascii="Times New Roman" w:eastAsia="Calibri" w:hAnsi="Times New Roman"/>
          <w:kern w:val="2"/>
          <w:sz w:val="24"/>
          <w:szCs w:val="24"/>
          <w:lang w:bidi="ar-SA"/>
          <w14:ligatures w14:val="standardContextual"/>
        </w:rPr>
        <w:t xml:space="preserve">, M. N., &amp; Islam, N. (2020). Jute and jute products of Bangladesh: Contributions and challenges. </w:t>
      </w:r>
      <w:r w:rsidRPr="00A3002B">
        <w:rPr>
          <w:rFonts w:ascii="Times New Roman" w:eastAsia="Calibri" w:hAnsi="Times New Roman"/>
          <w:i/>
          <w:iCs/>
          <w:kern w:val="2"/>
          <w:sz w:val="24"/>
          <w:szCs w:val="24"/>
          <w:lang w:bidi="ar-SA"/>
          <w14:ligatures w14:val="standardContextual"/>
        </w:rPr>
        <w:t>Asian Business Review, 10</w:t>
      </w:r>
      <w:r w:rsidRPr="00A3002B">
        <w:rPr>
          <w:rFonts w:ascii="Times New Roman" w:eastAsia="Calibri" w:hAnsi="Times New Roman"/>
          <w:kern w:val="2"/>
          <w:sz w:val="24"/>
          <w:szCs w:val="24"/>
          <w:lang w:bidi="ar-SA"/>
          <w14:ligatures w14:val="standardContextual"/>
        </w:rPr>
        <w:t xml:space="preserve">(3), 143–152. </w:t>
      </w:r>
      <w:hyperlink r:id="rId14"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https://doi.org/10.18034/abr.v10i3.480</w:t>
        </w:r>
      </w:hyperlink>
    </w:p>
    <w:p w14:paraId="1D185D6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Anonymous. (2022). </w:t>
      </w:r>
      <w:r w:rsidRPr="00A3002B">
        <w:rPr>
          <w:rFonts w:ascii="Times New Roman" w:eastAsia="Calibri" w:hAnsi="Times New Roman"/>
          <w:i/>
          <w:iCs/>
          <w:kern w:val="2"/>
          <w:sz w:val="24"/>
          <w:szCs w:val="24"/>
          <w:lang w:bidi="ar-SA"/>
          <w14:ligatures w14:val="standardContextual"/>
        </w:rPr>
        <w:t>Yearbook of Agricultural Statistics of Bangladesh.</w:t>
      </w:r>
      <w:r w:rsidRPr="00A3002B">
        <w:rPr>
          <w:rFonts w:ascii="Times New Roman" w:eastAsia="Calibri" w:hAnsi="Times New Roman"/>
          <w:kern w:val="2"/>
          <w:sz w:val="24"/>
          <w:szCs w:val="24"/>
          <w:lang w:bidi="ar-SA"/>
          <w14:ligatures w14:val="standardContextual"/>
        </w:rPr>
        <w:t xml:space="preserve"> Bangladesh Bureau of Statistics, Ministry of Planning, Government of the People’s Republic of Bangladesh, Dhaka, Bangladesh. </w:t>
      </w:r>
      <w:hyperlink r:id="rId15" w:tgtFrame="_new" w:history="1">
        <w:r w:rsidRPr="00A3002B">
          <w:rPr>
            <w:rFonts w:ascii="Times New Roman" w:eastAsia="Calibri" w:hAnsi="Times New Roman"/>
            <w:color w:val="0563C1" w:themeColor="hyperlink"/>
            <w:kern w:val="2"/>
            <w:sz w:val="24"/>
            <w:szCs w:val="24"/>
            <w:u w:val="single"/>
            <w:lang w:bidi="ar-SA"/>
            <w14:ligatures w14:val="standardContextual"/>
          </w:rPr>
          <w:t>https://bbs.gov.bd/site/page/453af260-6aea-4331-b4a5-7b66fe63ba61/Agriculture</w:t>
        </w:r>
      </w:hyperlink>
    </w:p>
    <w:p w14:paraId="4AC37907"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Bhuiyan, M. K. A., Mahbub, M. M., &amp; Baki, M. Z. I. (2018). Sensitivity of annual weeds against metolachlor + </w:t>
      </w:r>
      <w:proofErr w:type="spellStart"/>
      <w:r w:rsidRPr="00A3002B">
        <w:rPr>
          <w:rFonts w:ascii="Times New Roman" w:eastAsia="Calibri" w:hAnsi="Times New Roman"/>
          <w:kern w:val="2"/>
          <w:sz w:val="24"/>
          <w:szCs w:val="24"/>
          <w:lang w:bidi="ar-SA"/>
          <w14:ligatures w14:val="standardContextual"/>
        </w:rPr>
        <w:t>bensulfuron</w:t>
      </w:r>
      <w:proofErr w:type="spellEnd"/>
      <w:r w:rsidRPr="00A3002B">
        <w:rPr>
          <w:rFonts w:ascii="Times New Roman" w:eastAsia="Calibri" w:hAnsi="Times New Roman"/>
          <w:kern w:val="2"/>
          <w:sz w:val="24"/>
          <w:szCs w:val="24"/>
          <w:lang w:bidi="ar-SA"/>
          <w14:ligatures w14:val="standardContextual"/>
        </w:rPr>
        <w:t xml:space="preserve">-methyl herbicide in transplanted rice. </w:t>
      </w:r>
      <w:r w:rsidRPr="00A3002B">
        <w:rPr>
          <w:rFonts w:ascii="Times New Roman" w:eastAsia="Calibri" w:hAnsi="Times New Roman"/>
          <w:i/>
          <w:iCs/>
          <w:kern w:val="2"/>
          <w:sz w:val="24"/>
          <w:szCs w:val="24"/>
          <w:lang w:bidi="ar-SA"/>
          <w14:ligatures w14:val="standardContextual"/>
        </w:rPr>
        <w:t>Bangladesh Agronomy Journal, 21</w:t>
      </w:r>
      <w:r w:rsidRPr="00A3002B">
        <w:rPr>
          <w:rFonts w:ascii="Times New Roman" w:eastAsia="Calibri" w:hAnsi="Times New Roman"/>
          <w:kern w:val="2"/>
          <w:sz w:val="24"/>
          <w:szCs w:val="24"/>
          <w:lang w:bidi="ar-SA"/>
          <w14:ligatures w14:val="standardContextual"/>
        </w:rPr>
        <w:t xml:space="preserve">(1), 61–70. </w:t>
      </w:r>
      <w:hyperlink r:id="rId16"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https://doi.org/10.3329/baj.v21i1.39361</w:t>
        </w:r>
      </w:hyperlink>
    </w:p>
    <w:p w14:paraId="4806E81F"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Chakraborty, A., Biswas, S., Banerjee, R., Maji, S., &amp; Bandopadhyay, P. (2020). Spinoffs in mechano-chemical approach of weed-management practices in </w:t>
      </w:r>
      <w:proofErr w:type="spellStart"/>
      <w:r w:rsidRPr="00A3002B">
        <w:rPr>
          <w:rFonts w:ascii="Times New Roman" w:eastAsia="Calibri" w:hAnsi="Times New Roman"/>
          <w:kern w:val="2"/>
          <w:sz w:val="24"/>
          <w:szCs w:val="24"/>
          <w:lang w:bidi="ar-SA"/>
          <w14:ligatures w14:val="standardContextual"/>
        </w:rPr>
        <w:t>tossa</w:t>
      </w:r>
      <w:proofErr w:type="spellEnd"/>
      <w:r w:rsidRPr="00A3002B">
        <w:rPr>
          <w:rFonts w:ascii="Times New Roman" w:eastAsia="Calibri" w:hAnsi="Times New Roman"/>
          <w:kern w:val="2"/>
          <w:sz w:val="24"/>
          <w:szCs w:val="24"/>
          <w:lang w:bidi="ar-SA"/>
          <w14:ligatures w14:val="standardContextual"/>
        </w:rPr>
        <w:t xml:space="preserve"> jute (</w:t>
      </w:r>
      <w:r w:rsidRPr="00A3002B">
        <w:rPr>
          <w:rFonts w:ascii="Times New Roman" w:eastAsia="Calibri" w:hAnsi="Times New Roman"/>
          <w:i/>
          <w:iCs/>
          <w:kern w:val="2"/>
          <w:sz w:val="24"/>
          <w:szCs w:val="24"/>
          <w:lang w:bidi="ar-SA"/>
          <w14:ligatures w14:val="standardContextual"/>
        </w:rPr>
        <w:t xml:space="preserve">Corchorus </w:t>
      </w:r>
      <w:proofErr w:type="spellStart"/>
      <w:r w:rsidRPr="00A3002B">
        <w:rPr>
          <w:rFonts w:ascii="Times New Roman" w:eastAsia="Calibri" w:hAnsi="Times New Roman"/>
          <w:i/>
          <w:iCs/>
          <w:kern w:val="2"/>
          <w:sz w:val="24"/>
          <w:szCs w:val="24"/>
          <w:lang w:bidi="ar-SA"/>
          <w14:ligatures w14:val="standardContextual"/>
        </w:rPr>
        <w:t>olitorius</w:t>
      </w:r>
      <w:proofErr w:type="spellEnd"/>
      <w:r w:rsidRPr="00A3002B">
        <w:rPr>
          <w:rFonts w:ascii="Times New Roman" w:eastAsia="Calibri" w:hAnsi="Times New Roman"/>
          <w:kern w:val="2"/>
          <w:sz w:val="24"/>
          <w:szCs w:val="24"/>
          <w:lang w:bidi="ar-SA"/>
          <w14:ligatures w14:val="standardContextual"/>
        </w:rPr>
        <w:t xml:space="preserve">). </w:t>
      </w:r>
      <w:r w:rsidRPr="00A3002B">
        <w:rPr>
          <w:rFonts w:ascii="Times New Roman" w:eastAsia="Calibri" w:hAnsi="Times New Roman"/>
          <w:i/>
          <w:iCs/>
          <w:kern w:val="2"/>
          <w:sz w:val="24"/>
          <w:szCs w:val="24"/>
          <w:lang w:bidi="ar-SA"/>
          <w14:ligatures w14:val="standardContextual"/>
        </w:rPr>
        <w:t>Current Applied Science and Technology, 39</w:t>
      </w:r>
      <w:r w:rsidRPr="00A3002B">
        <w:rPr>
          <w:rFonts w:ascii="Times New Roman" w:eastAsia="Calibri" w:hAnsi="Times New Roman"/>
          <w:kern w:val="2"/>
          <w:sz w:val="24"/>
          <w:szCs w:val="24"/>
          <w:lang w:bidi="ar-SA"/>
          <w14:ligatures w14:val="standardContextual"/>
        </w:rPr>
        <w:t>, 62–72. https://doi.org/10.9734/cjast/2020/v39i430531</w:t>
      </w:r>
    </w:p>
    <w:p w14:paraId="4C03BA4A"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Charles, G. W., Sindel, B. M., Cowie, A. L., &amp; Knox, G. G. (2019). Determining the critical period for weed control in high-yielding cotton using common sunflower as a mimic weed. </w:t>
      </w:r>
      <w:r w:rsidRPr="00A3002B">
        <w:rPr>
          <w:rFonts w:ascii="Times New Roman" w:eastAsia="Calibri" w:hAnsi="Times New Roman"/>
          <w:i/>
          <w:iCs/>
          <w:kern w:val="2"/>
          <w:sz w:val="24"/>
          <w:szCs w:val="24"/>
          <w:lang w:bidi="ar-SA"/>
          <w14:ligatures w14:val="standardContextual"/>
        </w:rPr>
        <w:t>Weed Technology, 33</w:t>
      </w:r>
      <w:r w:rsidRPr="00A3002B">
        <w:rPr>
          <w:rFonts w:ascii="Times New Roman" w:eastAsia="Calibri" w:hAnsi="Times New Roman"/>
          <w:kern w:val="2"/>
          <w:sz w:val="24"/>
          <w:szCs w:val="24"/>
          <w:lang w:bidi="ar-SA"/>
          <w14:ligatures w14:val="standardContextual"/>
        </w:rPr>
        <w:t xml:space="preserve">, 800–807. </w:t>
      </w:r>
      <w:hyperlink r:id="rId17"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https://doi.org/10.1017/wet.2019.68</w:t>
        </w:r>
      </w:hyperlink>
    </w:p>
    <w:p w14:paraId="460E783B"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Ghorai, A. K. (2015). Integrated weed management in jute and allied </w:t>
      </w:r>
      <w:proofErr w:type="spellStart"/>
      <w:r w:rsidRPr="00A3002B">
        <w:rPr>
          <w:rFonts w:ascii="Times New Roman" w:eastAsia="Calibri" w:hAnsi="Times New Roman"/>
          <w:kern w:val="2"/>
          <w:sz w:val="24"/>
          <w:szCs w:val="24"/>
          <w:lang w:bidi="ar-SA"/>
          <w14:ligatures w14:val="standardContextual"/>
        </w:rPr>
        <w:t>fibre</w:t>
      </w:r>
      <w:proofErr w:type="spellEnd"/>
      <w:r w:rsidRPr="00A3002B">
        <w:rPr>
          <w:rFonts w:ascii="Times New Roman" w:eastAsia="Calibri" w:hAnsi="Times New Roman"/>
          <w:kern w:val="2"/>
          <w:sz w:val="24"/>
          <w:szCs w:val="24"/>
          <w:lang w:bidi="ar-SA"/>
          <w14:ligatures w14:val="standardContextual"/>
        </w:rPr>
        <w:t xml:space="preserve"> crops. In </w:t>
      </w:r>
      <w:r w:rsidRPr="00A3002B">
        <w:rPr>
          <w:rFonts w:ascii="Times New Roman" w:eastAsia="Calibri" w:hAnsi="Times New Roman"/>
          <w:i/>
          <w:iCs/>
          <w:kern w:val="2"/>
          <w:sz w:val="24"/>
          <w:szCs w:val="24"/>
          <w:lang w:bidi="ar-SA"/>
          <w14:ligatures w14:val="standardContextual"/>
        </w:rPr>
        <w:t xml:space="preserve">Training Manual: Technological Advances in Production of Jute and Allied </w:t>
      </w:r>
      <w:proofErr w:type="spellStart"/>
      <w:r w:rsidRPr="00A3002B">
        <w:rPr>
          <w:rFonts w:ascii="Times New Roman" w:eastAsia="Calibri" w:hAnsi="Times New Roman"/>
          <w:i/>
          <w:iCs/>
          <w:kern w:val="2"/>
          <w:sz w:val="24"/>
          <w:szCs w:val="24"/>
          <w:lang w:bidi="ar-SA"/>
          <w14:ligatures w14:val="standardContextual"/>
        </w:rPr>
        <w:t>Fibre</w:t>
      </w:r>
      <w:proofErr w:type="spellEnd"/>
      <w:r w:rsidRPr="00A3002B">
        <w:rPr>
          <w:rFonts w:ascii="Times New Roman" w:eastAsia="Calibri" w:hAnsi="Times New Roman"/>
          <w:i/>
          <w:iCs/>
          <w:kern w:val="2"/>
          <w:sz w:val="24"/>
          <w:szCs w:val="24"/>
          <w:lang w:bidi="ar-SA"/>
          <w14:ligatures w14:val="standardContextual"/>
        </w:rPr>
        <w:t xml:space="preserve"> Crops.</w:t>
      </w:r>
      <w:r w:rsidRPr="00A3002B">
        <w:rPr>
          <w:rFonts w:ascii="Times New Roman" w:eastAsia="Calibri" w:hAnsi="Times New Roman"/>
          <w:kern w:val="2"/>
          <w:sz w:val="24"/>
          <w:szCs w:val="24"/>
          <w:lang w:bidi="ar-SA"/>
          <w14:ligatures w14:val="standardContextual"/>
        </w:rPr>
        <w:t xml:space="preserve"> ICAR–Central Research Institute for Jute and Allied </w:t>
      </w:r>
      <w:proofErr w:type="spellStart"/>
      <w:r w:rsidRPr="00A3002B">
        <w:rPr>
          <w:rFonts w:ascii="Times New Roman" w:eastAsia="Calibri" w:hAnsi="Times New Roman"/>
          <w:kern w:val="2"/>
          <w:sz w:val="24"/>
          <w:szCs w:val="24"/>
          <w:lang w:bidi="ar-SA"/>
          <w14:ligatures w14:val="standardContextual"/>
        </w:rPr>
        <w:t>Fibres</w:t>
      </w:r>
      <w:proofErr w:type="spellEnd"/>
      <w:r w:rsidRPr="00A3002B">
        <w:rPr>
          <w:rFonts w:ascii="Times New Roman" w:eastAsia="Calibri" w:hAnsi="Times New Roman"/>
          <w:kern w:val="2"/>
          <w:sz w:val="24"/>
          <w:szCs w:val="24"/>
          <w:lang w:bidi="ar-SA"/>
          <w14:ligatures w14:val="standardContextual"/>
        </w:rPr>
        <w:t xml:space="preserve">, Barrackpore, India. </w:t>
      </w:r>
      <w:hyperlink r:id="rId18" w:tgtFrame="_new" w:history="1">
        <w:r w:rsidRPr="00A3002B">
          <w:rPr>
            <w:rFonts w:ascii="Times New Roman" w:eastAsia="Calibri" w:hAnsi="Times New Roman"/>
            <w:color w:val="0563C1" w:themeColor="hyperlink"/>
            <w:kern w:val="2"/>
            <w:sz w:val="24"/>
            <w:szCs w:val="24"/>
            <w:u w:val="single"/>
            <w:lang w:bidi="ar-SA"/>
            <w14:ligatures w14:val="standardContextual"/>
          </w:rPr>
          <w:t>https://www.researchgate.net/publication/304704489_Integrated_weed_management_in_jute</w:t>
        </w:r>
      </w:hyperlink>
    </w:p>
    <w:p w14:paraId="342756FC" w14:textId="3A6B7E5A"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lastRenderedPageBreak/>
        <w:t xml:space="preserve">Hossain, M. S., Sarker, U. K., Monira, S., Ali, M. I., Hasan, A. K., Kaysar, M. S., Anwar, M. P., Begum, M., Rashid, M. H., Hashem, A., Avila-Quezada, G. D., </w:t>
      </w:r>
      <w:proofErr w:type="spellStart"/>
      <w:r w:rsidRPr="00A3002B">
        <w:rPr>
          <w:rFonts w:ascii="Times New Roman" w:eastAsia="Calibri" w:hAnsi="Times New Roman"/>
          <w:kern w:val="2"/>
          <w:sz w:val="24"/>
          <w:szCs w:val="24"/>
          <w:lang w:bidi="ar-SA"/>
          <w14:ligatures w14:val="standardContextual"/>
        </w:rPr>
        <w:t>Abd_Allah</w:t>
      </w:r>
      <w:proofErr w:type="spellEnd"/>
      <w:r w:rsidRPr="00A3002B">
        <w:rPr>
          <w:rFonts w:ascii="Times New Roman" w:eastAsia="Calibri" w:hAnsi="Times New Roman"/>
          <w:kern w:val="2"/>
          <w:sz w:val="24"/>
          <w:szCs w:val="24"/>
          <w:lang w:bidi="ar-SA"/>
          <w14:ligatures w14:val="standardContextual"/>
        </w:rPr>
        <w:t>, E. F., &amp; Uddin, M. R. (2023). Determination of critical period for sustainable weed management and yield of jute (</w:t>
      </w:r>
      <w:r w:rsidRPr="00A3002B">
        <w:rPr>
          <w:rFonts w:ascii="Times New Roman" w:eastAsia="Calibri" w:hAnsi="Times New Roman"/>
          <w:i/>
          <w:iCs/>
          <w:kern w:val="2"/>
          <w:sz w:val="24"/>
          <w:szCs w:val="24"/>
          <w:lang w:bidi="ar-SA"/>
          <w14:ligatures w14:val="standardContextual"/>
        </w:rPr>
        <w:t xml:space="preserve">Corchorus </w:t>
      </w:r>
      <w:proofErr w:type="spellStart"/>
      <w:r w:rsidRPr="00A3002B">
        <w:rPr>
          <w:rFonts w:ascii="Times New Roman" w:eastAsia="Calibri" w:hAnsi="Times New Roman"/>
          <w:i/>
          <w:iCs/>
          <w:kern w:val="2"/>
          <w:sz w:val="24"/>
          <w:szCs w:val="24"/>
          <w:lang w:bidi="ar-SA"/>
          <w14:ligatures w14:val="standardContextual"/>
        </w:rPr>
        <w:t>olitorius</w:t>
      </w:r>
      <w:proofErr w:type="spellEnd"/>
      <w:r w:rsidRPr="00A3002B">
        <w:rPr>
          <w:rFonts w:ascii="Times New Roman" w:eastAsia="Calibri" w:hAnsi="Times New Roman"/>
          <w:kern w:val="2"/>
          <w:sz w:val="24"/>
          <w:szCs w:val="24"/>
          <w:lang w:bidi="ar-SA"/>
          <w14:ligatures w14:val="standardContextual"/>
        </w:rPr>
        <w:t xml:space="preserve"> L.) under sub-tropical condition. </w:t>
      </w:r>
      <w:r w:rsidRPr="00A3002B">
        <w:rPr>
          <w:rFonts w:ascii="Times New Roman" w:eastAsia="Calibri" w:hAnsi="Times New Roman"/>
          <w:i/>
          <w:iCs/>
          <w:kern w:val="2"/>
          <w:sz w:val="24"/>
          <w:szCs w:val="24"/>
          <w:lang w:bidi="ar-SA"/>
          <w14:ligatures w14:val="standardContextual"/>
        </w:rPr>
        <w:t>Sustainability, 15</w:t>
      </w:r>
      <w:r w:rsidRPr="00A3002B">
        <w:rPr>
          <w:rFonts w:ascii="Times New Roman" w:eastAsia="Calibri" w:hAnsi="Times New Roman"/>
          <w:kern w:val="2"/>
          <w:sz w:val="24"/>
          <w:szCs w:val="24"/>
          <w:lang w:bidi="ar-SA"/>
          <w14:ligatures w14:val="standardContextual"/>
        </w:rPr>
        <w:t xml:space="preserve">(12), 9282. </w:t>
      </w:r>
      <w:hyperlink r:id="rId19"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https://doi.org/10.3390/su15129282</w:t>
        </w:r>
      </w:hyperlink>
    </w:p>
    <w:p w14:paraId="6440DC6F"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Hossain, M. S., Sarker, U. K., Monira, S., Rashid, M. H., Hasan, A. K., Anwar, M. P., Begum, M., Hashem, A., Ibrahimova, U., Kumar, A., </w:t>
      </w:r>
      <w:proofErr w:type="spellStart"/>
      <w:r w:rsidRPr="00A3002B">
        <w:rPr>
          <w:rFonts w:ascii="Times New Roman" w:eastAsia="Calibri" w:hAnsi="Times New Roman"/>
          <w:kern w:val="2"/>
          <w:sz w:val="24"/>
          <w:szCs w:val="24"/>
          <w:lang w:bidi="ar-SA"/>
          <w14:ligatures w14:val="standardContextual"/>
        </w:rPr>
        <w:t>Abd_Allah</w:t>
      </w:r>
      <w:proofErr w:type="spellEnd"/>
      <w:r w:rsidRPr="00A3002B">
        <w:rPr>
          <w:rFonts w:ascii="Times New Roman" w:eastAsia="Calibri" w:hAnsi="Times New Roman"/>
          <w:kern w:val="2"/>
          <w:sz w:val="24"/>
          <w:szCs w:val="24"/>
          <w:lang w:bidi="ar-SA"/>
          <w14:ligatures w14:val="standardContextual"/>
        </w:rPr>
        <w:t>, E. F., &amp; Uddin, M. R. (2024). Evaluation of herbicides for weed control, phytotoxicity, and yield in dark jute (</w:t>
      </w:r>
      <w:r w:rsidRPr="00A3002B">
        <w:rPr>
          <w:rFonts w:ascii="Times New Roman" w:eastAsia="Calibri" w:hAnsi="Times New Roman"/>
          <w:i/>
          <w:iCs/>
          <w:kern w:val="2"/>
          <w:sz w:val="24"/>
          <w:szCs w:val="24"/>
          <w:lang w:bidi="ar-SA"/>
          <w14:ligatures w14:val="standardContextual"/>
        </w:rPr>
        <w:t xml:space="preserve">Corchorus </w:t>
      </w:r>
      <w:proofErr w:type="spellStart"/>
      <w:r w:rsidRPr="00A3002B">
        <w:rPr>
          <w:rFonts w:ascii="Times New Roman" w:eastAsia="Calibri" w:hAnsi="Times New Roman"/>
          <w:i/>
          <w:iCs/>
          <w:kern w:val="2"/>
          <w:sz w:val="24"/>
          <w:szCs w:val="24"/>
          <w:lang w:bidi="ar-SA"/>
          <w14:ligatures w14:val="standardContextual"/>
        </w:rPr>
        <w:t>olitorius</w:t>
      </w:r>
      <w:proofErr w:type="spellEnd"/>
      <w:r w:rsidRPr="00A3002B">
        <w:rPr>
          <w:rFonts w:ascii="Times New Roman" w:eastAsia="Calibri" w:hAnsi="Times New Roman"/>
          <w:kern w:val="2"/>
          <w:sz w:val="24"/>
          <w:szCs w:val="24"/>
          <w:lang w:bidi="ar-SA"/>
          <w14:ligatures w14:val="standardContextual"/>
        </w:rPr>
        <w:t xml:space="preserve"> L.) under subtropical conditions. </w:t>
      </w:r>
      <w:r w:rsidRPr="00A3002B">
        <w:rPr>
          <w:rFonts w:ascii="Times New Roman" w:eastAsia="Calibri" w:hAnsi="Times New Roman"/>
          <w:i/>
          <w:iCs/>
          <w:kern w:val="2"/>
          <w:sz w:val="24"/>
          <w:szCs w:val="24"/>
          <w:lang w:bidi="ar-SA"/>
          <w14:ligatures w14:val="standardContextual"/>
        </w:rPr>
        <w:t>Pakistan Journal of Botany, 56</w:t>
      </w:r>
      <w:r w:rsidRPr="00A3002B">
        <w:rPr>
          <w:rFonts w:ascii="Times New Roman" w:eastAsia="Calibri" w:hAnsi="Times New Roman"/>
          <w:kern w:val="2"/>
          <w:sz w:val="24"/>
          <w:szCs w:val="24"/>
          <w:lang w:bidi="ar-SA"/>
          <w14:ligatures w14:val="standardContextual"/>
        </w:rPr>
        <w:t xml:space="preserve">(4). </w:t>
      </w:r>
      <w:hyperlink r:id="rId20" w:tgtFrame="_new" w:history="1">
        <w:r w:rsidRPr="00A3002B">
          <w:rPr>
            <w:rFonts w:ascii="Times New Roman" w:eastAsia="Calibri" w:hAnsi="Times New Roman"/>
            <w:color w:val="0563C1" w:themeColor="hyperlink"/>
            <w:kern w:val="2"/>
            <w:sz w:val="24"/>
            <w:szCs w:val="24"/>
            <w:u w:val="single"/>
            <w:lang w:bidi="ar-SA"/>
            <w14:ligatures w14:val="standardContextual"/>
          </w:rPr>
          <w:t>http://dx.doi.org/10.30848/PJB2024-4(43)</w:t>
        </w:r>
      </w:hyperlink>
    </w:p>
    <w:p w14:paraId="275574D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Islam, A. K. M. M., </w:t>
      </w:r>
      <w:proofErr w:type="spellStart"/>
      <w:r w:rsidRPr="00A3002B">
        <w:rPr>
          <w:rFonts w:ascii="Times New Roman" w:eastAsia="Calibri" w:hAnsi="Times New Roman"/>
          <w:kern w:val="2"/>
          <w:sz w:val="24"/>
          <w:szCs w:val="24"/>
          <w:lang w:bidi="ar-SA"/>
          <w14:ligatures w14:val="standardContextual"/>
        </w:rPr>
        <w:t>Popy</w:t>
      </w:r>
      <w:proofErr w:type="spellEnd"/>
      <w:r w:rsidRPr="00A3002B">
        <w:rPr>
          <w:rFonts w:ascii="Times New Roman" w:eastAsia="Calibri" w:hAnsi="Times New Roman"/>
          <w:kern w:val="2"/>
          <w:sz w:val="24"/>
          <w:szCs w:val="24"/>
          <w:lang w:bidi="ar-SA"/>
          <w14:ligatures w14:val="standardContextual"/>
        </w:rPr>
        <w:t xml:space="preserve">, F. S., Hasan, A. K., &amp; Anwar, M. P. (2017). Efficacy and economics of herbicidal weed management in monsoon rice of Bangladesh. </w:t>
      </w:r>
      <w:r w:rsidRPr="00A3002B">
        <w:rPr>
          <w:rFonts w:ascii="Times New Roman" w:eastAsia="Calibri" w:hAnsi="Times New Roman"/>
          <w:i/>
          <w:iCs/>
          <w:kern w:val="2"/>
          <w:sz w:val="24"/>
          <w:szCs w:val="24"/>
          <w:lang w:bidi="ar-SA"/>
          <w14:ligatures w14:val="standardContextual"/>
        </w:rPr>
        <w:t>Journal of Science in Agriculture, 1</w:t>
      </w:r>
      <w:r w:rsidRPr="00A3002B">
        <w:rPr>
          <w:rFonts w:ascii="Times New Roman" w:eastAsia="Calibri" w:hAnsi="Times New Roman"/>
          <w:kern w:val="2"/>
          <w:sz w:val="24"/>
          <w:szCs w:val="24"/>
          <w:lang w:bidi="ar-SA"/>
          <w14:ligatures w14:val="standardContextual"/>
        </w:rPr>
        <w:t xml:space="preserve">, 275. </w:t>
      </w:r>
      <w:hyperlink r:id="rId21"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https://doi.org/10.25081/jsa.2017.v1.834</w:t>
        </w:r>
      </w:hyperlink>
    </w:p>
    <w:p w14:paraId="146FAF1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Islam, M. M., &amp; Ali, S. (2017). Agronomic research advances in jute crops of Bangladesh. </w:t>
      </w:r>
      <w:r w:rsidRPr="00A3002B">
        <w:rPr>
          <w:rFonts w:ascii="Times New Roman" w:eastAsia="Calibri" w:hAnsi="Times New Roman"/>
          <w:i/>
          <w:iCs/>
          <w:kern w:val="2"/>
          <w:sz w:val="24"/>
          <w:szCs w:val="24"/>
          <w:lang w:bidi="ar-SA"/>
          <w14:ligatures w14:val="standardContextual"/>
        </w:rPr>
        <w:t>AASCIT Journal of Biology, 3</w:t>
      </w:r>
      <w:r w:rsidRPr="00A3002B">
        <w:rPr>
          <w:rFonts w:ascii="Times New Roman" w:eastAsia="Calibri" w:hAnsi="Times New Roman"/>
          <w:kern w:val="2"/>
          <w:sz w:val="24"/>
          <w:szCs w:val="24"/>
          <w:lang w:bidi="ar-SA"/>
          <w14:ligatures w14:val="standardContextual"/>
        </w:rPr>
        <w:t xml:space="preserve">(6), 34–46. </w:t>
      </w:r>
      <w:hyperlink r:id="rId22" w:tgtFrame="_new" w:history="1">
        <w:r w:rsidRPr="00A3002B">
          <w:rPr>
            <w:rFonts w:ascii="Times New Roman" w:eastAsia="Calibri" w:hAnsi="Times New Roman"/>
            <w:color w:val="0563C1" w:themeColor="hyperlink"/>
            <w:kern w:val="2"/>
            <w:sz w:val="24"/>
            <w:szCs w:val="24"/>
            <w:u w:val="single"/>
            <w:lang w:bidi="ar-SA"/>
            <w14:ligatures w14:val="standardContextual"/>
          </w:rPr>
          <w:t>http://www.aascit.org/journal/biology</w:t>
        </w:r>
      </w:hyperlink>
    </w:p>
    <w:p w14:paraId="1B9C3F60"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Jena, S., Kumar, M., Mitra, S., </w:t>
      </w:r>
      <w:proofErr w:type="spellStart"/>
      <w:r w:rsidRPr="00A3002B">
        <w:rPr>
          <w:rFonts w:ascii="Times New Roman" w:eastAsia="Calibri" w:hAnsi="Times New Roman"/>
          <w:kern w:val="2"/>
          <w:sz w:val="24"/>
          <w:szCs w:val="24"/>
          <w:lang w:bidi="ar-SA"/>
          <w14:ligatures w14:val="standardContextual"/>
        </w:rPr>
        <w:t>Paikray</w:t>
      </w:r>
      <w:proofErr w:type="spellEnd"/>
      <w:r w:rsidRPr="00A3002B">
        <w:rPr>
          <w:rFonts w:ascii="Times New Roman" w:eastAsia="Calibri" w:hAnsi="Times New Roman"/>
          <w:kern w:val="2"/>
          <w:sz w:val="24"/>
          <w:szCs w:val="24"/>
          <w:lang w:bidi="ar-SA"/>
          <w14:ligatures w14:val="standardContextual"/>
        </w:rPr>
        <w:t xml:space="preserve">, R. K., &amp; Ghorai, A. K. (2017). Effect of weed management practices on productivity and profitability of jute </w:t>
      </w:r>
      <w:proofErr w:type="spellStart"/>
      <w:r w:rsidRPr="00A3002B">
        <w:rPr>
          <w:rFonts w:ascii="Times New Roman" w:eastAsia="Calibri" w:hAnsi="Times New Roman"/>
          <w:kern w:val="2"/>
          <w:sz w:val="24"/>
          <w:szCs w:val="24"/>
          <w:lang w:bidi="ar-SA"/>
          <w14:ligatures w14:val="standardContextual"/>
        </w:rPr>
        <w:t>fibre</w:t>
      </w:r>
      <w:proofErr w:type="spellEnd"/>
      <w:r w:rsidRPr="00A3002B">
        <w:rPr>
          <w:rFonts w:ascii="Times New Roman" w:eastAsia="Calibri" w:hAnsi="Times New Roman"/>
          <w:kern w:val="2"/>
          <w:sz w:val="24"/>
          <w:szCs w:val="24"/>
          <w:lang w:bidi="ar-SA"/>
          <w14:ligatures w14:val="standardContextual"/>
        </w:rPr>
        <w:t xml:space="preserve">. </w:t>
      </w:r>
      <w:r w:rsidRPr="00A3002B">
        <w:rPr>
          <w:rFonts w:ascii="Times New Roman" w:eastAsia="Calibri" w:hAnsi="Times New Roman"/>
          <w:i/>
          <w:iCs/>
          <w:kern w:val="2"/>
          <w:sz w:val="24"/>
          <w:szCs w:val="24"/>
          <w:lang w:bidi="ar-SA"/>
          <w14:ligatures w14:val="standardContextual"/>
        </w:rPr>
        <w:t>Indian Journal of Weed Science, 49</w:t>
      </w:r>
      <w:r w:rsidRPr="00A3002B">
        <w:rPr>
          <w:rFonts w:ascii="Times New Roman" w:eastAsia="Calibri" w:hAnsi="Times New Roman"/>
          <w:kern w:val="2"/>
          <w:sz w:val="24"/>
          <w:szCs w:val="24"/>
          <w:lang w:bidi="ar-SA"/>
          <w14:ligatures w14:val="standardContextual"/>
        </w:rPr>
        <w:t>, 381–384. https://doi.org/10.5958/0974-8164.2017.00098.3</w:t>
      </w:r>
    </w:p>
    <w:p w14:paraId="543806B0"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Karimi, A., </w:t>
      </w:r>
      <w:proofErr w:type="spellStart"/>
      <w:r w:rsidRPr="00A3002B">
        <w:rPr>
          <w:rFonts w:ascii="Times New Roman" w:eastAsia="Calibri" w:hAnsi="Times New Roman"/>
          <w:kern w:val="2"/>
          <w:sz w:val="24"/>
          <w:szCs w:val="24"/>
          <w:lang w:bidi="ar-SA"/>
          <w14:ligatures w14:val="standardContextual"/>
        </w:rPr>
        <w:t>Alamdari</w:t>
      </w:r>
      <w:proofErr w:type="spellEnd"/>
      <w:r w:rsidRPr="00A3002B">
        <w:rPr>
          <w:rFonts w:ascii="Times New Roman" w:eastAsia="Calibri" w:hAnsi="Times New Roman"/>
          <w:kern w:val="2"/>
          <w:sz w:val="24"/>
          <w:szCs w:val="24"/>
          <w:lang w:bidi="ar-SA"/>
          <w14:ligatures w14:val="standardContextual"/>
        </w:rPr>
        <w:t xml:space="preserve">, E. G., </w:t>
      </w:r>
      <w:proofErr w:type="spellStart"/>
      <w:r w:rsidRPr="00A3002B">
        <w:rPr>
          <w:rFonts w:ascii="Times New Roman" w:eastAsia="Calibri" w:hAnsi="Times New Roman"/>
          <w:kern w:val="2"/>
          <w:sz w:val="24"/>
          <w:szCs w:val="24"/>
          <w:lang w:bidi="ar-SA"/>
          <w14:ligatures w14:val="standardContextual"/>
        </w:rPr>
        <w:t>Avarseji</w:t>
      </w:r>
      <w:proofErr w:type="spellEnd"/>
      <w:r w:rsidRPr="00A3002B">
        <w:rPr>
          <w:rFonts w:ascii="Times New Roman" w:eastAsia="Calibri" w:hAnsi="Times New Roman"/>
          <w:kern w:val="2"/>
          <w:sz w:val="24"/>
          <w:szCs w:val="24"/>
          <w:lang w:bidi="ar-SA"/>
          <w14:ligatures w14:val="standardContextual"/>
        </w:rPr>
        <w:t xml:space="preserve">, Z., &amp; Moghaddam, A. N. (2021). The effect of planting density and number of hand weeding times on weed control and relationship between morphological characteristics with content and yield of essential oil of </w:t>
      </w:r>
      <w:proofErr w:type="spellStart"/>
      <w:r w:rsidRPr="00A3002B">
        <w:rPr>
          <w:rFonts w:ascii="Times New Roman" w:eastAsia="Calibri" w:hAnsi="Times New Roman"/>
          <w:i/>
          <w:iCs/>
          <w:kern w:val="2"/>
          <w:sz w:val="24"/>
          <w:szCs w:val="24"/>
          <w:lang w:bidi="ar-SA"/>
          <w14:ligatures w14:val="standardContextual"/>
        </w:rPr>
        <w:t>Satureja</w:t>
      </w:r>
      <w:proofErr w:type="spellEnd"/>
      <w:r w:rsidRPr="00A3002B">
        <w:rPr>
          <w:rFonts w:ascii="Times New Roman" w:eastAsia="Calibri" w:hAnsi="Times New Roman"/>
          <w:i/>
          <w:iCs/>
          <w:kern w:val="2"/>
          <w:sz w:val="24"/>
          <w:szCs w:val="24"/>
          <w:lang w:bidi="ar-SA"/>
          <w14:ligatures w14:val="standardContextual"/>
        </w:rPr>
        <w:t xml:space="preserve"> </w:t>
      </w:r>
      <w:proofErr w:type="spellStart"/>
      <w:r w:rsidRPr="00A3002B">
        <w:rPr>
          <w:rFonts w:ascii="Times New Roman" w:eastAsia="Calibri" w:hAnsi="Times New Roman"/>
          <w:i/>
          <w:iCs/>
          <w:kern w:val="2"/>
          <w:sz w:val="24"/>
          <w:szCs w:val="24"/>
          <w:lang w:bidi="ar-SA"/>
          <w14:ligatures w14:val="standardContextual"/>
        </w:rPr>
        <w:t>hortensis</w:t>
      </w:r>
      <w:proofErr w:type="spellEnd"/>
      <w:r w:rsidRPr="00A3002B">
        <w:rPr>
          <w:rFonts w:ascii="Times New Roman" w:eastAsia="Calibri" w:hAnsi="Times New Roman"/>
          <w:kern w:val="2"/>
          <w:sz w:val="24"/>
          <w:szCs w:val="24"/>
          <w:lang w:bidi="ar-SA"/>
          <w14:ligatures w14:val="standardContextual"/>
        </w:rPr>
        <w:t xml:space="preserve"> L. </w:t>
      </w:r>
      <w:r w:rsidRPr="00A3002B">
        <w:rPr>
          <w:rFonts w:ascii="Times New Roman" w:eastAsia="Calibri" w:hAnsi="Times New Roman"/>
          <w:i/>
          <w:iCs/>
          <w:kern w:val="2"/>
          <w:sz w:val="24"/>
          <w:szCs w:val="24"/>
          <w:lang w:bidi="ar-SA"/>
          <w14:ligatures w14:val="standardContextual"/>
        </w:rPr>
        <w:t xml:space="preserve">Acta Universitatis </w:t>
      </w:r>
      <w:proofErr w:type="spellStart"/>
      <w:r w:rsidRPr="00A3002B">
        <w:rPr>
          <w:rFonts w:ascii="Times New Roman" w:eastAsia="Calibri" w:hAnsi="Times New Roman"/>
          <w:i/>
          <w:iCs/>
          <w:kern w:val="2"/>
          <w:sz w:val="24"/>
          <w:szCs w:val="24"/>
          <w:lang w:bidi="ar-SA"/>
          <w14:ligatures w14:val="standardContextual"/>
        </w:rPr>
        <w:t>Agriculturae</w:t>
      </w:r>
      <w:proofErr w:type="spellEnd"/>
      <w:r w:rsidRPr="00A3002B">
        <w:rPr>
          <w:rFonts w:ascii="Times New Roman" w:eastAsia="Calibri" w:hAnsi="Times New Roman"/>
          <w:i/>
          <w:iCs/>
          <w:kern w:val="2"/>
          <w:sz w:val="24"/>
          <w:szCs w:val="24"/>
          <w:lang w:bidi="ar-SA"/>
          <w14:ligatures w14:val="standardContextual"/>
        </w:rPr>
        <w:t xml:space="preserve"> et </w:t>
      </w:r>
      <w:proofErr w:type="spellStart"/>
      <w:r w:rsidRPr="00A3002B">
        <w:rPr>
          <w:rFonts w:ascii="Times New Roman" w:eastAsia="Calibri" w:hAnsi="Times New Roman"/>
          <w:i/>
          <w:iCs/>
          <w:kern w:val="2"/>
          <w:sz w:val="24"/>
          <w:szCs w:val="24"/>
          <w:lang w:bidi="ar-SA"/>
          <w14:ligatures w14:val="standardContextual"/>
        </w:rPr>
        <w:t>Silviculturae</w:t>
      </w:r>
      <w:proofErr w:type="spellEnd"/>
      <w:r w:rsidRPr="00A3002B">
        <w:rPr>
          <w:rFonts w:ascii="Times New Roman" w:eastAsia="Calibri" w:hAnsi="Times New Roman"/>
          <w:i/>
          <w:iCs/>
          <w:kern w:val="2"/>
          <w:sz w:val="24"/>
          <w:szCs w:val="24"/>
          <w:lang w:bidi="ar-SA"/>
          <w14:ligatures w14:val="standardContextual"/>
        </w:rPr>
        <w:t xml:space="preserve"> </w:t>
      </w:r>
      <w:proofErr w:type="spellStart"/>
      <w:r w:rsidRPr="00A3002B">
        <w:rPr>
          <w:rFonts w:ascii="Times New Roman" w:eastAsia="Calibri" w:hAnsi="Times New Roman"/>
          <w:i/>
          <w:iCs/>
          <w:kern w:val="2"/>
          <w:sz w:val="24"/>
          <w:szCs w:val="24"/>
          <w:lang w:bidi="ar-SA"/>
          <w14:ligatures w14:val="standardContextual"/>
        </w:rPr>
        <w:t>Mendelianae</w:t>
      </w:r>
      <w:proofErr w:type="spellEnd"/>
      <w:r w:rsidRPr="00A3002B">
        <w:rPr>
          <w:rFonts w:ascii="Times New Roman" w:eastAsia="Calibri" w:hAnsi="Times New Roman"/>
          <w:i/>
          <w:iCs/>
          <w:kern w:val="2"/>
          <w:sz w:val="24"/>
          <w:szCs w:val="24"/>
          <w:lang w:bidi="ar-SA"/>
          <w14:ligatures w14:val="standardContextual"/>
        </w:rPr>
        <w:t xml:space="preserve"> </w:t>
      </w:r>
      <w:proofErr w:type="spellStart"/>
      <w:r w:rsidRPr="00A3002B">
        <w:rPr>
          <w:rFonts w:ascii="Times New Roman" w:eastAsia="Calibri" w:hAnsi="Times New Roman"/>
          <w:i/>
          <w:iCs/>
          <w:kern w:val="2"/>
          <w:sz w:val="24"/>
          <w:szCs w:val="24"/>
          <w:lang w:bidi="ar-SA"/>
          <w14:ligatures w14:val="standardContextual"/>
        </w:rPr>
        <w:t>Brunensis</w:t>
      </w:r>
      <w:proofErr w:type="spellEnd"/>
      <w:r w:rsidRPr="00A3002B">
        <w:rPr>
          <w:rFonts w:ascii="Times New Roman" w:eastAsia="Calibri" w:hAnsi="Times New Roman"/>
          <w:i/>
          <w:iCs/>
          <w:kern w:val="2"/>
          <w:sz w:val="24"/>
          <w:szCs w:val="24"/>
          <w:lang w:bidi="ar-SA"/>
          <w14:ligatures w14:val="standardContextual"/>
        </w:rPr>
        <w:t>, 69</w:t>
      </w:r>
      <w:r w:rsidRPr="00A3002B">
        <w:rPr>
          <w:rFonts w:ascii="Times New Roman" w:eastAsia="Calibri" w:hAnsi="Times New Roman"/>
          <w:kern w:val="2"/>
          <w:sz w:val="24"/>
          <w:szCs w:val="24"/>
          <w:lang w:bidi="ar-SA"/>
          <w14:ligatures w14:val="standardContextual"/>
        </w:rPr>
        <w:t>, 417–426. https://doi.org/10.11118/actaun.2021.039</w:t>
      </w:r>
    </w:p>
    <w:p w14:paraId="04656C5A"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proofErr w:type="spellStart"/>
      <w:r w:rsidRPr="00A3002B">
        <w:rPr>
          <w:rFonts w:ascii="Times New Roman" w:eastAsia="Calibri" w:hAnsi="Times New Roman"/>
          <w:kern w:val="2"/>
          <w:sz w:val="24"/>
          <w:szCs w:val="24"/>
          <w:lang w:bidi="ar-SA"/>
          <w14:ligatures w14:val="standardContextual"/>
        </w:rPr>
        <w:t>Korres</w:t>
      </w:r>
      <w:proofErr w:type="spellEnd"/>
      <w:r w:rsidRPr="00A3002B">
        <w:rPr>
          <w:rFonts w:ascii="Times New Roman" w:eastAsia="Calibri" w:hAnsi="Times New Roman"/>
          <w:kern w:val="2"/>
          <w:sz w:val="24"/>
          <w:szCs w:val="24"/>
          <w:lang w:bidi="ar-SA"/>
          <w14:ligatures w14:val="standardContextual"/>
        </w:rPr>
        <w:t xml:space="preserve">, N. E., &amp; Norsworthy, J. K. (2015). Influence of a rye cover crop on the critical period for weed control in cotton. </w:t>
      </w:r>
      <w:r w:rsidRPr="00A3002B">
        <w:rPr>
          <w:rFonts w:ascii="Times New Roman" w:eastAsia="Calibri" w:hAnsi="Times New Roman"/>
          <w:i/>
          <w:iCs/>
          <w:kern w:val="2"/>
          <w:sz w:val="24"/>
          <w:szCs w:val="24"/>
          <w:lang w:bidi="ar-SA"/>
          <w14:ligatures w14:val="standardContextual"/>
        </w:rPr>
        <w:t>Weed Science, 63</w:t>
      </w:r>
      <w:r w:rsidRPr="00A3002B">
        <w:rPr>
          <w:rFonts w:ascii="Times New Roman" w:eastAsia="Calibri" w:hAnsi="Times New Roman"/>
          <w:kern w:val="2"/>
          <w:sz w:val="24"/>
          <w:szCs w:val="24"/>
          <w:lang w:bidi="ar-SA"/>
          <w14:ligatures w14:val="standardContextual"/>
        </w:rPr>
        <w:t xml:space="preserve">, 346–352. </w:t>
      </w:r>
      <w:hyperlink r:id="rId23"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https://doi.org/10.1614/WS-D-13-00062.1</w:t>
        </w:r>
      </w:hyperlink>
    </w:p>
    <w:p w14:paraId="41FA6713"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Kumar, M., Ghorai, A. K., Singh, A., &amp; Kundu, K. (2015). The critical period for weed competition in relation to yield of jute (</w:t>
      </w:r>
      <w:r w:rsidRPr="00A3002B">
        <w:rPr>
          <w:rFonts w:ascii="Times New Roman" w:eastAsia="Calibri" w:hAnsi="Times New Roman"/>
          <w:i/>
          <w:iCs/>
          <w:kern w:val="2"/>
          <w:sz w:val="24"/>
          <w:szCs w:val="24"/>
          <w:lang w:bidi="ar-SA"/>
          <w14:ligatures w14:val="standardContextual"/>
        </w:rPr>
        <w:t xml:space="preserve">Corchorus </w:t>
      </w:r>
      <w:proofErr w:type="spellStart"/>
      <w:r w:rsidRPr="00A3002B">
        <w:rPr>
          <w:rFonts w:ascii="Times New Roman" w:eastAsia="Calibri" w:hAnsi="Times New Roman"/>
          <w:i/>
          <w:iCs/>
          <w:kern w:val="2"/>
          <w:sz w:val="24"/>
          <w:szCs w:val="24"/>
          <w:lang w:bidi="ar-SA"/>
          <w14:ligatures w14:val="standardContextual"/>
        </w:rPr>
        <w:t>olitorius</w:t>
      </w:r>
      <w:proofErr w:type="spellEnd"/>
      <w:r w:rsidRPr="00A3002B">
        <w:rPr>
          <w:rFonts w:ascii="Times New Roman" w:eastAsia="Calibri" w:hAnsi="Times New Roman"/>
          <w:kern w:val="2"/>
          <w:sz w:val="24"/>
          <w:szCs w:val="24"/>
          <w:lang w:bidi="ar-SA"/>
          <w14:ligatures w14:val="standardContextual"/>
        </w:rPr>
        <w:t xml:space="preserve"> L.). </w:t>
      </w:r>
      <w:r w:rsidRPr="00A3002B">
        <w:rPr>
          <w:rFonts w:ascii="Times New Roman" w:eastAsia="Calibri" w:hAnsi="Times New Roman"/>
          <w:i/>
          <w:iCs/>
          <w:kern w:val="2"/>
          <w:sz w:val="24"/>
          <w:szCs w:val="24"/>
          <w:lang w:bidi="ar-SA"/>
          <w14:ligatures w14:val="standardContextual"/>
        </w:rPr>
        <w:t xml:space="preserve">Journal of </w:t>
      </w:r>
      <w:proofErr w:type="spellStart"/>
      <w:r w:rsidRPr="00A3002B">
        <w:rPr>
          <w:rFonts w:ascii="Times New Roman" w:eastAsia="Calibri" w:hAnsi="Times New Roman"/>
          <w:i/>
          <w:iCs/>
          <w:kern w:val="2"/>
          <w:sz w:val="24"/>
          <w:szCs w:val="24"/>
          <w:lang w:bidi="ar-SA"/>
          <w14:ligatures w14:val="standardContextual"/>
        </w:rPr>
        <w:t>AgriSearch</w:t>
      </w:r>
      <w:proofErr w:type="spellEnd"/>
      <w:r w:rsidRPr="00A3002B">
        <w:rPr>
          <w:rFonts w:ascii="Times New Roman" w:eastAsia="Calibri" w:hAnsi="Times New Roman"/>
          <w:i/>
          <w:iCs/>
          <w:kern w:val="2"/>
          <w:sz w:val="24"/>
          <w:szCs w:val="24"/>
          <w:lang w:bidi="ar-SA"/>
          <w14:ligatures w14:val="standardContextual"/>
        </w:rPr>
        <w:t>, 2</w:t>
      </w:r>
      <w:r w:rsidRPr="00A3002B">
        <w:rPr>
          <w:rFonts w:ascii="Times New Roman" w:eastAsia="Calibri" w:hAnsi="Times New Roman"/>
          <w:kern w:val="2"/>
          <w:sz w:val="24"/>
          <w:szCs w:val="24"/>
          <w:lang w:bidi="ar-SA"/>
          <w14:ligatures w14:val="standardContextual"/>
        </w:rPr>
        <w:t xml:space="preserve">, 225–228. </w:t>
      </w:r>
      <w:hyperlink r:id="rId24" w:tgtFrame="_new" w:history="1">
        <w:r w:rsidRPr="00A3002B">
          <w:rPr>
            <w:rFonts w:ascii="Times New Roman" w:eastAsia="Calibri" w:hAnsi="Times New Roman"/>
            <w:color w:val="0563C1" w:themeColor="hyperlink"/>
            <w:kern w:val="2"/>
            <w:sz w:val="24"/>
            <w:szCs w:val="24"/>
            <w:u w:val="single"/>
            <w:lang w:bidi="ar-SA"/>
            <w14:ligatures w14:val="standardContextual"/>
          </w:rPr>
          <w:t>https://www.researchgate.net/publication/281616704</w:t>
        </w:r>
      </w:hyperlink>
    </w:p>
    <w:p w14:paraId="3E512E73"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lastRenderedPageBreak/>
        <w:t xml:space="preserve">Mahajan, G., &amp; Chauhan, B. S. (2013). Herbicide options for weed control in dry-seeded aromatic rice in India. </w:t>
      </w:r>
      <w:r w:rsidRPr="00A3002B">
        <w:rPr>
          <w:rFonts w:ascii="Times New Roman" w:eastAsia="Calibri" w:hAnsi="Times New Roman"/>
          <w:i/>
          <w:iCs/>
          <w:kern w:val="2"/>
          <w:sz w:val="24"/>
          <w:szCs w:val="24"/>
          <w:lang w:bidi="ar-SA"/>
          <w14:ligatures w14:val="standardContextual"/>
        </w:rPr>
        <w:t>Weed Technology, 27</w:t>
      </w:r>
      <w:r w:rsidRPr="00A3002B">
        <w:rPr>
          <w:rFonts w:ascii="Times New Roman" w:eastAsia="Calibri" w:hAnsi="Times New Roman"/>
          <w:kern w:val="2"/>
          <w:sz w:val="24"/>
          <w:szCs w:val="24"/>
          <w:lang w:bidi="ar-SA"/>
          <w14:ligatures w14:val="standardContextual"/>
        </w:rPr>
        <w:t>(4), 682–689. https://doi.org/10.1614/WT-D-13-00016.1</w:t>
      </w:r>
    </w:p>
    <w:p w14:paraId="4B6FD6DB"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Mahbub, M. M., &amp; Bhuiyan, M. K. A. (2021). Effect of </w:t>
      </w:r>
      <w:proofErr w:type="spellStart"/>
      <w:r w:rsidRPr="00A3002B">
        <w:rPr>
          <w:rFonts w:ascii="Times New Roman" w:eastAsia="Calibri" w:hAnsi="Times New Roman"/>
          <w:kern w:val="2"/>
          <w:sz w:val="24"/>
          <w:szCs w:val="24"/>
          <w:lang w:bidi="ar-SA"/>
          <w14:ligatures w14:val="standardContextual"/>
        </w:rPr>
        <w:t>Fenoxyprop</w:t>
      </w:r>
      <w:proofErr w:type="spellEnd"/>
      <w:r w:rsidRPr="00A3002B">
        <w:rPr>
          <w:rFonts w:ascii="Times New Roman" w:eastAsia="Calibri" w:hAnsi="Times New Roman"/>
          <w:kern w:val="2"/>
          <w:sz w:val="24"/>
          <w:szCs w:val="24"/>
          <w:lang w:bidi="ar-SA"/>
          <w14:ligatures w14:val="standardContextual"/>
        </w:rPr>
        <w:t xml:space="preserve">-P-Ethyl 10% + </w:t>
      </w:r>
      <w:proofErr w:type="spellStart"/>
      <w:r w:rsidRPr="00A3002B">
        <w:rPr>
          <w:rFonts w:ascii="Times New Roman" w:eastAsia="Calibri" w:hAnsi="Times New Roman"/>
          <w:kern w:val="2"/>
          <w:sz w:val="24"/>
          <w:szCs w:val="24"/>
          <w:lang w:bidi="ar-SA"/>
          <w14:ligatures w14:val="standardContextual"/>
        </w:rPr>
        <w:t>Ethoxysulfuron</w:t>
      </w:r>
      <w:proofErr w:type="spellEnd"/>
      <w:r w:rsidRPr="00A3002B">
        <w:rPr>
          <w:rFonts w:ascii="Times New Roman" w:eastAsia="Calibri" w:hAnsi="Times New Roman"/>
          <w:kern w:val="2"/>
          <w:sz w:val="24"/>
          <w:szCs w:val="24"/>
          <w:lang w:bidi="ar-SA"/>
          <w14:ligatures w14:val="standardContextual"/>
        </w:rPr>
        <w:t xml:space="preserve"> 10% WP on annual weeds suppression and yield of transplanted rice in Bangladesh. </w:t>
      </w:r>
      <w:r w:rsidRPr="00A3002B">
        <w:rPr>
          <w:rFonts w:ascii="Times New Roman" w:eastAsia="Calibri" w:hAnsi="Times New Roman"/>
          <w:i/>
          <w:iCs/>
          <w:kern w:val="2"/>
          <w:sz w:val="24"/>
          <w:szCs w:val="24"/>
          <w:lang w:bidi="ar-SA"/>
          <w14:ligatures w14:val="standardContextual"/>
        </w:rPr>
        <w:t>American-Eurasian Journal of Agricultural &amp; Environmental Sciences, 21</w:t>
      </w:r>
      <w:r w:rsidRPr="00A3002B">
        <w:rPr>
          <w:rFonts w:ascii="Times New Roman" w:eastAsia="Calibri" w:hAnsi="Times New Roman"/>
          <w:kern w:val="2"/>
          <w:sz w:val="24"/>
          <w:szCs w:val="24"/>
          <w:lang w:bidi="ar-SA"/>
          <w14:ligatures w14:val="standardContextual"/>
        </w:rPr>
        <w:t>(4), 217–225. https://doi.org/10.5829/idosi.aejaes.2021.217.225</w:t>
      </w:r>
    </w:p>
    <w:p w14:paraId="1C926AAD"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Majumder, S., Saha, P., Datta, K., &amp; Datta, S. K. (2020). </w:t>
      </w:r>
      <w:proofErr w:type="spellStart"/>
      <w:r w:rsidRPr="00A3002B">
        <w:rPr>
          <w:rFonts w:ascii="Times New Roman" w:eastAsia="Calibri" w:hAnsi="Times New Roman"/>
          <w:kern w:val="2"/>
          <w:sz w:val="24"/>
          <w:szCs w:val="24"/>
          <w:lang w:bidi="ar-SA"/>
          <w14:ligatures w14:val="standardContextual"/>
        </w:rPr>
        <w:t>Fibre</w:t>
      </w:r>
      <w:proofErr w:type="spellEnd"/>
      <w:r w:rsidRPr="00A3002B">
        <w:rPr>
          <w:rFonts w:ascii="Times New Roman" w:eastAsia="Calibri" w:hAnsi="Times New Roman"/>
          <w:kern w:val="2"/>
          <w:sz w:val="24"/>
          <w:szCs w:val="24"/>
          <w:lang w:bidi="ar-SA"/>
          <w14:ligatures w14:val="standardContextual"/>
        </w:rPr>
        <w:t xml:space="preserve"> crop jute improvement by using genomics and genetic engineering. In N. Tuteja, R. Tuteja, N. </w:t>
      </w:r>
      <w:proofErr w:type="spellStart"/>
      <w:r w:rsidRPr="00A3002B">
        <w:rPr>
          <w:rFonts w:ascii="Times New Roman" w:eastAsia="Calibri" w:hAnsi="Times New Roman"/>
          <w:kern w:val="2"/>
          <w:sz w:val="24"/>
          <w:szCs w:val="24"/>
          <w:lang w:bidi="ar-SA"/>
          <w14:ligatures w14:val="standardContextual"/>
        </w:rPr>
        <w:t>Passricha</w:t>
      </w:r>
      <w:proofErr w:type="spellEnd"/>
      <w:r w:rsidRPr="00A3002B">
        <w:rPr>
          <w:rFonts w:ascii="Times New Roman" w:eastAsia="Calibri" w:hAnsi="Times New Roman"/>
          <w:kern w:val="2"/>
          <w:sz w:val="24"/>
          <w:szCs w:val="24"/>
          <w:lang w:bidi="ar-SA"/>
          <w14:ligatures w14:val="standardContextual"/>
        </w:rPr>
        <w:t xml:space="preserve">, &amp; S. K. Saifi (Eds.), </w:t>
      </w:r>
      <w:r w:rsidRPr="00A3002B">
        <w:rPr>
          <w:rFonts w:ascii="Times New Roman" w:eastAsia="Calibri" w:hAnsi="Times New Roman"/>
          <w:i/>
          <w:iCs/>
          <w:kern w:val="2"/>
          <w:sz w:val="24"/>
          <w:szCs w:val="24"/>
          <w:lang w:bidi="ar-SA"/>
          <w14:ligatures w14:val="standardContextual"/>
        </w:rPr>
        <w:t>Advancement in Crop Improvement Techniques</w:t>
      </w:r>
      <w:r w:rsidRPr="00A3002B">
        <w:rPr>
          <w:rFonts w:ascii="Times New Roman" w:eastAsia="Calibri" w:hAnsi="Times New Roman"/>
          <w:kern w:val="2"/>
          <w:sz w:val="24"/>
          <w:szCs w:val="24"/>
          <w:lang w:bidi="ar-SA"/>
          <w14:ligatures w14:val="standardContextual"/>
        </w:rPr>
        <w:t xml:space="preserve"> (pp. 363–383). Woodhead Publishing. </w:t>
      </w:r>
      <w:hyperlink r:id="rId25"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https://doi.org/10.1016/B978-0-12-818581-0.00022-X</w:t>
        </w:r>
      </w:hyperlink>
    </w:p>
    <w:p w14:paraId="38131D87"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Mandal, B., &amp; Mukherjee, D. (2018). Influence of different weed management practices for higher productivity of jute (</w:t>
      </w:r>
      <w:r w:rsidRPr="00A3002B">
        <w:rPr>
          <w:rFonts w:ascii="Times New Roman" w:eastAsia="Calibri" w:hAnsi="Times New Roman"/>
          <w:i/>
          <w:iCs/>
          <w:kern w:val="2"/>
          <w:sz w:val="24"/>
          <w:szCs w:val="24"/>
          <w:lang w:bidi="ar-SA"/>
          <w14:ligatures w14:val="standardContextual"/>
        </w:rPr>
        <w:t xml:space="preserve">Corchorus </w:t>
      </w:r>
      <w:proofErr w:type="spellStart"/>
      <w:r w:rsidRPr="00A3002B">
        <w:rPr>
          <w:rFonts w:ascii="Times New Roman" w:eastAsia="Calibri" w:hAnsi="Times New Roman"/>
          <w:i/>
          <w:iCs/>
          <w:kern w:val="2"/>
          <w:sz w:val="24"/>
          <w:szCs w:val="24"/>
          <w:lang w:bidi="ar-SA"/>
          <w14:ligatures w14:val="standardContextual"/>
        </w:rPr>
        <w:t>olitorius</w:t>
      </w:r>
      <w:proofErr w:type="spellEnd"/>
      <w:r w:rsidRPr="00A3002B">
        <w:rPr>
          <w:rFonts w:ascii="Times New Roman" w:eastAsia="Calibri" w:hAnsi="Times New Roman"/>
          <w:kern w:val="2"/>
          <w:sz w:val="24"/>
          <w:szCs w:val="24"/>
          <w:lang w:bidi="ar-SA"/>
          <w14:ligatures w14:val="standardContextual"/>
        </w:rPr>
        <w:t xml:space="preserve">) in West Bengal. </w:t>
      </w:r>
      <w:r w:rsidRPr="00A3002B">
        <w:rPr>
          <w:rFonts w:ascii="Times New Roman" w:eastAsia="Calibri" w:hAnsi="Times New Roman"/>
          <w:i/>
          <w:iCs/>
          <w:kern w:val="2"/>
          <w:sz w:val="24"/>
          <w:szCs w:val="24"/>
          <w:lang w:bidi="ar-SA"/>
          <w14:ligatures w14:val="standardContextual"/>
        </w:rPr>
        <w:t>International Journal of Bioresource Science, 5</w:t>
      </w:r>
      <w:r w:rsidRPr="00A3002B">
        <w:rPr>
          <w:rFonts w:ascii="Times New Roman" w:eastAsia="Calibri" w:hAnsi="Times New Roman"/>
          <w:kern w:val="2"/>
          <w:sz w:val="24"/>
          <w:szCs w:val="24"/>
          <w:lang w:bidi="ar-SA"/>
          <w14:ligatures w14:val="standardContextual"/>
        </w:rPr>
        <w:t>(1), 21–26.</w:t>
      </w:r>
    </w:p>
    <w:p w14:paraId="5060A41A"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Morsy, A., &amp; Tantawy, M. (2018). Impact of plant spacing and weed control treatments on yield, quality of soybean (</w:t>
      </w:r>
      <w:r w:rsidRPr="00A3002B">
        <w:rPr>
          <w:rFonts w:ascii="Times New Roman" w:eastAsia="Calibri" w:hAnsi="Times New Roman"/>
          <w:i/>
          <w:iCs/>
          <w:kern w:val="2"/>
          <w:sz w:val="24"/>
          <w:szCs w:val="24"/>
          <w:lang w:bidi="ar-SA"/>
          <w14:ligatures w14:val="standardContextual"/>
        </w:rPr>
        <w:t>Glycine max</w:t>
      </w:r>
      <w:r w:rsidRPr="00A3002B">
        <w:rPr>
          <w:rFonts w:ascii="Times New Roman" w:eastAsia="Calibri" w:hAnsi="Times New Roman"/>
          <w:kern w:val="2"/>
          <w:sz w:val="24"/>
          <w:szCs w:val="24"/>
          <w:lang w:bidi="ar-SA"/>
          <w14:ligatures w14:val="standardContextual"/>
        </w:rPr>
        <w:t xml:space="preserve"> L.) and associated weed characters under Middle Egypt conditions. </w:t>
      </w:r>
      <w:r w:rsidRPr="00A3002B">
        <w:rPr>
          <w:rFonts w:ascii="Times New Roman" w:eastAsia="Calibri" w:hAnsi="Times New Roman"/>
          <w:i/>
          <w:iCs/>
          <w:kern w:val="2"/>
          <w:sz w:val="24"/>
          <w:szCs w:val="24"/>
          <w:lang w:bidi="ar-SA"/>
          <w14:ligatures w14:val="standardContextual"/>
        </w:rPr>
        <w:t>Assiut Journal of Agricultural Sciences, 49</w:t>
      </w:r>
      <w:r w:rsidRPr="00A3002B">
        <w:rPr>
          <w:rFonts w:ascii="Times New Roman" w:eastAsia="Calibri" w:hAnsi="Times New Roman"/>
          <w:kern w:val="2"/>
          <w:sz w:val="24"/>
          <w:szCs w:val="24"/>
          <w:lang w:bidi="ar-SA"/>
          <w14:ligatures w14:val="standardContextual"/>
        </w:rPr>
        <w:t>, 27–46. https://doi.org/10.21608/ajas.2018.8086</w:t>
      </w:r>
    </w:p>
    <w:p w14:paraId="26844E0B"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Mukul, M. M., Akter, N., Islam, M. M., Bhuiyan, M. S. H., Mostofa, M. G., Ghosh, R. K., Saha, C. K., &amp; Ali, M. A. (2021). Morpho-</w:t>
      </w:r>
      <w:proofErr w:type="spellStart"/>
      <w:r w:rsidRPr="00A3002B">
        <w:rPr>
          <w:rFonts w:ascii="Times New Roman" w:eastAsia="Calibri" w:hAnsi="Times New Roman"/>
          <w:kern w:val="2"/>
          <w:sz w:val="24"/>
          <w:szCs w:val="24"/>
          <w:lang w:bidi="ar-SA"/>
          <w14:ligatures w14:val="standardContextual"/>
        </w:rPr>
        <w:t>phenetical</w:t>
      </w:r>
      <w:proofErr w:type="spellEnd"/>
      <w:r w:rsidRPr="00A3002B">
        <w:rPr>
          <w:rFonts w:ascii="Times New Roman" w:eastAsia="Calibri" w:hAnsi="Times New Roman"/>
          <w:kern w:val="2"/>
          <w:sz w:val="24"/>
          <w:szCs w:val="24"/>
          <w:lang w:bidi="ar-SA"/>
          <w14:ligatures w14:val="standardContextual"/>
        </w:rPr>
        <w:t xml:space="preserve"> study of high-yielding </w:t>
      </w:r>
      <w:proofErr w:type="spellStart"/>
      <w:r w:rsidRPr="00A3002B">
        <w:rPr>
          <w:rFonts w:ascii="Times New Roman" w:eastAsia="Calibri" w:hAnsi="Times New Roman"/>
          <w:kern w:val="2"/>
          <w:sz w:val="24"/>
          <w:szCs w:val="24"/>
          <w:lang w:bidi="ar-SA"/>
          <w14:ligatures w14:val="standardContextual"/>
        </w:rPr>
        <w:t>tossa</w:t>
      </w:r>
      <w:proofErr w:type="spellEnd"/>
      <w:r w:rsidRPr="00A3002B">
        <w:rPr>
          <w:rFonts w:ascii="Times New Roman" w:eastAsia="Calibri" w:hAnsi="Times New Roman"/>
          <w:kern w:val="2"/>
          <w:sz w:val="24"/>
          <w:szCs w:val="24"/>
          <w:lang w:bidi="ar-SA"/>
          <w14:ligatures w14:val="standardContextual"/>
        </w:rPr>
        <w:t xml:space="preserve"> jute variety BJRI </w:t>
      </w:r>
      <w:proofErr w:type="spellStart"/>
      <w:r w:rsidRPr="00A3002B">
        <w:rPr>
          <w:rFonts w:ascii="Times New Roman" w:eastAsia="Calibri" w:hAnsi="Times New Roman"/>
          <w:kern w:val="2"/>
          <w:sz w:val="24"/>
          <w:szCs w:val="24"/>
          <w:lang w:bidi="ar-SA"/>
          <w14:ligatures w14:val="standardContextual"/>
        </w:rPr>
        <w:t>Tossa</w:t>
      </w:r>
      <w:proofErr w:type="spellEnd"/>
      <w:r w:rsidRPr="00A3002B">
        <w:rPr>
          <w:rFonts w:ascii="Times New Roman" w:eastAsia="Calibri" w:hAnsi="Times New Roman"/>
          <w:kern w:val="2"/>
          <w:sz w:val="24"/>
          <w:szCs w:val="24"/>
          <w:lang w:bidi="ar-SA"/>
          <w14:ligatures w14:val="standardContextual"/>
        </w:rPr>
        <w:t xml:space="preserve"> Pat 7 (MG-1) for </w:t>
      </w:r>
      <w:proofErr w:type="spellStart"/>
      <w:r w:rsidRPr="00A3002B">
        <w:rPr>
          <w:rFonts w:ascii="Times New Roman" w:eastAsia="Calibri" w:hAnsi="Times New Roman"/>
          <w:kern w:val="2"/>
          <w:sz w:val="24"/>
          <w:szCs w:val="24"/>
          <w:lang w:bidi="ar-SA"/>
          <w14:ligatures w14:val="standardContextual"/>
        </w:rPr>
        <w:t>bast</w:t>
      </w:r>
      <w:proofErr w:type="spellEnd"/>
      <w:r w:rsidRPr="00A3002B">
        <w:rPr>
          <w:rFonts w:ascii="Times New Roman" w:eastAsia="Calibri" w:hAnsi="Times New Roman"/>
          <w:kern w:val="2"/>
          <w:sz w:val="24"/>
          <w:szCs w:val="24"/>
          <w:lang w:bidi="ar-SA"/>
          <w14:ligatures w14:val="standardContextual"/>
        </w:rPr>
        <w:t xml:space="preserve"> </w:t>
      </w:r>
      <w:proofErr w:type="spellStart"/>
      <w:r w:rsidRPr="00A3002B">
        <w:rPr>
          <w:rFonts w:ascii="Times New Roman" w:eastAsia="Calibri" w:hAnsi="Times New Roman"/>
          <w:kern w:val="2"/>
          <w:sz w:val="24"/>
          <w:szCs w:val="24"/>
          <w:lang w:bidi="ar-SA"/>
          <w14:ligatures w14:val="standardContextual"/>
        </w:rPr>
        <w:t>fibre</w:t>
      </w:r>
      <w:proofErr w:type="spellEnd"/>
      <w:r w:rsidRPr="00A3002B">
        <w:rPr>
          <w:rFonts w:ascii="Times New Roman" w:eastAsia="Calibri" w:hAnsi="Times New Roman"/>
          <w:kern w:val="2"/>
          <w:sz w:val="24"/>
          <w:szCs w:val="24"/>
          <w:lang w:bidi="ar-SA"/>
          <w14:ligatures w14:val="standardContextual"/>
        </w:rPr>
        <w:t xml:space="preserve"> yield and qualities. </w:t>
      </w:r>
      <w:proofErr w:type="spellStart"/>
      <w:r w:rsidRPr="00A3002B">
        <w:rPr>
          <w:rFonts w:ascii="Times New Roman" w:eastAsia="Calibri" w:hAnsi="Times New Roman"/>
          <w:i/>
          <w:iCs/>
          <w:kern w:val="2"/>
          <w:sz w:val="24"/>
          <w:szCs w:val="24"/>
          <w:lang w:bidi="ar-SA"/>
          <w14:ligatures w14:val="standardContextual"/>
        </w:rPr>
        <w:t>Heliyon</w:t>
      </w:r>
      <w:proofErr w:type="spellEnd"/>
      <w:r w:rsidRPr="00A3002B">
        <w:rPr>
          <w:rFonts w:ascii="Times New Roman" w:eastAsia="Calibri" w:hAnsi="Times New Roman"/>
          <w:i/>
          <w:iCs/>
          <w:kern w:val="2"/>
          <w:sz w:val="24"/>
          <w:szCs w:val="24"/>
          <w:lang w:bidi="ar-SA"/>
          <w14:ligatures w14:val="standardContextual"/>
        </w:rPr>
        <w:t>, 7</w:t>
      </w:r>
      <w:r w:rsidRPr="00A3002B">
        <w:rPr>
          <w:rFonts w:ascii="Times New Roman" w:eastAsia="Calibri" w:hAnsi="Times New Roman"/>
          <w:kern w:val="2"/>
          <w:sz w:val="24"/>
          <w:szCs w:val="24"/>
          <w:lang w:bidi="ar-SA"/>
          <w14:ligatures w14:val="standardContextual"/>
        </w:rPr>
        <w:t xml:space="preserve">(10), e08129. </w:t>
      </w:r>
      <w:hyperlink r:id="rId26"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https://doi.org/10.1016/j.heliyon.2021.e08129</w:t>
        </w:r>
      </w:hyperlink>
    </w:p>
    <w:p w14:paraId="3CB2B23F"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Mukherjee, D. (2013). Studies on resource management for sustainable ecosystem in Eastern Himalaya. </w:t>
      </w:r>
      <w:r w:rsidRPr="00A3002B">
        <w:rPr>
          <w:rFonts w:ascii="Times New Roman" w:eastAsia="Calibri" w:hAnsi="Times New Roman"/>
          <w:i/>
          <w:iCs/>
          <w:kern w:val="2"/>
          <w:sz w:val="24"/>
          <w:szCs w:val="24"/>
          <w:lang w:bidi="ar-SA"/>
          <w14:ligatures w14:val="standardContextual"/>
        </w:rPr>
        <w:t>Asian Journal of Agriculture and Food Sciences, 1</w:t>
      </w:r>
      <w:r w:rsidRPr="00A3002B">
        <w:rPr>
          <w:rFonts w:ascii="Times New Roman" w:eastAsia="Calibri" w:hAnsi="Times New Roman"/>
          <w:kern w:val="2"/>
          <w:sz w:val="24"/>
          <w:szCs w:val="24"/>
          <w:lang w:bidi="ar-SA"/>
          <w14:ligatures w14:val="standardContextual"/>
        </w:rPr>
        <w:t>(5), 222–235.</w:t>
      </w:r>
    </w:p>
    <w:p w14:paraId="2E6CE1D8"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Nabiha, B., Reda, D. M., Noureddine, Z., &amp; Houria, B. (2014). Differential response to treatment with herbicide Chevalier induced oxidative stress in leaves of wheat. </w:t>
      </w:r>
      <w:r w:rsidRPr="00A3002B">
        <w:rPr>
          <w:rFonts w:ascii="Times New Roman" w:eastAsia="Calibri" w:hAnsi="Times New Roman"/>
          <w:i/>
          <w:iCs/>
          <w:kern w:val="2"/>
          <w:sz w:val="24"/>
          <w:szCs w:val="24"/>
          <w:lang w:bidi="ar-SA"/>
          <w14:ligatures w14:val="standardContextual"/>
        </w:rPr>
        <w:t>Annals of Biological Research, 5</w:t>
      </w:r>
      <w:r w:rsidRPr="00A3002B">
        <w:rPr>
          <w:rFonts w:ascii="Times New Roman" w:eastAsia="Calibri" w:hAnsi="Times New Roman"/>
          <w:kern w:val="2"/>
          <w:sz w:val="24"/>
          <w:szCs w:val="24"/>
          <w:lang w:bidi="ar-SA"/>
          <w14:ligatures w14:val="standardContextual"/>
        </w:rPr>
        <w:t xml:space="preserve">, 1–7. </w:t>
      </w:r>
      <w:hyperlink r:id="rId27" w:tgtFrame="_new" w:history="1">
        <w:r w:rsidRPr="00A3002B">
          <w:rPr>
            <w:rFonts w:ascii="Times New Roman" w:eastAsia="Calibri" w:hAnsi="Times New Roman"/>
            <w:color w:val="0563C1" w:themeColor="hyperlink"/>
            <w:kern w:val="2"/>
            <w:sz w:val="24"/>
            <w:szCs w:val="24"/>
            <w:u w:val="single"/>
            <w:lang w:bidi="ar-SA"/>
            <w14:ligatures w14:val="standardContextual"/>
          </w:rPr>
          <w:t>http://scholarsresearchlibrary.com/ABR-vol5-iss3/ABR-2014-5-3-1-7.pdf</w:t>
        </w:r>
      </w:hyperlink>
    </w:p>
    <w:p w14:paraId="2220F5D6"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proofErr w:type="spellStart"/>
      <w:r w:rsidRPr="00A3002B">
        <w:rPr>
          <w:rFonts w:ascii="Times New Roman" w:eastAsia="Calibri" w:hAnsi="Times New Roman"/>
          <w:kern w:val="2"/>
          <w:sz w:val="24"/>
          <w:szCs w:val="24"/>
          <w:lang w:bidi="ar-SA"/>
          <w14:ligatures w14:val="standardContextual"/>
        </w:rPr>
        <w:t>Ngomuo</w:t>
      </w:r>
      <w:proofErr w:type="spellEnd"/>
      <w:r w:rsidRPr="00A3002B">
        <w:rPr>
          <w:rFonts w:ascii="Times New Roman" w:eastAsia="Calibri" w:hAnsi="Times New Roman"/>
          <w:kern w:val="2"/>
          <w:sz w:val="24"/>
          <w:szCs w:val="24"/>
          <w:lang w:bidi="ar-SA"/>
          <w14:ligatures w14:val="standardContextual"/>
        </w:rPr>
        <w:t xml:space="preserve">, M., Stoilova, T., Feyissa, T., Kassim, N., &amp; </w:t>
      </w:r>
      <w:proofErr w:type="spellStart"/>
      <w:r w:rsidRPr="00A3002B">
        <w:rPr>
          <w:rFonts w:ascii="Times New Roman" w:eastAsia="Calibri" w:hAnsi="Times New Roman"/>
          <w:kern w:val="2"/>
          <w:sz w:val="24"/>
          <w:szCs w:val="24"/>
          <w:lang w:bidi="ar-SA"/>
          <w14:ligatures w14:val="standardContextual"/>
        </w:rPr>
        <w:t>Ndakidemi</w:t>
      </w:r>
      <w:proofErr w:type="spellEnd"/>
      <w:r w:rsidRPr="00A3002B">
        <w:rPr>
          <w:rFonts w:ascii="Times New Roman" w:eastAsia="Calibri" w:hAnsi="Times New Roman"/>
          <w:kern w:val="2"/>
          <w:sz w:val="24"/>
          <w:szCs w:val="24"/>
          <w:lang w:bidi="ar-SA"/>
          <w14:ligatures w14:val="standardContextual"/>
        </w:rPr>
        <w:t>, P. A. (2017). The genetic diversity of leaf vegetable jute mallow (</w:t>
      </w:r>
      <w:r w:rsidRPr="00A3002B">
        <w:rPr>
          <w:rFonts w:ascii="Times New Roman" w:eastAsia="Calibri" w:hAnsi="Times New Roman"/>
          <w:i/>
          <w:iCs/>
          <w:kern w:val="2"/>
          <w:sz w:val="24"/>
          <w:szCs w:val="24"/>
          <w:lang w:bidi="ar-SA"/>
          <w14:ligatures w14:val="standardContextual"/>
        </w:rPr>
        <w:t>Corchorus</w:t>
      </w:r>
      <w:r w:rsidRPr="00A3002B">
        <w:rPr>
          <w:rFonts w:ascii="Times New Roman" w:eastAsia="Calibri" w:hAnsi="Times New Roman"/>
          <w:kern w:val="2"/>
          <w:sz w:val="24"/>
          <w:szCs w:val="24"/>
          <w:lang w:bidi="ar-SA"/>
          <w14:ligatures w14:val="standardContextual"/>
        </w:rPr>
        <w:t xml:space="preserve"> spp.): A review. </w:t>
      </w:r>
      <w:r w:rsidRPr="00A3002B">
        <w:rPr>
          <w:rFonts w:ascii="Times New Roman" w:eastAsia="Calibri" w:hAnsi="Times New Roman"/>
          <w:i/>
          <w:iCs/>
          <w:kern w:val="2"/>
          <w:sz w:val="24"/>
          <w:szCs w:val="24"/>
          <w:lang w:bidi="ar-SA"/>
          <w14:ligatures w14:val="standardContextual"/>
        </w:rPr>
        <w:t>Indian Journal of Agricultural Research, 51</w:t>
      </w:r>
      <w:r w:rsidRPr="00A3002B">
        <w:rPr>
          <w:rFonts w:ascii="Times New Roman" w:eastAsia="Calibri" w:hAnsi="Times New Roman"/>
          <w:kern w:val="2"/>
          <w:sz w:val="24"/>
          <w:szCs w:val="24"/>
          <w:lang w:bidi="ar-SA"/>
          <w14:ligatures w14:val="standardContextual"/>
        </w:rPr>
        <w:t>(5), 405–412. https://doi.org/10.18805/IJARe.A-240</w:t>
      </w:r>
    </w:p>
    <w:p w14:paraId="6583C877"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lastRenderedPageBreak/>
        <w:t xml:space="preserve">Sarkar, S. K., &amp; Gawande, S. P. (2016). Diseases of jute and allied </w:t>
      </w:r>
      <w:proofErr w:type="spellStart"/>
      <w:r w:rsidRPr="00A3002B">
        <w:rPr>
          <w:rFonts w:ascii="Times New Roman" w:eastAsia="Calibri" w:hAnsi="Times New Roman"/>
          <w:kern w:val="2"/>
          <w:sz w:val="24"/>
          <w:szCs w:val="24"/>
          <w:lang w:bidi="ar-SA"/>
          <w14:ligatures w14:val="standardContextual"/>
        </w:rPr>
        <w:t>fibre</w:t>
      </w:r>
      <w:proofErr w:type="spellEnd"/>
      <w:r w:rsidRPr="00A3002B">
        <w:rPr>
          <w:rFonts w:ascii="Times New Roman" w:eastAsia="Calibri" w:hAnsi="Times New Roman"/>
          <w:kern w:val="2"/>
          <w:sz w:val="24"/>
          <w:szCs w:val="24"/>
          <w:lang w:bidi="ar-SA"/>
          <w14:ligatures w14:val="standardContextual"/>
        </w:rPr>
        <w:t xml:space="preserve"> crops and their management. </w:t>
      </w:r>
      <w:r w:rsidRPr="00A3002B">
        <w:rPr>
          <w:rFonts w:ascii="Times New Roman" w:eastAsia="Calibri" w:hAnsi="Times New Roman"/>
          <w:i/>
          <w:iCs/>
          <w:kern w:val="2"/>
          <w:sz w:val="24"/>
          <w:szCs w:val="24"/>
          <w:lang w:bidi="ar-SA"/>
          <w14:ligatures w14:val="standardContextual"/>
        </w:rPr>
        <w:t xml:space="preserve">Journal of </w:t>
      </w:r>
      <w:proofErr w:type="spellStart"/>
      <w:r w:rsidRPr="00A3002B">
        <w:rPr>
          <w:rFonts w:ascii="Times New Roman" w:eastAsia="Calibri" w:hAnsi="Times New Roman"/>
          <w:i/>
          <w:iCs/>
          <w:kern w:val="2"/>
          <w:sz w:val="24"/>
          <w:szCs w:val="24"/>
          <w:lang w:bidi="ar-SA"/>
          <w14:ligatures w14:val="standardContextual"/>
        </w:rPr>
        <w:t>Mycopathological</w:t>
      </w:r>
      <w:proofErr w:type="spellEnd"/>
      <w:r w:rsidRPr="00A3002B">
        <w:rPr>
          <w:rFonts w:ascii="Times New Roman" w:eastAsia="Calibri" w:hAnsi="Times New Roman"/>
          <w:i/>
          <w:iCs/>
          <w:kern w:val="2"/>
          <w:sz w:val="24"/>
          <w:szCs w:val="24"/>
          <w:lang w:bidi="ar-SA"/>
          <w14:ligatures w14:val="standardContextual"/>
        </w:rPr>
        <w:t xml:space="preserve"> Research, 54</w:t>
      </w:r>
      <w:r w:rsidRPr="00A3002B">
        <w:rPr>
          <w:rFonts w:ascii="Times New Roman" w:eastAsia="Calibri" w:hAnsi="Times New Roman"/>
          <w:kern w:val="2"/>
          <w:sz w:val="24"/>
          <w:szCs w:val="24"/>
          <w:lang w:bidi="ar-SA"/>
          <w14:ligatures w14:val="standardContextual"/>
        </w:rPr>
        <w:t xml:space="preserve">(3), 321–337. </w:t>
      </w:r>
      <w:hyperlink r:id="rId28" w:tgtFrame="_new" w:history="1">
        <w:r w:rsidRPr="00A3002B">
          <w:rPr>
            <w:rFonts w:ascii="Times New Roman" w:eastAsia="Calibri" w:hAnsi="Times New Roman"/>
            <w:color w:val="0563C1" w:themeColor="hyperlink"/>
            <w:kern w:val="2"/>
            <w:sz w:val="24"/>
            <w:szCs w:val="24"/>
            <w:u w:val="single"/>
            <w:lang w:bidi="ar-SA"/>
            <w14:ligatures w14:val="standardContextual"/>
          </w:rPr>
          <w:t>https://imskolkata.org/article1/002-10-16.pdf</w:t>
        </w:r>
      </w:hyperlink>
    </w:p>
    <w:p w14:paraId="0BAE602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Schnelle, M. A., &amp; Cole, J. C. (2017). </w:t>
      </w:r>
      <w:r w:rsidRPr="00A3002B">
        <w:rPr>
          <w:rFonts w:ascii="Times New Roman" w:eastAsia="Calibri" w:hAnsi="Times New Roman"/>
          <w:i/>
          <w:iCs/>
          <w:kern w:val="2"/>
          <w:sz w:val="24"/>
          <w:szCs w:val="24"/>
          <w:lang w:bidi="ar-SA"/>
          <w14:ligatures w14:val="standardContextual"/>
        </w:rPr>
        <w:t>Herbicide injury in the nursery and landscape</w:t>
      </w:r>
      <w:r w:rsidRPr="00A3002B">
        <w:rPr>
          <w:rFonts w:ascii="Times New Roman" w:eastAsia="Calibri" w:hAnsi="Times New Roman"/>
          <w:kern w:val="2"/>
          <w:sz w:val="24"/>
          <w:szCs w:val="24"/>
          <w:lang w:bidi="ar-SA"/>
          <w14:ligatures w14:val="standardContextual"/>
        </w:rPr>
        <w:t xml:space="preserve"> (HLA-6704). Oklahoma State University. </w:t>
      </w:r>
      <w:hyperlink r:id="rId29" w:tgtFrame="_new" w:history="1">
        <w:r w:rsidRPr="00A3002B">
          <w:rPr>
            <w:rFonts w:ascii="Times New Roman" w:eastAsia="Calibri" w:hAnsi="Times New Roman"/>
            <w:color w:val="0563C1" w:themeColor="hyperlink"/>
            <w:kern w:val="2"/>
            <w:sz w:val="24"/>
            <w:szCs w:val="24"/>
            <w:u w:val="single"/>
            <w:lang w:bidi="ar-SA"/>
            <w14:ligatures w14:val="standardContextual"/>
          </w:rPr>
          <w:t>https://openresearch.okstate.edu/server/api/core/bitstreams/93f0e9ae-c0c5-401f-b3ea-5bfaba53cd1f/content</w:t>
        </w:r>
      </w:hyperlink>
    </w:p>
    <w:p w14:paraId="3BAAEF90" w14:textId="37E73E01"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Singh, M. V., Bhagwan, S., &amp; Prakash, V. (2015</w:t>
      </w:r>
      <w:r w:rsidR="00F75ADC">
        <w:rPr>
          <w:rFonts w:ascii="Times New Roman" w:eastAsia="Calibri" w:hAnsi="Times New Roman"/>
          <w:kern w:val="2"/>
          <w:sz w:val="24"/>
          <w:szCs w:val="24"/>
          <w:lang w:bidi="ar-SA"/>
          <w14:ligatures w14:val="standardContextual"/>
        </w:rPr>
        <w:t>a</w:t>
      </w:r>
      <w:r w:rsidRPr="00A3002B">
        <w:rPr>
          <w:rFonts w:ascii="Times New Roman" w:eastAsia="Calibri" w:hAnsi="Times New Roman"/>
          <w:kern w:val="2"/>
          <w:sz w:val="24"/>
          <w:szCs w:val="24"/>
          <w:lang w:bidi="ar-SA"/>
          <w14:ligatures w14:val="standardContextual"/>
        </w:rPr>
        <w:t xml:space="preserve">). Integrated weed management in jute. </w:t>
      </w:r>
      <w:r w:rsidRPr="00A3002B">
        <w:rPr>
          <w:rFonts w:ascii="Times New Roman" w:eastAsia="Calibri" w:hAnsi="Times New Roman"/>
          <w:i/>
          <w:iCs/>
          <w:kern w:val="2"/>
          <w:sz w:val="24"/>
          <w:szCs w:val="24"/>
          <w:lang w:bidi="ar-SA"/>
          <w14:ligatures w14:val="standardContextual"/>
        </w:rPr>
        <w:t>Annals of Plant and Soil Research, 17</w:t>
      </w:r>
      <w:r w:rsidRPr="00A3002B">
        <w:rPr>
          <w:rFonts w:ascii="Times New Roman" w:eastAsia="Calibri" w:hAnsi="Times New Roman"/>
          <w:kern w:val="2"/>
          <w:sz w:val="24"/>
          <w:szCs w:val="24"/>
          <w:lang w:bidi="ar-SA"/>
          <w14:ligatures w14:val="standardContextual"/>
        </w:rPr>
        <w:t xml:space="preserve">(3), 277–279. </w:t>
      </w:r>
      <w:hyperlink r:id="rId30" w:tgtFrame="_new" w:history="1">
        <w:r w:rsidRPr="00A3002B">
          <w:rPr>
            <w:rFonts w:ascii="Times New Roman" w:eastAsia="Calibri" w:hAnsi="Times New Roman"/>
            <w:color w:val="0563C1" w:themeColor="hyperlink"/>
            <w:kern w:val="2"/>
            <w:sz w:val="24"/>
            <w:szCs w:val="24"/>
            <w:u w:val="single"/>
            <w:lang w:bidi="ar-SA"/>
            <w14:ligatures w14:val="standardContextual"/>
          </w:rPr>
          <w:t>https://gkvsociety.com/control/uploads/Integrated%20weed%20management%20in%20jute.pdf</w:t>
        </w:r>
      </w:hyperlink>
    </w:p>
    <w:p w14:paraId="27B540C7" w14:textId="3D427ABD"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Singh, P., Singh, L., Singh, P., Lone, B. A., Qayoom, S., Ahmad, L., Ganai, M. A., Kanth, R. A., &amp; Fayaz, A. (2015</w:t>
      </w:r>
      <w:r w:rsidR="00F75ADC">
        <w:rPr>
          <w:rFonts w:ascii="Times New Roman" w:eastAsia="Calibri" w:hAnsi="Times New Roman"/>
          <w:kern w:val="2"/>
          <w:sz w:val="24"/>
          <w:szCs w:val="24"/>
          <w:lang w:bidi="ar-SA"/>
          <w14:ligatures w14:val="standardContextual"/>
        </w:rPr>
        <w:t>b</w:t>
      </w:r>
      <w:r w:rsidRPr="00A3002B">
        <w:rPr>
          <w:rFonts w:ascii="Times New Roman" w:eastAsia="Calibri" w:hAnsi="Times New Roman"/>
          <w:kern w:val="2"/>
          <w:sz w:val="24"/>
          <w:szCs w:val="24"/>
          <w:lang w:bidi="ar-SA"/>
          <w14:ligatures w14:val="standardContextual"/>
        </w:rPr>
        <w:t>). Response of lentil (</w:t>
      </w:r>
      <w:r w:rsidRPr="00A3002B">
        <w:rPr>
          <w:rFonts w:ascii="Times New Roman" w:eastAsia="Calibri" w:hAnsi="Times New Roman"/>
          <w:i/>
          <w:iCs/>
          <w:kern w:val="2"/>
          <w:sz w:val="24"/>
          <w:szCs w:val="24"/>
          <w:lang w:bidi="ar-SA"/>
          <w14:ligatures w14:val="standardContextual"/>
        </w:rPr>
        <w:t xml:space="preserve">Lens </w:t>
      </w:r>
      <w:proofErr w:type="spellStart"/>
      <w:r w:rsidRPr="00A3002B">
        <w:rPr>
          <w:rFonts w:ascii="Times New Roman" w:eastAsia="Calibri" w:hAnsi="Times New Roman"/>
          <w:i/>
          <w:iCs/>
          <w:kern w:val="2"/>
          <w:sz w:val="24"/>
          <w:szCs w:val="24"/>
          <w:lang w:bidi="ar-SA"/>
          <w14:ligatures w14:val="standardContextual"/>
        </w:rPr>
        <w:t>culinaris</w:t>
      </w:r>
      <w:proofErr w:type="spellEnd"/>
      <w:r w:rsidRPr="00A3002B">
        <w:rPr>
          <w:rFonts w:ascii="Times New Roman" w:eastAsia="Calibri" w:hAnsi="Times New Roman"/>
          <w:kern w:val="2"/>
          <w:sz w:val="24"/>
          <w:szCs w:val="24"/>
          <w:lang w:bidi="ar-SA"/>
          <w14:ligatures w14:val="standardContextual"/>
        </w:rPr>
        <w:t xml:space="preserve"> </w:t>
      </w:r>
      <w:proofErr w:type="spellStart"/>
      <w:r w:rsidRPr="00A3002B">
        <w:rPr>
          <w:rFonts w:ascii="Times New Roman" w:eastAsia="Calibri" w:hAnsi="Times New Roman"/>
          <w:kern w:val="2"/>
          <w:sz w:val="24"/>
          <w:szCs w:val="24"/>
          <w:lang w:bidi="ar-SA"/>
          <w14:ligatures w14:val="standardContextual"/>
        </w:rPr>
        <w:t>Medik</w:t>
      </w:r>
      <w:proofErr w:type="spellEnd"/>
      <w:r w:rsidRPr="00A3002B">
        <w:rPr>
          <w:rFonts w:ascii="Times New Roman" w:eastAsia="Calibri" w:hAnsi="Times New Roman"/>
          <w:kern w:val="2"/>
          <w:sz w:val="24"/>
          <w:szCs w:val="24"/>
          <w:lang w:bidi="ar-SA"/>
          <w14:ligatures w14:val="standardContextual"/>
        </w:rPr>
        <w:t xml:space="preserve">) and weeds to different weed management practices under temperate conditions. </w:t>
      </w:r>
      <w:r w:rsidRPr="00A3002B">
        <w:rPr>
          <w:rFonts w:ascii="Times New Roman" w:eastAsia="Calibri" w:hAnsi="Times New Roman"/>
          <w:i/>
          <w:iCs/>
          <w:kern w:val="2"/>
          <w:sz w:val="24"/>
          <w:szCs w:val="24"/>
          <w:lang w:bidi="ar-SA"/>
          <w14:ligatures w14:val="standardContextual"/>
        </w:rPr>
        <w:t xml:space="preserve">Journal of </w:t>
      </w:r>
      <w:proofErr w:type="spellStart"/>
      <w:r w:rsidRPr="00A3002B">
        <w:rPr>
          <w:rFonts w:ascii="Times New Roman" w:eastAsia="Calibri" w:hAnsi="Times New Roman"/>
          <w:i/>
          <w:iCs/>
          <w:kern w:val="2"/>
          <w:sz w:val="24"/>
          <w:szCs w:val="24"/>
          <w:lang w:bidi="ar-SA"/>
          <w14:ligatures w14:val="standardContextual"/>
        </w:rPr>
        <w:t>AgriSearch</w:t>
      </w:r>
      <w:proofErr w:type="spellEnd"/>
      <w:r w:rsidRPr="00A3002B">
        <w:rPr>
          <w:rFonts w:ascii="Times New Roman" w:eastAsia="Calibri" w:hAnsi="Times New Roman"/>
          <w:i/>
          <w:iCs/>
          <w:kern w:val="2"/>
          <w:sz w:val="24"/>
          <w:szCs w:val="24"/>
          <w:lang w:bidi="ar-SA"/>
          <w14:ligatures w14:val="standardContextual"/>
        </w:rPr>
        <w:t>, 2</w:t>
      </w:r>
      <w:r w:rsidRPr="00A3002B">
        <w:rPr>
          <w:rFonts w:ascii="Times New Roman" w:eastAsia="Calibri" w:hAnsi="Times New Roman"/>
          <w:kern w:val="2"/>
          <w:sz w:val="24"/>
          <w:szCs w:val="24"/>
          <w:lang w:bidi="ar-SA"/>
          <w14:ligatures w14:val="standardContextual"/>
        </w:rPr>
        <w:t>, 72–74.</w:t>
      </w:r>
    </w:p>
    <w:p w14:paraId="6F82E77C"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proofErr w:type="spellStart"/>
      <w:r w:rsidRPr="00A3002B">
        <w:rPr>
          <w:rFonts w:ascii="Times New Roman" w:eastAsia="Calibri" w:hAnsi="Times New Roman"/>
          <w:kern w:val="2"/>
          <w:sz w:val="24"/>
          <w:szCs w:val="24"/>
          <w:lang w:bidi="ar-SA"/>
          <w14:ligatures w14:val="standardContextual"/>
        </w:rPr>
        <w:t>Susha</w:t>
      </w:r>
      <w:proofErr w:type="spellEnd"/>
      <w:r w:rsidRPr="00A3002B">
        <w:rPr>
          <w:rFonts w:ascii="Times New Roman" w:eastAsia="Calibri" w:hAnsi="Times New Roman"/>
          <w:kern w:val="2"/>
          <w:sz w:val="24"/>
          <w:szCs w:val="24"/>
          <w:lang w:bidi="ar-SA"/>
          <w14:ligatures w14:val="standardContextual"/>
        </w:rPr>
        <w:t xml:space="preserve">, V. S., Das, T. K., Nath, C. P., Pandey, R., Paul, S., &amp; Ghosh, S. (2018). Impacts of tillage and herbicide mixture on weed interference, agronomic productivity and profitability of a maize–wheat system in the north-western Indo-Gangetic plains. </w:t>
      </w:r>
      <w:r w:rsidRPr="00A3002B">
        <w:rPr>
          <w:rFonts w:ascii="Times New Roman" w:eastAsia="Calibri" w:hAnsi="Times New Roman"/>
          <w:i/>
          <w:iCs/>
          <w:kern w:val="2"/>
          <w:sz w:val="24"/>
          <w:szCs w:val="24"/>
          <w:lang w:bidi="ar-SA"/>
          <w14:ligatures w14:val="standardContextual"/>
        </w:rPr>
        <w:t>Field Crops Research, 219</w:t>
      </w:r>
      <w:r w:rsidRPr="00A3002B">
        <w:rPr>
          <w:rFonts w:ascii="Times New Roman" w:eastAsia="Calibri" w:hAnsi="Times New Roman"/>
          <w:kern w:val="2"/>
          <w:sz w:val="24"/>
          <w:szCs w:val="24"/>
          <w:lang w:bidi="ar-SA"/>
          <w14:ligatures w14:val="standardContextual"/>
        </w:rPr>
        <w:t xml:space="preserve">, 180–191. </w:t>
      </w:r>
      <w:hyperlink r:id="rId31"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https://doi.org/10.1016/j.fcr.2018.02.003</w:t>
        </w:r>
      </w:hyperlink>
    </w:p>
    <w:p w14:paraId="0BF76E0C"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Swanton, C. J., Nkoa, R., &amp; Blackshaw, R. E. (2015). Experimental methods for crop–weed competition studies. </w:t>
      </w:r>
      <w:r w:rsidRPr="00A3002B">
        <w:rPr>
          <w:rFonts w:ascii="Times New Roman" w:eastAsia="Calibri" w:hAnsi="Times New Roman"/>
          <w:i/>
          <w:iCs/>
          <w:kern w:val="2"/>
          <w:sz w:val="24"/>
          <w:szCs w:val="24"/>
          <w:lang w:bidi="ar-SA"/>
          <w14:ligatures w14:val="standardContextual"/>
        </w:rPr>
        <w:t>Weed Science, 63</w:t>
      </w:r>
      <w:r w:rsidRPr="00A3002B">
        <w:rPr>
          <w:rFonts w:ascii="Times New Roman" w:eastAsia="Calibri" w:hAnsi="Times New Roman"/>
          <w:kern w:val="2"/>
          <w:sz w:val="24"/>
          <w:szCs w:val="24"/>
          <w:lang w:bidi="ar-SA"/>
          <w14:ligatures w14:val="standardContextual"/>
        </w:rPr>
        <w:t xml:space="preserve">, 2–11. </w:t>
      </w:r>
      <w:hyperlink r:id="rId32"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https://doi.org/10.1614/WS-D-13-00062.1</w:t>
        </w:r>
      </w:hyperlink>
    </w:p>
    <w:p w14:paraId="2E456859" w14:textId="77777777" w:rsidR="003B461F" w:rsidRPr="003B461F"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Zimdahl, R. L., &amp; Basinger, N. T. (2024). </w:t>
      </w:r>
      <w:r w:rsidRPr="00A3002B">
        <w:rPr>
          <w:rFonts w:ascii="Times New Roman" w:eastAsia="Calibri" w:hAnsi="Times New Roman"/>
          <w:i/>
          <w:iCs/>
          <w:kern w:val="2"/>
          <w:sz w:val="24"/>
          <w:szCs w:val="24"/>
          <w:lang w:bidi="ar-SA"/>
          <w14:ligatures w14:val="standardContextual"/>
        </w:rPr>
        <w:t>Fundamentals of weed science</w:t>
      </w:r>
      <w:r w:rsidRPr="00A3002B">
        <w:rPr>
          <w:rFonts w:ascii="Times New Roman" w:eastAsia="Calibri" w:hAnsi="Times New Roman"/>
          <w:kern w:val="2"/>
          <w:sz w:val="24"/>
          <w:szCs w:val="24"/>
          <w:lang w:bidi="ar-SA"/>
          <w14:ligatures w14:val="standardContextual"/>
        </w:rPr>
        <w:t xml:space="preserve"> (6th ed.). Academic Press / Elsevier.</w:t>
      </w:r>
    </w:p>
    <w:p w14:paraId="37C0FBB2" w14:textId="77777777" w:rsidR="003B461F" w:rsidRPr="003B461F"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p>
    <w:p w14:paraId="7016C61C" w14:textId="314A1031" w:rsidR="00221A36" w:rsidRDefault="00221A36" w:rsidP="003B461F">
      <w:pPr>
        <w:rPr>
          <w:rFonts w:ascii="Times New Roman" w:hAnsi="Times New Roman"/>
          <w:b/>
          <w:bCs/>
          <w:sz w:val="24"/>
          <w:szCs w:val="32"/>
        </w:rPr>
      </w:pPr>
    </w:p>
    <w:p w14:paraId="0C6E35C4" w14:textId="77777777" w:rsidR="00EF4285" w:rsidRDefault="00EF4285" w:rsidP="00EF4285">
      <w:pPr>
        <w:rPr>
          <w:rFonts w:ascii="Times New Roman" w:hAnsi="Times New Roman"/>
          <w:b/>
          <w:bCs/>
          <w:sz w:val="24"/>
          <w:szCs w:val="32"/>
        </w:rPr>
      </w:pPr>
    </w:p>
    <w:p w14:paraId="6D38A9DD"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7F03B642"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1AB802B3"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27818FFA"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4F9F6751"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36D75443"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0A20F79B"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5F46FCD4"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57118909"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13FC7615"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6BF16F5A"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31BC87AF"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38A6D324"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362C2C8A"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sectPr w:rsidR="003530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861E0" w14:textId="77777777" w:rsidR="00057AFC" w:rsidRDefault="00057AFC">
      <w:pPr>
        <w:spacing w:after="0" w:line="240" w:lineRule="auto"/>
      </w:pPr>
      <w:r>
        <w:separator/>
      </w:r>
    </w:p>
  </w:endnote>
  <w:endnote w:type="continuationSeparator" w:id="0">
    <w:p w14:paraId="0B4D1BAE" w14:textId="77777777" w:rsidR="00057AFC" w:rsidRDefault="0005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7160" w14:textId="77777777" w:rsidR="00CC55C6" w:rsidRDefault="00CC5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189823"/>
      <w:docPartObj>
        <w:docPartGallery w:val="Page Numbers (Bottom of Page)"/>
        <w:docPartUnique/>
      </w:docPartObj>
    </w:sdtPr>
    <w:sdtEndPr>
      <w:rPr>
        <w:noProof/>
      </w:rPr>
    </w:sdtEndPr>
    <w:sdtContent>
      <w:p w14:paraId="3F9C79D8" w14:textId="77777777" w:rsidR="003B5C1D" w:rsidRDefault="003B5C1D">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14:paraId="70FB3BD7" w14:textId="77777777" w:rsidR="003B5C1D" w:rsidRDefault="003B5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08C0" w14:textId="77777777" w:rsidR="00CC55C6" w:rsidRDefault="00CC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47631" w14:textId="77777777" w:rsidR="00057AFC" w:rsidRDefault="00057AFC">
      <w:pPr>
        <w:spacing w:after="0" w:line="240" w:lineRule="auto"/>
      </w:pPr>
      <w:r>
        <w:separator/>
      </w:r>
    </w:p>
  </w:footnote>
  <w:footnote w:type="continuationSeparator" w:id="0">
    <w:p w14:paraId="001B91FA" w14:textId="77777777" w:rsidR="00057AFC" w:rsidRDefault="00057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3D7F" w14:textId="212D0EE2" w:rsidR="00CC55C6" w:rsidRDefault="00057AFC">
    <w:pPr>
      <w:pStyle w:val="Header"/>
    </w:pPr>
    <w:r>
      <w:rPr>
        <w:noProof/>
      </w:rPr>
      <w:pict w14:anchorId="7C45E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59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1E3A" w14:textId="1F5CC753" w:rsidR="00CC55C6" w:rsidRDefault="00057AFC">
    <w:pPr>
      <w:pStyle w:val="Header"/>
    </w:pPr>
    <w:r>
      <w:rPr>
        <w:noProof/>
      </w:rPr>
      <w:pict w14:anchorId="0D80C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59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2BDF" w14:textId="1BF45FA2" w:rsidR="00CC55C6" w:rsidRDefault="00057AFC">
    <w:pPr>
      <w:pStyle w:val="Header"/>
    </w:pPr>
    <w:r>
      <w:rPr>
        <w:noProof/>
      </w:rPr>
      <w:pict w14:anchorId="68623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59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A7185"/>
    <w:multiLevelType w:val="hybridMultilevel"/>
    <w:tmpl w:val="F0823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01D12"/>
    <w:multiLevelType w:val="multilevel"/>
    <w:tmpl w:val="0726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C6493"/>
    <w:multiLevelType w:val="multilevel"/>
    <w:tmpl w:val="4642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C0095"/>
    <w:multiLevelType w:val="multilevel"/>
    <w:tmpl w:val="12C0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sDQ3MTQ3MDUyNjZV0lEKTi0uzszPAykwrAUAoubtJywAAAA="/>
  </w:docVars>
  <w:rsids>
    <w:rsidRoot w:val="00BA08B0"/>
    <w:rsid w:val="00053758"/>
    <w:rsid w:val="00057AFC"/>
    <w:rsid w:val="000A2E68"/>
    <w:rsid w:val="000F0191"/>
    <w:rsid w:val="00153397"/>
    <w:rsid w:val="00160A09"/>
    <w:rsid w:val="00190B5E"/>
    <w:rsid w:val="001B70E1"/>
    <w:rsid w:val="001C3B0C"/>
    <w:rsid w:val="001F55D8"/>
    <w:rsid w:val="00221A36"/>
    <w:rsid w:val="00242DB4"/>
    <w:rsid w:val="00287B6E"/>
    <w:rsid w:val="003530FB"/>
    <w:rsid w:val="003A34FE"/>
    <w:rsid w:val="003B461F"/>
    <w:rsid w:val="003B4BC6"/>
    <w:rsid w:val="003B5C1D"/>
    <w:rsid w:val="004701B2"/>
    <w:rsid w:val="004D722D"/>
    <w:rsid w:val="00575590"/>
    <w:rsid w:val="005A48BC"/>
    <w:rsid w:val="0060738B"/>
    <w:rsid w:val="0062119A"/>
    <w:rsid w:val="006452F7"/>
    <w:rsid w:val="0067739B"/>
    <w:rsid w:val="006877B6"/>
    <w:rsid w:val="006B79D2"/>
    <w:rsid w:val="00721B38"/>
    <w:rsid w:val="007C7B13"/>
    <w:rsid w:val="007D4F3F"/>
    <w:rsid w:val="007F0316"/>
    <w:rsid w:val="00813A5D"/>
    <w:rsid w:val="008758DB"/>
    <w:rsid w:val="00901A95"/>
    <w:rsid w:val="0090223E"/>
    <w:rsid w:val="00903F86"/>
    <w:rsid w:val="009E1815"/>
    <w:rsid w:val="009E6F80"/>
    <w:rsid w:val="00A212F8"/>
    <w:rsid w:val="00A3002B"/>
    <w:rsid w:val="00A553E8"/>
    <w:rsid w:val="00A648EA"/>
    <w:rsid w:val="00BA08B0"/>
    <w:rsid w:val="00BA30AB"/>
    <w:rsid w:val="00C15A0E"/>
    <w:rsid w:val="00C47FDD"/>
    <w:rsid w:val="00CA3687"/>
    <w:rsid w:val="00CC55C6"/>
    <w:rsid w:val="00D8309D"/>
    <w:rsid w:val="00D861DC"/>
    <w:rsid w:val="00E1614E"/>
    <w:rsid w:val="00E62EA6"/>
    <w:rsid w:val="00E8157A"/>
    <w:rsid w:val="00E93119"/>
    <w:rsid w:val="00EF4285"/>
    <w:rsid w:val="00F5388B"/>
    <w:rsid w:val="00F607C4"/>
    <w:rsid w:val="00F70DA1"/>
    <w:rsid w:val="00F75ADC"/>
    <w:rsid w:val="00FF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4D5E3B"/>
  <w15:chartTrackingRefBased/>
  <w15:docId w15:val="{216E5970-FDAF-4E31-AD7E-E2086E68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C1D"/>
    <w:pPr>
      <w:spacing w:after="200" w:line="276" w:lineRule="auto"/>
    </w:pPr>
    <w:rPr>
      <w:rFonts w:ascii="Calibri" w:eastAsia="Times New Roman" w:hAnsi="Calibri" w:cs="Times New Roman"/>
      <w:kern w:val="0"/>
      <w:sz w:val="22"/>
      <w:szCs w:val="28"/>
      <w:lang w:bidi="bn-BD"/>
      <w14:ligatures w14:val="none"/>
    </w:rPr>
  </w:style>
  <w:style w:type="paragraph" w:styleId="Heading1">
    <w:name w:val="heading 1"/>
    <w:basedOn w:val="Normal"/>
    <w:next w:val="Normal"/>
    <w:link w:val="Heading1Char"/>
    <w:uiPriority w:val="9"/>
    <w:qFormat/>
    <w:rsid w:val="00BA08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8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8B0"/>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BA08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8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8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8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8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8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8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8B0"/>
    <w:rPr>
      <w:rFonts w:eastAsiaTheme="majorEastAsia" w:cstheme="majorBidi"/>
      <w:color w:val="272727" w:themeColor="text1" w:themeTint="D8"/>
    </w:rPr>
  </w:style>
  <w:style w:type="paragraph" w:styleId="Title">
    <w:name w:val="Title"/>
    <w:basedOn w:val="Normal"/>
    <w:next w:val="Normal"/>
    <w:link w:val="TitleChar"/>
    <w:uiPriority w:val="10"/>
    <w:qFormat/>
    <w:rsid w:val="00BA0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8B0"/>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BA0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8B0"/>
    <w:pPr>
      <w:spacing w:before="160"/>
      <w:jc w:val="center"/>
    </w:pPr>
    <w:rPr>
      <w:i/>
      <w:iCs/>
      <w:color w:val="404040" w:themeColor="text1" w:themeTint="BF"/>
    </w:rPr>
  </w:style>
  <w:style w:type="character" w:customStyle="1" w:styleId="QuoteChar">
    <w:name w:val="Quote Char"/>
    <w:basedOn w:val="DefaultParagraphFont"/>
    <w:link w:val="Quote"/>
    <w:uiPriority w:val="29"/>
    <w:rsid w:val="00BA08B0"/>
    <w:rPr>
      <w:i/>
      <w:iCs/>
      <w:color w:val="404040" w:themeColor="text1" w:themeTint="BF"/>
    </w:rPr>
  </w:style>
  <w:style w:type="paragraph" w:styleId="ListParagraph">
    <w:name w:val="List Paragraph"/>
    <w:basedOn w:val="Normal"/>
    <w:uiPriority w:val="34"/>
    <w:qFormat/>
    <w:rsid w:val="00BA08B0"/>
    <w:pPr>
      <w:ind w:left="720"/>
      <w:contextualSpacing/>
    </w:pPr>
  </w:style>
  <w:style w:type="character" w:styleId="IntenseEmphasis">
    <w:name w:val="Intense Emphasis"/>
    <w:basedOn w:val="DefaultParagraphFont"/>
    <w:uiPriority w:val="21"/>
    <w:qFormat/>
    <w:rsid w:val="00BA08B0"/>
    <w:rPr>
      <w:i/>
      <w:iCs/>
      <w:color w:val="2F5496" w:themeColor="accent1" w:themeShade="BF"/>
    </w:rPr>
  </w:style>
  <w:style w:type="paragraph" w:styleId="IntenseQuote">
    <w:name w:val="Intense Quote"/>
    <w:basedOn w:val="Normal"/>
    <w:next w:val="Normal"/>
    <w:link w:val="IntenseQuoteChar"/>
    <w:uiPriority w:val="30"/>
    <w:qFormat/>
    <w:rsid w:val="00BA0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8B0"/>
    <w:rPr>
      <w:i/>
      <w:iCs/>
      <w:color w:val="2F5496" w:themeColor="accent1" w:themeShade="BF"/>
    </w:rPr>
  </w:style>
  <w:style w:type="character" w:styleId="IntenseReference">
    <w:name w:val="Intense Reference"/>
    <w:basedOn w:val="DefaultParagraphFont"/>
    <w:uiPriority w:val="32"/>
    <w:qFormat/>
    <w:rsid w:val="00BA08B0"/>
    <w:rPr>
      <w:b/>
      <w:bCs/>
      <w:smallCaps/>
      <w:color w:val="2F5496" w:themeColor="accent1" w:themeShade="BF"/>
      <w:spacing w:val="5"/>
    </w:rPr>
  </w:style>
  <w:style w:type="paragraph" w:styleId="Footer">
    <w:name w:val="footer"/>
    <w:basedOn w:val="Normal"/>
    <w:link w:val="FooterChar"/>
    <w:uiPriority w:val="99"/>
    <w:unhideWhenUsed/>
    <w:rsid w:val="003B5C1D"/>
    <w:pPr>
      <w:tabs>
        <w:tab w:val="center" w:pos="4320"/>
        <w:tab w:val="right" w:pos="8640"/>
      </w:tabs>
      <w:spacing w:after="0" w:line="240" w:lineRule="auto"/>
    </w:pPr>
    <w:rPr>
      <w:rFonts w:ascii="Times New Roman" w:hAnsi="Times New Roman"/>
      <w:sz w:val="24"/>
      <w:szCs w:val="24"/>
      <w:lang w:bidi="ar-SA"/>
    </w:rPr>
  </w:style>
  <w:style w:type="character" w:customStyle="1" w:styleId="FooterChar">
    <w:name w:val="Footer Char"/>
    <w:basedOn w:val="DefaultParagraphFont"/>
    <w:link w:val="Footer"/>
    <w:uiPriority w:val="99"/>
    <w:rsid w:val="003B5C1D"/>
    <w:rPr>
      <w:rFonts w:ascii="Times New Roman" w:eastAsia="Times New Roman" w:hAnsi="Times New Roman" w:cs="Times New Roman"/>
      <w:kern w:val="0"/>
      <w14:ligatures w14:val="none"/>
    </w:rPr>
  </w:style>
  <w:style w:type="character" w:styleId="Emphasis">
    <w:name w:val="Emphasis"/>
    <w:uiPriority w:val="20"/>
    <w:qFormat/>
    <w:rsid w:val="003B5C1D"/>
    <w:rPr>
      <w:i/>
      <w:iCs/>
    </w:rPr>
  </w:style>
  <w:style w:type="paragraph" w:styleId="NormalWeb">
    <w:name w:val="Normal (Web)"/>
    <w:basedOn w:val="Normal"/>
    <w:uiPriority w:val="99"/>
    <w:semiHidden/>
    <w:unhideWhenUsed/>
    <w:rsid w:val="003B461F"/>
    <w:pPr>
      <w:spacing w:before="100" w:beforeAutospacing="1" w:after="100" w:afterAutospacing="1" w:line="240" w:lineRule="auto"/>
    </w:pPr>
    <w:rPr>
      <w:rFonts w:ascii="Times New Roman" w:hAnsi="Times New Roman"/>
      <w:sz w:val="24"/>
      <w:szCs w:val="24"/>
      <w:lang w:bidi="ar-SA"/>
    </w:rPr>
  </w:style>
  <w:style w:type="character" w:styleId="Strong">
    <w:name w:val="Strong"/>
    <w:basedOn w:val="DefaultParagraphFont"/>
    <w:uiPriority w:val="22"/>
    <w:qFormat/>
    <w:rsid w:val="00813A5D"/>
    <w:rPr>
      <w:b/>
      <w:bCs/>
    </w:rPr>
  </w:style>
  <w:style w:type="character" w:styleId="Hyperlink">
    <w:name w:val="Hyperlink"/>
    <w:basedOn w:val="DefaultParagraphFont"/>
    <w:uiPriority w:val="99"/>
    <w:unhideWhenUsed/>
    <w:rsid w:val="006B79D2"/>
    <w:rPr>
      <w:color w:val="0563C1" w:themeColor="hyperlink"/>
      <w:u w:val="single"/>
    </w:rPr>
  </w:style>
  <w:style w:type="character" w:styleId="UnresolvedMention">
    <w:name w:val="Unresolved Mention"/>
    <w:basedOn w:val="DefaultParagraphFont"/>
    <w:uiPriority w:val="99"/>
    <w:semiHidden/>
    <w:unhideWhenUsed/>
    <w:rsid w:val="006B79D2"/>
    <w:rPr>
      <w:color w:val="605E5C"/>
      <w:shd w:val="clear" w:color="auto" w:fill="E1DFDD"/>
    </w:rPr>
  </w:style>
  <w:style w:type="paragraph" w:styleId="Header">
    <w:name w:val="header"/>
    <w:basedOn w:val="Normal"/>
    <w:link w:val="HeaderChar"/>
    <w:uiPriority w:val="99"/>
    <w:unhideWhenUsed/>
    <w:rsid w:val="00CC5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5C6"/>
    <w:rPr>
      <w:rFonts w:ascii="Calibri" w:eastAsia="Times New Roman" w:hAnsi="Calibri" w:cs="Times New Roman"/>
      <w:kern w:val="0"/>
      <w:sz w:val="22"/>
      <w:szCs w:val="28"/>
      <w:lang w:bidi="bn-BD"/>
      <w14:ligatures w14:val="none"/>
    </w:rPr>
  </w:style>
  <w:style w:type="table" w:styleId="TableGrid">
    <w:name w:val="Table Grid"/>
    <w:basedOn w:val="TableNormal"/>
    <w:uiPriority w:val="39"/>
    <w:rsid w:val="000F0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bs.agron.2017.10.005" TargetMode="External"/><Relationship Id="rId18" Type="http://schemas.openxmlformats.org/officeDocument/2006/relationships/hyperlink" Target="https://www.researchgate.net/publication/304704489_Integrated_weed_management_in_jute" TargetMode="External"/><Relationship Id="rId26" Type="http://schemas.openxmlformats.org/officeDocument/2006/relationships/hyperlink" Target="https://doi.org/10.1016/j.heliyon.2021.e08129" TargetMode="External"/><Relationship Id="rId3" Type="http://schemas.openxmlformats.org/officeDocument/2006/relationships/settings" Target="settings.xml"/><Relationship Id="rId21" Type="http://schemas.openxmlformats.org/officeDocument/2006/relationships/hyperlink" Target="https://doi.org/10.25081/jsa.2017.v1.834"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7/wet.2019.68" TargetMode="External"/><Relationship Id="rId25" Type="http://schemas.openxmlformats.org/officeDocument/2006/relationships/hyperlink" Target="https://doi.org/10.1016/B978-0-12-818581-0.00022-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29/baj.v21i1.39361" TargetMode="External"/><Relationship Id="rId20" Type="http://schemas.openxmlformats.org/officeDocument/2006/relationships/hyperlink" Target="http://dx.doi.org/10.30848/PJB2024-4(43)" TargetMode="External"/><Relationship Id="rId29" Type="http://schemas.openxmlformats.org/officeDocument/2006/relationships/hyperlink" Target="https://openresearch.okstate.edu/server/api/core/bitstreams/93f0e9ae-c0c5-401f-b3ea-5bfaba53cd1f/cont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researchgate.net/publication/281616704" TargetMode="External"/><Relationship Id="rId32" Type="http://schemas.openxmlformats.org/officeDocument/2006/relationships/hyperlink" Target="https://doi.org/10.1614/WS-D-13-00062.1" TargetMode="External"/><Relationship Id="rId5" Type="http://schemas.openxmlformats.org/officeDocument/2006/relationships/footnotes" Target="footnotes.xml"/><Relationship Id="rId15" Type="http://schemas.openxmlformats.org/officeDocument/2006/relationships/hyperlink" Target="https://bbs.gov.bd/site/page/453af260-6aea-4331-b4a5-7b66fe63ba61/Agriculture" TargetMode="External"/><Relationship Id="rId23" Type="http://schemas.openxmlformats.org/officeDocument/2006/relationships/hyperlink" Target="https://doi.org/10.1614/WS-D-13-00062.1" TargetMode="External"/><Relationship Id="rId28" Type="http://schemas.openxmlformats.org/officeDocument/2006/relationships/hyperlink" Target="https://imskolkata.org/article1/002-10-16.pdf" TargetMode="External"/><Relationship Id="rId10" Type="http://schemas.openxmlformats.org/officeDocument/2006/relationships/footer" Target="footer2.xml"/><Relationship Id="rId19" Type="http://schemas.openxmlformats.org/officeDocument/2006/relationships/hyperlink" Target="https://doi.org/10.3390/su15129282" TargetMode="External"/><Relationship Id="rId31" Type="http://schemas.openxmlformats.org/officeDocument/2006/relationships/hyperlink" Target="https://doi.org/10.1016/j.fcr.2018.02.00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8034/abr.v10i3.480" TargetMode="External"/><Relationship Id="rId22" Type="http://schemas.openxmlformats.org/officeDocument/2006/relationships/hyperlink" Target="http://www.aascit.org/journal/biology" TargetMode="External"/><Relationship Id="rId27" Type="http://schemas.openxmlformats.org/officeDocument/2006/relationships/hyperlink" Target="http://scholarsresearchlibrary.com/ABR-vol5-iss3/ABR-2014-5-3-1-7.pdf" TargetMode="External"/><Relationship Id="rId30" Type="http://schemas.openxmlformats.org/officeDocument/2006/relationships/hyperlink" Target="https://gkvsociety.com/control/uploads/Integrated%20weed%20management%20in%20jute.pdf"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16</Pages>
  <Words>5454</Words>
  <Characters>31093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SDI 1020</cp:lastModifiedBy>
  <cp:revision>28</cp:revision>
  <dcterms:created xsi:type="dcterms:W3CDTF">2025-10-25T16:29:00Z</dcterms:created>
  <dcterms:modified xsi:type="dcterms:W3CDTF">2025-11-05T09:51:00Z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806a9d3d-619b-4c65-98ae-c2901085c683</vt:lpwstr>
  </property>
</Properties>
</file>