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BA5F" w14:textId="77777777" w:rsidR="00754C9A" w:rsidRDefault="00754C9A" w:rsidP="00441B6F">
      <w:pPr>
        <w:pStyle w:val="Title"/>
        <w:spacing w:after="0"/>
        <w:jc w:val="both"/>
        <w:rPr>
          <w:rFonts w:ascii="Arial" w:hAnsi="Arial" w:cs="Arial"/>
        </w:rPr>
      </w:pPr>
    </w:p>
    <w:p w14:paraId="4434A306" w14:textId="77777777" w:rsidR="0048567B" w:rsidRPr="0046588C" w:rsidRDefault="0048567B" w:rsidP="0048567B">
      <w:pPr>
        <w:pStyle w:val="Author"/>
        <w:rPr>
          <w:rFonts w:ascii="Arial" w:hAnsi="Arial" w:cs="Arial"/>
          <w:bCs/>
          <w:i/>
          <w:iCs/>
          <w:kern w:val="28"/>
          <w:sz w:val="16"/>
          <w:szCs w:val="16"/>
          <w:u w:val="single"/>
        </w:rPr>
      </w:pPr>
      <w:r w:rsidRPr="0046588C">
        <w:rPr>
          <w:rFonts w:ascii="Arial" w:hAnsi="Arial" w:cs="Arial"/>
          <w:bCs/>
          <w:i/>
          <w:iCs/>
          <w:kern w:val="28"/>
          <w:sz w:val="16"/>
          <w:szCs w:val="16"/>
          <w:u w:val="single"/>
        </w:rPr>
        <w:t>Minireview Article</w:t>
      </w:r>
    </w:p>
    <w:p w14:paraId="40CFAC8C" w14:textId="42B30E4E" w:rsidR="00163BC4" w:rsidRPr="0046588C" w:rsidRDefault="00E44E40" w:rsidP="00E44E40">
      <w:pPr>
        <w:pStyle w:val="Author"/>
        <w:spacing w:line="240" w:lineRule="auto"/>
        <w:rPr>
          <w:rFonts w:ascii="Arial" w:hAnsi="Arial" w:cs="Arial"/>
          <w:bCs/>
          <w:iCs/>
          <w:kern w:val="28"/>
          <w:sz w:val="36"/>
        </w:rPr>
      </w:pPr>
      <w:r w:rsidRPr="0046588C">
        <w:rPr>
          <w:rFonts w:ascii="Arial" w:hAnsi="Arial" w:cs="Arial"/>
          <w:bCs/>
          <w:iCs/>
          <w:kern w:val="28"/>
          <w:sz w:val="36"/>
        </w:rPr>
        <w:t>Gender Roles and Participation in Sustainable Agriculture and Resource Management: Insights from Global and Local Perspectives</w:t>
      </w:r>
      <w:r w:rsidR="00231920" w:rsidRPr="0046588C">
        <w:rPr>
          <w:rFonts w:ascii="Arial" w:hAnsi="Arial" w:cs="Arial"/>
          <w:bCs/>
          <w:iCs/>
          <w:kern w:val="28"/>
          <w:sz w:val="36"/>
        </w:rPr>
        <w:t xml:space="preserve"> </w:t>
      </w:r>
    </w:p>
    <w:p w14:paraId="7A1B4F1F" w14:textId="77777777" w:rsidR="00A258C3" w:rsidRPr="0046588C" w:rsidRDefault="00A258C3" w:rsidP="00441B6F">
      <w:pPr>
        <w:pStyle w:val="Author"/>
        <w:spacing w:line="240" w:lineRule="auto"/>
        <w:jc w:val="both"/>
        <w:rPr>
          <w:rFonts w:ascii="Arial" w:hAnsi="Arial" w:cs="Arial"/>
          <w:sz w:val="36"/>
        </w:rPr>
      </w:pPr>
    </w:p>
    <w:p w14:paraId="0655F048" w14:textId="327C7813" w:rsidR="00BF3201" w:rsidRPr="0046588C" w:rsidRDefault="00BF3201" w:rsidP="00E44E40">
      <w:pPr>
        <w:jc w:val="right"/>
        <w:rPr>
          <w:rFonts w:ascii="Arial" w:hAnsi="Arial" w:cs="Arial"/>
          <w:i/>
          <w:iCs/>
        </w:rPr>
      </w:pPr>
      <w:r w:rsidRPr="0046588C">
        <w:rPr>
          <w:rFonts w:ascii="Arial" w:hAnsi="Arial" w:cs="Arial"/>
          <w:i/>
          <w:iCs/>
        </w:rPr>
        <w:t xml:space="preserve"> </w:t>
      </w:r>
    </w:p>
    <w:p w14:paraId="48FB6DDA" w14:textId="77777777" w:rsidR="00790ADA" w:rsidRPr="0046588C" w:rsidRDefault="00790ADA" w:rsidP="00441B6F">
      <w:pPr>
        <w:pStyle w:val="Affiliation"/>
        <w:spacing w:after="0" w:line="240" w:lineRule="auto"/>
        <w:jc w:val="both"/>
        <w:rPr>
          <w:rFonts w:ascii="Arial" w:hAnsi="Arial" w:cs="Arial"/>
        </w:rPr>
      </w:pPr>
    </w:p>
    <w:p w14:paraId="70B21C9C" w14:textId="77777777" w:rsidR="002C57D2" w:rsidRPr="0046588C" w:rsidRDefault="002C57D2" w:rsidP="00441B6F">
      <w:pPr>
        <w:pStyle w:val="Affiliation"/>
        <w:spacing w:after="0" w:line="240" w:lineRule="auto"/>
        <w:jc w:val="both"/>
        <w:rPr>
          <w:rFonts w:ascii="Arial" w:hAnsi="Arial" w:cs="Arial"/>
        </w:rPr>
      </w:pPr>
    </w:p>
    <w:p w14:paraId="7C007365" w14:textId="000B800B" w:rsidR="00B01FCD" w:rsidRPr="0046588C" w:rsidRDefault="00A5548E" w:rsidP="00441B6F">
      <w:pPr>
        <w:pStyle w:val="Copyright"/>
        <w:spacing w:after="0" w:line="240" w:lineRule="auto"/>
        <w:jc w:val="both"/>
        <w:rPr>
          <w:rFonts w:ascii="Arial" w:hAnsi="Arial" w:cs="Arial"/>
        </w:rPr>
        <w:sectPr w:rsidR="00B01FCD" w:rsidRPr="0046588C" w:rsidSect="00D519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6588C">
        <w:rPr>
          <w:rFonts w:ascii="Arial" w:hAnsi="Arial" w:cs="Arial"/>
          <w:noProof/>
        </w:rPr>
        <mc:AlternateContent>
          <mc:Choice Requires="wps">
            <w:drawing>
              <wp:inline distT="0" distB="0" distL="0" distR="0" wp14:anchorId="29F7ED89" wp14:editId="14AB05D5">
                <wp:extent cx="5303520" cy="635"/>
                <wp:effectExtent l="17145" t="16510" r="13335" b="12065"/>
                <wp:docPr id="8612283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E43B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6588C">
        <w:rPr>
          <w:rFonts w:ascii="Arial" w:hAnsi="Arial" w:cs="Arial"/>
        </w:rPr>
        <w:t>.</w:t>
      </w:r>
    </w:p>
    <w:p w14:paraId="3857EB18" w14:textId="6F87D30E" w:rsidR="00B01FCD" w:rsidRPr="0046588C" w:rsidRDefault="00B01FCD" w:rsidP="00441B6F">
      <w:pPr>
        <w:pStyle w:val="AbstHead"/>
        <w:spacing w:after="0"/>
        <w:jc w:val="both"/>
        <w:rPr>
          <w:rFonts w:ascii="Arial" w:hAnsi="Arial" w:cs="Arial"/>
        </w:rPr>
      </w:pPr>
      <w:r w:rsidRPr="0046588C">
        <w:rPr>
          <w:rFonts w:ascii="Arial" w:hAnsi="Arial" w:cs="Arial"/>
        </w:rPr>
        <w:t>ABSTRACT</w:t>
      </w:r>
    </w:p>
    <w:p w14:paraId="1FE2C5DF" w14:textId="77777777" w:rsidR="00790ADA" w:rsidRPr="0046588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6588C" w14:paraId="7EC9499C" w14:textId="77777777" w:rsidTr="001E44FE">
        <w:tc>
          <w:tcPr>
            <w:tcW w:w="9576" w:type="dxa"/>
            <w:shd w:val="clear" w:color="auto" w:fill="F2F2F2"/>
          </w:tcPr>
          <w:p w14:paraId="021BC7B6" w14:textId="12C65715" w:rsidR="00505F06" w:rsidRPr="0046588C" w:rsidRDefault="00E44E40" w:rsidP="00441B6F">
            <w:pPr>
              <w:pStyle w:val="Body"/>
              <w:spacing w:after="0"/>
              <w:rPr>
                <w:rFonts w:ascii="Arial" w:eastAsia="Calibri" w:hAnsi="Arial" w:cs="Arial"/>
                <w:szCs w:val="22"/>
              </w:rPr>
            </w:pPr>
            <w:r w:rsidRPr="0046588C">
              <w:rPr>
                <w:rFonts w:ascii="Arial" w:eastAsia="Calibri" w:hAnsi="Arial" w:cs="Arial"/>
                <w:szCs w:val="22"/>
              </w:rPr>
              <w:t>Gender equality is central to attaining sustainable development, but lingering disparities are still influencing women's engagement in agriculture and natural resource management. In this article, empirical and policy-based evidence from four different settings, Colombia, Bangladesh, Open- Source Software (OSS) communities, and upland agroforestry systems in La Union, Philippines that are critically synthesized to explain how culture, policy, and practice intersect in promoting or inhibiting women's empowerment. Based on a mixed-methods strategy that combines quasi- experimental, policy review, and community-based research designs, the study finds that gender inclusion is a process that needs to be at once cultural, institutional, and practical. In Colombia, civic education catalyzes long-term attitudinal transformation to gender equality; in Bangladesh, institutional changes anchor inclusiveness within climate-resilient agriculture systems; in OSS communities, underlying biases are inbuilt despite structural openings; and in La Union, women's broad participation in agroforestry highlights the disparity between contribution and power. In this case, empowerment is not an isolated event but a process that is ongoing and looped by education, balanced policy agendas, and transmutative community efforts. This research reveals that success of Sustainable Development Goal No. 5 entails bringing together cultural transformation, institutional design, and grass-roots practice in such a manner that empowers women not just to join but to lead and shape the direction of sustainable natural resource management.</w:t>
            </w:r>
          </w:p>
        </w:tc>
      </w:tr>
    </w:tbl>
    <w:p w14:paraId="0B19E43B" w14:textId="77777777" w:rsidR="00636EB2" w:rsidRPr="0046588C" w:rsidRDefault="00636EB2" w:rsidP="00441B6F">
      <w:pPr>
        <w:pStyle w:val="Body"/>
        <w:spacing w:after="0"/>
        <w:rPr>
          <w:rFonts w:ascii="Arial" w:hAnsi="Arial" w:cs="Arial"/>
          <w:i/>
        </w:rPr>
      </w:pPr>
    </w:p>
    <w:p w14:paraId="7B556DE4" w14:textId="761D4676" w:rsidR="00A24E7E" w:rsidRPr="0046588C" w:rsidRDefault="00A24E7E" w:rsidP="00441B6F">
      <w:pPr>
        <w:pStyle w:val="Body"/>
        <w:spacing w:after="0"/>
        <w:rPr>
          <w:rFonts w:ascii="Arial" w:hAnsi="Arial" w:cs="Arial"/>
          <w:i/>
        </w:rPr>
      </w:pPr>
      <w:r w:rsidRPr="0046588C">
        <w:rPr>
          <w:rFonts w:ascii="Arial" w:hAnsi="Arial" w:cs="Arial"/>
          <w:i/>
        </w:rPr>
        <w:t xml:space="preserve">Keywords: </w:t>
      </w:r>
      <w:r w:rsidR="00E44E40" w:rsidRPr="0046588C">
        <w:rPr>
          <w:rFonts w:ascii="Arial" w:hAnsi="Arial" w:cs="Arial"/>
          <w:i/>
        </w:rPr>
        <w:t>empowerment, gender equality, policy reform, resource management, SDG 5, sustainable agriculture</w:t>
      </w:r>
    </w:p>
    <w:p w14:paraId="7EF2D467" w14:textId="77777777" w:rsidR="0024282C" w:rsidRPr="0046588C" w:rsidRDefault="0024282C" w:rsidP="00441B6F">
      <w:pPr>
        <w:pStyle w:val="Body"/>
        <w:spacing w:after="0"/>
        <w:rPr>
          <w:rFonts w:ascii="Arial" w:hAnsi="Arial" w:cs="Arial"/>
          <w:i/>
          <w:sz w:val="18"/>
        </w:rPr>
      </w:pPr>
    </w:p>
    <w:p w14:paraId="44CB6AA1" w14:textId="77777777" w:rsidR="00505F06" w:rsidRPr="0046588C" w:rsidRDefault="00505F06" w:rsidP="00441B6F">
      <w:pPr>
        <w:pStyle w:val="Body"/>
        <w:spacing w:after="0"/>
        <w:rPr>
          <w:rFonts w:ascii="Arial" w:hAnsi="Arial" w:cs="Arial"/>
          <w:i/>
        </w:rPr>
      </w:pPr>
    </w:p>
    <w:p w14:paraId="4AC67C07" w14:textId="5964AD09" w:rsidR="007F7B32" w:rsidRPr="0046588C" w:rsidRDefault="00902823" w:rsidP="00441B6F">
      <w:pPr>
        <w:pStyle w:val="AbstHead"/>
        <w:spacing w:after="0"/>
        <w:jc w:val="both"/>
        <w:rPr>
          <w:rFonts w:ascii="Arial" w:hAnsi="Arial" w:cs="Arial"/>
        </w:rPr>
      </w:pPr>
      <w:r w:rsidRPr="0046588C">
        <w:rPr>
          <w:rFonts w:ascii="Arial" w:hAnsi="Arial" w:cs="Arial"/>
        </w:rPr>
        <w:t xml:space="preserve">1. </w:t>
      </w:r>
      <w:r w:rsidR="00B01FCD" w:rsidRPr="0046588C">
        <w:rPr>
          <w:rFonts w:ascii="Arial" w:hAnsi="Arial" w:cs="Arial"/>
        </w:rPr>
        <w:t>INTRODUCTION</w:t>
      </w:r>
    </w:p>
    <w:p w14:paraId="3B90F4B5" w14:textId="77777777" w:rsidR="00790ADA" w:rsidRPr="0046588C" w:rsidRDefault="00790ADA" w:rsidP="00441B6F">
      <w:pPr>
        <w:pStyle w:val="AbstHead"/>
        <w:spacing w:after="0"/>
        <w:jc w:val="both"/>
        <w:rPr>
          <w:rFonts w:ascii="Arial" w:hAnsi="Arial" w:cs="Arial"/>
        </w:rPr>
      </w:pPr>
    </w:p>
    <w:p w14:paraId="486CB881" w14:textId="51F7EA18" w:rsidR="00E44E40" w:rsidRPr="0046588C" w:rsidRDefault="007E124A" w:rsidP="00E44E40">
      <w:pPr>
        <w:pStyle w:val="Body"/>
        <w:ind w:firstLine="720"/>
        <w:rPr>
          <w:rFonts w:ascii="Arial" w:hAnsi="Arial" w:cs="Arial"/>
        </w:rPr>
      </w:pPr>
      <w:r w:rsidRPr="007E124A">
        <w:rPr>
          <w:rFonts w:ascii="Arial" w:hAnsi="Arial" w:cs="Arial"/>
        </w:rPr>
        <w:t>Gender equality remains a cornerstone of sustainable development, recognized globally through Sustainable Development Goal No. 5, which seeks to achieve and empower all women (UN Women, 2023)</w:t>
      </w:r>
      <w:r>
        <w:rPr>
          <w:rFonts w:ascii="Arial" w:hAnsi="Arial" w:cs="Arial"/>
        </w:rPr>
        <w:t>. As</w:t>
      </w:r>
      <w:r w:rsidR="00E44E40" w:rsidRPr="0046588C">
        <w:rPr>
          <w:rFonts w:ascii="Arial" w:hAnsi="Arial" w:cs="Arial"/>
        </w:rPr>
        <w:t xml:space="preserve"> one of the pillars of sustainable </w:t>
      </w:r>
      <w:r w:rsidR="000C5425">
        <w:rPr>
          <w:rFonts w:ascii="Arial" w:hAnsi="Arial" w:cs="Arial"/>
        </w:rPr>
        <w:t xml:space="preserve">progress, this goal aims to eliminate all forms of </w:t>
      </w:r>
      <w:r w:rsidR="00E44E40" w:rsidRPr="0046588C">
        <w:rPr>
          <w:rFonts w:ascii="Arial" w:hAnsi="Arial" w:cs="Arial"/>
        </w:rPr>
        <w:t>discrimination against girls and women</w:t>
      </w:r>
      <w:r w:rsidR="000C5425">
        <w:rPr>
          <w:rFonts w:ascii="Arial" w:hAnsi="Arial" w:cs="Arial"/>
        </w:rPr>
        <w:t xml:space="preserve"> across social, economic and political spheres</w:t>
      </w:r>
      <w:r w:rsidR="00D32627" w:rsidRPr="0046588C">
        <w:rPr>
          <w:rFonts w:ascii="Arial" w:hAnsi="Arial" w:cs="Arial"/>
        </w:rPr>
        <w:t xml:space="preserve"> (Smith &amp; </w:t>
      </w:r>
      <w:proofErr w:type="spellStart"/>
      <w:r w:rsidR="00D32627" w:rsidRPr="0046588C">
        <w:rPr>
          <w:rFonts w:ascii="Arial" w:hAnsi="Arial" w:cs="Arial"/>
        </w:rPr>
        <w:t>Sinkford</w:t>
      </w:r>
      <w:proofErr w:type="spellEnd"/>
      <w:r w:rsidR="00D32627" w:rsidRPr="0046588C">
        <w:rPr>
          <w:rFonts w:ascii="Arial" w:hAnsi="Arial" w:cs="Arial"/>
        </w:rPr>
        <w:t>, 2022; Di Vaio et al., 2023; Rosa &amp; Clavero, 2022)</w:t>
      </w:r>
      <w:r w:rsidR="00E44E40" w:rsidRPr="0046588C">
        <w:rPr>
          <w:rFonts w:ascii="Arial" w:hAnsi="Arial" w:cs="Arial"/>
        </w:rPr>
        <w:t>. The role of women in agricultural economies and natural resource management is not an issue of equity but a key factor towards the realization of food security as well as inclusive economic progress and environmental integrity. If women are provided with equal access to productive resources with that of men, agricultural productivity can be enhanced by 20-30%, thus eliminating hunger from a global scale (FAO, 2020). But efforts of women are consistently hindered by discriminatory behaviors regarding rights over lands, limited access to credit as well as technologies as well as rooted socio-cultural beliefs</w:t>
      </w:r>
      <w:r w:rsidR="005547CB" w:rsidRPr="0046588C">
        <w:rPr>
          <w:rFonts w:ascii="Arial" w:hAnsi="Arial" w:cs="Arial"/>
        </w:rPr>
        <w:t xml:space="preserve"> (</w:t>
      </w:r>
      <w:proofErr w:type="spellStart"/>
      <w:r w:rsidR="005547CB" w:rsidRPr="0046588C">
        <w:rPr>
          <w:rFonts w:ascii="Arial" w:hAnsi="Arial" w:cs="Arial"/>
        </w:rPr>
        <w:t>Fitong</w:t>
      </w:r>
      <w:proofErr w:type="spellEnd"/>
      <w:r w:rsidR="005547CB" w:rsidRPr="0046588C">
        <w:rPr>
          <w:rFonts w:ascii="Arial" w:hAnsi="Arial" w:cs="Arial"/>
        </w:rPr>
        <w:t xml:space="preserve"> </w:t>
      </w:r>
      <w:proofErr w:type="spellStart"/>
      <w:r w:rsidR="005547CB" w:rsidRPr="0046588C">
        <w:rPr>
          <w:rFonts w:ascii="Arial" w:hAnsi="Arial" w:cs="Arial"/>
        </w:rPr>
        <w:t>Ketchiwou</w:t>
      </w:r>
      <w:proofErr w:type="spellEnd"/>
      <w:r w:rsidR="005547CB" w:rsidRPr="0046588C">
        <w:rPr>
          <w:rFonts w:ascii="Arial" w:hAnsi="Arial" w:cs="Arial"/>
        </w:rPr>
        <w:t xml:space="preserve"> &amp; </w:t>
      </w:r>
      <w:proofErr w:type="spellStart"/>
      <w:r w:rsidR="005547CB" w:rsidRPr="0046588C">
        <w:rPr>
          <w:rFonts w:ascii="Arial" w:hAnsi="Arial" w:cs="Arial"/>
        </w:rPr>
        <w:t>Dzansi</w:t>
      </w:r>
      <w:proofErr w:type="spellEnd"/>
      <w:r w:rsidR="005547CB" w:rsidRPr="0046588C">
        <w:rPr>
          <w:rFonts w:ascii="Arial" w:hAnsi="Arial" w:cs="Arial"/>
        </w:rPr>
        <w:t>, 2023; Heilman et al., 2024)</w:t>
      </w:r>
      <w:r w:rsidR="00E44E40" w:rsidRPr="0046588C">
        <w:rPr>
          <w:rFonts w:ascii="Arial" w:hAnsi="Arial" w:cs="Arial"/>
        </w:rPr>
        <w:t>.</w:t>
      </w:r>
    </w:p>
    <w:p w14:paraId="6F6736A8" w14:textId="274C2ACD" w:rsidR="00E44E40" w:rsidRPr="0046588C" w:rsidRDefault="00E44E40" w:rsidP="00E44E40">
      <w:pPr>
        <w:pStyle w:val="Body"/>
        <w:ind w:firstLine="720"/>
        <w:rPr>
          <w:rFonts w:ascii="Arial" w:hAnsi="Arial" w:cs="Arial"/>
        </w:rPr>
      </w:pPr>
      <w:r w:rsidRPr="0046588C">
        <w:rPr>
          <w:rFonts w:ascii="Arial" w:hAnsi="Arial" w:cs="Arial"/>
        </w:rPr>
        <w:t xml:space="preserve">Comparative research evidence from different settings show that the level of women participation in economic activities is a function of both global and local factors (Aguirre &amp; Hewlett 2013; Golla et al. 2011). </w:t>
      </w:r>
      <w:r w:rsidR="00F96DD9" w:rsidRPr="00F96DD9">
        <w:rPr>
          <w:rFonts w:ascii="Arial" w:hAnsi="Arial" w:cs="Arial"/>
        </w:rPr>
        <w:t xml:space="preserve">The inclusion of women in agriculture and natural resource management is not only a matter of social justice but also a strategic necessity for </w:t>
      </w:r>
      <w:r w:rsidR="00F96DD9" w:rsidRPr="00F96DD9">
        <w:rPr>
          <w:rFonts w:ascii="Arial" w:hAnsi="Arial" w:cs="Arial"/>
        </w:rPr>
        <w:lastRenderedPageBreak/>
        <w:t>improving productivity, enhancing food and nutrition security, and achieving long-term sustainability (FAO, 2021).</w:t>
      </w:r>
      <w:r w:rsidR="00F96DD9">
        <w:rPr>
          <w:rFonts w:ascii="Arial" w:hAnsi="Arial" w:cs="Arial"/>
        </w:rPr>
        <w:t xml:space="preserve"> </w:t>
      </w:r>
      <w:r w:rsidRPr="0046588C">
        <w:rPr>
          <w:rFonts w:ascii="Arial" w:hAnsi="Arial" w:cs="Arial"/>
        </w:rPr>
        <w:t xml:space="preserve">In Colombia, the </w:t>
      </w:r>
      <w:r w:rsidR="00F96DD9">
        <w:rPr>
          <w:rFonts w:ascii="Arial" w:hAnsi="Arial" w:cs="Arial"/>
        </w:rPr>
        <w:t>integration</w:t>
      </w:r>
      <w:r w:rsidRPr="0046588C">
        <w:rPr>
          <w:rFonts w:ascii="Arial" w:hAnsi="Arial" w:cs="Arial"/>
        </w:rPr>
        <w:t xml:space="preserve"> of gender equality concepts to constitutional education has gradually changed society and increased female workforce participation. In Bangladesh, policy reviews indicate that the country is advancing toward climate-resilient and gender-inclusive agricultural practices due to a robust policy framework</w:t>
      </w:r>
      <w:r w:rsidR="00D32627" w:rsidRPr="0046588C">
        <w:rPr>
          <w:rFonts w:ascii="Arial" w:hAnsi="Arial" w:cs="Arial"/>
        </w:rPr>
        <w:t xml:space="preserve"> (Lopez et al., 2022; </w:t>
      </w:r>
      <w:proofErr w:type="spellStart"/>
      <w:r w:rsidR="00D32627" w:rsidRPr="0046588C">
        <w:rPr>
          <w:rFonts w:ascii="Arial" w:hAnsi="Arial" w:cs="Arial"/>
        </w:rPr>
        <w:t>Timu</w:t>
      </w:r>
      <w:proofErr w:type="spellEnd"/>
      <w:r w:rsidR="00D32627" w:rsidRPr="0046588C">
        <w:rPr>
          <w:rFonts w:ascii="Arial" w:hAnsi="Arial" w:cs="Arial"/>
        </w:rPr>
        <w:t xml:space="preserve"> &amp; Kramer, 2023</w:t>
      </w:r>
      <w:r w:rsidR="00EA2B92" w:rsidRPr="0046588C">
        <w:rPr>
          <w:rFonts w:ascii="Arial" w:hAnsi="Arial" w:cs="Arial"/>
        </w:rPr>
        <w:t>; Smith, 2025</w:t>
      </w:r>
      <w:r w:rsidR="00D32627" w:rsidRPr="0046588C">
        <w:rPr>
          <w:rFonts w:ascii="Arial" w:hAnsi="Arial" w:cs="Arial"/>
        </w:rPr>
        <w:t>)</w:t>
      </w:r>
      <w:r w:rsidRPr="0046588C">
        <w:rPr>
          <w:rFonts w:ascii="Arial" w:hAnsi="Arial" w:cs="Arial"/>
        </w:rPr>
        <w:t xml:space="preserve">. However, there are gaps in implementation and gender budgeting. Women in the Philippines are actively involved in agroforestry and local governance structures, but they still struggle to obtain leadership roles and decision-making positions. </w:t>
      </w:r>
      <w:r w:rsidR="00F96DD9">
        <w:rPr>
          <w:rFonts w:ascii="Arial" w:hAnsi="Arial" w:cs="Arial"/>
        </w:rPr>
        <w:t>Likewise, s</w:t>
      </w:r>
      <w:r w:rsidRPr="0046588C">
        <w:rPr>
          <w:rFonts w:ascii="Arial" w:hAnsi="Arial" w:cs="Arial"/>
        </w:rPr>
        <w:t xml:space="preserve">tudies of open-source software communities show that women are segregated and subjected to subtle gender bias even in non-agricultural industries. </w:t>
      </w:r>
    </w:p>
    <w:p w14:paraId="1616BF4E" w14:textId="1CB8A2D7" w:rsidR="00E44E40" w:rsidRPr="0046588C" w:rsidRDefault="00E44E40" w:rsidP="00E44E40">
      <w:pPr>
        <w:pStyle w:val="Body"/>
        <w:ind w:firstLine="720"/>
        <w:rPr>
          <w:rFonts w:ascii="Arial" w:hAnsi="Arial" w:cs="Arial"/>
        </w:rPr>
      </w:pPr>
      <w:r w:rsidRPr="0046588C">
        <w:rPr>
          <w:rFonts w:ascii="Arial" w:hAnsi="Arial" w:cs="Arial"/>
        </w:rPr>
        <w:t>The strength of these studies is that they supplement each other: Colombia reveals the effects of education and legislation on gender relations, Bangladesh shows how to mainstream gender equality into climate policies, the Philippines demonstrate how female participation affects communities and OSS research links gender equality to a digital economy</w:t>
      </w:r>
      <w:r w:rsidR="005547CB" w:rsidRPr="0046588C">
        <w:rPr>
          <w:rFonts w:ascii="Arial" w:hAnsi="Arial" w:cs="Arial"/>
        </w:rPr>
        <w:t xml:space="preserve"> (Javaid et al., 2024; Xia et al., 2024; </w:t>
      </w:r>
      <w:proofErr w:type="spellStart"/>
      <w:r w:rsidR="005547CB" w:rsidRPr="0046588C">
        <w:rPr>
          <w:rFonts w:ascii="Arial" w:hAnsi="Arial" w:cs="Arial"/>
        </w:rPr>
        <w:t>Rachmad</w:t>
      </w:r>
      <w:proofErr w:type="spellEnd"/>
      <w:r w:rsidR="005547CB" w:rsidRPr="0046588C">
        <w:rPr>
          <w:rFonts w:ascii="Arial" w:hAnsi="Arial" w:cs="Arial"/>
        </w:rPr>
        <w:t>, 2025)</w:t>
      </w:r>
      <w:r w:rsidRPr="0046588C">
        <w:rPr>
          <w:rFonts w:ascii="Arial" w:hAnsi="Arial" w:cs="Arial"/>
        </w:rPr>
        <w:t xml:space="preserve">. </w:t>
      </w:r>
      <w:r w:rsidR="00F96DD9">
        <w:rPr>
          <w:rFonts w:ascii="Arial" w:hAnsi="Arial" w:cs="Arial"/>
        </w:rPr>
        <w:t>According to the Food and Agriculture Organization (FAO 2020), if women had the same access to productive resources as men, agricultural yields could increase by up to 30</w:t>
      </w:r>
      <w:proofErr w:type="gramStart"/>
      <w:r w:rsidR="00F96DD9">
        <w:rPr>
          <w:rFonts w:ascii="Arial" w:hAnsi="Arial" w:cs="Arial"/>
        </w:rPr>
        <w:t>% ,</w:t>
      </w:r>
      <w:proofErr w:type="gramEnd"/>
      <w:r w:rsidR="00F96DD9">
        <w:rPr>
          <w:rFonts w:ascii="Arial" w:hAnsi="Arial" w:cs="Arial"/>
        </w:rPr>
        <w:t xml:space="preserve"> significantly reducing global hunger.</w:t>
      </w:r>
      <w:r w:rsidR="00F94A22">
        <w:rPr>
          <w:rFonts w:ascii="Arial" w:hAnsi="Arial" w:cs="Arial"/>
        </w:rPr>
        <w:t xml:space="preserve"> This finding reinforces the collective message of these studies that empowers women through inclusive education, supportive policy, and equitable access to resources is central to achieving both social justice and sustainability.</w:t>
      </w:r>
      <w:r w:rsidR="00F96DD9">
        <w:rPr>
          <w:rFonts w:ascii="Arial" w:hAnsi="Arial" w:cs="Arial"/>
        </w:rPr>
        <w:t xml:space="preserve"> </w:t>
      </w:r>
      <w:r w:rsidRPr="0046588C">
        <w:rPr>
          <w:rFonts w:ascii="Arial" w:hAnsi="Arial" w:cs="Arial"/>
        </w:rPr>
        <w:t xml:space="preserve">Together, these studies identify the following aspects of women’s participation in the preservation of natural resources. </w:t>
      </w:r>
    </w:p>
    <w:p w14:paraId="36CC7D66" w14:textId="18EFE180" w:rsidR="00E44E40" w:rsidRPr="0046588C" w:rsidRDefault="00E44E40" w:rsidP="00E44E40">
      <w:pPr>
        <w:pStyle w:val="Body"/>
        <w:ind w:firstLine="720"/>
        <w:rPr>
          <w:rFonts w:ascii="Arial" w:hAnsi="Arial" w:cs="Arial"/>
        </w:rPr>
      </w:pPr>
      <w:r w:rsidRPr="0046588C">
        <w:rPr>
          <w:rFonts w:ascii="Arial" w:hAnsi="Arial" w:cs="Arial"/>
        </w:rPr>
        <w:t>However, across the reviewed studies, one clear gap is the weak connection between policies, real practices and actual outcomes. In Colombia, civic education and reform seem to change social attitudes, though it is unknown how much impact they have upon particular sectors such as agriculture or local government. In Bangladesh, gender is well represented in policy at the national level but has little indication of the commitments being translated into action on the ground. The study from La Union indicates women's active participation in community activities but has not ventured fully its effects on empowerment and resource sustainability. More than most studies, they also homogenize women and overlook age differentials, property, or sources of livelihood.</w:t>
      </w:r>
      <w:r w:rsidR="00F94A22">
        <w:rPr>
          <w:rFonts w:ascii="Arial" w:hAnsi="Arial" w:cs="Arial"/>
        </w:rPr>
        <w:t xml:space="preserve"> Such persistent gender gaps, manifested in unequal land ownership, limited access to credit and technology, and deeply rooted social norms which continue to restrict women’s full participation in decision-making and development processes (Kabeer, 2016; Agarwal, 2018; FAO, 2019).</w:t>
      </w:r>
      <w:r w:rsidRPr="0046588C">
        <w:rPr>
          <w:rFonts w:ascii="Arial" w:hAnsi="Arial" w:cs="Arial"/>
        </w:rPr>
        <w:t xml:space="preserve"> </w:t>
      </w:r>
      <w:r w:rsidR="00F94A22">
        <w:rPr>
          <w:rFonts w:ascii="Arial" w:hAnsi="Arial" w:cs="Arial"/>
        </w:rPr>
        <w:t xml:space="preserve">The </w:t>
      </w:r>
      <w:r w:rsidRPr="0046588C">
        <w:rPr>
          <w:rFonts w:ascii="Arial" w:hAnsi="Arial" w:cs="Arial"/>
        </w:rPr>
        <w:t>OSS community learning lessons hold great promise in their transferable inclusion practices, however, none of these ideas have been tested and piloted in rural and agrarian settings. More generally, there is an increased demand for empirically based, intersectional research that ties gender inclusion to real-world social, environmental, and economic outcomes.</w:t>
      </w:r>
    </w:p>
    <w:p w14:paraId="60623A5C" w14:textId="08D2642E" w:rsidR="00E44E40" w:rsidRPr="0046588C" w:rsidRDefault="00E44E40" w:rsidP="00EA2B92">
      <w:pPr>
        <w:rPr>
          <w:rFonts w:ascii="Arial" w:hAnsi="Arial" w:cs="Arial"/>
        </w:rPr>
      </w:pPr>
      <w:r w:rsidRPr="0046588C">
        <w:rPr>
          <w:rFonts w:ascii="Arial" w:hAnsi="Arial" w:cs="Arial"/>
        </w:rPr>
        <w:t>Despite such contributions, there are several areas that remain untouched within the existing research. Comparative institutional reform analysis and evidence-based outcomes of empowerment are comparatively rare. Intersectional class, ethnicity, and generation roles are not debated in women's access to resources and decision spaces in research. Comparative studies on the longer-term impacts of gender-responsive interventions on ecological and socio-economic resilience are relatively few</w:t>
      </w:r>
      <w:r w:rsidR="00EA2B92" w:rsidRPr="0046588C">
        <w:rPr>
          <w:rFonts w:ascii="Arial" w:hAnsi="Arial" w:cs="Arial"/>
        </w:rPr>
        <w:t xml:space="preserve"> (Karuma, 2023; Ifeanyi-Obi et al., 2024; Angula et al., 2021)</w:t>
      </w:r>
      <w:r w:rsidRPr="0046588C">
        <w:rPr>
          <w:rFonts w:ascii="Arial" w:hAnsi="Arial" w:cs="Arial"/>
        </w:rPr>
        <w:t>. These gaps need to be bridged by collective, cross-sectoral action that unites quantitative and qualitative data to inform policy and practice.</w:t>
      </w:r>
    </w:p>
    <w:p w14:paraId="6334B6FD" w14:textId="4781D7AE" w:rsidR="00E44E40" w:rsidRDefault="00E44E40" w:rsidP="00E44E40">
      <w:pPr>
        <w:pStyle w:val="Body"/>
        <w:ind w:firstLine="720"/>
        <w:rPr>
          <w:rFonts w:ascii="Arial" w:hAnsi="Arial" w:cs="Arial"/>
        </w:rPr>
      </w:pPr>
      <w:r w:rsidRPr="0046588C">
        <w:rPr>
          <w:rFonts w:ascii="Arial" w:hAnsi="Arial" w:cs="Arial"/>
        </w:rPr>
        <w:t>This study integrates both global as well as local worlds' information in trying to shed light on wider gender roles as well as involvement in sustainable agriculture as well as natural resource management. Understanding the available technologies as well as enhancing available areas of knowledge, it tries to steer greater analytical complexity as well as guide future research as well as policy-making into more equitable as well as sustainable paths of development.</w:t>
      </w:r>
    </w:p>
    <w:p w14:paraId="4752B319" w14:textId="26DA9CC8" w:rsidR="008347C3" w:rsidRDefault="008347C3" w:rsidP="00E44E40">
      <w:pPr>
        <w:pStyle w:val="Body"/>
        <w:ind w:firstLine="720"/>
        <w:rPr>
          <w:rFonts w:ascii="Arial" w:hAnsi="Arial" w:cs="Arial"/>
        </w:rPr>
      </w:pPr>
      <w:r w:rsidRPr="008347C3">
        <w:rPr>
          <w:rFonts w:ascii="Arial" w:hAnsi="Arial" w:cs="Arial"/>
        </w:rPr>
        <w:t>This article review aims to examine how gender roles and participation influence sustainable agriculture and natural resource management across different countries. Specifically, the review seeks to address the following research questions: (1) How do cultural, institutional, and policy factors shape women’s participation in sustainable agriculture and natural resource management? (2) In what ways do global frameworks for gender equality translate into local practices and empowerment outcomes? and (3) What lessons can be drawn from cross-sectoral and cross-cultural comparisons to strengthen gender-inclusive sustainability initiative? These questions guide the comparative synthesis of gender roles and participation across different settings, linking global perspectives with local realities in support with Sustainable Development Goal No. 5.</w:t>
      </w:r>
    </w:p>
    <w:p w14:paraId="7C42FFEE" w14:textId="3D24BBF5" w:rsidR="008347C3" w:rsidRPr="0046588C" w:rsidRDefault="008347C3" w:rsidP="00E44E40">
      <w:pPr>
        <w:pStyle w:val="Body"/>
        <w:ind w:firstLine="720"/>
        <w:rPr>
          <w:rFonts w:ascii="Arial" w:hAnsi="Arial" w:cs="Arial"/>
        </w:rPr>
      </w:pPr>
      <w:r w:rsidRPr="008347C3">
        <w:rPr>
          <w:rFonts w:ascii="Arial" w:hAnsi="Arial" w:cs="Arial"/>
        </w:rPr>
        <w:t>This article review is guided by the assumption that gender equality and empowerment in sustainable agriculture and resource management are achieved through the continuous interaction of cultural transformation, inclusive policy implementation, and participatory community practices. In line with Sustainable Development Goal No. 5, it is hypothesized that societies with supportive institutional frameworks and cultural norms are more likely to see significant female leadership and participation in sustainability initiatives.</w:t>
      </w:r>
    </w:p>
    <w:p w14:paraId="785CF155" w14:textId="77777777" w:rsidR="00E44E40" w:rsidRPr="0046588C" w:rsidRDefault="00E44E40" w:rsidP="00E44E40">
      <w:pPr>
        <w:pStyle w:val="Body"/>
        <w:ind w:firstLine="720"/>
        <w:rPr>
          <w:rFonts w:ascii="Arial" w:hAnsi="Arial" w:cs="Arial"/>
        </w:rPr>
      </w:pPr>
      <w:r w:rsidRPr="0046588C">
        <w:rPr>
          <w:rFonts w:ascii="Arial" w:hAnsi="Arial" w:cs="Arial"/>
        </w:rPr>
        <w:t xml:space="preserve">This reveals that gender inclusion is a multi-layered process. Cultural transformation, as seen in Colombia, builds the foundation for gender-inclusive policy development, as exemplified by Bangladesh’s climate-resilient agricultural </w:t>
      </w:r>
      <w:r w:rsidRPr="0046588C">
        <w:rPr>
          <w:rFonts w:ascii="Arial" w:hAnsi="Arial" w:cs="Arial"/>
        </w:rPr>
        <w:lastRenderedPageBreak/>
        <w:t>strategies. These, in turn, resonate with local realities observed in the La Union upland agroforestry study and in the OSS women developers’ experiences. Together, the findings affirm that meaningful inclusion requires transformation at all levels, from cultural (values and beliefs), institutional (policy frameworks), and community (participation and perception).</w:t>
      </w:r>
    </w:p>
    <w:p w14:paraId="604AE237" w14:textId="0674C956" w:rsidR="00E44E40" w:rsidRPr="0046588C" w:rsidRDefault="00E44E40" w:rsidP="00E44E40">
      <w:pPr>
        <w:rPr>
          <w:rFonts w:ascii="Arial" w:hAnsi="Arial" w:cs="Arial"/>
          <w:b/>
          <w:bCs/>
        </w:rPr>
      </w:pPr>
      <w:r w:rsidRPr="0046588C">
        <w:rPr>
          <w:rFonts w:ascii="Arial" w:hAnsi="Arial" w:cs="Arial"/>
          <w:b/>
          <w:bCs/>
        </w:rPr>
        <w:t>Table 1.</w:t>
      </w:r>
      <w:r w:rsidRPr="0046588C">
        <w:rPr>
          <w:rFonts w:ascii="Arial" w:hAnsi="Arial" w:cs="Arial"/>
          <w:b/>
          <w:bCs/>
        </w:rPr>
        <w:tab/>
        <w:t>Thematic synthesis of selected studies on gender, culture, and participation.</w:t>
      </w:r>
    </w:p>
    <w:p w14:paraId="618BC9B3" w14:textId="77777777" w:rsidR="001451AD" w:rsidRPr="0046588C" w:rsidRDefault="001451AD" w:rsidP="00E44E40">
      <w:pPr>
        <w:rPr>
          <w:rFonts w:ascii="Arial" w:hAnsi="Arial" w:cs="Arial"/>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869"/>
        <w:gridCol w:w="1728"/>
      </w:tblGrid>
      <w:tr w:rsidR="00E44E40" w:rsidRPr="0046588C" w14:paraId="01B03A2B" w14:textId="77777777" w:rsidTr="00BE24E0">
        <w:tc>
          <w:tcPr>
            <w:tcW w:w="1728" w:type="dxa"/>
            <w:tcBorders>
              <w:top w:val="single" w:sz="12" w:space="0" w:color="auto"/>
              <w:bottom w:val="single" w:sz="12" w:space="0" w:color="auto"/>
            </w:tcBorders>
          </w:tcPr>
          <w:p w14:paraId="33D54873"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Theme</w:t>
            </w:r>
          </w:p>
        </w:tc>
        <w:tc>
          <w:tcPr>
            <w:tcW w:w="1728" w:type="dxa"/>
            <w:tcBorders>
              <w:top w:val="single" w:sz="12" w:space="0" w:color="auto"/>
              <w:bottom w:val="single" w:sz="12" w:space="0" w:color="auto"/>
            </w:tcBorders>
          </w:tcPr>
          <w:p w14:paraId="18492FE8"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Focus / Key Question</w:t>
            </w:r>
          </w:p>
        </w:tc>
        <w:tc>
          <w:tcPr>
            <w:tcW w:w="1728" w:type="dxa"/>
            <w:tcBorders>
              <w:top w:val="single" w:sz="12" w:space="0" w:color="auto"/>
              <w:bottom w:val="single" w:sz="12" w:space="0" w:color="auto"/>
            </w:tcBorders>
          </w:tcPr>
          <w:p w14:paraId="4ABF9FBD"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Key Studies Used</w:t>
            </w:r>
          </w:p>
        </w:tc>
        <w:tc>
          <w:tcPr>
            <w:tcW w:w="1869" w:type="dxa"/>
            <w:tcBorders>
              <w:top w:val="single" w:sz="12" w:space="0" w:color="auto"/>
              <w:bottom w:val="single" w:sz="12" w:space="0" w:color="auto"/>
            </w:tcBorders>
          </w:tcPr>
          <w:p w14:paraId="345FE1F0"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Core Findings / Insights</w:t>
            </w:r>
          </w:p>
        </w:tc>
        <w:tc>
          <w:tcPr>
            <w:tcW w:w="1728" w:type="dxa"/>
            <w:tcBorders>
              <w:top w:val="single" w:sz="12" w:space="0" w:color="auto"/>
              <w:bottom w:val="single" w:sz="12" w:space="0" w:color="auto"/>
            </w:tcBorders>
          </w:tcPr>
          <w:p w14:paraId="5D6B8A94"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Implications / Synthesis</w:t>
            </w:r>
          </w:p>
        </w:tc>
      </w:tr>
      <w:tr w:rsidR="00E44E40" w:rsidRPr="0046588C" w14:paraId="4ECA18C4" w14:textId="77777777" w:rsidTr="00BE24E0">
        <w:tc>
          <w:tcPr>
            <w:tcW w:w="1728" w:type="dxa"/>
            <w:tcBorders>
              <w:top w:val="single" w:sz="12" w:space="0" w:color="auto"/>
            </w:tcBorders>
          </w:tcPr>
          <w:p w14:paraId="60B4346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1. Cultural and Structural Influences on Women’s Participation</w:t>
            </w:r>
          </w:p>
        </w:tc>
        <w:tc>
          <w:tcPr>
            <w:tcW w:w="1728" w:type="dxa"/>
            <w:tcBorders>
              <w:top w:val="single" w:sz="12" w:space="0" w:color="auto"/>
            </w:tcBorders>
          </w:tcPr>
          <w:p w14:paraId="7C4B1069"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How do cultural norms and structural factors shape women’s participation in agriculture and other sectors?</w:t>
            </w:r>
          </w:p>
        </w:tc>
        <w:tc>
          <w:tcPr>
            <w:tcW w:w="1728" w:type="dxa"/>
            <w:tcBorders>
              <w:top w:val="single" w:sz="12" w:space="0" w:color="auto"/>
            </w:tcBorders>
          </w:tcPr>
          <w:p w14:paraId="66C1777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Galindo-Silva &amp; Herrera-</w:t>
            </w:r>
            <w:proofErr w:type="spellStart"/>
            <w:r w:rsidRPr="0046588C">
              <w:rPr>
                <w:rFonts w:ascii="Arial" w:hAnsi="Arial" w:cs="Arial"/>
                <w:sz w:val="20"/>
                <w:szCs w:val="20"/>
              </w:rPr>
              <w:t>Idárraga</w:t>
            </w:r>
            <w:proofErr w:type="spellEnd"/>
            <w:r w:rsidRPr="0046588C">
              <w:rPr>
                <w:rFonts w:ascii="Arial" w:hAnsi="Arial" w:cs="Arial"/>
                <w:sz w:val="20"/>
                <w:szCs w:val="20"/>
              </w:rPr>
              <w:t xml:space="preserve"> (2023) – 'Culture, Gender, and Labor Force Participation: Evidence from Colombia.'</w:t>
            </w:r>
          </w:p>
        </w:tc>
        <w:tc>
          <w:tcPr>
            <w:tcW w:w="1869" w:type="dxa"/>
            <w:tcBorders>
              <w:top w:val="single" w:sz="12" w:space="0" w:color="auto"/>
            </w:tcBorders>
          </w:tcPr>
          <w:p w14:paraId="2710081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Constitutional reform (1991) and civic education in Colombia introduced gender equality principles. Younger cohorts exposed to equality education show higher female labor participation and more egalitarian attitudes. Cultural and institutional norms interact to determine labor outcomes.</w:t>
            </w:r>
          </w:p>
        </w:tc>
        <w:tc>
          <w:tcPr>
            <w:tcW w:w="1728" w:type="dxa"/>
            <w:tcBorders>
              <w:top w:val="single" w:sz="12" w:space="0" w:color="auto"/>
            </w:tcBorders>
          </w:tcPr>
          <w:p w14:paraId="2D130C4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Cultural transformation precedes institutional inclusion before policy can succeed, beliefs and gender norms must evolve. Education and civic engagement are powerful tools for reshaping gender roles, including in agriculture.</w:t>
            </w:r>
          </w:p>
        </w:tc>
      </w:tr>
      <w:tr w:rsidR="00E44E40" w:rsidRPr="0046588C" w14:paraId="4CFBDB7E" w14:textId="77777777" w:rsidTr="00BE24E0">
        <w:tc>
          <w:tcPr>
            <w:tcW w:w="1728" w:type="dxa"/>
          </w:tcPr>
          <w:p w14:paraId="3A24FA69"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2. Gender-Inclusive Policies and Climate-Resilient Practices</w:t>
            </w:r>
          </w:p>
        </w:tc>
        <w:tc>
          <w:tcPr>
            <w:tcW w:w="1728" w:type="dxa"/>
          </w:tcPr>
          <w:p w14:paraId="37A7548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How do gender-responsive policies strengthen climate resilience and equity in agriculture?</w:t>
            </w:r>
          </w:p>
        </w:tc>
        <w:tc>
          <w:tcPr>
            <w:tcW w:w="1728" w:type="dxa"/>
          </w:tcPr>
          <w:p w14:paraId="2961A1D8"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Asian Disaster Preparedness Center (2023) – 'Gender Inclusive Climate Resilient Agriculture in Bangladesh.'</w:t>
            </w:r>
          </w:p>
        </w:tc>
        <w:tc>
          <w:tcPr>
            <w:tcW w:w="1869" w:type="dxa"/>
          </w:tcPr>
          <w:p w14:paraId="218AB22A"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Bangladesh’s agricultural and climate policies were reviewed using gender inclusion criteria (reference, recognition, sensitivity, participation). Findings show a shift from viewing women as vulnerable beneficiaries to recognizing them as agents of resilience. Institutional mechanisms enabled participation in planning and monitoring.</w:t>
            </w:r>
          </w:p>
        </w:tc>
        <w:tc>
          <w:tcPr>
            <w:tcW w:w="1728" w:type="dxa"/>
          </w:tcPr>
          <w:p w14:paraId="60E1AECD"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Policy frameworks must institutionalize gender inclusion and ensure women’s involvement in decision-making and resource control. Linking gender and climate resilience improves sustainability and policy effectiveness.</w:t>
            </w:r>
          </w:p>
        </w:tc>
      </w:tr>
      <w:tr w:rsidR="00E44E40" w:rsidRPr="0046588C" w14:paraId="1B0D79B2" w14:textId="77777777" w:rsidTr="00BE24E0">
        <w:tc>
          <w:tcPr>
            <w:tcW w:w="1728" w:type="dxa"/>
          </w:tcPr>
          <w:p w14:paraId="752055A0"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3. Local Case Studies on Participation and Perception</w:t>
            </w:r>
          </w:p>
        </w:tc>
        <w:tc>
          <w:tcPr>
            <w:tcW w:w="1728" w:type="dxa"/>
          </w:tcPr>
          <w:p w14:paraId="7481C7B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 xml:space="preserve">How do women perceive and engage in resource management and non-traditional sectors, and what lessons are </w:t>
            </w:r>
            <w:r w:rsidRPr="0046588C">
              <w:rPr>
                <w:rFonts w:ascii="Arial" w:hAnsi="Arial" w:cs="Arial"/>
                <w:sz w:val="20"/>
                <w:szCs w:val="20"/>
              </w:rPr>
              <w:lastRenderedPageBreak/>
              <w:t>transferable to agriculture?</w:t>
            </w:r>
          </w:p>
        </w:tc>
        <w:tc>
          <w:tcPr>
            <w:tcW w:w="1728" w:type="dxa"/>
          </w:tcPr>
          <w:p w14:paraId="31D6D92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 xml:space="preserve">Canedo et al. (2020) – 'Work Practices and Perceptions from Women Core Developers in OSS Communities.'; Gender Participation in </w:t>
            </w:r>
            <w:r w:rsidRPr="0046588C">
              <w:rPr>
                <w:rFonts w:ascii="Arial" w:hAnsi="Arial" w:cs="Arial"/>
                <w:sz w:val="20"/>
                <w:szCs w:val="20"/>
              </w:rPr>
              <w:lastRenderedPageBreak/>
              <w:t>the Sustainable Management of Resources within Upland Agroforests in La Union, Philippines.</w:t>
            </w:r>
          </w:p>
        </w:tc>
        <w:tc>
          <w:tcPr>
            <w:tcW w:w="1869" w:type="dxa"/>
          </w:tcPr>
          <w:p w14:paraId="1A55466C"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 xml:space="preserve">In OSS (non-agricultural, male-dominated field), women remain underrepresented despite competence. In La Union upland agroforestry, both men and women </w:t>
            </w:r>
            <w:r w:rsidRPr="0046588C">
              <w:rPr>
                <w:rFonts w:ascii="Arial" w:hAnsi="Arial" w:cs="Arial"/>
                <w:sz w:val="20"/>
                <w:szCs w:val="20"/>
              </w:rPr>
              <w:lastRenderedPageBreak/>
              <w:t>participate, but men dominate decision-making while women lead in soil conservation, seedlings, and livelihoods.</w:t>
            </w:r>
          </w:p>
        </w:tc>
        <w:tc>
          <w:tcPr>
            <w:tcW w:w="1728" w:type="dxa"/>
          </w:tcPr>
          <w:p w14:paraId="547B58E0"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 xml:space="preserve">Cross-sector insight: participation ≠ empowerment unless accompanied by decision-making power. In both OSS and upland contexts, </w:t>
            </w:r>
            <w:r w:rsidRPr="0046588C">
              <w:rPr>
                <w:rFonts w:ascii="Arial" w:hAnsi="Arial" w:cs="Arial"/>
                <w:sz w:val="20"/>
                <w:szCs w:val="20"/>
              </w:rPr>
              <w:lastRenderedPageBreak/>
              <w:t>empowering women’s voice and visibility is key to sustainable resource management.</w:t>
            </w:r>
          </w:p>
        </w:tc>
      </w:tr>
    </w:tbl>
    <w:p w14:paraId="6F025FDA" w14:textId="77777777" w:rsidR="00E44E40" w:rsidRPr="0046588C" w:rsidRDefault="00E44E40" w:rsidP="00E44E40">
      <w:pPr>
        <w:ind w:firstLine="720"/>
        <w:jc w:val="both"/>
        <w:rPr>
          <w:rFonts w:ascii="Arial" w:hAnsi="Arial" w:cs="Arial"/>
        </w:rPr>
      </w:pPr>
    </w:p>
    <w:p w14:paraId="4814A553" w14:textId="64AC920D" w:rsidR="00E44E40" w:rsidRPr="0046588C" w:rsidRDefault="00E44E40" w:rsidP="00E44E40">
      <w:pPr>
        <w:pStyle w:val="Body"/>
        <w:rPr>
          <w:rFonts w:ascii="Arial" w:hAnsi="Arial" w:cs="Arial"/>
          <w:b/>
          <w:bCs/>
        </w:rPr>
      </w:pPr>
      <w:r w:rsidRPr="0046588C">
        <w:rPr>
          <w:rFonts w:ascii="Arial" w:hAnsi="Arial" w:cs="Arial"/>
          <w:b/>
          <w:bCs/>
        </w:rPr>
        <w:t xml:space="preserve">Global to Local Linkages </w:t>
      </w:r>
    </w:p>
    <w:p w14:paraId="5B174003" w14:textId="77777777" w:rsidR="00E44E40" w:rsidRPr="0046588C" w:rsidRDefault="00E44E40" w:rsidP="00E44E40">
      <w:pPr>
        <w:pStyle w:val="Body"/>
        <w:ind w:firstLine="720"/>
        <w:rPr>
          <w:rFonts w:ascii="Arial" w:hAnsi="Arial" w:cs="Arial"/>
        </w:rPr>
      </w:pPr>
      <w:r w:rsidRPr="0046588C">
        <w:rPr>
          <w:rFonts w:ascii="Arial" w:hAnsi="Arial" w:cs="Arial"/>
        </w:rPr>
        <w:t>In most situations, women's participation flourishes when policy, culture, and everyday practice all move in tandem. In Colombia, programs of education citizenship strengthen respect for gender equality and it was revealed that belief systems could drive participation. Bangladesh’s agriculture related policies made established to deal with gender emphasizes that institutional change holds structural doors available for women. In the OSS communities, women’s participation shows how covered biases remain to limit recognition even in modern high technology environments. While in La Union, the Philippine upland agroforestry study indicates how Filipino women successfully make participation work by taking an active role in nursery activity, conservation of soil, and household decision-making despite prevailing gender roles.</w:t>
      </w:r>
    </w:p>
    <w:p w14:paraId="578F1AFA" w14:textId="1FB84092" w:rsidR="00E44E40" w:rsidRPr="0046588C" w:rsidRDefault="00E44E40" w:rsidP="00E44E40">
      <w:pPr>
        <w:pStyle w:val="Body"/>
        <w:ind w:firstLine="720"/>
        <w:rPr>
          <w:rFonts w:ascii="Arial" w:hAnsi="Arial" w:cs="Arial"/>
        </w:rPr>
      </w:pPr>
      <w:r w:rsidRPr="0046588C">
        <w:rPr>
          <w:rFonts w:ascii="Arial" w:hAnsi="Arial" w:cs="Arial"/>
        </w:rPr>
        <w:t>There are forces cutting across that support or hinder women's involvement in these settings there were cultural values, access to institutions, and social attitudes. However, each analysis also reflects context-specific realities shaped by geography, policy context, and social history. Globally, education, inclusive policies and strong community support are key to empowering women worldwide. When women have access to learning, decision-</w:t>
      </w:r>
      <w:proofErr w:type="gramStart"/>
      <w:r w:rsidRPr="0046588C">
        <w:rPr>
          <w:rFonts w:ascii="Arial" w:hAnsi="Arial" w:cs="Arial"/>
        </w:rPr>
        <w:t>making  roles</w:t>
      </w:r>
      <w:proofErr w:type="gramEnd"/>
      <w:r w:rsidRPr="0046588C">
        <w:rPr>
          <w:rFonts w:ascii="Arial" w:hAnsi="Arial" w:cs="Arial"/>
        </w:rPr>
        <w:t>, and supportive networks, their involvement grows stronger and more impactful. However, local challenges persist such as in Colombia, deeply rooted traditions slow progress. Furthermore, in Bangladesh climate change adds to women’s burdens, and in online spaces, controlling limits recognition, and in La Union, cultural norms and land rights continue to affect women’s leadership.</w:t>
      </w:r>
    </w:p>
    <w:p w14:paraId="41E007CA" w14:textId="423A9357" w:rsidR="00E44E40" w:rsidRPr="0046588C" w:rsidRDefault="00E44E40" w:rsidP="00E44E40">
      <w:pPr>
        <w:pStyle w:val="Body"/>
        <w:rPr>
          <w:rFonts w:ascii="Arial" w:hAnsi="Arial" w:cs="Arial"/>
          <w:b/>
          <w:bCs/>
        </w:rPr>
      </w:pPr>
      <w:r w:rsidRPr="0046588C">
        <w:rPr>
          <w:rFonts w:ascii="Arial" w:hAnsi="Arial" w:cs="Arial"/>
          <w:b/>
          <w:bCs/>
        </w:rPr>
        <w:t>Emphasizing the Interconnectedness</w:t>
      </w:r>
    </w:p>
    <w:p w14:paraId="0DE9B326" w14:textId="4A979CE2" w:rsidR="00790ADA" w:rsidRPr="0046588C" w:rsidRDefault="00E44E40" w:rsidP="00E44E40">
      <w:pPr>
        <w:pStyle w:val="Body"/>
        <w:spacing w:after="0"/>
        <w:rPr>
          <w:rFonts w:ascii="Arial" w:hAnsi="Arial" w:cs="Arial"/>
        </w:rPr>
      </w:pPr>
      <w:r w:rsidRPr="0046588C">
        <w:rPr>
          <w:rFonts w:ascii="Arial" w:hAnsi="Arial" w:cs="Arial"/>
        </w:rPr>
        <w:tab/>
        <w:t>Addressing gender inclusion requires a subtle approach, as a single strategy is inadequate. Colombia’s evolving labor landscape influenced by cultural shifts, exemplifies this. Meanwhile, Bangladesh demonstrates the power of inclusive policies in fostering real equality. The OSS field study, despite its focus on digital environments, underscores the prevalent nature of societal issues in agriculture revealing that gender stereotypes affect all sectors. Similarly, La Union illustrates the interplay of these factors. The growing presence of women in agroforestry reflects these policy and cultural transformations. These cases collectively emphasize that meaningful advancements occur when education, policy and community initiatives are harmonized.</w:t>
      </w:r>
    </w:p>
    <w:p w14:paraId="34B096E3" w14:textId="77777777" w:rsidR="00E44E40" w:rsidRPr="0046588C" w:rsidRDefault="00E44E40" w:rsidP="00E44E40">
      <w:pPr>
        <w:pStyle w:val="Body"/>
        <w:spacing w:after="0"/>
        <w:rPr>
          <w:rFonts w:ascii="Arial" w:hAnsi="Arial" w:cs="Arial"/>
        </w:rPr>
      </w:pPr>
    </w:p>
    <w:p w14:paraId="4B43A533" w14:textId="3E4CAA96" w:rsidR="00E44E40" w:rsidRPr="0046588C" w:rsidRDefault="00E44E40" w:rsidP="00E44E40">
      <w:pPr>
        <w:rPr>
          <w:rFonts w:ascii="Arial" w:hAnsi="Arial" w:cs="Arial"/>
          <w:b/>
          <w:bCs/>
        </w:rPr>
      </w:pPr>
      <w:r w:rsidRPr="0046588C">
        <w:rPr>
          <w:rFonts w:ascii="Arial" w:hAnsi="Arial" w:cs="Arial"/>
          <w:b/>
          <w:bCs/>
        </w:rPr>
        <w:t xml:space="preserve">Table 2. </w:t>
      </w:r>
      <w:r w:rsidRPr="0046588C">
        <w:rPr>
          <w:rFonts w:ascii="Arial" w:hAnsi="Arial" w:cs="Arial"/>
          <w:b/>
          <w:bCs/>
        </w:rPr>
        <w:tab/>
        <w:t>Barriers and Enablers of Gender Participation Across Settings</w:t>
      </w:r>
    </w:p>
    <w:p w14:paraId="366D1468" w14:textId="77777777" w:rsidR="001451AD" w:rsidRPr="0046588C" w:rsidRDefault="001451AD" w:rsidP="00E44E40">
      <w:pPr>
        <w:rPr>
          <w:rFonts w:ascii="Arial" w:hAnsi="Arial" w:cs="Arial"/>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44E40" w:rsidRPr="0046588C" w14:paraId="4A2DCF27" w14:textId="77777777" w:rsidTr="00BE24E0">
        <w:tc>
          <w:tcPr>
            <w:tcW w:w="1728" w:type="dxa"/>
            <w:tcBorders>
              <w:top w:val="single" w:sz="12" w:space="0" w:color="auto"/>
              <w:bottom w:val="single" w:sz="12" w:space="0" w:color="auto"/>
            </w:tcBorders>
          </w:tcPr>
          <w:p w14:paraId="7D2562C6"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Country / Sector</w:t>
            </w:r>
          </w:p>
        </w:tc>
        <w:tc>
          <w:tcPr>
            <w:tcW w:w="1728" w:type="dxa"/>
            <w:tcBorders>
              <w:top w:val="single" w:sz="12" w:space="0" w:color="auto"/>
              <w:bottom w:val="single" w:sz="12" w:space="0" w:color="auto"/>
            </w:tcBorders>
          </w:tcPr>
          <w:p w14:paraId="1E4B508D"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Main Barriers</w:t>
            </w:r>
          </w:p>
        </w:tc>
        <w:tc>
          <w:tcPr>
            <w:tcW w:w="1728" w:type="dxa"/>
            <w:tcBorders>
              <w:top w:val="single" w:sz="12" w:space="0" w:color="auto"/>
              <w:bottom w:val="single" w:sz="12" w:space="0" w:color="auto"/>
            </w:tcBorders>
          </w:tcPr>
          <w:p w14:paraId="4A5DE632"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Key Enablers</w:t>
            </w:r>
          </w:p>
        </w:tc>
        <w:tc>
          <w:tcPr>
            <w:tcW w:w="1728" w:type="dxa"/>
            <w:tcBorders>
              <w:top w:val="single" w:sz="12" w:space="0" w:color="auto"/>
              <w:bottom w:val="single" w:sz="12" w:space="0" w:color="auto"/>
            </w:tcBorders>
          </w:tcPr>
          <w:p w14:paraId="0F54F61E"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Change Mechanism</w:t>
            </w:r>
          </w:p>
        </w:tc>
        <w:tc>
          <w:tcPr>
            <w:tcW w:w="1728" w:type="dxa"/>
            <w:tcBorders>
              <w:top w:val="single" w:sz="12" w:space="0" w:color="auto"/>
              <w:bottom w:val="single" w:sz="12" w:space="0" w:color="auto"/>
            </w:tcBorders>
          </w:tcPr>
          <w:p w14:paraId="49728A3B"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Transferable Insight</w:t>
            </w:r>
          </w:p>
        </w:tc>
      </w:tr>
      <w:tr w:rsidR="00E44E40" w:rsidRPr="0046588C" w14:paraId="3FDE4196" w14:textId="77777777" w:rsidTr="00BE24E0">
        <w:tc>
          <w:tcPr>
            <w:tcW w:w="1728" w:type="dxa"/>
            <w:tcBorders>
              <w:top w:val="single" w:sz="12" w:space="0" w:color="auto"/>
            </w:tcBorders>
          </w:tcPr>
          <w:p w14:paraId="5A70DD37"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Colombia (Labor Participation)</w:t>
            </w:r>
          </w:p>
        </w:tc>
        <w:tc>
          <w:tcPr>
            <w:tcW w:w="1728" w:type="dxa"/>
            <w:tcBorders>
              <w:top w:val="single" w:sz="12" w:space="0" w:color="auto"/>
            </w:tcBorders>
          </w:tcPr>
          <w:p w14:paraId="36E35CD9"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Cultural norms limiting women’s work roles; generational differences; low representation in formal sectors.</w:t>
            </w:r>
          </w:p>
        </w:tc>
        <w:tc>
          <w:tcPr>
            <w:tcW w:w="1728" w:type="dxa"/>
            <w:tcBorders>
              <w:top w:val="single" w:sz="12" w:space="0" w:color="auto"/>
            </w:tcBorders>
          </w:tcPr>
          <w:p w14:paraId="4B6DD0D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Civic education promoting equality; government monitoring of labor data.</w:t>
            </w:r>
          </w:p>
        </w:tc>
        <w:tc>
          <w:tcPr>
            <w:tcW w:w="1728" w:type="dxa"/>
            <w:tcBorders>
              <w:top w:val="single" w:sz="12" w:space="0" w:color="auto"/>
            </w:tcBorders>
          </w:tcPr>
          <w:p w14:paraId="4EF0AF8D"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Education shifts beliefs, increasing young women’s participation and confidence.</w:t>
            </w:r>
          </w:p>
        </w:tc>
        <w:tc>
          <w:tcPr>
            <w:tcW w:w="1728" w:type="dxa"/>
            <w:tcBorders>
              <w:top w:val="single" w:sz="12" w:space="0" w:color="auto"/>
            </w:tcBorders>
          </w:tcPr>
          <w:p w14:paraId="028B94F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Culture must change alongside education long-term socialization fosters equality.</w:t>
            </w:r>
          </w:p>
        </w:tc>
      </w:tr>
      <w:tr w:rsidR="00E44E40" w:rsidRPr="0046588C" w14:paraId="014B03B6" w14:textId="77777777" w:rsidTr="00BE24E0">
        <w:tc>
          <w:tcPr>
            <w:tcW w:w="1728" w:type="dxa"/>
          </w:tcPr>
          <w:p w14:paraId="4C86F56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Bangladesh (Climate-Resilient Agriculture)</w:t>
            </w:r>
          </w:p>
        </w:tc>
        <w:tc>
          <w:tcPr>
            <w:tcW w:w="1728" w:type="dxa"/>
          </w:tcPr>
          <w:p w14:paraId="70806B9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Limited resource access; gendered vulnerability to climate shocks.</w:t>
            </w:r>
          </w:p>
        </w:tc>
        <w:tc>
          <w:tcPr>
            <w:tcW w:w="1728" w:type="dxa"/>
          </w:tcPr>
          <w:p w14:paraId="09AB980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Policy reforms mandating inclusion; women’s seats in planning and monitoring bodies.</w:t>
            </w:r>
          </w:p>
        </w:tc>
        <w:tc>
          <w:tcPr>
            <w:tcW w:w="1728" w:type="dxa"/>
          </w:tcPr>
          <w:p w14:paraId="16F341CC"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Institutionalizing gender within agricultural policy creates climate and gender resilience.</w:t>
            </w:r>
          </w:p>
        </w:tc>
        <w:tc>
          <w:tcPr>
            <w:tcW w:w="1728" w:type="dxa"/>
          </w:tcPr>
          <w:p w14:paraId="0D2FE403"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Mainstream gender in all policy levels, inclusion must be systemic, not symbolic.</w:t>
            </w:r>
          </w:p>
        </w:tc>
      </w:tr>
      <w:tr w:rsidR="00E44E40" w:rsidRPr="0046588C" w14:paraId="118FD247" w14:textId="77777777" w:rsidTr="00BE24E0">
        <w:tc>
          <w:tcPr>
            <w:tcW w:w="1728" w:type="dxa"/>
          </w:tcPr>
          <w:p w14:paraId="35DA0E9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OSS Communities (Technology)</w:t>
            </w:r>
          </w:p>
        </w:tc>
        <w:tc>
          <w:tcPr>
            <w:tcW w:w="1728" w:type="dxa"/>
          </w:tcPr>
          <w:p w14:paraId="096DCC63"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 xml:space="preserve">Invisible bias; under recognition of women’s </w:t>
            </w:r>
            <w:r w:rsidRPr="0046588C">
              <w:rPr>
                <w:rFonts w:ascii="Arial" w:hAnsi="Arial" w:cs="Arial"/>
                <w:sz w:val="20"/>
                <w:szCs w:val="20"/>
              </w:rPr>
              <w:lastRenderedPageBreak/>
              <w:t>contributions; lack of mentors.</w:t>
            </w:r>
          </w:p>
        </w:tc>
        <w:tc>
          <w:tcPr>
            <w:tcW w:w="1728" w:type="dxa"/>
          </w:tcPr>
          <w:p w14:paraId="5446ACA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 xml:space="preserve">Codes of conduct; inclusive mentoring </w:t>
            </w:r>
            <w:r w:rsidRPr="0046588C">
              <w:rPr>
                <w:rFonts w:ascii="Arial" w:hAnsi="Arial" w:cs="Arial"/>
                <w:sz w:val="20"/>
                <w:szCs w:val="20"/>
              </w:rPr>
              <w:lastRenderedPageBreak/>
              <w:t>programs; transparent credit systems.</w:t>
            </w:r>
          </w:p>
        </w:tc>
        <w:tc>
          <w:tcPr>
            <w:tcW w:w="1728" w:type="dxa"/>
          </w:tcPr>
          <w:p w14:paraId="3659A54F"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 xml:space="preserve">Visibility and acknowledgment encourage </w:t>
            </w:r>
            <w:r w:rsidRPr="0046588C">
              <w:rPr>
                <w:rFonts w:ascii="Arial" w:hAnsi="Arial" w:cs="Arial"/>
                <w:sz w:val="20"/>
                <w:szCs w:val="20"/>
              </w:rPr>
              <w:lastRenderedPageBreak/>
              <w:t>continued participation.</w:t>
            </w:r>
          </w:p>
        </w:tc>
        <w:tc>
          <w:tcPr>
            <w:tcW w:w="1728" w:type="dxa"/>
          </w:tcPr>
          <w:p w14:paraId="2827951A"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 xml:space="preserve">Representation and mentorship work in any collaborative </w:t>
            </w:r>
            <w:r w:rsidRPr="0046588C">
              <w:rPr>
                <w:rFonts w:ascii="Arial" w:hAnsi="Arial" w:cs="Arial"/>
                <w:sz w:val="20"/>
                <w:szCs w:val="20"/>
              </w:rPr>
              <w:lastRenderedPageBreak/>
              <w:t>environment, digital or rural.</w:t>
            </w:r>
          </w:p>
        </w:tc>
      </w:tr>
      <w:tr w:rsidR="00E44E40" w:rsidRPr="0046588C" w14:paraId="12DFE27E" w14:textId="77777777" w:rsidTr="00BE24E0">
        <w:tc>
          <w:tcPr>
            <w:tcW w:w="1728" w:type="dxa"/>
          </w:tcPr>
          <w:p w14:paraId="55829A60"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La Union, Philippines (Agroforestry)</w:t>
            </w:r>
          </w:p>
        </w:tc>
        <w:tc>
          <w:tcPr>
            <w:tcW w:w="1728" w:type="dxa"/>
          </w:tcPr>
          <w:p w14:paraId="0E6931A4"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Male-dominated decision-making; limited market access; traditional gender roles.</w:t>
            </w:r>
          </w:p>
        </w:tc>
        <w:tc>
          <w:tcPr>
            <w:tcW w:w="1728" w:type="dxa"/>
          </w:tcPr>
          <w:p w14:paraId="74A20F1B"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Women’s active role in nursery work, soil conservation, and livelihood programs.</w:t>
            </w:r>
          </w:p>
        </w:tc>
        <w:tc>
          <w:tcPr>
            <w:tcW w:w="1728" w:type="dxa"/>
          </w:tcPr>
          <w:p w14:paraId="082A774C"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Practical involvement in environmental management enhances local empowerment.</w:t>
            </w:r>
          </w:p>
        </w:tc>
        <w:tc>
          <w:tcPr>
            <w:tcW w:w="1728" w:type="dxa"/>
          </w:tcPr>
          <w:p w14:paraId="602F5515"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Link technical training to leadership opportunities to sustain participation.</w:t>
            </w:r>
          </w:p>
        </w:tc>
      </w:tr>
    </w:tbl>
    <w:p w14:paraId="3200C9C6" w14:textId="77777777" w:rsidR="00E44E40" w:rsidRPr="0046588C" w:rsidRDefault="00E44E40" w:rsidP="00E44E40">
      <w:pPr>
        <w:jc w:val="both"/>
        <w:rPr>
          <w:rFonts w:ascii="Arial" w:hAnsi="Arial" w:cs="Arial"/>
          <w:b/>
          <w:bCs/>
        </w:rPr>
      </w:pPr>
    </w:p>
    <w:p w14:paraId="6170EB2A" w14:textId="2FE6F089" w:rsidR="00E44E40" w:rsidRPr="0046588C" w:rsidRDefault="00E44E40" w:rsidP="00E44E40">
      <w:pPr>
        <w:pStyle w:val="Body"/>
        <w:spacing w:after="0"/>
        <w:rPr>
          <w:rFonts w:ascii="Arial" w:hAnsi="Arial" w:cs="Arial"/>
          <w:b/>
          <w:bCs/>
        </w:rPr>
      </w:pPr>
      <w:r w:rsidRPr="0046588C">
        <w:rPr>
          <w:rFonts w:ascii="Arial" w:hAnsi="Arial" w:cs="Arial"/>
          <w:b/>
          <w:bCs/>
        </w:rPr>
        <w:t>Conceptual Framework</w:t>
      </w:r>
    </w:p>
    <w:p w14:paraId="5720BA1F" w14:textId="77777777" w:rsidR="00E44E40" w:rsidRPr="0046588C" w:rsidRDefault="00E44E40" w:rsidP="00E44E40">
      <w:pPr>
        <w:pStyle w:val="Body"/>
        <w:spacing w:after="0"/>
        <w:rPr>
          <w:rFonts w:ascii="Arial" w:hAnsi="Arial" w:cs="Arial"/>
        </w:rPr>
      </w:pPr>
    </w:p>
    <w:p w14:paraId="19B7EFA8" w14:textId="13011A8D" w:rsidR="00E44E40" w:rsidRPr="0046588C" w:rsidRDefault="00E44E40" w:rsidP="00E44E40">
      <w:pPr>
        <w:pStyle w:val="Body"/>
        <w:rPr>
          <w:rFonts w:ascii="Arial" w:hAnsi="Arial" w:cs="Arial"/>
          <w:b/>
          <w:bCs/>
        </w:rPr>
      </w:pPr>
      <w:r w:rsidRPr="0046588C">
        <w:rPr>
          <w:rFonts w:ascii="Arial" w:hAnsi="Arial" w:cs="Arial"/>
          <w:b/>
          <w:bCs/>
        </w:rPr>
        <w:t xml:space="preserve">Cultural Change </w:t>
      </w:r>
    </w:p>
    <w:p w14:paraId="66C0BFB9" w14:textId="44A456E0" w:rsidR="00E44E40" w:rsidRPr="0046588C" w:rsidRDefault="00E44E40" w:rsidP="00E44E40">
      <w:pPr>
        <w:pStyle w:val="Body"/>
        <w:ind w:firstLine="720"/>
        <w:rPr>
          <w:rFonts w:ascii="Arial" w:hAnsi="Arial" w:cs="Arial"/>
        </w:rPr>
      </w:pPr>
      <w:r w:rsidRPr="0046588C">
        <w:rPr>
          <w:rFonts w:ascii="Arial" w:hAnsi="Arial" w:cs="Arial"/>
        </w:rPr>
        <w:t>Transformation starts in culture, the common values and beliefs that condition the way societies construct women's and men's roles. In Colombia, civic education has been a turning point, demonstrating that where citizens can question prevailing norms, newly open spaces exist for equality (Galindo-Silva &amp; Herrera-Idarraga, 2023). Consciousness and education are the bricks of inclusion, slowly toppling deeply-rooted hierarchies that long suppressed women's presence and voice.</w:t>
      </w:r>
    </w:p>
    <w:p w14:paraId="7B4A2CC4" w14:textId="61E096FD" w:rsidR="00E44E40" w:rsidRPr="0046588C" w:rsidRDefault="00E44E40" w:rsidP="00E44E40">
      <w:pPr>
        <w:pStyle w:val="Body"/>
        <w:rPr>
          <w:rFonts w:ascii="Arial" w:hAnsi="Arial" w:cs="Arial"/>
          <w:b/>
          <w:bCs/>
        </w:rPr>
      </w:pPr>
      <w:r w:rsidRPr="0046588C">
        <w:rPr>
          <w:rFonts w:ascii="Arial" w:hAnsi="Arial" w:cs="Arial"/>
          <w:b/>
          <w:bCs/>
        </w:rPr>
        <w:t xml:space="preserve">Policy Integration </w:t>
      </w:r>
    </w:p>
    <w:p w14:paraId="291F61D6" w14:textId="0482A541" w:rsidR="00E44E40" w:rsidRPr="0046588C" w:rsidRDefault="00E44E40" w:rsidP="00E44E40">
      <w:pPr>
        <w:pStyle w:val="Body"/>
        <w:ind w:firstLine="720"/>
        <w:rPr>
          <w:rFonts w:ascii="Arial" w:hAnsi="Arial" w:cs="Arial"/>
        </w:rPr>
      </w:pPr>
      <w:r w:rsidRPr="0046588C">
        <w:rPr>
          <w:rFonts w:ascii="Arial" w:hAnsi="Arial" w:cs="Arial"/>
        </w:rPr>
        <w:t>Policy is the link between knowledge and action. National gender-sensitive, climate-resilient agriculture policies in Bangladesh have mainstreamed women's concerns into planning (Asian Disaster Preparedness Center, 2023). But the true test of policy is in their implementation. Successful gender integration goes beyond written policies but needs budgets, local institutions, and tracking systems that guarantee women's effective participation in decision-making processes, not as beneficiaries but as co-actors in the result. These policies lay out international commitments under Sustainable Development Goal No. 5 (United Nations, 2015).</w:t>
      </w:r>
    </w:p>
    <w:p w14:paraId="787CCEF6" w14:textId="5D29BA7F" w:rsidR="00E44E40" w:rsidRPr="0046588C" w:rsidRDefault="00E44E40" w:rsidP="00E44E40">
      <w:pPr>
        <w:pStyle w:val="Body"/>
        <w:rPr>
          <w:rFonts w:ascii="Arial" w:hAnsi="Arial" w:cs="Arial"/>
          <w:b/>
          <w:bCs/>
        </w:rPr>
      </w:pPr>
      <w:r w:rsidRPr="0046588C">
        <w:rPr>
          <w:rFonts w:ascii="Arial" w:hAnsi="Arial" w:cs="Arial"/>
          <w:b/>
          <w:bCs/>
        </w:rPr>
        <w:t>Perception and Practice</w:t>
      </w:r>
    </w:p>
    <w:p w14:paraId="52DF9CAF" w14:textId="71845035" w:rsidR="00E44E40" w:rsidRPr="0046588C" w:rsidRDefault="00E44E40" w:rsidP="00E44E40">
      <w:pPr>
        <w:pStyle w:val="Body"/>
        <w:rPr>
          <w:rFonts w:ascii="Arial" w:hAnsi="Arial" w:cs="Arial"/>
        </w:rPr>
      </w:pPr>
      <w:r w:rsidRPr="0046588C">
        <w:rPr>
          <w:rFonts w:ascii="Arial" w:hAnsi="Arial" w:cs="Arial"/>
        </w:rPr>
        <w:tab/>
        <w:t>Whether inclusive truly take hold in a community depends on people perceptions. The La Union agroforestry study emphasized that as women’s involvement in local conservation and livelihood efforts became more visible, traditional attitudes began to evolve (Wagayen, 2020). This reflects the experience in open-source software communities were shifts in team dynamics to acknowledge women’s contributions which also reflects a process of relearning inclusion (Canedo et al., 2020). As perceptions evolve, practices adapt, fostering environments where equality becomes an integral aspect of daily interaction rather than an abstract objective.</w:t>
      </w:r>
    </w:p>
    <w:p w14:paraId="538198CA" w14:textId="0F71A45B" w:rsidR="00E44E40" w:rsidRPr="0046588C" w:rsidRDefault="00E44E40" w:rsidP="00E44E40">
      <w:pPr>
        <w:pStyle w:val="Body"/>
        <w:rPr>
          <w:rFonts w:ascii="Arial" w:hAnsi="Arial" w:cs="Arial"/>
          <w:b/>
          <w:bCs/>
        </w:rPr>
      </w:pPr>
      <w:r w:rsidRPr="0046588C">
        <w:rPr>
          <w:rFonts w:ascii="Arial" w:hAnsi="Arial" w:cs="Arial"/>
          <w:b/>
          <w:bCs/>
        </w:rPr>
        <w:t>Empowerment</w:t>
      </w:r>
    </w:p>
    <w:p w14:paraId="5FD331E9" w14:textId="2543FB9D" w:rsidR="00E44E40" w:rsidRDefault="008A70FE" w:rsidP="00E44E40">
      <w:pPr>
        <w:pStyle w:val="Body"/>
        <w:spacing w:after="0"/>
        <w:rPr>
          <w:rFonts w:ascii="Arial" w:hAnsi="Arial" w:cs="Arial"/>
        </w:rPr>
      </w:pPr>
      <w:r w:rsidRPr="008A70FE">
        <w:rPr>
          <w:rFonts w:ascii="Arial" w:hAnsi="Arial" w:cs="Arial"/>
        </w:rPr>
        <w:drawing>
          <wp:anchor distT="0" distB="0" distL="114300" distR="114300" simplePos="0" relativeHeight="251658240" behindDoc="1" locked="0" layoutInCell="1" allowOverlap="1" wp14:anchorId="3E06AABB" wp14:editId="75E0DF98">
            <wp:simplePos x="0" y="0"/>
            <wp:positionH relativeFrom="margin">
              <wp:align>center</wp:align>
            </wp:positionH>
            <wp:positionV relativeFrom="paragraph">
              <wp:posOffset>645795</wp:posOffset>
            </wp:positionV>
            <wp:extent cx="5802449" cy="1790700"/>
            <wp:effectExtent l="0" t="0" r="8255" b="0"/>
            <wp:wrapNone/>
            <wp:docPr id="16963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9284" name=""/>
                    <pic:cNvPicPr/>
                  </pic:nvPicPr>
                  <pic:blipFill>
                    <a:blip r:embed="rId14">
                      <a:extLst>
                        <a:ext uri="{28A0092B-C50C-407E-A947-70E740481C1C}">
                          <a14:useLocalDpi xmlns:a14="http://schemas.microsoft.com/office/drawing/2010/main" val="0"/>
                        </a:ext>
                      </a:extLst>
                    </a:blip>
                    <a:stretch>
                      <a:fillRect/>
                    </a:stretch>
                  </pic:blipFill>
                  <pic:spPr>
                    <a:xfrm>
                      <a:off x="0" y="0"/>
                      <a:ext cx="5802449" cy="1790700"/>
                    </a:xfrm>
                    <a:prstGeom prst="rect">
                      <a:avLst/>
                    </a:prstGeom>
                  </pic:spPr>
                </pic:pic>
              </a:graphicData>
            </a:graphic>
            <wp14:sizeRelH relativeFrom="margin">
              <wp14:pctWidth>0</wp14:pctWidth>
            </wp14:sizeRelH>
            <wp14:sizeRelV relativeFrom="margin">
              <wp14:pctHeight>0</wp14:pctHeight>
            </wp14:sizeRelV>
          </wp:anchor>
        </w:drawing>
      </w:r>
      <w:r w:rsidR="00E44E40" w:rsidRPr="0046588C">
        <w:rPr>
          <w:rFonts w:ascii="Arial" w:hAnsi="Arial" w:cs="Arial"/>
        </w:rPr>
        <w:tab/>
        <w:t>Empowerment is not achieved naturally, but rather a developmental process refined through sustained support infrastructures, encompassing education, equitable policies and inclusive governance frameworks. Real empowerment is more than participation. It is a sign of co-driven, resource available and capacity to lead it. When cultural knowing, organizational commitment and experiences have been met, women shift from being addressed as contributors to being addressed as co-managers of natural resources and sustainable development.</w:t>
      </w:r>
    </w:p>
    <w:p w14:paraId="16B4DF6D" w14:textId="37A08CBD" w:rsidR="00BB070D" w:rsidRDefault="00BB070D" w:rsidP="00E44E40">
      <w:pPr>
        <w:pStyle w:val="Body"/>
        <w:spacing w:after="0"/>
        <w:rPr>
          <w:rFonts w:ascii="Arial" w:hAnsi="Arial" w:cs="Arial"/>
        </w:rPr>
      </w:pPr>
    </w:p>
    <w:p w14:paraId="49084416" w14:textId="11B6D994" w:rsidR="00BB070D" w:rsidRDefault="00BB070D" w:rsidP="00E44E40">
      <w:pPr>
        <w:pStyle w:val="Body"/>
        <w:spacing w:after="0"/>
        <w:rPr>
          <w:rFonts w:ascii="Arial" w:hAnsi="Arial" w:cs="Arial"/>
        </w:rPr>
      </w:pPr>
    </w:p>
    <w:p w14:paraId="04B162E2" w14:textId="1F7C7008" w:rsidR="00BB070D" w:rsidRDefault="00BB070D" w:rsidP="00E44E40">
      <w:pPr>
        <w:pStyle w:val="Body"/>
        <w:spacing w:after="0"/>
        <w:rPr>
          <w:rFonts w:ascii="Arial" w:hAnsi="Arial" w:cs="Arial"/>
        </w:rPr>
      </w:pPr>
    </w:p>
    <w:p w14:paraId="2927C7F0" w14:textId="615908C2" w:rsidR="00BB070D" w:rsidRDefault="00BB070D" w:rsidP="00E44E40">
      <w:pPr>
        <w:pStyle w:val="Body"/>
        <w:spacing w:after="0"/>
        <w:rPr>
          <w:rFonts w:ascii="Arial" w:hAnsi="Arial" w:cs="Arial"/>
        </w:rPr>
      </w:pPr>
    </w:p>
    <w:p w14:paraId="5DEB38C5" w14:textId="571072FB" w:rsidR="00BB070D" w:rsidRDefault="00BB070D" w:rsidP="00E44E40">
      <w:pPr>
        <w:pStyle w:val="Body"/>
        <w:spacing w:after="0"/>
        <w:rPr>
          <w:rFonts w:ascii="Arial" w:hAnsi="Arial" w:cs="Arial"/>
        </w:rPr>
      </w:pPr>
    </w:p>
    <w:p w14:paraId="7573367B" w14:textId="252F689B" w:rsidR="00BB070D" w:rsidRDefault="00BB070D" w:rsidP="00E44E40">
      <w:pPr>
        <w:pStyle w:val="Body"/>
        <w:spacing w:after="0"/>
        <w:rPr>
          <w:rFonts w:ascii="Arial" w:hAnsi="Arial" w:cs="Arial"/>
        </w:rPr>
      </w:pPr>
    </w:p>
    <w:p w14:paraId="2D2D95A6" w14:textId="4D88B5D8" w:rsidR="00BB070D" w:rsidRDefault="00BB070D" w:rsidP="00E44E40">
      <w:pPr>
        <w:pStyle w:val="Body"/>
        <w:spacing w:after="0"/>
        <w:rPr>
          <w:rFonts w:ascii="Arial" w:hAnsi="Arial" w:cs="Arial"/>
        </w:rPr>
      </w:pPr>
    </w:p>
    <w:p w14:paraId="59E6665D" w14:textId="12E83650" w:rsidR="00BB070D" w:rsidRDefault="00BB070D" w:rsidP="00E44E40">
      <w:pPr>
        <w:pStyle w:val="Body"/>
        <w:spacing w:after="0"/>
        <w:rPr>
          <w:rFonts w:ascii="Arial" w:hAnsi="Arial" w:cs="Arial"/>
        </w:rPr>
      </w:pPr>
    </w:p>
    <w:p w14:paraId="3B7BD229" w14:textId="77777777" w:rsidR="00BB070D" w:rsidRDefault="00BB070D" w:rsidP="00E44E40">
      <w:pPr>
        <w:pStyle w:val="Body"/>
        <w:spacing w:after="0"/>
        <w:rPr>
          <w:rFonts w:ascii="Arial" w:hAnsi="Arial" w:cs="Arial"/>
        </w:rPr>
      </w:pPr>
    </w:p>
    <w:p w14:paraId="1091D420" w14:textId="77777777" w:rsidR="00BB070D" w:rsidRDefault="00BB070D" w:rsidP="00E44E40">
      <w:pPr>
        <w:pStyle w:val="Body"/>
        <w:spacing w:after="0"/>
        <w:rPr>
          <w:rFonts w:ascii="Arial" w:hAnsi="Arial" w:cs="Arial"/>
        </w:rPr>
      </w:pPr>
    </w:p>
    <w:p w14:paraId="623AC341" w14:textId="04B91E04" w:rsidR="00BB070D" w:rsidRDefault="00BB070D" w:rsidP="00E44E40">
      <w:pPr>
        <w:pStyle w:val="Body"/>
        <w:spacing w:after="0"/>
        <w:rPr>
          <w:rFonts w:ascii="Arial" w:hAnsi="Arial" w:cs="Arial"/>
        </w:rPr>
      </w:pPr>
    </w:p>
    <w:p w14:paraId="4BA36C24" w14:textId="5DE24D88" w:rsidR="00BB070D" w:rsidRDefault="00BB070D" w:rsidP="00E44E40">
      <w:pPr>
        <w:pStyle w:val="Body"/>
        <w:spacing w:after="0"/>
        <w:rPr>
          <w:rFonts w:ascii="Arial" w:hAnsi="Arial" w:cs="Arial"/>
        </w:rPr>
      </w:pPr>
    </w:p>
    <w:p w14:paraId="439D6037" w14:textId="0D0D01F5" w:rsidR="00BB070D" w:rsidRDefault="008A70FE" w:rsidP="00E44E40">
      <w:pPr>
        <w:pStyle w:val="Body"/>
        <w:spacing w:after="0"/>
        <w:rPr>
          <w:rFonts w:ascii="Arial" w:hAnsi="Arial" w:cs="Arial"/>
        </w:rPr>
      </w:pPr>
      <w:r>
        <w:rPr>
          <w:rFonts w:ascii="Arial" w:hAnsi="Arial" w:cs="Arial"/>
        </w:rPr>
        <w:t>Figure 1. Conceptual Framework illustrating the interaction between cultural transformation, policy integration, perception and empowerment in promoting gender-inclusive sustainable agriculture and resource management</w:t>
      </w:r>
    </w:p>
    <w:p w14:paraId="7B53B213" w14:textId="77777777" w:rsidR="00BB070D" w:rsidRDefault="00BB070D" w:rsidP="00E44E40">
      <w:pPr>
        <w:pStyle w:val="Body"/>
        <w:spacing w:after="0"/>
        <w:rPr>
          <w:rFonts w:ascii="Arial" w:hAnsi="Arial" w:cs="Arial"/>
        </w:rPr>
      </w:pPr>
    </w:p>
    <w:p w14:paraId="38E9E062" w14:textId="77777777" w:rsidR="00BB070D" w:rsidRPr="0046588C" w:rsidRDefault="00BB070D" w:rsidP="00E44E40">
      <w:pPr>
        <w:pStyle w:val="Body"/>
        <w:spacing w:after="0"/>
        <w:rPr>
          <w:rFonts w:ascii="Arial" w:hAnsi="Arial" w:cs="Arial"/>
        </w:rPr>
      </w:pPr>
    </w:p>
    <w:p w14:paraId="0766789C" w14:textId="77777777" w:rsidR="00E44E40" w:rsidRPr="0046588C" w:rsidRDefault="00E44E40" w:rsidP="00E44E40">
      <w:pPr>
        <w:pStyle w:val="Body"/>
        <w:spacing w:after="0"/>
        <w:rPr>
          <w:rFonts w:ascii="Arial" w:hAnsi="Arial" w:cs="Arial"/>
        </w:rPr>
      </w:pPr>
    </w:p>
    <w:p w14:paraId="598A6BD5" w14:textId="278BC251" w:rsidR="007F7B32" w:rsidRPr="0046588C" w:rsidRDefault="00902823" w:rsidP="00441B6F">
      <w:pPr>
        <w:pStyle w:val="AbstHead"/>
        <w:spacing w:after="0"/>
        <w:jc w:val="both"/>
        <w:rPr>
          <w:rFonts w:ascii="Arial" w:hAnsi="Arial" w:cs="Arial"/>
        </w:rPr>
      </w:pPr>
      <w:r w:rsidRPr="0046588C">
        <w:rPr>
          <w:rFonts w:ascii="Arial" w:hAnsi="Arial" w:cs="Arial"/>
        </w:rPr>
        <w:t>2. material and method</w:t>
      </w:r>
      <w:r w:rsidR="00000F8F" w:rsidRPr="0046588C">
        <w:rPr>
          <w:rFonts w:ascii="Arial" w:hAnsi="Arial" w:cs="Arial"/>
        </w:rPr>
        <w:t xml:space="preserve">s </w:t>
      </w:r>
    </w:p>
    <w:p w14:paraId="2E57AF9C" w14:textId="77777777" w:rsidR="00790ADA" w:rsidRPr="0046588C" w:rsidRDefault="00790ADA" w:rsidP="00441B6F">
      <w:pPr>
        <w:pStyle w:val="AbstHead"/>
        <w:spacing w:after="0"/>
        <w:jc w:val="both"/>
        <w:rPr>
          <w:rFonts w:ascii="Arial" w:hAnsi="Arial" w:cs="Arial"/>
        </w:rPr>
      </w:pPr>
    </w:p>
    <w:p w14:paraId="0C899CCC" w14:textId="09280E95" w:rsidR="00790ADA" w:rsidRPr="0046588C" w:rsidRDefault="00E44E40" w:rsidP="00E44E40">
      <w:pPr>
        <w:pStyle w:val="Body"/>
        <w:spacing w:after="0"/>
        <w:ind w:firstLine="720"/>
        <w:rPr>
          <w:rFonts w:ascii="Arial" w:hAnsi="Arial" w:cs="Arial"/>
        </w:rPr>
      </w:pPr>
      <w:r w:rsidRPr="0046588C">
        <w:rPr>
          <w:rFonts w:ascii="Arial" w:hAnsi="Arial" w:cs="Arial"/>
        </w:rPr>
        <w:t>Each reviewed studies, followed distinct yet complementary research designs, shaped by their cultural and institutional settings but shared one common goal. Figuring out how gender roles affect who gets to participate in social, technological and environmental projects. Collectively, they reveal a balance between quantitative precision and qualitative depth, illustrating how gender focused research integrates analytical tools from economics, sociology, and policy studies.</w:t>
      </w:r>
    </w:p>
    <w:p w14:paraId="7094518F" w14:textId="77777777" w:rsidR="00E44E40" w:rsidRPr="0046588C" w:rsidRDefault="00E44E40" w:rsidP="00E44E40">
      <w:pPr>
        <w:pStyle w:val="Body"/>
        <w:spacing w:after="0"/>
        <w:rPr>
          <w:rFonts w:ascii="Arial" w:hAnsi="Arial" w:cs="Arial"/>
        </w:rPr>
      </w:pPr>
    </w:p>
    <w:p w14:paraId="5D893D69" w14:textId="77777777" w:rsidR="00E44E40" w:rsidRPr="0046588C" w:rsidRDefault="00E44E40" w:rsidP="00E44E40">
      <w:pPr>
        <w:rPr>
          <w:rFonts w:ascii="Arial" w:hAnsi="Arial" w:cs="Arial"/>
          <w:b/>
          <w:bCs/>
        </w:rPr>
      </w:pPr>
      <w:r w:rsidRPr="0046588C">
        <w:rPr>
          <w:rFonts w:ascii="Arial" w:hAnsi="Arial" w:cs="Arial"/>
          <w:b/>
          <w:bCs/>
        </w:rPr>
        <w:t xml:space="preserve">Table 3. </w:t>
      </w:r>
      <w:r w:rsidRPr="0046588C">
        <w:rPr>
          <w:rFonts w:ascii="Arial" w:hAnsi="Arial" w:cs="Arial"/>
          <w:b/>
          <w:bCs/>
        </w:rPr>
        <w:tab/>
        <w:t>Research Designs</w:t>
      </w:r>
    </w:p>
    <w:p w14:paraId="7505CDD1" w14:textId="77777777" w:rsidR="00E44E40" w:rsidRPr="0046588C" w:rsidRDefault="00E44E40" w:rsidP="00E44E40">
      <w:pPr>
        <w:rPr>
          <w:rFonts w:ascii="Arial" w:hAnsi="Arial" w:cs="Arial"/>
          <w:b/>
          <w:bCs/>
        </w:rPr>
      </w:pPr>
    </w:p>
    <w:tbl>
      <w:tblPr>
        <w:tblW w:w="0" w:type="auto"/>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119"/>
        <w:gridCol w:w="2683"/>
        <w:gridCol w:w="4998"/>
      </w:tblGrid>
      <w:tr w:rsidR="00E44E40" w:rsidRPr="0046588C" w14:paraId="17C6115E" w14:textId="77777777" w:rsidTr="00BE24E0">
        <w:trPr>
          <w:trHeight w:val="276"/>
        </w:trPr>
        <w:tc>
          <w:tcPr>
            <w:tcW w:w="3119" w:type="dxa"/>
            <w:tcBorders>
              <w:top w:val="single" w:sz="12" w:space="0" w:color="auto"/>
              <w:bottom w:val="single" w:sz="12" w:space="0" w:color="auto"/>
            </w:tcBorders>
            <w:tcMar>
              <w:top w:w="20" w:type="dxa"/>
              <w:left w:w="20" w:type="dxa"/>
              <w:bottom w:w="20" w:type="dxa"/>
              <w:right w:w="20" w:type="dxa"/>
            </w:tcMar>
            <w:hideMark/>
          </w:tcPr>
          <w:p w14:paraId="7AB5C19C" w14:textId="77777777" w:rsidR="00E44E40" w:rsidRPr="0046588C" w:rsidRDefault="00E44E40" w:rsidP="00BE24E0">
            <w:pPr>
              <w:jc w:val="center"/>
              <w:rPr>
                <w:rFonts w:ascii="Arial" w:hAnsi="Arial" w:cs="Arial"/>
              </w:rPr>
            </w:pPr>
            <w:r w:rsidRPr="0046588C">
              <w:rPr>
                <w:rFonts w:ascii="Arial" w:hAnsi="Arial" w:cs="Arial"/>
                <w:b/>
                <w:bCs/>
              </w:rPr>
              <w:t>Study</w:t>
            </w:r>
          </w:p>
        </w:tc>
        <w:tc>
          <w:tcPr>
            <w:tcW w:w="2683" w:type="dxa"/>
            <w:tcBorders>
              <w:top w:val="single" w:sz="12" w:space="0" w:color="auto"/>
              <w:bottom w:val="single" w:sz="12" w:space="0" w:color="auto"/>
            </w:tcBorders>
            <w:tcMar>
              <w:top w:w="20" w:type="dxa"/>
              <w:left w:w="20" w:type="dxa"/>
              <w:bottom w:w="20" w:type="dxa"/>
              <w:right w:w="20" w:type="dxa"/>
            </w:tcMar>
            <w:hideMark/>
          </w:tcPr>
          <w:p w14:paraId="29D17316" w14:textId="77777777" w:rsidR="00E44E40" w:rsidRPr="0046588C" w:rsidRDefault="00E44E40" w:rsidP="00BE24E0">
            <w:pPr>
              <w:jc w:val="center"/>
              <w:rPr>
                <w:rFonts w:ascii="Arial" w:hAnsi="Arial" w:cs="Arial"/>
              </w:rPr>
            </w:pPr>
            <w:r w:rsidRPr="0046588C">
              <w:rPr>
                <w:rFonts w:ascii="Arial" w:hAnsi="Arial" w:cs="Arial"/>
                <w:b/>
                <w:bCs/>
              </w:rPr>
              <w:t>Research Design</w:t>
            </w:r>
          </w:p>
        </w:tc>
        <w:tc>
          <w:tcPr>
            <w:tcW w:w="0" w:type="auto"/>
            <w:tcBorders>
              <w:top w:val="single" w:sz="12" w:space="0" w:color="auto"/>
              <w:bottom w:val="single" w:sz="12" w:space="0" w:color="auto"/>
            </w:tcBorders>
            <w:tcMar>
              <w:top w:w="20" w:type="dxa"/>
              <w:left w:w="20" w:type="dxa"/>
              <w:bottom w:w="20" w:type="dxa"/>
              <w:right w:w="20" w:type="dxa"/>
            </w:tcMar>
            <w:hideMark/>
          </w:tcPr>
          <w:p w14:paraId="6338DEBE" w14:textId="77777777" w:rsidR="00E44E40" w:rsidRPr="0046588C" w:rsidRDefault="00E44E40" w:rsidP="00BE24E0">
            <w:pPr>
              <w:jc w:val="center"/>
              <w:rPr>
                <w:rFonts w:ascii="Arial" w:hAnsi="Arial" w:cs="Arial"/>
              </w:rPr>
            </w:pPr>
            <w:r w:rsidRPr="0046588C">
              <w:rPr>
                <w:rFonts w:ascii="Arial" w:hAnsi="Arial" w:cs="Arial"/>
                <w:b/>
                <w:bCs/>
              </w:rPr>
              <w:t>Approach / Purpose</w:t>
            </w:r>
          </w:p>
        </w:tc>
      </w:tr>
      <w:tr w:rsidR="00E44E40" w:rsidRPr="0046588C" w14:paraId="69A87FC9" w14:textId="77777777" w:rsidTr="00BE24E0">
        <w:trPr>
          <w:trHeight w:val="953"/>
        </w:trPr>
        <w:tc>
          <w:tcPr>
            <w:tcW w:w="3119" w:type="dxa"/>
            <w:tcBorders>
              <w:top w:val="single" w:sz="12" w:space="0" w:color="auto"/>
            </w:tcBorders>
            <w:tcMar>
              <w:top w:w="20" w:type="dxa"/>
              <w:left w:w="20" w:type="dxa"/>
              <w:bottom w:w="20" w:type="dxa"/>
              <w:right w:w="20" w:type="dxa"/>
            </w:tcMar>
            <w:hideMark/>
          </w:tcPr>
          <w:p w14:paraId="2494FDAB" w14:textId="77777777" w:rsidR="00E44E40" w:rsidRPr="0046588C" w:rsidRDefault="00E44E40" w:rsidP="00BE24E0">
            <w:pPr>
              <w:jc w:val="both"/>
              <w:rPr>
                <w:rFonts w:ascii="Arial" w:hAnsi="Arial" w:cs="Arial"/>
                <w:lang w:val="it-IT"/>
              </w:rPr>
            </w:pPr>
            <w:r w:rsidRPr="0046588C">
              <w:rPr>
                <w:rFonts w:ascii="Arial" w:hAnsi="Arial" w:cs="Arial"/>
                <w:lang w:val="it-IT"/>
              </w:rPr>
              <w:t>Galindo-Silva &amp; Herrera-Idárraga (2023), Colombia</w:t>
            </w:r>
          </w:p>
        </w:tc>
        <w:tc>
          <w:tcPr>
            <w:tcW w:w="2683" w:type="dxa"/>
            <w:tcBorders>
              <w:top w:val="single" w:sz="12" w:space="0" w:color="auto"/>
            </w:tcBorders>
            <w:tcMar>
              <w:top w:w="20" w:type="dxa"/>
              <w:left w:w="20" w:type="dxa"/>
              <w:bottom w:w="20" w:type="dxa"/>
              <w:right w:w="20" w:type="dxa"/>
            </w:tcMar>
            <w:hideMark/>
          </w:tcPr>
          <w:p w14:paraId="02D45DA5" w14:textId="77777777" w:rsidR="00E44E40" w:rsidRPr="0046588C" w:rsidRDefault="00E44E40" w:rsidP="00BE24E0">
            <w:pPr>
              <w:jc w:val="both"/>
              <w:rPr>
                <w:rFonts w:ascii="Arial" w:hAnsi="Arial" w:cs="Arial"/>
              </w:rPr>
            </w:pPr>
            <w:r w:rsidRPr="0046588C">
              <w:rPr>
                <w:rFonts w:ascii="Arial" w:hAnsi="Arial" w:cs="Arial"/>
              </w:rPr>
              <w:t>Quasi-experimental (difference-in-discontinuities design)</w:t>
            </w:r>
          </w:p>
        </w:tc>
        <w:tc>
          <w:tcPr>
            <w:tcW w:w="0" w:type="auto"/>
            <w:tcBorders>
              <w:top w:val="single" w:sz="12" w:space="0" w:color="auto"/>
            </w:tcBorders>
            <w:tcMar>
              <w:top w:w="20" w:type="dxa"/>
              <w:left w:w="20" w:type="dxa"/>
              <w:bottom w:w="20" w:type="dxa"/>
              <w:right w:w="20" w:type="dxa"/>
            </w:tcMar>
            <w:hideMark/>
          </w:tcPr>
          <w:p w14:paraId="28193239" w14:textId="77777777" w:rsidR="00E44E40" w:rsidRPr="0046588C" w:rsidRDefault="00E44E40" w:rsidP="00BE24E0">
            <w:pPr>
              <w:jc w:val="both"/>
              <w:rPr>
                <w:rFonts w:ascii="Arial" w:hAnsi="Arial" w:cs="Arial"/>
              </w:rPr>
            </w:pPr>
            <w:r w:rsidRPr="0046588C">
              <w:rPr>
                <w:rFonts w:ascii="Arial" w:hAnsi="Arial" w:cs="Arial"/>
              </w:rPr>
              <w:t>Measures the causal effect of civic education on gender norms and labor participation.</w:t>
            </w:r>
          </w:p>
        </w:tc>
      </w:tr>
      <w:tr w:rsidR="00E44E40" w:rsidRPr="0046588C" w14:paraId="468983F0" w14:textId="77777777" w:rsidTr="00BE24E0">
        <w:trPr>
          <w:trHeight w:val="814"/>
        </w:trPr>
        <w:tc>
          <w:tcPr>
            <w:tcW w:w="3119" w:type="dxa"/>
            <w:tcMar>
              <w:top w:w="20" w:type="dxa"/>
              <w:left w:w="20" w:type="dxa"/>
              <w:bottom w:w="20" w:type="dxa"/>
              <w:right w:w="20" w:type="dxa"/>
            </w:tcMar>
            <w:hideMark/>
          </w:tcPr>
          <w:p w14:paraId="003B3304" w14:textId="77777777" w:rsidR="00E44E40" w:rsidRPr="0046588C" w:rsidRDefault="00E44E40" w:rsidP="00BE24E0">
            <w:pPr>
              <w:jc w:val="both"/>
              <w:rPr>
                <w:rFonts w:ascii="Arial" w:hAnsi="Arial" w:cs="Arial"/>
              </w:rPr>
            </w:pPr>
            <w:r w:rsidRPr="0046588C">
              <w:rPr>
                <w:rFonts w:ascii="Arial" w:hAnsi="Arial" w:cs="Arial"/>
              </w:rPr>
              <w:t>Canedo et al. (2020), OSS Communities</w:t>
            </w:r>
          </w:p>
        </w:tc>
        <w:tc>
          <w:tcPr>
            <w:tcW w:w="2683" w:type="dxa"/>
            <w:tcMar>
              <w:top w:w="20" w:type="dxa"/>
              <w:left w:w="20" w:type="dxa"/>
              <w:bottom w:w="20" w:type="dxa"/>
              <w:right w:w="20" w:type="dxa"/>
            </w:tcMar>
            <w:hideMark/>
          </w:tcPr>
          <w:p w14:paraId="7A20D0A1" w14:textId="77777777" w:rsidR="00E44E40" w:rsidRPr="0046588C" w:rsidRDefault="00E44E40" w:rsidP="00BE24E0">
            <w:pPr>
              <w:jc w:val="both"/>
              <w:rPr>
                <w:rFonts w:ascii="Arial" w:hAnsi="Arial" w:cs="Arial"/>
              </w:rPr>
            </w:pPr>
            <w:r w:rsidRPr="0046588C">
              <w:rPr>
                <w:rFonts w:ascii="Arial" w:hAnsi="Arial" w:cs="Arial"/>
              </w:rPr>
              <w:t>Mixed-methods (repository mining + survey)</w:t>
            </w:r>
          </w:p>
        </w:tc>
        <w:tc>
          <w:tcPr>
            <w:tcW w:w="0" w:type="auto"/>
            <w:tcMar>
              <w:top w:w="20" w:type="dxa"/>
              <w:left w:w="20" w:type="dxa"/>
              <w:bottom w:w="20" w:type="dxa"/>
              <w:right w:w="20" w:type="dxa"/>
            </w:tcMar>
            <w:hideMark/>
          </w:tcPr>
          <w:p w14:paraId="57F0A8D3" w14:textId="77777777" w:rsidR="00E44E40" w:rsidRPr="0046588C" w:rsidRDefault="00E44E40" w:rsidP="00BE24E0">
            <w:pPr>
              <w:jc w:val="both"/>
              <w:rPr>
                <w:rFonts w:ascii="Arial" w:hAnsi="Arial" w:cs="Arial"/>
              </w:rPr>
            </w:pPr>
            <w:r w:rsidRPr="0046588C">
              <w:rPr>
                <w:rFonts w:ascii="Arial" w:hAnsi="Arial" w:cs="Arial"/>
              </w:rPr>
              <w:t>Quantifies participation patterns and explores perceptions of women developers in a male-dominated digital sector.</w:t>
            </w:r>
          </w:p>
        </w:tc>
      </w:tr>
      <w:tr w:rsidR="00E44E40" w:rsidRPr="0046588C" w14:paraId="58EF9A8A" w14:textId="77777777" w:rsidTr="00BE24E0">
        <w:trPr>
          <w:trHeight w:val="1237"/>
        </w:trPr>
        <w:tc>
          <w:tcPr>
            <w:tcW w:w="3119" w:type="dxa"/>
            <w:tcMar>
              <w:top w:w="20" w:type="dxa"/>
              <w:left w:w="20" w:type="dxa"/>
              <w:bottom w:w="20" w:type="dxa"/>
              <w:right w:w="20" w:type="dxa"/>
            </w:tcMar>
            <w:hideMark/>
          </w:tcPr>
          <w:p w14:paraId="24976D80" w14:textId="77777777" w:rsidR="00E44E40" w:rsidRPr="0046588C" w:rsidRDefault="00E44E40" w:rsidP="00BE24E0">
            <w:pPr>
              <w:jc w:val="both"/>
              <w:rPr>
                <w:rFonts w:ascii="Arial" w:hAnsi="Arial" w:cs="Arial"/>
              </w:rPr>
            </w:pPr>
            <w:r w:rsidRPr="0046588C">
              <w:rPr>
                <w:rFonts w:ascii="Arial" w:hAnsi="Arial" w:cs="Arial"/>
              </w:rPr>
              <w:t>Gender Participation in the Sustainable Management of Resources within Upland Agroforests, La Union (Philippines)</w:t>
            </w:r>
          </w:p>
        </w:tc>
        <w:tc>
          <w:tcPr>
            <w:tcW w:w="2683" w:type="dxa"/>
            <w:tcMar>
              <w:top w:w="20" w:type="dxa"/>
              <w:left w:w="20" w:type="dxa"/>
              <w:bottom w:w="20" w:type="dxa"/>
              <w:right w:w="20" w:type="dxa"/>
            </w:tcMar>
            <w:hideMark/>
          </w:tcPr>
          <w:p w14:paraId="60507CC6" w14:textId="77777777" w:rsidR="00E44E40" w:rsidRPr="0046588C" w:rsidRDefault="00E44E40" w:rsidP="00BE24E0">
            <w:pPr>
              <w:jc w:val="both"/>
              <w:rPr>
                <w:rFonts w:ascii="Arial" w:hAnsi="Arial" w:cs="Arial"/>
              </w:rPr>
            </w:pPr>
            <w:r w:rsidRPr="0046588C">
              <w:rPr>
                <w:rFonts w:ascii="Arial" w:hAnsi="Arial" w:cs="Arial"/>
              </w:rPr>
              <w:t>Descriptive survey design</w:t>
            </w:r>
          </w:p>
        </w:tc>
        <w:tc>
          <w:tcPr>
            <w:tcW w:w="0" w:type="auto"/>
            <w:tcMar>
              <w:top w:w="20" w:type="dxa"/>
              <w:left w:w="20" w:type="dxa"/>
              <w:bottom w:w="20" w:type="dxa"/>
              <w:right w:w="20" w:type="dxa"/>
            </w:tcMar>
            <w:hideMark/>
          </w:tcPr>
          <w:p w14:paraId="0ACF9764" w14:textId="77777777" w:rsidR="00E44E40" w:rsidRPr="0046588C" w:rsidRDefault="00E44E40" w:rsidP="00BE24E0">
            <w:pPr>
              <w:jc w:val="both"/>
              <w:rPr>
                <w:rFonts w:ascii="Arial" w:hAnsi="Arial" w:cs="Arial"/>
              </w:rPr>
            </w:pPr>
            <w:r w:rsidRPr="0046588C">
              <w:rPr>
                <w:rFonts w:ascii="Arial" w:hAnsi="Arial" w:cs="Arial"/>
              </w:rPr>
              <w:t>Examines gender participation and decision-making in community-based agroforestry systems.</w:t>
            </w:r>
          </w:p>
        </w:tc>
      </w:tr>
      <w:tr w:rsidR="00E44E40" w:rsidRPr="0046588C" w14:paraId="1D710E3D" w14:textId="77777777" w:rsidTr="00BE24E0">
        <w:trPr>
          <w:trHeight w:val="724"/>
        </w:trPr>
        <w:tc>
          <w:tcPr>
            <w:tcW w:w="3119" w:type="dxa"/>
            <w:tcMar>
              <w:top w:w="20" w:type="dxa"/>
              <w:left w:w="20" w:type="dxa"/>
              <w:bottom w:w="20" w:type="dxa"/>
              <w:right w:w="20" w:type="dxa"/>
            </w:tcMar>
            <w:hideMark/>
          </w:tcPr>
          <w:p w14:paraId="7B087759" w14:textId="77777777" w:rsidR="00E44E40" w:rsidRPr="0046588C" w:rsidRDefault="00E44E40" w:rsidP="00BE24E0">
            <w:pPr>
              <w:jc w:val="both"/>
              <w:rPr>
                <w:rFonts w:ascii="Arial" w:hAnsi="Arial" w:cs="Arial"/>
              </w:rPr>
            </w:pPr>
            <w:r w:rsidRPr="0046588C">
              <w:rPr>
                <w:rFonts w:ascii="Arial" w:hAnsi="Arial" w:cs="Arial"/>
              </w:rPr>
              <w:t>Asian Disaster Preparedness Center (2023), Bangladesh</w:t>
            </w:r>
          </w:p>
        </w:tc>
        <w:tc>
          <w:tcPr>
            <w:tcW w:w="2683" w:type="dxa"/>
            <w:tcMar>
              <w:top w:w="20" w:type="dxa"/>
              <w:left w:w="20" w:type="dxa"/>
              <w:bottom w:w="20" w:type="dxa"/>
              <w:right w:w="20" w:type="dxa"/>
            </w:tcMar>
            <w:hideMark/>
          </w:tcPr>
          <w:p w14:paraId="0ED77BA9" w14:textId="77777777" w:rsidR="00E44E40" w:rsidRPr="0046588C" w:rsidRDefault="00E44E40" w:rsidP="00BE24E0">
            <w:pPr>
              <w:jc w:val="both"/>
              <w:rPr>
                <w:rFonts w:ascii="Arial" w:hAnsi="Arial" w:cs="Arial"/>
              </w:rPr>
            </w:pPr>
            <w:r w:rsidRPr="0046588C">
              <w:rPr>
                <w:rFonts w:ascii="Arial" w:hAnsi="Arial" w:cs="Arial"/>
              </w:rPr>
              <w:t>Policy review + stakeholder consultations</w:t>
            </w:r>
          </w:p>
        </w:tc>
        <w:tc>
          <w:tcPr>
            <w:tcW w:w="0" w:type="auto"/>
            <w:tcMar>
              <w:top w:w="20" w:type="dxa"/>
              <w:left w:w="20" w:type="dxa"/>
              <w:bottom w:w="20" w:type="dxa"/>
              <w:right w:w="20" w:type="dxa"/>
            </w:tcMar>
            <w:hideMark/>
          </w:tcPr>
          <w:p w14:paraId="7BAFAC47" w14:textId="77777777" w:rsidR="00E44E40" w:rsidRPr="0046588C" w:rsidRDefault="00E44E40" w:rsidP="00BE24E0">
            <w:pPr>
              <w:jc w:val="both"/>
              <w:rPr>
                <w:rFonts w:ascii="Arial" w:hAnsi="Arial" w:cs="Arial"/>
              </w:rPr>
            </w:pPr>
            <w:r w:rsidRPr="0046588C">
              <w:rPr>
                <w:rFonts w:ascii="Arial" w:hAnsi="Arial" w:cs="Arial"/>
              </w:rPr>
              <w:t>Assesses how gender considerations are embedded in climate-resilient agricultural policies.</w:t>
            </w:r>
          </w:p>
        </w:tc>
      </w:tr>
    </w:tbl>
    <w:p w14:paraId="153C0A1D" w14:textId="77777777" w:rsidR="00E44E40" w:rsidRPr="0046588C" w:rsidRDefault="00E44E40" w:rsidP="00E44E40">
      <w:pPr>
        <w:jc w:val="both"/>
        <w:rPr>
          <w:rFonts w:ascii="Arial" w:hAnsi="Arial" w:cs="Arial"/>
          <w:b/>
          <w:bCs/>
          <w:i/>
          <w:iCs/>
        </w:rPr>
      </w:pPr>
    </w:p>
    <w:p w14:paraId="6657940C" w14:textId="77777777" w:rsidR="00E44E40" w:rsidRPr="0046588C" w:rsidRDefault="00E44E40" w:rsidP="00E44E40">
      <w:pPr>
        <w:pStyle w:val="Body"/>
        <w:spacing w:after="0"/>
        <w:ind w:firstLine="720"/>
        <w:rPr>
          <w:rFonts w:ascii="Arial" w:hAnsi="Arial" w:cs="Arial"/>
        </w:rPr>
      </w:pPr>
    </w:p>
    <w:p w14:paraId="16510392" w14:textId="3AD23DA6" w:rsidR="00AA74E0" w:rsidRPr="0046588C" w:rsidRDefault="00AA74E0" w:rsidP="00441B6F">
      <w:pPr>
        <w:pStyle w:val="Body"/>
        <w:spacing w:after="0"/>
        <w:rPr>
          <w:rFonts w:ascii="Arial" w:hAnsi="Arial" w:cs="Arial"/>
          <w:b/>
          <w:sz w:val="22"/>
        </w:rPr>
      </w:pPr>
      <w:r w:rsidRPr="0046588C">
        <w:rPr>
          <w:rFonts w:ascii="Arial" w:hAnsi="Arial" w:cs="Arial"/>
          <w:b/>
          <w:caps/>
          <w:sz w:val="22"/>
        </w:rPr>
        <w:t xml:space="preserve">2.1 </w:t>
      </w:r>
      <w:r w:rsidR="00E44E40" w:rsidRPr="0046588C">
        <w:rPr>
          <w:rFonts w:ascii="Arial" w:hAnsi="Arial" w:cs="Arial"/>
          <w:b/>
          <w:sz w:val="22"/>
        </w:rPr>
        <w:t>Data Sources and Sampling Procedures</w:t>
      </w:r>
    </w:p>
    <w:p w14:paraId="5A839FD0" w14:textId="77777777" w:rsidR="00E44E40" w:rsidRPr="0046588C" w:rsidRDefault="00E44E40" w:rsidP="00441B6F">
      <w:pPr>
        <w:pStyle w:val="Body"/>
        <w:spacing w:after="0"/>
        <w:rPr>
          <w:rFonts w:ascii="Arial" w:hAnsi="Arial" w:cs="Arial"/>
        </w:rPr>
      </w:pPr>
    </w:p>
    <w:p w14:paraId="41D794EB" w14:textId="3928F5B0" w:rsidR="00E44E40" w:rsidRPr="0046588C" w:rsidRDefault="00E44E40" w:rsidP="00E44E40">
      <w:pPr>
        <w:pStyle w:val="Body"/>
        <w:ind w:firstLine="720"/>
        <w:rPr>
          <w:rFonts w:ascii="Arial" w:hAnsi="Arial" w:cs="Arial"/>
        </w:rPr>
      </w:pPr>
      <w:r w:rsidRPr="0046588C">
        <w:rPr>
          <w:rFonts w:ascii="Arial" w:hAnsi="Arial" w:cs="Arial"/>
        </w:rPr>
        <w:t xml:space="preserve">The four studies used a wide range of data sources, from policy reports and local interviews to web archives and national surveys, reflecting the complexity of gender studies. Large datasets such as the Grand </w:t>
      </w:r>
      <w:proofErr w:type="spellStart"/>
      <w:r w:rsidRPr="0046588C">
        <w:rPr>
          <w:rFonts w:ascii="Arial" w:hAnsi="Arial" w:cs="Arial"/>
        </w:rPr>
        <w:t>Encuesta</w:t>
      </w:r>
      <w:proofErr w:type="spellEnd"/>
      <w:r w:rsidRPr="0046588C">
        <w:rPr>
          <w:rFonts w:ascii="Arial" w:hAnsi="Arial" w:cs="Arial"/>
        </w:rPr>
        <w:t xml:space="preserve"> </w:t>
      </w:r>
      <w:proofErr w:type="spellStart"/>
      <w:r w:rsidRPr="0046588C">
        <w:rPr>
          <w:rFonts w:ascii="Arial" w:hAnsi="Arial" w:cs="Arial"/>
        </w:rPr>
        <w:t>Integrada</w:t>
      </w:r>
      <w:proofErr w:type="spellEnd"/>
      <w:r w:rsidRPr="0046588C">
        <w:rPr>
          <w:rFonts w:ascii="Arial" w:hAnsi="Arial" w:cs="Arial"/>
        </w:rPr>
        <w:t xml:space="preserve"> de </w:t>
      </w:r>
      <w:proofErr w:type="spellStart"/>
      <w:r w:rsidRPr="0046588C">
        <w:rPr>
          <w:rFonts w:ascii="Arial" w:hAnsi="Arial" w:cs="Arial"/>
        </w:rPr>
        <w:t>Hogares</w:t>
      </w:r>
      <w:proofErr w:type="spellEnd"/>
      <w:r w:rsidRPr="0046588C">
        <w:rPr>
          <w:rFonts w:ascii="Arial" w:hAnsi="Arial" w:cs="Arial"/>
        </w:rPr>
        <w:t xml:space="preserve"> (GEIH) and the Political Culture Survey in Colombia allowed for longitudinal comparison across shifting gender norms and provided representative data by age. Data were gathered from 711 GitHub projects and a survey of 35 active female developers in open-source software communities, combining qualitative and quantitative participation metrics. Focus Group Discussions (FGD) and structured questionnaires were used to gather data from 145 participants in La Union, Philippines, including farming families and barangay officials. Over thirty policy documents were examined in Bangladesh. National stakeholder workshops that evaluated inclusivity and usefulness validated the findings.</w:t>
      </w:r>
    </w:p>
    <w:p w14:paraId="3D02BA20" w14:textId="0678CC13" w:rsidR="00505F06" w:rsidRPr="0046588C" w:rsidRDefault="00E44E40" w:rsidP="00E44E40">
      <w:pPr>
        <w:pStyle w:val="Body"/>
        <w:spacing w:after="0"/>
        <w:ind w:firstLine="720"/>
        <w:rPr>
          <w:rFonts w:ascii="Arial" w:hAnsi="Arial" w:cs="Arial"/>
        </w:rPr>
      </w:pPr>
      <w:r w:rsidRPr="0046588C">
        <w:rPr>
          <w:rFonts w:ascii="Arial" w:hAnsi="Arial" w:cs="Arial"/>
        </w:rPr>
        <w:t>To improve statistical and contextual understanding, this triangulation of sources combines local realities with aggregate evidence. Gender norms are generally changing, according to national surveys. Community interviews and focus group discussions (FGD) provide insight into how these norms are navigated in day-to-day interactions. The inclusion of policy briefs and digital participation statistics fills in the gaps between institutional and global contexts and personal experiences. This provides a foundation for evaluation and grounds quantitative patterns in real-world social dynamics.</w:t>
      </w:r>
    </w:p>
    <w:p w14:paraId="6BB2BF3A" w14:textId="77777777" w:rsidR="00E44E40" w:rsidRPr="0046588C" w:rsidRDefault="00E44E40" w:rsidP="00E44E40">
      <w:pPr>
        <w:pStyle w:val="Body"/>
        <w:spacing w:after="0"/>
        <w:rPr>
          <w:rFonts w:ascii="Arial" w:hAnsi="Arial" w:cs="Arial"/>
        </w:rPr>
      </w:pPr>
    </w:p>
    <w:p w14:paraId="25B90CDF" w14:textId="77777777" w:rsidR="00E44E40" w:rsidRPr="0046588C" w:rsidRDefault="00E44E40" w:rsidP="00E44E40">
      <w:pPr>
        <w:jc w:val="both"/>
        <w:rPr>
          <w:rFonts w:ascii="Arial" w:hAnsi="Arial" w:cs="Arial"/>
          <w:b/>
          <w:bCs/>
          <w:sz w:val="22"/>
          <w:szCs w:val="22"/>
        </w:rPr>
      </w:pPr>
      <w:r w:rsidRPr="0046588C">
        <w:rPr>
          <w:rFonts w:ascii="Arial" w:hAnsi="Arial" w:cs="Arial"/>
          <w:b/>
          <w:bCs/>
          <w:sz w:val="22"/>
          <w:szCs w:val="22"/>
        </w:rPr>
        <w:t>2.2 Data Analysis Methods</w:t>
      </w:r>
    </w:p>
    <w:p w14:paraId="07363CF0" w14:textId="77777777" w:rsidR="00E44E40" w:rsidRPr="0046588C" w:rsidRDefault="00E44E40" w:rsidP="00E44E40">
      <w:pPr>
        <w:pStyle w:val="Body"/>
        <w:spacing w:after="0"/>
        <w:rPr>
          <w:rFonts w:ascii="Arial" w:hAnsi="Arial" w:cs="Arial"/>
        </w:rPr>
      </w:pPr>
    </w:p>
    <w:p w14:paraId="7D900C35" w14:textId="55F7EEF9" w:rsidR="00E44E40" w:rsidRPr="0046588C" w:rsidRDefault="00E44E40" w:rsidP="00E44E40">
      <w:pPr>
        <w:pStyle w:val="Body"/>
        <w:ind w:firstLine="720"/>
        <w:rPr>
          <w:rFonts w:ascii="Arial" w:hAnsi="Arial" w:cs="Arial"/>
        </w:rPr>
      </w:pPr>
      <w:r w:rsidRPr="0046588C">
        <w:rPr>
          <w:rFonts w:ascii="Arial" w:hAnsi="Arial" w:cs="Arial"/>
        </w:rPr>
        <w:t xml:space="preserve">The methods collectively demonstrate how gender analysis is predicated on context sensitivity in addition to quantifiable indicators. While qualitative models look at the social meaning and power dynamics that underlie these trends, quantitative models focus on trends and differences in participation. By combining them, gender participation can be viewed as a reality influenced by community politics, policy, and culture rather than just a statistical phenomenon. </w:t>
      </w:r>
    </w:p>
    <w:p w14:paraId="63D71913" w14:textId="1A315ACC" w:rsidR="00E44E40" w:rsidRPr="0046588C" w:rsidRDefault="00E44E40" w:rsidP="00E44E40">
      <w:pPr>
        <w:pStyle w:val="Body"/>
        <w:spacing w:after="0"/>
        <w:rPr>
          <w:rFonts w:ascii="Arial" w:hAnsi="Arial" w:cs="Arial"/>
        </w:rPr>
      </w:pPr>
      <w:r w:rsidRPr="0046588C">
        <w:rPr>
          <w:rFonts w:ascii="Arial" w:hAnsi="Arial" w:cs="Arial"/>
        </w:rPr>
        <w:tab/>
        <w:t xml:space="preserve">The method used by all four of these studies to illustrate gender participation using empirical data and contextual understanding. Quantifiable patterns of inequality and participation that appear to be consistent across different populations are revealed by the quantitative approach used in Colombia and OSS societies. The social meanings, perceptions, and decision-making processes that underlie quantitative findings are revealed by qualitative and participatory research </w:t>
      </w:r>
      <w:r w:rsidRPr="0046588C">
        <w:rPr>
          <w:rFonts w:ascii="Arial" w:hAnsi="Arial" w:cs="Arial"/>
        </w:rPr>
        <w:lastRenderedPageBreak/>
        <w:t>conducted in Bangladesh and La Union, on the other hand. By combining the two points of view, this review contrasts local and global contexts and establishes a solid foundation for comprehending how gender roles influence involvement in resource management and sustainable agriculture. The final section synthesizes the findings and themes of these studies and illustrates how community-level engagement, policy, and culture support women's participation and leadership in various contexts.</w:t>
      </w:r>
    </w:p>
    <w:p w14:paraId="229FED9E" w14:textId="77777777" w:rsidR="00E44E40" w:rsidRPr="0046588C" w:rsidRDefault="00E44E40" w:rsidP="00E44E40">
      <w:pPr>
        <w:pStyle w:val="Body"/>
        <w:spacing w:after="0"/>
        <w:rPr>
          <w:rFonts w:ascii="Arial" w:hAnsi="Arial" w:cs="Arial"/>
        </w:rPr>
      </w:pPr>
    </w:p>
    <w:p w14:paraId="3145099F" w14:textId="77777777" w:rsidR="00E44E40" w:rsidRPr="0046588C" w:rsidRDefault="00E44E40" w:rsidP="00E44E40">
      <w:pPr>
        <w:rPr>
          <w:rFonts w:ascii="Arial" w:hAnsi="Arial" w:cs="Arial"/>
          <w:b/>
          <w:bCs/>
        </w:rPr>
      </w:pPr>
      <w:r w:rsidRPr="0046588C">
        <w:rPr>
          <w:rFonts w:ascii="Arial" w:hAnsi="Arial" w:cs="Arial"/>
          <w:b/>
          <w:bCs/>
        </w:rPr>
        <w:t xml:space="preserve">Table 4. </w:t>
      </w:r>
      <w:r w:rsidRPr="0046588C">
        <w:rPr>
          <w:rFonts w:ascii="Arial" w:hAnsi="Arial" w:cs="Arial"/>
          <w:b/>
          <w:bCs/>
        </w:rPr>
        <w:tab/>
        <w:t xml:space="preserve">Data Analysis Methods </w:t>
      </w:r>
    </w:p>
    <w:p w14:paraId="408ED5AE" w14:textId="77777777" w:rsidR="00E44E40" w:rsidRPr="0046588C" w:rsidRDefault="00E44E40" w:rsidP="00E44E40">
      <w:pPr>
        <w:rPr>
          <w:rFonts w:ascii="Arial" w:hAnsi="Arial" w:cs="Arial"/>
          <w:b/>
          <w:bCs/>
        </w:rPr>
      </w:pPr>
    </w:p>
    <w:tbl>
      <w:tblPr>
        <w:tblW w:w="0" w:type="auto"/>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694"/>
        <w:gridCol w:w="2078"/>
        <w:gridCol w:w="6028"/>
      </w:tblGrid>
      <w:tr w:rsidR="00E44E40" w:rsidRPr="0046588C" w14:paraId="6A5F97FD" w14:textId="77777777" w:rsidTr="00BE24E0">
        <w:trPr>
          <w:trHeight w:val="195"/>
        </w:trPr>
        <w:tc>
          <w:tcPr>
            <w:tcW w:w="2694" w:type="dxa"/>
            <w:tcBorders>
              <w:top w:val="single" w:sz="12" w:space="0" w:color="auto"/>
              <w:bottom w:val="single" w:sz="12" w:space="0" w:color="auto"/>
            </w:tcBorders>
            <w:tcMar>
              <w:top w:w="20" w:type="dxa"/>
              <w:left w:w="20" w:type="dxa"/>
              <w:bottom w:w="20" w:type="dxa"/>
              <w:right w:w="20" w:type="dxa"/>
            </w:tcMar>
            <w:hideMark/>
          </w:tcPr>
          <w:p w14:paraId="42A84189" w14:textId="77777777" w:rsidR="00E44E40" w:rsidRPr="0046588C" w:rsidRDefault="00E44E40" w:rsidP="00BE24E0">
            <w:pPr>
              <w:jc w:val="center"/>
              <w:rPr>
                <w:rFonts w:ascii="Arial" w:hAnsi="Arial" w:cs="Arial"/>
              </w:rPr>
            </w:pPr>
            <w:r w:rsidRPr="0046588C">
              <w:rPr>
                <w:rFonts w:ascii="Arial" w:hAnsi="Arial" w:cs="Arial"/>
                <w:b/>
                <w:bCs/>
              </w:rPr>
              <w:t>Type of Analysis</w:t>
            </w:r>
          </w:p>
        </w:tc>
        <w:tc>
          <w:tcPr>
            <w:tcW w:w="2078" w:type="dxa"/>
            <w:tcBorders>
              <w:top w:val="single" w:sz="12" w:space="0" w:color="auto"/>
              <w:bottom w:val="single" w:sz="12" w:space="0" w:color="auto"/>
            </w:tcBorders>
            <w:tcMar>
              <w:top w:w="20" w:type="dxa"/>
              <w:left w:w="20" w:type="dxa"/>
              <w:bottom w:w="20" w:type="dxa"/>
              <w:right w:w="20" w:type="dxa"/>
            </w:tcMar>
            <w:hideMark/>
          </w:tcPr>
          <w:p w14:paraId="4BE70FFE" w14:textId="77777777" w:rsidR="00E44E40" w:rsidRPr="0046588C" w:rsidRDefault="00E44E40" w:rsidP="00BE24E0">
            <w:pPr>
              <w:jc w:val="center"/>
              <w:rPr>
                <w:rFonts w:ascii="Arial" w:hAnsi="Arial" w:cs="Arial"/>
              </w:rPr>
            </w:pPr>
            <w:r w:rsidRPr="0046588C">
              <w:rPr>
                <w:rFonts w:ascii="Arial" w:hAnsi="Arial" w:cs="Arial"/>
                <w:b/>
                <w:bCs/>
              </w:rPr>
              <w:t xml:space="preserve">Studies </w:t>
            </w:r>
          </w:p>
        </w:tc>
        <w:tc>
          <w:tcPr>
            <w:tcW w:w="0" w:type="auto"/>
            <w:tcBorders>
              <w:top w:val="single" w:sz="12" w:space="0" w:color="auto"/>
              <w:bottom w:val="single" w:sz="12" w:space="0" w:color="auto"/>
            </w:tcBorders>
            <w:tcMar>
              <w:top w:w="20" w:type="dxa"/>
              <w:left w:w="20" w:type="dxa"/>
              <w:bottom w:w="20" w:type="dxa"/>
              <w:right w:w="20" w:type="dxa"/>
            </w:tcMar>
            <w:hideMark/>
          </w:tcPr>
          <w:p w14:paraId="7A5D5A56" w14:textId="77777777" w:rsidR="00E44E40" w:rsidRPr="0046588C" w:rsidRDefault="00E44E40" w:rsidP="00BE24E0">
            <w:pPr>
              <w:jc w:val="center"/>
              <w:rPr>
                <w:rFonts w:ascii="Arial" w:hAnsi="Arial" w:cs="Arial"/>
              </w:rPr>
            </w:pPr>
            <w:r w:rsidRPr="0046588C">
              <w:rPr>
                <w:rFonts w:ascii="Arial" w:hAnsi="Arial" w:cs="Arial"/>
                <w:b/>
                <w:bCs/>
              </w:rPr>
              <w:t>Analytical Focus</w:t>
            </w:r>
          </w:p>
        </w:tc>
      </w:tr>
      <w:tr w:rsidR="00E44E40" w:rsidRPr="0046588C" w14:paraId="69671984" w14:textId="77777777" w:rsidTr="00BE24E0">
        <w:trPr>
          <w:trHeight w:val="840"/>
        </w:trPr>
        <w:tc>
          <w:tcPr>
            <w:tcW w:w="2694" w:type="dxa"/>
            <w:tcBorders>
              <w:top w:val="single" w:sz="12" w:space="0" w:color="auto"/>
            </w:tcBorders>
            <w:tcMar>
              <w:top w:w="20" w:type="dxa"/>
              <w:left w:w="20" w:type="dxa"/>
              <w:bottom w:w="20" w:type="dxa"/>
              <w:right w:w="20" w:type="dxa"/>
            </w:tcMar>
            <w:hideMark/>
          </w:tcPr>
          <w:p w14:paraId="7056C3C3" w14:textId="77777777" w:rsidR="00E44E40" w:rsidRPr="0046588C" w:rsidRDefault="00E44E40" w:rsidP="00BE24E0">
            <w:pPr>
              <w:jc w:val="both"/>
              <w:rPr>
                <w:rFonts w:ascii="Arial" w:hAnsi="Arial" w:cs="Arial"/>
              </w:rPr>
            </w:pPr>
            <w:r w:rsidRPr="0046588C">
              <w:rPr>
                <w:rFonts w:ascii="Arial" w:hAnsi="Arial" w:cs="Arial"/>
              </w:rPr>
              <w:t>Econometric / Statistical</w:t>
            </w:r>
          </w:p>
        </w:tc>
        <w:tc>
          <w:tcPr>
            <w:tcW w:w="2078" w:type="dxa"/>
            <w:tcBorders>
              <w:top w:val="single" w:sz="12" w:space="0" w:color="auto"/>
            </w:tcBorders>
            <w:tcMar>
              <w:top w:w="20" w:type="dxa"/>
              <w:left w:w="20" w:type="dxa"/>
              <w:bottom w:w="20" w:type="dxa"/>
              <w:right w:w="20" w:type="dxa"/>
            </w:tcMar>
            <w:hideMark/>
          </w:tcPr>
          <w:p w14:paraId="4BA0FD89" w14:textId="77777777" w:rsidR="00E44E40" w:rsidRPr="0046588C" w:rsidRDefault="00E44E40" w:rsidP="00BE24E0">
            <w:pPr>
              <w:jc w:val="both"/>
              <w:rPr>
                <w:rFonts w:ascii="Arial" w:hAnsi="Arial" w:cs="Arial"/>
              </w:rPr>
            </w:pPr>
            <w:r w:rsidRPr="0046588C">
              <w:rPr>
                <w:rFonts w:ascii="Arial" w:hAnsi="Arial" w:cs="Arial"/>
              </w:rPr>
              <w:t>Colombia</w:t>
            </w:r>
          </w:p>
        </w:tc>
        <w:tc>
          <w:tcPr>
            <w:tcW w:w="0" w:type="auto"/>
            <w:tcBorders>
              <w:top w:val="single" w:sz="12" w:space="0" w:color="auto"/>
            </w:tcBorders>
            <w:tcMar>
              <w:top w:w="20" w:type="dxa"/>
              <w:left w:w="20" w:type="dxa"/>
              <w:bottom w:w="20" w:type="dxa"/>
              <w:right w:w="20" w:type="dxa"/>
            </w:tcMar>
            <w:hideMark/>
          </w:tcPr>
          <w:p w14:paraId="7A2B479C" w14:textId="77777777" w:rsidR="00E44E40" w:rsidRPr="0046588C" w:rsidRDefault="00E44E40" w:rsidP="00BE24E0">
            <w:pPr>
              <w:jc w:val="both"/>
              <w:rPr>
                <w:rFonts w:ascii="Arial" w:hAnsi="Arial" w:cs="Arial"/>
              </w:rPr>
            </w:pPr>
            <w:r w:rsidRPr="0046588C">
              <w:rPr>
                <w:rFonts w:ascii="Arial" w:hAnsi="Arial" w:cs="Arial"/>
              </w:rPr>
              <w:t>Estimates causal impacts of civic education on women’s labor participation and equality attitudes.</w:t>
            </w:r>
          </w:p>
        </w:tc>
      </w:tr>
      <w:tr w:rsidR="00E44E40" w:rsidRPr="0046588C" w14:paraId="4AE0C393" w14:textId="77777777" w:rsidTr="00BE24E0">
        <w:trPr>
          <w:trHeight w:val="840"/>
        </w:trPr>
        <w:tc>
          <w:tcPr>
            <w:tcW w:w="2694" w:type="dxa"/>
            <w:tcMar>
              <w:top w:w="20" w:type="dxa"/>
              <w:left w:w="20" w:type="dxa"/>
              <w:bottom w:w="20" w:type="dxa"/>
              <w:right w:w="20" w:type="dxa"/>
            </w:tcMar>
            <w:hideMark/>
          </w:tcPr>
          <w:p w14:paraId="334AC1E2" w14:textId="77777777" w:rsidR="00E44E40" w:rsidRPr="0046588C" w:rsidRDefault="00E44E40" w:rsidP="00BE24E0">
            <w:pPr>
              <w:jc w:val="both"/>
              <w:rPr>
                <w:rFonts w:ascii="Arial" w:hAnsi="Arial" w:cs="Arial"/>
              </w:rPr>
            </w:pPr>
            <w:r w:rsidRPr="0046588C">
              <w:rPr>
                <w:rFonts w:ascii="Arial" w:hAnsi="Arial" w:cs="Arial"/>
              </w:rPr>
              <w:t>Exploratory and Non-Parametric Statistics</w:t>
            </w:r>
          </w:p>
        </w:tc>
        <w:tc>
          <w:tcPr>
            <w:tcW w:w="2078" w:type="dxa"/>
            <w:tcMar>
              <w:top w:w="20" w:type="dxa"/>
              <w:left w:w="20" w:type="dxa"/>
              <w:bottom w:w="20" w:type="dxa"/>
              <w:right w:w="20" w:type="dxa"/>
            </w:tcMar>
            <w:hideMark/>
          </w:tcPr>
          <w:p w14:paraId="55FCC847" w14:textId="77777777" w:rsidR="00E44E40" w:rsidRPr="0046588C" w:rsidRDefault="00E44E40" w:rsidP="00BE24E0">
            <w:pPr>
              <w:jc w:val="both"/>
              <w:rPr>
                <w:rFonts w:ascii="Arial" w:hAnsi="Arial" w:cs="Arial"/>
              </w:rPr>
            </w:pPr>
            <w:r w:rsidRPr="0046588C">
              <w:rPr>
                <w:rFonts w:ascii="Arial" w:hAnsi="Arial" w:cs="Arial"/>
              </w:rPr>
              <w:t>Open-source Software (OSS) Communities</w:t>
            </w:r>
          </w:p>
        </w:tc>
        <w:tc>
          <w:tcPr>
            <w:tcW w:w="0" w:type="auto"/>
            <w:tcMar>
              <w:top w:w="20" w:type="dxa"/>
              <w:left w:w="20" w:type="dxa"/>
              <w:bottom w:w="20" w:type="dxa"/>
              <w:right w:w="20" w:type="dxa"/>
            </w:tcMar>
            <w:hideMark/>
          </w:tcPr>
          <w:p w14:paraId="5D9C2914" w14:textId="77777777" w:rsidR="00E44E40" w:rsidRPr="0046588C" w:rsidRDefault="00E44E40" w:rsidP="00BE24E0">
            <w:pPr>
              <w:jc w:val="both"/>
              <w:rPr>
                <w:rFonts w:ascii="Arial" w:hAnsi="Arial" w:cs="Arial"/>
              </w:rPr>
            </w:pPr>
            <w:r w:rsidRPr="0046588C">
              <w:rPr>
                <w:rFonts w:ascii="Arial" w:hAnsi="Arial" w:cs="Arial"/>
              </w:rPr>
              <w:t>Compares work patterns and recognition between male and female developers.</w:t>
            </w:r>
          </w:p>
        </w:tc>
      </w:tr>
      <w:tr w:rsidR="00E44E40" w:rsidRPr="0046588C" w14:paraId="6B09C9AD" w14:textId="77777777" w:rsidTr="00BE24E0">
        <w:trPr>
          <w:trHeight w:val="585"/>
        </w:trPr>
        <w:tc>
          <w:tcPr>
            <w:tcW w:w="2694" w:type="dxa"/>
            <w:tcMar>
              <w:top w:w="20" w:type="dxa"/>
              <w:left w:w="20" w:type="dxa"/>
              <w:bottom w:w="20" w:type="dxa"/>
              <w:right w:w="20" w:type="dxa"/>
            </w:tcMar>
            <w:hideMark/>
          </w:tcPr>
          <w:p w14:paraId="2BBBBA0B" w14:textId="77777777" w:rsidR="00E44E40" w:rsidRPr="0046588C" w:rsidRDefault="00E44E40" w:rsidP="00BE24E0">
            <w:pPr>
              <w:jc w:val="both"/>
              <w:rPr>
                <w:rFonts w:ascii="Arial" w:hAnsi="Arial" w:cs="Arial"/>
              </w:rPr>
            </w:pPr>
            <w:r w:rsidRPr="0046588C">
              <w:rPr>
                <w:rFonts w:ascii="Arial" w:hAnsi="Arial" w:cs="Arial"/>
              </w:rPr>
              <w:t>Descriptive Statistics</w:t>
            </w:r>
          </w:p>
        </w:tc>
        <w:tc>
          <w:tcPr>
            <w:tcW w:w="2078" w:type="dxa"/>
            <w:tcMar>
              <w:top w:w="20" w:type="dxa"/>
              <w:left w:w="20" w:type="dxa"/>
              <w:bottom w:w="20" w:type="dxa"/>
              <w:right w:w="20" w:type="dxa"/>
            </w:tcMar>
            <w:hideMark/>
          </w:tcPr>
          <w:p w14:paraId="5BDCF117" w14:textId="77777777" w:rsidR="00E44E40" w:rsidRPr="0046588C" w:rsidRDefault="00E44E40" w:rsidP="00BE24E0">
            <w:pPr>
              <w:jc w:val="both"/>
              <w:rPr>
                <w:rFonts w:ascii="Arial" w:hAnsi="Arial" w:cs="Arial"/>
              </w:rPr>
            </w:pPr>
            <w:r w:rsidRPr="0046588C">
              <w:rPr>
                <w:rFonts w:ascii="Arial" w:hAnsi="Arial" w:cs="Arial"/>
              </w:rPr>
              <w:t>La Union Agroforestry</w:t>
            </w:r>
          </w:p>
        </w:tc>
        <w:tc>
          <w:tcPr>
            <w:tcW w:w="0" w:type="auto"/>
            <w:tcMar>
              <w:top w:w="20" w:type="dxa"/>
              <w:left w:w="20" w:type="dxa"/>
              <w:bottom w:w="20" w:type="dxa"/>
              <w:right w:w="20" w:type="dxa"/>
            </w:tcMar>
            <w:hideMark/>
          </w:tcPr>
          <w:p w14:paraId="4619E8EE" w14:textId="77777777" w:rsidR="00E44E40" w:rsidRPr="0046588C" w:rsidRDefault="00E44E40" w:rsidP="00BE24E0">
            <w:pPr>
              <w:jc w:val="both"/>
              <w:rPr>
                <w:rFonts w:ascii="Arial" w:hAnsi="Arial" w:cs="Arial"/>
              </w:rPr>
            </w:pPr>
            <w:r w:rsidRPr="0046588C">
              <w:rPr>
                <w:rFonts w:ascii="Arial" w:hAnsi="Arial" w:cs="Arial"/>
              </w:rPr>
              <w:t>Summarizes gender roles, tasks, and decision-making in resource management.</w:t>
            </w:r>
          </w:p>
        </w:tc>
      </w:tr>
      <w:tr w:rsidR="00E44E40" w:rsidRPr="0046588C" w14:paraId="62F2EC7B" w14:textId="77777777" w:rsidTr="00BE24E0">
        <w:trPr>
          <w:trHeight w:val="429"/>
        </w:trPr>
        <w:tc>
          <w:tcPr>
            <w:tcW w:w="2694" w:type="dxa"/>
            <w:tcMar>
              <w:top w:w="20" w:type="dxa"/>
              <w:left w:w="20" w:type="dxa"/>
              <w:bottom w:w="20" w:type="dxa"/>
              <w:right w:w="20" w:type="dxa"/>
            </w:tcMar>
            <w:hideMark/>
          </w:tcPr>
          <w:p w14:paraId="718ADC2B" w14:textId="77777777" w:rsidR="00E44E40" w:rsidRPr="0046588C" w:rsidRDefault="00E44E40" w:rsidP="00BE24E0">
            <w:pPr>
              <w:jc w:val="both"/>
              <w:rPr>
                <w:rFonts w:ascii="Arial" w:hAnsi="Arial" w:cs="Arial"/>
              </w:rPr>
            </w:pPr>
            <w:r w:rsidRPr="0046588C">
              <w:rPr>
                <w:rFonts w:ascii="Arial" w:hAnsi="Arial" w:cs="Arial"/>
              </w:rPr>
              <w:t>Content Analysis and Qualitative Validation</w:t>
            </w:r>
          </w:p>
        </w:tc>
        <w:tc>
          <w:tcPr>
            <w:tcW w:w="2078" w:type="dxa"/>
            <w:tcMar>
              <w:top w:w="20" w:type="dxa"/>
              <w:left w:w="20" w:type="dxa"/>
              <w:bottom w:w="20" w:type="dxa"/>
              <w:right w:w="20" w:type="dxa"/>
            </w:tcMar>
            <w:hideMark/>
          </w:tcPr>
          <w:p w14:paraId="772D543B" w14:textId="77777777" w:rsidR="00E44E40" w:rsidRPr="0046588C" w:rsidRDefault="00E44E40" w:rsidP="00BE24E0">
            <w:pPr>
              <w:jc w:val="both"/>
              <w:rPr>
                <w:rFonts w:ascii="Arial" w:hAnsi="Arial" w:cs="Arial"/>
              </w:rPr>
            </w:pPr>
            <w:r w:rsidRPr="0046588C">
              <w:rPr>
                <w:rFonts w:ascii="Arial" w:hAnsi="Arial" w:cs="Arial"/>
              </w:rPr>
              <w:t>Bangladesh</w:t>
            </w:r>
          </w:p>
        </w:tc>
        <w:tc>
          <w:tcPr>
            <w:tcW w:w="0" w:type="auto"/>
            <w:tcMar>
              <w:top w:w="20" w:type="dxa"/>
              <w:left w:w="20" w:type="dxa"/>
              <w:bottom w:w="20" w:type="dxa"/>
              <w:right w:w="20" w:type="dxa"/>
            </w:tcMar>
            <w:hideMark/>
          </w:tcPr>
          <w:p w14:paraId="210549F4" w14:textId="77777777" w:rsidR="00E44E40" w:rsidRPr="0046588C" w:rsidRDefault="00E44E40" w:rsidP="00BE24E0">
            <w:pPr>
              <w:jc w:val="both"/>
              <w:rPr>
                <w:rFonts w:ascii="Arial" w:hAnsi="Arial" w:cs="Arial"/>
              </w:rPr>
            </w:pPr>
            <w:r w:rsidRPr="0046588C">
              <w:rPr>
                <w:rFonts w:ascii="Arial" w:hAnsi="Arial" w:cs="Arial"/>
              </w:rPr>
              <w:t>Evaluates gender integration in agricultural and climate-resilience policies using inclusion criteria.</w:t>
            </w:r>
          </w:p>
        </w:tc>
      </w:tr>
    </w:tbl>
    <w:p w14:paraId="1C671888" w14:textId="77777777" w:rsidR="00E44E40" w:rsidRPr="0046588C" w:rsidRDefault="00E44E40" w:rsidP="00E44E40">
      <w:pPr>
        <w:jc w:val="both"/>
        <w:rPr>
          <w:rFonts w:ascii="Arial" w:hAnsi="Arial" w:cs="Arial"/>
          <w:b/>
          <w:bCs/>
        </w:rPr>
      </w:pPr>
    </w:p>
    <w:p w14:paraId="21887E6B" w14:textId="77777777" w:rsidR="00790ADA" w:rsidRPr="0046588C" w:rsidRDefault="00790ADA" w:rsidP="00441B6F">
      <w:pPr>
        <w:pStyle w:val="Body"/>
        <w:spacing w:after="0"/>
        <w:rPr>
          <w:rFonts w:ascii="Arial" w:hAnsi="Arial" w:cs="Arial"/>
        </w:rPr>
      </w:pPr>
    </w:p>
    <w:p w14:paraId="0C66A4F8" w14:textId="77777777" w:rsidR="00902823" w:rsidRPr="0046588C" w:rsidRDefault="00000F8F" w:rsidP="00441B6F">
      <w:pPr>
        <w:pStyle w:val="Head1"/>
        <w:spacing w:after="0"/>
        <w:jc w:val="both"/>
        <w:rPr>
          <w:rFonts w:ascii="Arial" w:hAnsi="Arial" w:cs="Arial"/>
        </w:rPr>
      </w:pPr>
      <w:r w:rsidRPr="0046588C">
        <w:rPr>
          <w:rFonts w:ascii="Arial" w:hAnsi="Arial" w:cs="Arial"/>
        </w:rPr>
        <w:t>3</w:t>
      </w:r>
      <w:r w:rsidR="00902823" w:rsidRPr="0046588C">
        <w:rPr>
          <w:rFonts w:ascii="Arial" w:hAnsi="Arial" w:cs="Arial"/>
        </w:rPr>
        <w:t xml:space="preserve">. </w:t>
      </w:r>
      <w:r w:rsidRPr="0046588C">
        <w:rPr>
          <w:rFonts w:ascii="Arial" w:hAnsi="Arial" w:cs="Arial"/>
        </w:rPr>
        <w:t>results and discussion</w:t>
      </w:r>
    </w:p>
    <w:p w14:paraId="58D36641" w14:textId="77777777" w:rsidR="00790ADA" w:rsidRPr="0046588C" w:rsidRDefault="00790ADA" w:rsidP="00441B6F">
      <w:pPr>
        <w:pStyle w:val="Head1"/>
        <w:spacing w:after="0"/>
        <w:jc w:val="both"/>
        <w:rPr>
          <w:rFonts w:ascii="Arial" w:hAnsi="Arial" w:cs="Arial"/>
        </w:rPr>
      </w:pPr>
    </w:p>
    <w:p w14:paraId="3CD3F8A7" w14:textId="77777777" w:rsidR="00E44E40" w:rsidRPr="0046588C" w:rsidRDefault="00E44E40" w:rsidP="00E44E40">
      <w:pPr>
        <w:pStyle w:val="Body"/>
        <w:ind w:firstLine="720"/>
        <w:rPr>
          <w:rFonts w:ascii="Arial" w:hAnsi="Arial" w:cs="Arial"/>
        </w:rPr>
      </w:pPr>
      <w:r w:rsidRPr="0046588C">
        <w:rPr>
          <w:rFonts w:ascii="Arial" w:hAnsi="Arial" w:cs="Arial"/>
        </w:rPr>
        <w:t>The synthesis of data from the four studies offered here brings out the multifaceted and context-specific gender roles in natural resource management and sustainable agriculture. Though the range and research approaches are varied among the studies, a common thread pervades them: gender equality has yet to change as a developmental goal and a social issue. Educational experience, organizational design, and policy actions have come a long way towards facilitating participation but the consistent continuation of structural and cultural barriers continues to preclude women from full participation and leadership in great segments of activity.</w:t>
      </w:r>
    </w:p>
    <w:p w14:paraId="2AF6FE34" w14:textId="77777777" w:rsidR="00E44E40" w:rsidRPr="0046588C" w:rsidRDefault="00E44E40" w:rsidP="00E44E40">
      <w:pPr>
        <w:pStyle w:val="Body"/>
        <w:ind w:firstLine="720"/>
        <w:rPr>
          <w:rFonts w:ascii="Arial" w:hAnsi="Arial" w:cs="Arial"/>
        </w:rPr>
      </w:pPr>
      <w:r w:rsidRPr="0046588C">
        <w:rPr>
          <w:rFonts w:ascii="Arial" w:hAnsi="Arial" w:cs="Arial"/>
        </w:rPr>
        <w:t>In Colombia, the quasi-experimental study by Galindo-Silva and Herrera-</w:t>
      </w:r>
      <w:proofErr w:type="spellStart"/>
      <w:r w:rsidRPr="0046588C">
        <w:rPr>
          <w:rFonts w:ascii="Arial" w:hAnsi="Arial" w:cs="Arial"/>
        </w:rPr>
        <w:t>Idárraga</w:t>
      </w:r>
      <w:proofErr w:type="spellEnd"/>
      <w:r w:rsidRPr="0046588C">
        <w:rPr>
          <w:rFonts w:ascii="Arial" w:hAnsi="Arial" w:cs="Arial"/>
        </w:rPr>
        <w:t xml:space="preserve"> (2023) demonstrates the ability of civic education to change gender attitudes and behavior. The research identified that gender-oriented civic education increased women's contribution to the labor market by 15% and gender attitudes more tolerant among youth. Although these findings are hopeful, the study also indicated that patriarchal values deeply ingrained especially within the family are largely resistant to change. The case illustrates that educational reform, though able to transform people's thinking about things, reinforces such gender transformation only as a long-term institutional process supported by the community.</w:t>
      </w:r>
    </w:p>
    <w:p w14:paraId="6082DB11" w14:textId="77777777" w:rsidR="00E44E40" w:rsidRPr="0046588C" w:rsidRDefault="00E44E40" w:rsidP="00E44E40">
      <w:pPr>
        <w:pStyle w:val="Body"/>
        <w:ind w:firstLine="720"/>
        <w:rPr>
          <w:rFonts w:ascii="Arial" w:hAnsi="Arial" w:cs="Arial"/>
        </w:rPr>
      </w:pPr>
      <w:r w:rsidRPr="0046588C">
        <w:rPr>
          <w:rFonts w:ascii="Arial" w:hAnsi="Arial" w:cs="Arial"/>
        </w:rPr>
        <w:t>In 2020, Canedo et al. shifted the focus toward gender inequities in Open-Source Software (OSS) communities in the non-farm sector. They noted that women still made up only a paltry 10% of the contributions, while the participation of women has been steadily rising. However, their contributions remained largely undervalued and overlooked compared with others from men, thus indicating structural discrimination within traditional work systems. This finding shows that, in addition to gender discrimination in physical environments, it prevails in the fast-growing realms of technology and virtuality, where women's contributions remain unequal in terms of access, visibility, and value.</w:t>
      </w:r>
    </w:p>
    <w:p w14:paraId="171B14A3" w14:textId="77777777" w:rsidR="00E44E40" w:rsidRPr="0046588C" w:rsidRDefault="00E44E40" w:rsidP="00E44E40">
      <w:pPr>
        <w:pStyle w:val="Body"/>
        <w:ind w:firstLine="720"/>
        <w:rPr>
          <w:rFonts w:ascii="Arial" w:hAnsi="Arial" w:cs="Arial"/>
        </w:rPr>
      </w:pPr>
      <w:r w:rsidRPr="0046588C">
        <w:rPr>
          <w:rFonts w:ascii="Arial" w:hAnsi="Arial" w:cs="Arial"/>
        </w:rPr>
        <w:t>At the community level, the La Union Philippines case study sheds light on the role of women in upland agroforestry systems. The survey indicates that women partake in daily farm work of planting, weeding, and harvesting but are poorly represented in leadership and decision-making positions. Out of the 145 respondents, 67% of the women were employed on farms, yet only 32% occupied decision-making positions within the community. This gap between high participation and poor leadership is consistent with a well-known observation that while women's contributions are recognized in terms of activity, they are often disregarded in considerations of power. These trends indicate that rural institutions need to enhance gender equity so that participation can improve in terms of both quantity and quality and affect decision-making.</w:t>
      </w:r>
    </w:p>
    <w:p w14:paraId="0AF16EE1" w14:textId="755F800E" w:rsidR="00E44E40" w:rsidRPr="0046588C" w:rsidRDefault="00E44E40" w:rsidP="00E44E40">
      <w:pPr>
        <w:pStyle w:val="Body"/>
        <w:ind w:firstLine="720"/>
        <w:rPr>
          <w:rFonts w:ascii="Arial" w:hAnsi="Arial" w:cs="Arial"/>
        </w:rPr>
      </w:pPr>
      <w:r w:rsidRPr="0046588C">
        <w:rPr>
          <w:rFonts w:ascii="Arial" w:hAnsi="Arial" w:cs="Arial"/>
        </w:rPr>
        <w:t xml:space="preserve">There are far gains and remaining challenges when integrating a gender lens into policies addressing climate-resilient agriculture, as per a 2023 review by the Asian Disaster Preparedness Center on Bangladesh. Eighty percent of the policies included gender reference, with clear evidence of implementation found only in 45%, illustrating that institutional commitment seldom results in real change. Nonetheless, Climate-Smart Agriculture (CSA) programs do show promise in expanding women’s services, education, and access to credit, and hence their ability to be knowledgeable, educated and </w:t>
      </w:r>
      <w:r w:rsidRPr="0046588C">
        <w:rPr>
          <w:rFonts w:ascii="Arial" w:hAnsi="Arial" w:cs="Arial"/>
        </w:rPr>
        <w:lastRenderedPageBreak/>
        <w:t>equal actors in the agricultural sector. In this sense, policy is an important ingredient for supporting ideas that enhance resilience, when complemented with adequate resourcing and regulation of integrating gender.</w:t>
      </w:r>
    </w:p>
    <w:p w14:paraId="6CB74566" w14:textId="6B375A3E" w:rsidR="00863BD3" w:rsidRPr="0046588C" w:rsidRDefault="00E44E40" w:rsidP="00E44E40">
      <w:pPr>
        <w:pStyle w:val="Body"/>
        <w:spacing w:after="0"/>
        <w:ind w:firstLine="720"/>
        <w:rPr>
          <w:rFonts w:ascii="Arial" w:hAnsi="Arial" w:cs="Arial"/>
        </w:rPr>
      </w:pPr>
      <w:r w:rsidRPr="0046588C">
        <w:rPr>
          <w:rFonts w:ascii="Arial" w:hAnsi="Arial" w:cs="Arial"/>
        </w:rPr>
        <w:t>The results illustrate that gender participation goes beyond mere representation or headcounts. Gender equity is achieved in defining who takes up decision-making roles, gets paid for work, and how participation normative views are then transformed. Although education, technology and policy change are strong forces for transformation, they don't do it by themselves. Real change happens when institutional changes are in harmony with cultural changes, which are pushed by the investing communities that actively participate in redefining the roles of women in governance, innovation, and employment.</w:t>
      </w:r>
    </w:p>
    <w:p w14:paraId="4EAE4AAC" w14:textId="77777777" w:rsidR="00E44E40" w:rsidRPr="0046588C" w:rsidRDefault="00E44E40" w:rsidP="00E44E40">
      <w:pPr>
        <w:pStyle w:val="Body"/>
        <w:spacing w:after="0"/>
        <w:ind w:firstLine="720"/>
        <w:rPr>
          <w:rFonts w:ascii="Arial" w:hAnsi="Arial" w:cs="Arial"/>
        </w:rPr>
      </w:pPr>
    </w:p>
    <w:p w14:paraId="45F9C3D3" w14:textId="77777777" w:rsidR="00E44E40" w:rsidRPr="0046588C" w:rsidRDefault="00E44E40" w:rsidP="00E44E40">
      <w:pPr>
        <w:rPr>
          <w:rFonts w:ascii="Arial" w:hAnsi="Arial" w:cs="Arial"/>
          <w:b/>
          <w:bCs/>
        </w:rPr>
      </w:pPr>
      <w:r w:rsidRPr="0046588C">
        <w:rPr>
          <w:rFonts w:ascii="Arial" w:hAnsi="Arial" w:cs="Arial"/>
          <w:b/>
          <w:bCs/>
        </w:rPr>
        <w:t xml:space="preserve">Table 5. </w:t>
      </w:r>
      <w:r w:rsidRPr="0046588C">
        <w:rPr>
          <w:rFonts w:ascii="Arial" w:hAnsi="Arial" w:cs="Arial"/>
          <w:b/>
          <w:bCs/>
        </w:rPr>
        <w:tab/>
        <w:t>Summary of Key Findings from Reviewed Studies</w:t>
      </w:r>
    </w:p>
    <w:p w14:paraId="19DA4B4C" w14:textId="77777777" w:rsidR="00E44E40" w:rsidRPr="0046588C" w:rsidRDefault="00E44E40" w:rsidP="00E44E40">
      <w:pPr>
        <w:rPr>
          <w:rFonts w:ascii="Arial" w:hAnsi="Arial" w:cs="Arial"/>
          <w:b/>
          <w:bCs/>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1771"/>
        <w:gridCol w:w="2730"/>
        <w:gridCol w:w="3896"/>
      </w:tblGrid>
      <w:tr w:rsidR="00E44E40" w:rsidRPr="0046588C" w14:paraId="4E1D71E4" w14:textId="77777777" w:rsidTr="00BE24E0">
        <w:trPr>
          <w:trHeight w:val="285"/>
        </w:trPr>
        <w:tc>
          <w:tcPr>
            <w:tcW w:w="0" w:type="auto"/>
            <w:tcBorders>
              <w:top w:val="single" w:sz="4" w:space="0" w:color="auto"/>
              <w:bottom w:val="single" w:sz="4" w:space="0" w:color="auto"/>
            </w:tcBorders>
            <w:tcMar>
              <w:top w:w="0" w:type="dxa"/>
              <w:left w:w="100" w:type="dxa"/>
              <w:bottom w:w="0" w:type="dxa"/>
              <w:right w:w="100" w:type="dxa"/>
            </w:tcMar>
            <w:hideMark/>
          </w:tcPr>
          <w:p w14:paraId="66876DAF" w14:textId="77777777" w:rsidR="00E44E40" w:rsidRPr="0046588C" w:rsidRDefault="00E44E40" w:rsidP="00BE24E0">
            <w:pPr>
              <w:jc w:val="center"/>
              <w:rPr>
                <w:rFonts w:ascii="Arial" w:hAnsi="Arial" w:cs="Arial"/>
                <w:b/>
                <w:bCs/>
              </w:rPr>
            </w:pPr>
            <w:r w:rsidRPr="0046588C">
              <w:rPr>
                <w:rFonts w:ascii="Arial" w:hAnsi="Arial" w:cs="Arial"/>
                <w:b/>
                <w:bCs/>
              </w:rPr>
              <w:t>Study</w:t>
            </w:r>
          </w:p>
        </w:tc>
        <w:tc>
          <w:tcPr>
            <w:tcW w:w="0" w:type="auto"/>
            <w:tcBorders>
              <w:top w:val="single" w:sz="4" w:space="0" w:color="auto"/>
              <w:bottom w:val="single" w:sz="4" w:space="0" w:color="auto"/>
            </w:tcBorders>
            <w:tcMar>
              <w:top w:w="0" w:type="dxa"/>
              <w:left w:w="100" w:type="dxa"/>
              <w:bottom w:w="0" w:type="dxa"/>
              <w:right w:w="100" w:type="dxa"/>
            </w:tcMar>
            <w:hideMark/>
          </w:tcPr>
          <w:p w14:paraId="7487D2EC" w14:textId="77777777" w:rsidR="00E44E40" w:rsidRPr="0046588C" w:rsidRDefault="00E44E40" w:rsidP="00BE24E0">
            <w:pPr>
              <w:jc w:val="center"/>
              <w:rPr>
                <w:rFonts w:ascii="Arial" w:hAnsi="Arial" w:cs="Arial"/>
                <w:b/>
                <w:bCs/>
              </w:rPr>
            </w:pPr>
            <w:r w:rsidRPr="0046588C">
              <w:rPr>
                <w:rFonts w:ascii="Arial" w:hAnsi="Arial" w:cs="Arial"/>
                <w:b/>
                <w:bCs/>
              </w:rPr>
              <w:t>Country / Context</w:t>
            </w:r>
          </w:p>
        </w:tc>
        <w:tc>
          <w:tcPr>
            <w:tcW w:w="0" w:type="auto"/>
            <w:tcBorders>
              <w:top w:val="single" w:sz="4" w:space="0" w:color="auto"/>
              <w:bottom w:val="single" w:sz="4" w:space="0" w:color="auto"/>
            </w:tcBorders>
            <w:tcMar>
              <w:top w:w="0" w:type="dxa"/>
              <w:left w:w="100" w:type="dxa"/>
              <w:bottom w:w="0" w:type="dxa"/>
              <w:right w:w="100" w:type="dxa"/>
            </w:tcMar>
            <w:hideMark/>
          </w:tcPr>
          <w:p w14:paraId="19B3ADB5" w14:textId="77777777" w:rsidR="00E44E40" w:rsidRPr="0046588C" w:rsidRDefault="00E44E40" w:rsidP="00BE24E0">
            <w:pPr>
              <w:jc w:val="center"/>
              <w:rPr>
                <w:rFonts w:ascii="Arial" w:hAnsi="Arial" w:cs="Arial"/>
                <w:b/>
                <w:bCs/>
              </w:rPr>
            </w:pPr>
            <w:r w:rsidRPr="0046588C">
              <w:rPr>
                <w:rFonts w:ascii="Arial" w:hAnsi="Arial" w:cs="Arial"/>
                <w:b/>
                <w:bCs/>
              </w:rPr>
              <w:t>Focus</w:t>
            </w:r>
          </w:p>
        </w:tc>
        <w:tc>
          <w:tcPr>
            <w:tcW w:w="0" w:type="auto"/>
            <w:tcBorders>
              <w:top w:val="single" w:sz="4" w:space="0" w:color="auto"/>
              <w:bottom w:val="single" w:sz="4" w:space="0" w:color="auto"/>
            </w:tcBorders>
            <w:tcMar>
              <w:top w:w="0" w:type="dxa"/>
              <w:left w:w="100" w:type="dxa"/>
              <w:bottom w:w="0" w:type="dxa"/>
              <w:right w:w="100" w:type="dxa"/>
            </w:tcMar>
            <w:hideMark/>
          </w:tcPr>
          <w:p w14:paraId="1D1BC9E7" w14:textId="77777777" w:rsidR="00E44E40" w:rsidRPr="0046588C" w:rsidRDefault="00E44E40" w:rsidP="00BE24E0">
            <w:pPr>
              <w:jc w:val="center"/>
              <w:rPr>
                <w:rFonts w:ascii="Arial" w:hAnsi="Arial" w:cs="Arial"/>
                <w:b/>
                <w:bCs/>
              </w:rPr>
            </w:pPr>
            <w:r w:rsidRPr="0046588C">
              <w:rPr>
                <w:rFonts w:ascii="Arial" w:hAnsi="Arial" w:cs="Arial"/>
                <w:b/>
                <w:bCs/>
              </w:rPr>
              <w:t>Key Findings</w:t>
            </w:r>
          </w:p>
        </w:tc>
      </w:tr>
      <w:tr w:rsidR="00E44E40" w:rsidRPr="0046588C" w14:paraId="62370752" w14:textId="77777777" w:rsidTr="00BE24E0">
        <w:trPr>
          <w:trHeight w:val="993"/>
        </w:trPr>
        <w:tc>
          <w:tcPr>
            <w:tcW w:w="0" w:type="auto"/>
            <w:tcBorders>
              <w:top w:val="single" w:sz="4" w:space="0" w:color="auto"/>
            </w:tcBorders>
            <w:tcMar>
              <w:top w:w="0" w:type="dxa"/>
              <w:left w:w="100" w:type="dxa"/>
              <w:bottom w:w="0" w:type="dxa"/>
              <w:right w:w="100" w:type="dxa"/>
            </w:tcMar>
            <w:hideMark/>
          </w:tcPr>
          <w:p w14:paraId="5AA722E6" w14:textId="77777777" w:rsidR="00E44E40" w:rsidRPr="0046588C" w:rsidRDefault="00E44E40" w:rsidP="00BE24E0">
            <w:pPr>
              <w:jc w:val="both"/>
              <w:rPr>
                <w:rFonts w:ascii="Arial" w:hAnsi="Arial" w:cs="Arial"/>
              </w:rPr>
            </w:pPr>
            <w:r w:rsidRPr="0046588C">
              <w:rPr>
                <w:rFonts w:ascii="Arial" w:hAnsi="Arial" w:cs="Arial"/>
              </w:rPr>
              <w:t>Galindo-Silva &amp; Herrera-</w:t>
            </w:r>
            <w:proofErr w:type="spellStart"/>
            <w:r w:rsidRPr="0046588C">
              <w:rPr>
                <w:rFonts w:ascii="Arial" w:hAnsi="Arial" w:cs="Arial"/>
              </w:rPr>
              <w:t>Idárraga</w:t>
            </w:r>
            <w:proofErr w:type="spellEnd"/>
            <w:r w:rsidRPr="0046588C">
              <w:rPr>
                <w:rFonts w:ascii="Arial" w:hAnsi="Arial" w:cs="Arial"/>
              </w:rPr>
              <w:t xml:space="preserve"> (2023)</w:t>
            </w:r>
          </w:p>
        </w:tc>
        <w:tc>
          <w:tcPr>
            <w:tcW w:w="0" w:type="auto"/>
            <w:tcBorders>
              <w:top w:val="single" w:sz="4" w:space="0" w:color="auto"/>
            </w:tcBorders>
            <w:tcMar>
              <w:top w:w="0" w:type="dxa"/>
              <w:left w:w="100" w:type="dxa"/>
              <w:bottom w:w="0" w:type="dxa"/>
              <w:right w:w="100" w:type="dxa"/>
            </w:tcMar>
            <w:hideMark/>
          </w:tcPr>
          <w:p w14:paraId="58F2C10C" w14:textId="77777777" w:rsidR="00E44E40" w:rsidRPr="0046588C" w:rsidRDefault="00E44E40" w:rsidP="00BE24E0">
            <w:pPr>
              <w:jc w:val="both"/>
              <w:rPr>
                <w:rFonts w:ascii="Arial" w:hAnsi="Arial" w:cs="Arial"/>
              </w:rPr>
            </w:pPr>
            <w:r w:rsidRPr="0046588C">
              <w:rPr>
                <w:rFonts w:ascii="Arial" w:hAnsi="Arial" w:cs="Arial"/>
              </w:rPr>
              <w:t>Colombia</w:t>
            </w:r>
          </w:p>
        </w:tc>
        <w:tc>
          <w:tcPr>
            <w:tcW w:w="0" w:type="auto"/>
            <w:tcBorders>
              <w:top w:val="single" w:sz="4" w:space="0" w:color="auto"/>
            </w:tcBorders>
            <w:tcMar>
              <w:top w:w="0" w:type="dxa"/>
              <w:left w:w="100" w:type="dxa"/>
              <w:bottom w:w="0" w:type="dxa"/>
              <w:right w:w="100" w:type="dxa"/>
            </w:tcMar>
            <w:hideMark/>
          </w:tcPr>
          <w:p w14:paraId="73E4CDFC" w14:textId="77777777" w:rsidR="00E44E40" w:rsidRPr="0046588C" w:rsidRDefault="00E44E40" w:rsidP="00BE24E0">
            <w:pPr>
              <w:jc w:val="both"/>
              <w:rPr>
                <w:rFonts w:ascii="Arial" w:hAnsi="Arial" w:cs="Arial"/>
              </w:rPr>
            </w:pPr>
            <w:r w:rsidRPr="0046588C">
              <w:rPr>
                <w:rFonts w:ascii="Arial" w:hAnsi="Arial" w:cs="Arial"/>
              </w:rPr>
              <w:t>Effect of civic education on gender norms</w:t>
            </w:r>
          </w:p>
        </w:tc>
        <w:tc>
          <w:tcPr>
            <w:tcW w:w="0" w:type="auto"/>
            <w:tcBorders>
              <w:top w:val="single" w:sz="4" w:space="0" w:color="auto"/>
            </w:tcBorders>
            <w:tcMar>
              <w:top w:w="0" w:type="dxa"/>
              <w:left w:w="100" w:type="dxa"/>
              <w:bottom w:w="0" w:type="dxa"/>
              <w:right w:w="100" w:type="dxa"/>
            </w:tcMar>
            <w:hideMark/>
          </w:tcPr>
          <w:p w14:paraId="2BBF3A94" w14:textId="77777777" w:rsidR="00E44E40" w:rsidRPr="0046588C" w:rsidRDefault="00E44E40" w:rsidP="00BE24E0">
            <w:pPr>
              <w:jc w:val="both"/>
              <w:rPr>
                <w:rFonts w:ascii="Arial" w:hAnsi="Arial" w:cs="Arial"/>
              </w:rPr>
            </w:pPr>
            <w:r w:rsidRPr="0046588C">
              <w:rPr>
                <w:rFonts w:ascii="Arial" w:hAnsi="Arial" w:cs="Arial"/>
              </w:rPr>
              <w:t>15% increase in women’s labor participation; enhanced gender attitudes among youth.</w:t>
            </w:r>
          </w:p>
        </w:tc>
      </w:tr>
      <w:tr w:rsidR="00E44E40" w:rsidRPr="0046588C" w14:paraId="70552238" w14:textId="77777777" w:rsidTr="00BE24E0">
        <w:trPr>
          <w:trHeight w:val="834"/>
        </w:trPr>
        <w:tc>
          <w:tcPr>
            <w:tcW w:w="0" w:type="auto"/>
            <w:tcMar>
              <w:top w:w="0" w:type="dxa"/>
              <w:left w:w="100" w:type="dxa"/>
              <w:bottom w:w="0" w:type="dxa"/>
              <w:right w:w="100" w:type="dxa"/>
            </w:tcMar>
            <w:hideMark/>
          </w:tcPr>
          <w:p w14:paraId="7420C088" w14:textId="77777777" w:rsidR="00E44E40" w:rsidRPr="0046588C" w:rsidRDefault="00E44E40" w:rsidP="00BE24E0">
            <w:pPr>
              <w:jc w:val="both"/>
              <w:rPr>
                <w:rFonts w:ascii="Arial" w:hAnsi="Arial" w:cs="Arial"/>
              </w:rPr>
            </w:pPr>
            <w:r w:rsidRPr="0046588C">
              <w:rPr>
                <w:rFonts w:ascii="Arial" w:hAnsi="Arial" w:cs="Arial"/>
              </w:rPr>
              <w:t>Canedo et al. (2020)</w:t>
            </w:r>
          </w:p>
        </w:tc>
        <w:tc>
          <w:tcPr>
            <w:tcW w:w="0" w:type="auto"/>
            <w:tcMar>
              <w:top w:w="0" w:type="dxa"/>
              <w:left w:w="100" w:type="dxa"/>
              <w:bottom w:w="0" w:type="dxa"/>
              <w:right w:w="100" w:type="dxa"/>
            </w:tcMar>
            <w:hideMark/>
          </w:tcPr>
          <w:p w14:paraId="27872941" w14:textId="77777777" w:rsidR="00E44E40" w:rsidRPr="0046588C" w:rsidRDefault="00E44E40" w:rsidP="00BE24E0">
            <w:pPr>
              <w:jc w:val="both"/>
              <w:rPr>
                <w:rFonts w:ascii="Arial" w:hAnsi="Arial" w:cs="Arial"/>
              </w:rPr>
            </w:pPr>
            <w:r w:rsidRPr="0046588C">
              <w:rPr>
                <w:rFonts w:ascii="Arial" w:hAnsi="Arial" w:cs="Arial"/>
              </w:rPr>
              <w:t>Global OSS Communities</w:t>
            </w:r>
          </w:p>
        </w:tc>
        <w:tc>
          <w:tcPr>
            <w:tcW w:w="0" w:type="auto"/>
            <w:tcMar>
              <w:top w:w="0" w:type="dxa"/>
              <w:left w:w="100" w:type="dxa"/>
              <w:bottom w:w="0" w:type="dxa"/>
              <w:right w:w="100" w:type="dxa"/>
            </w:tcMar>
            <w:hideMark/>
          </w:tcPr>
          <w:p w14:paraId="0746623B" w14:textId="77777777" w:rsidR="00E44E40" w:rsidRPr="0046588C" w:rsidRDefault="00E44E40" w:rsidP="00BE24E0">
            <w:pPr>
              <w:jc w:val="both"/>
              <w:rPr>
                <w:rFonts w:ascii="Arial" w:hAnsi="Arial" w:cs="Arial"/>
              </w:rPr>
            </w:pPr>
            <w:r w:rsidRPr="0046588C">
              <w:rPr>
                <w:rFonts w:ascii="Arial" w:hAnsi="Arial" w:cs="Arial"/>
              </w:rPr>
              <w:t>Gender participation in technology</w:t>
            </w:r>
          </w:p>
        </w:tc>
        <w:tc>
          <w:tcPr>
            <w:tcW w:w="0" w:type="auto"/>
            <w:tcMar>
              <w:top w:w="0" w:type="dxa"/>
              <w:left w:w="100" w:type="dxa"/>
              <w:bottom w:w="0" w:type="dxa"/>
              <w:right w:w="100" w:type="dxa"/>
            </w:tcMar>
            <w:hideMark/>
          </w:tcPr>
          <w:p w14:paraId="32332D14" w14:textId="77777777" w:rsidR="00E44E40" w:rsidRPr="0046588C" w:rsidRDefault="00E44E40" w:rsidP="00BE24E0">
            <w:pPr>
              <w:jc w:val="both"/>
              <w:rPr>
                <w:rFonts w:ascii="Arial" w:hAnsi="Arial" w:cs="Arial"/>
              </w:rPr>
            </w:pPr>
            <w:r w:rsidRPr="0046588C">
              <w:rPr>
                <w:rFonts w:ascii="Arial" w:hAnsi="Arial" w:cs="Arial"/>
              </w:rPr>
              <w:t>Women comprise 10% of contributors; limited recognition of contributions.</w:t>
            </w:r>
          </w:p>
        </w:tc>
      </w:tr>
      <w:tr w:rsidR="00E44E40" w:rsidRPr="0046588C" w14:paraId="684A6450" w14:textId="77777777" w:rsidTr="00BE24E0">
        <w:trPr>
          <w:trHeight w:val="685"/>
        </w:trPr>
        <w:tc>
          <w:tcPr>
            <w:tcW w:w="0" w:type="auto"/>
            <w:tcMar>
              <w:top w:w="0" w:type="dxa"/>
              <w:left w:w="100" w:type="dxa"/>
              <w:bottom w:w="0" w:type="dxa"/>
              <w:right w:w="100" w:type="dxa"/>
            </w:tcMar>
            <w:hideMark/>
          </w:tcPr>
          <w:p w14:paraId="0D0EA2E7" w14:textId="77777777" w:rsidR="00E44E40" w:rsidRPr="0046588C" w:rsidRDefault="00E44E40" w:rsidP="00BE24E0">
            <w:pPr>
              <w:jc w:val="both"/>
              <w:rPr>
                <w:rFonts w:ascii="Arial" w:hAnsi="Arial" w:cs="Arial"/>
              </w:rPr>
            </w:pPr>
            <w:r w:rsidRPr="0046588C">
              <w:rPr>
                <w:rFonts w:ascii="Arial" w:hAnsi="Arial" w:cs="Arial"/>
              </w:rPr>
              <w:t>Local Survey (2024)</w:t>
            </w:r>
          </w:p>
        </w:tc>
        <w:tc>
          <w:tcPr>
            <w:tcW w:w="0" w:type="auto"/>
            <w:tcMar>
              <w:top w:w="0" w:type="dxa"/>
              <w:left w:w="100" w:type="dxa"/>
              <w:bottom w:w="0" w:type="dxa"/>
              <w:right w:w="100" w:type="dxa"/>
            </w:tcMar>
            <w:hideMark/>
          </w:tcPr>
          <w:p w14:paraId="058C2268" w14:textId="77777777" w:rsidR="00E44E40" w:rsidRPr="0046588C" w:rsidRDefault="00E44E40" w:rsidP="00BE24E0">
            <w:pPr>
              <w:jc w:val="both"/>
              <w:rPr>
                <w:rFonts w:ascii="Arial" w:hAnsi="Arial" w:cs="Arial"/>
              </w:rPr>
            </w:pPr>
            <w:r w:rsidRPr="0046588C">
              <w:rPr>
                <w:rFonts w:ascii="Arial" w:hAnsi="Arial" w:cs="Arial"/>
              </w:rPr>
              <w:t>La Union, Philippines</w:t>
            </w:r>
          </w:p>
        </w:tc>
        <w:tc>
          <w:tcPr>
            <w:tcW w:w="0" w:type="auto"/>
            <w:tcMar>
              <w:top w:w="0" w:type="dxa"/>
              <w:left w:w="100" w:type="dxa"/>
              <w:bottom w:w="0" w:type="dxa"/>
              <w:right w:w="100" w:type="dxa"/>
            </w:tcMar>
            <w:hideMark/>
          </w:tcPr>
          <w:p w14:paraId="6C10A2E1" w14:textId="77777777" w:rsidR="00E44E40" w:rsidRPr="0046588C" w:rsidRDefault="00E44E40" w:rsidP="00BE24E0">
            <w:pPr>
              <w:jc w:val="both"/>
              <w:rPr>
                <w:rFonts w:ascii="Arial" w:hAnsi="Arial" w:cs="Arial"/>
              </w:rPr>
            </w:pPr>
            <w:r w:rsidRPr="0046588C">
              <w:rPr>
                <w:rFonts w:ascii="Arial" w:hAnsi="Arial" w:cs="Arial"/>
              </w:rPr>
              <w:t>Gender roles in agroforestry</w:t>
            </w:r>
          </w:p>
        </w:tc>
        <w:tc>
          <w:tcPr>
            <w:tcW w:w="0" w:type="auto"/>
            <w:tcMar>
              <w:top w:w="0" w:type="dxa"/>
              <w:left w:w="100" w:type="dxa"/>
              <w:bottom w:w="0" w:type="dxa"/>
              <w:right w:w="100" w:type="dxa"/>
            </w:tcMar>
            <w:hideMark/>
          </w:tcPr>
          <w:p w14:paraId="55458D4B" w14:textId="77777777" w:rsidR="00E44E40" w:rsidRPr="0046588C" w:rsidRDefault="00E44E40" w:rsidP="00BE24E0">
            <w:pPr>
              <w:jc w:val="both"/>
              <w:rPr>
                <w:rFonts w:ascii="Arial" w:hAnsi="Arial" w:cs="Arial"/>
              </w:rPr>
            </w:pPr>
            <w:r w:rsidRPr="0046588C">
              <w:rPr>
                <w:rFonts w:ascii="Arial" w:hAnsi="Arial" w:cs="Arial"/>
              </w:rPr>
              <w:t>High female labor participation (67%) but low involvement in decision-making (32%).</w:t>
            </w:r>
          </w:p>
        </w:tc>
      </w:tr>
      <w:tr w:rsidR="00E44E40" w:rsidRPr="0046588C" w14:paraId="5DC6D22F" w14:textId="77777777" w:rsidTr="00BE24E0">
        <w:trPr>
          <w:trHeight w:val="841"/>
        </w:trPr>
        <w:tc>
          <w:tcPr>
            <w:tcW w:w="0" w:type="auto"/>
            <w:tcMar>
              <w:top w:w="0" w:type="dxa"/>
              <w:left w:w="100" w:type="dxa"/>
              <w:bottom w:w="0" w:type="dxa"/>
              <w:right w:w="100" w:type="dxa"/>
            </w:tcMar>
            <w:hideMark/>
          </w:tcPr>
          <w:p w14:paraId="08F74AC0" w14:textId="77777777" w:rsidR="00E44E40" w:rsidRPr="0046588C" w:rsidRDefault="00E44E40" w:rsidP="00BE24E0">
            <w:pPr>
              <w:jc w:val="both"/>
              <w:rPr>
                <w:rFonts w:ascii="Arial" w:hAnsi="Arial" w:cs="Arial"/>
              </w:rPr>
            </w:pPr>
            <w:r w:rsidRPr="0046588C">
              <w:rPr>
                <w:rFonts w:ascii="Arial" w:hAnsi="Arial" w:cs="Arial"/>
              </w:rPr>
              <w:t>Asian Disaster Preparedness Center (2023)</w:t>
            </w:r>
          </w:p>
        </w:tc>
        <w:tc>
          <w:tcPr>
            <w:tcW w:w="0" w:type="auto"/>
            <w:tcMar>
              <w:top w:w="0" w:type="dxa"/>
              <w:left w:w="100" w:type="dxa"/>
              <w:bottom w:w="0" w:type="dxa"/>
              <w:right w:w="100" w:type="dxa"/>
            </w:tcMar>
            <w:hideMark/>
          </w:tcPr>
          <w:p w14:paraId="11FB5AA1" w14:textId="77777777" w:rsidR="00E44E40" w:rsidRPr="0046588C" w:rsidRDefault="00E44E40" w:rsidP="00BE24E0">
            <w:pPr>
              <w:jc w:val="both"/>
              <w:rPr>
                <w:rFonts w:ascii="Arial" w:hAnsi="Arial" w:cs="Arial"/>
              </w:rPr>
            </w:pPr>
            <w:r w:rsidRPr="0046588C">
              <w:rPr>
                <w:rFonts w:ascii="Arial" w:hAnsi="Arial" w:cs="Arial"/>
              </w:rPr>
              <w:t>Bangladesh</w:t>
            </w:r>
          </w:p>
        </w:tc>
        <w:tc>
          <w:tcPr>
            <w:tcW w:w="0" w:type="auto"/>
            <w:tcMar>
              <w:top w:w="0" w:type="dxa"/>
              <w:left w:w="100" w:type="dxa"/>
              <w:bottom w:w="0" w:type="dxa"/>
              <w:right w:w="100" w:type="dxa"/>
            </w:tcMar>
            <w:hideMark/>
          </w:tcPr>
          <w:p w14:paraId="72D092C6" w14:textId="77777777" w:rsidR="00E44E40" w:rsidRPr="0046588C" w:rsidRDefault="00E44E40" w:rsidP="00BE24E0">
            <w:pPr>
              <w:jc w:val="both"/>
              <w:rPr>
                <w:rFonts w:ascii="Arial" w:hAnsi="Arial" w:cs="Arial"/>
              </w:rPr>
            </w:pPr>
            <w:r w:rsidRPr="0046588C">
              <w:rPr>
                <w:rFonts w:ascii="Arial" w:hAnsi="Arial" w:cs="Arial"/>
              </w:rPr>
              <w:t>Policy integration of gender in climate-resilient agriculture</w:t>
            </w:r>
          </w:p>
        </w:tc>
        <w:tc>
          <w:tcPr>
            <w:tcW w:w="0" w:type="auto"/>
            <w:tcMar>
              <w:top w:w="0" w:type="dxa"/>
              <w:left w:w="100" w:type="dxa"/>
              <w:bottom w:w="0" w:type="dxa"/>
              <w:right w:w="100" w:type="dxa"/>
            </w:tcMar>
            <w:hideMark/>
          </w:tcPr>
          <w:p w14:paraId="469BB04A" w14:textId="77777777" w:rsidR="00E44E40" w:rsidRPr="0046588C" w:rsidRDefault="00E44E40" w:rsidP="00BE24E0">
            <w:pPr>
              <w:jc w:val="both"/>
              <w:rPr>
                <w:rFonts w:ascii="Arial" w:hAnsi="Arial" w:cs="Arial"/>
              </w:rPr>
            </w:pPr>
            <w:r w:rsidRPr="0046588C">
              <w:rPr>
                <w:rFonts w:ascii="Arial" w:hAnsi="Arial" w:cs="Arial"/>
              </w:rPr>
              <w:t>80% of policies include gender clauses; 45% demonstrate measurable implementation.</w:t>
            </w:r>
          </w:p>
        </w:tc>
      </w:tr>
    </w:tbl>
    <w:p w14:paraId="2F7A43F8" w14:textId="77777777" w:rsidR="00E44E40" w:rsidRPr="0046588C" w:rsidRDefault="00E44E40" w:rsidP="00E44E40">
      <w:pPr>
        <w:pStyle w:val="Body"/>
        <w:spacing w:after="0"/>
        <w:rPr>
          <w:rFonts w:ascii="Arial" w:hAnsi="Arial" w:cs="Arial"/>
        </w:rPr>
      </w:pPr>
    </w:p>
    <w:p w14:paraId="6DCC5A2B" w14:textId="30368F95" w:rsidR="00C30A0F" w:rsidRPr="0046588C" w:rsidRDefault="00C30A0F" w:rsidP="00E44E40">
      <w:pPr>
        <w:pStyle w:val="Body"/>
        <w:spacing w:after="0"/>
        <w:rPr>
          <w:rFonts w:ascii="Arial" w:hAnsi="Arial" w:cs="Arial"/>
        </w:rPr>
      </w:pPr>
      <w:r w:rsidRPr="0046588C">
        <w:rPr>
          <w:rFonts w:ascii="Arial" w:hAnsi="Arial" w:cs="Arial"/>
        </w:rPr>
        <w:t xml:space="preserve"> </w:t>
      </w:r>
    </w:p>
    <w:p w14:paraId="0E20A4D1" w14:textId="77777777" w:rsidR="00790ADA" w:rsidRPr="0046588C" w:rsidRDefault="00790ADA" w:rsidP="00441B6F">
      <w:pPr>
        <w:pStyle w:val="Body"/>
        <w:spacing w:after="0"/>
        <w:rPr>
          <w:rFonts w:ascii="Arial" w:hAnsi="Arial" w:cs="Arial"/>
        </w:rPr>
      </w:pPr>
    </w:p>
    <w:p w14:paraId="155F9A3B" w14:textId="77777777" w:rsidR="00B01FCD" w:rsidRPr="0046588C" w:rsidRDefault="00000F8F" w:rsidP="00441B6F">
      <w:pPr>
        <w:pStyle w:val="ConcHead"/>
        <w:spacing w:after="0"/>
        <w:jc w:val="both"/>
        <w:rPr>
          <w:rFonts w:ascii="Arial" w:hAnsi="Arial" w:cs="Arial"/>
        </w:rPr>
      </w:pPr>
      <w:r w:rsidRPr="0046588C">
        <w:rPr>
          <w:rFonts w:ascii="Arial" w:hAnsi="Arial" w:cs="Arial"/>
        </w:rPr>
        <w:t xml:space="preserve">4. </w:t>
      </w:r>
      <w:r w:rsidR="00B01FCD" w:rsidRPr="0046588C">
        <w:rPr>
          <w:rFonts w:ascii="Arial" w:hAnsi="Arial" w:cs="Arial"/>
        </w:rPr>
        <w:t>Conclusion</w:t>
      </w:r>
    </w:p>
    <w:p w14:paraId="0FAC74AC" w14:textId="77777777" w:rsidR="00790ADA" w:rsidRPr="0046588C" w:rsidRDefault="00790ADA" w:rsidP="00441B6F">
      <w:pPr>
        <w:pStyle w:val="ConcHead"/>
        <w:spacing w:after="0"/>
        <w:jc w:val="both"/>
        <w:rPr>
          <w:rFonts w:ascii="Arial" w:hAnsi="Arial" w:cs="Arial"/>
        </w:rPr>
      </w:pPr>
    </w:p>
    <w:p w14:paraId="4D6FE184" w14:textId="5E432AC0" w:rsidR="00E44E40" w:rsidRPr="0046588C" w:rsidRDefault="00E44E40" w:rsidP="00E44E40">
      <w:pPr>
        <w:pStyle w:val="Body"/>
        <w:numPr>
          <w:ilvl w:val="0"/>
          <w:numId w:val="31"/>
        </w:numPr>
        <w:rPr>
          <w:rFonts w:ascii="Arial" w:hAnsi="Arial" w:cs="Arial"/>
        </w:rPr>
      </w:pPr>
      <w:r w:rsidRPr="0046588C">
        <w:rPr>
          <w:rFonts w:ascii="Arial" w:hAnsi="Arial" w:cs="Arial"/>
        </w:rPr>
        <w:t>In Colombia, Galindo-Silva and Herrera-Idarraga (2023) indicated that civic education can change public perceptions about equality, but genuine change necessitates sustained engagement from both communities and institutions. In a similar vein, Canedo et al. (2020) revealed that gender disparities remain prevalent even in advanced and digital environments, where women’s contributions are frequently undervalued or ignored, despite their capability and visibility.</w:t>
      </w:r>
    </w:p>
    <w:p w14:paraId="0623A498" w14:textId="77777777" w:rsidR="00E44E40" w:rsidRPr="0046588C" w:rsidRDefault="00E44E40" w:rsidP="00E44E40">
      <w:pPr>
        <w:pStyle w:val="Body"/>
        <w:numPr>
          <w:ilvl w:val="0"/>
          <w:numId w:val="31"/>
        </w:numPr>
        <w:rPr>
          <w:rFonts w:ascii="Arial" w:hAnsi="Arial" w:cs="Arial"/>
        </w:rPr>
      </w:pPr>
      <w:r w:rsidRPr="0046588C">
        <w:rPr>
          <w:rFonts w:ascii="Arial" w:hAnsi="Arial" w:cs="Arial"/>
        </w:rPr>
        <w:t>In the Philippines, Wagayen (2024) uncovered in an upland agroforestry study that women play crucial roles in production and conservation but lack adequate leadership in decision-making processes. However, the Asian Disaster Preparedness Center (2023) found that in Bangladesh, well-intentioned gender policies often fail to meet their goals due to improper execution and insufficient grassroots participation.</w:t>
      </w:r>
    </w:p>
    <w:p w14:paraId="25AD752C" w14:textId="64756153" w:rsidR="00E44E40" w:rsidRPr="0046588C" w:rsidRDefault="00E44E40" w:rsidP="00E44E40">
      <w:pPr>
        <w:pStyle w:val="Body"/>
        <w:numPr>
          <w:ilvl w:val="0"/>
          <w:numId w:val="31"/>
        </w:numPr>
        <w:rPr>
          <w:rFonts w:ascii="Arial" w:hAnsi="Arial" w:cs="Arial"/>
        </w:rPr>
      </w:pPr>
      <w:r w:rsidRPr="0046588C">
        <w:rPr>
          <w:rFonts w:ascii="Arial" w:hAnsi="Arial" w:cs="Arial"/>
        </w:rPr>
        <w:t>Overall, the studies collectively determine that promoting gender equality transcends awareness or activism. It obliges linking education, technology, and governance to empower women's agency, enhance local leadership, and maintain inclusive institutions.</w:t>
      </w:r>
    </w:p>
    <w:p w14:paraId="5EF68A69" w14:textId="77777777" w:rsidR="00371FB6" w:rsidRPr="0046588C" w:rsidRDefault="00371FB6" w:rsidP="00441B6F">
      <w:pPr>
        <w:pStyle w:val="ReferHead"/>
        <w:spacing w:after="0"/>
        <w:jc w:val="both"/>
        <w:rPr>
          <w:rFonts w:ascii="Arial" w:hAnsi="Arial" w:cs="Arial"/>
          <w:b w:val="0"/>
          <w:caps w:val="0"/>
          <w:sz w:val="20"/>
        </w:rPr>
      </w:pPr>
    </w:p>
    <w:p w14:paraId="21088C79" w14:textId="77777777" w:rsidR="002C2707" w:rsidRPr="0046588C" w:rsidRDefault="002C2707" w:rsidP="002C2707">
      <w:pPr>
        <w:jc w:val="both"/>
        <w:outlineLvl w:val="0"/>
        <w:rPr>
          <w:rFonts w:ascii="Arial" w:hAnsi="Arial" w:cs="Arial"/>
        </w:rPr>
      </w:pPr>
      <w:r w:rsidRPr="0046588C">
        <w:rPr>
          <w:rFonts w:ascii="Arial" w:hAnsi="Arial" w:cs="Arial"/>
          <w:b/>
          <w:bCs/>
        </w:rPr>
        <w:t>COMPETING INTERESTS DISCLAIMER:</w:t>
      </w:r>
    </w:p>
    <w:p w14:paraId="6001C80F" w14:textId="7D44E74C" w:rsidR="002C2707" w:rsidRDefault="002C2707" w:rsidP="002C2707">
      <w:r w:rsidRPr="0046588C">
        <w:t>Authors have declared that they have no known competing financial interests OR non-financial interests OR personal relationships that could have appeared to influence the work reported in this paper.</w:t>
      </w:r>
    </w:p>
    <w:p w14:paraId="539F3C4B" w14:textId="77777777" w:rsidR="00217669" w:rsidRDefault="00217669" w:rsidP="002C2707"/>
    <w:p w14:paraId="02E58526" w14:textId="3FAA9744" w:rsidR="00217669" w:rsidRDefault="00217669" w:rsidP="002C2707">
      <w:pPr>
        <w:rPr>
          <w:b/>
          <w:bCs/>
        </w:rPr>
      </w:pPr>
      <w:r w:rsidRPr="00217669">
        <w:rPr>
          <w:b/>
          <w:bCs/>
        </w:rPr>
        <w:t>DISCLAIMER (ARTIFICIAL INTELLIGENCE)</w:t>
      </w:r>
    </w:p>
    <w:p w14:paraId="091D39A8" w14:textId="77777777" w:rsidR="00217669" w:rsidRDefault="00217669" w:rsidP="002C2707">
      <w:pPr>
        <w:rPr>
          <w:b/>
          <w:bCs/>
        </w:rPr>
      </w:pPr>
    </w:p>
    <w:p w14:paraId="7667ABA8" w14:textId="7B81290C" w:rsidR="00217669" w:rsidRPr="00217669" w:rsidRDefault="00217669" w:rsidP="00217669">
      <w:pPr>
        <w:jc w:val="both"/>
        <w:rPr>
          <w:rFonts w:ascii="Arial" w:hAnsi="Arial" w:cs="Arial"/>
        </w:rPr>
      </w:pPr>
      <w:r w:rsidRPr="00217669">
        <w:rPr>
          <w:rFonts w:ascii="Arial" w:hAnsi="Arial" w:cs="Arial"/>
        </w:rPr>
        <w:t xml:space="preserve">Author(s) hereby declares that NO generative AI technologies such as Large Language Models (ChatGPT, COPILOT, etc.) and text-to-image generators have been used during the writing or editing of this manuscript. </w:t>
      </w:r>
    </w:p>
    <w:p w14:paraId="34FC3183" w14:textId="77777777" w:rsidR="00217669" w:rsidRPr="00217669" w:rsidRDefault="00217669" w:rsidP="002C2707">
      <w:pPr>
        <w:rPr>
          <w:b/>
          <w:bCs/>
        </w:rPr>
      </w:pPr>
    </w:p>
    <w:p w14:paraId="2848CB6F" w14:textId="77777777" w:rsidR="00097D7F" w:rsidRPr="0046588C" w:rsidRDefault="00097D7F" w:rsidP="002C2707"/>
    <w:p w14:paraId="54E370E5" w14:textId="77777777" w:rsidR="002C2707" w:rsidRPr="0046588C" w:rsidRDefault="002C2707" w:rsidP="00E44E40">
      <w:pPr>
        <w:pStyle w:val="ReferHead"/>
        <w:spacing w:after="0"/>
        <w:jc w:val="both"/>
        <w:rPr>
          <w:rFonts w:ascii="Arial" w:hAnsi="Arial" w:cs="Arial"/>
          <w:bCs/>
        </w:rPr>
      </w:pPr>
    </w:p>
    <w:p w14:paraId="37D3115F" w14:textId="77777777" w:rsidR="00860000" w:rsidRPr="0046588C" w:rsidRDefault="00860000" w:rsidP="00441B6F">
      <w:pPr>
        <w:pStyle w:val="ReferHead"/>
        <w:spacing w:after="0"/>
        <w:jc w:val="both"/>
        <w:rPr>
          <w:rFonts w:ascii="Arial" w:hAnsi="Arial" w:cs="Arial"/>
        </w:rPr>
      </w:pPr>
    </w:p>
    <w:p w14:paraId="374E2D2C" w14:textId="77777777" w:rsidR="00B01FCD" w:rsidRPr="0046588C" w:rsidRDefault="00B01FCD" w:rsidP="00441B6F">
      <w:pPr>
        <w:pStyle w:val="ReferHead"/>
        <w:spacing w:after="0"/>
        <w:jc w:val="both"/>
        <w:rPr>
          <w:rFonts w:ascii="Arial" w:hAnsi="Arial" w:cs="Arial"/>
        </w:rPr>
      </w:pPr>
      <w:r w:rsidRPr="0046588C">
        <w:rPr>
          <w:rFonts w:ascii="Arial" w:hAnsi="Arial" w:cs="Arial"/>
        </w:rPr>
        <w:t>References</w:t>
      </w:r>
    </w:p>
    <w:p w14:paraId="3A911253" w14:textId="77777777" w:rsidR="004D4277" w:rsidRPr="0046588C" w:rsidRDefault="004D4277" w:rsidP="00441B6F">
      <w:pPr>
        <w:pStyle w:val="Appendix"/>
        <w:spacing w:after="0"/>
        <w:jc w:val="both"/>
        <w:rPr>
          <w:rFonts w:ascii="Arial" w:hAnsi="Arial" w:cs="Arial"/>
          <w:b w:val="0"/>
        </w:rPr>
      </w:pPr>
    </w:p>
    <w:p w14:paraId="54D4F110"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Agarwal, B. (2018). Gender equality, food security, and the sustainable development goals. Current Opinion in Environmental Sustainability, 34, 26–32.</w:t>
      </w:r>
    </w:p>
    <w:p w14:paraId="0830DF76" w14:textId="77777777" w:rsidR="00BC1207" w:rsidRPr="00217669" w:rsidRDefault="00BC1207" w:rsidP="00BC1207">
      <w:pPr>
        <w:jc w:val="both"/>
        <w:rPr>
          <w:rFonts w:ascii="Arial" w:hAnsi="Arial" w:cs="Arial"/>
          <w:color w:val="000000" w:themeColor="text1"/>
          <w:sz w:val="22"/>
          <w:szCs w:val="22"/>
        </w:rPr>
      </w:pPr>
    </w:p>
    <w:p w14:paraId="55F973E1"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 xml:space="preserve">Angula, M. N., Mogotsi, I., </w:t>
      </w:r>
      <w:proofErr w:type="spellStart"/>
      <w:r w:rsidRPr="00217669">
        <w:rPr>
          <w:rFonts w:ascii="Arial" w:hAnsi="Arial" w:cs="Arial"/>
          <w:color w:val="000000" w:themeColor="text1"/>
          <w:sz w:val="22"/>
          <w:szCs w:val="22"/>
        </w:rPr>
        <w:t>Lendelvo</w:t>
      </w:r>
      <w:proofErr w:type="spellEnd"/>
      <w:r w:rsidRPr="00217669">
        <w:rPr>
          <w:rFonts w:ascii="Arial" w:hAnsi="Arial" w:cs="Arial"/>
          <w:color w:val="000000" w:themeColor="text1"/>
          <w:sz w:val="22"/>
          <w:szCs w:val="22"/>
        </w:rPr>
        <w:t xml:space="preserve">, S., </w:t>
      </w:r>
      <w:proofErr w:type="spellStart"/>
      <w:r w:rsidRPr="00217669">
        <w:rPr>
          <w:rFonts w:ascii="Arial" w:hAnsi="Arial" w:cs="Arial"/>
          <w:color w:val="000000" w:themeColor="text1"/>
          <w:sz w:val="22"/>
          <w:szCs w:val="22"/>
        </w:rPr>
        <w:t>Aribeb</w:t>
      </w:r>
      <w:proofErr w:type="spellEnd"/>
      <w:r w:rsidRPr="00217669">
        <w:rPr>
          <w:rFonts w:ascii="Arial" w:hAnsi="Arial" w:cs="Arial"/>
          <w:color w:val="000000" w:themeColor="text1"/>
          <w:sz w:val="22"/>
          <w:szCs w:val="22"/>
        </w:rPr>
        <w:t xml:space="preserve">, K. M., </w:t>
      </w:r>
      <w:proofErr w:type="spellStart"/>
      <w:r w:rsidRPr="00217669">
        <w:rPr>
          <w:rFonts w:ascii="Arial" w:hAnsi="Arial" w:cs="Arial"/>
          <w:color w:val="000000" w:themeColor="text1"/>
          <w:sz w:val="22"/>
          <w:szCs w:val="22"/>
        </w:rPr>
        <w:t>Iteta</w:t>
      </w:r>
      <w:proofErr w:type="spellEnd"/>
      <w:r w:rsidRPr="00217669">
        <w:rPr>
          <w:rFonts w:ascii="Arial" w:hAnsi="Arial" w:cs="Arial"/>
          <w:color w:val="000000" w:themeColor="text1"/>
          <w:sz w:val="22"/>
          <w:szCs w:val="22"/>
        </w:rPr>
        <w:t xml:space="preserve">, A. M., &amp; Thorn, J. P. (2021). Strengthening gender responsiveness of the Green Climate Fund ecosystem-based adaptation </w:t>
      </w:r>
      <w:proofErr w:type="spellStart"/>
      <w:r w:rsidRPr="00217669">
        <w:rPr>
          <w:rFonts w:ascii="Arial" w:hAnsi="Arial" w:cs="Arial"/>
          <w:color w:val="000000" w:themeColor="text1"/>
          <w:sz w:val="22"/>
          <w:szCs w:val="22"/>
        </w:rPr>
        <w:t>programme</w:t>
      </w:r>
      <w:proofErr w:type="spellEnd"/>
      <w:r w:rsidRPr="00217669">
        <w:rPr>
          <w:rFonts w:ascii="Arial" w:hAnsi="Arial" w:cs="Arial"/>
          <w:color w:val="000000" w:themeColor="text1"/>
          <w:sz w:val="22"/>
          <w:szCs w:val="22"/>
        </w:rPr>
        <w:t xml:space="preserve"> in Namibia. Sustainability, 13(18), 10162.</w:t>
      </w:r>
    </w:p>
    <w:p w14:paraId="5DDF598D" w14:textId="77777777" w:rsidR="00BC1207" w:rsidRPr="00217669" w:rsidRDefault="00BC1207" w:rsidP="00BC1207">
      <w:pPr>
        <w:jc w:val="both"/>
        <w:rPr>
          <w:rFonts w:ascii="Arial" w:hAnsi="Arial" w:cs="Arial"/>
          <w:color w:val="000000" w:themeColor="text1"/>
          <w:sz w:val="22"/>
          <w:szCs w:val="22"/>
        </w:rPr>
      </w:pPr>
    </w:p>
    <w:p w14:paraId="5C7B55C1" w14:textId="77777777" w:rsidR="00BC1207" w:rsidRPr="00BB070D" w:rsidRDefault="00BC1207" w:rsidP="00BC1207">
      <w:pPr>
        <w:jc w:val="both"/>
        <w:rPr>
          <w:rFonts w:ascii="Arial" w:hAnsi="Arial" w:cs="Arial"/>
          <w:color w:val="000000" w:themeColor="text1"/>
          <w:sz w:val="22"/>
          <w:szCs w:val="22"/>
          <w:lang w:val="pt-BR"/>
        </w:rPr>
      </w:pPr>
      <w:r w:rsidRPr="00217669">
        <w:rPr>
          <w:rFonts w:ascii="Arial" w:hAnsi="Arial" w:cs="Arial"/>
          <w:color w:val="000000" w:themeColor="text1"/>
          <w:sz w:val="22"/>
          <w:szCs w:val="22"/>
        </w:rPr>
        <w:t xml:space="preserve">Asian Disaster Preparedness Center (ADPC). (2023). Gender inclusive climate resilient agriculture in Bangladesh: A review of policies and practices. </w:t>
      </w:r>
      <w:r w:rsidRPr="00BB070D">
        <w:rPr>
          <w:rFonts w:ascii="Arial" w:hAnsi="Arial" w:cs="Arial"/>
          <w:color w:val="000000" w:themeColor="text1"/>
          <w:sz w:val="22"/>
          <w:szCs w:val="22"/>
          <w:lang w:val="pt-BR"/>
        </w:rPr>
        <w:t>ADPC. https://www.adpc.net</w:t>
      </w:r>
    </w:p>
    <w:p w14:paraId="0295BDA9" w14:textId="77777777" w:rsidR="00BC1207" w:rsidRPr="00BB070D" w:rsidRDefault="00BC1207" w:rsidP="00BC1207">
      <w:pPr>
        <w:jc w:val="both"/>
        <w:rPr>
          <w:rFonts w:ascii="Arial" w:hAnsi="Arial" w:cs="Arial"/>
          <w:color w:val="000000" w:themeColor="text1"/>
          <w:sz w:val="22"/>
          <w:szCs w:val="22"/>
          <w:lang w:val="pt-BR"/>
        </w:rPr>
      </w:pPr>
    </w:p>
    <w:p w14:paraId="4599A920" w14:textId="77777777" w:rsidR="00BC1207" w:rsidRPr="00217669" w:rsidRDefault="00BC1207" w:rsidP="00BC1207">
      <w:pPr>
        <w:jc w:val="both"/>
        <w:rPr>
          <w:rFonts w:ascii="Arial" w:hAnsi="Arial" w:cs="Arial"/>
          <w:color w:val="000000" w:themeColor="text1"/>
          <w:sz w:val="22"/>
          <w:szCs w:val="22"/>
        </w:rPr>
      </w:pPr>
      <w:r w:rsidRPr="00BB070D">
        <w:rPr>
          <w:rFonts w:ascii="Arial" w:hAnsi="Arial" w:cs="Arial"/>
          <w:color w:val="000000" w:themeColor="text1"/>
          <w:sz w:val="22"/>
          <w:szCs w:val="22"/>
          <w:lang w:val="pt-BR"/>
        </w:rPr>
        <w:t xml:space="preserve">Canedo, E. D., Bonifácio, R., Okimoto, M. V., Serebrenik, A., Pinto, G., &amp; Monteiro, E. (2020). </w:t>
      </w:r>
      <w:r w:rsidRPr="00217669">
        <w:rPr>
          <w:rFonts w:ascii="Arial" w:hAnsi="Arial" w:cs="Arial"/>
          <w:color w:val="000000" w:themeColor="text1"/>
          <w:sz w:val="22"/>
          <w:szCs w:val="22"/>
        </w:rPr>
        <w:t xml:space="preserve">Work practices and perceptions from women core developers in OSS communities. </w:t>
      </w:r>
      <w:proofErr w:type="spellStart"/>
      <w:r w:rsidRPr="00217669">
        <w:rPr>
          <w:rFonts w:ascii="Arial" w:hAnsi="Arial" w:cs="Arial"/>
          <w:color w:val="000000" w:themeColor="text1"/>
          <w:sz w:val="22"/>
          <w:szCs w:val="22"/>
        </w:rPr>
        <w:t>arXiv</w:t>
      </w:r>
      <w:proofErr w:type="spellEnd"/>
      <w:r w:rsidRPr="00217669">
        <w:rPr>
          <w:rFonts w:ascii="Arial" w:hAnsi="Arial" w:cs="Arial"/>
          <w:color w:val="000000" w:themeColor="text1"/>
          <w:sz w:val="22"/>
          <w:szCs w:val="22"/>
        </w:rPr>
        <w:t>. https://doi.org/10.48550/arXiv.2007.13891</w:t>
      </w:r>
    </w:p>
    <w:p w14:paraId="32FA1B54" w14:textId="77777777" w:rsidR="00BC1207" w:rsidRPr="00217669" w:rsidRDefault="00BC1207" w:rsidP="00BC1207">
      <w:pPr>
        <w:jc w:val="both"/>
        <w:rPr>
          <w:rFonts w:ascii="Arial" w:hAnsi="Arial" w:cs="Arial"/>
          <w:color w:val="000000" w:themeColor="text1"/>
          <w:sz w:val="22"/>
          <w:szCs w:val="22"/>
        </w:rPr>
      </w:pPr>
    </w:p>
    <w:p w14:paraId="3FF722CF"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Di Vaio, A., Hassan, R., &amp; Palladino, R. (2023). Blockchain technology and gender equality: A systematic literature review. International Journal of Information Management, 68, 102517.</w:t>
      </w:r>
    </w:p>
    <w:p w14:paraId="06FF2902" w14:textId="77777777" w:rsidR="00BC1207" w:rsidRPr="00217669" w:rsidRDefault="00BC1207" w:rsidP="00BC1207">
      <w:pPr>
        <w:jc w:val="both"/>
        <w:rPr>
          <w:rFonts w:ascii="Arial" w:hAnsi="Arial" w:cs="Arial"/>
          <w:color w:val="000000" w:themeColor="text1"/>
          <w:sz w:val="22"/>
          <w:szCs w:val="22"/>
        </w:rPr>
      </w:pPr>
    </w:p>
    <w:p w14:paraId="05D4E1FC" w14:textId="77777777" w:rsidR="00BC1207" w:rsidRPr="00217669" w:rsidRDefault="00BC1207" w:rsidP="00BC1207">
      <w:pPr>
        <w:jc w:val="both"/>
        <w:rPr>
          <w:rFonts w:ascii="Arial" w:hAnsi="Arial" w:cs="Arial"/>
          <w:color w:val="000000" w:themeColor="text1"/>
          <w:sz w:val="22"/>
          <w:szCs w:val="22"/>
        </w:rPr>
      </w:pPr>
      <w:proofErr w:type="spellStart"/>
      <w:r w:rsidRPr="00217669">
        <w:rPr>
          <w:rFonts w:ascii="Arial" w:hAnsi="Arial" w:cs="Arial"/>
          <w:color w:val="000000" w:themeColor="text1"/>
          <w:sz w:val="22"/>
          <w:szCs w:val="22"/>
        </w:rPr>
        <w:t>Fitong</w:t>
      </w:r>
      <w:proofErr w:type="spellEnd"/>
      <w:r w:rsidRPr="00217669">
        <w:rPr>
          <w:rFonts w:ascii="Arial" w:hAnsi="Arial" w:cs="Arial"/>
          <w:color w:val="000000" w:themeColor="text1"/>
          <w:sz w:val="22"/>
          <w:szCs w:val="22"/>
        </w:rPr>
        <w:t xml:space="preserve"> Ketchiwou, G., &amp; </w:t>
      </w:r>
      <w:proofErr w:type="spellStart"/>
      <w:r w:rsidRPr="00217669">
        <w:rPr>
          <w:rFonts w:ascii="Arial" w:hAnsi="Arial" w:cs="Arial"/>
          <w:color w:val="000000" w:themeColor="text1"/>
          <w:sz w:val="22"/>
          <w:szCs w:val="22"/>
        </w:rPr>
        <w:t>Dzansi</w:t>
      </w:r>
      <w:proofErr w:type="spellEnd"/>
      <w:r w:rsidRPr="00217669">
        <w:rPr>
          <w:rFonts w:ascii="Arial" w:hAnsi="Arial" w:cs="Arial"/>
          <w:color w:val="000000" w:themeColor="text1"/>
          <w:sz w:val="22"/>
          <w:szCs w:val="22"/>
        </w:rPr>
        <w:t>, L. W. (2023). Examining the impact of gender discriminatory practices on women’s development and progression at work. Businesses, 3(2).</w:t>
      </w:r>
    </w:p>
    <w:p w14:paraId="52EE331F" w14:textId="77777777" w:rsidR="00BC1207" w:rsidRPr="00217669" w:rsidRDefault="00BC1207" w:rsidP="00BC1207">
      <w:pPr>
        <w:jc w:val="both"/>
        <w:rPr>
          <w:rFonts w:ascii="Arial" w:hAnsi="Arial" w:cs="Arial"/>
          <w:color w:val="000000" w:themeColor="text1"/>
          <w:sz w:val="22"/>
          <w:szCs w:val="22"/>
        </w:rPr>
      </w:pPr>
    </w:p>
    <w:p w14:paraId="172C1D68"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Food and Agriculture Organization of the United Nations (FAO). (2019). Gender in agriculture: Closing the knowledge gap. FAO.</w:t>
      </w:r>
    </w:p>
    <w:p w14:paraId="1270DCE6" w14:textId="77777777" w:rsidR="00BC1207" w:rsidRPr="00217669" w:rsidRDefault="00BC1207" w:rsidP="00BC1207">
      <w:pPr>
        <w:jc w:val="both"/>
        <w:rPr>
          <w:rFonts w:ascii="Arial" w:hAnsi="Arial" w:cs="Arial"/>
          <w:color w:val="000000" w:themeColor="text1"/>
          <w:sz w:val="22"/>
          <w:szCs w:val="22"/>
        </w:rPr>
      </w:pPr>
    </w:p>
    <w:p w14:paraId="0ED72D4A"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Food and Agriculture Organization of the United Nations (FAO). (2020). The state of food and agriculture 2020: Overcoming water challenges in agriculture. FAO. https://doi.org/10.4060/cb1447en</w:t>
      </w:r>
    </w:p>
    <w:p w14:paraId="6FF1192A" w14:textId="77777777" w:rsidR="00BC1207" w:rsidRPr="00217669" w:rsidRDefault="00BC1207" w:rsidP="00BC1207">
      <w:pPr>
        <w:jc w:val="both"/>
        <w:rPr>
          <w:rFonts w:ascii="Arial" w:hAnsi="Arial" w:cs="Arial"/>
          <w:color w:val="000000" w:themeColor="text1"/>
          <w:sz w:val="22"/>
          <w:szCs w:val="22"/>
        </w:rPr>
      </w:pPr>
    </w:p>
    <w:p w14:paraId="0F5F63AF"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Food and Agriculture Organization of the United Nations (FAO). (2021). The status of women in agrifood systems. Rome: FAO. https://doi.org/10.4060/cb9273en</w:t>
      </w:r>
    </w:p>
    <w:p w14:paraId="597FFB20" w14:textId="77777777" w:rsidR="00BC1207" w:rsidRPr="00217669" w:rsidRDefault="00BC1207" w:rsidP="00BC1207">
      <w:pPr>
        <w:jc w:val="both"/>
        <w:rPr>
          <w:rFonts w:ascii="Arial" w:hAnsi="Arial" w:cs="Arial"/>
          <w:color w:val="000000" w:themeColor="text1"/>
          <w:sz w:val="22"/>
          <w:szCs w:val="22"/>
        </w:rPr>
      </w:pPr>
    </w:p>
    <w:p w14:paraId="1DD1F091"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Food and Agriculture Organization of the United Nations (FAO). (2022). The state of food security and nutrition in the world 2022: Repurposing food and agricultural policies to make healthy diets more affordable. FAO.</w:t>
      </w:r>
    </w:p>
    <w:p w14:paraId="1A069A68" w14:textId="77777777" w:rsidR="00BC1207" w:rsidRPr="00217669" w:rsidRDefault="00BC1207" w:rsidP="00BC1207">
      <w:pPr>
        <w:jc w:val="both"/>
        <w:rPr>
          <w:rFonts w:ascii="Arial" w:hAnsi="Arial" w:cs="Arial"/>
          <w:color w:val="000000" w:themeColor="text1"/>
          <w:sz w:val="22"/>
          <w:szCs w:val="22"/>
        </w:rPr>
      </w:pPr>
    </w:p>
    <w:p w14:paraId="0A5E564F"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Galindo-Silva, H., &amp; Herrera-</w:t>
      </w:r>
      <w:proofErr w:type="spellStart"/>
      <w:r w:rsidRPr="00217669">
        <w:rPr>
          <w:rFonts w:ascii="Arial" w:hAnsi="Arial" w:cs="Arial"/>
          <w:color w:val="000000" w:themeColor="text1"/>
          <w:sz w:val="22"/>
          <w:szCs w:val="22"/>
        </w:rPr>
        <w:t>Idárraga</w:t>
      </w:r>
      <w:proofErr w:type="spellEnd"/>
      <w:r w:rsidRPr="00217669">
        <w:rPr>
          <w:rFonts w:ascii="Arial" w:hAnsi="Arial" w:cs="Arial"/>
          <w:color w:val="000000" w:themeColor="text1"/>
          <w:sz w:val="22"/>
          <w:szCs w:val="22"/>
        </w:rPr>
        <w:t xml:space="preserve">, P. (2023). Culture, gender, and labor force participation: Evidence from Colombia. </w:t>
      </w:r>
      <w:proofErr w:type="spellStart"/>
      <w:r w:rsidRPr="00217669">
        <w:rPr>
          <w:rFonts w:ascii="Arial" w:hAnsi="Arial" w:cs="Arial"/>
          <w:color w:val="000000" w:themeColor="text1"/>
          <w:sz w:val="22"/>
          <w:szCs w:val="22"/>
        </w:rPr>
        <w:t>arXiv</w:t>
      </w:r>
      <w:proofErr w:type="spellEnd"/>
      <w:r w:rsidRPr="00217669">
        <w:rPr>
          <w:rFonts w:ascii="Arial" w:hAnsi="Arial" w:cs="Arial"/>
          <w:color w:val="000000" w:themeColor="text1"/>
          <w:sz w:val="22"/>
          <w:szCs w:val="22"/>
        </w:rPr>
        <w:t>. https://doi.org/10.48550/arXiv.2307.08869</w:t>
      </w:r>
    </w:p>
    <w:p w14:paraId="6021D5F6" w14:textId="77777777" w:rsidR="00BC1207" w:rsidRPr="00217669" w:rsidRDefault="00BC1207" w:rsidP="00BC1207">
      <w:pPr>
        <w:jc w:val="both"/>
        <w:rPr>
          <w:rFonts w:ascii="Arial" w:hAnsi="Arial" w:cs="Arial"/>
          <w:color w:val="000000" w:themeColor="text1"/>
          <w:sz w:val="22"/>
          <w:szCs w:val="22"/>
        </w:rPr>
      </w:pPr>
    </w:p>
    <w:p w14:paraId="0D1A203A"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Heilman, M. E., Caleo, S., &amp; Manzi, F. (2024). Women at work: Pathways from gender stereotypes to gender bias and discrimination. Annual Review of Organizational Psychology and Organizational Behavior, 11(1), 165–192.</w:t>
      </w:r>
    </w:p>
    <w:p w14:paraId="3E530D17" w14:textId="77777777" w:rsidR="00BC1207" w:rsidRPr="00217669" w:rsidRDefault="00BC1207" w:rsidP="00BC1207">
      <w:pPr>
        <w:jc w:val="both"/>
        <w:rPr>
          <w:rFonts w:ascii="Arial" w:hAnsi="Arial" w:cs="Arial"/>
          <w:color w:val="000000" w:themeColor="text1"/>
          <w:sz w:val="22"/>
          <w:szCs w:val="22"/>
        </w:rPr>
      </w:pPr>
    </w:p>
    <w:p w14:paraId="1329F1CB"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 xml:space="preserve">Ifeanyi-Obi, C. C., Aderinoye-Abdulwahab, S. A., Nwobodo, C. E., Nwokolo, C. I., </w:t>
      </w:r>
      <w:proofErr w:type="spellStart"/>
      <w:r w:rsidRPr="00217669">
        <w:rPr>
          <w:rFonts w:ascii="Arial" w:hAnsi="Arial" w:cs="Arial"/>
          <w:color w:val="000000" w:themeColor="text1"/>
          <w:sz w:val="22"/>
          <w:szCs w:val="22"/>
        </w:rPr>
        <w:t>Adesope</w:t>
      </w:r>
      <w:proofErr w:type="spellEnd"/>
      <w:r w:rsidRPr="00217669">
        <w:rPr>
          <w:rFonts w:ascii="Arial" w:hAnsi="Arial" w:cs="Arial"/>
          <w:color w:val="000000" w:themeColor="text1"/>
          <w:sz w:val="22"/>
          <w:szCs w:val="22"/>
        </w:rPr>
        <w:t xml:space="preserve">, O. M., Allen, F., &amp; Anyanwu, I. (2024, October). Enhancing climate-resilient agriculture through gender-responsive practices, interventions and policies in Nigeria. In Triple Helix Nigeria </w:t>
      </w:r>
      <w:proofErr w:type="spellStart"/>
      <w:r w:rsidRPr="00217669">
        <w:rPr>
          <w:rFonts w:ascii="Arial" w:hAnsi="Arial" w:cs="Arial"/>
          <w:color w:val="000000" w:themeColor="text1"/>
          <w:sz w:val="22"/>
          <w:szCs w:val="22"/>
        </w:rPr>
        <w:t>SciBiz</w:t>
      </w:r>
      <w:proofErr w:type="spellEnd"/>
      <w:r w:rsidRPr="00217669">
        <w:rPr>
          <w:rFonts w:ascii="Arial" w:hAnsi="Arial" w:cs="Arial"/>
          <w:color w:val="000000" w:themeColor="text1"/>
          <w:sz w:val="22"/>
          <w:szCs w:val="22"/>
        </w:rPr>
        <w:t xml:space="preserve"> Annual Conference (pp. 281–303). Cham: Springer Nature Switzerland.</w:t>
      </w:r>
    </w:p>
    <w:p w14:paraId="4B2DA255" w14:textId="77777777" w:rsidR="00BC1207" w:rsidRPr="00217669" w:rsidRDefault="00BC1207" w:rsidP="00BC1207">
      <w:pPr>
        <w:jc w:val="both"/>
        <w:rPr>
          <w:rFonts w:ascii="Arial" w:hAnsi="Arial" w:cs="Arial"/>
          <w:color w:val="000000" w:themeColor="text1"/>
          <w:sz w:val="22"/>
          <w:szCs w:val="22"/>
        </w:rPr>
      </w:pPr>
    </w:p>
    <w:p w14:paraId="30B96973"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Javaid, M., Haleem, A., Singh, R. P., &amp; Sinha, A. K. (2024). Digital economy to improve the culture of Industry 4.0: A study on features, implementation and challenges. Green Technologies and Sustainability, 2(2), 100083.</w:t>
      </w:r>
    </w:p>
    <w:p w14:paraId="540F410F" w14:textId="77777777" w:rsidR="00BC1207" w:rsidRPr="00217669" w:rsidRDefault="00BC1207" w:rsidP="00BC1207">
      <w:pPr>
        <w:jc w:val="both"/>
        <w:rPr>
          <w:rFonts w:ascii="Arial" w:hAnsi="Arial" w:cs="Arial"/>
          <w:color w:val="000000" w:themeColor="text1"/>
          <w:sz w:val="22"/>
          <w:szCs w:val="22"/>
        </w:rPr>
      </w:pPr>
    </w:p>
    <w:p w14:paraId="683FC5F2"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Kabeer, N. (2016). Gender equality, economic growth, and women’s agency: The “endless variety” and “monotonous similarity” of patriarchal constraints. Feminist Economics, 22(1), 295–321.</w:t>
      </w:r>
    </w:p>
    <w:p w14:paraId="7199CB86" w14:textId="77777777" w:rsidR="00BC1207" w:rsidRPr="00217669" w:rsidRDefault="00BC1207" w:rsidP="00BC1207">
      <w:pPr>
        <w:jc w:val="both"/>
        <w:rPr>
          <w:rFonts w:ascii="Arial" w:hAnsi="Arial" w:cs="Arial"/>
          <w:color w:val="000000" w:themeColor="text1"/>
          <w:sz w:val="22"/>
          <w:szCs w:val="22"/>
        </w:rPr>
      </w:pPr>
    </w:p>
    <w:p w14:paraId="3421C220"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lastRenderedPageBreak/>
        <w:t>Karuma, P. G. (2023). Gender and socio-ecological resilience to climate change (Doctoral dissertation, Faculty of Humanities, University of Pretoria).</w:t>
      </w:r>
    </w:p>
    <w:p w14:paraId="0E211594" w14:textId="77777777" w:rsidR="00BC1207" w:rsidRPr="00217669" w:rsidRDefault="00BC1207" w:rsidP="00BC1207">
      <w:pPr>
        <w:jc w:val="both"/>
        <w:rPr>
          <w:rFonts w:ascii="Arial" w:hAnsi="Arial" w:cs="Arial"/>
          <w:color w:val="000000" w:themeColor="text1"/>
          <w:sz w:val="22"/>
          <w:szCs w:val="22"/>
        </w:rPr>
      </w:pPr>
    </w:p>
    <w:p w14:paraId="26457AFA"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 xml:space="preserve">Lopez, D. E., </w:t>
      </w:r>
      <w:proofErr w:type="spellStart"/>
      <w:r w:rsidRPr="00217669">
        <w:rPr>
          <w:rFonts w:ascii="Arial" w:hAnsi="Arial" w:cs="Arial"/>
          <w:color w:val="000000" w:themeColor="text1"/>
          <w:sz w:val="22"/>
          <w:szCs w:val="22"/>
        </w:rPr>
        <w:t>Frelat</w:t>
      </w:r>
      <w:proofErr w:type="spellEnd"/>
      <w:r w:rsidRPr="00217669">
        <w:rPr>
          <w:rFonts w:ascii="Arial" w:hAnsi="Arial" w:cs="Arial"/>
          <w:color w:val="000000" w:themeColor="text1"/>
          <w:sz w:val="22"/>
          <w:szCs w:val="22"/>
        </w:rPr>
        <w:t>, R., &amp; Badstue, L. B. (2022). Towards gender-inclusive innovation: Assessing local conditions for agricultural targeting. PLOS ONE, 17(3), e0263771.</w:t>
      </w:r>
    </w:p>
    <w:p w14:paraId="528B82BD" w14:textId="77777777" w:rsidR="00BC1207" w:rsidRPr="00217669" w:rsidRDefault="00BC1207" w:rsidP="00BC1207">
      <w:pPr>
        <w:jc w:val="both"/>
        <w:rPr>
          <w:rFonts w:ascii="Arial" w:hAnsi="Arial" w:cs="Arial"/>
          <w:color w:val="000000" w:themeColor="text1"/>
          <w:sz w:val="22"/>
          <w:szCs w:val="22"/>
        </w:rPr>
      </w:pPr>
    </w:p>
    <w:p w14:paraId="4D237629" w14:textId="77777777" w:rsidR="00BC1207" w:rsidRPr="00217669" w:rsidRDefault="00BC1207" w:rsidP="00BC1207">
      <w:pPr>
        <w:jc w:val="both"/>
        <w:rPr>
          <w:rFonts w:ascii="Arial" w:hAnsi="Arial" w:cs="Arial"/>
          <w:color w:val="000000" w:themeColor="text1"/>
          <w:sz w:val="22"/>
          <w:szCs w:val="22"/>
        </w:rPr>
      </w:pPr>
      <w:proofErr w:type="spellStart"/>
      <w:r w:rsidRPr="00217669">
        <w:rPr>
          <w:rFonts w:ascii="Arial" w:hAnsi="Arial" w:cs="Arial"/>
          <w:color w:val="000000" w:themeColor="text1"/>
          <w:sz w:val="22"/>
          <w:szCs w:val="22"/>
        </w:rPr>
        <w:t>Rachmad</w:t>
      </w:r>
      <w:proofErr w:type="spellEnd"/>
      <w:r w:rsidRPr="00217669">
        <w:rPr>
          <w:rFonts w:ascii="Arial" w:hAnsi="Arial" w:cs="Arial"/>
          <w:color w:val="000000" w:themeColor="text1"/>
          <w:sz w:val="22"/>
          <w:szCs w:val="22"/>
        </w:rPr>
        <w:t>, Y. E. (2025). CBDC and the digital economy: Mitigating risks and capitalizing on opportunities. The United Nations and the Nobel Peace Prize Awards.</w:t>
      </w:r>
    </w:p>
    <w:p w14:paraId="6478D324" w14:textId="77777777" w:rsidR="00BC1207" w:rsidRPr="00217669" w:rsidRDefault="00BC1207" w:rsidP="00BC1207">
      <w:pPr>
        <w:jc w:val="both"/>
        <w:rPr>
          <w:rFonts w:ascii="Arial" w:hAnsi="Arial" w:cs="Arial"/>
          <w:color w:val="000000" w:themeColor="text1"/>
          <w:sz w:val="22"/>
          <w:szCs w:val="22"/>
        </w:rPr>
      </w:pPr>
    </w:p>
    <w:p w14:paraId="0A48FA87"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Rosa, R., &amp; Clavero, S. (2022). Gender equality in higher education and research. Journal of Gender Studies, 31(1), 1–7.</w:t>
      </w:r>
    </w:p>
    <w:p w14:paraId="2CBFB67B" w14:textId="77777777" w:rsidR="00BC1207" w:rsidRPr="00217669" w:rsidRDefault="00BC1207" w:rsidP="00BC1207">
      <w:pPr>
        <w:jc w:val="both"/>
        <w:rPr>
          <w:rFonts w:ascii="Arial" w:hAnsi="Arial" w:cs="Arial"/>
          <w:color w:val="000000" w:themeColor="text1"/>
          <w:sz w:val="22"/>
          <w:szCs w:val="22"/>
        </w:rPr>
      </w:pPr>
    </w:p>
    <w:p w14:paraId="51C85151"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Smith, A. (2025). Examining gender-inclusive approaches to green technology deployment in agricultural policy frameworks: A global perspective. Transdisciplinary Advances in Social Computing, Complex Dynamics, and Computational Creativity, 15(2), 1–9.</w:t>
      </w:r>
    </w:p>
    <w:p w14:paraId="0CE478F4" w14:textId="77777777" w:rsidR="00BC1207" w:rsidRPr="00217669" w:rsidRDefault="00BC1207" w:rsidP="00BC1207">
      <w:pPr>
        <w:jc w:val="both"/>
        <w:rPr>
          <w:rFonts w:ascii="Arial" w:hAnsi="Arial" w:cs="Arial"/>
          <w:color w:val="000000" w:themeColor="text1"/>
          <w:sz w:val="22"/>
          <w:szCs w:val="22"/>
        </w:rPr>
      </w:pPr>
    </w:p>
    <w:p w14:paraId="3400EB07"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 xml:space="preserve">Smith, S. G., &amp; </w:t>
      </w:r>
      <w:proofErr w:type="spellStart"/>
      <w:r w:rsidRPr="00217669">
        <w:rPr>
          <w:rFonts w:ascii="Arial" w:hAnsi="Arial" w:cs="Arial"/>
          <w:color w:val="000000" w:themeColor="text1"/>
          <w:sz w:val="22"/>
          <w:szCs w:val="22"/>
        </w:rPr>
        <w:t>Sinkford</w:t>
      </w:r>
      <w:proofErr w:type="spellEnd"/>
      <w:r w:rsidRPr="00217669">
        <w:rPr>
          <w:rFonts w:ascii="Arial" w:hAnsi="Arial" w:cs="Arial"/>
          <w:color w:val="000000" w:themeColor="text1"/>
          <w:sz w:val="22"/>
          <w:szCs w:val="22"/>
        </w:rPr>
        <w:t>, J. C. (2022). Gender equality in the 21st century: Overcoming barriers to women’s leadership in global health. Journal of Dental Education, 86(9), 1144–1173.</w:t>
      </w:r>
    </w:p>
    <w:p w14:paraId="224542D6" w14:textId="77777777" w:rsidR="00BC1207" w:rsidRPr="00217669" w:rsidRDefault="00BC1207" w:rsidP="00BC1207">
      <w:pPr>
        <w:jc w:val="both"/>
        <w:rPr>
          <w:rFonts w:ascii="Arial" w:hAnsi="Arial" w:cs="Arial"/>
          <w:color w:val="000000" w:themeColor="text1"/>
          <w:sz w:val="22"/>
          <w:szCs w:val="22"/>
        </w:rPr>
      </w:pPr>
    </w:p>
    <w:p w14:paraId="5621D6AB" w14:textId="77777777" w:rsidR="00BC1207" w:rsidRPr="00217669" w:rsidRDefault="00BC1207" w:rsidP="00BC1207">
      <w:pPr>
        <w:jc w:val="both"/>
        <w:rPr>
          <w:rFonts w:ascii="Arial" w:hAnsi="Arial" w:cs="Arial"/>
          <w:color w:val="000000" w:themeColor="text1"/>
          <w:sz w:val="22"/>
          <w:szCs w:val="22"/>
        </w:rPr>
      </w:pPr>
      <w:proofErr w:type="spellStart"/>
      <w:r w:rsidRPr="00217669">
        <w:rPr>
          <w:rFonts w:ascii="Arial" w:hAnsi="Arial" w:cs="Arial"/>
          <w:color w:val="000000" w:themeColor="text1"/>
          <w:sz w:val="22"/>
          <w:szCs w:val="22"/>
        </w:rPr>
        <w:t>Timu</w:t>
      </w:r>
      <w:proofErr w:type="spellEnd"/>
      <w:r w:rsidRPr="00217669">
        <w:rPr>
          <w:rFonts w:ascii="Arial" w:hAnsi="Arial" w:cs="Arial"/>
          <w:color w:val="000000" w:themeColor="text1"/>
          <w:sz w:val="22"/>
          <w:szCs w:val="22"/>
        </w:rPr>
        <w:t>, A. G., &amp; Kramer, B. (2023). Gender-inclusive, responsive, and transformative agricultural insurance: A literature review. Global Food Security, 36, 100672.</w:t>
      </w:r>
    </w:p>
    <w:p w14:paraId="6B355089" w14:textId="77777777" w:rsidR="00BC1207" w:rsidRPr="00217669" w:rsidRDefault="00BC1207" w:rsidP="00BC1207">
      <w:pPr>
        <w:jc w:val="both"/>
        <w:rPr>
          <w:rFonts w:ascii="Arial" w:hAnsi="Arial" w:cs="Arial"/>
          <w:color w:val="000000" w:themeColor="text1"/>
          <w:sz w:val="22"/>
          <w:szCs w:val="22"/>
        </w:rPr>
      </w:pPr>
    </w:p>
    <w:p w14:paraId="775F7F9E"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UN Women. (2023). Progress on the Sustainable Development Goals: The Gender Snapshot 2023. United Nations Entity for Gender Equality and the Empowerment of Women. https://www.unwomen.org</w:t>
      </w:r>
    </w:p>
    <w:p w14:paraId="25AFC750" w14:textId="77777777" w:rsidR="00BC1207" w:rsidRPr="00217669" w:rsidRDefault="00BC1207" w:rsidP="00BC1207">
      <w:pPr>
        <w:jc w:val="both"/>
        <w:rPr>
          <w:rFonts w:ascii="Arial" w:hAnsi="Arial" w:cs="Arial"/>
          <w:color w:val="000000" w:themeColor="text1"/>
          <w:sz w:val="22"/>
          <w:szCs w:val="22"/>
        </w:rPr>
      </w:pPr>
    </w:p>
    <w:p w14:paraId="637E05BA"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United Nations. (2015). Transforming our world: The 2030 Agenda for Sustainable Development. United Nations. https://sdgs.un.org/2030agenda</w:t>
      </w:r>
    </w:p>
    <w:p w14:paraId="74AE9D37" w14:textId="77777777" w:rsidR="00BC1207" w:rsidRPr="00217669" w:rsidRDefault="00BC1207" w:rsidP="00BC1207">
      <w:pPr>
        <w:jc w:val="both"/>
        <w:rPr>
          <w:rFonts w:ascii="Arial" w:hAnsi="Arial" w:cs="Arial"/>
          <w:color w:val="000000" w:themeColor="text1"/>
          <w:sz w:val="22"/>
          <w:szCs w:val="22"/>
        </w:rPr>
      </w:pPr>
    </w:p>
    <w:p w14:paraId="69D22F5A" w14:textId="77777777" w:rsidR="00BC1207" w:rsidRPr="00217669" w:rsidRDefault="00BC1207" w:rsidP="00BC1207">
      <w:pPr>
        <w:jc w:val="both"/>
        <w:rPr>
          <w:rFonts w:ascii="Arial" w:hAnsi="Arial" w:cs="Arial"/>
          <w:color w:val="000000" w:themeColor="text1"/>
          <w:sz w:val="22"/>
          <w:szCs w:val="22"/>
        </w:rPr>
      </w:pPr>
      <w:r w:rsidRPr="00217669">
        <w:rPr>
          <w:rFonts w:ascii="Arial" w:hAnsi="Arial" w:cs="Arial"/>
          <w:color w:val="000000" w:themeColor="text1"/>
          <w:sz w:val="22"/>
          <w:szCs w:val="22"/>
        </w:rPr>
        <w:t>Wagayen, M. (2020). Gender participation in the sustainable management of resources within upland agroforests in La Union, Philippines. Department of Environment and Natural Resources (DENR) &amp; Local Government Units (LGUs).</w:t>
      </w:r>
    </w:p>
    <w:p w14:paraId="3F6F90F2" w14:textId="77777777" w:rsidR="00BC1207" w:rsidRPr="00217669" w:rsidRDefault="00BC1207" w:rsidP="00BC1207">
      <w:pPr>
        <w:jc w:val="both"/>
        <w:rPr>
          <w:rFonts w:ascii="Arial" w:hAnsi="Arial" w:cs="Arial"/>
          <w:color w:val="000000" w:themeColor="text1"/>
          <w:sz w:val="22"/>
          <w:szCs w:val="22"/>
        </w:rPr>
      </w:pPr>
    </w:p>
    <w:p w14:paraId="36187A6B" w14:textId="77777777" w:rsidR="00BC1207" w:rsidRPr="00217669" w:rsidRDefault="00BC1207" w:rsidP="00BC1207">
      <w:pPr>
        <w:jc w:val="both"/>
        <w:rPr>
          <w:rFonts w:ascii="Arial" w:hAnsi="Arial" w:cs="Arial"/>
          <w:color w:val="000000" w:themeColor="text1"/>
        </w:rPr>
      </w:pPr>
      <w:r w:rsidRPr="00BB070D">
        <w:rPr>
          <w:rFonts w:ascii="Arial" w:hAnsi="Arial" w:cs="Arial"/>
          <w:color w:val="000000" w:themeColor="text1"/>
          <w:sz w:val="22"/>
          <w:szCs w:val="22"/>
          <w:lang w:val="pt-BR"/>
        </w:rPr>
        <w:t xml:space="preserve">Xia, L., Baghaie, S., &amp; Sajadi, S. M. (2024). </w:t>
      </w:r>
      <w:r w:rsidRPr="00217669">
        <w:rPr>
          <w:rFonts w:ascii="Arial" w:hAnsi="Arial" w:cs="Arial"/>
          <w:color w:val="000000" w:themeColor="text1"/>
          <w:sz w:val="22"/>
          <w:szCs w:val="22"/>
        </w:rPr>
        <w:t>The digital economy: Challenges and opportunities in the new era of technology and electronic communications. Ain Shams Engineering Journal, 15(2), 102411.</w:t>
      </w:r>
    </w:p>
    <w:p w14:paraId="07187DB5" w14:textId="3E8D404C" w:rsidR="005547CB" w:rsidRDefault="005547CB" w:rsidP="00BC1207">
      <w:pPr>
        <w:pStyle w:val="Body"/>
        <w:rPr>
          <w:rFonts w:ascii="Arial" w:hAnsi="Arial" w:cs="Arial"/>
          <w:b/>
          <w:caps/>
        </w:rPr>
      </w:pPr>
    </w:p>
    <w:sectPr w:rsidR="005547CB" w:rsidSect="00D5194D">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D735" w14:textId="77777777" w:rsidR="00A403D9" w:rsidRDefault="00A403D9" w:rsidP="00C37E61">
      <w:r>
        <w:separator/>
      </w:r>
    </w:p>
  </w:endnote>
  <w:endnote w:type="continuationSeparator" w:id="0">
    <w:p w14:paraId="361B684C" w14:textId="77777777" w:rsidR="00A403D9" w:rsidRDefault="00A403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08D1" w14:textId="77777777" w:rsidR="00D5194D" w:rsidRDefault="00D51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996E" w14:textId="77777777" w:rsidR="00D5194D" w:rsidRDefault="00D51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6D4F" w14:textId="52D755C5" w:rsidR="00754C9A" w:rsidRPr="008B28AB" w:rsidRDefault="00754C9A" w:rsidP="008B28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0C4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A9B7" w14:textId="77777777" w:rsidR="00A403D9" w:rsidRDefault="00A403D9" w:rsidP="00C37E61">
      <w:r>
        <w:separator/>
      </w:r>
    </w:p>
  </w:footnote>
  <w:footnote w:type="continuationSeparator" w:id="0">
    <w:p w14:paraId="20922CF5" w14:textId="77777777" w:rsidR="00A403D9" w:rsidRDefault="00A403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BCAD" w14:textId="72972B2E" w:rsidR="00D5194D" w:rsidRDefault="00000000">
    <w:pPr>
      <w:pStyle w:val="Header"/>
    </w:pPr>
    <w:r>
      <w:rPr>
        <w:noProof/>
      </w:rPr>
      <w:pict w14:anchorId="0607C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0"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C5F4" w14:textId="78E53852" w:rsidR="00D5194D" w:rsidRDefault="00000000">
    <w:pPr>
      <w:pStyle w:val="Header"/>
    </w:pPr>
    <w:r>
      <w:rPr>
        <w:noProof/>
      </w:rPr>
      <w:pict w14:anchorId="5E22D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1"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D6F0" w14:textId="06BAD14B" w:rsidR="00296529" w:rsidRPr="00296529" w:rsidRDefault="00000000" w:rsidP="00296529">
    <w:pPr>
      <w:ind w:left="2160"/>
      <w:jc w:val="center"/>
      <w:rPr>
        <w:rFonts w:ascii="Times New Roman" w:eastAsia="Calibri" w:hAnsi="Times New Roman"/>
        <w:i/>
        <w:sz w:val="18"/>
        <w:szCs w:val="22"/>
      </w:rPr>
    </w:pPr>
    <w:r>
      <w:rPr>
        <w:noProof/>
      </w:rPr>
      <w:pict w14:anchorId="2FA5C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59"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93B3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5212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417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1F8A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B634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BCB8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E3B9" w14:textId="48C0612F" w:rsidR="00D5194D" w:rsidRDefault="00000000">
    <w:pPr>
      <w:pStyle w:val="Header"/>
    </w:pPr>
    <w:r>
      <w:rPr>
        <w:noProof/>
      </w:rPr>
      <w:pict w14:anchorId="45898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3"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01EF" w14:textId="2118F82C" w:rsidR="00D5194D" w:rsidRDefault="00000000">
    <w:pPr>
      <w:pStyle w:val="Header"/>
    </w:pPr>
    <w:r>
      <w:rPr>
        <w:noProof/>
      </w:rPr>
      <w:pict w14:anchorId="0709E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4"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DE81" w14:textId="39C85566" w:rsidR="00D5194D" w:rsidRDefault="00000000">
    <w:pPr>
      <w:pStyle w:val="Header"/>
    </w:pPr>
    <w:r>
      <w:rPr>
        <w:noProof/>
      </w:rPr>
      <w:pict w14:anchorId="005E3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2"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CC3996"/>
    <w:multiLevelType w:val="hybridMultilevel"/>
    <w:tmpl w:val="4B92AF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948891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5483588">
    <w:abstractNumId w:val="16"/>
  </w:num>
  <w:num w:numId="3" w16cid:durableId="1456364483">
    <w:abstractNumId w:val="24"/>
  </w:num>
  <w:num w:numId="4" w16cid:durableId="1174512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02917954">
    <w:abstractNumId w:val="7"/>
  </w:num>
  <w:num w:numId="6" w16cid:durableId="482091039">
    <w:abstractNumId w:val="6"/>
  </w:num>
  <w:num w:numId="7" w16cid:durableId="1818567774">
    <w:abstractNumId w:val="1"/>
  </w:num>
  <w:num w:numId="8" w16cid:durableId="666134587">
    <w:abstractNumId w:val="12"/>
  </w:num>
  <w:num w:numId="9" w16cid:durableId="54202281">
    <w:abstractNumId w:val="26"/>
  </w:num>
  <w:num w:numId="10" w16cid:durableId="171140964">
    <w:abstractNumId w:val="2"/>
  </w:num>
  <w:num w:numId="11" w16cid:durableId="2050105500">
    <w:abstractNumId w:val="19"/>
  </w:num>
  <w:num w:numId="12" w16cid:durableId="644354940">
    <w:abstractNumId w:val="3"/>
  </w:num>
  <w:num w:numId="13" w16cid:durableId="762184517">
    <w:abstractNumId w:val="18"/>
  </w:num>
  <w:num w:numId="14" w16cid:durableId="425424938">
    <w:abstractNumId w:val="8"/>
  </w:num>
  <w:num w:numId="15" w16cid:durableId="1740251816">
    <w:abstractNumId w:val="22"/>
  </w:num>
  <w:num w:numId="16" w16cid:durableId="717243859">
    <w:abstractNumId w:val="5"/>
  </w:num>
  <w:num w:numId="17" w16cid:durableId="1874492340">
    <w:abstractNumId w:val="23"/>
  </w:num>
  <w:num w:numId="18" w16cid:durableId="573053470">
    <w:abstractNumId w:val="15"/>
  </w:num>
  <w:num w:numId="19" w16cid:durableId="787895836">
    <w:abstractNumId w:val="29"/>
  </w:num>
  <w:num w:numId="20" w16cid:durableId="2435554">
    <w:abstractNumId w:val="11"/>
  </w:num>
  <w:num w:numId="21" w16cid:durableId="7567457">
    <w:abstractNumId w:val="9"/>
  </w:num>
  <w:num w:numId="22" w16cid:durableId="1892960481">
    <w:abstractNumId w:val="13"/>
  </w:num>
  <w:num w:numId="23" w16cid:durableId="106773243">
    <w:abstractNumId w:val="20"/>
  </w:num>
  <w:num w:numId="24" w16cid:durableId="861822276">
    <w:abstractNumId w:val="27"/>
  </w:num>
  <w:num w:numId="25" w16cid:durableId="1866290042">
    <w:abstractNumId w:val="4"/>
  </w:num>
  <w:num w:numId="26" w16cid:durableId="1248461910">
    <w:abstractNumId w:val="17"/>
  </w:num>
  <w:num w:numId="27" w16cid:durableId="263196976">
    <w:abstractNumId w:val="21"/>
  </w:num>
  <w:num w:numId="28" w16cid:durableId="1608653550">
    <w:abstractNumId w:val="28"/>
  </w:num>
  <w:num w:numId="29" w16cid:durableId="825321159">
    <w:abstractNumId w:val="25"/>
  </w:num>
  <w:num w:numId="30" w16cid:durableId="864094533">
    <w:abstractNumId w:val="10"/>
  </w:num>
  <w:num w:numId="31" w16cid:durableId="1197964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wNjW0AAJLYyMzYyUdpeDU4uLM/DyQAsNaADhZb5osAAAA"/>
  </w:docVars>
  <w:rsids>
    <w:rsidRoot w:val="00AA6219"/>
    <w:rsid w:val="00000F8F"/>
    <w:rsid w:val="00030174"/>
    <w:rsid w:val="0004579C"/>
    <w:rsid w:val="00097D7F"/>
    <w:rsid w:val="000A47FA"/>
    <w:rsid w:val="000A65D3"/>
    <w:rsid w:val="000B1E33"/>
    <w:rsid w:val="000C5425"/>
    <w:rsid w:val="000D689F"/>
    <w:rsid w:val="000E7B7B"/>
    <w:rsid w:val="000E7D62"/>
    <w:rsid w:val="00103357"/>
    <w:rsid w:val="00123C9F"/>
    <w:rsid w:val="00126190"/>
    <w:rsid w:val="00130F17"/>
    <w:rsid w:val="001320BF"/>
    <w:rsid w:val="001451AD"/>
    <w:rsid w:val="00163BC4"/>
    <w:rsid w:val="00191062"/>
    <w:rsid w:val="00192B72"/>
    <w:rsid w:val="001A29D8"/>
    <w:rsid w:val="001A5CAA"/>
    <w:rsid w:val="001B0427"/>
    <w:rsid w:val="001D3A51"/>
    <w:rsid w:val="001E10D2"/>
    <w:rsid w:val="001E25B4"/>
    <w:rsid w:val="001E44FE"/>
    <w:rsid w:val="00200595"/>
    <w:rsid w:val="00204835"/>
    <w:rsid w:val="00217669"/>
    <w:rsid w:val="00231920"/>
    <w:rsid w:val="0023195C"/>
    <w:rsid w:val="0024282C"/>
    <w:rsid w:val="002460DC"/>
    <w:rsid w:val="00250985"/>
    <w:rsid w:val="002556F6"/>
    <w:rsid w:val="00255DDD"/>
    <w:rsid w:val="00283105"/>
    <w:rsid w:val="00284C4C"/>
    <w:rsid w:val="00287E68"/>
    <w:rsid w:val="00296529"/>
    <w:rsid w:val="002B27FB"/>
    <w:rsid w:val="002B685A"/>
    <w:rsid w:val="002C2707"/>
    <w:rsid w:val="002C57D2"/>
    <w:rsid w:val="002E0D56"/>
    <w:rsid w:val="00315186"/>
    <w:rsid w:val="0033343E"/>
    <w:rsid w:val="00341E84"/>
    <w:rsid w:val="003512C2"/>
    <w:rsid w:val="00357B8B"/>
    <w:rsid w:val="0037120A"/>
    <w:rsid w:val="00371FB6"/>
    <w:rsid w:val="003763C1"/>
    <w:rsid w:val="00376BBE"/>
    <w:rsid w:val="00381C0A"/>
    <w:rsid w:val="003826D5"/>
    <w:rsid w:val="0039224F"/>
    <w:rsid w:val="003A43A4"/>
    <w:rsid w:val="003A7E18"/>
    <w:rsid w:val="003C4C86"/>
    <w:rsid w:val="003C6258"/>
    <w:rsid w:val="003E2904"/>
    <w:rsid w:val="00401927"/>
    <w:rsid w:val="0041027F"/>
    <w:rsid w:val="00412475"/>
    <w:rsid w:val="00423789"/>
    <w:rsid w:val="00431F21"/>
    <w:rsid w:val="00440F43"/>
    <w:rsid w:val="00441B6F"/>
    <w:rsid w:val="00446221"/>
    <w:rsid w:val="00450E62"/>
    <w:rsid w:val="004539DB"/>
    <w:rsid w:val="0046588C"/>
    <w:rsid w:val="00471A80"/>
    <w:rsid w:val="00483FAB"/>
    <w:rsid w:val="0048567B"/>
    <w:rsid w:val="004A32E1"/>
    <w:rsid w:val="004C0790"/>
    <w:rsid w:val="004D305E"/>
    <w:rsid w:val="004D4277"/>
    <w:rsid w:val="00502516"/>
    <w:rsid w:val="00505F06"/>
    <w:rsid w:val="00506828"/>
    <w:rsid w:val="0053056E"/>
    <w:rsid w:val="005547CB"/>
    <w:rsid w:val="00554FDA"/>
    <w:rsid w:val="005C784C"/>
    <w:rsid w:val="005D17F6"/>
    <w:rsid w:val="005E5539"/>
    <w:rsid w:val="00602BF5"/>
    <w:rsid w:val="00617FDD"/>
    <w:rsid w:val="00633614"/>
    <w:rsid w:val="00633F68"/>
    <w:rsid w:val="00636EB2"/>
    <w:rsid w:val="006375B8"/>
    <w:rsid w:val="0066510A"/>
    <w:rsid w:val="00666F43"/>
    <w:rsid w:val="00673F9F"/>
    <w:rsid w:val="00686953"/>
    <w:rsid w:val="00687DEA"/>
    <w:rsid w:val="00687E67"/>
    <w:rsid w:val="006967F7"/>
    <w:rsid w:val="006A250C"/>
    <w:rsid w:val="006B21D3"/>
    <w:rsid w:val="006B57D0"/>
    <w:rsid w:val="006D30FF"/>
    <w:rsid w:val="006D6940"/>
    <w:rsid w:val="006F11EC"/>
    <w:rsid w:val="0070082C"/>
    <w:rsid w:val="00713951"/>
    <w:rsid w:val="00715BB1"/>
    <w:rsid w:val="007369E6"/>
    <w:rsid w:val="00746E59"/>
    <w:rsid w:val="00754C9A"/>
    <w:rsid w:val="0075599A"/>
    <w:rsid w:val="00761D52"/>
    <w:rsid w:val="0077749E"/>
    <w:rsid w:val="00790ADA"/>
    <w:rsid w:val="007D2288"/>
    <w:rsid w:val="007E088F"/>
    <w:rsid w:val="007E124A"/>
    <w:rsid w:val="007F7B32"/>
    <w:rsid w:val="00804BC2"/>
    <w:rsid w:val="0081431A"/>
    <w:rsid w:val="0083216F"/>
    <w:rsid w:val="008347C3"/>
    <w:rsid w:val="00860000"/>
    <w:rsid w:val="00863BD3"/>
    <w:rsid w:val="008641ED"/>
    <w:rsid w:val="00866D66"/>
    <w:rsid w:val="008671C6"/>
    <w:rsid w:val="00875803"/>
    <w:rsid w:val="00883654"/>
    <w:rsid w:val="008A70FE"/>
    <w:rsid w:val="008B28AB"/>
    <w:rsid w:val="008B459E"/>
    <w:rsid w:val="008E13AE"/>
    <w:rsid w:val="008E1506"/>
    <w:rsid w:val="008E710C"/>
    <w:rsid w:val="008F69D6"/>
    <w:rsid w:val="00902823"/>
    <w:rsid w:val="00915CA6"/>
    <w:rsid w:val="0092337A"/>
    <w:rsid w:val="00924A91"/>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3D9"/>
    <w:rsid w:val="00A51431"/>
    <w:rsid w:val="00A539AD"/>
    <w:rsid w:val="00A5548E"/>
    <w:rsid w:val="00A94063"/>
    <w:rsid w:val="00AA6219"/>
    <w:rsid w:val="00AA74E0"/>
    <w:rsid w:val="00AB703F"/>
    <w:rsid w:val="00AC6BB8"/>
    <w:rsid w:val="00AE008F"/>
    <w:rsid w:val="00B01FCD"/>
    <w:rsid w:val="00B10D7E"/>
    <w:rsid w:val="00B1776C"/>
    <w:rsid w:val="00B52583"/>
    <w:rsid w:val="00B52896"/>
    <w:rsid w:val="00B95236"/>
    <w:rsid w:val="00B96BD9"/>
    <w:rsid w:val="00BA1B01"/>
    <w:rsid w:val="00BA2641"/>
    <w:rsid w:val="00BB070D"/>
    <w:rsid w:val="00BB37AA"/>
    <w:rsid w:val="00BC1207"/>
    <w:rsid w:val="00BC53A0"/>
    <w:rsid w:val="00BE62AD"/>
    <w:rsid w:val="00BF121F"/>
    <w:rsid w:val="00BF1F80"/>
    <w:rsid w:val="00BF320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388"/>
    <w:rsid w:val="00D173F1"/>
    <w:rsid w:val="00D273FC"/>
    <w:rsid w:val="00D32627"/>
    <w:rsid w:val="00D5194D"/>
    <w:rsid w:val="00D74CB0"/>
    <w:rsid w:val="00D8295D"/>
    <w:rsid w:val="00DC2A65"/>
    <w:rsid w:val="00DE15F0"/>
    <w:rsid w:val="00DE5663"/>
    <w:rsid w:val="00DE78AA"/>
    <w:rsid w:val="00DF0369"/>
    <w:rsid w:val="00E053D0"/>
    <w:rsid w:val="00E15994"/>
    <w:rsid w:val="00E3114E"/>
    <w:rsid w:val="00E31A70"/>
    <w:rsid w:val="00E35B02"/>
    <w:rsid w:val="00E44E40"/>
    <w:rsid w:val="00E66496"/>
    <w:rsid w:val="00E66B35"/>
    <w:rsid w:val="00E66E10"/>
    <w:rsid w:val="00E762D1"/>
    <w:rsid w:val="00E769F6"/>
    <w:rsid w:val="00E8407C"/>
    <w:rsid w:val="00E84F3C"/>
    <w:rsid w:val="00EA012C"/>
    <w:rsid w:val="00EA2B92"/>
    <w:rsid w:val="00EB0680"/>
    <w:rsid w:val="00EC31C3"/>
    <w:rsid w:val="00EC6A55"/>
    <w:rsid w:val="00ED0288"/>
    <w:rsid w:val="00EE52CB"/>
    <w:rsid w:val="00EF3B7D"/>
    <w:rsid w:val="00EF581D"/>
    <w:rsid w:val="00EF7FD8"/>
    <w:rsid w:val="00F06F59"/>
    <w:rsid w:val="00F17988"/>
    <w:rsid w:val="00F469F0"/>
    <w:rsid w:val="00F53273"/>
    <w:rsid w:val="00F755E4"/>
    <w:rsid w:val="00F77D02"/>
    <w:rsid w:val="00F91675"/>
    <w:rsid w:val="00F94A22"/>
    <w:rsid w:val="00F96DD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1F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9B68-CAE6-4E1F-80BA-497F0CBC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TotalTime>
  <Pages>10</Pages>
  <Words>4816</Words>
  <Characters>31059</Characters>
  <Application>Microsoft Office Word</Application>
  <DocSecurity>0</DocSecurity>
  <Lines>789</Lines>
  <Paragraphs>181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julie ann javier</cp:lastModifiedBy>
  <cp:revision>17</cp:revision>
  <cp:lastPrinted>1999-07-06T11:00:00Z</cp:lastPrinted>
  <dcterms:created xsi:type="dcterms:W3CDTF">2025-10-25T13:42:00Z</dcterms:created>
  <dcterms:modified xsi:type="dcterms:W3CDTF">2025-11-01T02:32:00Z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e36ded43-7dc9-4a15-94d8-a4bb817e5338</vt:lpwstr>
  </property>
</Properties>
</file>