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F61B6" w14:textId="77777777" w:rsidR="00512787" w:rsidRPr="00703635" w:rsidRDefault="00512787" w:rsidP="003B760A">
      <w:pPr>
        <w:spacing w:line="240" w:lineRule="auto"/>
        <w:jc w:val="both"/>
        <w:rPr>
          <w:rFonts w:ascii="Arial" w:hAnsi="Arial" w:cs="Arial"/>
          <w:b/>
          <w:bCs/>
          <w:lang w:val="en-US"/>
        </w:rPr>
      </w:pPr>
      <w:r w:rsidRPr="00703635">
        <w:rPr>
          <w:rFonts w:ascii="Arial" w:hAnsi="Arial" w:cs="Arial"/>
          <w:b/>
          <w:bCs/>
          <w:lang w:val="en-US"/>
        </w:rPr>
        <w:t xml:space="preserve">Original Research Article </w:t>
      </w:r>
    </w:p>
    <w:p w14:paraId="45D431E3" w14:textId="77777777" w:rsidR="00512787" w:rsidRPr="00703635" w:rsidRDefault="00512787" w:rsidP="003B760A">
      <w:pPr>
        <w:spacing w:line="240" w:lineRule="auto"/>
        <w:jc w:val="both"/>
        <w:rPr>
          <w:rFonts w:ascii="Arial" w:hAnsi="Arial" w:cs="Arial"/>
          <w:b/>
          <w:bCs/>
          <w:lang w:val="en-US"/>
        </w:rPr>
      </w:pPr>
    </w:p>
    <w:p w14:paraId="6F00220C" w14:textId="73192942" w:rsidR="00A9051A" w:rsidRDefault="006E6951" w:rsidP="00BE2A06">
      <w:pPr>
        <w:spacing w:line="240" w:lineRule="auto"/>
        <w:jc w:val="both"/>
        <w:rPr>
          <w:rFonts w:ascii="Arial" w:hAnsi="Arial" w:cs="Arial"/>
          <w:lang w:val="en-US"/>
        </w:rPr>
      </w:pPr>
      <w:r w:rsidRPr="006E6951">
        <w:rPr>
          <w:rFonts w:ascii="Arial" w:hAnsi="Arial" w:cs="Arial"/>
          <w:b/>
          <w:bCs/>
          <w:highlight w:val="yellow"/>
          <w:lang w:val="en"/>
        </w:rPr>
        <w:t>PROCALCITONIN MEASUREMENT IN CHILDREN BELOW 5 YEARS WITH MENINGITIS: VARIATIONS AND DIAGNOSTIC ACCURACY</w:t>
      </w:r>
    </w:p>
    <w:p w14:paraId="2E3A2A19" w14:textId="77777777" w:rsidR="00133F6A" w:rsidRPr="00703635" w:rsidRDefault="00133F6A" w:rsidP="00BE2A06">
      <w:pPr>
        <w:spacing w:line="240" w:lineRule="auto"/>
        <w:jc w:val="both"/>
        <w:rPr>
          <w:rFonts w:ascii="Arial" w:hAnsi="Arial" w:cs="Arial"/>
          <w:lang w:val="en-US"/>
        </w:rPr>
      </w:pPr>
    </w:p>
    <w:p w14:paraId="5F0A987E" w14:textId="36E3BE5F" w:rsidR="001801CD" w:rsidRPr="00703635" w:rsidRDefault="001801CD" w:rsidP="001801CD">
      <w:pPr>
        <w:rPr>
          <w:rFonts w:ascii="Arial" w:hAnsi="Arial" w:cs="Arial"/>
          <w:b/>
          <w:bCs/>
          <w:sz w:val="22"/>
          <w:szCs w:val="22"/>
          <w:lang w:val="en-US"/>
        </w:rPr>
      </w:pPr>
      <w:r w:rsidRPr="00703635">
        <w:rPr>
          <w:rFonts w:ascii="Arial" w:hAnsi="Arial" w:cs="Arial"/>
          <w:b/>
          <w:bCs/>
          <w:sz w:val="22"/>
          <w:szCs w:val="22"/>
          <w:lang w:val="en-US"/>
        </w:rPr>
        <w:t>ABSRACT</w:t>
      </w:r>
    </w:p>
    <w:p w14:paraId="73BC435C" w14:textId="7E22D8DF" w:rsidR="001801CD" w:rsidRPr="00703635" w:rsidRDefault="001801CD" w:rsidP="001801CD">
      <w:pPr>
        <w:spacing w:after="0" w:line="240" w:lineRule="auto"/>
        <w:jc w:val="both"/>
        <w:rPr>
          <w:rFonts w:ascii="Arial" w:hAnsi="Arial" w:cs="Arial"/>
          <w:b/>
          <w:bCs/>
          <w:sz w:val="22"/>
          <w:szCs w:val="22"/>
          <w:lang w:val="en-US"/>
        </w:rPr>
      </w:pPr>
      <w:r w:rsidRPr="00703635">
        <w:rPr>
          <w:rFonts w:ascii="Arial" w:hAnsi="Arial" w:cs="Arial"/>
          <w:b/>
          <w:bCs/>
          <w:sz w:val="22"/>
          <w:szCs w:val="22"/>
          <w:lang w:val="en-US"/>
        </w:rPr>
        <w:t>Introduction:</w:t>
      </w:r>
    </w:p>
    <w:p w14:paraId="18712233" w14:textId="7D916F71" w:rsidR="001801CD" w:rsidRPr="00703635" w:rsidRDefault="001801CD" w:rsidP="001801CD">
      <w:pPr>
        <w:spacing w:after="0" w:line="240" w:lineRule="auto"/>
        <w:jc w:val="both"/>
        <w:rPr>
          <w:rFonts w:ascii="Arial" w:hAnsi="Arial" w:cs="Arial"/>
          <w:sz w:val="22"/>
          <w:szCs w:val="22"/>
          <w:lang w:val="en-US"/>
        </w:rPr>
      </w:pPr>
      <w:r w:rsidRPr="00703635">
        <w:rPr>
          <w:rFonts w:ascii="Arial" w:hAnsi="Arial" w:cs="Arial"/>
          <w:sz w:val="22"/>
          <w:szCs w:val="22"/>
          <w:lang w:val="en-US"/>
        </w:rPr>
        <w:t xml:space="preserve">Differentiating between bacterial and viral meningitis, which is endemic in Senegal, remains difficult due to their clinical similarities. Bacterial culture of cerebrospinal fluid, the gold standard test for diagnosing bacterial meningitis, is time-consuming and lacks sensitivity. Procalcitonin </w:t>
      </w:r>
      <w:r w:rsidR="00B835CB" w:rsidRPr="00513DA1">
        <w:rPr>
          <w:rFonts w:ascii="Arial" w:hAnsi="Arial" w:cs="Arial"/>
          <w:sz w:val="22"/>
          <w:szCs w:val="22"/>
          <w:highlight w:val="yellow"/>
          <w:lang w:val="en-US"/>
        </w:rPr>
        <w:t>(PCT)</w:t>
      </w:r>
      <w:r w:rsidR="00B835CB">
        <w:rPr>
          <w:rFonts w:ascii="Arial" w:hAnsi="Arial" w:cs="Arial"/>
          <w:sz w:val="22"/>
          <w:szCs w:val="22"/>
          <w:lang w:val="en-US"/>
        </w:rPr>
        <w:t xml:space="preserve"> </w:t>
      </w:r>
      <w:r w:rsidRPr="00703635">
        <w:rPr>
          <w:rFonts w:ascii="Arial" w:hAnsi="Arial" w:cs="Arial"/>
          <w:sz w:val="22"/>
          <w:szCs w:val="22"/>
          <w:lang w:val="en-US"/>
        </w:rPr>
        <w:t>is emerging as an important marker specific to bacterial and non-viral infections, offering greater diagnostic accuracy. The overall objective of this study is to evaluate its contribution to the management and triage of children suspected of having meningitis.</w:t>
      </w:r>
    </w:p>
    <w:p w14:paraId="4739C915" w14:textId="77777777" w:rsidR="001801CD" w:rsidRPr="00703635" w:rsidRDefault="001801CD" w:rsidP="001801CD">
      <w:pPr>
        <w:spacing w:after="0" w:line="240" w:lineRule="auto"/>
        <w:jc w:val="both"/>
        <w:rPr>
          <w:rFonts w:ascii="Arial" w:eastAsia="Times New Roman" w:hAnsi="Arial" w:cs="Arial"/>
          <w:b/>
          <w:bCs/>
          <w:kern w:val="0"/>
          <w:sz w:val="22"/>
          <w:szCs w:val="22"/>
          <w:lang w:val="en-US" w:eastAsia="fr-FR"/>
          <w14:ligatures w14:val="none"/>
        </w:rPr>
      </w:pPr>
      <w:r w:rsidRPr="00703635">
        <w:rPr>
          <w:rFonts w:ascii="Arial" w:eastAsia="Times New Roman" w:hAnsi="Arial" w:cs="Arial"/>
          <w:b/>
          <w:bCs/>
          <w:kern w:val="0"/>
          <w:sz w:val="22"/>
          <w:szCs w:val="22"/>
          <w:lang w:val="en-US" w:eastAsia="fr-FR"/>
          <w14:ligatures w14:val="none"/>
        </w:rPr>
        <w:t>Materials and methods:</w:t>
      </w:r>
    </w:p>
    <w:p w14:paraId="0EE3FA35" w14:textId="50515501" w:rsidR="001801CD" w:rsidRPr="00703635" w:rsidRDefault="001801CD" w:rsidP="001801CD">
      <w:pPr>
        <w:spacing w:after="0" w:line="240" w:lineRule="auto"/>
        <w:jc w:val="both"/>
        <w:rPr>
          <w:rFonts w:ascii="Arial" w:eastAsia="Times New Roman" w:hAnsi="Arial" w:cs="Arial"/>
          <w:kern w:val="0"/>
          <w:sz w:val="22"/>
          <w:szCs w:val="22"/>
          <w:lang w:val="en-US" w:eastAsia="fr-FR"/>
          <w14:ligatures w14:val="none"/>
        </w:rPr>
      </w:pPr>
      <w:r w:rsidRPr="00703635">
        <w:rPr>
          <w:rFonts w:ascii="Arial" w:eastAsia="Times New Roman" w:hAnsi="Arial" w:cs="Arial"/>
          <w:kern w:val="0"/>
          <w:sz w:val="22"/>
          <w:szCs w:val="22"/>
          <w:lang w:val="en-US" w:eastAsia="fr-FR"/>
          <w14:ligatures w14:val="none"/>
        </w:rPr>
        <w:t xml:space="preserve">This is a prospective descriptive study conducted at the Children's Hospital of </w:t>
      </w:r>
      <w:proofErr w:type="spellStart"/>
      <w:r w:rsidRPr="00703635">
        <w:rPr>
          <w:rFonts w:ascii="Arial" w:eastAsia="Times New Roman" w:hAnsi="Arial" w:cs="Arial"/>
          <w:kern w:val="0"/>
          <w:sz w:val="22"/>
          <w:szCs w:val="22"/>
          <w:lang w:val="en-US" w:eastAsia="fr-FR"/>
          <w14:ligatures w14:val="none"/>
        </w:rPr>
        <w:t>Diamniadio</w:t>
      </w:r>
      <w:proofErr w:type="spellEnd"/>
      <w:r w:rsidRPr="00703635">
        <w:rPr>
          <w:rFonts w:ascii="Arial" w:eastAsia="Times New Roman" w:hAnsi="Arial" w:cs="Arial"/>
          <w:kern w:val="0"/>
          <w:sz w:val="22"/>
          <w:szCs w:val="22"/>
          <w:lang w:val="en-US" w:eastAsia="fr-FR"/>
          <w14:ligatures w14:val="none"/>
        </w:rPr>
        <w:t xml:space="preserve"> between April 2023 and January 2024. We included patients aged 0 to 5 years with suspected meningitis. The cytochemical examination of CSF was performed using the standard method. PCT and </w:t>
      </w:r>
      <w:r w:rsidR="00480A26" w:rsidRPr="00513DA1">
        <w:rPr>
          <w:rFonts w:ascii="Arial" w:eastAsia="Times New Roman" w:hAnsi="Arial" w:cs="Arial"/>
          <w:kern w:val="0"/>
          <w:sz w:val="22"/>
          <w:szCs w:val="22"/>
          <w:highlight w:val="yellow"/>
          <w:lang w:val="en-US" w:eastAsia="fr-FR"/>
          <w14:ligatures w14:val="none"/>
        </w:rPr>
        <w:t>C-Protein R</w:t>
      </w:r>
      <w:r w:rsidR="00513DA1" w:rsidRPr="00513DA1">
        <w:rPr>
          <w:rFonts w:ascii="Arial" w:eastAsia="Times New Roman" w:hAnsi="Arial" w:cs="Arial"/>
          <w:kern w:val="0"/>
          <w:sz w:val="22"/>
          <w:szCs w:val="22"/>
          <w:highlight w:val="yellow"/>
          <w:lang w:val="en-US" w:eastAsia="fr-FR"/>
          <w14:ligatures w14:val="none"/>
        </w:rPr>
        <w:t>eactive (</w:t>
      </w:r>
      <w:r w:rsidRPr="00513DA1">
        <w:rPr>
          <w:rFonts w:ascii="Arial" w:eastAsia="Times New Roman" w:hAnsi="Arial" w:cs="Arial"/>
          <w:kern w:val="0"/>
          <w:sz w:val="22"/>
          <w:szCs w:val="22"/>
          <w:highlight w:val="yellow"/>
          <w:lang w:val="en-US" w:eastAsia="fr-FR"/>
          <w14:ligatures w14:val="none"/>
        </w:rPr>
        <w:t>CRP</w:t>
      </w:r>
      <w:r w:rsidR="00513DA1" w:rsidRPr="00513DA1">
        <w:rPr>
          <w:rFonts w:ascii="Arial" w:eastAsia="Times New Roman" w:hAnsi="Arial" w:cs="Arial"/>
          <w:kern w:val="0"/>
          <w:sz w:val="22"/>
          <w:szCs w:val="22"/>
          <w:highlight w:val="yellow"/>
          <w:lang w:val="en-US" w:eastAsia="fr-FR"/>
          <w14:ligatures w14:val="none"/>
        </w:rPr>
        <w:t>)</w:t>
      </w:r>
      <w:r w:rsidRPr="00703635">
        <w:rPr>
          <w:rFonts w:ascii="Arial" w:eastAsia="Times New Roman" w:hAnsi="Arial" w:cs="Arial"/>
          <w:kern w:val="0"/>
          <w:sz w:val="22"/>
          <w:szCs w:val="22"/>
          <w:lang w:val="en-US" w:eastAsia="fr-FR"/>
          <w14:ligatures w14:val="none"/>
        </w:rPr>
        <w:t xml:space="preserve"> measurements were performed using the Architect </w:t>
      </w:r>
      <w:proofErr w:type="spellStart"/>
      <w:r w:rsidRPr="00703635">
        <w:rPr>
          <w:rFonts w:ascii="Arial" w:eastAsia="Times New Roman" w:hAnsi="Arial" w:cs="Arial"/>
          <w:kern w:val="0"/>
          <w:sz w:val="22"/>
          <w:szCs w:val="22"/>
          <w:lang w:val="en-US" w:eastAsia="fr-FR"/>
          <w14:ligatures w14:val="none"/>
        </w:rPr>
        <w:t>i</w:t>
      </w:r>
      <w:proofErr w:type="spellEnd"/>
      <w:r w:rsidRPr="00703635">
        <w:rPr>
          <w:rFonts w:ascii="Arial" w:eastAsia="Times New Roman" w:hAnsi="Arial" w:cs="Arial"/>
          <w:kern w:val="0"/>
          <w:sz w:val="22"/>
          <w:szCs w:val="22"/>
          <w:lang w:val="en-US" w:eastAsia="fr-FR"/>
          <w14:ligatures w14:val="none"/>
        </w:rPr>
        <w:t xml:space="preserve"> 4000 with chemiluminescence and immunoturbidimetry methods, respectively. </w:t>
      </w:r>
    </w:p>
    <w:p w14:paraId="5B0272FB" w14:textId="77777777" w:rsidR="001801CD" w:rsidRPr="00703635" w:rsidRDefault="001801CD" w:rsidP="001801CD">
      <w:pPr>
        <w:spacing w:after="0" w:line="240" w:lineRule="auto"/>
        <w:jc w:val="both"/>
        <w:rPr>
          <w:rFonts w:ascii="Arial" w:hAnsi="Arial" w:cs="Arial"/>
          <w:b/>
          <w:bCs/>
          <w:sz w:val="22"/>
          <w:szCs w:val="22"/>
          <w:lang w:val="en-US"/>
        </w:rPr>
      </w:pPr>
      <w:r w:rsidRPr="00703635">
        <w:rPr>
          <w:rFonts w:ascii="Arial" w:hAnsi="Arial" w:cs="Arial"/>
          <w:b/>
          <w:bCs/>
          <w:sz w:val="22"/>
          <w:szCs w:val="22"/>
          <w:lang w:val="en-US"/>
        </w:rPr>
        <w:t>Results</w:t>
      </w:r>
    </w:p>
    <w:p w14:paraId="0801FC13" w14:textId="7A011B6D" w:rsidR="001801CD" w:rsidRPr="00703635" w:rsidRDefault="00F950D5" w:rsidP="001801CD">
      <w:pPr>
        <w:spacing w:after="0" w:line="240" w:lineRule="auto"/>
        <w:jc w:val="both"/>
        <w:rPr>
          <w:rFonts w:ascii="Arial" w:hAnsi="Arial" w:cs="Arial"/>
          <w:sz w:val="22"/>
          <w:szCs w:val="22"/>
          <w:lang w:val="en-US"/>
        </w:rPr>
      </w:pPr>
      <w:r w:rsidRPr="00513DA1">
        <w:rPr>
          <w:rFonts w:ascii="Arial" w:hAnsi="Arial" w:cs="Arial"/>
          <w:sz w:val="22"/>
          <w:szCs w:val="22"/>
          <w:highlight w:val="yellow"/>
          <w:lang w:val="en-US"/>
        </w:rPr>
        <w:t>We collected data from 40 patients under the age group of 5 years</w:t>
      </w:r>
      <w:r w:rsidR="001801CD" w:rsidRPr="00513DA1">
        <w:rPr>
          <w:rFonts w:ascii="Arial" w:hAnsi="Arial" w:cs="Arial"/>
          <w:sz w:val="22"/>
          <w:szCs w:val="22"/>
          <w:highlight w:val="yellow"/>
          <w:lang w:val="en-US"/>
        </w:rPr>
        <w:t>.</w:t>
      </w:r>
      <w:r w:rsidR="001801CD" w:rsidRPr="00703635">
        <w:rPr>
          <w:rFonts w:ascii="Arial" w:hAnsi="Arial" w:cs="Arial"/>
          <w:sz w:val="22"/>
          <w:szCs w:val="22"/>
          <w:lang w:val="en-US"/>
        </w:rPr>
        <w:t xml:space="preserve"> Male subjects accounted for 58% of the total, with a sex ratio of 1.38. The average age was 18.4±15.5 months, with a predominance of patients in the </w:t>
      </w:r>
      <w:proofErr w:type="gramStart"/>
      <w:r w:rsidR="001801CD" w:rsidRPr="00703635">
        <w:rPr>
          <w:rFonts w:ascii="Arial" w:hAnsi="Arial" w:cs="Arial"/>
          <w:sz w:val="22"/>
          <w:szCs w:val="22"/>
          <w:lang w:val="en-US"/>
        </w:rPr>
        <w:t>12-59 month</w:t>
      </w:r>
      <w:proofErr w:type="gramEnd"/>
      <w:r w:rsidR="001801CD" w:rsidRPr="00703635">
        <w:rPr>
          <w:rFonts w:ascii="Arial" w:hAnsi="Arial" w:cs="Arial"/>
          <w:sz w:val="22"/>
          <w:szCs w:val="22"/>
          <w:lang w:val="en-US"/>
        </w:rPr>
        <w:t xml:space="preserve"> age group (55%). Common symptoms were fever (92.5%), convulsions (65%), and vomiting (40%). Diagnoses mainly included viral meningitis (45%), bacterial meningitis (20%), sepsis (15%)</w:t>
      </w:r>
      <w:r>
        <w:rPr>
          <w:rFonts w:ascii="Arial" w:hAnsi="Arial" w:cs="Arial"/>
          <w:sz w:val="22"/>
          <w:szCs w:val="22"/>
          <w:lang w:val="en-US"/>
        </w:rPr>
        <w:t xml:space="preserve"> and </w:t>
      </w:r>
      <w:r w:rsidRPr="00372265">
        <w:rPr>
          <w:rFonts w:ascii="Arial" w:hAnsi="Arial" w:cs="Arial"/>
          <w:sz w:val="22"/>
          <w:szCs w:val="22"/>
          <w:highlight w:val="yellow"/>
          <w:lang w:val="en-US"/>
        </w:rPr>
        <w:t>other types of infections (20</w:t>
      </w:r>
      <w:r w:rsidRPr="00F950D5">
        <w:rPr>
          <w:rFonts w:ascii="Arial" w:hAnsi="Arial" w:cs="Arial"/>
          <w:sz w:val="22"/>
          <w:szCs w:val="22"/>
          <w:lang w:val="en-US"/>
        </w:rPr>
        <w:t>%)</w:t>
      </w:r>
      <w:r w:rsidR="001801CD" w:rsidRPr="00703635">
        <w:rPr>
          <w:rFonts w:ascii="Arial" w:hAnsi="Arial" w:cs="Arial"/>
          <w:sz w:val="22"/>
          <w:szCs w:val="22"/>
          <w:lang w:val="en-US"/>
        </w:rPr>
        <w:t>. Mean PCT values were high (13.3 ng/mL) in bacterial meningitis compared to viral meningitis (0.27 ng/mL), with a significant difference (p &lt;0.001). PCT had a sensitivity of 87.5% and a specificity of 88.89% at a threshold value of 0.98 ng/</w:t>
      </w:r>
      <w:proofErr w:type="spellStart"/>
      <w:r w:rsidR="001801CD" w:rsidRPr="00703635">
        <w:rPr>
          <w:rFonts w:ascii="Arial" w:hAnsi="Arial" w:cs="Arial"/>
          <w:sz w:val="22"/>
          <w:szCs w:val="22"/>
          <w:lang w:val="en-US"/>
        </w:rPr>
        <w:t>mL.</w:t>
      </w:r>
      <w:proofErr w:type="spellEnd"/>
      <w:r w:rsidR="001801CD" w:rsidRPr="00703635">
        <w:rPr>
          <w:rFonts w:ascii="Arial" w:hAnsi="Arial" w:cs="Arial"/>
          <w:sz w:val="22"/>
          <w:szCs w:val="22"/>
          <w:lang w:val="en-US"/>
        </w:rPr>
        <w:t xml:space="preserve"> </w:t>
      </w:r>
    </w:p>
    <w:p w14:paraId="4F30262A" w14:textId="77777777" w:rsidR="001801CD" w:rsidRPr="00703635" w:rsidRDefault="001801CD" w:rsidP="001801CD">
      <w:pPr>
        <w:spacing w:after="0" w:line="240" w:lineRule="auto"/>
        <w:jc w:val="both"/>
        <w:rPr>
          <w:rFonts w:ascii="Arial" w:hAnsi="Arial" w:cs="Arial"/>
          <w:b/>
          <w:bCs/>
          <w:sz w:val="22"/>
          <w:szCs w:val="22"/>
          <w:lang w:val="en-US"/>
        </w:rPr>
      </w:pPr>
      <w:r w:rsidRPr="00703635">
        <w:rPr>
          <w:rFonts w:ascii="Arial" w:hAnsi="Arial" w:cs="Arial"/>
          <w:b/>
          <w:bCs/>
          <w:sz w:val="22"/>
          <w:szCs w:val="22"/>
          <w:lang w:val="en-US"/>
        </w:rPr>
        <w:t>Conclusion</w:t>
      </w:r>
    </w:p>
    <w:p w14:paraId="0534FB1E" w14:textId="77777777" w:rsidR="001801CD" w:rsidRPr="00703635" w:rsidRDefault="001801CD" w:rsidP="001801CD">
      <w:pPr>
        <w:spacing w:after="0" w:line="240" w:lineRule="auto"/>
        <w:jc w:val="both"/>
        <w:rPr>
          <w:rFonts w:ascii="Arial" w:hAnsi="Arial" w:cs="Arial"/>
          <w:sz w:val="22"/>
          <w:szCs w:val="22"/>
          <w:lang w:val="en-US"/>
        </w:rPr>
      </w:pPr>
      <w:r w:rsidRPr="00703635">
        <w:rPr>
          <w:rFonts w:ascii="Arial" w:hAnsi="Arial" w:cs="Arial"/>
          <w:sz w:val="22"/>
          <w:szCs w:val="22"/>
          <w:lang w:val="en-US"/>
        </w:rPr>
        <w:t>Procalcitonin (PCT) has been shown to be effective in differentiating between bacterial and viral meningitis. It could improve the accuracy of diagnosis and reduce the unnecessary use of antibiotics in cases of viral meningitis. However, it must be used as a complement to clinical examination.</w:t>
      </w:r>
    </w:p>
    <w:p w14:paraId="5C9269EA" w14:textId="77777777" w:rsidR="001801CD" w:rsidRPr="00703635" w:rsidRDefault="001801CD" w:rsidP="001801CD">
      <w:pPr>
        <w:spacing w:after="0" w:line="240" w:lineRule="auto"/>
        <w:jc w:val="both"/>
        <w:rPr>
          <w:rFonts w:ascii="Arial" w:hAnsi="Arial" w:cs="Arial"/>
          <w:sz w:val="22"/>
          <w:szCs w:val="22"/>
          <w:lang w:val="en-US"/>
        </w:rPr>
      </w:pPr>
      <w:r w:rsidRPr="00703635">
        <w:rPr>
          <w:rFonts w:ascii="Arial" w:hAnsi="Arial" w:cs="Arial"/>
          <w:b/>
          <w:bCs/>
          <w:sz w:val="22"/>
          <w:szCs w:val="22"/>
          <w:lang w:val="en-US"/>
        </w:rPr>
        <w:t>Keywords:</w:t>
      </w:r>
      <w:r w:rsidRPr="00703635">
        <w:rPr>
          <w:rFonts w:ascii="Arial" w:hAnsi="Arial" w:cs="Arial"/>
          <w:sz w:val="22"/>
          <w:szCs w:val="22"/>
          <w:lang w:val="en-US"/>
        </w:rPr>
        <w:t xml:space="preserve"> Bacterial meningitis, viral meningitis, PCT, CRP.</w:t>
      </w:r>
    </w:p>
    <w:p w14:paraId="1CDCD515" w14:textId="77777777" w:rsidR="001801CD" w:rsidRPr="00703635" w:rsidRDefault="001801CD" w:rsidP="003B760A">
      <w:pPr>
        <w:spacing w:line="240" w:lineRule="auto"/>
        <w:jc w:val="both"/>
        <w:rPr>
          <w:rFonts w:ascii="Arial" w:hAnsi="Arial" w:cs="Arial"/>
          <w:b/>
          <w:bCs/>
          <w:lang w:val="en-US"/>
        </w:rPr>
      </w:pPr>
    </w:p>
    <w:p w14:paraId="5CB58AB9" w14:textId="6A7B724D" w:rsidR="00033923" w:rsidRPr="00703635" w:rsidRDefault="00033923" w:rsidP="003B760A">
      <w:pPr>
        <w:spacing w:line="240" w:lineRule="auto"/>
        <w:jc w:val="both"/>
        <w:rPr>
          <w:rFonts w:ascii="Arial" w:hAnsi="Arial" w:cs="Arial"/>
          <w:b/>
          <w:bCs/>
          <w:sz w:val="22"/>
          <w:szCs w:val="22"/>
          <w:lang w:val="en-US"/>
        </w:rPr>
      </w:pPr>
      <w:r w:rsidRPr="00703635">
        <w:rPr>
          <w:rFonts w:ascii="Arial" w:hAnsi="Arial" w:cs="Arial"/>
          <w:b/>
          <w:bCs/>
          <w:sz w:val="22"/>
          <w:szCs w:val="22"/>
          <w:lang w:val="en-US"/>
        </w:rPr>
        <w:t>INTRODUCTION</w:t>
      </w:r>
    </w:p>
    <w:p w14:paraId="1DB55584" w14:textId="45B0B619" w:rsidR="00B26912" w:rsidRPr="00703635" w:rsidRDefault="00EE2E63" w:rsidP="001801CD">
      <w:pPr>
        <w:spacing w:after="0" w:line="240" w:lineRule="auto"/>
        <w:contextualSpacing/>
        <w:jc w:val="both"/>
        <w:rPr>
          <w:rFonts w:ascii="Arial" w:hAnsi="Arial" w:cs="Arial"/>
          <w:sz w:val="20"/>
          <w:szCs w:val="20"/>
          <w:lang w:val="en-US"/>
        </w:rPr>
      </w:pPr>
      <w:r w:rsidRPr="00703635">
        <w:rPr>
          <w:rFonts w:ascii="Arial" w:hAnsi="Arial" w:cs="Arial"/>
          <w:sz w:val="20"/>
          <w:szCs w:val="20"/>
          <w:lang w:val="en-US"/>
        </w:rPr>
        <w:t xml:space="preserve">Meningitis is an inflammation of the meninges, which can be subdivided according to its etiology into bacterial, viral, fungal, or aseptic </w:t>
      </w:r>
      <w:proofErr w:type="gramStart"/>
      <w:r w:rsidRPr="00703635">
        <w:rPr>
          <w:rFonts w:ascii="Arial" w:hAnsi="Arial" w:cs="Arial"/>
          <w:sz w:val="20"/>
          <w:szCs w:val="20"/>
          <w:lang w:val="en-US"/>
        </w:rPr>
        <w:t xml:space="preserve">meningitis </w:t>
      </w:r>
      <w:r w:rsidR="00F70C78" w:rsidRPr="00703635">
        <w:rPr>
          <w:rFonts w:ascii="Arial" w:hAnsi="Arial" w:cs="Arial"/>
          <w:sz w:val="20"/>
          <w:szCs w:val="20"/>
          <w:lang w:val="en-US"/>
        </w:rPr>
        <w:t xml:space="preserve"> (</w:t>
      </w:r>
      <w:proofErr w:type="gramEnd"/>
      <w:r w:rsidR="00F70C78" w:rsidRPr="00703635">
        <w:rPr>
          <w:rFonts w:ascii="Arial" w:hAnsi="Arial" w:cs="Arial"/>
          <w:sz w:val="20"/>
          <w:szCs w:val="20"/>
          <w:lang w:val="en-US"/>
        </w:rPr>
        <w:t>Tracy, 2020</w:t>
      </w:r>
      <w:r w:rsidR="00246D4D" w:rsidRPr="00703635">
        <w:rPr>
          <w:rFonts w:ascii="Arial" w:hAnsi="Arial" w:cs="Arial"/>
          <w:sz w:val="20"/>
          <w:szCs w:val="20"/>
          <w:lang w:val="en-US"/>
        </w:rPr>
        <w:t>)</w:t>
      </w:r>
      <w:r w:rsidR="00B26912" w:rsidRPr="00703635">
        <w:rPr>
          <w:rFonts w:ascii="Arial" w:hAnsi="Arial" w:cs="Arial"/>
          <w:sz w:val="20"/>
          <w:szCs w:val="20"/>
          <w:lang w:val="en-US"/>
        </w:rPr>
        <w:t>.</w:t>
      </w:r>
    </w:p>
    <w:p w14:paraId="509E60A0" w14:textId="43FF17AE" w:rsidR="00B26912" w:rsidRPr="00703635" w:rsidRDefault="00CF5016" w:rsidP="001801CD">
      <w:pPr>
        <w:spacing w:after="0" w:line="240" w:lineRule="auto"/>
        <w:contextualSpacing/>
        <w:jc w:val="both"/>
        <w:rPr>
          <w:rFonts w:ascii="Arial" w:hAnsi="Arial" w:cs="Arial"/>
          <w:sz w:val="20"/>
          <w:szCs w:val="20"/>
          <w:lang w:val="en-US"/>
        </w:rPr>
      </w:pPr>
      <w:r w:rsidRPr="00703635">
        <w:rPr>
          <w:rFonts w:ascii="Arial" w:hAnsi="Arial" w:cs="Arial"/>
          <w:sz w:val="20"/>
          <w:szCs w:val="20"/>
          <w:lang w:val="en-US"/>
        </w:rPr>
        <w:t>It remains a common infection, often neurologically devastating and potentially fatal for many children. Due to the endemic nature of</w:t>
      </w:r>
      <w:r w:rsidRPr="00703635">
        <w:rPr>
          <w:rFonts w:ascii="Arial" w:hAnsi="Arial" w:cs="Arial"/>
          <w:i/>
          <w:iCs/>
          <w:sz w:val="20"/>
          <w:szCs w:val="20"/>
          <w:lang w:val="en-US"/>
        </w:rPr>
        <w:t xml:space="preserve"> Neisseria meningitidis</w:t>
      </w:r>
      <w:r w:rsidRPr="00703635">
        <w:rPr>
          <w:rFonts w:ascii="Arial" w:hAnsi="Arial" w:cs="Arial"/>
          <w:sz w:val="20"/>
          <w:szCs w:val="20"/>
          <w:lang w:val="en-US"/>
        </w:rPr>
        <w:t>, its disproportionate morbidity in the meningitis belt of sub-Saharan Africa</w:t>
      </w:r>
      <w:r w:rsidR="00824DA7" w:rsidRPr="00703635">
        <w:rPr>
          <w:rFonts w:ascii="Arial" w:hAnsi="Arial" w:cs="Arial"/>
          <w:sz w:val="20"/>
          <w:szCs w:val="20"/>
          <w:lang w:val="en-US"/>
        </w:rPr>
        <w:t>,</w:t>
      </w:r>
      <w:r w:rsidRPr="00703635">
        <w:rPr>
          <w:rFonts w:ascii="Arial" w:hAnsi="Arial" w:cs="Arial"/>
          <w:sz w:val="20"/>
          <w:szCs w:val="20"/>
          <w:lang w:val="en-US"/>
        </w:rPr>
        <w:t xml:space="preserve"> has a real impact on global morbidity </w:t>
      </w:r>
      <w:r w:rsidR="00246D4D" w:rsidRPr="00703635">
        <w:rPr>
          <w:rFonts w:ascii="Arial" w:hAnsi="Arial" w:cs="Arial"/>
          <w:sz w:val="20"/>
          <w:szCs w:val="20"/>
          <w:lang w:val="en-US"/>
        </w:rPr>
        <w:t>(Skar, 2024)</w:t>
      </w:r>
      <w:r w:rsidR="00B26912" w:rsidRPr="00703635">
        <w:rPr>
          <w:rFonts w:ascii="Arial" w:hAnsi="Arial" w:cs="Arial"/>
          <w:sz w:val="20"/>
          <w:szCs w:val="20"/>
          <w:lang w:val="en-US"/>
        </w:rPr>
        <w:t xml:space="preserve">. </w:t>
      </w:r>
      <w:r w:rsidR="002C3611" w:rsidRPr="00703635">
        <w:rPr>
          <w:rFonts w:ascii="Arial" w:hAnsi="Arial" w:cs="Arial"/>
          <w:sz w:val="20"/>
          <w:szCs w:val="20"/>
          <w:lang w:val="en-US"/>
        </w:rPr>
        <w:t xml:space="preserve">This is despite the widespread introduction of vaccination with conjugate vaccines that target </w:t>
      </w:r>
      <w:proofErr w:type="spellStart"/>
      <w:r w:rsidR="002C3611" w:rsidRPr="00703635">
        <w:rPr>
          <w:rFonts w:ascii="Arial" w:hAnsi="Arial" w:cs="Arial"/>
          <w:i/>
          <w:iCs/>
          <w:sz w:val="20"/>
          <w:szCs w:val="20"/>
          <w:lang w:val="en-US"/>
        </w:rPr>
        <w:t>Haemophilus</w:t>
      </w:r>
      <w:proofErr w:type="spellEnd"/>
      <w:r w:rsidR="002C3611" w:rsidRPr="00703635">
        <w:rPr>
          <w:rFonts w:ascii="Arial" w:hAnsi="Arial" w:cs="Arial"/>
          <w:i/>
          <w:iCs/>
          <w:sz w:val="20"/>
          <w:szCs w:val="20"/>
          <w:lang w:val="en-US"/>
        </w:rPr>
        <w:t xml:space="preserve"> influenzae</w:t>
      </w:r>
      <w:r w:rsidR="002C3611" w:rsidRPr="00703635">
        <w:rPr>
          <w:rFonts w:ascii="Arial" w:hAnsi="Arial" w:cs="Arial"/>
          <w:sz w:val="20"/>
          <w:szCs w:val="20"/>
          <w:lang w:val="en-US"/>
        </w:rPr>
        <w:t xml:space="preserve"> type B and </w:t>
      </w:r>
      <w:r w:rsidR="002C3611" w:rsidRPr="00703635">
        <w:rPr>
          <w:rFonts w:ascii="Arial" w:hAnsi="Arial" w:cs="Arial"/>
          <w:i/>
          <w:iCs/>
          <w:sz w:val="20"/>
          <w:szCs w:val="20"/>
          <w:lang w:val="en-US"/>
        </w:rPr>
        <w:t>S pneumoniae</w:t>
      </w:r>
      <w:r w:rsidR="00B26912" w:rsidRPr="00703635">
        <w:rPr>
          <w:rFonts w:ascii="Arial" w:hAnsi="Arial" w:cs="Arial"/>
          <w:sz w:val="20"/>
          <w:szCs w:val="20"/>
          <w:lang w:val="en-US"/>
        </w:rPr>
        <w:t xml:space="preserve"> </w:t>
      </w:r>
      <w:r w:rsidR="002B72AA" w:rsidRPr="00703635">
        <w:rPr>
          <w:rFonts w:ascii="Arial" w:hAnsi="Arial" w:cs="Arial"/>
          <w:sz w:val="20"/>
          <w:szCs w:val="20"/>
          <w:lang w:val="en-US"/>
        </w:rPr>
        <w:t>(Novac, 2019</w:t>
      </w:r>
      <w:r w:rsidR="005418B3" w:rsidRPr="00703635">
        <w:rPr>
          <w:rFonts w:ascii="Arial" w:hAnsi="Arial" w:cs="Arial"/>
          <w:sz w:val="20"/>
          <w:szCs w:val="20"/>
          <w:lang w:val="en-US"/>
        </w:rPr>
        <w:t>)</w:t>
      </w:r>
      <w:r w:rsidR="00B26912" w:rsidRPr="00703635">
        <w:rPr>
          <w:rFonts w:ascii="Arial" w:hAnsi="Arial" w:cs="Arial"/>
          <w:sz w:val="20"/>
          <w:szCs w:val="20"/>
          <w:lang w:val="en-US"/>
        </w:rPr>
        <w:t xml:space="preserve">. </w:t>
      </w:r>
      <w:r w:rsidR="00C80B06" w:rsidRPr="00703635">
        <w:rPr>
          <w:rFonts w:ascii="Arial" w:hAnsi="Arial" w:cs="Arial"/>
          <w:sz w:val="20"/>
          <w:szCs w:val="20"/>
          <w:lang w:val="en-US"/>
        </w:rPr>
        <w:t>Due to clinical heterogeneity and inter-observer variability, all patients with symptoms suggestive of meningitis should undergo a lumbar puncture (LP) and cerebrospinal fluid (CSF) analysis promptly for a definitive diagnosis</w:t>
      </w:r>
      <w:r w:rsidR="005418B3" w:rsidRPr="00703635">
        <w:rPr>
          <w:rFonts w:ascii="Arial" w:hAnsi="Arial" w:cs="Arial"/>
          <w:sz w:val="20"/>
          <w:szCs w:val="20"/>
          <w:lang w:val="en-US"/>
        </w:rPr>
        <w:t xml:space="preserve"> (Mount, 2017)</w:t>
      </w:r>
      <w:r w:rsidR="00B26912" w:rsidRPr="00703635">
        <w:rPr>
          <w:rFonts w:ascii="Arial" w:hAnsi="Arial" w:cs="Arial"/>
          <w:sz w:val="20"/>
          <w:szCs w:val="20"/>
          <w:lang w:val="en-US"/>
        </w:rPr>
        <w:t>.</w:t>
      </w:r>
    </w:p>
    <w:p w14:paraId="66EDB263" w14:textId="680DC9BA" w:rsidR="00B26912" w:rsidRPr="00703635" w:rsidRDefault="00446D15" w:rsidP="001801CD">
      <w:pPr>
        <w:spacing w:after="0" w:line="240" w:lineRule="auto"/>
        <w:contextualSpacing/>
        <w:jc w:val="both"/>
        <w:rPr>
          <w:rFonts w:ascii="Arial" w:hAnsi="Arial" w:cs="Arial"/>
          <w:sz w:val="20"/>
          <w:szCs w:val="20"/>
          <w:lang w:val="en-US"/>
        </w:rPr>
      </w:pPr>
      <w:r w:rsidRPr="00703635">
        <w:rPr>
          <w:rFonts w:ascii="Arial" w:hAnsi="Arial" w:cs="Arial"/>
          <w:sz w:val="20"/>
          <w:szCs w:val="20"/>
          <w:lang w:val="en-US"/>
        </w:rPr>
        <w:t xml:space="preserve">Procalcitonin (PCT), which rises early (3 to 6 hours) during bacterial infection compared to other biomarkers, is useful in the early recognition of systemic bacterial infections </w:t>
      </w:r>
      <w:r w:rsidR="005418B3" w:rsidRPr="00703635">
        <w:rPr>
          <w:rFonts w:ascii="Arial" w:hAnsi="Arial" w:cs="Arial"/>
          <w:sz w:val="20"/>
          <w:szCs w:val="20"/>
          <w:lang w:val="en-US"/>
        </w:rPr>
        <w:t>(Sch</w:t>
      </w:r>
      <w:r w:rsidR="00D72302" w:rsidRPr="00703635">
        <w:rPr>
          <w:rFonts w:ascii="Arial" w:hAnsi="Arial" w:cs="Arial"/>
          <w:sz w:val="20"/>
          <w:szCs w:val="20"/>
          <w:lang w:val="en-US"/>
        </w:rPr>
        <w:t>uetz, 2017)</w:t>
      </w:r>
      <w:r w:rsidR="00B26912" w:rsidRPr="00703635">
        <w:rPr>
          <w:rFonts w:ascii="Arial" w:hAnsi="Arial" w:cs="Arial"/>
          <w:sz w:val="20"/>
          <w:szCs w:val="20"/>
          <w:lang w:val="en-US"/>
        </w:rPr>
        <w:t xml:space="preserve">. </w:t>
      </w:r>
      <w:r w:rsidR="00C621F0" w:rsidRPr="00703635">
        <w:rPr>
          <w:rFonts w:ascii="Arial" w:hAnsi="Arial" w:cs="Arial"/>
          <w:sz w:val="20"/>
          <w:szCs w:val="20"/>
          <w:lang w:val="en-US"/>
        </w:rPr>
        <w:t xml:space="preserve">It has been demonstrated that PCT can be used to guide clinical decision-making in children with CSF pleocytosis who have bacterial meningitis </w:t>
      </w:r>
      <w:r w:rsidR="00D72302" w:rsidRPr="00703635">
        <w:rPr>
          <w:rFonts w:ascii="Arial" w:hAnsi="Arial" w:cs="Arial"/>
          <w:sz w:val="20"/>
          <w:szCs w:val="20"/>
          <w:lang w:val="en-US"/>
        </w:rPr>
        <w:t>(Parri</w:t>
      </w:r>
      <w:r w:rsidR="00687053" w:rsidRPr="00703635">
        <w:rPr>
          <w:rFonts w:ascii="Arial" w:hAnsi="Arial" w:cs="Arial"/>
          <w:sz w:val="20"/>
          <w:szCs w:val="20"/>
          <w:lang w:val="en-US"/>
        </w:rPr>
        <w:t>, 2025</w:t>
      </w:r>
      <w:r w:rsidR="00D72302" w:rsidRPr="00703635">
        <w:rPr>
          <w:rFonts w:ascii="Arial" w:hAnsi="Arial" w:cs="Arial"/>
          <w:sz w:val="20"/>
          <w:szCs w:val="20"/>
          <w:lang w:val="en-US"/>
        </w:rPr>
        <w:t>)</w:t>
      </w:r>
      <w:r w:rsidR="00B26912" w:rsidRPr="00703635">
        <w:rPr>
          <w:rFonts w:ascii="Arial" w:hAnsi="Arial" w:cs="Arial"/>
          <w:sz w:val="20"/>
          <w:szCs w:val="20"/>
          <w:lang w:val="en-US"/>
        </w:rPr>
        <w:t>.</w:t>
      </w:r>
    </w:p>
    <w:p w14:paraId="5091CFF4" w14:textId="77777777" w:rsidR="007C5583" w:rsidRPr="00703635" w:rsidRDefault="007C5583"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The most important diagnosis to make is that of bacterial meningitis, as its prognosis is poor when it goes unrecognized. Early diagnosis remains crucial for healthcare professionals in order to ensure rapid </w:t>
      </w:r>
      <w:r w:rsidRPr="00703635">
        <w:rPr>
          <w:rFonts w:ascii="Arial" w:hAnsi="Arial" w:cs="Arial"/>
          <w:sz w:val="20"/>
          <w:szCs w:val="20"/>
          <w:lang w:val="en-US"/>
        </w:rPr>
        <w:lastRenderedPageBreak/>
        <w:t xml:space="preserve">treatment. It is in this context that we conducted this study to evaluate its contribution to the management and triage of children suspected of having meningitis at the </w:t>
      </w:r>
      <w:proofErr w:type="spellStart"/>
      <w:r w:rsidRPr="00703635">
        <w:rPr>
          <w:rFonts w:ascii="Arial" w:hAnsi="Arial" w:cs="Arial"/>
          <w:sz w:val="20"/>
          <w:szCs w:val="20"/>
          <w:lang w:val="en-US"/>
        </w:rPr>
        <w:t>Diamniadio</w:t>
      </w:r>
      <w:proofErr w:type="spellEnd"/>
      <w:r w:rsidRPr="00703635">
        <w:rPr>
          <w:rFonts w:ascii="Arial" w:hAnsi="Arial" w:cs="Arial"/>
          <w:sz w:val="20"/>
          <w:szCs w:val="20"/>
          <w:lang w:val="en-US"/>
        </w:rPr>
        <w:t xml:space="preserve"> Children's Hospital.</w:t>
      </w:r>
    </w:p>
    <w:p w14:paraId="30D6851B" w14:textId="77490298" w:rsidR="00B26912" w:rsidRPr="00703635" w:rsidRDefault="00B26912" w:rsidP="003B760A">
      <w:pPr>
        <w:pStyle w:val="ListParagraph"/>
        <w:numPr>
          <w:ilvl w:val="0"/>
          <w:numId w:val="5"/>
        </w:numPr>
        <w:spacing w:line="240" w:lineRule="auto"/>
        <w:jc w:val="both"/>
        <w:rPr>
          <w:rFonts w:ascii="Arial" w:hAnsi="Arial" w:cs="Arial"/>
          <w:sz w:val="22"/>
          <w:szCs w:val="22"/>
          <w:lang w:val="en-US"/>
        </w:rPr>
      </w:pPr>
      <w:r w:rsidRPr="00703635">
        <w:rPr>
          <w:rFonts w:ascii="Arial" w:hAnsi="Arial" w:cs="Arial"/>
          <w:b/>
          <w:bCs/>
          <w:sz w:val="22"/>
          <w:szCs w:val="22"/>
          <w:lang w:val="en-US"/>
        </w:rPr>
        <w:t>METHODOLOG</w:t>
      </w:r>
      <w:r w:rsidR="007C5583" w:rsidRPr="00703635">
        <w:rPr>
          <w:rFonts w:ascii="Arial" w:hAnsi="Arial" w:cs="Arial"/>
          <w:b/>
          <w:bCs/>
          <w:sz w:val="22"/>
          <w:szCs w:val="22"/>
          <w:lang w:val="en-US"/>
        </w:rPr>
        <w:t>Y</w:t>
      </w:r>
    </w:p>
    <w:p w14:paraId="31CDB9EE" w14:textId="526D849E" w:rsidR="00D540A8" w:rsidRPr="00703635" w:rsidRDefault="00D540A8" w:rsidP="003B760A">
      <w:pPr>
        <w:pStyle w:val="ListParagraph"/>
        <w:numPr>
          <w:ilvl w:val="1"/>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Type – Study setting and period:</w:t>
      </w:r>
    </w:p>
    <w:p w14:paraId="3C62B3FB" w14:textId="77777777" w:rsidR="00D540A8" w:rsidRPr="00703635" w:rsidRDefault="00D540A8"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This is a prospective descriptive and analytical study that took place in the laboratory of the </w:t>
      </w:r>
      <w:proofErr w:type="spellStart"/>
      <w:r w:rsidRPr="00703635">
        <w:rPr>
          <w:rFonts w:ascii="Arial" w:hAnsi="Arial" w:cs="Arial"/>
          <w:sz w:val="20"/>
          <w:szCs w:val="20"/>
          <w:lang w:val="en-US"/>
        </w:rPr>
        <w:t>Diamniadio</w:t>
      </w:r>
      <w:proofErr w:type="spellEnd"/>
      <w:r w:rsidRPr="00703635">
        <w:rPr>
          <w:rFonts w:ascii="Arial" w:hAnsi="Arial" w:cs="Arial"/>
          <w:sz w:val="20"/>
          <w:szCs w:val="20"/>
          <w:lang w:val="en-US"/>
        </w:rPr>
        <w:t xml:space="preserve"> Children's Hospital between April 2023 and January 2024.</w:t>
      </w:r>
    </w:p>
    <w:p w14:paraId="27E6CEA6" w14:textId="77777777" w:rsidR="00502D32" w:rsidRPr="00703635" w:rsidRDefault="00D540A8" w:rsidP="003B760A">
      <w:pPr>
        <w:pStyle w:val="ListParagraph"/>
        <w:numPr>
          <w:ilvl w:val="1"/>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Study population</w:t>
      </w:r>
    </w:p>
    <w:p w14:paraId="4E118518" w14:textId="2FCE2867" w:rsidR="00D540A8" w:rsidRPr="00703635" w:rsidRDefault="00D540A8" w:rsidP="00502D32">
      <w:pPr>
        <w:pStyle w:val="ListParagraph"/>
        <w:numPr>
          <w:ilvl w:val="2"/>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Calculation of population size</w:t>
      </w:r>
    </w:p>
    <w:p w14:paraId="082FFA49" w14:textId="521A5300" w:rsidR="00B26912" w:rsidRPr="00703635" w:rsidRDefault="00D540A8" w:rsidP="003B760A">
      <w:pPr>
        <w:spacing w:line="240" w:lineRule="auto"/>
        <w:jc w:val="both"/>
        <w:rPr>
          <w:rFonts w:ascii="Arial" w:hAnsi="Arial" w:cs="Arial"/>
          <w:sz w:val="20"/>
          <w:szCs w:val="20"/>
          <w:lang w:val="en-US"/>
        </w:rPr>
      </w:pPr>
      <w:r w:rsidRPr="00703635">
        <w:rPr>
          <w:rFonts w:ascii="Arial" w:hAnsi="Arial" w:cs="Arial"/>
          <w:sz w:val="20"/>
          <w:szCs w:val="20"/>
          <w:lang w:val="en-US"/>
        </w:rPr>
        <w:t>The population size was calculated using Cochran's method</w:t>
      </w:r>
      <w:r w:rsidR="00687053" w:rsidRPr="00703635">
        <w:rPr>
          <w:rFonts w:ascii="Arial" w:hAnsi="Arial" w:cs="Arial"/>
          <w:sz w:val="20"/>
          <w:szCs w:val="20"/>
          <w:lang w:val="en-US"/>
        </w:rPr>
        <w:t xml:space="preserve"> (Tounsi, 2025)</w:t>
      </w:r>
      <w:r w:rsidR="00B26912" w:rsidRPr="00703635">
        <w:rPr>
          <w:rFonts w:ascii="Arial" w:hAnsi="Arial" w:cs="Arial"/>
          <w:sz w:val="20"/>
          <w:szCs w:val="20"/>
          <w:lang w:val="en-US"/>
        </w:rPr>
        <w:t xml:space="preserve"> n = z² x p </w:t>
      </w:r>
      <w:proofErr w:type="gramStart"/>
      <w:r w:rsidR="00B26912" w:rsidRPr="00703635">
        <w:rPr>
          <w:rFonts w:ascii="Arial" w:hAnsi="Arial" w:cs="Arial"/>
          <w:sz w:val="20"/>
          <w:szCs w:val="20"/>
          <w:lang w:val="en-US"/>
        </w:rPr>
        <w:t>( 1</w:t>
      </w:r>
      <w:proofErr w:type="gramEnd"/>
      <w:r w:rsidR="00B26912" w:rsidRPr="00703635">
        <w:rPr>
          <w:rFonts w:ascii="Arial" w:hAnsi="Arial" w:cs="Arial"/>
          <w:sz w:val="20"/>
          <w:szCs w:val="20"/>
          <w:lang w:val="en-US"/>
        </w:rPr>
        <w:t xml:space="preserve"> – p ) / m².</w:t>
      </w:r>
    </w:p>
    <w:p w14:paraId="61A58722" w14:textId="77777777" w:rsidR="00A932FC" w:rsidRPr="00703635" w:rsidRDefault="00A932FC" w:rsidP="003B760A">
      <w:pPr>
        <w:spacing w:line="240" w:lineRule="auto"/>
        <w:jc w:val="both"/>
        <w:rPr>
          <w:rFonts w:ascii="Arial" w:hAnsi="Arial" w:cs="Arial"/>
          <w:sz w:val="20"/>
          <w:szCs w:val="20"/>
          <w:lang w:val="en-US"/>
        </w:rPr>
      </w:pPr>
      <w:r w:rsidRPr="00703635">
        <w:rPr>
          <w:rFonts w:ascii="Arial" w:hAnsi="Arial" w:cs="Arial"/>
          <w:sz w:val="20"/>
          <w:szCs w:val="20"/>
          <w:lang w:val="en-US"/>
        </w:rPr>
        <w:t>n = sample size</w:t>
      </w:r>
    </w:p>
    <w:p w14:paraId="263E01C3" w14:textId="77777777" w:rsidR="00A932FC" w:rsidRPr="00703635" w:rsidRDefault="00A932FC" w:rsidP="003B760A">
      <w:pPr>
        <w:spacing w:line="240" w:lineRule="auto"/>
        <w:jc w:val="both"/>
        <w:rPr>
          <w:rFonts w:ascii="Arial" w:hAnsi="Arial" w:cs="Arial"/>
          <w:sz w:val="20"/>
          <w:szCs w:val="20"/>
          <w:lang w:val="en-US"/>
        </w:rPr>
      </w:pPr>
      <w:r w:rsidRPr="00703635">
        <w:rPr>
          <w:rFonts w:ascii="Arial" w:hAnsi="Arial" w:cs="Arial"/>
          <w:sz w:val="20"/>
          <w:szCs w:val="20"/>
          <w:lang w:val="en-US"/>
        </w:rPr>
        <w:t>z = 1.96 for a 95% confidence level</w:t>
      </w:r>
    </w:p>
    <w:p w14:paraId="33D66A96" w14:textId="306CDF9B" w:rsidR="00A932FC" w:rsidRPr="00703635" w:rsidRDefault="00A932FC" w:rsidP="003B760A">
      <w:pPr>
        <w:spacing w:line="240" w:lineRule="auto"/>
        <w:jc w:val="both"/>
        <w:rPr>
          <w:rFonts w:ascii="Arial" w:hAnsi="Arial" w:cs="Arial"/>
          <w:sz w:val="20"/>
          <w:szCs w:val="20"/>
          <w:lang w:val="en-US"/>
        </w:rPr>
      </w:pPr>
      <w:r w:rsidRPr="00703635">
        <w:rPr>
          <w:rFonts w:ascii="Arial" w:hAnsi="Arial" w:cs="Arial"/>
          <w:sz w:val="20"/>
          <w:szCs w:val="20"/>
          <w:lang w:val="en-US"/>
        </w:rPr>
        <w:t>p = 0.05 (5 cases per 100,000 inhabitants) according to the Aubry study (Aubry, 2024)</w:t>
      </w:r>
      <w:r w:rsidR="00C1202E" w:rsidRPr="00703635">
        <w:rPr>
          <w:rFonts w:ascii="Arial" w:hAnsi="Arial" w:cs="Arial"/>
          <w:sz w:val="20"/>
          <w:szCs w:val="20"/>
          <w:lang w:val="en-US"/>
        </w:rPr>
        <w:t>.</w:t>
      </w:r>
    </w:p>
    <w:p w14:paraId="43C3C0AD" w14:textId="77777777" w:rsidR="00A932FC" w:rsidRPr="00703635" w:rsidRDefault="00A932FC"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m = 5% margin of error tolerated </w:t>
      </w:r>
    </w:p>
    <w:p w14:paraId="20FB1E10" w14:textId="77777777" w:rsidR="008B18A2" w:rsidRPr="00703635" w:rsidRDefault="00A932FC" w:rsidP="003B760A">
      <w:pPr>
        <w:spacing w:line="240" w:lineRule="auto"/>
        <w:jc w:val="both"/>
        <w:rPr>
          <w:rFonts w:ascii="Arial" w:hAnsi="Arial" w:cs="Arial"/>
          <w:b/>
          <w:bCs/>
          <w:sz w:val="20"/>
          <w:szCs w:val="20"/>
          <w:lang w:val="en-US"/>
        </w:rPr>
      </w:pPr>
      <w:r w:rsidRPr="00703635">
        <w:rPr>
          <w:rFonts w:ascii="Arial" w:hAnsi="Arial" w:cs="Arial"/>
          <w:sz w:val="20"/>
          <w:szCs w:val="20"/>
          <w:lang w:val="en-US"/>
        </w:rPr>
        <w:t>After calculation, a population of 8 people was found.</w:t>
      </w:r>
    </w:p>
    <w:p w14:paraId="3313DF42" w14:textId="18816600" w:rsidR="003E5C82" w:rsidRPr="00703635" w:rsidRDefault="003E5C82" w:rsidP="00502D32">
      <w:pPr>
        <w:pStyle w:val="ListParagraph"/>
        <w:numPr>
          <w:ilvl w:val="2"/>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Inclusion criteria</w:t>
      </w:r>
    </w:p>
    <w:p w14:paraId="1C68A671" w14:textId="77777777" w:rsidR="003E5C82" w:rsidRPr="00703635" w:rsidRDefault="003E5C82" w:rsidP="003B760A">
      <w:pPr>
        <w:spacing w:line="240" w:lineRule="auto"/>
        <w:jc w:val="both"/>
        <w:rPr>
          <w:rFonts w:ascii="Arial" w:hAnsi="Arial" w:cs="Arial"/>
          <w:sz w:val="20"/>
          <w:szCs w:val="20"/>
          <w:lang w:val="en-US"/>
        </w:rPr>
      </w:pPr>
      <w:r w:rsidRPr="00703635">
        <w:rPr>
          <w:rFonts w:ascii="Arial" w:hAnsi="Arial" w:cs="Arial"/>
          <w:sz w:val="20"/>
          <w:szCs w:val="20"/>
          <w:lang w:val="en-US"/>
        </w:rPr>
        <w:t>We included children whose parents gave their consent, whose CSF samples were received by the laboratory, and who were diagnosed with suspected meningitis based on clinical manifestations.</w:t>
      </w:r>
    </w:p>
    <w:p w14:paraId="75C6111E" w14:textId="7560A158" w:rsidR="003E5C82" w:rsidRPr="00703635" w:rsidRDefault="003E5C82" w:rsidP="003B760A">
      <w:pPr>
        <w:pStyle w:val="ListParagraph"/>
        <w:numPr>
          <w:ilvl w:val="2"/>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Exclusion criteria</w:t>
      </w:r>
    </w:p>
    <w:p w14:paraId="7FFDAC70" w14:textId="77777777" w:rsidR="003E5C82" w:rsidRPr="00703635" w:rsidRDefault="003E5C82" w:rsidP="003B760A">
      <w:pPr>
        <w:spacing w:line="240" w:lineRule="auto"/>
        <w:jc w:val="both"/>
        <w:rPr>
          <w:rFonts w:ascii="Arial" w:hAnsi="Arial" w:cs="Arial"/>
          <w:sz w:val="20"/>
          <w:szCs w:val="20"/>
          <w:lang w:val="en-US"/>
        </w:rPr>
      </w:pPr>
      <w:r w:rsidRPr="00703635">
        <w:rPr>
          <w:rFonts w:ascii="Arial" w:hAnsi="Arial" w:cs="Arial"/>
          <w:sz w:val="20"/>
          <w:szCs w:val="20"/>
          <w:lang w:val="en-US"/>
        </w:rPr>
        <w:t>Any patients who did not meet these two criteria were excluded.</w:t>
      </w:r>
    </w:p>
    <w:p w14:paraId="103D73E3" w14:textId="200A53EB" w:rsidR="002D2E07" w:rsidRPr="00703635" w:rsidRDefault="002D2E07" w:rsidP="003B760A">
      <w:pPr>
        <w:pStyle w:val="ListParagraph"/>
        <w:numPr>
          <w:ilvl w:val="1"/>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Sampling:</w:t>
      </w:r>
    </w:p>
    <w:p w14:paraId="3A8FBB64" w14:textId="5ADAFC01" w:rsidR="002D2E07" w:rsidRPr="00703635" w:rsidRDefault="002D2E07" w:rsidP="003B760A">
      <w:pPr>
        <w:spacing w:line="240" w:lineRule="auto"/>
        <w:jc w:val="both"/>
        <w:rPr>
          <w:rFonts w:ascii="Arial" w:hAnsi="Arial" w:cs="Arial"/>
          <w:sz w:val="20"/>
          <w:szCs w:val="20"/>
          <w:lang w:val="en-US"/>
        </w:rPr>
      </w:pPr>
      <w:r w:rsidRPr="00703635">
        <w:rPr>
          <w:rFonts w:ascii="Arial" w:hAnsi="Arial" w:cs="Arial"/>
          <w:sz w:val="20"/>
          <w:szCs w:val="20"/>
          <w:lang w:val="en-US"/>
        </w:rPr>
        <w:t>Blood and CSF samples were taken at the patient's bedside. Blood was collected in a dry tube at rest and by venipuncture at the elbow crease after applying a tourniquet. The dry tube was centrifuged at 3000 rpm for 5 minutes. CSF was collected by puncture between the L3 and L5 vertebrae into two sterile tubes before being immediately transported to the laboratory.</w:t>
      </w:r>
    </w:p>
    <w:p w14:paraId="79044C3B" w14:textId="503F1DBA" w:rsidR="009F0C13" w:rsidRPr="00703635" w:rsidRDefault="009F0C13" w:rsidP="003B760A">
      <w:pPr>
        <w:pStyle w:val="ListParagraph"/>
        <w:numPr>
          <w:ilvl w:val="1"/>
          <w:numId w:val="5"/>
        </w:numPr>
        <w:spacing w:line="240" w:lineRule="auto"/>
        <w:jc w:val="both"/>
        <w:rPr>
          <w:rFonts w:ascii="Arial" w:hAnsi="Arial" w:cs="Arial"/>
          <w:b/>
          <w:bCs/>
          <w:sz w:val="20"/>
          <w:szCs w:val="20"/>
          <w:lang w:val="en-US"/>
        </w:rPr>
      </w:pPr>
      <w:r w:rsidRPr="00703635">
        <w:rPr>
          <w:rFonts w:ascii="Arial" w:hAnsi="Arial" w:cs="Arial"/>
          <w:b/>
          <w:bCs/>
          <w:sz w:val="20"/>
          <w:szCs w:val="20"/>
          <w:lang w:val="en-US"/>
        </w:rPr>
        <w:t>Sample processing</w:t>
      </w:r>
    </w:p>
    <w:p w14:paraId="4BD49EEE" w14:textId="77777777" w:rsidR="00A75B5C" w:rsidRPr="00703635" w:rsidRDefault="009F0C13" w:rsidP="003B760A">
      <w:pPr>
        <w:spacing w:line="240" w:lineRule="auto"/>
        <w:jc w:val="both"/>
        <w:rPr>
          <w:rFonts w:ascii="Arial" w:hAnsi="Arial" w:cs="Arial"/>
          <w:sz w:val="20"/>
          <w:szCs w:val="20"/>
          <w:lang w:val="en-US"/>
        </w:rPr>
      </w:pPr>
      <w:r w:rsidRPr="00703635">
        <w:rPr>
          <w:rFonts w:ascii="Arial" w:hAnsi="Arial" w:cs="Arial"/>
          <w:sz w:val="20"/>
          <w:szCs w:val="20"/>
          <w:lang w:val="en-US"/>
        </w:rPr>
        <w:t>The CSF was processed according to standard bacteriology protocols with macroscopic and microscopic examination using a KOVA cell, cultured on agar media. Protein and glucose levels were measured using the Architect i4000. PCT and CRP levels were also measured using the Architect i4000 with chemiluminescence and immunoturbidimetry methods, respectively.</w:t>
      </w:r>
    </w:p>
    <w:p w14:paraId="76921278" w14:textId="558A6A93" w:rsidR="00F36221" w:rsidRPr="00703635" w:rsidRDefault="00F36221" w:rsidP="003B760A">
      <w:pPr>
        <w:pStyle w:val="ListParagraph"/>
        <w:numPr>
          <w:ilvl w:val="1"/>
          <w:numId w:val="5"/>
        </w:numPr>
        <w:spacing w:line="240" w:lineRule="auto"/>
        <w:jc w:val="both"/>
        <w:rPr>
          <w:rFonts w:ascii="Arial" w:hAnsi="Arial" w:cs="Arial"/>
          <w:sz w:val="20"/>
          <w:szCs w:val="20"/>
          <w:lang w:val="en-US"/>
        </w:rPr>
      </w:pPr>
      <w:r w:rsidRPr="00703635">
        <w:rPr>
          <w:rFonts w:ascii="Arial" w:hAnsi="Arial" w:cs="Arial"/>
          <w:b/>
          <w:bCs/>
          <w:sz w:val="20"/>
          <w:szCs w:val="20"/>
          <w:lang w:val="en-US"/>
        </w:rPr>
        <w:t>Data collection and statistical analysis:</w:t>
      </w:r>
    </w:p>
    <w:p w14:paraId="283F28D8" w14:textId="2E34BB93" w:rsidR="00F36221" w:rsidRPr="00703635" w:rsidRDefault="00F36221"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After collecting data from hospital records in Excel, statistical analyses were performed using </w:t>
      </w:r>
      <w:proofErr w:type="spellStart"/>
      <w:r w:rsidRPr="00703635">
        <w:rPr>
          <w:rFonts w:ascii="Arial" w:hAnsi="Arial" w:cs="Arial"/>
          <w:sz w:val="20"/>
          <w:szCs w:val="20"/>
          <w:lang w:val="en-US"/>
        </w:rPr>
        <w:t>Jamovi</w:t>
      </w:r>
      <w:proofErr w:type="spellEnd"/>
      <w:r w:rsidRPr="00703635">
        <w:rPr>
          <w:rFonts w:ascii="Arial" w:hAnsi="Arial" w:cs="Arial"/>
          <w:sz w:val="20"/>
          <w:szCs w:val="20"/>
          <w:lang w:val="en-US"/>
        </w:rPr>
        <w:t xml:space="preserve"> software (Version 1.6.22.0). Categorical data are described by numbers and percentages, while quantitative data are presented, in terms of their statistical distribution, as means and standard deviations or medians and interquartile ranges. Normality (Gaussian distribution) was studied using the Shapiro-Wilk test. Comparisons of means were made using the ANOVA test. The ROC and Delong tests enabled us to determine the sensitivity and specificity of PCT and CRP, as well as to differentiate the areas under the curves.</w:t>
      </w:r>
    </w:p>
    <w:p w14:paraId="76713906" w14:textId="5863A386" w:rsidR="007A6C4A" w:rsidRPr="00703635" w:rsidRDefault="007A6C4A" w:rsidP="003B760A">
      <w:pPr>
        <w:pStyle w:val="ListParagraph"/>
        <w:numPr>
          <w:ilvl w:val="0"/>
          <w:numId w:val="5"/>
        </w:numPr>
        <w:spacing w:line="240" w:lineRule="auto"/>
        <w:jc w:val="both"/>
        <w:rPr>
          <w:rFonts w:ascii="Arial" w:hAnsi="Arial" w:cs="Arial"/>
          <w:b/>
          <w:bCs/>
          <w:sz w:val="22"/>
          <w:szCs w:val="22"/>
          <w:lang w:val="en-US"/>
        </w:rPr>
      </w:pPr>
      <w:r w:rsidRPr="00703635">
        <w:rPr>
          <w:rFonts w:ascii="Arial" w:hAnsi="Arial" w:cs="Arial"/>
          <w:b/>
          <w:bCs/>
          <w:sz w:val="22"/>
          <w:szCs w:val="22"/>
          <w:lang w:val="en-US"/>
        </w:rPr>
        <w:t>RESULTS</w:t>
      </w:r>
    </w:p>
    <w:p w14:paraId="44C4A5D1" w14:textId="452EA33B" w:rsidR="007A6C4A" w:rsidRPr="00703635" w:rsidRDefault="007A6C4A" w:rsidP="001801CD">
      <w:pPr>
        <w:pStyle w:val="ListParagraph"/>
        <w:numPr>
          <w:ilvl w:val="1"/>
          <w:numId w:val="5"/>
        </w:numPr>
        <w:spacing w:after="0" w:line="240" w:lineRule="auto"/>
        <w:ind w:left="714" w:hanging="357"/>
        <w:jc w:val="both"/>
        <w:rPr>
          <w:rFonts w:ascii="Arial" w:hAnsi="Arial" w:cs="Arial"/>
          <w:b/>
          <w:bCs/>
          <w:sz w:val="20"/>
          <w:szCs w:val="20"/>
          <w:lang w:val="en-US"/>
        </w:rPr>
      </w:pPr>
      <w:r w:rsidRPr="00703635">
        <w:rPr>
          <w:rFonts w:ascii="Arial" w:hAnsi="Arial" w:cs="Arial"/>
          <w:b/>
          <w:bCs/>
          <w:sz w:val="20"/>
          <w:szCs w:val="20"/>
          <w:lang w:val="en-US"/>
        </w:rPr>
        <w:t>Population characteristics:</w:t>
      </w:r>
    </w:p>
    <w:p w14:paraId="3F753A65" w14:textId="191B52AA" w:rsidR="000407D5" w:rsidRPr="00703635" w:rsidRDefault="00B22F80" w:rsidP="003B760A">
      <w:pPr>
        <w:spacing w:line="240" w:lineRule="auto"/>
        <w:jc w:val="both"/>
        <w:rPr>
          <w:rFonts w:ascii="Arial" w:hAnsi="Arial" w:cs="Arial"/>
          <w:sz w:val="20"/>
          <w:szCs w:val="20"/>
          <w:lang w:val="en-US"/>
        </w:rPr>
      </w:pPr>
      <w:r w:rsidRPr="00703635">
        <w:rPr>
          <w:rFonts w:ascii="Arial" w:hAnsi="Arial" w:cs="Arial"/>
          <w:sz w:val="20"/>
          <w:szCs w:val="20"/>
          <w:lang w:val="en-US"/>
        </w:rPr>
        <w:t>We collected data from 40 patients under the age of 5. The study population was dominated by males, who accounted for 58% of the total, with a sex ratio of 1.38. The average age was 18.4±15.5 months. The majority of patients w</w:t>
      </w:r>
      <w:r w:rsidR="00863876" w:rsidRPr="00703635">
        <w:rPr>
          <w:rFonts w:ascii="Arial" w:hAnsi="Arial" w:cs="Arial"/>
          <w:sz w:val="20"/>
          <w:szCs w:val="20"/>
          <w:lang w:val="en-US"/>
        </w:rPr>
        <w:t>as</w:t>
      </w:r>
      <w:r w:rsidRPr="00703635">
        <w:rPr>
          <w:rFonts w:ascii="Arial" w:hAnsi="Arial" w:cs="Arial"/>
          <w:sz w:val="20"/>
          <w:szCs w:val="20"/>
          <w:lang w:val="en-US"/>
        </w:rPr>
        <w:t xml:space="preserve"> in the </w:t>
      </w:r>
      <w:proofErr w:type="gramStart"/>
      <w:r w:rsidRPr="00703635">
        <w:rPr>
          <w:rFonts w:ascii="Arial" w:hAnsi="Arial" w:cs="Arial"/>
          <w:sz w:val="20"/>
          <w:szCs w:val="20"/>
          <w:lang w:val="en-US"/>
        </w:rPr>
        <w:t>12-59 month</w:t>
      </w:r>
      <w:proofErr w:type="gramEnd"/>
      <w:r w:rsidRPr="00703635">
        <w:rPr>
          <w:rFonts w:ascii="Arial" w:hAnsi="Arial" w:cs="Arial"/>
          <w:sz w:val="20"/>
          <w:szCs w:val="20"/>
          <w:lang w:val="en-US"/>
        </w:rPr>
        <w:t xml:space="preserve"> age group, representing 55%, followed by patients aged 3-12 months (25%).</w:t>
      </w:r>
      <w:r w:rsidR="000407D5" w:rsidRPr="00703635">
        <w:rPr>
          <w:rFonts w:ascii="Arial" w:hAnsi="Arial" w:cs="Arial"/>
          <w:sz w:val="20"/>
          <w:szCs w:val="20"/>
          <w:lang w:val="en-US"/>
        </w:rPr>
        <w:t xml:space="preserve"> </w:t>
      </w:r>
      <w:r w:rsidRPr="00703635">
        <w:rPr>
          <w:rFonts w:ascii="Arial" w:hAnsi="Arial" w:cs="Arial"/>
          <w:sz w:val="20"/>
          <w:szCs w:val="20"/>
          <w:lang w:val="en-US"/>
        </w:rPr>
        <w:t>Newborns and children aged 1-3 months each represented 10% of the sample.</w:t>
      </w:r>
      <w:r w:rsidR="000407D5" w:rsidRPr="00703635">
        <w:rPr>
          <w:rFonts w:ascii="Arial" w:hAnsi="Arial" w:cs="Arial"/>
          <w:sz w:val="20"/>
          <w:szCs w:val="20"/>
          <w:lang w:val="en-US"/>
        </w:rPr>
        <w:t xml:space="preserve"> </w:t>
      </w:r>
    </w:p>
    <w:p w14:paraId="352D1942" w14:textId="7CF99173" w:rsidR="00B26912" w:rsidRPr="00703635" w:rsidRDefault="005E5027" w:rsidP="003B760A">
      <w:pPr>
        <w:pStyle w:val="ListParagraph"/>
        <w:numPr>
          <w:ilvl w:val="1"/>
          <w:numId w:val="5"/>
        </w:numPr>
        <w:spacing w:line="240" w:lineRule="auto"/>
        <w:jc w:val="both"/>
        <w:rPr>
          <w:rFonts w:ascii="Arial" w:hAnsi="Arial" w:cs="Arial"/>
          <w:lang w:val="en-US"/>
        </w:rPr>
      </w:pPr>
      <w:r w:rsidRPr="00703635">
        <w:rPr>
          <w:rFonts w:ascii="Arial" w:hAnsi="Arial" w:cs="Arial"/>
          <w:b/>
          <w:bCs/>
          <w:lang w:val="en-US"/>
        </w:rPr>
        <w:t>Clinical signs</w:t>
      </w:r>
    </w:p>
    <w:p w14:paraId="047477F3" w14:textId="3A474F02" w:rsidR="00B26912" w:rsidRPr="00703635" w:rsidRDefault="005E5027" w:rsidP="003B760A">
      <w:pPr>
        <w:spacing w:line="240" w:lineRule="auto"/>
        <w:jc w:val="both"/>
        <w:rPr>
          <w:rFonts w:ascii="Arial" w:hAnsi="Arial" w:cs="Arial"/>
          <w:sz w:val="20"/>
          <w:szCs w:val="20"/>
          <w:lang w:val="en-US"/>
        </w:rPr>
      </w:pPr>
      <w:r w:rsidRPr="00703635">
        <w:rPr>
          <w:rFonts w:ascii="Arial" w:hAnsi="Arial" w:cs="Arial"/>
          <w:sz w:val="20"/>
          <w:szCs w:val="20"/>
          <w:lang w:val="en-US"/>
        </w:rPr>
        <w:lastRenderedPageBreak/>
        <w:t>The main clinical signs observed were fever in 37 patients (92.5%), convulsions in 26 patients (65%), and vomiting in 16 patients (4</w:t>
      </w:r>
      <w:r w:rsidR="00CC0E53" w:rsidRPr="00703635">
        <w:rPr>
          <w:rFonts w:ascii="Arial" w:hAnsi="Arial" w:cs="Arial"/>
          <w:sz w:val="20"/>
          <w:szCs w:val="20"/>
          <w:lang w:val="en-US"/>
        </w:rPr>
        <w:t>0</w:t>
      </w:r>
      <w:r w:rsidRPr="00703635">
        <w:rPr>
          <w:rFonts w:ascii="Arial" w:hAnsi="Arial" w:cs="Arial"/>
          <w:sz w:val="20"/>
          <w:szCs w:val="20"/>
          <w:lang w:val="en-US"/>
        </w:rPr>
        <w:t>%).</w:t>
      </w:r>
    </w:p>
    <w:p w14:paraId="40470B0D" w14:textId="52CFB9DA" w:rsidR="00D92503" w:rsidRPr="00703635" w:rsidRDefault="00B26912" w:rsidP="00D92503">
      <w:pPr>
        <w:spacing w:line="240" w:lineRule="auto"/>
        <w:jc w:val="center"/>
        <w:rPr>
          <w:rFonts w:ascii="Arial" w:hAnsi="Arial" w:cs="Arial"/>
          <w:b/>
          <w:bCs/>
          <w:sz w:val="20"/>
          <w:szCs w:val="20"/>
          <w:lang w:val="en-US"/>
        </w:rPr>
      </w:pPr>
      <w:r w:rsidRPr="00703635">
        <w:rPr>
          <w:rFonts w:ascii="Arial" w:hAnsi="Arial" w:cs="Arial"/>
          <w:sz w:val="20"/>
          <w:szCs w:val="20"/>
          <w:lang w:val="en-US"/>
        </w:rPr>
        <w:t xml:space="preserve">     </w:t>
      </w:r>
      <w:r w:rsidR="00B86FB5" w:rsidRPr="00703635">
        <w:rPr>
          <w:rFonts w:ascii="Arial" w:hAnsi="Arial" w:cs="Arial"/>
          <w:b/>
          <w:bCs/>
          <w:sz w:val="20"/>
          <w:szCs w:val="20"/>
          <w:lang w:val="en-US"/>
        </w:rPr>
        <w:t>Table</w:t>
      </w:r>
      <w:r w:rsidR="00D92503" w:rsidRPr="00703635">
        <w:rPr>
          <w:rFonts w:ascii="Arial" w:hAnsi="Arial" w:cs="Arial"/>
          <w:b/>
          <w:bCs/>
          <w:sz w:val="20"/>
          <w:szCs w:val="20"/>
          <w:lang w:val="en-US"/>
        </w:rPr>
        <w:t xml:space="preserve"> </w:t>
      </w:r>
      <w:r w:rsidR="002248AB">
        <w:rPr>
          <w:rFonts w:ascii="Arial" w:hAnsi="Arial" w:cs="Arial"/>
          <w:b/>
          <w:bCs/>
          <w:sz w:val="20"/>
          <w:szCs w:val="20"/>
          <w:lang w:val="en-US"/>
        </w:rPr>
        <w:t>1</w:t>
      </w:r>
      <w:r w:rsidR="00D92503" w:rsidRPr="00703635">
        <w:rPr>
          <w:rFonts w:ascii="Arial" w:hAnsi="Arial" w:cs="Arial"/>
          <w:b/>
          <w:bCs/>
          <w:sz w:val="20"/>
          <w:szCs w:val="20"/>
          <w:lang w:val="en-US"/>
        </w:rPr>
        <w:t xml:space="preserve">: </w:t>
      </w:r>
      <w:r w:rsidR="00D92503" w:rsidRPr="00703635">
        <w:rPr>
          <w:rFonts w:ascii="Arial" w:hAnsi="Arial" w:cs="Arial"/>
          <w:sz w:val="20"/>
          <w:szCs w:val="20"/>
          <w:lang w:val="en-US"/>
        </w:rPr>
        <w:t>Frequency of clinical signs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38"/>
        <w:gridCol w:w="1418"/>
        <w:gridCol w:w="1559"/>
      </w:tblGrid>
      <w:tr w:rsidR="00D92503" w:rsidRPr="00703635" w14:paraId="4601AA2B" w14:textId="77777777" w:rsidTr="00B86FB5">
        <w:trPr>
          <w:jc w:val="center"/>
        </w:trPr>
        <w:tc>
          <w:tcPr>
            <w:tcW w:w="1838" w:type="dxa"/>
          </w:tcPr>
          <w:p w14:paraId="007FC32D" w14:textId="5E9E4E0A" w:rsidR="00D92503" w:rsidRPr="00703635" w:rsidRDefault="00B438FA" w:rsidP="00B86FB5">
            <w:pPr>
              <w:spacing w:line="276" w:lineRule="auto"/>
              <w:rPr>
                <w:rFonts w:ascii="Arial" w:eastAsia="Calibri" w:hAnsi="Arial" w:cs="Arial"/>
                <w:b/>
                <w:bCs/>
                <w:sz w:val="20"/>
                <w:szCs w:val="20"/>
              </w:rPr>
            </w:pPr>
            <w:r w:rsidRPr="00703635">
              <w:rPr>
                <w:rFonts w:ascii="Arial" w:eastAsia="Calibri" w:hAnsi="Arial" w:cs="Arial"/>
                <w:b/>
                <w:bCs/>
                <w:sz w:val="20"/>
                <w:szCs w:val="20"/>
              </w:rPr>
              <w:t>CLINICAL SIGNS</w:t>
            </w:r>
          </w:p>
        </w:tc>
        <w:tc>
          <w:tcPr>
            <w:tcW w:w="1418" w:type="dxa"/>
          </w:tcPr>
          <w:p w14:paraId="406F3378" w14:textId="77777777" w:rsidR="00D92503" w:rsidRPr="00703635" w:rsidRDefault="00D92503" w:rsidP="00B86FB5">
            <w:pPr>
              <w:spacing w:line="276" w:lineRule="auto"/>
              <w:jc w:val="center"/>
              <w:rPr>
                <w:rFonts w:ascii="Arial" w:eastAsia="Calibri" w:hAnsi="Arial" w:cs="Arial"/>
                <w:b/>
                <w:bCs/>
                <w:sz w:val="20"/>
                <w:szCs w:val="20"/>
              </w:rPr>
            </w:pPr>
            <w:r w:rsidRPr="00703635">
              <w:rPr>
                <w:rFonts w:ascii="Arial" w:eastAsia="Calibri" w:hAnsi="Arial" w:cs="Arial"/>
                <w:b/>
                <w:bCs/>
                <w:sz w:val="20"/>
                <w:szCs w:val="20"/>
              </w:rPr>
              <w:t>OUI N (%)</w:t>
            </w:r>
          </w:p>
        </w:tc>
        <w:tc>
          <w:tcPr>
            <w:tcW w:w="1559" w:type="dxa"/>
          </w:tcPr>
          <w:p w14:paraId="05165D30" w14:textId="77777777" w:rsidR="00D92503" w:rsidRPr="00703635" w:rsidRDefault="00D92503" w:rsidP="00B86FB5">
            <w:pPr>
              <w:spacing w:line="276" w:lineRule="auto"/>
              <w:jc w:val="center"/>
              <w:rPr>
                <w:rFonts w:ascii="Arial" w:eastAsia="Calibri" w:hAnsi="Arial" w:cs="Arial"/>
                <w:b/>
                <w:bCs/>
                <w:sz w:val="20"/>
                <w:szCs w:val="20"/>
              </w:rPr>
            </w:pPr>
            <w:r w:rsidRPr="00703635">
              <w:rPr>
                <w:rFonts w:ascii="Arial" w:eastAsia="Calibri" w:hAnsi="Arial" w:cs="Arial"/>
                <w:b/>
                <w:bCs/>
                <w:sz w:val="20"/>
                <w:szCs w:val="20"/>
              </w:rPr>
              <w:t>NON (N%)</w:t>
            </w:r>
          </w:p>
        </w:tc>
      </w:tr>
      <w:tr w:rsidR="00D92503" w:rsidRPr="00703635" w14:paraId="4B826049" w14:textId="77777777" w:rsidTr="00B86FB5">
        <w:trPr>
          <w:jc w:val="center"/>
        </w:trPr>
        <w:tc>
          <w:tcPr>
            <w:tcW w:w="1838" w:type="dxa"/>
            <w:tcBorders>
              <w:bottom w:val="nil"/>
            </w:tcBorders>
          </w:tcPr>
          <w:p w14:paraId="48EA0225"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Headache</w:t>
            </w:r>
            <w:proofErr w:type="spellEnd"/>
          </w:p>
        </w:tc>
        <w:tc>
          <w:tcPr>
            <w:tcW w:w="1418" w:type="dxa"/>
            <w:tcBorders>
              <w:bottom w:val="nil"/>
            </w:tcBorders>
          </w:tcPr>
          <w:p w14:paraId="54612D11"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2 (5)</w:t>
            </w:r>
          </w:p>
        </w:tc>
        <w:tc>
          <w:tcPr>
            <w:tcW w:w="1559" w:type="dxa"/>
            <w:tcBorders>
              <w:bottom w:val="nil"/>
            </w:tcBorders>
          </w:tcPr>
          <w:p w14:paraId="2F0AC709" w14:textId="384B418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36 (9</w:t>
            </w:r>
            <w:r w:rsidR="009B13F2" w:rsidRPr="00703635">
              <w:rPr>
                <w:rFonts w:ascii="Arial" w:eastAsia="Calibri" w:hAnsi="Arial" w:cs="Arial"/>
                <w:sz w:val="20"/>
                <w:szCs w:val="20"/>
              </w:rPr>
              <w:t>0</w:t>
            </w:r>
            <w:r w:rsidRPr="00703635">
              <w:rPr>
                <w:rFonts w:ascii="Arial" w:eastAsia="Calibri" w:hAnsi="Arial" w:cs="Arial"/>
                <w:sz w:val="20"/>
                <w:szCs w:val="20"/>
              </w:rPr>
              <w:t>)</w:t>
            </w:r>
          </w:p>
        </w:tc>
      </w:tr>
      <w:tr w:rsidR="00D92503" w:rsidRPr="00703635" w14:paraId="6A0BB2B2" w14:textId="77777777" w:rsidTr="00B86FB5">
        <w:trPr>
          <w:jc w:val="center"/>
        </w:trPr>
        <w:tc>
          <w:tcPr>
            <w:tcW w:w="1838" w:type="dxa"/>
            <w:tcBorders>
              <w:top w:val="nil"/>
              <w:bottom w:val="nil"/>
            </w:tcBorders>
          </w:tcPr>
          <w:p w14:paraId="63B4BD50" w14:textId="77777777" w:rsidR="00D92503" w:rsidRPr="00703635" w:rsidRDefault="00D92503" w:rsidP="00B86FB5">
            <w:pPr>
              <w:spacing w:line="276" w:lineRule="auto"/>
              <w:rPr>
                <w:rFonts w:ascii="Arial" w:eastAsia="Calibri" w:hAnsi="Arial" w:cs="Arial"/>
                <w:sz w:val="20"/>
                <w:szCs w:val="20"/>
              </w:rPr>
            </w:pPr>
            <w:r w:rsidRPr="00703635">
              <w:rPr>
                <w:rFonts w:ascii="Arial" w:eastAsia="Calibri" w:hAnsi="Arial" w:cs="Arial"/>
                <w:sz w:val="20"/>
                <w:szCs w:val="20"/>
              </w:rPr>
              <w:t>Fever</w:t>
            </w:r>
          </w:p>
        </w:tc>
        <w:tc>
          <w:tcPr>
            <w:tcW w:w="1418" w:type="dxa"/>
            <w:tcBorders>
              <w:top w:val="nil"/>
              <w:bottom w:val="nil"/>
            </w:tcBorders>
          </w:tcPr>
          <w:p w14:paraId="27CF9C60"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37 (92.5)</w:t>
            </w:r>
          </w:p>
        </w:tc>
        <w:tc>
          <w:tcPr>
            <w:tcW w:w="1559" w:type="dxa"/>
            <w:tcBorders>
              <w:top w:val="nil"/>
              <w:bottom w:val="nil"/>
            </w:tcBorders>
          </w:tcPr>
          <w:p w14:paraId="62AEE172"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 (7.5)</w:t>
            </w:r>
          </w:p>
        </w:tc>
      </w:tr>
      <w:tr w:rsidR="00D92503" w:rsidRPr="00703635" w14:paraId="60D2707F" w14:textId="77777777" w:rsidTr="00B86FB5">
        <w:trPr>
          <w:jc w:val="center"/>
        </w:trPr>
        <w:tc>
          <w:tcPr>
            <w:tcW w:w="1838" w:type="dxa"/>
            <w:tcBorders>
              <w:top w:val="nil"/>
              <w:bottom w:val="nil"/>
            </w:tcBorders>
          </w:tcPr>
          <w:p w14:paraId="5DD34029"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Drowsiness</w:t>
            </w:r>
            <w:proofErr w:type="spellEnd"/>
          </w:p>
        </w:tc>
        <w:tc>
          <w:tcPr>
            <w:tcW w:w="1418" w:type="dxa"/>
            <w:tcBorders>
              <w:top w:val="nil"/>
              <w:bottom w:val="nil"/>
            </w:tcBorders>
          </w:tcPr>
          <w:p w14:paraId="0C515B82" w14:textId="2C2225B6"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5 (1</w:t>
            </w:r>
            <w:r w:rsidR="00171DD8" w:rsidRPr="00703635">
              <w:rPr>
                <w:rFonts w:ascii="Arial" w:eastAsia="Calibri" w:hAnsi="Arial" w:cs="Arial"/>
                <w:sz w:val="20"/>
                <w:szCs w:val="20"/>
              </w:rPr>
              <w:t>2.</w:t>
            </w:r>
            <w:r w:rsidRPr="00703635">
              <w:rPr>
                <w:rFonts w:ascii="Arial" w:eastAsia="Calibri" w:hAnsi="Arial" w:cs="Arial"/>
                <w:sz w:val="20"/>
                <w:szCs w:val="20"/>
              </w:rPr>
              <w:t>5)</w:t>
            </w:r>
          </w:p>
        </w:tc>
        <w:tc>
          <w:tcPr>
            <w:tcW w:w="1559" w:type="dxa"/>
            <w:tcBorders>
              <w:top w:val="nil"/>
              <w:bottom w:val="nil"/>
            </w:tcBorders>
          </w:tcPr>
          <w:p w14:paraId="2830524F" w14:textId="3531408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33</w:t>
            </w:r>
            <w:r w:rsidR="00171DD8" w:rsidRPr="00703635">
              <w:rPr>
                <w:rFonts w:ascii="Arial" w:eastAsia="Calibri" w:hAnsi="Arial" w:cs="Arial"/>
                <w:sz w:val="20"/>
                <w:szCs w:val="20"/>
              </w:rPr>
              <w:t xml:space="preserve"> (82.5)</w:t>
            </w:r>
          </w:p>
        </w:tc>
      </w:tr>
      <w:tr w:rsidR="00D92503" w:rsidRPr="00703635" w14:paraId="698723EA" w14:textId="77777777" w:rsidTr="00B86FB5">
        <w:trPr>
          <w:jc w:val="center"/>
        </w:trPr>
        <w:tc>
          <w:tcPr>
            <w:tcW w:w="1838" w:type="dxa"/>
            <w:tcBorders>
              <w:top w:val="nil"/>
              <w:bottom w:val="nil"/>
            </w:tcBorders>
          </w:tcPr>
          <w:p w14:paraId="0432A323"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Stiff</w:t>
            </w:r>
            <w:proofErr w:type="spellEnd"/>
            <w:r w:rsidRPr="00703635">
              <w:rPr>
                <w:rFonts w:ascii="Arial" w:eastAsia="Calibri" w:hAnsi="Arial" w:cs="Arial"/>
                <w:sz w:val="20"/>
                <w:szCs w:val="20"/>
              </w:rPr>
              <w:t xml:space="preserve"> neck</w:t>
            </w:r>
          </w:p>
        </w:tc>
        <w:tc>
          <w:tcPr>
            <w:tcW w:w="1418" w:type="dxa"/>
            <w:tcBorders>
              <w:top w:val="nil"/>
              <w:bottom w:val="nil"/>
            </w:tcBorders>
          </w:tcPr>
          <w:p w14:paraId="25A937E1"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2 (5)</w:t>
            </w:r>
          </w:p>
        </w:tc>
        <w:tc>
          <w:tcPr>
            <w:tcW w:w="1559" w:type="dxa"/>
            <w:tcBorders>
              <w:top w:val="nil"/>
              <w:bottom w:val="nil"/>
            </w:tcBorders>
          </w:tcPr>
          <w:p w14:paraId="67D1751F"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36 (95)</w:t>
            </w:r>
          </w:p>
        </w:tc>
      </w:tr>
      <w:tr w:rsidR="00D92503" w:rsidRPr="00703635" w14:paraId="792807C4" w14:textId="77777777" w:rsidTr="00B86FB5">
        <w:trPr>
          <w:jc w:val="center"/>
        </w:trPr>
        <w:tc>
          <w:tcPr>
            <w:tcW w:w="1838" w:type="dxa"/>
            <w:tcBorders>
              <w:top w:val="nil"/>
              <w:bottom w:val="nil"/>
            </w:tcBorders>
          </w:tcPr>
          <w:p w14:paraId="0079B94E"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Photophobia</w:t>
            </w:r>
            <w:proofErr w:type="spellEnd"/>
          </w:p>
        </w:tc>
        <w:tc>
          <w:tcPr>
            <w:tcW w:w="1418" w:type="dxa"/>
            <w:tcBorders>
              <w:top w:val="nil"/>
              <w:bottom w:val="nil"/>
            </w:tcBorders>
          </w:tcPr>
          <w:p w14:paraId="58C68B06"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0</w:t>
            </w:r>
          </w:p>
        </w:tc>
        <w:tc>
          <w:tcPr>
            <w:tcW w:w="1559" w:type="dxa"/>
            <w:tcBorders>
              <w:top w:val="nil"/>
              <w:bottom w:val="nil"/>
            </w:tcBorders>
          </w:tcPr>
          <w:p w14:paraId="53D04D08" w14:textId="267B79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38 (</w:t>
            </w:r>
            <w:r w:rsidR="00F67AAD" w:rsidRPr="00703635">
              <w:rPr>
                <w:rFonts w:ascii="Arial" w:eastAsia="Calibri" w:hAnsi="Arial" w:cs="Arial"/>
                <w:sz w:val="20"/>
                <w:szCs w:val="20"/>
              </w:rPr>
              <w:t>95</w:t>
            </w:r>
            <w:r w:rsidRPr="00703635">
              <w:rPr>
                <w:rFonts w:ascii="Arial" w:eastAsia="Calibri" w:hAnsi="Arial" w:cs="Arial"/>
                <w:sz w:val="20"/>
                <w:szCs w:val="20"/>
              </w:rPr>
              <w:t>)</w:t>
            </w:r>
          </w:p>
        </w:tc>
      </w:tr>
      <w:tr w:rsidR="00D92503" w:rsidRPr="00703635" w14:paraId="44EDF97C" w14:textId="77777777" w:rsidTr="00B86FB5">
        <w:trPr>
          <w:jc w:val="center"/>
        </w:trPr>
        <w:tc>
          <w:tcPr>
            <w:tcW w:w="1838" w:type="dxa"/>
            <w:tcBorders>
              <w:top w:val="nil"/>
              <w:bottom w:val="nil"/>
            </w:tcBorders>
          </w:tcPr>
          <w:p w14:paraId="0FBEDE92" w14:textId="67A104E4" w:rsidR="00D92503" w:rsidRPr="00703635" w:rsidRDefault="004A38DA" w:rsidP="00B86FB5">
            <w:pPr>
              <w:spacing w:line="276" w:lineRule="auto"/>
              <w:rPr>
                <w:rFonts w:ascii="Arial" w:eastAsia="Calibri" w:hAnsi="Arial" w:cs="Arial"/>
                <w:sz w:val="20"/>
                <w:szCs w:val="20"/>
              </w:rPr>
            </w:pPr>
            <w:r w:rsidRPr="00703635">
              <w:rPr>
                <w:rFonts w:ascii="Arial" w:eastAsia="Calibri" w:hAnsi="Arial" w:cs="Arial"/>
                <w:sz w:val="20"/>
                <w:szCs w:val="20"/>
              </w:rPr>
              <w:t>Convulsion</w:t>
            </w:r>
          </w:p>
        </w:tc>
        <w:tc>
          <w:tcPr>
            <w:tcW w:w="1418" w:type="dxa"/>
            <w:tcBorders>
              <w:top w:val="nil"/>
              <w:bottom w:val="nil"/>
            </w:tcBorders>
          </w:tcPr>
          <w:p w14:paraId="286D3DF7" w14:textId="777997BF"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26 (6</w:t>
            </w:r>
            <w:r w:rsidR="00CC0E53" w:rsidRPr="00703635">
              <w:rPr>
                <w:rFonts w:ascii="Arial" w:eastAsia="Calibri" w:hAnsi="Arial" w:cs="Arial"/>
                <w:sz w:val="20"/>
                <w:szCs w:val="20"/>
              </w:rPr>
              <w:t>5</w:t>
            </w:r>
            <w:r w:rsidRPr="00703635">
              <w:rPr>
                <w:rFonts w:ascii="Arial" w:eastAsia="Calibri" w:hAnsi="Arial" w:cs="Arial"/>
                <w:sz w:val="20"/>
                <w:szCs w:val="20"/>
              </w:rPr>
              <w:t>)</w:t>
            </w:r>
          </w:p>
        </w:tc>
        <w:tc>
          <w:tcPr>
            <w:tcW w:w="1559" w:type="dxa"/>
            <w:tcBorders>
              <w:top w:val="nil"/>
              <w:bottom w:val="nil"/>
            </w:tcBorders>
          </w:tcPr>
          <w:p w14:paraId="01EEE5AE" w14:textId="47F06345"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13 (3</w:t>
            </w:r>
            <w:r w:rsidR="009B13F2" w:rsidRPr="00703635">
              <w:rPr>
                <w:rFonts w:ascii="Arial" w:eastAsia="Calibri" w:hAnsi="Arial" w:cs="Arial"/>
                <w:sz w:val="20"/>
                <w:szCs w:val="20"/>
              </w:rPr>
              <w:t>2.5</w:t>
            </w:r>
            <w:r w:rsidRPr="00703635">
              <w:rPr>
                <w:rFonts w:ascii="Arial" w:eastAsia="Calibri" w:hAnsi="Arial" w:cs="Arial"/>
                <w:sz w:val="20"/>
                <w:szCs w:val="20"/>
              </w:rPr>
              <w:t>)</w:t>
            </w:r>
          </w:p>
        </w:tc>
      </w:tr>
      <w:tr w:rsidR="00D92503" w:rsidRPr="00703635" w14:paraId="50C882AD" w14:textId="77777777" w:rsidTr="00B86FB5">
        <w:trPr>
          <w:jc w:val="center"/>
        </w:trPr>
        <w:tc>
          <w:tcPr>
            <w:tcW w:w="1838" w:type="dxa"/>
            <w:tcBorders>
              <w:top w:val="nil"/>
              <w:bottom w:val="nil"/>
            </w:tcBorders>
          </w:tcPr>
          <w:p w14:paraId="7888E981"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Vomiting</w:t>
            </w:r>
            <w:proofErr w:type="spellEnd"/>
          </w:p>
        </w:tc>
        <w:tc>
          <w:tcPr>
            <w:tcW w:w="1418" w:type="dxa"/>
            <w:tcBorders>
              <w:top w:val="nil"/>
              <w:bottom w:val="nil"/>
            </w:tcBorders>
          </w:tcPr>
          <w:p w14:paraId="3772FA71" w14:textId="37D82423"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16 (4</w:t>
            </w:r>
            <w:r w:rsidR="00CC0E53" w:rsidRPr="00703635">
              <w:rPr>
                <w:rFonts w:ascii="Arial" w:eastAsia="Calibri" w:hAnsi="Arial" w:cs="Arial"/>
                <w:sz w:val="20"/>
                <w:szCs w:val="20"/>
              </w:rPr>
              <w:t>0</w:t>
            </w:r>
            <w:r w:rsidRPr="00703635">
              <w:rPr>
                <w:rFonts w:ascii="Arial" w:eastAsia="Calibri" w:hAnsi="Arial" w:cs="Arial"/>
                <w:sz w:val="20"/>
                <w:szCs w:val="20"/>
              </w:rPr>
              <w:t>)</w:t>
            </w:r>
          </w:p>
        </w:tc>
        <w:tc>
          <w:tcPr>
            <w:tcW w:w="1559" w:type="dxa"/>
            <w:tcBorders>
              <w:top w:val="nil"/>
              <w:bottom w:val="nil"/>
            </w:tcBorders>
          </w:tcPr>
          <w:p w14:paraId="50FE8F33"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23 (59)</w:t>
            </w:r>
          </w:p>
        </w:tc>
      </w:tr>
      <w:tr w:rsidR="00D92503" w:rsidRPr="00703635" w14:paraId="5F7804AD" w14:textId="77777777" w:rsidTr="00B86FB5">
        <w:trPr>
          <w:jc w:val="center"/>
        </w:trPr>
        <w:tc>
          <w:tcPr>
            <w:tcW w:w="1838" w:type="dxa"/>
            <w:tcBorders>
              <w:top w:val="nil"/>
            </w:tcBorders>
          </w:tcPr>
          <w:p w14:paraId="3749F6F2" w14:textId="77777777" w:rsidR="00D92503" w:rsidRPr="00703635" w:rsidRDefault="00D92503" w:rsidP="00B86FB5">
            <w:pPr>
              <w:spacing w:line="276" w:lineRule="auto"/>
              <w:rPr>
                <w:rFonts w:ascii="Arial" w:eastAsia="Calibri" w:hAnsi="Arial" w:cs="Arial"/>
                <w:sz w:val="20"/>
                <w:szCs w:val="20"/>
              </w:rPr>
            </w:pPr>
            <w:proofErr w:type="spellStart"/>
            <w:r w:rsidRPr="00703635">
              <w:rPr>
                <w:rFonts w:ascii="Arial" w:eastAsia="Calibri" w:hAnsi="Arial" w:cs="Arial"/>
                <w:sz w:val="20"/>
                <w:szCs w:val="20"/>
              </w:rPr>
              <w:t>Irritability</w:t>
            </w:r>
            <w:proofErr w:type="spellEnd"/>
          </w:p>
        </w:tc>
        <w:tc>
          <w:tcPr>
            <w:tcW w:w="1418" w:type="dxa"/>
            <w:tcBorders>
              <w:top w:val="nil"/>
            </w:tcBorders>
          </w:tcPr>
          <w:p w14:paraId="2B93826C"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7 (18.4)</w:t>
            </w:r>
          </w:p>
        </w:tc>
        <w:tc>
          <w:tcPr>
            <w:tcW w:w="1559" w:type="dxa"/>
            <w:tcBorders>
              <w:top w:val="nil"/>
            </w:tcBorders>
          </w:tcPr>
          <w:p w14:paraId="54FF4146" w14:textId="77777777" w:rsidR="00D92503" w:rsidRPr="00703635" w:rsidRDefault="00D92503" w:rsidP="00B86FB5">
            <w:pPr>
              <w:spacing w:line="276" w:lineRule="auto"/>
              <w:jc w:val="center"/>
              <w:rPr>
                <w:rFonts w:ascii="Arial" w:eastAsia="Calibri" w:hAnsi="Arial" w:cs="Arial"/>
                <w:sz w:val="20"/>
                <w:szCs w:val="20"/>
              </w:rPr>
            </w:pPr>
            <w:r w:rsidRPr="00703635">
              <w:rPr>
                <w:rFonts w:ascii="Arial" w:eastAsia="Calibri" w:hAnsi="Arial" w:cs="Arial"/>
                <w:sz w:val="20"/>
                <w:szCs w:val="20"/>
              </w:rPr>
              <w:t>31 (81.6)</w:t>
            </w:r>
          </w:p>
        </w:tc>
      </w:tr>
    </w:tbl>
    <w:p w14:paraId="09267A06" w14:textId="2E244624" w:rsidR="009768F6" w:rsidRPr="00703635" w:rsidRDefault="00B26912" w:rsidP="00B86FB5">
      <w:pPr>
        <w:spacing w:line="240" w:lineRule="auto"/>
        <w:jc w:val="both"/>
        <w:rPr>
          <w:rFonts w:ascii="Arial" w:hAnsi="Arial" w:cs="Arial"/>
          <w:sz w:val="20"/>
          <w:szCs w:val="20"/>
          <w:lang w:val="en-US"/>
        </w:rPr>
      </w:pPr>
      <w:r w:rsidRPr="00703635">
        <w:rPr>
          <w:rFonts w:ascii="Arial" w:hAnsi="Arial" w:cs="Arial"/>
          <w:sz w:val="20"/>
          <w:szCs w:val="20"/>
          <w:lang w:val="en-US"/>
        </w:rPr>
        <w:t xml:space="preserve">                                                                                                                                                                                                                                                                                                                                                           </w:t>
      </w:r>
      <w:r w:rsidR="00B438FA" w:rsidRPr="00703635">
        <w:rPr>
          <w:rFonts w:ascii="Arial" w:hAnsi="Arial" w:cs="Arial"/>
          <w:b/>
          <w:bCs/>
          <w:sz w:val="20"/>
          <w:szCs w:val="20"/>
          <w:lang w:val="en-US"/>
        </w:rPr>
        <w:t>2.3</w:t>
      </w:r>
      <w:r w:rsidR="00B438FA" w:rsidRPr="00703635">
        <w:rPr>
          <w:rFonts w:ascii="Arial" w:hAnsi="Arial" w:cs="Arial"/>
          <w:sz w:val="20"/>
          <w:szCs w:val="20"/>
          <w:lang w:val="en-US"/>
        </w:rPr>
        <w:t xml:space="preserve"> </w:t>
      </w:r>
      <w:r w:rsidR="009768F6" w:rsidRPr="00703635">
        <w:rPr>
          <w:rFonts w:ascii="Arial" w:hAnsi="Arial" w:cs="Arial"/>
          <w:b/>
          <w:bCs/>
          <w:sz w:val="20"/>
          <w:szCs w:val="20"/>
          <w:lang w:val="en-US"/>
        </w:rPr>
        <w:t>Distribution of the study population according to discharge diagnosis</w:t>
      </w:r>
    </w:p>
    <w:p w14:paraId="7240DB37" w14:textId="53FA00B6" w:rsidR="00B26912" w:rsidRPr="00703635" w:rsidRDefault="009768F6" w:rsidP="003B760A">
      <w:pPr>
        <w:spacing w:line="240" w:lineRule="auto"/>
        <w:jc w:val="both"/>
        <w:rPr>
          <w:rFonts w:ascii="Arial" w:hAnsi="Arial" w:cs="Arial"/>
          <w:sz w:val="20"/>
          <w:szCs w:val="20"/>
          <w:lang w:val="en-US"/>
        </w:rPr>
      </w:pPr>
      <w:r w:rsidRPr="00703635">
        <w:rPr>
          <w:rFonts w:ascii="Arial" w:hAnsi="Arial" w:cs="Arial"/>
          <w:sz w:val="20"/>
          <w:szCs w:val="20"/>
          <w:lang w:val="en-US"/>
        </w:rPr>
        <w:t>Among the diagnoses recorded, viral meningitis accounted for the majority of cases, with 45% of cases, followed by bacterial meningitis at 20%. The remainder consisted of sepsis (15%) and other types of infections (20%)</w:t>
      </w:r>
      <w:r w:rsidR="00F5571D" w:rsidRPr="00703635">
        <w:rPr>
          <w:rFonts w:ascii="Arial" w:hAnsi="Arial" w:cs="Arial"/>
          <w:sz w:val="20"/>
          <w:szCs w:val="20"/>
          <w:lang w:val="en-US"/>
        </w:rPr>
        <w:t xml:space="preserve"> (figure 1)</w:t>
      </w:r>
      <w:r w:rsidRPr="00703635">
        <w:rPr>
          <w:rFonts w:ascii="Arial" w:hAnsi="Arial" w:cs="Arial"/>
          <w:sz w:val="20"/>
          <w:szCs w:val="20"/>
          <w:lang w:val="en-US"/>
        </w:rPr>
        <w:t>.</w:t>
      </w:r>
      <w:r w:rsidR="00B26912" w:rsidRPr="00703635">
        <w:rPr>
          <w:rFonts w:ascii="Arial" w:hAnsi="Arial" w:cs="Arial"/>
          <w:sz w:val="20"/>
          <w:szCs w:val="20"/>
          <w:lang w:val="en-US"/>
        </w:rPr>
        <w:t xml:space="preserve">                                                                                                                                                                                                                                                                                                                                                                                              </w:t>
      </w:r>
    </w:p>
    <w:p w14:paraId="3D26CAC9" w14:textId="6315E6FA" w:rsidR="00B26912" w:rsidRPr="00703635" w:rsidRDefault="004F13B7" w:rsidP="004F13B7">
      <w:pPr>
        <w:spacing w:line="240" w:lineRule="auto"/>
        <w:jc w:val="center"/>
        <w:rPr>
          <w:rFonts w:ascii="Arial" w:hAnsi="Arial" w:cs="Arial"/>
          <w:lang w:val="en-US"/>
        </w:rPr>
      </w:pPr>
      <w:r w:rsidRPr="00703635">
        <w:rPr>
          <w:rFonts w:ascii="Arial" w:hAnsi="Arial" w:cs="Arial"/>
          <w:noProof/>
        </w:rPr>
        <w:drawing>
          <wp:inline distT="0" distB="0" distL="0" distR="0" wp14:anchorId="5A4AF343" wp14:editId="08634781">
            <wp:extent cx="4572000" cy="2743200"/>
            <wp:effectExtent l="0" t="0" r="0" b="0"/>
            <wp:docPr id="1587089286" name="Graphique 1">
              <a:extLst xmlns:a="http://schemas.openxmlformats.org/drawingml/2006/main">
                <a:ext uri="{FF2B5EF4-FFF2-40B4-BE49-F238E27FC236}">
                  <a16:creationId xmlns:a16="http://schemas.microsoft.com/office/drawing/2014/main" id="{296CF1F0-ACF1-10B3-D3A3-6AC56A1B6E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5A98E2" w14:textId="73FBA52A" w:rsidR="00A31FE0" w:rsidRPr="00703635" w:rsidRDefault="00A31FE0" w:rsidP="00C034A9">
      <w:pPr>
        <w:spacing w:line="240" w:lineRule="auto"/>
        <w:jc w:val="center"/>
        <w:rPr>
          <w:rFonts w:ascii="Arial" w:hAnsi="Arial" w:cs="Arial"/>
          <w:sz w:val="20"/>
          <w:szCs w:val="20"/>
          <w:lang w:val="en-US"/>
        </w:rPr>
      </w:pPr>
      <w:r w:rsidRPr="00703635">
        <w:rPr>
          <w:rFonts w:ascii="Arial" w:hAnsi="Arial" w:cs="Arial"/>
          <w:b/>
          <w:bCs/>
          <w:sz w:val="20"/>
          <w:szCs w:val="20"/>
          <w:lang w:val="en-US"/>
        </w:rPr>
        <w:t xml:space="preserve">Figure </w:t>
      </w:r>
      <w:r w:rsidR="00B438FA" w:rsidRPr="00703635">
        <w:rPr>
          <w:rFonts w:ascii="Arial" w:hAnsi="Arial" w:cs="Arial"/>
          <w:b/>
          <w:bCs/>
          <w:sz w:val="20"/>
          <w:szCs w:val="20"/>
          <w:lang w:val="en-US"/>
        </w:rPr>
        <w:t>1</w:t>
      </w:r>
      <w:r w:rsidRPr="00703635">
        <w:rPr>
          <w:rFonts w:ascii="Arial" w:hAnsi="Arial" w:cs="Arial"/>
          <w:b/>
          <w:bCs/>
          <w:sz w:val="20"/>
          <w:szCs w:val="20"/>
          <w:lang w:val="en-US"/>
        </w:rPr>
        <w:t xml:space="preserve">: </w:t>
      </w:r>
      <w:r w:rsidRPr="00703635">
        <w:rPr>
          <w:rFonts w:ascii="Arial" w:hAnsi="Arial" w:cs="Arial"/>
          <w:sz w:val="20"/>
          <w:szCs w:val="20"/>
          <w:lang w:val="en-US"/>
        </w:rPr>
        <w:t>Distribution of discharge diagnoses</w:t>
      </w:r>
    </w:p>
    <w:p w14:paraId="79A7F2A3" w14:textId="4E69BA13" w:rsidR="00A31FE0" w:rsidRPr="00703635" w:rsidRDefault="00A31FE0" w:rsidP="003B760A">
      <w:pPr>
        <w:pStyle w:val="ListParagraph"/>
        <w:numPr>
          <w:ilvl w:val="1"/>
          <w:numId w:val="5"/>
        </w:numPr>
        <w:spacing w:line="240" w:lineRule="auto"/>
        <w:rPr>
          <w:rFonts w:ascii="Arial" w:hAnsi="Arial" w:cs="Arial"/>
          <w:b/>
          <w:bCs/>
          <w:sz w:val="20"/>
          <w:szCs w:val="20"/>
          <w:lang w:val="en-US"/>
        </w:rPr>
      </w:pPr>
      <w:r w:rsidRPr="00703635">
        <w:rPr>
          <w:rFonts w:ascii="Arial" w:hAnsi="Arial" w:cs="Arial"/>
          <w:b/>
          <w:bCs/>
          <w:sz w:val="20"/>
          <w:szCs w:val="20"/>
          <w:lang w:val="en-US"/>
        </w:rPr>
        <w:t>Evaluation of CSF cytochemistry and CRP and PCT assays</w:t>
      </w:r>
    </w:p>
    <w:p w14:paraId="125E1D45" w14:textId="6EB13050" w:rsidR="009357C0" w:rsidRPr="00703635" w:rsidRDefault="009357C0" w:rsidP="003B760A">
      <w:pPr>
        <w:spacing w:line="240" w:lineRule="auto"/>
        <w:jc w:val="both"/>
        <w:rPr>
          <w:rFonts w:ascii="Arial" w:hAnsi="Arial" w:cs="Arial"/>
          <w:sz w:val="20"/>
          <w:szCs w:val="20"/>
          <w:lang w:val="en-US"/>
        </w:rPr>
      </w:pPr>
      <w:r w:rsidRPr="00703635">
        <w:rPr>
          <w:rFonts w:ascii="Arial" w:hAnsi="Arial" w:cs="Arial"/>
          <w:sz w:val="20"/>
          <w:szCs w:val="20"/>
          <w:lang w:val="en-US"/>
        </w:rPr>
        <w:t>In CSF, t</w:t>
      </w:r>
      <w:r w:rsidR="00A31FE0" w:rsidRPr="00703635">
        <w:rPr>
          <w:rFonts w:ascii="Arial" w:hAnsi="Arial" w:cs="Arial"/>
          <w:sz w:val="20"/>
          <w:szCs w:val="20"/>
          <w:lang w:val="en-US"/>
        </w:rPr>
        <w:t xml:space="preserve">he analyses showed a mean leukocyte count of 135 </w:t>
      </w:r>
      <w:proofErr w:type="spellStart"/>
      <w:r w:rsidR="00A31FE0" w:rsidRPr="00703635">
        <w:rPr>
          <w:rFonts w:ascii="Arial" w:hAnsi="Arial" w:cs="Arial"/>
          <w:sz w:val="20"/>
          <w:szCs w:val="20"/>
          <w:lang w:val="en-US"/>
        </w:rPr>
        <w:t>elts</w:t>
      </w:r>
      <w:proofErr w:type="spellEnd"/>
      <w:r w:rsidR="00A31FE0" w:rsidRPr="00703635">
        <w:rPr>
          <w:rFonts w:ascii="Arial" w:hAnsi="Arial" w:cs="Arial"/>
          <w:sz w:val="20"/>
          <w:szCs w:val="20"/>
          <w:lang w:val="en-US"/>
        </w:rPr>
        <w:t>/mm</w:t>
      </w:r>
      <w:r w:rsidR="00A31FE0" w:rsidRPr="00703635">
        <w:rPr>
          <w:rFonts w:ascii="Arial" w:hAnsi="Arial" w:cs="Arial"/>
          <w:sz w:val="20"/>
          <w:szCs w:val="20"/>
          <w:vertAlign w:val="superscript"/>
          <w:lang w:val="en-US"/>
        </w:rPr>
        <w:t>3</w:t>
      </w:r>
      <w:r w:rsidR="00A31FE0" w:rsidRPr="00703635">
        <w:rPr>
          <w:rFonts w:ascii="Arial" w:hAnsi="Arial" w:cs="Arial"/>
          <w:sz w:val="20"/>
          <w:szCs w:val="20"/>
          <w:lang w:val="en-US"/>
        </w:rPr>
        <w:t xml:space="preserve"> with high variability (standard deviation ± 428 </w:t>
      </w:r>
      <w:proofErr w:type="spellStart"/>
      <w:r w:rsidR="00A31FE0" w:rsidRPr="00703635">
        <w:rPr>
          <w:rFonts w:ascii="Arial" w:hAnsi="Arial" w:cs="Arial"/>
          <w:sz w:val="20"/>
          <w:szCs w:val="20"/>
          <w:lang w:val="en-US"/>
        </w:rPr>
        <w:t>elts</w:t>
      </w:r>
      <w:proofErr w:type="spellEnd"/>
      <w:r w:rsidR="00A31FE0" w:rsidRPr="00703635">
        <w:rPr>
          <w:rFonts w:ascii="Arial" w:hAnsi="Arial" w:cs="Arial"/>
          <w:sz w:val="20"/>
          <w:szCs w:val="20"/>
          <w:lang w:val="en-US"/>
        </w:rPr>
        <w:t>/mm</w:t>
      </w:r>
      <w:r w:rsidR="00A31FE0" w:rsidRPr="00703635">
        <w:rPr>
          <w:rFonts w:ascii="Arial" w:hAnsi="Arial" w:cs="Arial"/>
          <w:sz w:val="20"/>
          <w:szCs w:val="20"/>
          <w:vertAlign w:val="superscript"/>
          <w:lang w:val="en-US"/>
        </w:rPr>
        <w:t>3</w:t>
      </w:r>
      <w:r w:rsidR="00A31FE0" w:rsidRPr="00703635">
        <w:rPr>
          <w:rFonts w:ascii="Arial" w:hAnsi="Arial" w:cs="Arial"/>
          <w:sz w:val="20"/>
          <w:szCs w:val="20"/>
          <w:lang w:val="en-US"/>
        </w:rPr>
        <w:t>). A lymphocyte predominance with an average of 41.8% ± 38.5% was observed. The average gl</w:t>
      </w:r>
      <w:r w:rsidRPr="00703635">
        <w:rPr>
          <w:rFonts w:ascii="Arial" w:hAnsi="Arial" w:cs="Arial"/>
          <w:sz w:val="20"/>
          <w:szCs w:val="20"/>
          <w:lang w:val="en-US"/>
        </w:rPr>
        <w:t>ucose level</w:t>
      </w:r>
      <w:r w:rsidR="00A31FE0" w:rsidRPr="00703635">
        <w:rPr>
          <w:rFonts w:ascii="Arial" w:hAnsi="Arial" w:cs="Arial"/>
          <w:sz w:val="20"/>
          <w:szCs w:val="20"/>
          <w:lang w:val="en-US"/>
        </w:rPr>
        <w:t xml:space="preserve"> was 0.60 g/L, while the average protein</w:t>
      </w:r>
      <w:r w:rsidRPr="00703635">
        <w:rPr>
          <w:rFonts w:ascii="Arial" w:hAnsi="Arial" w:cs="Arial"/>
          <w:sz w:val="20"/>
          <w:szCs w:val="20"/>
          <w:lang w:val="en-US"/>
        </w:rPr>
        <w:t xml:space="preserve"> </w:t>
      </w:r>
      <w:proofErr w:type="gramStart"/>
      <w:r w:rsidRPr="00703635">
        <w:rPr>
          <w:rFonts w:ascii="Arial" w:hAnsi="Arial" w:cs="Arial"/>
          <w:sz w:val="20"/>
          <w:szCs w:val="20"/>
          <w:lang w:val="en-US"/>
        </w:rPr>
        <w:t xml:space="preserve">level </w:t>
      </w:r>
      <w:r w:rsidR="00A31FE0" w:rsidRPr="00703635">
        <w:rPr>
          <w:rFonts w:ascii="Arial" w:hAnsi="Arial" w:cs="Arial"/>
          <w:sz w:val="20"/>
          <w:szCs w:val="20"/>
          <w:lang w:val="en-US"/>
        </w:rPr>
        <w:t xml:space="preserve"> was</w:t>
      </w:r>
      <w:proofErr w:type="gramEnd"/>
      <w:r w:rsidR="00A31FE0" w:rsidRPr="00703635">
        <w:rPr>
          <w:rFonts w:ascii="Arial" w:hAnsi="Arial" w:cs="Arial"/>
          <w:sz w:val="20"/>
          <w:szCs w:val="20"/>
          <w:lang w:val="en-US"/>
        </w:rPr>
        <w:t xml:space="preserve"> 0.62 g/L</w:t>
      </w:r>
      <w:r w:rsidR="00F5571D" w:rsidRPr="00703635">
        <w:rPr>
          <w:rFonts w:ascii="Arial" w:hAnsi="Arial" w:cs="Arial"/>
          <w:sz w:val="20"/>
          <w:szCs w:val="20"/>
          <w:lang w:val="en-US"/>
        </w:rPr>
        <w:t xml:space="preserve"> (table </w:t>
      </w:r>
      <w:r w:rsidR="002248AB">
        <w:rPr>
          <w:rFonts w:ascii="Arial" w:hAnsi="Arial" w:cs="Arial"/>
          <w:sz w:val="20"/>
          <w:szCs w:val="20"/>
          <w:lang w:val="en-US"/>
        </w:rPr>
        <w:t>2</w:t>
      </w:r>
      <w:r w:rsidR="00F5571D" w:rsidRPr="00703635">
        <w:rPr>
          <w:rFonts w:ascii="Arial" w:hAnsi="Arial" w:cs="Arial"/>
          <w:sz w:val="20"/>
          <w:szCs w:val="20"/>
          <w:lang w:val="en-US"/>
        </w:rPr>
        <w:t>)</w:t>
      </w:r>
      <w:r w:rsidR="00A31FE0" w:rsidRPr="00703635">
        <w:rPr>
          <w:rFonts w:ascii="Arial" w:hAnsi="Arial" w:cs="Arial"/>
          <w:sz w:val="20"/>
          <w:szCs w:val="20"/>
          <w:lang w:val="en-US"/>
        </w:rPr>
        <w:t xml:space="preserve">. </w:t>
      </w:r>
    </w:p>
    <w:p w14:paraId="267884F6" w14:textId="6C801117" w:rsidR="001E275A" w:rsidRPr="00703635" w:rsidRDefault="00A31FE0" w:rsidP="003B2C71">
      <w:pPr>
        <w:spacing w:line="240" w:lineRule="auto"/>
        <w:jc w:val="both"/>
        <w:rPr>
          <w:rFonts w:ascii="Arial" w:hAnsi="Arial" w:cs="Arial"/>
          <w:sz w:val="20"/>
          <w:szCs w:val="20"/>
          <w:lang w:val="en-US"/>
        </w:rPr>
      </w:pPr>
      <w:r w:rsidRPr="00703635">
        <w:rPr>
          <w:rFonts w:ascii="Arial" w:hAnsi="Arial" w:cs="Arial"/>
          <w:sz w:val="20"/>
          <w:szCs w:val="20"/>
          <w:lang w:val="en-US"/>
        </w:rPr>
        <w:t>The results of the biological parameters</w:t>
      </w:r>
      <w:r w:rsidR="004D1F55" w:rsidRPr="00703635">
        <w:rPr>
          <w:rFonts w:ascii="Arial" w:hAnsi="Arial" w:cs="Arial"/>
          <w:sz w:val="20"/>
          <w:szCs w:val="20"/>
          <w:lang w:val="en-US"/>
        </w:rPr>
        <w:t xml:space="preserve"> </w:t>
      </w:r>
      <w:r w:rsidRPr="00703635">
        <w:rPr>
          <w:rFonts w:ascii="Arial" w:hAnsi="Arial" w:cs="Arial"/>
          <w:sz w:val="20"/>
          <w:szCs w:val="20"/>
          <w:lang w:val="en-US"/>
        </w:rPr>
        <w:t>showed high averages for</w:t>
      </w:r>
      <w:r w:rsidR="006D4423" w:rsidRPr="00703635">
        <w:rPr>
          <w:rFonts w:ascii="Arial" w:hAnsi="Arial" w:cs="Arial"/>
          <w:sz w:val="20"/>
          <w:szCs w:val="20"/>
          <w:lang w:val="en-US"/>
        </w:rPr>
        <w:t xml:space="preserve"> serum</w:t>
      </w:r>
      <w:r w:rsidRPr="00703635">
        <w:rPr>
          <w:rFonts w:ascii="Arial" w:hAnsi="Arial" w:cs="Arial"/>
          <w:sz w:val="20"/>
          <w:szCs w:val="20"/>
          <w:lang w:val="en-US"/>
        </w:rPr>
        <w:t xml:space="preserve"> CRP at 62 ± 71.8 mg/L and </w:t>
      </w:r>
      <w:r w:rsidR="006D4423" w:rsidRPr="00703635">
        <w:rPr>
          <w:rFonts w:ascii="Arial" w:hAnsi="Arial" w:cs="Arial"/>
          <w:sz w:val="20"/>
          <w:szCs w:val="20"/>
          <w:lang w:val="en-US"/>
        </w:rPr>
        <w:t xml:space="preserve">serum </w:t>
      </w:r>
      <w:r w:rsidRPr="00703635">
        <w:rPr>
          <w:rFonts w:ascii="Arial" w:hAnsi="Arial" w:cs="Arial"/>
          <w:sz w:val="20"/>
          <w:szCs w:val="20"/>
          <w:lang w:val="en-US"/>
        </w:rPr>
        <w:t>PCT at 3.74 ± 7.73 ng/mL</w:t>
      </w:r>
      <w:r w:rsidR="00F5571D" w:rsidRPr="00703635">
        <w:rPr>
          <w:rFonts w:ascii="Arial" w:hAnsi="Arial" w:cs="Arial"/>
          <w:sz w:val="20"/>
          <w:szCs w:val="20"/>
          <w:lang w:val="en-US"/>
        </w:rPr>
        <w:t xml:space="preserve"> (table </w:t>
      </w:r>
      <w:r w:rsidR="002248AB">
        <w:rPr>
          <w:rFonts w:ascii="Arial" w:hAnsi="Arial" w:cs="Arial"/>
          <w:sz w:val="20"/>
          <w:szCs w:val="20"/>
          <w:lang w:val="en-US"/>
        </w:rPr>
        <w:t>2</w:t>
      </w:r>
      <w:r w:rsidR="00F5571D" w:rsidRPr="00703635">
        <w:rPr>
          <w:rFonts w:ascii="Arial" w:hAnsi="Arial" w:cs="Arial"/>
          <w:sz w:val="20"/>
          <w:szCs w:val="20"/>
          <w:lang w:val="en-US"/>
        </w:rPr>
        <w:t>)</w:t>
      </w:r>
      <w:r w:rsidRPr="00703635">
        <w:rPr>
          <w:rFonts w:ascii="Arial" w:hAnsi="Arial" w:cs="Arial"/>
          <w:sz w:val="20"/>
          <w:szCs w:val="20"/>
          <w:lang w:val="en-US"/>
        </w:rPr>
        <w:t>.</w:t>
      </w:r>
    </w:p>
    <w:p w14:paraId="3FA54F02" w14:textId="77777777" w:rsidR="00146BC1" w:rsidRPr="00703635" w:rsidRDefault="00146BC1" w:rsidP="003B760A">
      <w:pPr>
        <w:spacing w:line="240" w:lineRule="auto"/>
        <w:rPr>
          <w:rFonts w:ascii="Arial" w:hAnsi="Arial" w:cs="Arial"/>
          <w:b/>
          <w:bCs/>
          <w:lang w:val="en-US"/>
        </w:rPr>
      </w:pPr>
    </w:p>
    <w:p w14:paraId="1A9F89E9" w14:textId="0609C71B" w:rsidR="00B26912" w:rsidRPr="00703635" w:rsidRDefault="00A31FE0" w:rsidP="003B760A">
      <w:pPr>
        <w:spacing w:line="240" w:lineRule="auto"/>
        <w:rPr>
          <w:rFonts w:ascii="Arial" w:hAnsi="Arial" w:cs="Arial"/>
          <w:sz w:val="20"/>
          <w:szCs w:val="20"/>
          <w:lang w:val="en-US"/>
        </w:rPr>
      </w:pPr>
      <w:r w:rsidRPr="00703635">
        <w:rPr>
          <w:rFonts w:ascii="Arial" w:hAnsi="Arial" w:cs="Arial"/>
          <w:b/>
          <w:bCs/>
          <w:sz w:val="20"/>
          <w:szCs w:val="20"/>
          <w:lang w:val="en-US"/>
        </w:rPr>
        <w:t xml:space="preserve">Table </w:t>
      </w:r>
      <w:r w:rsidR="002248AB">
        <w:rPr>
          <w:rFonts w:ascii="Arial" w:hAnsi="Arial" w:cs="Arial"/>
          <w:b/>
          <w:bCs/>
          <w:sz w:val="20"/>
          <w:szCs w:val="20"/>
          <w:lang w:val="en-US"/>
        </w:rPr>
        <w:t>2</w:t>
      </w:r>
      <w:r w:rsidRPr="00703635">
        <w:rPr>
          <w:rFonts w:ascii="Arial" w:hAnsi="Arial" w:cs="Arial"/>
          <w:b/>
          <w:bCs/>
          <w:sz w:val="20"/>
          <w:szCs w:val="20"/>
          <w:lang w:val="en-US"/>
        </w:rPr>
        <w:t xml:space="preserve">: </w:t>
      </w:r>
      <w:r w:rsidRPr="00703635">
        <w:rPr>
          <w:rFonts w:ascii="Arial" w:hAnsi="Arial" w:cs="Arial"/>
          <w:sz w:val="20"/>
          <w:szCs w:val="20"/>
          <w:lang w:val="en-US"/>
        </w:rPr>
        <w:t>Evaluation of biological parameters</w:t>
      </w:r>
    </w:p>
    <w:tbl>
      <w:tblPr>
        <w:tblStyle w:val="GridTable6Colorful-Accent1"/>
        <w:tblpPr w:leftFromText="141" w:rightFromText="141" w:vertAnchor="text" w:horzAnchor="margin" w:tblpY="-29"/>
        <w:tblW w:w="9081"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5"/>
        <w:gridCol w:w="1180"/>
        <w:gridCol w:w="1475"/>
        <w:gridCol w:w="2215"/>
        <w:gridCol w:w="1406"/>
      </w:tblGrid>
      <w:tr w:rsidR="00B26912" w:rsidRPr="00703635" w14:paraId="4EDE1C77" w14:textId="77777777" w:rsidTr="004F32EB">
        <w:trPr>
          <w:cnfStyle w:val="100000000000" w:firstRow="1" w:lastRow="0" w:firstColumn="0" w:lastColumn="0" w:oddVBand="0" w:evenVBand="0" w:oddHBand="0"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805" w:type="dxa"/>
            <w:tcBorders>
              <w:bottom w:val="single" w:sz="18" w:space="0" w:color="auto"/>
            </w:tcBorders>
          </w:tcPr>
          <w:p w14:paraId="757A6763" w14:textId="77777777" w:rsidR="00B26912" w:rsidRPr="00703635" w:rsidRDefault="00B26912" w:rsidP="003B760A">
            <w:pPr>
              <w:spacing w:after="160"/>
              <w:rPr>
                <w:rFonts w:ascii="Arial" w:hAnsi="Arial" w:cs="Arial"/>
                <w:color w:val="auto"/>
                <w:sz w:val="20"/>
                <w:szCs w:val="20"/>
                <w:lang w:val="en-US"/>
              </w:rPr>
            </w:pPr>
          </w:p>
        </w:tc>
        <w:tc>
          <w:tcPr>
            <w:tcW w:w="1180" w:type="dxa"/>
            <w:tcBorders>
              <w:bottom w:val="single" w:sz="18" w:space="0" w:color="auto"/>
            </w:tcBorders>
          </w:tcPr>
          <w:p w14:paraId="73DD468F" w14:textId="77777777" w:rsidR="00B26912" w:rsidRPr="00703635" w:rsidRDefault="00B26912" w:rsidP="003B760A">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gramStart"/>
            <w:r w:rsidRPr="00703635">
              <w:rPr>
                <w:rFonts w:ascii="Arial" w:hAnsi="Arial" w:cs="Arial"/>
                <w:color w:val="auto"/>
                <w:sz w:val="20"/>
                <w:szCs w:val="20"/>
              </w:rPr>
              <w:t>N(</w:t>
            </w:r>
            <w:proofErr w:type="gramEnd"/>
            <w:r w:rsidRPr="00703635">
              <w:rPr>
                <w:rFonts w:ascii="Arial" w:hAnsi="Arial" w:cs="Arial"/>
                <w:color w:val="auto"/>
                <w:sz w:val="20"/>
                <w:szCs w:val="20"/>
              </w:rPr>
              <w:t>%)</w:t>
            </w:r>
          </w:p>
        </w:tc>
        <w:tc>
          <w:tcPr>
            <w:tcW w:w="1475" w:type="dxa"/>
            <w:tcBorders>
              <w:bottom w:val="single" w:sz="18" w:space="0" w:color="auto"/>
            </w:tcBorders>
          </w:tcPr>
          <w:p w14:paraId="0AE8D70F" w14:textId="1364D8F0" w:rsidR="00B26912" w:rsidRPr="00703635" w:rsidRDefault="00B26912" w:rsidP="003B760A">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750DFB" w:rsidRPr="00703635">
              <w:rPr>
                <w:rFonts w:ascii="Arial" w:hAnsi="Arial" w:cs="Arial"/>
                <w:color w:val="auto"/>
                <w:sz w:val="20"/>
                <w:szCs w:val="20"/>
              </w:rPr>
              <w:t>U</w:t>
            </w:r>
            <w:r w:rsidRPr="00703635">
              <w:rPr>
                <w:rFonts w:ascii="Arial" w:hAnsi="Arial" w:cs="Arial"/>
                <w:color w:val="auto"/>
                <w:sz w:val="20"/>
                <w:szCs w:val="20"/>
              </w:rPr>
              <w:t>MB</w:t>
            </w:r>
            <w:r w:rsidR="009F4E1A" w:rsidRPr="00703635">
              <w:rPr>
                <w:rFonts w:ascii="Arial" w:hAnsi="Arial" w:cs="Arial"/>
                <w:color w:val="auto"/>
                <w:sz w:val="20"/>
                <w:szCs w:val="20"/>
              </w:rPr>
              <w:t>ER</w:t>
            </w:r>
          </w:p>
        </w:tc>
        <w:tc>
          <w:tcPr>
            <w:tcW w:w="2215" w:type="dxa"/>
            <w:tcBorders>
              <w:bottom w:val="single" w:sz="18" w:space="0" w:color="auto"/>
            </w:tcBorders>
          </w:tcPr>
          <w:p w14:paraId="218F1EB6" w14:textId="2FD36C81" w:rsidR="00B26912" w:rsidRPr="00703635" w:rsidRDefault="004A7DAC" w:rsidP="003B760A">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proofErr w:type="gramStart"/>
            <w:r w:rsidRPr="00703635">
              <w:rPr>
                <w:rFonts w:ascii="Arial" w:hAnsi="Arial" w:cs="Arial"/>
                <w:color w:val="auto"/>
                <w:sz w:val="20"/>
                <w:szCs w:val="20"/>
              </w:rPr>
              <w:t>mean</w:t>
            </w:r>
            <w:proofErr w:type="spellEnd"/>
            <w:proofErr w:type="gramEnd"/>
            <w:r w:rsidRPr="00703635">
              <w:rPr>
                <w:rFonts w:ascii="Arial" w:hAnsi="Arial" w:cs="Arial"/>
                <w:color w:val="auto"/>
                <w:sz w:val="20"/>
                <w:szCs w:val="20"/>
              </w:rPr>
              <w:t xml:space="preserve"> ± SD </w:t>
            </w:r>
            <w:r w:rsidR="000552E5" w:rsidRPr="00703635">
              <w:rPr>
                <w:rFonts w:ascii="Arial" w:hAnsi="Arial" w:cs="Arial"/>
                <w:color w:val="auto"/>
                <w:sz w:val="20"/>
                <w:szCs w:val="20"/>
              </w:rPr>
              <w:t xml:space="preserve"> </w:t>
            </w:r>
          </w:p>
        </w:tc>
        <w:tc>
          <w:tcPr>
            <w:tcW w:w="1406" w:type="dxa"/>
            <w:tcBorders>
              <w:bottom w:val="single" w:sz="18" w:space="0" w:color="auto"/>
            </w:tcBorders>
          </w:tcPr>
          <w:p w14:paraId="0A99F1CE" w14:textId="77777777" w:rsidR="00B26912" w:rsidRPr="00703635" w:rsidRDefault="00B26912" w:rsidP="003B760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MIN-MAX</w:t>
            </w:r>
          </w:p>
        </w:tc>
      </w:tr>
      <w:tr w:rsidR="00B26912" w:rsidRPr="00703635" w14:paraId="7A967074" w14:textId="77777777" w:rsidTr="004F32EB">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7675" w:type="dxa"/>
            <w:gridSpan w:val="4"/>
            <w:shd w:val="clear" w:color="auto" w:fill="auto"/>
          </w:tcPr>
          <w:p w14:paraId="39F6D6A6" w14:textId="6B82992F" w:rsidR="00B26912" w:rsidRPr="00703635" w:rsidRDefault="00B26912" w:rsidP="003B760A">
            <w:pPr>
              <w:jc w:val="center"/>
              <w:rPr>
                <w:rFonts w:ascii="Arial" w:hAnsi="Arial" w:cs="Arial"/>
                <w:color w:val="auto"/>
                <w:sz w:val="20"/>
                <w:szCs w:val="20"/>
              </w:rPr>
            </w:pPr>
            <w:r w:rsidRPr="00703635">
              <w:rPr>
                <w:rFonts w:ascii="Arial" w:hAnsi="Arial" w:cs="Arial"/>
                <w:color w:val="auto"/>
                <w:sz w:val="20"/>
                <w:szCs w:val="20"/>
              </w:rPr>
              <w:t xml:space="preserve">                                            </w:t>
            </w:r>
            <w:r w:rsidR="009F4E1A" w:rsidRPr="00703635">
              <w:rPr>
                <w:rFonts w:ascii="Arial" w:hAnsi="Arial" w:cs="Arial"/>
                <w:color w:val="auto"/>
                <w:sz w:val="20"/>
                <w:szCs w:val="20"/>
              </w:rPr>
              <w:t xml:space="preserve"> </w:t>
            </w:r>
            <w:r w:rsidR="00C56A8C" w:rsidRPr="00703635">
              <w:rPr>
                <w:rFonts w:ascii="Arial" w:hAnsi="Arial" w:cs="Arial"/>
                <w:color w:val="auto"/>
                <w:sz w:val="20"/>
                <w:szCs w:val="20"/>
              </w:rPr>
              <w:t xml:space="preserve">CSF </w:t>
            </w:r>
            <w:proofErr w:type="spellStart"/>
            <w:r w:rsidR="00C56A8C" w:rsidRPr="00703635">
              <w:rPr>
                <w:rFonts w:ascii="Arial" w:hAnsi="Arial" w:cs="Arial"/>
                <w:color w:val="auto"/>
                <w:sz w:val="20"/>
                <w:szCs w:val="20"/>
              </w:rPr>
              <w:t>Parameters</w:t>
            </w:r>
            <w:proofErr w:type="spellEnd"/>
            <w:r w:rsidRPr="00703635">
              <w:rPr>
                <w:rFonts w:ascii="Arial" w:hAnsi="Arial" w:cs="Arial"/>
                <w:color w:val="auto"/>
                <w:sz w:val="20"/>
                <w:szCs w:val="20"/>
              </w:rPr>
              <w:t xml:space="preserve"> </w:t>
            </w:r>
          </w:p>
        </w:tc>
        <w:tc>
          <w:tcPr>
            <w:tcW w:w="1406" w:type="dxa"/>
            <w:shd w:val="clear" w:color="auto" w:fill="auto"/>
          </w:tcPr>
          <w:p w14:paraId="4D957AD7"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B26912" w:rsidRPr="00703635" w14:paraId="6EE7EC3E" w14:textId="77777777" w:rsidTr="004F32EB">
        <w:trPr>
          <w:trHeight w:val="457"/>
        </w:trPr>
        <w:tc>
          <w:tcPr>
            <w:cnfStyle w:val="001000000000" w:firstRow="0" w:lastRow="0" w:firstColumn="1" w:lastColumn="0" w:oddVBand="0" w:evenVBand="0" w:oddHBand="0" w:evenHBand="0" w:firstRowFirstColumn="0" w:firstRowLastColumn="0" w:lastRowFirstColumn="0" w:lastRowLastColumn="0"/>
            <w:tcW w:w="2805" w:type="dxa"/>
            <w:tcBorders>
              <w:top w:val="single" w:sz="18" w:space="0" w:color="auto"/>
            </w:tcBorders>
          </w:tcPr>
          <w:p w14:paraId="786516FC" w14:textId="55073BBC" w:rsidR="00B26912" w:rsidRPr="00703635" w:rsidRDefault="001B2EBC" w:rsidP="003B760A">
            <w:pPr>
              <w:spacing w:after="160"/>
              <w:rPr>
                <w:rFonts w:ascii="Arial" w:hAnsi="Arial" w:cs="Arial"/>
                <w:color w:val="auto"/>
                <w:sz w:val="20"/>
                <w:szCs w:val="20"/>
                <w:lang w:val="en-US"/>
              </w:rPr>
            </w:pPr>
            <w:r w:rsidRPr="00703635">
              <w:rPr>
                <w:rFonts w:ascii="Arial" w:hAnsi="Arial" w:cs="Arial"/>
                <w:color w:val="auto"/>
                <w:sz w:val="20"/>
                <w:szCs w:val="20"/>
                <w:lang w:val="en-US"/>
              </w:rPr>
              <w:t>W</w:t>
            </w:r>
            <w:r w:rsidR="00E502DC" w:rsidRPr="00703635">
              <w:rPr>
                <w:rFonts w:ascii="Arial" w:hAnsi="Arial" w:cs="Arial"/>
                <w:color w:val="auto"/>
                <w:sz w:val="20"/>
                <w:szCs w:val="20"/>
                <w:lang w:val="en-US"/>
              </w:rPr>
              <w:t>BC</w:t>
            </w:r>
            <w:r w:rsidR="00D2286B" w:rsidRPr="00703635">
              <w:rPr>
                <w:rFonts w:ascii="Arial" w:hAnsi="Arial" w:cs="Arial"/>
                <w:color w:val="auto"/>
                <w:sz w:val="20"/>
                <w:szCs w:val="20"/>
                <w:lang w:val="en-US"/>
              </w:rPr>
              <w:t xml:space="preserve"> </w:t>
            </w:r>
            <w:r w:rsidR="00B26912" w:rsidRPr="00703635">
              <w:rPr>
                <w:rFonts w:ascii="Arial" w:hAnsi="Arial" w:cs="Arial"/>
                <w:color w:val="auto"/>
                <w:sz w:val="20"/>
                <w:szCs w:val="20"/>
                <w:lang w:val="en-US"/>
              </w:rPr>
              <w:t>(</w:t>
            </w:r>
            <w:proofErr w:type="spellStart"/>
            <w:r w:rsidR="00B26912" w:rsidRPr="00703635">
              <w:rPr>
                <w:rFonts w:ascii="Arial" w:hAnsi="Arial" w:cs="Arial"/>
                <w:color w:val="auto"/>
                <w:sz w:val="20"/>
                <w:szCs w:val="20"/>
                <w:lang w:val="en-US"/>
              </w:rPr>
              <w:t>elt</w:t>
            </w:r>
            <w:proofErr w:type="spellEnd"/>
            <w:r w:rsidR="00B26912" w:rsidRPr="00703635">
              <w:rPr>
                <w:rFonts w:ascii="Arial" w:hAnsi="Arial" w:cs="Arial"/>
                <w:color w:val="auto"/>
                <w:sz w:val="20"/>
                <w:szCs w:val="20"/>
                <w:lang w:val="en-US"/>
              </w:rPr>
              <w:t>/mm</w:t>
            </w:r>
            <w:r w:rsidR="00B26912" w:rsidRPr="00703635">
              <w:rPr>
                <w:rFonts w:ascii="Arial" w:hAnsi="Arial" w:cs="Arial"/>
                <w:color w:val="auto"/>
                <w:sz w:val="20"/>
                <w:szCs w:val="20"/>
                <w:vertAlign w:val="superscript"/>
                <w:lang w:val="en-US"/>
              </w:rPr>
              <w:t>3</w:t>
            </w:r>
            <w:r w:rsidR="00B26912" w:rsidRPr="00703635">
              <w:rPr>
                <w:rFonts w:ascii="Arial" w:hAnsi="Arial" w:cs="Arial"/>
                <w:color w:val="auto"/>
                <w:sz w:val="20"/>
                <w:szCs w:val="20"/>
                <w:lang w:val="en-US"/>
              </w:rPr>
              <w:t>)</w:t>
            </w:r>
          </w:p>
        </w:tc>
        <w:tc>
          <w:tcPr>
            <w:tcW w:w="1180" w:type="dxa"/>
            <w:tcBorders>
              <w:top w:val="single" w:sz="18" w:space="0" w:color="auto"/>
            </w:tcBorders>
          </w:tcPr>
          <w:p w14:paraId="592FC3B2"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40 (100)</w:t>
            </w:r>
          </w:p>
        </w:tc>
        <w:tc>
          <w:tcPr>
            <w:tcW w:w="1475" w:type="dxa"/>
            <w:tcBorders>
              <w:top w:val="single" w:sz="18" w:space="0" w:color="auto"/>
            </w:tcBorders>
          </w:tcPr>
          <w:p w14:paraId="18737123"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215" w:type="dxa"/>
            <w:tcBorders>
              <w:top w:val="single" w:sz="18" w:space="0" w:color="auto"/>
            </w:tcBorders>
          </w:tcPr>
          <w:p w14:paraId="1FC80DA7"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135 ± 428</w:t>
            </w:r>
          </w:p>
        </w:tc>
        <w:tc>
          <w:tcPr>
            <w:tcW w:w="1406" w:type="dxa"/>
            <w:tcBorders>
              <w:top w:val="single" w:sz="18" w:space="0" w:color="auto"/>
            </w:tcBorders>
          </w:tcPr>
          <w:p w14:paraId="58C09383"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1-2070</w:t>
            </w:r>
          </w:p>
        </w:tc>
      </w:tr>
      <w:tr w:rsidR="00B26912" w:rsidRPr="00703635" w14:paraId="51C95346" w14:textId="77777777" w:rsidTr="004F32E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805" w:type="dxa"/>
            <w:vMerge w:val="restart"/>
            <w:shd w:val="clear" w:color="auto" w:fill="auto"/>
          </w:tcPr>
          <w:p w14:paraId="525EF6B1" w14:textId="77777777" w:rsidR="00B26912" w:rsidRPr="00703635" w:rsidRDefault="00B26912" w:rsidP="003B760A">
            <w:pPr>
              <w:spacing w:after="160"/>
              <w:rPr>
                <w:rFonts w:ascii="Arial" w:hAnsi="Arial" w:cs="Arial"/>
                <w:color w:val="auto"/>
                <w:sz w:val="20"/>
                <w:szCs w:val="20"/>
              </w:rPr>
            </w:pPr>
          </w:p>
          <w:p w14:paraId="202ABAFF" w14:textId="77777777" w:rsidR="00B26912" w:rsidRPr="00703635" w:rsidRDefault="00B26912" w:rsidP="003B760A">
            <w:pPr>
              <w:spacing w:after="160"/>
              <w:rPr>
                <w:rFonts w:ascii="Arial" w:hAnsi="Arial" w:cs="Arial"/>
                <w:color w:val="auto"/>
                <w:sz w:val="20"/>
                <w:szCs w:val="20"/>
              </w:rPr>
            </w:pPr>
          </w:p>
          <w:p w14:paraId="2254822F" w14:textId="0751765C" w:rsidR="00B26912" w:rsidRPr="00703635" w:rsidRDefault="00E502DC" w:rsidP="003B760A">
            <w:pPr>
              <w:spacing w:after="160"/>
              <w:rPr>
                <w:rFonts w:ascii="Arial" w:hAnsi="Arial" w:cs="Arial"/>
                <w:color w:val="auto"/>
                <w:sz w:val="20"/>
                <w:szCs w:val="20"/>
              </w:rPr>
            </w:pPr>
            <w:r w:rsidRPr="00703635">
              <w:rPr>
                <w:rFonts w:ascii="Arial" w:hAnsi="Arial" w:cs="Arial"/>
                <w:color w:val="auto"/>
                <w:sz w:val="20"/>
                <w:szCs w:val="20"/>
              </w:rPr>
              <w:t>RBC</w:t>
            </w:r>
          </w:p>
        </w:tc>
        <w:tc>
          <w:tcPr>
            <w:tcW w:w="1180" w:type="dxa"/>
            <w:shd w:val="clear" w:color="auto" w:fill="auto"/>
          </w:tcPr>
          <w:p w14:paraId="1F130BBC" w14:textId="5BAE1D59" w:rsidR="00B26912" w:rsidRPr="00703635" w:rsidRDefault="00B26912" w:rsidP="003B760A">
            <w:pPr>
              <w:spacing w:after="1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11 (27</w:t>
            </w:r>
            <w:r w:rsidR="003E615B" w:rsidRPr="00703635">
              <w:rPr>
                <w:rFonts w:ascii="Arial" w:hAnsi="Arial" w:cs="Arial"/>
                <w:color w:val="auto"/>
                <w:sz w:val="20"/>
                <w:szCs w:val="20"/>
              </w:rPr>
              <w:t>.</w:t>
            </w:r>
            <w:r w:rsidRPr="00703635">
              <w:rPr>
                <w:rFonts w:ascii="Arial" w:hAnsi="Arial" w:cs="Arial"/>
                <w:color w:val="auto"/>
                <w:sz w:val="20"/>
                <w:szCs w:val="20"/>
              </w:rPr>
              <w:t>5)</w:t>
            </w:r>
          </w:p>
        </w:tc>
        <w:tc>
          <w:tcPr>
            <w:tcW w:w="1475" w:type="dxa"/>
            <w:shd w:val="clear" w:color="auto" w:fill="auto"/>
          </w:tcPr>
          <w:p w14:paraId="38B5E9CA" w14:textId="77777777" w:rsidR="00B26912" w:rsidRPr="00703635" w:rsidRDefault="00B26912" w:rsidP="003B760A">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w:t>
            </w:r>
          </w:p>
        </w:tc>
        <w:tc>
          <w:tcPr>
            <w:tcW w:w="2215" w:type="dxa"/>
            <w:shd w:val="clear" w:color="auto" w:fill="auto"/>
          </w:tcPr>
          <w:p w14:paraId="35D6B097" w14:textId="46C70A14" w:rsidR="00B26912" w:rsidRPr="00703635" w:rsidRDefault="00B26912" w:rsidP="003B760A">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c>
          <w:tcPr>
            <w:tcW w:w="1406" w:type="dxa"/>
            <w:shd w:val="clear" w:color="auto" w:fill="auto"/>
          </w:tcPr>
          <w:p w14:paraId="08417244" w14:textId="4D23F88F"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r>
      <w:tr w:rsidR="00B26912" w:rsidRPr="00703635" w14:paraId="2F6A153E" w14:textId="77777777" w:rsidTr="004F32EB">
        <w:trPr>
          <w:trHeight w:val="64"/>
        </w:trPr>
        <w:tc>
          <w:tcPr>
            <w:cnfStyle w:val="001000000000" w:firstRow="0" w:lastRow="0" w:firstColumn="1" w:lastColumn="0" w:oddVBand="0" w:evenVBand="0" w:oddHBand="0" w:evenHBand="0" w:firstRowFirstColumn="0" w:firstRowLastColumn="0" w:lastRowFirstColumn="0" w:lastRowLastColumn="0"/>
            <w:tcW w:w="2805" w:type="dxa"/>
            <w:vMerge/>
          </w:tcPr>
          <w:p w14:paraId="338C8397" w14:textId="77777777" w:rsidR="00B26912" w:rsidRPr="00703635" w:rsidRDefault="00B26912" w:rsidP="003B760A">
            <w:pPr>
              <w:spacing w:after="160"/>
              <w:rPr>
                <w:rFonts w:ascii="Arial" w:hAnsi="Arial" w:cs="Arial"/>
                <w:color w:val="auto"/>
                <w:sz w:val="20"/>
                <w:szCs w:val="20"/>
              </w:rPr>
            </w:pPr>
          </w:p>
        </w:tc>
        <w:tc>
          <w:tcPr>
            <w:tcW w:w="1180" w:type="dxa"/>
          </w:tcPr>
          <w:p w14:paraId="30A1058F"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2 (5)</w:t>
            </w:r>
          </w:p>
        </w:tc>
        <w:tc>
          <w:tcPr>
            <w:tcW w:w="1475" w:type="dxa"/>
          </w:tcPr>
          <w:p w14:paraId="2C5F004A"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w:t>
            </w:r>
          </w:p>
        </w:tc>
        <w:tc>
          <w:tcPr>
            <w:tcW w:w="2215" w:type="dxa"/>
          </w:tcPr>
          <w:p w14:paraId="539AD958" w14:textId="0BBF590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c>
          <w:tcPr>
            <w:tcW w:w="1406" w:type="dxa"/>
          </w:tcPr>
          <w:p w14:paraId="7690E33A" w14:textId="78036D59"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r>
      <w:tr w:rsidR="00B26912" w:rsidRPr="00703635" w14:paraId="5A5DDCA5" w14:textId="77777777" w:rsidTr="004F32EB">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805" w:type="dxa"/>
            <w:vMerge/>
            <w:shd w:val="clear" w:color="auto" w:fill="auto"/>
          </w:tcPr>
          <w:p w14:paraId="13BDB807" w14:textId="77777777" w:rsidR="00B26912" w:rsidRPr="00703635" w:rsidRDefault="00B26912" w:rsidP="003B760A">
            <w:pPr>
              <w:spacing w:after="160"/>
              <w:rPr>
                <w:rFonts w:ascii="Arial" w:hAnsi="Arial" w:cs="Arial"/>
                <w:color w:val="auto"/>
                <w:sz w:val="20"/>
                <w:szCs w:val="20"/>
              </w:rPr>
            </w:pPr>
          </w:p>
        </w:tc>
        <w:tc>
          <w:tcPr>
            <w:tcW w:w="1180" w:type="dxa"/>
            <w:shd w:val="clear" w:color="auto" w:fill="auto"/>
          </w:tcPr>
          <w:p w14:paraId="7049A979" w14:textId="01A95517" w:rsidR="00B26912" w:rsidRPr="00703635" w:rsidRDefault="00B26912" w:rsidP="003B760A">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3 (7</w:t>
            </w:r>
            <w:r w:rsidR="003E615B" w:rsidRPr="00703635">
              <w:rPr>
                <w:rFonts w:ascii="Arial" w:hAnsi="Arial" w:cs="Arial"/>
                <w:color w:val="auto"/>
                <w:sz w:val="20"/>
                <w:szCs w:val="20"/>
              </w:rPr>
              <w:t>.</w:t>
            </w:r>
            <w:r w:rsidRPr="00703635">
              <w:rPr>
                <w:rFonts w:ascii="Arial" w:hAnsi="Arial" w:cs="Arial"/>
                <w:color w:val="auto"/>
                <w:sz w:val="20"/>
                <w:szCs w:val="20"/>
              </w:rPr>
              <w:t>5)</w:t>
            </w:r>
          </w:p>
        </w:tc>
        <w:tc>
          <w:tcPr>
            <w:tcW w:w="1475" w:type="dxa"/>
            <w:shd w:val="clear" w:color="auto" w:fill="auto"/>
          </w:tcPr>
          <w:p w14:paraId="54F78B5B" w14:textId="77777777" w:rsidR="00B26912" w:rsidRPr="00703635" w:rsidRDefault="00B26912" w:rsidP="003B760A">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w:t>
            </w:r>
          </w:p>
        </w:tc>
        <w:tc>
          <w:tcPr>
            <w:tcW w:w="2215" w:type="dxa"/>
            <w:shd w:val="clear" w:color="auto" w:fill="auto"/>
          </w:tcPr>
          <w:p w14:paraId="37A9FA66" w14:textId="62DE7870" w:rsidR="00B26912" w:rsidRPr="00703635" w:rsidRDefault="00B26912" w:rsidP="003B760A">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c>
          <w:tcPr>
            <w:tcW w:w="1406" w:type="dxa"/>
            <w:shd w:val="clear" w:color="auto" w:fill="auto"/>
          </w:tcPr>
          <w:p w14:paraId="0EF7FAD1" w14:textId="3686E2A6"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r>
      <w:tr w:rsidR="00B26912" w:rsidRPr="00703635" w14:paraId="3EBD1FE6" w14:textId="77777777" w:rsidTr="00C56A8C">
        <w:trPr>
          <w:trHeight w:val="27"/>
        </w:trPr>
        <w:tc>
          <w:tcPr>
            <w:cnfStyle w:val="001000000000" w:firstRow="0" w:lastRow="0" w:firstColumn="1" w:lastColumn="0" w:oddVBand="0" w:evenVBand="0" w:oddHBand="0" w:evenHBand="0" w:firstRowFirstColumn="0" w:firstRowLastColumn="0" w:lastRowFirstColumn="0" w:lastRowLastColumn="0"/>
            <w:tcW w:w="2805" w:type="dxa"/>
            <w:vMerge/>
            <w:tcBorders>
              <w:bottom w:val="nil"/>
            </w:tcBorders>
          </w:tcPr>
          <w:p w14:paraId="5DE69309" w14:textId="77777777" w:rsidR="00B26912" w:rsidRPr="00703635" w:rsidRDefault="00B26912" w:rsidP="003B760A">
            <w:pPr>
              <w:spacing w:after="160"/>
              <w:rPr>
                <w:rFonts w:ascii="Arial" w:hAnsi="Arial" w:cs="Arial"/>
                <w:color w:val="auto"/>
                <w:sz w:val="20"/>
                <w:szCs w:val="20"/>
              </w:rPr>
            </w:pPr>
          </w:p>
        </w:tc>
        <w:tc>
          <w:tcPr>
            <w:tcW w:w="1180" w:type="dxa"/>
            <w:tcBorders>
              <w:bottom w:val="nil"/>
            </w:tcBorders>
          </w:tcPr>
          <w:p w14:paraId="71A3AC17"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24 (60)</w:t>
            </w:r>
          </w:p>
        </w:tc>
        <w:tc>
          <w:tcPr>
            <w:tcW w:w="1475" w:type="dxa"/>
            <w:tcBorders>
              <w:bottom w:val="nil"/>
            </w:tcBorders>
          </w:tcPr>
          <w:p w14:paraId="2F0DD6CF" w14:textId="77777777"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0</w:t>
            </w:r>
          </w:p>
        </w:tc>
        <w:tc>
          <w:tcPr>
            <w:tcW w:w="2215" w:type="dxa"/>
            <w:tcBorders>
              <w:bottom w:val="nil"/>
            </w:tcBorders>
          </w:tcPr>
          <w:p w14:paraId="40F67EC4" w14:textId="11897F1F" w:rsidR="00B26912" w:rsidRPr="00703635" w:rsidRDefault="00B26912" w:rsidP="003B760A">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c>
          <w:tcPr>
            <w:tcW w:w="1406" w:type="dxa"/>
            <w:tcBorders>
              <w:bottom w:val="nil"/>
            </w:tcBorders>
          </w:tcPr>
          <w:p w14:paraId="4B6A0E8D" w14:textId="6FB1C2C2"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N</w:t>
            </w:r>
            <w:r w:rsidR="001462DF" w:rsidRPr="00703635">
              <w:rPr>
                <w:rFonts w:ascii="Arial" w:hAnsi="Arial" w:cs="Arial"/>
                <w:color w:val="auto"/>
                <w:sz w:val="20"/>
                <w:szCs w:val="20"/>
              </w:rPr>
              <w:t>/</w:t>
            </w:r>
            <w:r w:rsidRPr="00703635">
              <w:rPr>
                <w:rFonts w:ascii="Arial" w:hAnsi="Arial" w:cs="Arial"/>
                <w:color w:val="auto"/>
                <w:sz w:val="20"/>
                <w:szCs w:val="20"/>
              </w:rPr>
              <w:t>A</w:t>
            </w:r>
          </w:p>
        </w:tc>
      </w:tr>
      <w:tr w:rsidR="00B26912" w:rsidRPr="00703635" w14:paraId="104A3AD2" w14:textId="77777777" w:rsidTr="00C56A8C">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805" w:type="dxa"/>
            <w:tcBorders>
              <w:top w:val="nil"/>
              <w:bottom w:val="nil"/>
            </w:tcBorders>
            <w:shd w:val="clear" w:color="auto" w:fill="auto"/>
          </w:tcPr>
          <w:p w14:paraId="612AC12F" w14:textId="370E1C25" w:rsidR="00B26912" w:rsidRPr="00703635" w:rsidRDefault="00E830E9" w:rsidP="003B760A">
            <w:pPr>
              <w:rPr>
                <w:rFonts w:ascii="Arial" w:hAnsi="Arial" w:cs="Arial"/>
                <w:color w:val="auto"/>
                <w:sz w:val="20"/>
                <w:szCs w:val="20"/>
              </w:rPr>
            </w:pPr>
            <w:r w:rsidRPr="00703635">
              <w:rPr>
                <w:rFonts w:ascii="Arial" w:hAnsi="Arial" w:cs="Arial"/>
                <w:color w:val="auto"/>
                <w:sz w:val="20"/>
                <w:szCs w:val="20"/>
              </w:rPr>
              <w:t>ANPC</w:t>
            </w:r>
            <w:r w:rsidR="00B26912" w:rsidRPr="00703635">
              <w:rPr>
                <w:rFonts w:ascii="Arial" w:hAnsi="Arial" w:cs="Arial"/>
                <w:color w:val="auto"/>
                <w:sz w:val="20"/>
                <w:szCs w:val="20"/>
              </w:rPr>
              <w:t xml:space="preserve"> (%)</w:t>
            </w:r>
          </w:p>
        </w:tc>
        <w:tc>
          <w:tcPr>
            <w:tcW w:w="1180" w:type="dxa"/>
            <w:tcBorders>
              <w:top w:val="nil"/>
              <w:bottom w:val="nil"/>
            </w:tcBorders>
            <w:shd w:val="clear" w:color="auto" w:fill="auto"/>
          </w:tcPr>
          <w:p w14:paraId="404219E4"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26 (65)</w:t>
            </w:r>
          </w:p>
        </w:tc>
        <w:tc>
          <w:tcPr>
            <w:tcW w:w="1475" w:type="dxa"/>
            <w:tcBorders>
              <w:top w:val="nil"/>
              <w:bottom w:val="nil"/>
            </w:tcBorders>
            <w:shd w:val="clear" w:color="auto" w:fill="auto"/>
          </w:tcPr>
          <w:p w14:paraId="42E8164C"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215" w:type="dxa"/>
            <w:tcBorders>
              <w:top w:val="nil"/>
              <w:bottom w:val="nil"/>
            </w:tcBorders>
            <w:shd w:val="clear" w:color="auto" w:fill="auto"/>
          </w:tcPr>
          <w:p w14:paraId="5CAC2C9C" w14:textId="2B9524E8"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20</w:t>
            </w:r>
            <w:r w:rsidR="000552E5" w:rsidRPr="00703635">
              <w:rPr>
                <w:rFonts w:ascii="Arial" w:hAnsi="Arial" w:cs="Arial"/>
                <w:color w:val="auto"/>
                <w:sz w:val="20"/>
                <w:szCs w:val="20"/>
              </w:rPr>
              <w:t>.</w:t>
            </w:r>
            <w:r w:rsidRPr="00703635">
              <w:rPr>
                <w:rFonts w:ascii="Arial" w:hAnsi="Arial" w:cs="Arial"/>
                <w:color w:val="auto"/>
                <w:sz w:val="20"/>
                <w:szCs w:val="20"/>
              </w:rPr>
              <w:t xml:space="preserve">9 ± 26 </w:t>
            </w:r>
          </w:p>
        </w:tc>
        <w:tc>
          <w:tcPr>
            <w:tcW w:w="1406" w:type="dxa"/>
            <w:tcBorders>
              <w:top w:val="nil"/>
              <w:bottom w:val="nil"/>
            </w:tcBorders>
            <w:shd w:val="clear" w:color="auto" w:fill="auto"/>
          </w:tcPr>
          <w:p w14:paraId="5438560E"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0-90</w:t>
            </w:r>
          </w:p>
        </w:tc>
      </w:tr>
      <w:tr w:rsidR="00B26912" w:rsidRPr="00703635" w14:paraId="48A673EE" w14:textId="77777777" w:rsidTr="00C56A8C">
        <w:trPr>
          <w:trHeight w:val="413"/>
        </w:trPr>
        <w:tc>
          <w:tcPr>
            <w:cnfStyle w:val="001000000000" w:firstRow="0" w:lastRow="0" w:firstColumn="1" w:lastColumn="0" w:oddVBand="0" w:evenVBand="0" w:oddHBand="0" w:evenHBand="0" w:firstRowFirstColumn="0" w:firstRowLastColumn="0" w:lastRowFirstColumn="0" w:lastRowLastColumn="0"/>
            <w:tcW w:w="2805" w:type="dxa"/>
            <w:tcBorders>
              <w:top w:val="nil"/>
              <w:bottom w:val="nil"/>
            </w:tcBorders>
          </w:tcPr>
          <w:p w14:paraId="0ABF34B4" w14:textId="59FBDD92" w:rsidR="00B26912" w:rsidRPr="00703635" w:rsidRDefault="00B26912" w:rsidP="003B760A">
            <w:pPr>
              <w:rPr>
                <w:rFonts w:ascii="Arial" w:hAnsi="Arial" w:cs="Arial"/>
                <w:color w:val="auto"/>
                <w:sz w:val="20"/>
                <w:szCs w:val="20"/>
              </w:rPr>
            </w:pPr>
            <w:proofErr w:type="gramStart"/>
            <w:r w:rsidRPr="00703635">
              <w:rPr>
                <w:rFonts w:ascii="Arial" w:hAnsi="Arial" w:cs="Arial"/>
                <w:color w:val="auto"/>
                <w:sz w:val="20"/>
                <w:szCs w:val="20"/>
              </w:rPr>
              <w:t>NA</w:t>
            </w:r>
            <w:r w:rsidR="00FC0B38" w:rsidRPr="00703635">
              <w:rPr>
                <w:rFonts w:ascii="Arial" w:hAnsi="Arial" w:cs="Arial"/>
                <w:color w:val="auto"/>
                <w:sz w:val="20"/>
                <w:szCs w:val="20"/>
              </w:rPr>
              <w:t>NPC</w:t>
            </w:r>
            <w:r w:rsidRPr="00703635">
              <w:rPr>
                <w:rFonts w:ascii="Arial" w:hAnsi="Arial" w:cs="Arial"/>
                <w:color w:val="auto"/>
                <w:sz w:val="20"/>
                <w:szCs w:val="20"/>
              </w:rPr>
              <w:t xml:space="preserve">  (</w:t>
            </w:r>
            <w:proofErr w:type="gramEnd"/>
            <w:r w:rsidRPr="00703635">
              <w:rPr>
                <w:rFonts w:ascii="Arial" w:hAnsi="Arial" w:cs="Arial"/>
                <w:color w:val="auto"/>
                <w:sz w:val="20"/>
                <w:szCs w:val="20"/>
              </w:rPr>
              <w:t>%)</w:t>
            </w:r>
          </w:p>
        </w:tc>
        <w:tc>
          <w:tcPr>
            <w:tcW w:w="1180" w:type="dxa"/>
            <w:tcBorders>
              <w:top w:val="nil"/>
              <w:bottom w:val="nil"/>
            </w:tcBorders>
          </w:tcPr>
          <w:p w14:paraId="64558986"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26 (65)</w:t>
            </w:r>
          </w:p>
        </w:tc>
        <w:tc>
          <w:tcPr>
            <w:tcW w:w="1475" w:type="dxa"/>
            <w:tcBorders>
              <w:top w:val="nil"/>
              <w:bottom w:val="nil"/>
            </w:tcBorders>
          </w:tcPr>
          <w:p w14:paraId="4089B2FF"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215" w:type="dxa"/>
            <w:tcBorders>
              <w:top w:val="nil"/>
              <w:bottom w:val="nil"/>
            </w:tcBorders>
          </w:tcPr>
          <w:p w14:paraId="7DA4A7E4" w14:textId="3AD2ABD4"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38</w:t>
            </w:r>
            <w:r w:rsidR="000552E5" w:rsidRPr="00703635">
              <w:rPr>
                <w:rFonts w:ascii="Arial" w:hAnsi="Arial" w:cs="Arial"/>
                <w:color w:val="auto"/>
                <w:sz w:val="20"/>
                <w:szCs w:val="20"/>
              </w:rPr>
              <w:t>.</w:t>
            </w:r>
            <w:r w:rsidRPr="00703635">
              <w:rPr>
                <w:rFonts w:ascii="Arial" w:hAnsi="Arial" w:cs="Arial"/>
                <w:color w:val="auto"/>
                <w:sz w:val="20"/>
                <w:szCs w:val="20"/>
              </w:rPr>
              <w:t>1 ± 37</w:t>
            </w:r>
            <w:r w:rsidR="000552E5" w:rsidRPr="00703635">
              <w:rPr>
                <w:rFonts w:ascii="Arial" w:hAnsi="Arial" w:cs="Arial"/>
                <w:color w:val="auto"/>
                <w:sz w:val="20"/>
                <w:szCs w:val="20"/>
              </w:rPr>
              <w:t>.</w:t>
            </w:r>
            <w:r w:rsidRPr="00703635">
              <w:rPr>
                <w:rFonts w:ascii="Arial" w:hAnsi="Arial" w:cs="Arial"/>
                <w:color w:val="auto"/>
                <w:sz w:val="20"/>
                <w:szCs w:val="20"/>
              </w:rPr>
              <w:t>5</w:t>
            </w:r>
          </w:p>
        </w:tc>
        <w:tc>
          <w:tcPr>
            <w:tcW w:w="1406" w:type="dxa"/>
            <w:tcBorders>
              <w:top w:val="nil"/>
              <w:bottom w:val="nil"/>
            </w:tcBorders>
          </w:tcPr>
          <w:p w14:paraId="30C9CC11"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0-90</w:t>
            </w:r>
          </w:p>
        </w:tc>
      </w:tr>
      <w:tr w:rsidR="00B26912" w:rsidRPr="00703635" w14:paraId="38351631" w14:textId="77777777" w:rsidTr="00C56A8C">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805" w:type="dxa"/>
            <w:tcBorders>
              <w:top w:val="nil"/>
              <w:bottom w:val="nil"/>
            </w:tcBorders>
            <w:shd w:val="clear" w:color="auto" w:fill="auto"/>
          </w:tcPr>
          <w:p w14:paraId="34BA3D70" w14:textId="77777777" w:rsidR="00B26912" w:rsidRPr="00703635" w:rsidRDefault="00B26912" w:rsidP="003B760A">
            <w:pPr>
              <w:rPr>
                <w:rFonts w:ascii="Arial" w:hAnsi="Arial" w:cs="Arial"/>
                <w:color w:val="auto"/>
                <w:sz w:val="20"/>
                <w:szCs w:val="20"/>
              </w:rPr>
            </w:pPr>
            <w:proofErr w:type="gramStart"/>
            <w:r w:rsidRPr="00703635">
              <w:rPr>
                <w:rFonts w:ascii="Arial" w:hAnsi="Arial" w:cs="Arial"/>
                <w:color w:val="auto"/>
                <w:sz w:val="20"/>
                <w:szCs w:val="20"/>
              </w:rPr>
              <w:t>LYMPHOCYTES  (</w:t>
            </w:r>
            <w:proofErr w:type="gramEnd"/>
            <w:r w:rsidRPr="00703635">
              <w:rPr>
                <w:rFonts w:ascii="Arial" w:hAnsi="Arial" w:cs="Arial"/>
                <w:color w:val="auto"/>
                <w:sz w:val="20"/>
                <w:szCs w:val="20"/>
              </w:rPr>
              <w:t>%)</w:t>
            </w:r>
          </w:p>
        </w:tc>
        <w:tc>
          <w:tcPr>
            <w:tcW w:w="1180" w:type="dxa"/>
            <w:tcBorders>
              <w:top w:val="nil"/>
              <w:bottom w:val="nil"/>
            </w:tcBorders>
            <w:shd w:val="clear" w:color="auto" w:fill="auto"/>
          </w:tcPr>
          <w:p w14:paraId="67D3D291"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26 (65)</w:t>
            </w:r>
          </w:p>
        </w:tc>
        <w:tc>
          <w:tcPr>
            <w:tcW w:w="1475" w:type="dxa"/>
            <w:tcBorders>
              <w:top w:val="nil"/>
              <w:bottom w:val="nil"/>
            </w:tcBorders>
            <w:shd w:val="clear" w:color="auto" w:fill="auto"/>
          </w:tcPr>
          <w:p w14:paraId="4441FF8F"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215" w:type="dxa"/>
            <w:tcBorders>
              <w:top w:val="nil"/>
              <w:bottom w:val="nil"/>
            </w:tcBorders>
            <w:shd w:val="clear" w:color="auto" w:fill="auto"/>
          </w:tcPr>
          <w:p w14:paraId="32F5E698" w14:textId="67A37F09"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41</w:t>
            </w:r>
            <w:r w:rsidR="000552E5" w:rsidRPr="00703635">
              <w:rPr>
                <w:rFonts w:ascii="Arial" w:hAnsi="Arial" w:cs="Arial"/>
                <w:color w:val="auto"/>
                <w:sz w:val="20"/>
                <w:szCs w:val="20"/>
              </w:rPr>
              <w:t>.</w:t>
            </w:r>
            <w:r w:rsidRPr="00703635">
              <w:rPr>
                <w:rFonts w:ascii="Arial" w:hAnsi="Arial" w:cs="Arial"/>
                <w:color w:val="auto"/>
                <w:sz w:val="20"/>
                <w:szCs w:val="20"/>
              </w:rPr>
              <w:t>8 ± 38</w:t>
            </w:r>
            <w:r w:rsidR="000552E5" w:rsidRPr="00703635">
              <w:rPr>
                <w:rFonts w:ascii="Arial" w:hAnsi="Arial" w:cs="Arial"/>
                <w:color w:val="auto"/>
                <w:sz w:val="20"/>
                <w:szCs w:val="20"/>
              </w:rPr>
              <w:t>.</w:t>
            </w:r>
            <w:r w:rsidRPr="00703635">
              <w:rPr>
                <w:rFonts w:ascii="Arial" w:hAnsi="Arial" w:cs="Arial"/>
                <w:color w:val="auto"/>
                <w:sz w:val="20"/>
                <w:szCs w:val="20"/>
              </w:rPr>
              <w:t>5</w:t>
            </w:r>
            <w:r w:rsidRPr="00703635" w:rsidDel="00187F67">
              <w:rPr>
                <w:rFonts w:ascii="Arial" w:hAnsi="Arial" w:cs="Arial"/>
                <w:color w:val="auto"/>
                <w:sz w:val="20"/>
                <w:szCs w:val="20"/>
              </w:rPr>
              <w:t xml:space="preserve"> </w:t>
            </w:r>
          </w:p>
        </w:tc>
        <w:tc>
          <w:tcPr>
            <w:tcW w:w="1406" w:type="dxa"/>
            <w:tcBorders>
              <w:top w:val="nil"/>
              <w:bottom w:val="nil"/>
            </w:tcBorders>
            <w:shd w:val="clear" w:color="auto" w:fill="auto"/>
          </w:tcPr>
          <w:p w14:paraId="1E9C204D"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2-95</w:t>
            </w:r>
          </w:p>
          <w:p w14:paraId="668FDD99" w14:textId="77777777" w:rsidR="00B26912" w:rsidRPr="00703635" w:rsidRDefault="00B26912" w:rsidP="003B760A">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B26912" w:rsidRPr="00703635" w14:paraId="20142C8B" w14:textId="77777777" w:rsidTr="00C56A8C">
        <w:trPr>
          <w:trHeight w:val="235"/>
        </w:trPr>
        <w:tc>
          <w:tcPr>
            <w:cnfStyle w:val="001000000000" w:firstRow="0" w:lastRow="0" w:firstColumn="1" w:lastColumn="0" w:oddVBand="0" w:evenVBand="0" w:oddHBand="0" w:evenHBand="0" w:firstRowFirstColumn="0" w:firstRowLastColumn="0" w:lastRowFirstColumn="0" w:lastRowLastColumn="0"/>
            <w:tcW w:w="2805" w:type="dxa"/>
            <w:tcBorders>
              <w:top w:val="nil"/>
              <w:bottom w:val="nil"/>
            </w:tcBorders>
          </w:tcPr>
          <w:p w14:paraId="3AB598C9" w14:textId="472CD8FA" w:rsidR="00B26912" w:rsidRPr="00703635" w:rsidRDefault="00B53A5D" w:rsidP="003B760A">
            <w:pPr>
              <w:rPr>
                <w:rFonts w:ascii="Arial" w:hAnsi="Arial" w:cs="Arial"/>
                <w:color w:val="auto"/>
                <w:sz w:val="20"/>
                <w:szCs w:val="20"/>
              </w:rPr>
            </w:pPr>
            <w:r w:rsidRPr="00703635">
              <w:rPr>
                <w:rFonts w:ascii="Arial" w:hAnsi="Arial" w:cs="Arial"/>
                <w:color w:val="auto"/>
                <w:sz w:val="20"/>
                <w:szCs w:val="20"/>
              </w:rPr>
              <w:t xml:space="preserve">Glucose </w:t>
            </w:r>
            <w:proofErr w:type="spellStart"/>
            <w:r w:rsidRPr="00703635">
              <w:rPr>
                <w:rFonts w:ascii="Arial" w:hAnsi="Arial" w:cs="Arial"/>
                <w:color w:val="auto"/>
                <w:sz w:val="20"/>
                <w:szCs w:val="20"/>
              </w:rPr>
              <w:t>level</w:t>
            </w:r>
            <w:proofErr w:type="spellEnd"/>
            <w:r w:rsidR="00B26912" w:rsidRPr="00703635">
              <w:rPr>
                <w:rFonts w:ascii="Arial" w:hAnsi="Arial" w:cs="Arial"/>
                <w:color w:val="auto"/>
                <w:sz w:val="20"/>
                <w:szCs w:val="20"/>
              </w:rPr>
              <w:t xml:space="preserve"> (g /l)</w:t>
            </w:r>
          </w:p>
          <w:p w14:paraId="63B32EAF" w14:textId="77777777" w:rsidR="00B26912" w:rsidRPr="00703635" w:rsidRDefault="00B26912" w:rsidP="003B760A">
            <w:pPr>
              <w:rPr>
                <w:rFonts w:ascii="Arial" w:hAnsi="Arial" w:cs="Arial"/>
                <w:color w:val="auto"/>
                <w:sz w:val="20"/>
                <w:szCs w:val="20"/>
              </w:rPr>
            </w:pPr>
          </w:p>
        </w:tc>
        <w:tc>
          <w:tcPr>
            <w:tcW w:w="1180" w:type="dxa"/>
            <w:tcBorders>
              <w:top w:val="nil"/>
              <w:bottom w:val="nil"/>
            </w:tcBorders>
          </w:tcPr>
          <w:p w14:paraId="6C12DD58"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40 (100)</w:t>
            </w:r>
          </w:p>
        </w:tc>
        <w:tc>
          <w:tcPr>
            <w:tcW w:w="1475" w:type="dxa"/>
            <w:tcBorders>
              <w:top w:val="nil"/>
              <w:bottom w:val="nil"/>
            </w:tcBorders>
          </w:tcPr>
          <w:p w14:paraId="2AC256C8"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215" w:type="dxa"/>
            <w:tcBorders>
              <w:top w:val="nil"/>
              <w:bottom w:val="nil"/>
            </w:tcBorders>
          </w:tcPr>
          <w:p w14:paraId="7C87FA03" w14:textId="17D8C81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0</w:t>
            </w:r>
            <w:r w:rsidR="00B53A5D" w:rsidRPr="00703635">
              <w:rPr>
                <w:rFonts w:ascii="Arial" w:hAnsi="Arial" w:cs="Arial"/>
                <w:color w:val="auto"/>
                <w:sz w:val="20"/>
                <w:szCs w:val="20"/>
              </w:rPr>
              <w:t>.</w:t>
            </w:r>
            <w:r w:rsidRPr="00703635">
              <w:rPr>
                <w:rFonts w:ascii="Arial" w:hAnsi="Arial" w:cs="Arial"/>
                <w:color w:val="auto"/>
                <w:sz w:val="20"/>
                <w:szCs w:val="20"/>
              </w:rPr>
              <w:t>60 ±0</w:t>
            </w:r>
            <w:r w:rsidR="00AB530F" w:rsidRPr="00703635">
              <w:rPr>
                <w:rFonts w:ascii="Arial" w:hAnsi="Arial" w:cs="Arial"/>
                <w:color w:val="auto"/>
                <w:sz w:val="20"/>
                <w:szCs w:val="20"/>
              </w:rPr>
              <w:t>.</w:t>
            </w:r>
            <w:r w:rsidRPr="00703635">
              <w:rPr>
                <w:rFonts w:ascii="Arial" w:hAnsi="Arial" w:cs="Arial"/>
                <w:color w:val="auto"/>
                <w:sz w:val="20"/>
                <w:szCs w:val="20"/>
              </w:rPr>
              <w:t xml:space="preserve">46 </w:t>
            </w:r>
          </w:p>
        </w:tc>
        <w:tc>
          <w:tcPr>
            <w:tcW w:w="1406" w:type="dxa"/>
            <w:tcBorders>
              <w:top w:val="nil"/>
              <w:bottom w:val="nil"/>
            </w:tcBorders>
          </w:tcPr>
          <w:p w14:paraId="078F509C" w14:textId="3EFA9FD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0</w:t>
            </w:r>
            <w:r w:rsidR="00B53A5D" w:rsidRPr="00703635">
              <w:rPr>
                <w:rFonts w:ascii="Arial" w:hAnsi="Arial" w:cs="Arial"/>
                <w:color w:val="auto"/>
                <w:sz w:val="20"/>
                <w:szCs w:val="20"/>
              </w:rPr>
              <w:t>.</w:t>
            </w:r>
            <w:r w:rsidRPr="00703635">
              <w:rPr>
                <w:rFonts w:ascii="Arial" w:hAnsi="Arial" w:cs="Arial"/>
                <w:color w:val="auto"/>
                <w:sz w:val="20"/>
                <w:szCs w:val="20"/>
              </w:rPr>
              <w:t>1-3</w:t>
            </w:r>
            <w:r w:rsidR="00B53A5D" w:rsidRPr="00703635">
              <w:rPr>
                <w:rFonts w:ascii="Arial" w:hAnsi="Arial" w:cs="Arial"/>
                <w:color w:val="auto"/>
                <w:sz w:val="20"/>
                <w:szCs w:val="20"/>
              </w:rPr>
              <w:t>.</w:t>
            </w:r>
            <w:r w:rsidRPr="00703635">
              <w:rPr>
                <w:rFonts w:ascii="Arial" w:hAnsi="Arial" w:cs="Arial"/>
                <w:color w:val="auto"/>
                <w:sz w:val="20"/>
                <w:szCs w:val="20"/>
              </w:rPr>
              <w:t>20</w:t>
            </w:r>
          </w:p>
        </w:tc>
      </w:tr>
      <w:tr w:rsidR="00B26912" w:rsidRPr="00703635" w14:paraId="13FB8169" w14:textId="77777777" w:rsidTr="004F32E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805" w:type="dxa"/>
            <w:tcBorders>
              <w:top w:val="nil"/>
              <w:bottom w:val="single" w:sz="18" w:space="0" w:color="auto"/>
            </w:tcBorders>
            <w:shd w:val="clear" w:color="auto" w:fill="auto"/>
          </w:tcPr>
          <w:p w14:paraId="40FD88FE" w14:textId="44A881B8" w:rsidR="00B26912" w:rsidRPr="00703635" w:rsidRDefault="00B26912" w:rsidP="003B760A">
            <w:pPr>
              <w:rPr>
                <w:rFonts w:ascii="Arial" w:hAnsi="Arial" w:cs="Arial"/>
                <w:color w:val="auto"/>
                <w:sz w:val="20"/>
                <w:szCs w:val="20"/>
              </w:rPr>
            </w:pPr>
            <w:proofErr w:type="spellStart"/>
            <w:r w:rsidRPr="00703635">
              <w:rPr>
                <w:rFonts w:ascii="Arial" w:hAnsi="Arial" w:cs="Arial"/>
                <w:color w:val="auto"/>
                <w:sz w:val="20"/>
                <w:szCs w:val="20"/>
              </w:rPr>
              <w:t>Prot</w:t>
            </w:r>
            <w:r w:rsidR="00B53A5D" w:rsidRPr="00703635">
              <w:rPr>
                <w:rFonts w:ascii="Arial" w:hAnsi="Arial" w:cs="Arial"/>
                <w:color w:val="auto"/>
                <w:sz w:val="20"/>
                <w:szCs w:val="20"/>
              </w:rPr>
              <w:t>ein</w:t>
            </w:r>
            <w:proofErr w:type="spellEnd"/>
            <w:r w:rsidR="00B53A5D" w:rsidRPr="00703635">
              <w:rPr>
                <w:rFonts w:ascii="Arial" w:hAnsi="Arial" w:cs="Arial"/>
                <w:color w:val="auto"/>
                <w:sz w:val="20"/>
                <w:szCs w:val="20"/>
              </w:rPr>
              <w:t xml:space="preserve"> </w:t>
            </w:r>
            <w:proofErr w:type="spellStart"/>
            <w:r w:rsidR="00B53A5D" w:rsidRPr="00703635">
              <w:rPr>
                <w:rFonts w:ascii="Arial" w:hAnsi="Arial" w:cs="Arial"/>
                <w:color w:val="auto"/>
                <w:sz w:val="20"/>
                <w:szCs w:val="20"/>
              </w:rPr>
              <w:t>level</w:t>
            </w:r>
            <w:proofErr w:type="spellEnd"/>
            <w:r w:rsidR="00B53A5D" w:rsidRPr="00703635">
              <w:rPr>
                <w:rFonts w:ascii="Arial" w:hAnsi="Arial" w:cs="Arial"/>
                <w:color w:val="auto"/>
                <w:sz w:val="20"/>
                <w:szCs w:val="20"/>
              </w:rPr>
              <w:t xml:space="preserve"> </w:t>
            </w:r>
            <w:r w:rsidRPr="00703635">
              <w:rPr>
                <w:rFonts w:ascii="Arial" w:hAnsi="Arial" w:cs="Arial"/>
                <w:color w:val="auto"/>
                <w:sz w:val="20"/>
                <w:szCs w:val="20"/>
              </w:rPr>
              <w:t>(g/l)</w:t>
            </w:r>
          </w:p>
        </w:tc>
        <w:tc>
          <w:tcPr>
            <w:tcW w:w="1180" w:type="dxa"/>
            <w:tcBorders>
              <w:top w:val="nil"/>
              <w:bottom w:val="single" w:sz="18" w:space="0" w:color="auto"/>
            </w:tcBorders>
            <w:shd w:val="clear" w:color="auto" w:fill="auto"/>
          </w:tcPr>
          <w:p w14:paraId="597D5076"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703635">
              <w:rPr>
                <w:rFonts w:ascii="Arial" w:hAnsi="Arial" w:cs="Arial"/>
                <w:color w:val="auto"/>
                <w:sz w:val="20"/>
                <w:szCs w:val="20"/>
              </w:rPr>
              <w:t>39 (97.5)</w:t>
            </w:r>
          </w:p>
        </w:tc>
        <w:tc>
          <w:tcPr>
            <w:tcW w:w="1475" w:type="dxa"/>
            <w:tcBorders>
              <w:top w:val="nil"/>
              <w:bottom w:val="single" w:sz="18" w:space="0" w:color="auto"/>
            </w:tcBorders>
            <w:shd w:val="clear" w:color="auto" w:fill="auto"/>
          </w:tcPr>
          <w:p w14:paraId="3784B70E"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215" w:type="dxa"/>
            <w:tcBorders>
              <w:top w:val="nil"/>
              <w:bottom w:val="single" w:sz="18" w:space="0" w:color="auto"/>
            </w:tcBorders>
            <w:shd w:val="clear" w:color="auto" w:fill="auto"/>
          </w:tcPr>
          <w:p w14:paraId="796F550C" w14:textId="626F0D6A"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0</w:t>
            </w:r>
            <w:r w:rsidR="00B53A5D" w:rsidRPr="00703635">
              <w:rPr>
                <w:rFonts w:ascii="Arial" w:hAnsi="Arial" w:cs="Arial"/>
                <w:color w:val="auto"/>
                <w:sz w:val="20"/>
                <w:szCs w:val="20"/>
              </w:rPr>
              <w:t>.</w:t>
            </w:r>
            <w:r w:rsidRPr="00703635">
              <w:rPr>
                <w:rFonts w:ascii="Arial" w:hAnsi="Arial" w:cs="Arial"/>
                <w:color w:val="auto"/>
                <w:sz w:val="20"/>
                <w:szCs w:val="20"/>
              </w:rPr>
              <w:t>62 ± 0</w:t>
            </w:r>
            <w:r w:rsidR="00B53A5D" w:rsidRPr="00703635">
              <w:rPr>
                <w:rFonts w:ascii="Arial" w:hAnsi="Arial" w:cs="Arial"/>
                <w:color w:val="auto"/>
                <w:sz w:val="20"/>
                <w:szCs w:val="20"/>
              </w:rPr>
              <w:t>.</w:t>
            </w:r>
            <w:r w:rsidRPr="00703635">
              <w:rPr>
                <w:rFonts w:ascii="Arial" w:hAnsi="Arial" w:cs="Arial"/>
                <w:color w:val="auto"/>
                <w:sz w:val="20"/>
                <w:szCs w:val="20"/>
              </w:rPr>
              <w:t>61</w:t>
            </w:r>
          </w:p>
        </w:tc>
        <w:tc>
          <w:tcPr>
            <w:tcW w:w="1406" w:type="dxa"/>
            <w:tcBorders>
              <w:top w:val="nil"/>
              <w:bottom w:val="single" w:sz="18" w:space="0" w:color="auto"/>
            </w:tcBorders>
            <w:shd w:val="clear" w:color="auto" w:fill="auto"/>
          </w:tcPr>
          <w:p w14:paraId="3F1E99B5" w14:textId="44FB4833"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 xml:space="preserve"> 0</w:t>
            </w:r>
            <w:r w:rsidR="00B53A5D" w:rsidRPr="00703635">
              <w:rPr>
                <w:rFonts w:ascii="Arial" w:hAnsi="Arial" w:cs="Arial"/>
                <w:color w:val="auto"/>
                <w:sz w:val="20"/>
                <w:szCs w:val="20"/>
              </w:rPr>
              <w:t>.</w:t>
            </w:r>
            <w:r w:rsidRPr="00703635">
              <w:rPr>
                <w:rFonts w:ascii="Arial" w:hAnsi="Arial" w:cs="Arial"/>
                <w:color w:val="auto"/>
                <w:sz w:val="20"/>
                <w:szCs w:val="20"/>
              </w:rPr>
              <w:t>08-2</w:t>
            </w:r>
            <w:r w:rsidR="00B53A5D" w:rsidRPr="00703635">
              <w:rPr>
                <w:rFonts w:ascii="Arial" w:hAnsi="Arial" w:cs="Arial"/>
                <w:color w:val="auto"/>
                <w:sz w:val="20"/>
                <w:szCs w:val="20"/>
              </w:rPr>
              <w:t>.</w:t>
            </w:r>
            <w:r w:rsidRPr="00703635">
              <w:rPr>
                <w:rFonts w:ascii="Arial" w:hAnsi="Arial" w:cs="Arial"/>
                <w:color w:val="auto"/>
                <w:sz w:val="20"/>
                <w:szCs w:val="20"/>
              </w:rPr>
              <w:t>55</w:t>
            </w:r>
          </w:p>
        </w:tc>
      </w:tr>
      <w:tr w:rsidR="00B26912" w:rsidRPr="00703635" w14:paraId="499CED76" w14:textId="77777777" w:rsidTr="004F32EB">
        <w:trPr>
          <w:trHeight w:val="387"/>
        </w:trPr>
        <w:tc>
          <w:tcPr>
            <w:cnfStyle w:val="001000000000" w:firstRow="0" w:lastRow="0" w:firstColumn="1" w:lastColumn="0" w:oddVBand="0" w:evenVBand="0" w:oddHBand="0" w:evenHBand="0" w:firstRowFirstColumn="0" w:firstRowLastColumn="0" w:lastRowFirstColumn="0" w:lastRowLastColumn="0"/>
            <w:tcW w:w="9081" w:type="dxa"/>
            <w:gridSpan w:val="5"/>
            <w:tcBorders>
              <w:top w:val="single" w:sz="18" w:space="0" w:color="auto"/>
              <w:bottom w:val="single" w:sz="18" w:space="0" w:color="auto"/>
            </w:tcBorders>
          </w:tcPr>
          <w:p w14:paraId="32A045A7" w14:textId="5DE896D8" w:rsidR="00B26912" w:rsidRPr="00703635" w:rsidRDefault="00FC0B38" w:rsidP="003B760A">
            <w:pPr>
              <w:jc w:val="center"/>
              <w:rPr>
                <w:rFonts w:ascii="Arial" w:hAnsi="Arial" w:cs="Arial"/>
                <w:sz w:val="20"/>
                <w:szCs w:val="20"/>
              </w:rPr>
            </w:pPr>
            <w:proofErr w:type="spellStart"/>
            <w:r w:rsidRPr="00703635">
              <w:rPr>
                <w:rFonts w:ascii="Arial" w:hAnsi="Arial" w:cs="Arial"/>
                <w:color w:val="000000" w:themeColor="text1"/>
                <w:sz w:val="20"/>
                <w:szCs w:val="20"/>
              </w:rPr>
              <w:t>Serum</w:t>
            </w:r>
            <w:proofErr w:type="spellEnd"/>
            <w:r w:rsidRPr="00703635">
              <w:rPr>
                <w:rFonts w:ascii="Arial" w:hAnsi="Arial" w:cs="Arial"/>
                <w:color w:val="000000" w:themeColor="text1"/>
                <w:sz w:val="20"/>
                <w:szCs w:val="20"/>
              </w:rPr>
              <w:t xml:space="preserve"> </w:t>
            </w:r>
            <w:proofErr w:type="spellStart"/>
            <w:r w:rsidRPr="00703635">
              <w:rPr>
                <w:rFonts w:ascii="Arial" w:hAnsi="Arial" w:cs="Arial"/>
                <w:color w:val="000000" w:themeColor="text1"/>
                <w:sz w:val="20"/>
                <w:szCs w:val="20"/>
              </w:rPr>
              <w:t>parameter</w:t>
            </w:r>
            <w:r w:rsidR="00E502DC" w:rsidRPr="00703635">
              <w:rPr>
                <w:rFonts w:ascii="Arial" w:hAnsi="Arial" w:cs="Arial"/>
                <w:color w:val="000000" w:themeColor="text1"/>
                <w:sz w:val="20"/>
                <w:szCs w:val="20"/>
              </w:rPr>
              <w:t>s</w:t>
            </w:r>
            <w:proofErr w:type="spellEnd"/>
          </w:p>
        </w:tc>
      </w:tr>
      <w:tr w:rsidR="00B26912" w:rsidRPr="00703635" w14:paraId="16A141A1" w14:textId="77777777" w:rsidTr="004F32E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805" w:type="dxa"/>
            <w:tcBorders>
              <w:top w:val="single" w:sz="18" w:space="0" w:color="auto"/>
              <w:bottom w:val="nil"/>
            </w:tcBorders>
            <w:shd w:val="clear" w:color="auto" w:fill="auto"/>
          </w:tcPr>
          <w:p w14:paraId="244EA0E2" w14:textId="55069436" w:rsidR="00B26912" w:rsidRPr="00703635" w:rsidRDefault="00B26912" w:rsidP="003B760A">
            <w:pPr>
              <w:rPr>
                <w:rFonts w:ascii="Arial" w:hAnsi="Arial" w:cs="Arial"/>
                <w:sz w:val="20"/>
                <w:szCs w:val="20"/>
              </w:rPr>
            </w:pPr>
            <w:r w:rsidRPr="00703635">
              <w:rPr>
                <w:rFonts w:ascii="Arial" w:hAnsi="Arial" w:cs="Arial"/>
                <w:color w:val="auto"/>
                <w:sz w:val="20"/>
                <w:szCs w:val="20"/>
              </w:rPr>
              <w:t>CRP (mg/l)</w:t>
            </w:r>
          </w:p>
        </w:tc>
        <w:tc>
          <w:tcPr>
            <w:tcW w:w="1180" w:type="dxa"/>
            <w:tcBorders>
              <w:top w:val="single" w:sz="18" w:space="0" w:color="auto"/>
              <w:bottom w:val="nil"/>
            </w:tcBorders>
            <w:shd w:val="clear" w:color="auto" w:fill="auto"/>
          </w:tcPr>
          <w:p w14:paraId="777ECFD8"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03635">
              <w:rPr>
                <w:rFonts w:ascii="Arial" w:hAnsi="Arial" w:cs="Arial"/>
                <w:color w:val="auto"/>
                <w:sz w:val="20"/>
                <w:szCs w:val="20"/>
              </w:rPr>
              <w:t>40 (100)</w:t>
            </w:r>
          </w:p>
        </w:tc>
        <w:tc>
          <w:tcPr>
            <w:tcW w:w="1475" w:type="dxa"/>
            <w:tcBorders>
              <w:top w:val="single" w:sz="18" w:space="0" w:color="auto"/>
              <w:bottom w:val="nil"/>
            </w:tcBorders>
            <w:shd w:val="clear" w:color="auto" w:fill="auto"/>
          </w:tcPr>
          <w:p w14:paraId="56F89830"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15" w:type="dxa"/>
            <w:tcBorders>
              <w:top w:val="single" w:sz="18" w:space="0" w:color="auto"/>
              <w:bottom w:val="nil"/>
            </w:tcBorders>
            <w:shd w:val="clear" w:color="auto" w:fill="auto"/>
          </w:tcPr>
          <w:p w14:paraId="19F35A0F" w14:textId="1AFEAC5D"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3635">
              <w:rPr>
                <w:rFonts w:ascii="Arial" w:hAnsi="Arial" w:cs="Arial"/>
                <w:color w:val="auto"/>
                <w:sz w:val="20"/>
                <w:szCs w:val="20"/>
              </w:rPr>
              <w:t>62 ± 71</w:t>
            </w:r>
            <w:r w:rsidR="00E502DC" w:rsidRPr="00703635">
              <w:rPr>
                <w:rFonts w:ascii="Arial" w:hAnsi="Arial" w:cs="Arial"/>
                <w:color w:val="auto"/>
                <w:sz w:val="20"/>
                <w:szCs w:val="20"/>
              </w:rPr>
              <w:t>.</w:t>
            </w:r>
            <w:r w:rsidRPr="00703635">
              <w:rPr>
                <w:rFonts w:ascii="Arial" w:hAnsi="Arial" w:cs="Arial"/>
                <w:color w:val="auto"/>
                <w:sz w:val="20"/>
                <w:szCs w:val="20"/>
              </w:rPr>
              <w:t>8</w:t>
            </w:r>
          </w:p>
        </w:tc>
        <w:tc>
          <w:tcPr>
            <w:tcW w:w="1406" w:type="dxa"/>
            <w:tcBorders>
              <w:top w:val="single" w:sz="18" w:space="0" w:color="auto"/>
              <w:bottom w:val="nil"/>
            </w:tcBorders>
            <w:shd w:val="clear" w:color="auto" w:fill="auto"/>
          </w:tcPr>
          <w:p w14:paraId="27D2A527"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03635">
              <w:rPr>
                <w:rFonts w:ascii="Arial" w:hAnsi="Arial" w:cs="Arial"/>
                <w:color w:val="auto"/>
                <w:sz w:val="20"/>
                <w:szCs w:val="20"/>
              </w:rPr>
              <w:t>0-192</w:t>
            </w:r>
          </w:p>
          <w:p w14:paraId="57168961" w14:textId="77777777" w:rsidR="00B26912" w:rsidRPr="00703635" w:rsidRDefault="00B26912" w:rsidP="003B760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6912" w:rsidRPr="00703635" w14:paraId="072826DF" w14:textId="77777777" w:rsidTr="004F32EB">
        <w:trPr>
          <w:trHeight w:val="387"/>
        </w:trPr>
        <w:tc>
          <w:tcPr>
            <w:cnfStyle w:val="001000000000" w:firstRow="0" w:lastRow="0" w:firstColumn="1" w:lastColumn="0" w:oddVBand="0" w:evenVBand="0" w:oddHBand="0" w:evenHBand="0" w:firstRowFirstColumn="0" w:firstRowLastColumn="0" w:lastRowFirstColumn="0" w:lastRowLastColumn="0"/>
            <w:tcW w:w="2805" w:type="dxa"/>
            <w:tcBorders>
              <w:top w:val="nil"/>
              <w:bottom w:val="single" w:sz="18" w:space="0" w:color="auto"/>
            </w:tcBorders>
          </w:tcPr>
          <w:p w14:paraId="435F8CD6" w14:textId="77777777" w:rsidR="00B26912" w:rsidRPr="00703635" w:rsidRDefault="00B26912" w:rsidP="003B760A">
            <w:pPr>
              <w:rPr>
                <w:rFonts w:ascii="Arial" w:hAnsi="Arial" w:cs="Arial"/>
                <w:sz w:val="20"/>
                <w:szCs w:val="20"/>
              </w:rPr>
            </w:pPr>
            <w:r w:rsidRPr="00703635">
              <w:rPr>
                <w:rFonts w:ascii="Arial" w:hAnsi="Arial" w:cs="Arial"/>
                <w:color w:val="auto"/>
                <w:sz w:val="20"/>
                <w:szCs w:val="20"/>
              </w:rPr>
              <w:t>PCT (</w:t>
            </w:r>
            <w:proofErr w:type="spellStart"/>
            <w:r w:rsidRPr="00703635">
              <w:rPr>
                <w:rFonts w:ascii="Arial" w:hAnsi="Arial" w:cs="Arial"/>
                <w:color w:val="auto"/>
                <w:sz w:val="20"/>
                <w:szCs w:val="20"/>
              </w:rPr>
              <w:t>ng</w:t>
            </w:r>
            <w:proofErr w:type="spellEnd"/>
            <w:r w:rsidRPr="00703635">
              <w:rPr>
                <w:rFonts w:ascii="Arial" w:hAnsi="Arial" w:cs="Arial"/>
                <w:color w:val="auto"/>
                <w:sz w:val="20"/>
                <w:szCs w:val="20"/>
              </w:rPr>
              <w:t>/ml)</w:t>
            </w:r>
          </w:p>
        </w:tc>
        <w:tc>
          <w:tcPr>
            <w:tcW w:w="1180" w:type="dxa"/>
            <w:tcBorders>
              <w:top w:val="nil"/>
              <w:bottom w:val="single" w:sz="18" w:space="0" w:color="auto"/>
            </w:tcBorders>
          </w:tcPr>
          <w:p w14:paraId="43AAD54B"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03635">
              <w:rPr>
                <w:rFonts w:ascii="Arial" w:hAnsi="Arial" w:cs="Arial"/>
                <w:color w:val="auto"/>
                <w:sz w:val="20"/>
                <w:szCs w:val="20"/>
              </w:rPr>
              <w:t>40 (100)</w:t>
            </w:r>
          </w:p>
        </w:tc>
        <w:tc>
          <w:tcPr>
            <w:tcW w:w="1475" w:type="dxa"/>
            <w:tcBorders>
              <w:top w:val="nil"/>
              <w:bottom w:val="single" w:sz="18" w:space="0" w:color="auto"/>
            </w:tcBorders>
          </w:tcPr>
          <w:p w14:paraId="0BC57923" w14:textId="77777777"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15" w:type="dxa"/>
            <w:tcBorders>
              <w:top w:val="nil"/>
              <w:bottom w:val="single" w:sz="18" w:space="0" w:color="auto"/>
            </w:tcBorders>
          </w:tcPr>
          <w:p w14:paraId="31C4F3DB" w14:textId="0D1F1B10"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3635">
              <w:rPr>
                <w:rFonts w:ascii="Arial" w:eastAsia="Times New Roman" w:hAnsi="Arial" w:cs="Arial"/>
                <w:color w:val="auto"/>
                <w:sz w:val="20"/>
                <w:szCs w:val="20"/>
                <w:lang w:eastAsia="fr-FR"/>
              </w:rPr>
              <w:t>3.74</w:t>
            </w:r>
            <w:r w:rsidRPr="00703635">
              <w:rPr>
                <w:rFonts w:ascii="Arial" w:hAnsi="Arial" w:cs="Arial"/>
                <w:color w:val="auto"/>
                <w:sz w:val="20"/>
                <w:szCs w:val="20"/>
              </w:rPr>
              <w:t xml:space="preserve"> ± 7</w:t>
            </w:r>
            <w:r w:rsidR="00E502DC" w:rsidRPr="00703635">
              <w:rPr>
                <w:rFonts w:ascii="Arial" w:hAnsi="Arial" w:cs="Arial"/>
                <w:color w:val="auto"/>
                <w:sz w:val="20"/>
                <w:szCs w:val="20"/>
              </w:rPr>
              <w:t>.</w:t>
            </w:r>
            <w:r w:rsidRPr="00703635">
              <w:rPr>
                <w:rFonts w:ascii="Arial" w:hAnsi="Arial" w:cs="Arial"/>
                <w:color w:val="auto"/>
                <w:sz w:val="20"/>
                <w:szCs w:val="20"/>
              </w:rPr>
              <w:t>73</w:t>
            </w:r>
          </w:p>
        </w:tc>
        <w:tc>
          <w:tcPr>
            <w:tcW w:w="1406" w:type="dxa"/>
            <w:tcBorders>
              <w:top w:val="nil"/>
              <w:bottom w:val="single" w:sz="18" w:space="0" w:color="auto"/>
            </w:tcBorders>
          </w:tcPr>
          <w:p w14:paraId="6BCBDE9D" w14:textId="4FA68923" w:rsidR="00B26912" w:rsidRPr="00703635" w:rsidRDefault="00B26912" w:rsidP="003B76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3635">
              <w:rPr>
                <w:rFonts w:ascii="Arial" w:hAnsi="Arial" w:cs="Arial"/>
                <w:color w:val="auto"/>
                <w:sz w:val="20"/>
                <w:szCs w:val="20"/>
              </w:rPr>
              <w:t>0</w:t>
            </w:r>
            <w:r w:rsidR="00E502DC" w:rsidRPr="00703635">
              <w:rPr>
                <w:rFonts w:ascii="Arial" w:hAnsi="Arial" w:cs="Arial"/>
                <w:color w:val="auto"/>
                <w:sz w:val="20"/>
                <w:szCs w:val="20"/>
              </w:rPr>
              <w:t>.</w:t>
            </w:r>
            <w:r w:rsidRPr="00703635">
              <w:rPr>
                <w:rFonts w:ascii="Arial" w:hAnsi="Arial" w:cs="Arial"/>
                <w:color w:val="auto"/>
                <w:sz w:val="20"/>
                <w:szCs w:val="20"/>
              </w:rPr>
              <w:t>1-30</w:t>
            </w:r>
            <w:r w:rsidR="00E502DC" w:rsidRPr="00703635">
              <w:rPr>
                <w:rFonts w:ascii="Arial" w:hAnsi="Arial" w:cs="Arial"/>
                <w:color w:val="auto"/>
                <w:sz w:val="20"/>
                <w:szCs w:val="20"/>
              </w:rPr>
              <w:t>.</w:t>
            </w:r>
            <w:r w:rsidRPr="00703635">
              <w:rPr>
                <w:rFonts w:ascii="Arial" w:hAnsi="Arial" w:cs="Arial"/>
                <w:color w:val="auto"/>
                <w:sz w:val="20"/>
                <w:szCs w:val="20"/>
              </w:rPr>
              <w:t>5</w:t>
            </w:r>
          </w:p>
        </w:tc>
      </w:tr>
    </w:tbl>
    <w:p w14:paraId="4F4CDB19" w14:textId="10C71C0A" w:rsidR="00E502DC" w:rsidRPr="00703635" w:rsidRDefault="00E502DC" w:rsidP="003B760A">
      <w:pPr>
        <w:spacing w:line="240" w:lineRule="auto"/>
        <w:rPr>
          <w:rFonts w:ascii="Arial" w:hAnsi="Arial" w:cs="Arial"/>
          <w:sz w:val="20"/>
          <w:szCs w:val="20"/>
          <w:lang w:val="en-US"/>
        </w:rPr>
      </w:pPr>
      <w:r w:rsidRPr="00703635">
        <w:rPr>
          <w:rFonts w:ascii="Arial" w:hAnsi="Arial" w:cs="Arial"/>
          <w:sz w:val="20"/>
          <w:szCs w:val="20"/>
          <w:lang w:val="en-US"/>
        </w:rPr>
        <w:t xml:space="preserve">CSF </w:t>
      </w:r>
      <w:r w:rsidR="00F00EE5" w:rsidRPr="00703635">
        <w:rPr>
          <w:rFonts w:ascii="Arial" w:hAnsi="Arial" w:cs="Arial"/>
          <w:sz w:val="20"/>
          <w:szCs w:val="20"/>
          <w:lang w:val="en-US"/>
        </w:rPr>
        <w:t>= cerebrospinal fluid</w:t>
      </w:r>
    </w:p>
    <w:p w14:paraId="70A55862" w14:textId="4054EB5D" w:rsidR="004A7DAC" w:rsidRPr="00703635" w:rsidRDefault="004A7DAC" w:rsidP="003B760A">
      <w:pPr>
        <w:spacing w:line="240" w:lineRule="auto"/>
        <w:rPr>
          <w:rFonts w:ascii="Arial" w:hAnsi="Arial" w:cs="Arial"/>
          <w:sz w:val="20"/>
          <w:szCs w:val="20"/>
          <w:lang w:val="en-US"/>
        </w:rPr>
      </w:pPr>
      <w:r w:rsidRPr="00703635">
        <w:rPr>
          <w:rFonts w:ascii="Arial" w:hAnsi="Arial" w:cs="Arial"/>
          <w:sz w:val="20"/>
          <w:szCs w:val="20"/>
          <w:lang w:val="en-US"/>
        </w:rPr>
        <w:t>SD = STANDARD DEVIATION</w:t>
      </w:r>
    </w:p>
    <w:p w14:paraId="74BF2C5E" w14:textId="380783CF" w:rsidR="004A7DAC" w:rsidRPr="00703635" w:rsidRDefault="004A7DAC" w:rsidP="003B760A">
      <w:pPr>
        <w:spacing w:line="240" w:lineRule="auto"/>
        <w:rPr>
          <w:rFonts w:ascii="Arial" w:hAnsi="Arial" w:cs="Arial"/>
          <w:sz w:val="20"/>
          <w:szCs w:val="20"/>
          <w:lang w:val="en-US"/>
        </w:rPr>
      </w:pPr>
      <w:r w:rsidRPr="00703635">
        <w:rPr>
          <w:rFonts w:ascii="Arial" w:hAnsi="Arial" w:cs="Arial"/>
          <w:sz w:val="20"/>
          <w:szCs w:val="20"/>
          <w:lang w:val="en-US"/>
        </w:rPr>
        <w:t>Min</w:t>
      </w:r>
      <w:r w:rsidR="00DB1E59" w:rsidRPr="00703635">
        <w:rPr>
          <w:rFonts w:ascii="Arial" w:hAnsi="Arial" w:cs="Arial"/>
          <w:sz w:val="20"/>
          <w:szCs w:val="20"/>
          <w:lang w:val="en-US"/>
        </w:rPr>
        <w:t xml:space="preserve"> </w:t>
      </w:r>
      <w:proofErr w:type="gramStart"/>
      <w:r w:rsidR="00DB1E59" w:rsidRPr="00703635">
        <w:rPr>
          <w:rFonts w:ascii="Arial" w:hAnsi="Arial" w:cs="Arial"/>
          <w:sz w:val="20"/>
          <w:szCs w:val="20"/>
          <w:lang w:val="en-US"/>
        </w:rPr>
        <w:t>=  minimum</w:t>
      </w:r>
      <w:proofErr w:type="gramEnd"/>
    </w:p>
    <w:p w14:paraId="42F777D7" w14:textId="5A23BE0C" w:rsidR="00DB1E59" w:rsidRPr="00703635" w:rsidRDefault="00DB1E59" w:rsidP="003B760A">
      <w:pPr>
        <w:spacing w:line="240" w:lineRule="auto"/>
        <w:rPr>
          <w:rFonts w:ascii="Arial" w:hAnsi="Arial" w:cs="Arial"/>
          <w:sz w:val="20"/>
          <w:szCs w:val="20"/>
          <w:lang w:val="en-US"/>
        </w:rPr>
      </w:pPr>
      <w:r w:rsidRPr="00703635">
        <w:rPr>
          <w:rFonts w:ascii="Arial" w:hAnsi="Arial" w:cs="Arial"/>
          <w:sz w:val="20"/>
          <w:szCs w:val="20"/>
          <w:lang w:val="en-US"/>
        </w:rPr>
        <w:t>Max = Maximum</w:t>
      </w:r>
    </w:p>
    <w:p w14:paraId="292B6196" w14:textId="5B365AF9" w:rsidR="00E502DC" w:rsidRPr="00703635" w:rsidRDefault="00E502DC" w:rsidP="003B760A">
      <w:pPr>
        <w:spacing w:line="240" w:lineRule="auto"/>
        <w:rPr>
          <w:rFonts w:ascii="Arial" w:hAnsi="Arial" w:cs="Arial"/>
          <w:sz w:val="20"/>
          <w:szCs w:val="20"/>
          <w:lang w:val="en-US"/>
        </w:rPr>
      </w:pPr>
      <w:r w:rsidRPr="00703635">
        <w:rPr>
          <w:rFonts w:ascii="Arial" w:hAnsi="Arial" w:cs="Arial"/>
          <w:sz w:val="20"/>
          <w:szCs w:val="20"/>
          <w:lang w:val="en-US"/>
        </w:rPr>
        <w:t xml:space="preserve">WBC = WHITE BLOOD CELLS  </w:t>
      </w:r>
    </w:p>
    <w:p w14:paraId="7F3E912B" w14:textId="312F48C8" w:rsidR="00E502DC" w:rsidRPr="00703635" w:rsidRDefault="00E502DC" w:rsidP="003B760A">
      <w:pPr>
        <w:spacing w:line="240" w:lineRule="auto"/>
        <w:rPr>
          <w:rFonts w:ascii="Arial" w:hAnsi="Arial" w:cs="Arial"/>
          <w:sz w:val="20"/>
          <w:szCs w:val="20"/>
          <w:lang w:val="en-US"/>
        </w:rPr>
      </w:pPr>
      <w:r w:rsidRPr="00703635">
        <w:rPr>
          <w:rFonts w:ascii="Arial" w:hAnsi="Arial" w:cs="Arial"/>
          <w:sz w:val="20"/>
          <w:szCs w:val="20"/>
          <w:lang w:val="en-US"/>
        </w:rPr>
        <w:t>RBC = RED BLOOD CELLS</w:t>
      </w:r>
    </w:p>
    <w:p w14:paraId="2A67F9FA" w14:textId="7B657B77" w:rsidR="00B26912" w:rsidRPr="00703635" w:rsidRDefault="00E2503E" w:rsidP="003B760A">
      <w:pPr>
        <w:spacing w:line="240" w:lineRule="auto"/>
        <w:rPr>
          <w:rFonts w:ascii="Arial" w:hAnsi="Arial" w:cs="Arial"/>
          <w:sz w:val="20"/>
          <w:szCs w:val="20"/>
          <w:lang w:val="en-US"/>
        </w:rPr>
      </w:pPr>
      <w:r w:rsidRPr="00703635">
        <w:rPr>
          <w:rFonts w:ascii="Arial" w:hAnsi="Arial" w:cs="Arial"/>
          <w:sz w:val="20"/>
          <w:szCs w:val="20"/>
          <w:lang w:val="en-US"/>
        </w:rPr>
        <w:t>A</w:t>
      </w:r>
      <w:r w:rsidR="00E830E9" w:rsidRPr="00703635">
        <w:rPr>
          <w:rFonts w:ascii="Arial" w:hAnsi="Arial" w:cs="Arial"/>
          <w:sz w:val="20"/>
          <w:szCs w:val="20"/>
          <w:lang w:val="en-US"/>
        </w:rPr>
        <w:t xml:space="preserve">NPC = </w:t>
      </w:r>
      <w:r w:rsidRPr="00703635">
        <w:rPr>
          <w:rFonts w:ascii="Arial" w:hAnsi="Arial" w:cs="Arial"/>
          <w:sz w:val="20"/>
          <w:szCs w:val="20"/>
          <w:lang w:val="en-US"/>
        </w:rPr>
        <w:t>altered neutrophil polynuclear</w:t>
      </w:r>
      <w:r w:rsidR="00E830E9" w:rsidRPr="00703635">
        <w:rPr>
          <w:rFonts w:ascii="Arial" w:hAnsi="Arial" w:cs="Arial"/>
          <w:sz w:val="20"/>
          <w:szCs w:val="20"/>
          <w:lang w:val="en-US"/>
        </w:rPr>
        <w:t xml:space="preserve"> cells</w:t>
      </w:r>
    </w:p>
    <w:p w14:paraId="0E2F73C1" w14:textId="125F24B1" w:rsidR="001E275A" w:rsidRPr="00703635" w:rsidRDefault="00E830E9" w:rsidP="003B760A">
      <w:pPr>
        <w:spacing w:line="240" w:lineRule="auto"/>
        <w:rPr>
          <w:rFonts w:ascii="Arial" w:hAnsi="Arial" w:cs="Arial"/>
          <w:sz w:val="20"/>
          <w:szCs w:val="20"/>
          <w:lang w:val="en-US"/>
        </w:rPr>
      </w:pPr>
      <w:r w:rsidRPr="00703635">
        <w:rPr>
          <w:rFonts w:ascii="Arial" w:hAnsi="Arial" w:cs="Arial"/>
          <w:sz w:val="20"/>
          <w:szCs w:val="20"/>
          <w:lang w:val="en-US"/>
        </w:rPr>
        <w:t xml:space="preserve">NANPC </w:t>
      </w:r>
      <w:proofErr w:type="gramStart"/>
      <w:r w:rsidRPr="00703635">
        <w:rPr>
          <w:rFonts w:ascii="Arial" w:hAnsi="Arial" w:cs="Arial"/>
          <w:sz w:val="20"/>
          <w:szCs w:val="20"/>
          <w:lang w:val="en-US"/>
        </w:rPr>
        <w:t>=  non</w:t>
      </w:r>
      <w:proofErr w:type="gramEnd"/>
      <w:r w:rsidRPr="00703635">
        <w:rPr>
          <w:rFonts w:ascii="Arial" w:hAnsi="Arial" w:cs="Arial"/>
          <w:sz w:val="20"/>
          <w:szCs w:val="20"/>
          <w:lang w:val="en-US"/>
        </w:rPr>
        <w:t xml:space="preserve"> altered neutrophil polynuclear</w:t>
      </w:r>
      <w:r w:rsidR="00F00EE5" w:rsidRPr="00703635">
        <w:rPr>
          <w:rFonts w:ascii="Arial" w:hAnsi="Arial" w:cs="Arial"/>
          <w:sz w:val="20"/>
          <w:szCs w:val="20"/>
          <w:lang w:val="en-US"/>
        </w:rPr>
        <w:t xml:space="preserve"> </w:t>
      </w:r>
      <w:r w:rsidR="00CE701B" w:rsidRPr="00703635">
        <w:rPr>
          <w:rFonts w:ascii="Arial" w:hAnsi="Arial" w:cs="Arial"/>
          <w:sz w:val="20"/>
          <w:szCs w:val="20"/>
          <w:lang w:val="en-US"/>
        </w:rPr>
        <w:t>cells</w:t>
      </w:r>
    </w:p>
    <w:p w14:paraId="0C05D81A" w14:textId="220D27E3" w:rsidR="00E560D1" w:rsidRPr="00703635" w:rsidRDefault="00E560D1" w:rsidP="003B760A">
      <w:pPr>
        <w:pStyle w:val="ListParagraph"/>
        <w:numPr>
          <w:ilvl w:val="1"/>
          <w:numId w:val="5"/>
        </w:numPr>
        <w:spacing w:line="240" w:lineRule="auto"/>
        <w:rPr>
          <w:rFonts w:ascii="Arial" w:hAnsi="Arial" w:cs="Arial"/>
          <w:b/>
          <w:bCs/>
          <w:sz w:val="20"/>
          <w:szCs w:val="20"/>
          <w:lang w:val="en-US"/>
        </w:rPr>
      </w:pPr>
      <w:r w:rsidRPr="00703635">
        <w:rPr>
          <w:rFonts w:ascii="Arial" w:hAnsi="Arial" w:cs="Arial"/>
          <w:b/>
          <w:bCs/>
          <w:sz w:val="20"/>
          <w:szCs w:val="20"/>
          <w:lang w:val="en-US"/>
        </w:rPr>
        <w:t>Variation in PCT, CRP, and cytochemistry compared to discharge diagnosis</w:t>
      </w:r>
    </w:p>
    <w:p w14:paraId="57400827" w14:textId="31345D26" w:rsidR="00E560D1" w:rsidRPr="00703635" w:rsidRDefault="00E560D1" w:rsidP="003B760A">
      <w:pPr>
        <w:spacing w:line="240" w:lineRule="auto"/>
        <w:jc w:val="both"/>
        <w:rPr>
          <w:rFonts w:ascii="Arial" w:hAnsi="Arial" w:cs="Arial"/>
          <w:sz w:val="20"/>
          <w:szCs w:val="20"/>
          <w:lang w:val="en-US"/>
        </w:rPr>
      </w:pPr>
      <w:r w:rsidRPr="00703635">
        <w:rPr>
          <w:rFonts w:ascii="Arial" w:hAnsi="Arial" w:cs="Arial"/>
          <w:sz w:val="20"/>
          <w:szCs w:val="20"/>
          <w:lang w:val="en-US"/>
        </w:rPr>
        <w:t>We observed high mean values for CRP (114 mg/L) and PCT (13.3 ng/mL) in cases of bacterial meningitis, whereas in viral meningitis, PCT generally remained low (0.27 ng/mL) although CRP (31.7 mg/L) was high. In both situations, the p-value was significant, with p &lt;0.001 for PCT p = 0.049 for CRP</w:t>
      </w:r>
      <w:r w:rsidR="00F5571D" w:rsidRPr="00703635">
        <w:rPr>
          <w:rFonts w:ascii="Arial" w:hAnsi="Arial" w:cs="Arial"/>
          <w:sz w:val="20"/>
          <w:szCs w:val="20"/>
          <w:lang w:val="en-US"/>
        </w:rPr>
        <w:t xml:space="preserve"> </w:t>
      </w:r>
      <w:r w:rsidR="00E66C26" w:rsidRPr="007E46CF">
        <w:rPr>
          <w:rFonts w:ascii="Arial" w:hAnsi="Arial" w:cs="Arial"/>
          <w:sz w:val="20"/>
          <w:szCs w:val="20"/>
          <w:highlight w:val="yellow"/>
          <w:lang w:val="en-US"/>
        </w:rPr>
        <w:t xml:space="preserve">and </w:t>
      </w:r>
      <w:r w:rsidR="00655449" w:rsidRPr="007E46CF">
        <w:rPr>
          <w:rFonts w:ascii="Arial" w:hAnsi="Arial" w:cs="Arial"/>
          <w:sz w:val="20"/>
          <w:szCs w:val="20"/>
          <w:highlight w:val="yellow"/>
          <w:lang w:val="en-US"/>
        </w:rPr>
        <w:t xml:space="preserve">CSF </w:t>
      </w:r>
      <w:proofErr w:type="gramStart"/>
      <w:r w:rsidR="00655449" w:rsidRPr="007E46CF">
        <w:rPr>
          <w:rFonts w:ascii="Arial" w:hAnsi="Arial" w:cs="Arial"/>
          <w:sz w:val="20"/>
          <w:szCs w:val="20"/>
          <w:highlight w:val="yellow"/>
          <w:lang w:val="en-US"/>
        </w:rPr>
        <w:t>proteins  p</w:t>
      </w:r>
      <w:proofErr w:type="gramEnd"/>
      <w:r w:rsidR="00655449" w:rsidRPr="007E46CF">
        <w:rPr>
          <w:rFonts w:ascii="Arial" w:hAnsi="Arial" w:cs="Arial"/>
          <w:sz w:val="20"/>
          <w:szCs w:val="20"/>
          <w:highlight w:val="yellow"/>
          <w:lang w:val="en-US"/>
        </w:rPr>
        <w:t xml:space="preserve"> = 0.003 </w:t>
      </w:r>
      <w:r w:rsidR="00F5571D" w:rsidRPr="007E46CF">
        <w:rPr>
          <w:rFonts w:ascii="Arial" w:hAnsi="Arial" w:cs="Arial"/>
          <w:sz w:val="20"/>
          <w:szCs w:val="20"/>
          <w:highlight w:val="yellow"/>
          <w:lang w:val="en-US"/>
        </w:rPr>
        <w:t xml:space="preserve">(table </w:t>
      </w:r>
      <w:r w:rsidR="002248AB">
        <w:rPr>
          <w:rFonts w:ascii="Arial" w:hAnsi="Arial" w:cs="Arial"/>
          <w:sz w:val="20"/>
          <w:szCs w:val="20"/>
          <w:highlight w:val="yellow"/>
          <w:lang w:val="en-US"/>
        </w:rPr>
        <w:t>3</w:t>
      </w:r>
      <w:r w:rsidR="00F5571D" w:rsidRPr="007E46CF">
        <w:rPr>
          <w:rFonts w:ascii="Arial" w:hAnsi="Arial" w:cs="Arial"/>
          <w:sz w:val="20"/>
          <w:szCs w:val="20"/>
          <w:highlight w:val="yellow"/>
          <w:lang w:val="en-US"/>
        </w:rPr>
        <w:t>)</w:t>
      </w:r>
      <w:r w:rsidRPr="00703635">
        <w:rPr>
          <w:rFonts w:ascii="Arial" w:hAnsi="Arial" w:cs="Arial"/>
          <w:sz w:val="20"/>
          <w:szCs w:val="20"/>
          <w:lang w:val="en-US"/>
        </w:rPr>
        <w:t>.</w:t>
      </w:r>
    </w:p>
    <w:p w14:paraId="4E85AE89" w14:textId="77777777" w:rsidR="00E560D1" w:rsidRPr="00703635" w:rsidRDefault="00E560D1" w:rsidP="003B760A">
      <w:pPr>
        <w:spacing w:line="240" w:lineRule="auto"/>
        <w:rPr>
          <w:rFonts w:ascii="Arial" w:hAnsi="Arial" w:cs="Arial"/>
          <w:b/>
          <w:bCs/>
          <w:sz w:val="20"/>
          <w:szCs w:val="20"/>
          <w:lang w:val="en-US"/>
        </w:rPr>
      </w:pPr>
    </w:p>
    <w:p w14:paraId="487EF685" w14:textId="77777777" w:rsidR="007B6655" w:rsidRPr="00703635" w:rsidRDefault="007B6655" w:rsidP="003B760A">
      <w:pPr>
        <w:spacing w:line="240" w:lineRule="auto"/>
        <w:rPr>
          <w:rFonts w:ascii="Arial" w:hAnsi="Arial" w:cs="Arial"/>
          <w:b/>
          <w:bCs/>
          <w:sz w:val="20"/>
          <w:szCs w:val="20"/>
          <w:lang w:val="en-US"/>
        </w:rPr>
      </w:pPr>
    </w:p>
    <w:p w14:paraId="36871567" w14:textId="77777777" w:rsidR="00146BC1" w:rsidRPr="00703635" w:rsidRDefault="00146BC1" w:rsidP="003B760A">
      <w:pPr>
        <w:spacing w:line="240" w:lineRule="auto"/>
        <w:rPr>
          <w:rFonts w:ascii="Arial" w:hAnsi="Arial" w:cs="Arial"/>
          <w:b/>
          <w:bCs/>
          <w:sz w:val="20"/>
          <w:szCs w:val="20"/>
          <w:lang w:val="en-US"/>
        </w:rPr>
      </w:pPr>
    </w:p>
    <w:p w14:paraId="3E8CFA0A" w14:textId="6D6889EF" w:rsidR="00B26912" w:rsidRPr="00703635" w:rsidRDefault="00E560D1" w:rsidP="003B760A">
      <w:pPr>
        <w:spacing w:line="240" w:lineRule="auto"/>
        <w:rPr>
          <w:rFonts w:ascii="Arial" w:hAnsi="Arial" w:cs="Arial"/>
          <w:sz w:val="20"/>
          <w:szCs w:val="20"/>
          <w:lang w:val="en-US"/>
        </w:rPr>
      </w:pPr>
      <w:r w:rsidRPr="00703635">
        <w:rPr>
          <w:rFonts w:ascii="Arial" w:hAnsi="Arial" w:cs="Arial"/>
          <w:b/>
          <w:bCs/>
          <w:sz w:val="20"/>
          <w:szCs w:val="20"/>
          <w:lang w:val="en-US"/>
        </w:rPr>
        <w:t xml:space="preserve">Table </w:t>
      </w:r>
      <w:r w:rsidR="002248AB">
        <w:rPr>
          <w:rFonts w:ascii="Arial" w:hAnsi="Arial" w:cs="Arial"/>
          <w:b/>
          <w:bCs/>
          <w:sz w:val="20"/>
          <w:szCs w:val="20"/>
          <w:lang w:val="en-US"/>
        </w:rPr>
        <w:t>3</w:t>
      </w:r>
      <w:r w:rsidRPr="00703635">
        <w:rPr>
          <w:rFonts w:ascii="Arial" w:hAnsi="Arial" w:cs="Arial"/>
          <w:b/>
          <w:bCs/>
          <w:sz w:val="20"/>
          <w:szCs w:val="20"/>
          <w:lang w:val="en-US"/>
        </w:rPr>
        <w:t xml:space="preserve">: </w:t>
      </w:r>
      <w:r w:rsidRPr="00703635">
        <w:rPr>
          <w:rFonts w:ascii="Arial" w:hAnsi="Arial" w:cs="Arial"/>
          <w:sz w:val="20"/>
          <w:szCs w:val="20"/>
          <w:lang w:val="en-US"/>
        </w:rPr>
        <w:t>Variation in PCT, CRP, and cytochemistry compared to discharge diagnosis</w:t>
      </w:r>
    </w:p>
    <w:tbl>
      <w:tblPr>
        <w:tblStyle w:val="TableauGrille6Couleur-Accentuation13"/>
        <w:tblW w:w="942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49"/>
        <w:gridCol w:w="1506"/>
        <w:gridCol w:w="1781"/>
        <w:gridCol w:w="1576"/>
        <w:gridCol w:w="1574"/>
        <w:gridCol w:w="1756"/>
      </w:tblGrid>
      <w:tr w:rsidR="00B26912" w:rsidRPr="00542C86" w14:paraId="79568B52" w14:textId="77777777" w:rsidTr="004F32EB">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233" w:type="dxa"/>
            <w:gridSpan w:val="2"/>
            <w:tcBorders>
              <w:bottom w:val="single" w:sz="18" w:space="0" w:color="auto"/>
            </w:tcBorders>
          </w:tcPr>
          <w:p w14:paraId="416125C7" w14:textId="77777777" w:rsidR="00B26912" w:rsidRPr="00703635" w:rsidRDefault="00B26912" w:rsidP="003B760A">
            <w:pPr>
              <w:spacing w:before="100" w:beforeAutospacing="1" w:after="100" w:afterAutospacing="1"/>
              <w:jc w:val="both"/>
              <w:rPr>
                <w:rFonts w:ascii="Arial" w:eastAsia="Times New Roman" w:hAnsi="Arial"/>
                <w:bCs w:val="0"/>
                <w:color w:val="auto"/>
                <w:sz w:val="20"/>
                <w:szCs w:val="20"/>
                <w:lang w:val="en-US" w:eastAsia="fr-FR"/>
              </w:rPr>
            </w:pPr>
          </w:p>
        </w:tc>
        <w:tc>
          <w:tcPr>
            <w:tcW w:w="1506" w:type="dxa"/>
            <w:tcBorders>
              <w:top w:val="single" w:sz="18" w:space="0" w:color="auto"/>
              <w:bottom w:val="single" w:sz="18" w:space="0" w:color="auto"/>
            </w:tcBorders>
          </w:tcPr>
          <w:p w14:paraId="46F31C75" w14:textId="77777777" w:rsidR="00B26912" w:rsidRPr="00703635" w:rsidRDefault="00B26912" w:rsidP="003B760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auto"/>
                <w:sz w:val="20"/>
                <w:szCs w:val="20"/>
                <w:lang w:val="en-US" w:eastAsia="fr-FR"/>
              </w:rPr>
            </w:pPr>
          </w:p>
        </w:tc>
        <w:tc>
          <w:tcPr>
            <w:tcW w:w="1781" w:type="dxa"/>
            <w:tcBorders>
              <w:top w:val="single" w:sz="18" w:space="0" w:color="auto"/>
              <w:bottom w:val="single" w:sz="18" w:space="0" w:color="auto"/>
            </w:tcBorders>
          </w:tcPr>
          <w:p w14:paraId="7797942F" w14:textId="0E8E2033" w:rsidR="00B26912" w:rsidRPr="00703635" w:rsidRDefault="002D50FA" w:rsidP="003B760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auto"/>
                <w:sz w:val="20"/>
                <w:szCs w:val="20"/>
                <w:lang w:val="en-US" w:eastAsia="fr-FR"/>
              </w:rPr>
            </w:pPr>
            <w:r w:rsidRPr="00703635">
              <w:rPr>
                <w:rFonts w:ascii="Arial" w:eastAsia="Times New Roman" w:hAnsi="Arial"/>
                <w:color w:val="auto"/>
                <w:sz w:val="20"/>
                <w:szCs w:val="20"/>
                <w:lang w:val="en-US" w:eastAsia="fr-FR"/>
              </w:rPr>
              <w:t xml:space="preserve">Serum </w:t>
            </w:r>
            <w:r w:rsidR="00B26912" w:rsidRPr="00703635">
              <w:rPr>
                <w:rFonts w:ascii="Arial" w:eastAsia="Times New Roman" w:hAnsi="Arial"/>
                <w:color w:val="auto"/>
                <w:sz w:val="20"/>
                <w:szCs w:val="20"/>
                <w:lang w:val="en-US" w:eastAsia="fr-FR"/>
              </w:rPr>
              <w:t xml:space="preserve">CRP </w:t>
            </w:r>
            <w:r w:rsidRPr="00703635">
              <w:rPr>
                <w:rFonts w:ascii="Arial" w:eastAsia="Times New Roman" w:hAnsi="Arial"/>
                <w:color w:val="auto"/>
                <w:sz w:val="20"/>
                <w:szCs w:val="20"/>
                <w:lang w:val="en-US" w:eastAsia="fr-FR"/>
              </w:rPr>
              <w:t xml:space="preserve">level </w:t>
            </w:r>
            <w:r w:rsidR="00B26912" w:rsidRPr="00703635">
              <w:rPr>
                <w:rFonts w:ascii="Arial" w:eastAsia="Times New Roman" w:hAnsi="Arial"/>
                <w:color w:val="auto"/>
                <w:sz w:val="20"/>
                <w:szCs w:val="20"/>
                <w:lang w:val="en-US" w:eastAsia="fr-FR"/>
              </w:rPr>
              <w:t>(mg/l)</w:t>
            </w:r>
            <w:r w:rsidR="00B26912" w:rsidRPr="00703635">
              <w:rPr>
                <w:rFonts w:ascii="Arial" w:eastAsia="Times New Roman" w:hAnsi="Arial"/>
                <w:b w:val="0"/>
                <w:bCs w:val="0"/>
                <w:color w:val="auto"/>
                <w:sz w:val="20"/>
                <w:szCs w:val="20"/>
                <w:lang w:val="en-US" w:eastAsia="fr-FR"/>
              </w:rPr>
              <w:t xml:space="preserve"> </w:t>
            </w:r>
            <w:r w:rsidR="00632394" w:rsidRPr="00703635">
              <w:rPr>
                <w:rFonts w:ascii="Arial" w:eastAsia="Times New Roman" w:hAnsi="Arial"/>
                <w:b w:val="0"/>
                <w:bCs w:val="0"/>
                <w:color w:val="auto"/>
                <w:sz w:val="20"/>
                <w:szCs w:val="20"/>
                <w:lang w:val="en-US" w:eastAsia="fr-FR"/>
              </w:rPr>
              <w:t xml:space="preserve">mean ± </w:t>
            </w:r>
            <w:proofErr w:type="gramStart"/>
            <w:r w:rsidR="00632394" w:rsidRPr="00703635">
              <w:rPr>
                <w:rFonts w:ascii="Arial" w:eastAsia="Times New Roman" w:hAnsi="Arial"/>
                <w:b w:val="0"/>
                <w:bCs w:val="0"/>
                <w:color w:val="auto"/>
                <w:sz w:val="20"/>
                <w:szCs w:val="20"/>
                <w:lang w:val="en-US" w:eastAsia="fr-FR"/>
              </w:rPr>
              <w:t xml:space="preserve">SD  </w:t>
            </w:r>
            <w:r w:rsidR="00B26912" w:rsidRPr="00703635">
              <w:rPr>
                <w:rFonts w:ascii="Arial" w:eastAsia="Times New Roman" w:hAnsi="Arial"/>
                <w:b w:val="0"/>
                <w:bCs w:val="0"/>
                <w:color w:val="auto"/>
                <w:sz w:val="20"/>
                <w:szCs w:val="20"/>
                <w:lang w:val="en-US" w:eastAsia="fr-FR"/>
              </w:rPr>
              <w:t>(</w:t>
            </w:r>
            <w:proofErr w:type="gramEnd"/>
            <w:r w:rsidR="00B26912" w:rsidRPr="00703635">
              <w:rPr>
                <w:rFonts w:ascii="Arial" w:eastAsia="Times New Roman" w:hAnsi="Arial"/>
                <w:b w:val="0"/>
                <w:bCs w:val="0"/>
                <w:color w:val="auto"/>
                <w:sz w:val="20"/>
                <w:szCs w:val="20"/>
                <w:lang w:val="en-US" w:eastAsia="fr-FR"/>
              </w:rPr>
              <w:t>min-max)</w:t>
            </w:r>
          </w:p>
        </w:tc>
        <w:tc>
          <w:tcPr>
            <w:tcW w:w="1576" w:type="dxa"/>
            <w:tcBorders>
              <w:top w:val="single" w:sz="18" w:space="0" w:color="auto"/>
              <w:bottom w:val="single" w:sz="18" w:space="0" w:color="auto"/>
            </w:tcBorders>
          </w:tcPr>
          <w:p w14:paraId="0D1CCD8E" w14:textId="7D91FAFA" w:rsidR="00B26912" w:rsidRPr="00703635" w:rsidRDefault="002D50FA" w:rsidP="003B760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auto"/>
                <w:sz w:val="20"/>
                <w:szCs w:val="20"/>
                <w:lang w:val="en-US" w:eastAsia="fr-FR"/>
              </w:rPr>
            </w:pPr>
            <w:r w:rsidRPr="00703635">
              <w:rPr>
                <w:rFonts w:ascii="Arial" w:eastAsia="Times New Roman" w:hAnsi="Arial"/>
                <w:color w:val="auto"/>
                <w:sz w:val="20"/>
                <w:szCs w:val="20"/>
                <w:lang w:val="en-US" w:eastAsia="fr-FR"/>
              </w:rPr>
              <w:t xml:space="preserve">Serum </w:t>
            </w:r>
            <w:r w:rsidR="00B26912" w:rsidRPr="00703635">
              <w:rPr>
                <w:rFonts w:ascii="Arial" w:eastAsia="Times New Roman" w:hAnsi="Arial"/>
                <w:color w:val="auto"/>
                <w:sz w:val="20"/>
                <w:szCs w:val="20"/>
                <w:lang w:val="en-US" w:eastAsia="fr-FR"/>
              </w:rPr>
              <w:t xml:space="preserve">PCT </w:t>
            </w:r>
            <w:r w:rsidRPr="00703635">
              <w:rPr>
                <w:rFonts w:ascii="Arial" w:eastAsia="Times New Roman" w:hAnsi="Arial"/>
                <w:color w:val="auto"/>
                <w:sz w:val="20"/>
                <w:szCs w:val="20"/>
                <w:lang w:val="en-US" w:eastAsia="fr-FR"/>
              </w:rPr>
              <w:t xml:space="preserve">level </w:t>
            </w:r>
            <w:r w:rsidR="00B26912" w:rsidRPr="00703635">
              <w:rPr>
                <w:rFonts w:ascii="Arial" w:eastAsia="Times New Roman" w:hAnsi="Arial"/>
                <w:color w:val="auto"/>
                <w:sz w:val="20"/>
                <w:szCs w:val="20"/>
                <w:lang w:val="en-US" w:eastAsia="fr-FR"/>
              </w:rPr>
              <w:t>(ng/ml)</w:t>
            </w:r>
            <w:r w:rsidR="00B26912" w:rsidRPr="00703635">
              <w:rPr>
                <w:rFonts w:ascii="Arial" w:eastAsia="Times New Roman" w:hAnsi="Arial"/>
                <w:b w:val="0"/>
                <w:bCs w:val="0"/>
                <w:color w:val="auto"/>
                <w:sz w:val="20"/>
                <w:szCs w:val="20"/>
                <w:lang w:val="en-US" w:eastAsia="fr-FR"/>
              </w:rPr>
              <w:t xml:space="preserve"> </w:t>
            </w:r>
            <w:r w:rsidR="00632394" w:rsidRPr="00703635">
              <w:rPr>
                <w:rFonts w:ascii="Arial" w:eastAsia="Times New Roman" w:hAnsi="Arial"/>
                <w:b w:val="0"/>
                <w:bCs w:val="0"/>
                <w:color w:val="auto"/>
                <w:sz w:val="20"/>
                <w:szCs w:val="20"/>
                <w:lang w:val="en-US" w:eastAsia="fr-FR"/>
              </w:rPr>
              <w:t xml:space="preserve">mean ± </w:t>
            </w:r>
            <w:proofErr w:type="gramStart"/>
            <w:r w:rsidR="00632394" w:rsidRPr="00703635">
              <w:rPr>
                <w:rFonts w:ascii="Arial" w:eastAsia="Times New Roman" w:hAnsi="Arial"/>
                <w:b w:val="0"/>
                <w:bCs w:val="0"/>
                <w:color w:val="auto"/>
                <w:sz w:val="20"/>
                <w:szCs w:val="20"/>
                <w:lang w:val="en-US" w:eastAsia="fr-FR"/>
              </w:rPr>
              <w:t xml:space="preserve">SD  </w:t>
            </w:r>
            <w:r w:rsidR="00B26912" w:rsidRPr="00703635">
              <w:rPr>
                <w:rFonts w:ascii="Arial" w:eastAsia="Times New Roman" w:hAnsi="Arial"/>
                <w:b w:val="0"/>
                <w:bCs w:val="0"/>
                <w:color w:val="auto"/>
                <w:sz w:val="20"/>
                <w:szCs w:val="20"/>
                <w:lang w:val="en-US" w:eastAsia="fr-FR"/>
              </w:rPr>
              <w:t>(</w:t>
            </w:r>
            <w:proofErr w:type="gramEnd"/>
            <w:r w:rsidR="00B26912" w:rsidRPr="00703635">
              <w:rPr>
                <w:rFonts w:ascii="Arial" w:eastAsia="Times New Roman" w:hAnsi="Arial"/>
                <w:b w:val="0"/>
                <w:bCs w:val="0"/>
                <w:color w:val="auto"/>
                <w:sz w:val="20"/>
                <w:szCs w:val="20"/>
                <w:lang w:val="en-US" w:eastAsia="fr-FR"/>
              </w:rPr>
              <w:t>min-max)</w:t>
            </w:r>
          </w:p>
        </w:tc>
        <w:tc>
          <w:tcPr>
            <w:tcW w:w="1574" w:type="dxa"/>
            <w:tcBorders>
              <w:top w:val="single" w:sz="18" w:space="0" w:color="auto"/>
              <w:bottom w:val="single" w:sz="18" w:space="0" w:color="auto"/>
            </w:tcBorders>
          </w:tcPr>
          <w:p w14:paraId="25068B71" w14:textId="6D21C7CA" w:rsidR="00B26912" w:rsidRPr="00703635" w:rsidRDefault="002D50FA" w:rsidP="003B760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auto"/>
                <w:sz w:val="20"/>
                <w:szCs w:val="20"/>
                <w:lang w:val="en-US" w:eastAsia="fr-FR"/>
              </w:rPr>
            </w:pPr>
            <w:r w:rsidRPr="00703635">
              <w:rPr>
                <w:rFonts w:ascii="Arial" w:eastAsia="Times New Roman" w:hAnsi="Arial"/>
                <w:color w:val="auto"/>
                <w:sz w:val="20"/>
                <w:szCs w:val="20"/>
                <w:lang w:val="en-US" w:eastAsia="fr-FR"/>
              </w:rPr>
              <w:t>CSF glucose level (</w:t>
            </w:r>
            <w:r w:rsidR="00B26912" w:rsidRPr="00703635">
              <w:rPr>
                <w:rFonts w:ascii="Arial" w:hAnsi="Arial"/>
                <w:color w:val="auto"/>
                <w:sz w:val="20"/>
                <w:szCs w:val="20"/>
                <w:lang w:val="en-US"/>
              </w:rPr>
              <w:t xml:space="preserve">g/l) </w:t>
            </w:r>
            <w:r w:rsidR="00632394" w:rsidRPr="00703635">
              <w:rPr>
                <w:rFonts w:ascii="Arial" w:hAnsi="Arial"/>
                <w:b w:val="0"/>
                <w:bCs w:val="0"/>
                <w:color w:val="auto"/>
                <w:sz w:val="20"/>
                <w:szCs w:val="20"/>
                <w:lang w:val="en-US"/>
              </w:rPr>
              <w:t xml:space="preserve">mean ± </w:t>
            </w:r>
            <w:proofErr w:type="gramStart"/>
            <w:r w:rsidR="00632394" w:rsidRPr="00703635">
              <w:rPr>
                <w:rFonts w:ascii="Arial" w:hAnsi="Arial"/>
                <w:b w:val="0"/>
                <w:bCs w:val="0"/>
                <w:color w:val="auto"/>
                <w:sz w:val="20"/>
                <w:szCs w:val="20"/>
                <w:lang w:val="en-US"/>
              </w:rPr>
              <w:t xml:space="preserve">SD  </w:t>
            </w:r>
            <w:r w:rsidR="00B26912" w:rsidRPr="00703635">
              <w:rPr>
                <w:rFonts w:ascii="Arial" w:hAnsi="Arial"/>
                <w:b w:val="0"/>
                <w:bCs w:val="0"/>
                <w:color w:val="auto"/>
                <w:sz w:val="20"/>
                <w:szCs w:val="20"/>
                <w:lang w:val="en-US"/>
              </w:rPr>
              <w:t>(</w:t>
            </w:r>
            <w:proofErr w:type="gramEnd"/>
            <w:r w:rsidR="00B26912" w:rsidRPr="00703635">
              <w:rPr>
                <w:rFonts w:ascii="Arial" w:hAnsi="Arial"/>
                <w:b w:val="0"/>
                <w:bCs w:val="0"/>
                <w:color w:val="auto"/>
                <w:sz w:val="20"/>
                <w:szCs w:val="20"/>
                <w:lang w:val="en-US"/>
              </w:rPr>
              <w:t>min-max)</w:t>
            </w:r>
          </w:p>
        </w:tc>
        <w:tc>
          <w:tcPr>
            <w:tcW w:w="1756" w:type="dxa"/>
            <w:tcBorders>
              <w:top w:val="single" w:sz="18" w:space="0" w:color="auto"/>
              <w:bottom w:val="single" w:sz="18" w:space="0" w:color="auto"/>
            </w:tcBorders>
          </w:tcPr>
          <w:p w14:paraId="07203323" w14:textId="21457E06" w:rsidR="00B26912" w:rsidRPr="00703635" w:rsidRDefault="002D50FA" w:rsidP="003B760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auto"/>
                <w:sz w:val="20"/>
                <w:szCs w:val="20"/>
                <w:lang w:val="en-US" w:eastAsia="fr-FR"/>
              </w:rPr>
            </w:pPr>
            <w:r w:rsidRPr="00703635">
              <w:rPr>
                <w:rFonts w:ascii="Arial" w:eastAsia="Times New Roman" w:hAnsi="Arial"/>
                <w:color w:val="auto"/>
                <w:sz w:val="20"/>
                <w:szCs w:val="20"/>
                <w:lang w:val="en-US" w:eastAsia="fr-FR"/>
              </w:rPr>
              <w:t xml:space="preserve">CSF </w:t>
            </w:r>
            <w:r w:rsidR="00B26912" w:rsidRPr="00703635">
              <w:rPr>
                <w:rFonts w:ascii="Arial" w:eastAsia="Times New Roman" w:hAnsi="Arial"/>
                <w:color w:val="auto"/>
                <w:sz w:val="20"/>
                <w:szCs w:val="20"/>
                <w:lang w:val="en-US" w:eastAsia="fr-FR"/>
              </w:rPr>
              <w:t>Prot</w:t>
            </w:r>
            <w:r w:rsidRPr="00703635">
              <w:rPr>
                <w:rFonts w:ascii="Arial" w:eastAsia="Times New Roman" w:hAnsi="Arial"/>
                <w:color w:val="auto"/>
                <w:sz w:val="20"/>
                <w:szCs w:val="20"/>
                <w:lang w:val="en-US" w:eastAsia="fr-FR"/>
              </w:rPr>
              <w:t>e</w:t>
            </w:r>
            <w:r w:rsidR="00B26912" w:rsidRPr="00703635">
              <w:rPr>
                <w:rFonts w:ascii="Arial" w:eastAsia="Times New Roman" w:hAnsi="Arial"/>
                <w:color w:val="auto"/>
                <w:sz w:val="20"/>
                <w:szCs w:val="20"/>
                <w:lang w:val="en-US" w:eastAsia="fr-FR"/>
              </w:rPr>
              <w:t>in</w:t>
            </w:r>
            <w:r w:rsidR="00640C2D" w:rsidRPr="00703635">
              <w:rPr>
                <w:rFonts w:ascii="Arial" w:eastAsia="Times New Roman" w:hAnsi="Arial"/>
                <w:color w:val="auto"/>
                <w:sz w:val="20"/>
                <w:szCs w:val="20"/>
                <w:lang w:val="en-US" w:eastAsia="fr-FR"/>
              </w:rPr>
              <w:t>s level</w:t>
            </w:r>
            <w:r w:rsidR="00B26912" w:rsidRPr="00703635">
              <w:rPr>
                <w:rFonts w:ascii="Arial" w:eastAsia="Times New Roman" w:hAnsi="Arial"/>
                <w:color w:val="auto"/>
                <w:sz w:val="20"/>
                <w:szCs w:val="20"/>
                <w:lang w:val="en-US" w:eastAsia="fr-FR"/>
              </w:rPr>
              <w:t xml:space="preserve"> </w:t>
            </w:r>
            <w:r w:rsidR="00B26912" w:rsidRPr="00703635">
              <w:rPr>
                <w:rFonts w:ascii="Arial" w:hAnsi="Arial"/>
                <w:color w:val="auto"/>
                <w:sz w:val="20"/>
                <w:szCs w:val="20"/>
                <w:lang w:val="en-US"/>
              </w:rPr>
              <w:t>(g/l)</w:t>
            </w:r>
            <w:r w:rsidR="00B26912" w:rsidRPr="00703635">
              <w:rPr>
                <w:rFonts w:ascii="Arial" w:hAnsi="Arial"/>
                <w:sz w:val="20"/>
                <w:szCs w:val="20"/>
                <w:lang w:val="en-US"/>
              </w:rPr>
              <w:t xml:space="preserve"> </w:t>
            </w:r>
            <w:r w:rsidR="00632394" w:rsidRPr="00703635">
              <w:rPr>
                <w:rFonts w:ascii="Arial" w:hAnsi="Arial"/>
                <w:b w:val="0"/>
                <w:bCs w:val="0"/>
                <w:color w:val="auto"/>
                <w:sz w:val="20"/>
                <w:szCs w:val="20"/>
                <w:lang w:val="en-US"/>
              </w:rPr>
              <w:t>mean ± SD</w:t>
            </w:r>
            <w:r w:rsidR="00672A28" w:rsidRPr="00703635">
              <w:rPr>
                <w:rFonts w:ascii="Arial" w:hAnsi="Arial"/>
                <w:b w:val="0"/>
                <w:bCs w:val="0"/>
                <w:color w:val="auto"/>
                <w:sz w:val="20"/>
                <w:szCs w:val="20"/>
                <w:lang w:val="en-US"/>
              </w:rPr>
              <w:t xml:space="preserve"> </w:t>
            </w:r>
            <w:r w:rsidR="00B26912" w:rsidRPr="00703635">
              <w:rPr>
                <w:rFonts w:ascii="Arial" w:hAnsi="Arial"/>
                <w:b w:val="0"/>
                <w:bCs w:val="0"/>
                <w:color w:val="auto"/>
                <w:sz w:val="20"/>
                <w:szCs w:val="20"/>
                <w:lang w:val="en-US"/>
              </w:rPr>
              <w:t>(min-max)</w:t>
            </w:r>
          </w:p>
        </w:tc>
      </w:tr>
      <w:tr w:rsidR="00AF5748" w:rsidRPr="00703635" w14:paraId="4C8B6F2F" w14:textId="77777777" w:rsidTr="004F32E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84" w:type="dxa"/>
            <w:vMerge w:val="restart"/>
            <w:tcBorders>
              <w:top w:val="single" w:sz="18" w:space="0" w:color="auto"/>
            </w:tcBorders>
            <w:shd w:val="clear" w:color="auto" w:fill="auto"/>
          </w:tcPr>
          <w:p w14:paraId="082BBF2E" w14:textId="77777777" w:rsidR="00AF5748" w:rsidRPr="00703635" w:rsidRDefault="00AF5748" w:rsidP="003B760A">
            <w:pPr>
              <w:spacing w:before="100" w:beforeAutospacing="1" w:after="100" w:afterAutospacing="1"/>
              <w:jc w:val="both"/>
              <w:rPr>
                <w:rFonts w:ascii="Arial" w:eastAsia="Times New Roman" w:hAnsi="Arial"/>
                <w:bCs w:val="0"/>
                <w:color w:val="000000" w:themeColor="text1"/>
                <w:sz w:val="20"/>
                <w:szCs w:val="20"/>
                <w:lang w:val="en-US" w:eastAsia="fr-FR"/>
              </w:rPr>
            </w:pPr>
            <w:bookmarkStart w:id="0" w:name="_Hlk212871303"/>
          </w:p>
          <w:p w14:paraId="1151FAE4" w14:textId="77777777" w:rsidR="00AF5748" w:rsidRPr="00703635" w:rsidRDefault="00AF5748" w:rsidP="003B760A">
            <w:pPr>
              <w:spacing w:before="100" w:beforeAutospacing="1" w:after="100" w:afterAutospacing="1"/>
              <w:rPr>
                <w:rFonts w:ascii="Arial" w:eastAsia="Times New Roman" w:hAnsi="Arial"/>
                <w:bCs w:val="0"/>
                <w:color w:val="000000" w:themeColor="text1"/>
                <w:sz w:val="20"/>
                <w:szCs w:val="20"/>
                <w:lang w:val="en-US" w:eastAsia="fr-FR"/>
              </w:rPr>
            </w:pPr>
          </w:p>
        </w:tc>
        <w:tc>
          <w:tcPr>
            <w:tcW w:w="2455" w:type="dxa"/>
            <w:gridSpan w:val="2"/>
            <w:tcBorders>
              <w:top w:val="single" w:sz="18" w:space="0" w:color="auto"/>
            </w:tcBorders>
            <w:shd w:val="clear" w:color="auto" w:fill="auto"/>
          </w:tcPr>
          <w:p w14:paraId="1112B2A1" w14:textId="287A2ED2" w:rsidR="00AF5748" w:rsidRPr="00703635" w:rsidRDefault="00AF5748" w:rsidP="003B760A">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000000" w:themeColor="text1"/>
                <w:sz w:val="20"/>
                <w:szCs w:val="20"/>
                <w:lang w:eastAsia="fr-FR"/>
              </w:rPr>
            </w:pPr>
            <w:proofErr w:type="spellStart"/>
            <w:r w:rsidRPr="00703635">
              <w:rPr>
                <w:rFonts w:ascii="Arial" w:hAnsi="Arial"/>
                <w:color w:val="000000" w:themeColor="text1"/>
                <w:sz w:val="20"/>
                <w:szCs w:val="20"/>
              </w:rPr>
              <w:lastRenderedPageBreak/>
              <w:t>Bacterial</w:t>
            </w:r>
            <w:proofErr w:type="spellEnd"/>
            <w:r w:rsidRPr="00703635">
              <w:rPr>
                <w:rFonts w:ascii="Arial" w:hAnsi="Arial"/>
                <w:color w:val="000000" w:themeColor="text1"/>
                <w:sz w:val="20"/>
                <w:szCs w:val="20"/>
              </w:rPr>
              <w:t xml:space="preserve"> </w:t>
            </w:r>
            <w:proofErr w:type="spellStart"/>
            <w:r w:rsidRPr="00703635">
              <w:rPr>
                <w:rFonts w:ascii="Arial" w:hAnsi="Arial"/>
                <w:color w:val="000000" w:themeColor="text1"/>
                <w:sz w:val="20"/>
                <w:szCs w:val="20"/>
              </w:rPr>
              <w:t>meningitis</w:t>
            </w:r>
            <w:proofErr w:type="spellEnd"/>
          </w:p>
        </w:tc>
        <w:tc>
          <w:tcPr>
            <w:tcW w:w="1781" w:type="dxa"/>
            <w:tcBorders>
              <w:top w:val="single" w:sz="18" w:space="0" w:color="auto"/>
            </w:tcBorders>
            <w:shd w:val="clear" w:color="auto" w:fill="auto"/>
          </w:tcPr>
          <w:p w14:paraId="155B8E00" w14:textId="68B7E445"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bCs/>
                <w:color w:val="auto"/>
                <w:sz w:val="20"/>
                <w:szCs w:val="20"/>
                <w:lang w:eastAsia="fr-FR"/>
              </w:rPr>
              <w:t>114 ± 88</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 xml:space="preserve">6      </w:t>
            </w:r>
            <w:proofErr w:type="gramStart"/>
            <w:r w:rsidRPr="00703635">
              <w:rPr>
                <w:rFonts w:ascii="Arial" w:eastAsia="Times New Roman" w:hAnsi="Arial"/>
                <w:b/>
                <w:bCs/>
                <w:color w:val="auto"/>
                <w:sz w:val="20"/>
                <w:szCs w:val="20"/>
                <w:lang w:eastAsia="fr-FR"/>
              </w:rPr>
              <w:t xml:space="preserve">   </w:t>
            </w:r>
            <w:r w:rsidRPr="00703635">
              <w:rPr>
                <w:rFonts w:ascii="Arial" w:eastAsia="Times New Roman" w:hAnsi="Arial"/>
                <w:bCs/>
                <w:color w:val="auto"/>
                <w:sz w:val="20"/>
                <w:szCs w:val="20"/>
                <w:lang w:eastAsia="fr-FR"/>
              </w:rPr>
              <w:t>(</w:t>
            </w:r>
            <w:proofErr w:type="gramEnd"/>
            <w:r w:rsidRPr="00703635">
              <w:rPr>
                <w:rFonts w:ascii="Arial" w:eastAsia="Times New Roman" w:hAnsi="Arial"/>
                <w:bCs/>
                <w:color w:val="auto"/>
                <w:sz w:val="20"/>
                <w:szCs w:val="20"/>
                <w:lang w:eastAsia="fr-FR"/>
              </w:rPr>
              <w:t>48-192)</w:t>
            </w:r>
          </w:p>
        </w:tc>
        <w:tc>
          <w:tcPr>
            <w:tcW w:w="1576" w:type="dxa"/>
            <w:tcBorders>
              <w:top w:val="single" w:sz="18" w:space="0" w:color="auto"/>
            </w:tcBorders>
            <w:shd w:val="clear" w:color="auto" w:fill="auto"/>
          </w:tcPr>
          <w:p w14:paraId="746362B9" w14:textId="24B76F87"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bCs/>
                <w:color w:val="auto"/>
                <w:sz w:val="20"/>
                <w:szCs w:val="20"/>
                <w:lang w:eastAsia="fr-FR"/>
              </w:rPr>
              <w:t>13</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3 ± 13</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3</w:t>
            </w:r>
            <w:proofErr w:type="gramStart"/>
            <w:r w:rsidRPr="00703635">
              <w:rPr>
                <w:rFonts w:ascii="Arial" w:eastAsia="Times New Roman" w:hAnsi="Arial"/>
                <w:b/>
                <w:bCs/>
                <w:color w:val="auto"/>
                <w:sz w:val="20"/>
                <w:szCs w:val="20"/>
                <w:lang w:eastAsia="fr-FR"/>
              </w:rPr>
              <w:t xml:space="preserve">  </w:t>
            </w:r>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9-30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5)</w:t>
            </w:r>
          </w:p>
        </w:tc>
        <w:tc>
          <w:tcPr>
            <w:tcW w:w="1574" w:type="dxa"/>
            <w:tcBorders>
              <w:top w:val="single" w:sz="18" w:space="0" w:color="auto"/>
            </w:tcBorders>
            <w:shd w:val="clear" w:color="auto" w:fill="auto"/>
          </w:tcPr>
          <w:p w14:paraId="23CF5369" w14:textId="2E0E3F27"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17 ± 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09 (0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38)</w:t>
            </w:r>
          </w:p>
        </w:tc>
        <w:tc>
          <w:tcPr>
            <w:tcW w:w="1756" w:type="dxa"/>
            <w:tcBorders>
              <w:top w:val="single" w:sz="18" w:space="0" w:color="auto"/>
            </w:tcBorders>
            <w:shd w:val="clear" w:color="auto" w:fill="auto"/>
          </w:tcPr>
          <w:p w14:paraId="63BFB4E4" w14:textId="74B5B1D6"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color w:val="auto"/>
                <w:sz w:val="20"/>
                <w:szCs w:val="20"/>
                <w:lang w:eastAsia="fr-FR"/>
              </w:rPr>
              <w:t>1</w:t>
            </w:r>
            <w:r w:rsidR="00577038" w:rsidRPr="00703635">
              <w:rPr>
                <w:rFonts w:ascii="Arial" w:eastAsia="Times New Roman" w:hAnsi="Arial"/>
                <w:b/>
                <w:color w:val="auto"/>
                <w:sz w:val="20"/>
                <w:szCs w:val="20"/>
                <w:lang w:eastAsia="fr-FR"/>
              </w:rPr>
              <w:t>.</w:t>
            </w:r>
            <w:r w:rsidRPr="00703635">
              <w:rPr>
                <w:rFonts w:ascii="Arial" w:eastAsia="Times New Roman" w:hAnsi="Arial"/>
                <w:b/>
                <w:color w:val="auto"/>
                <w:sz w:val="20"/>
                <w:szCs w:val="20"/>
                <w:lang w:eastAsia="fr-FR"/>
              </w:rPr>
              <w:t>09</w:t>
            </w:r>
            <w:r w:rsidRPr="00703635">
              <w:rPr>
                <w:rFonts w:ascii="Arial" w:eastAsia="Times New Roman" w:hAnsi="Arial"/>
                <w:bCs/>
                <w:color w:val="auto"/>
                <w:sz w:val="20"/>
                <w:szCs w:val="20"/>
                <w:lang w:eastAsia="fr-FR"/>
              </w:rPr>
              <w:t xml:space="preserve"> </w:t>
            </w:r>
            <w:r w:rsidRPr="00703635">
              <w:rPr>
                <w:rFonts w:ascii="Arial" w:eastAsia="Times New Roman" w:hAnsi="Arial"/>
                <w:b/>
                <w:color w:val="auto"/>
                <w:sz w:val="20"/>
                <w:szCs w:val="20"/>
                <w:lang w:eastAsia="fr-FR"/>
              </w:rPr>
              <w:t>± 0</w:t>
            </w:r>
            <w:r w:rsidR="00577038" w:rsidRPr="00703635">
              <w:rPr>
                <w:rFonts w:ascii="Arial" w:eastAsia="Times New Roman" w:hAnsi="Arial"/>
                <w:b/>
                <w:color w:val="auto"/>
                <w:sz w:val="20"/>
                <w:szCs w:val="20"/>
                <w:lang w:eastAsia="fr-FR"/>
              </w:rPr>
              <w:t>.</w:t>
            </w:r>
            <w:r w:rsidRPr="00703635">
              <w:rPr>
                <w:rFonts w:ascii="Arial" w:eastAsia="Times New Roman" w:hAnsi="Arial"/>
                <w:b/>
                <w:color w:val="auto"/>
                <w:sz w:val="20"/>
                <w:szCs w:val="20"/>
                <w:lang w:eastAsia="fr-FR"/>
              </w:rPr>
              <w:t xml:space="preserve">90 </w:t>
            </w:r>
            <w:r w:rsidRPr="00703635">
              <w:rPr>
                <w:rFonts w:ascii="Arial" w:eastAsia="Times New Roman" w:hAnsi="Arial"/>
                <w:bCs/>
                <w:color w:val="auto"/>
                <w:sz w:val="20"/>
                <w:szCs w:val="20"/>
                <w:lang w:eastAsia="fr-FR"/>
              </w:rPr>
              <w:t>(0</w:t>
            </w:r>
            <w:r w:rsidR="0057703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72-2</w:t>
            </w:r>
            <w:r w:rsidR="0057703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55)</w:t>
            </w:r>
          </w:p>
        </w:tc>
      </w:tr>
      <w:tr w:rsidR="00AF5748" w:rsidRPr="00703635" w14:paraId="61804CBE" w14:textId="77777777" w:rsidTr="004F32EB">
        <w:trPr>
          <w:trHeight w:val="705"/>
        </w:trPr>
        <w:tc>
          <w:tcPr>
            <w:cnfStyle w:val="001000000000" w:firstRow="0" w:lastRow="0" w:firstColumn="1" w:lastColumn="0" w:oddVBand="0" w:evenVBand="0" w:oddHBand="0" w:evenHBand="0" w:firstRowFirstColumn="0" w:firstRowLastColumn="0" w:lastRowFirstColumn="0" w:lastRowLastColumn="0"/>
            <w:tcW w:w="284" w:type="dxa"/>
            <w:vMerge/>
          </w:tcPr>
          <w:p w14:paraId="1C354E8B" w14:textId="77777777" w:rsidR="00AF5748" w:rsidRPr="00703635" w:rsidRDefault="00AF5748" w:rsidP="003B760A">
            <w:pPr>
              <w:spacing w:before="100" w:beforeAutospacing="1" w:after="100" w:afterAutospacing="1"/>
              <w:jc w:val="both"/>
              <w:rPr>
                <w:rFonts w:ascii="Arial" w:eastAsia="Times New Roman" w:hAnsi="Arial"/>
                <w:bCs w:val="0"/>
                <w:color w:val="000000" w:themeColor="text1"/>
                <w:sz w:val="20"/>
                <w:szCs w:val="20"/>
                <w:lang w:eastAsia="fr-FR"/>
              </w:rPr>
            </w:pPr>
          </w:p>
        </w:tc>
        <w:tc>
          <w:tcPr>
            <w:tcW w:w="2455" w:type="dxa"/>
            <w:gridSpan w:val="2"/>
          </w:tcPr>
          <w:p w14:paraId="4412F6A0" w14:textId="59A68967" w:rsidR="00AF5748" w:rsidRPr="00703635" w:rsidRDefault="00AF5748" w:rsidP="003B760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000000" w:themeColor="text1"/>
                <w:sz w:val="20"/>
                <w:szCs w:val="20"/>
                <w:lang w:eastAsia="fr-FR"/>
              </w:rPr>
            </w:pPr>
            <w:r w:rsidRPr="00703635">
              <w:rPr>
                <w:rFonts w:ascii="Arial" w:hAnsi="Arial"/>
                <w:color w:val="000000" w:themeColor="text1"/>
                <w:sz w:val="20"/>
                <w:szCs w:val="20"/>
              </w:rPr>
              <w:t xml:space="preserve">Viral </w:t>
            </w:r>
            <w:proofErr w:type="spellStart"/>
            <w:r w:rsidRPr="00703635">
              <w:rPr>
                <w:rFonts w:ascii="Arial" w:hAnsi="Arial"/>
                <w:color w:val="000000" w:themeColor="text1"/>
                <w:sz w:val="20"/>
                <w:szCs w:val="20"/>
              </w:rPr>
              <w:t>meningitis</w:t>
            </w:r>
            <w:proofErr w:type="spellEnd"/>
          </w:p>
        </w:tc>
        <w:tc>
          <w:tcPr>
            <w:tcW w:w="1781" w:type="dxa"/>
          </w:tcPr>
          <w:p w14:paraId="268C2095" w14:textId="3E58C446"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bCs/>
                <w:color w:val="auto"/>
                <w:sz w:val="20"/>
                <w:szCs w:val="20"/>
                <w:lang w:eastAsia="fr-FR"/>
              </w:rPr>
              <w:t>31</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7 ± 49</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7</w:t>
            </w:r>
            <w:r w:rsidRPr="00703635">
              <w:rPr>
                <w:rFonts w:ascii="Arial" w:eastAsia="Times New Roman" w:hAnsi="Arial"/>
                <w:bCs/>
                <w:color w:val="auto"/>
                <w:sz w:val="20"/>
                <w:szCs w:val="20"/>
                <w:lang w:eastAsia="fr-FR"/>
              </w:rPr>
              <w:t xml:space="preserve">     </w:t>
            </w:r>
            <w:proofErr w:type="gramStart"/>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12-192)</w:t>
            </w:r>
          </w:p>
        </w:tc>
        <w:tc>
          <w:tcPr>
            <w:tcW w:w="1576" w:type="dxa"/>
          </w:tcPr>
          <w:p w14:paraId="68CAC067" w14:textId="525540EC"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bCs/>
                <w:color w:val="auto"/>
                <w:sz w:val="20"/>
                <w:szCs w:val="20"/>
                <w:lang w:eastAsia="fr-FR"/>
              </w:rPr>
              <w:t>0</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27 ± 0</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28</w:t>
            </w:r>
            <w:proofErr w:type="gramStart"/>
            <w:r w:rsidRPr="00703635">
              <w:rPr>
                <w:rFonts w:ascii="Arial" w:eastAsia="Times New Roman" w:hAnsi="Arial"/>
                <w:b/>
                <w:bCs/>
                <w:color w:val="auto"/>
                <w:sz w:val="20"/>
                <w:szCs w:val="20"/>
                <w:lang w:eastAsia="fr-FR"/>
              </w:rPr>
              <w:t xml:space="preserve">  </w:t>
            </w:r>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38)</w:t>
            </w:r>
          </w:p>
        </w:tc>
        <w:tc>
          <w:tcPr>
            <w:tcW w:w="1574" w:type="dxa"/>
          </w:tcPr>
          <w:p w14:paraId="45442C2C" w14:textId="695EDF31"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55 ± 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22 (</w:t>
            </w:r>
            <w:r w:rsidRPr="00703635">
              <w:rPr>
                <w:rFonts w:ascii="Arial" w:eastAsia="Times New Roman" w:hAnsi="Arial"/>
                <w:color w:val="auto"/>
                <w:sz w:val="20"/>
                <w:szCs w:val="20"/>
                <w:lang w:eastAsia="fr-FR"/>
              </w:rPr>
              <w:t>0</w:t>
            </w:r>
            <w:r w:rsidR="00672A28" w:rsidRPr="00703635">
              <w:rPr>
                <w:rFonts w:ascii="Arial" w:eastAsia="Times New Roman" w:hAnsi="Arial"/>
                <w:color w:val="auto"/>
                <w:sz w:val="20"/>
                <w:szCs w:val="20"/>
                <w:lang w:eastAsia="fr-FR"/>
              </w:rPr>
              <w:t>.</w:t>
            </w:r>
            <w:r w:rsidRPr="00703635">
              <w:rPr>
                <w:rFonts w:ascii="Arial" w:eastAsia="Times New Roman" w:hAnsi="Arial"/>
                <w:color w:val="auto"/>
                <w:sz w:val="20"/>
                <w:szCs w:val="20"/>
                <w:lang w:eastAsia="fr-FR"/>
              </w:rPr>
              <w:t>30 -1</w:t>
            </w:r>
            <w:r w:rsidR="00672A28" w:rsidRPr="00703635">
              <w:rPr>
                <w:rFonts w:ascii="Arial" w:eastAsia="Times New Roman" w:hAnsi="Arial"/>
                <w:color w:val="auto"/>
                <w:sz w:val="20"/>
                <w:szCs w:val="20"/>
                <w:lang w:eastAsia="fr-FR"/>
              </w:rPr>
              <w:t>.</w:t>
            </w:r>
            <w:r w:rsidRPr="00703635">
              <w:rPr>
                <w:rFonts w:ascii="Arial" w:eastAsia="Times New Roman" w:hAnsi="Arial"/>
                <w:color w:val="auto"/>
                <w:sz w:val="20"/>
                <w:szCs w:val="20"/>
                <w:lang w:eastAsia="fr-FR"/>
              </w:rPr>
              <w:t>04)</w:t>
            </w:r>
          </w:p>
        </w:tc>
        <w:tc>
          <w:tcPr>
            <w:tcW w:w="1756" w:type="dxa"/>
          </w:tcPr>
          <w:p w14:paraId="635F7E61" w14:textId="57866ED0"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
                <w:color w:val="auto"/>
                <w:sz w:val="20"/>
                <w:szCs w:val="20"/>
                <w:lang w:eastAsia="fr-FR"/>
              </w:rPr>
              <w:t>0</w:t>
            </w:r>
            <w:r w:rsidR="004A69EF" w:rsidRPr="00703635">
              <w:rPr>
                <w:rFonts w:ascii="Arial" w:eastAsia="Times New Roman" w:hAnsi="Arial"/>
                <w:b/>
                <w:color w:val="auto"/>
                <w:sz w:val="20"/>
                <w:szCs w:val="20"/>
                <w:lang w:eastAsia="fr-FR"/>
              </w:rPr>
              <w:t>.</w:t>
            </w:r>
            <w:r w:rsidRPr="00703635">
              <w:rPr>
                <w:rFonts w:ascii="Arial" w:eastAsia="Times New Roman" w:hAnsi="Arial"/>
                <w:b/>
                <w:color w:val="auto"/>
                <w:sz w:val="20"/>
                <w:szCs w:val="20"/>
                <w:lang w:eastAsia="fr-FR"/>
              </w:rPr>
              <w:t>69 ± 0</w:t>
            </w:r>
            <w:r w:rsidR="004A69EF" w:rsidRPr="00703635">
              <w:rPr>
                <w:rFonts w:ascii="Arial" w:eastAsia="Times New Roman" w:hAnsi="Arial"/>
                <w:b/>
                <w:color w:val="auto"/>
                <w:sz w:val="20"/>
                <w:szCs w:val="20"/>
                <w:lang w:eastAsia="fr-FR"/>
              </w:rPr>
              <w:t>.</w:t>
            </w:r>
            <w:r w:rsidRPr="00703635">
              <w:rPr>
                <w:rFonts w:ascii="Arial" w:eastAsia="Times New Roman" w:hAnsi="Arial"/>
                <w:b/>
                <w:color w:val="auto"/>
                <w:sz w:val="20"/>
                <w:szCs w:val="20"/>
                <w:lang w:eastAsia="fr-FR"/>
              </w:rPr>
              <w:t>61</w:t>
            </w:r>
            <w:r w:rsidRPr="00703635">
              <w:rPr>
                <w:rFonts w:ascii="Arial" w:eastAsia="Times New Roman" w:hAnsi="Arial"/>
                <w:bCs/>
                <w:color w:val="auto"/>
                <w:sz w:val="20"/>
                <w:szCs w:val="20"/>
                <w:lang w:eastAsia="fr-FR"/>
              </w:rPr>
              <w:t xml:space="preserve"> (0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60-2</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25)</w:t>
            </w:r>
          </w:p>
        </w:tc>
      </w:tr>
      <w:tr w:rsidR="00AF5748" w:rsidRPr="00703635" w14:paraId="35463F72" w14:textId="77777777" w:rsidTr="004F32EB">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84" w:type="dxa"/>
            <w:vMerge/>
            <w:shd w:val="clear" w:color="auto" w:fill="auto"/>
          </w:tcPr>
          <w:p w14:paraId="120CF862" w14:textId="77777777" w:rsidR="00AF5748" w:rsidRPr="00703635" w:rsidRDefault="00AF5748" w:rsidP="003B760A">
            <w:pPr>
              <w:spacing w:before="100" w:beforeAutospacing="1" w:after="100" w:afterAutospacing="1"/>
              <w:jc w:val="both"/>
              <w:rPr>
                <w:rFonts w:ascii="Arial" w:eastAsia="Times New Roman" w:hAnsi="Arial"/>
                <w:bCs w:val="0"/>
                <w:color w:val="000000" w:themeColor="text1"/>
                <w:sz w:val="20"/>
                <w:szCs w:val="20"/>
                <w:lang w:eastAsia="fr-FR"/>
              </w:rPr>
            </w:pPr>
          </w:p>
        </w:tc>
        <w:tc>
          <w:tcPr>
            <w:tcW w:w="2455" w:type="dxa"/>
            <w:gridSpan w:val="2"/>
            <w:shd w:val="clear" w:color="auto" w:fill="auto"/>
          </w:tcPr>
          <w:p w14:paraId="16A17589" w14:textId="39191D9C" w:rsidR="00AF5748" w:rsidRPr="00703635" w:rsidRDefault="00AF5748" w:rsidP="003B760A">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000000" w:themeColor="text1"/>
                <w:sz w:val="20"/>
                <w:szCs w:val="20"/>
                <w:lang w:eastAsia="fr-FR"/>
              </w:rPr>
            </w:pPr>
            <w:r w:rsidRPr="00703635">
              <w:rPr>
                <w:rFonts w:ascii="Arial" w:hAnsi="Arial"/>
                <w:color w:val="000000" w:themeColor="text1"/>
                <w:sz w:val="20"/>
                <w:szCs w:val="20"/>
              </w:rPr>
              <w:t>Sepsis</w:t>
            </w:r>
          </w:p>
        </w:tc>
        <w:tc>
          <w:tcPr>
            <w:tcW w:w="1781" w:type="dxa"/>
            <w:shd w:val="clear" w:color="auto" w:fill="auto"/>
          </w:tcPr>
          <w:p w14:paraId="4B26C982" w14:textId="1EC56B90"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104 ± 70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 xml:space="preserve">7       </w:t>
            </w:r>
            <w:proofErr w:type="gramStart"/>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48-192)</w:t>
            </w:r>
          </w:p>
        </w:tc>
        <w:tc>
          <w:tcPr>
            <w:tcW w:w="1576" w:type="dxa"/>
            <w:shd w:val="clear" w:color="auto" w:fill="auto"/>
          </w:tcPr>
          <w:p w14:paraId="2A0D57AB" w14:textId="175B8F9B"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1</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77 ± 1</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05 (0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17-3</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07)</w:t>
            </w:r>
          </w:p>
        </w:tc>
        <w:tc>
          <w:tcPr>
            <w:tcW w:w="1574" w:type="dxa"/>
            <w:shd w:val="clear" w:color="auto" w:fill="auto"/>
          </w:tcPr>
          <w:p w14:paraId="5CE913FC" w14:textId="6F2D54E3"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58 ± 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13 (0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39-0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78)</w:t>
            </w:r>
          </w:p>
        </w:tc>
        <w:tc>
          <w:tcPr>
            <w:tcW w:w="1756" w:type="dxa"/>
            <w:shd w:val="clear" w:color="auto" w:fill="auto"/>
          </w:tcPr>
          <w:p w14:paraId="74B094B8" w14:textId="2015B724"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27 ± 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30</w:t>
            </w:r>
            <w:proofErr w:type="gramStart"/>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12-0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60)</w:t>
            </w:r>
          </w:p>
        </w:tc>
      </w:tr>
      <w:tr w:rsidR="00AF5748" w:rsidRPr="00703635" w14:paraId="03483EC4" w14:textId="77777777" w:rsidTr="004F32EB">
        <w:trPr>
          <w:trHeight w:val="387"/>
        </w:trPr>
        <w:tc>
          <w:tcPr>
            <w:cnfStyle w:val="001000000000" w:firstRow="0" w:lastRow="0" w:firstColumn="1" w:lastColumn="0" w:oddVBand="0" w:evenVBand="0" w:oddHBand="0" w:evenHBand="0" w:firstRowFirstColumn="0" w:firstRowLastColumn="0" w:lastRowFirstColumn="0" w:lastRowLastColumn="0"/>
            <w:tcW w:w="284" w:type="dxa"/>
            <w:vMerge/>
          </w:tcPr>
          <w:p w14:paraId="62FCC1C4" w14:textId="77777777" w:rsidR="00AF5748" w:rsidRPr="00703635" w:rsidRDefault="00AF5748" w:rsidP="003B760A">
            <w:pPr>
              <w:spacing w:before="100" w:beforeAutospacing="1" w:after="100" w:afterAutospacing="1"/>
              <w:jc w:val="both"/>
              <w:rPr>
                <w:rFonts w:ascii="Arial" w:eastAsia="Times New Roman" w:hAnsi="Arial"/>
                <w:bCs w:val="0"/>
                <w:color w:val="000000" w:themeColor="text1"/>
                <w:sz w:val="20"/>
                <w:szCs w:val="20"/>
                <w:lang w:eastAsia="fr-FR"/>
              </w:rPr>
            </w:pPr>
          </w:p>
        </w:tc>
        <w:tc>
          <w:tcPr>
            <w:tcW w:w="2455" w:type="dxa"/>
            <w:gridSpan w:val="2"/>
          </w:tcPr>
          <w:p w14:paraId="15A275BD" w14:textId="58909B13" w:rsidR="00AF5748" w:rsidRPr="00703635" w:rsidRDefault="00AF5748" w:rsidP="003B760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000000" w:themeColor="text1"/>
                <w:sz w:val="20"/>
                <w:szCs w:val="20"/>
                <w:lang w:eastAsia="fr-FR"/>
              </w:rPr>
            </w:pPr>
            <w:proofErr w:type="spellStart"/>
            <w:r w:rsidRPr="00703635">
              <w:rPr>
                <w:rFonts w:ascii="Arial" w:hAnsi="Arial"/>
                <w:color w:val="000000" w:themeColor="text1"/>
                <w:sz w:val="20"/>
                <w:szCs w:val="20"/>
              </w:rPr>
              <w:t>Other</w:t>
            </w:r>
            <w:proofErr w:type="spellEnd"/>
            <w:r w:rsidRPr="00703635">
              <w:rPr>
                <w:rFonts w:ascii="Arial" w:hAnsi="Arial"/>
                <w:color w:val="000000" w:themeColor="text1"/>
                <w:sz w:val="20"/>
                <w:szCs w:val="20"/>
              </w:rPr>
              <w:t xml:space="preserve"> types of infections</w:t>
            </w:r>
          </w:p>
        </w:tc>
        <w:tc>
          <w:tcPr>
            <w:tcW w:w="1781" w:type="dxa"/>
          </w:tcPr>
          <w:p w14:paraId="148B9EF7" w14:textId="22857B01"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46</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 ± 63</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 xml:space="preserve">2        </w:t>
            </w:r>
            <w:proofErr w:type="gramStart"/>
            <w:r w:rsidRPr="00703635">
              <w:rPr>
                <w:rFonts w:ascii="Arial" w:eastAsia="Times New Roman" w:hAnsi="Arial"/>
                <w:bCs/>
                <w:color w:val="auto"/>
                <w:sz w:val="20"/>
                <w:szCs w:val="20"/>
                <w:lang w:eastAsia="fr-FR"/>
              </w:rPr>
              <w:t xml:space="preserve">   (</w:t>
            </w:r>
            <w:proofErr w:type="gramEnd"/>
            <w:r w:rsidRPr="00703635">
              <w:rPr>
                <w:rFonts w:ascii="Arial" w:eastAsia="Times New Roman" w:hAnsi="Arial"/>
                <w:bCs/>
                <w:color w:val="auto"/>
                <w:sz w:val="20"/>
                <w:szCs w:val="20"/>
                <w:lang w:eastAsia="fr-FR"/>
              </w:rPr>
              <w:t>0-192)</w:t>
            </w:r>
          </w:p>
        </w:tc>
        <w:tc>
          <w:tcPr>
            <w:tcW w:w="1576" w:type="dxa"/>
          </w:tcPr>
          <w:p w14:paraId="4B5E3243" w14:textId="11DFD208"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3</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 xml:space="preserve">47± </w:t>
            </w:r>
            <w:proofErr w:type="gramStart"/>
            <w:r w:rsidRPr="00703635">
              <w:rPr>
                <w:rFonts w:ascii="Arial" w:eastAsia="Times New Roman" w:hAnsi="Arial"/>
                <w:bCs/>
                <w:color w:val="auto"/>
                <w:sz w:val="20"/>
                <w:szCs w:val="20"/>
                <w:lang w:eastAsia="fr-FR"/>
              </w:rPr>
              <w:t>3</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97  (</w:t>
            </w:r>
            <w:proofErr w:type="gramEnd"/>
            <w:r w:rsidRPr="00703635">
              <w:rPr>
                <w:rFonts w:ascii="Arial" w:eastAsia="Times New Roman" w:hAnsi="Arial"/>
                <w:bCs/>
                <w:color w:val="auto"/>
                <w:sz w:val="20"/>
                <w:szCs w:val="20"/>
                <w:lang w:eastAsia="fr-FR"/>
              </w:rPr>
              <w:t>0</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2-11</w:t>
            </w:r>
            <w:r w:rsidR="00672A28"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w:t>
            </w:r>
          </w:p>
        </w:tc>
        <w:tc>
          <w:tcPr>
            <w:tcW w:w="1574" w:type="dxa"/>
          </w:tcPr>
          <w:p w14:paraId="77BB0795" w14:textId="1DC16169"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64 ± 0</w:t>
            </w:r>
            <w:r w:rsidR="00F72D3D"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11 (0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5-0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81)</w:t>
            </w:r>
          </w:p>
        </w:tc>
        <w:tc>
          <w:tcPr>
            <w:tcW w:w="1756" w:type="dxa"/>
          </w:tcPr>
          <w:p w14:paraId="5D1ED7C3" w14:textId="12399148" w:rsidR="00AF5748" w:rsidRPr="00703635" w:rsidRDefault="00AF5748" w:rsidP="003B760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 xml:space="preserve">19 ± </w:t>
            </w:r>
            <w:proofErr w:type="gramStart"/>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12  (</w:t>
            </w:r>
            <w:proofErr w:type="gramEnd"/>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08-0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48)</w:t>
            </w:r>
          </w:p>
        </w:tc>
      </w:tr>
      <w:bookmarkEnd w:id="0"/>
      <w:tr w:rsidR="00AF5748" w:rsidRPr="00703635" w14:paraId="14BC2E6F" w14:textId="77777777" w:rsidTr="004F32E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84" w:type="dxa"/>
            <w:tcBorders>
              <w:bottom w:val="single" w:sz="18" w:space="0" w:color="auto"/>
            </w:tcBorders>
            <w:shd w:val="clear" w:color="auto" w:fill="auto"/>
          </w:tcPr>
          <w:p w14:paraId="059CA066" w14:textId="77777777" w:rsidR="00AF5748" w:rsidRPr="00703635" w:rsidRDefault="00AF5748" w:rsidP="003B760A">
            <w:pPr>
              <w:spacing w:before="100" w:beforeAutospacing="1" w:after="100" w:afterAutospacing="1"/>
              <w:jc w:val="both"/>
              <w:rPr>
                <w:rFonts w:ascii="Arial" w:eastAsia="Times New Roman" w:hAnsi="Arial"/>
                <w:color w:val="000000" w:themeColor="text1"/>
                <w:sz w:val="20"/>
                <w:szCs w:val="20"/>
                <w:lang w:eastAsia="fr-FR"/>
              </w:rPr>
            </w:pPr>
          </w:p>
        </w:tc>
        <w:tc>
          <w:tcPr>
            <w:tcW w:w="2455" w:type="dxa"/>
            <w:gridSpan w:val="2"/>
            <w:tcBorders>
              <w:bottom w:val="single" w:sz="18" w:space="0" w:color="auto"/>
            </w:tcBorders>
            <w:shd w:val="clear" w:color="auto" w:fill="auto"/>
          </w:tcPr>
          <w:p w14:paraId="64C22F90" w14:textId="34FCAACD" w:rsidR="00AF5748" w:rsidRPr="00703635" w:rsidRDefault="00AF5748" w:rsidP="003B760A">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000000" w:themeColor="text1"/>
                <w:sz w:val="20"/>
                <w:szCs w:val="20"/>
                <w:lang w:eastAsia="fr-FR"/>
              </w:rPr>
            </w:pPr>
            <w:proofErr w:type="gramStart"/>
            <w:r w:rsidRPr="00703635">
              <w:rPr>
                <w:rFonts w:ascii="Arial" w:hAnsi="Arial"/>
                <w:color w:val="000000" w:themeColor="text1"/>
                <w:sz w:val="20"/>
                <w:szCs w:val="20"/>
              </w:rPr>
              <w:t>p</w:t>
            </w:r>
            <w:proofErr w:type="gramEnd"/>
            <w:r w:rsidRPr="00703635">
              <w:rPr>
                <w:rFonts w:ascii="Arial" w:hAnsi="Arial"/>
                <w:color w:val="000000" w:themeColor="text1"/>
                <w:sz w:val="20"/>
                <w:szCs w:val="20"/>
              </w:rPr>
              <w:t>-value</w:t>
            </w:r>
          </w:p>
        </w:tc>
        <w:tc>
          <w:tcPr>
            <w:tcW w:w="1781" w:type="dxa"/>
            <w:tcBorders>
              <w:bottom w:val="single" w:sz="18" w:space="0" w:color="auto"/>
            </w:tcBorders>
            <w:shd w:val="clear" w:color="auto" w:fill="auto"/>
          </w:tcPr>
          <w:p w14:paraId="08A7953A" w14:textId="45EC0C46"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auto"/>
                <w:sz w:val="20"/>
                <w:szCs w:val="20"/>
                <w:lang w:eastAsia="fr-FR"/>
              </w:rPr>
            </w:pPr>
            <w:r w:rsidRPr="00703635">
              <w:rPr>
                <w:rFonts w:ascii="Arial" w:eastAsia="Times New Roman" w:hAnsi="Arial"/>
                <w:b/>
                <w:bCs/>
                <w:color w:val="auto"/>
                <w:sz w:val="20"/>
                <w:szCs w:val="20"/>
                <w:lang w:eastAsia="fr-FR"/>
              </w:rPr>
              <w:t>0</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049</w:t>
            </w:r>
          </w:p>
        </w:tc>
        <w:tc>
          <w:tcPr>
            <w:tcW w:w="1576" w:type="dxa"/>
            <w:tcBorders>
              <w:bottom w:val="single" w:sz="18" w:space="0" w:color="auto"/>
            </w:tcBorders>
            <w:shd w:val="clear" w:color="auto" w:fill="auto"/>
          </w:tcPr>
          <w:p w14:paraId="2014882C" w14:textId="7456EE2B"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auto"/>
                <w:sz w:val="20"/>
                <w:szCs w:val="20"/>
                <w:lang w:eastAsia="fr-FR"/>
              </w:rPr>
            </w:pPr>
            <w:r w:rsidRPr="00703635">
              <w:rPr>
                <w:rFonts w:ascii="Arial" w:eastAsia="Times New Roman" w:hAnsi="Arial"/>
                <w:b/>
                <w:bCs/>
                <w:color w:val="auto"/>
                <w:sz w:val="20"/>
                <w:szCs w:val="20"/>
                <w:lang w:eastAsia="fr-FR"/>
              </w:rPr>
              <w:t>&lt;0</w:t>
            </w:r>
            <w:r w:rsidR="00672A28"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001</w:t>
            </w:r>
          </w:p>
        </w:tc>
        <w:tc>
          <w:tcPr>
            <w:tcW w:w="1574" w:type="dxa"/>
            <w:tcBorders>
              <w:bottom w:val="single" w:sz="18" w:space="0" w:color="auto"/>
            </w:tcBorders>
            <w:shd w:val="clear" w:color="auto" w:fill="auto"/>
          </w:tcPr>
          <w:p w14:paraId="4EB8B901" w14:textId="1094EAE9"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Cs/>
                <w:color w:val="auto"/>
                <w:sz w:val="20"/>
                <w:szCs w:val="20"/>
                <w:lang w:eastAsia="fr-FR"/>
              </w:rPr>
            </w:pPr>
            <w:r w:rsidRPr="00703635">
              <w:rPr>
                <w:rFonts w:ascii="Arial" w:eastAsia="Times New Roman" w:hAnsi="Arial"/>
                <w:bCs/>
                <w:color w:val="auto"/>
                <w:sz w:val="20"/>
                <w:szCs w:val="20"/>
                <w:lang w:eastAsia="fr-FR"/>
              </w:rPr>
              <w:t>0</w:t>
            </w:r>
            <w:r w:rsidR="004A69EF" w:rsidRPr="00703635">
              <w:rPr>
                <w:rFonts w:ascii="Arial" w:eastAsia="Times New Roman" w:hAnsi="Arial"/>
                <w:bCs/>
                <w:color w:val="auto"/>
                <w:sz w:val="20"/>
                <w:szCs w:val="20"/>
                <w:lang w:eastAsia="fr-FR"/>
              </w:rPr>
              <w:t>.</w:t>
            </w:r>
            <w:r w:rsidRPr="00703635">
              <w:rPr>
                <w:rFonts w:ascii="Arial" w:eastAsia="Times New Roman" w:hAnsi="Arial"/>
                <w:bCs/>
                <w:color w:val="auto"/>
                <w:sz w:val="20"/>
                <w:szCs w:val="20"/>
                <w:lang w:eastAsia="fr-FR"/>
              </w:rPr>
              <w:t>288</w:t>
            </w:r>
          </w:p>
        </w:tc>
        <w:tc>
          <w:tcPr>
            <w:tcW w:w="1756" w:type="dxa"/>
            <w:tcBorders>
              <w:bottom w:val="single" w:sz="18" w:space="0" w:color="auto"/>
            </w:tcBorders>
            <w:shd w:val="clear" w:color="auto" w:fill="auto"/>
          </w:tcPr>
          <w:p w14:paraId="1F9E3DF9" w14:textId="18741774" w:rsidR="00AF5748" w:rsidRPr="00703635" w:rsidRDefault="00AF5748" w:rsidP="003B760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auto"/>
                <w:sz w:val="20"/>
                <w:szCs w:val="20"/>
                <w:lang w:eastAsia="fr-FR"/>
              </w:rPr>
            </w:pPr>
            <w:r w:rsidRPr="00703635">
              <w:rPr>
                <w:rFonts w:ascii="Arial" w:eastAsia="Times New Roman" w:hAnsi="Arial"/>
                <w:b/>
                <w:bCs/>
                <w:color w:val="auto"/>
                <w:sz w:val="20"/>
                <w:szCs w:val="20"/>
                <w:lang w:eastAsia="fr-FR"/>
              </w:rPr>
              <w:t>0</w:t>
            </w:r>
            <w:r w:rsidR="004A69EF" w:rsidRPr="00703635">
              <w:rPr>
                <w:rFonts w:ascii="Arial" w:eastAsia="Times New Roman" w:hAnsi="Arial"/>
                <w:b/>
                <w:bCs/>
                <w:color w:val="auto"/>
                <w:sz w:val="20"/>
                <w:szCs w:val="20"/>
                <w:lang w:eastAsia="fr-FR"/>
              </w:rPr>
              <w:t>.</w:t>
            </w:r>
            <w:r w:rsidRPr="00703635">
              <w:rPr>
                <w:rFonts w:ascii="Arial" w:eastAsia="Times New Roman" w:hAnsi="Arial"/>
                <w:b/>
                <w:bCs/>
                <w:color w:val="auto"/>
                <w:sz w:val="20"/>
                <w:szCs w:val="20"/>
                <w:lang w:eastAsia="fr-FR"/>
              </w:rPr>
              <w:t>003</w:t>
            </w:r>
          </w:p>
        </w:tc>
      </w:tr>
    </w:tbl>
    <w:p w14:paraId="59918D57" w14:textId="5BDA8A47" w:rsidR="00B26912" w:rsidRPr="00703635" w:rsidRDefault="00070E3F" w:rsidP="00254B48">
      <w:pPr>
        <w:pStyle w:val="ListParagraph"/>
        <w:numPr>
          <w:ilvl w:val="1"/>
          <w:numId w:val="5"/>
        </w:numPr>
        <w:spacing w:after="0" w:line="240" w:lineRule="auto"/>
        <w:jc w:val="both"/>
        <w:rPr>
          <w:rFonts w:ascii="Arial" w:hAnsi="Arial" w:cs="Arial"/>
          <w:b/>
          <w:sz w:val="20"/>
          <w:szCs w:val="20"/>
          <w:lang w:val="en-US"/>
        </w:rPr>
      </w:pPr>
      <w:bookmarkStart w:id="1" w:name="_Hlk181788944"/>
      <w:r w:rsidRPr="00703635">
        <w:rPr>
          <w:rFonts w:ascii="Arial" w:hAnsi="Arial" w:cs="Arial"/>
          <w:b/>
          <w:sz w:val="20"/>
          <w:szCs w:val="20"/>
          <w:lang w:val="en-US"/>
        </w:rPr>
        <w:t>Predictive performance of serum inflammatory markers in the diagnosis of bacterial meningitis</w:t>
      </w:r>
    </w:p>
    <w:tbl>
      <w:tblPr>
        <w:tblStyle w:val="TableauGrille6Couleur-Accentuation14"/>
        <w:tblpPr w:leftFromText="141" w:rightFromText="141" w:vertAnchor="text" w:horzAnchor="margin" w:tblpY="481"/>
        <w:tblW w:w="897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1018"/>
        <w:gridCol w:w="1183"/>
        <w:gridCol w:w="1568"/>
        <w:gridCol w:w="1639"/>
        <w:gridCol w:w="1065"/>
        <w:gridCol w:w="992"/>
      </w:tblGrid>
      <w:tr w:rsidR="00254B48" w:rsidRPr="00703635" w14:paraId="151B5634" w14:textId="77777777" w:rsidTr="001B1770">
        <w:trPr>
          <w:cnfStyle w:val="100000000000" w:firstRow="1" w:lastRow="0" w:firstColumn="0" w:lastColumn="0" w:oddVBand="0" w:evenVBand="0" w:oddHBand="0"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1537" w:type="dxa"/>
            <w:tcBorders>
              <w:bottom w:val="single" w:sz="18" w:space="0" w:color="auto"/>
            </w:tcBorders>
          </w:tcPr>
          <w:bookmarkEnd w:id="1"/>
          <w:p w14:paraId="3FE81853" w14:textId="3F8B2B78" w:rsidR="001B1770" w:rsidRPr="00703635" w:rsidRDefault="001B1770" w:rsidP="00300DE1">
            <w:pPr>
              <w:tabs>
                <w:tab w:val="left" w:pos="1250"/>
              </w:tabs>
              <w:jc w:val="both"/>
              <w:rPr>
                <w:rFonts w:ascii="Arial" w:hAnsi="Arial"/>
                <w:color w:val="auto"/>
                <w:sz w:val="20"/>
                <w:szCs w:val="20"/>
                <w:lang w:val="en-US"/>
              </w:rPr>
            </w:pPr>
            <w:r w:rsidRPr="00703635">
              <w:rPr>
                <w:rFonts w:ascii="Arial" w:hAnsi="Arial"/>
                <w:color w:val="auto"/>
                <w:sz w:val="20"/>
                <w:szCs w:val="20"/>
                <w:lang w:val="en-US"/>
              </w:rPr>
              <w:t>Markers</w:t>
            </w:r>
            <w:r w:rsidR="00300DE1" w:rsidRPr="00703635">
              <w:rPr>
                <w:rFonts w:ascii="Arial" w:hAnsi="Arial"/>
                <w:color w:val="auto"/>
                <w:sz w:val="20"/>
                <w:szCs w:val="20"/>
                <w:lang w:val="en-US"/>
              </w:rPr>
              <w:tab/>
            </w:r>
          </w:p>
        </w:tc>
        <w:tc>
          <w:tcPr>
            <w:tcW w:w="1035" w:type="dxa"/>
            <w:tcBorders>
              <w:bottom w:val="single" w:sz="18" w:space="0" w:color="auto"/>
            </w:tcBorders>
          </w:tcPr>
          <w:p w14:paraId="45F9FA33" w14:textId="77777777"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lang w:val="en-US"/>
              </w:rPr>
            </w:pPr>
            <w:r w:rsidRPr="00703635">
              <w:rPr>
                <w:rFonts w:ascii="Arial" w:hAnsi="Arial"/>
                <w:color w:val="auto"/>
                <w:sz w:val="20"/>
                <w:szCs w:val="20"/>
                <w:lang w:val="en-US"/>
              </w:rPr>
              <w:t>AUC</w:t>
            </w:r>
          </w:p>
        </w:tc>
        <w:tc>
          <w:tcPr>
            <w:tcW w:w="1096" w:type="dxa"/>
            <w:tcBorders>
              <w:bottom w:val="single" w:sz="18" w:space="0" w:color="auto"/>
            </w:tcBorders>
          </w:tcPr>
          <w:p w14:paraId="22004C66" w14:textId="7CB80100"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lang w:val="en-US"/>
              </w:rPr>
            </w:pPr>
            <w:r w:rsidRPr="00703635">
              <w:rPr>
                <w:rFonts w:ascii="Arial" w:hAnsi="Arial"/>
                <w:color w:val="000000" w:themeColor="text1"/>
                <w:sz w:val="20"/>
                <w:szCs w:val="20"/>
                <w:lang w:val="en-US"/>
              </w:rPr>
              <w:t xml:space="preserve">Threshold value    </w:t>
            </w:r>
          </w:p>
        </w:tc>
        <w:tc>
          <w:tcPr>
            <w:tcW w:w="1584" w:type="dxa"/>
            <w:tcBorders>
              <w:bottom w:val="single" w:sz="18" w:space="0" w:color="auto"/>
            </w:tcBorders>
          </w:tcPr>
          <w:p w14:paraId="007F9EAE" w14:textId="5D68AF39"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lang w:val="en-US"/>
              </w:rPr>
            </w:pPr>
            <w:r w:rsidRPr="00703635">
              <w:rPr>
                <w:rFonts w:ascii="Arial" w:hAnsi="Arial"/>
                <w:color w:val="000000" w:themeColor="text1"/>
                <w:sz w:val="20"/>
                <w:szCs w:val="20"/>
                <w:lang w:val="en-US"/>
              </w:rPr>
              <w:t xml:space="preserve">Sensitivity    </w:t>
            </w:r>
          </w:p>
        </w:tc>
        <w:tc>
          <w:tcPr>
            <w:tcW w:w="1658" w:type="dxa"/>
            <w:tcBorders>
              <w:bottom w:val="single" w:sz="18" w:space="0" w:color="auto"/>
            </w:tcBorders>
          </w:tcPr>
          <w:p w14:paraId="3AF72079" w14:textId="04E77DF1"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lang w:val="en-US"/>
              </w:rPr>
            </w:pPr>
            <w:r w:rsidRPr="00703635">
              <w:rPr>
                <w:rFonts w:ascii="Arial" w:hAnsi="Arial"/>
                <w:color w:val="000000" w:themeColor="text1"/>
                <w:sz w:val="20"/>
                <w:szCs w:val="20"/>
                <w:lang w:val="en-US"/>
              </w:rPr>
              <w:t>Specificity</w:t>
            </w:r>
          </w:p>
        </w:tc>
        <w:tc>
          <w:tcPr>
            <w:tcW w:w="1073" w:type="dxa"/>
            <w:tcBorders>
              <w:bottom w:val="single" w:sz="18" w:space="0" w:color="auto"/>
            </w:tcBorders>
          </w:tcPr>
          <w:p w14:paraId="35A5A2B1" w14:textId="673C2F9D"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lang w:val="en-US"/>
              </w:rPr>
            </w:pPr>
            <w:r w:rsidRPr="00703635">
              <w:rPr>
                <w:rFonts w:ascii="Arial" w:hAnsi="Arial"/>
                <w:color w:val="000000" w:themeColor="text1"/>
                <w:sz w:val="20"/>
                <w:szCs w:val="20"/>
                <w:lang w:val="en-US"/>
              </w:rPr>
              <w:t>PPV</w:t>
            </w:r>
          </w:p>
        </w:tc>
        <w:tc>
          <w:tcPr>
            <w:tcW w:w="996" w:type="dxa"/>
            <w:tcBorders>
              <w:bottom w:val="single" w:sz="18" w:space="0" w:color="auto"/>
            </w:tcBorders>
          </w:tcPr>
          <w:p w14:paraId="2E5F3259" w14:textId="0AFB948C" w:rsidR="001B1770" w:rsidRPr="00703635" w:rsidRDefault="001B1770" w:rsidP="00254B48">
            <w:pPr>
              <w:jc w:val="both"/>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lang w:val="en-US"/>
              </w:rPr>
            </w:pPr>
            <w:r w:rsidRPr="00703635">
              <w:rPr>
                <w:rFonts w:ascii="Arial" w:hAnsi="Arial"/>
                <w:color w:val="000000" w:themeColor="text1"/>
                <w:sz w:val="20"/>
                <w:szCs w:val="20"/>
                <w:lang w:val="en-US"/>
              </w:rPr>
              <w:t>NPV</w:t>
            </w:r>
          </w:p>
        </w:tc>
      </w:tr>
      <w:tr w:rsidR="001B1770" w:rsidRPr="00703635" w14:paraId="58AD5092" w14:textId="77777777" w:rsidTr="007B6655">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537" w:type="dxa"/>
            <w:tcBorders>
              <w:top w:val="single" w:sz="18" w:space="0" w:color="auto"/>
            </w:tcBorders>
            <w:shd w:val="clear" w:color="auto" w:fill="auto"/>
          </w:tcPr>
          <w:p w14:paraId="54C6C282" w14:textId="77777777" w:rsidR="00B26912" w:rsidRPr="00703635" w:rsidRDefault="00B26912" w:rsidP="00254B48">
            <w:pPr>
              <w:jc w:val="both"/>
              <w:rPr>
                <w:rFonts w:ascii="Arial" w:eastAsia="Times New Roman" w:hAnsi="Arial"/>
                <w:color w:val="auto"/>
                <w:sz w:val="20"/>
                <w:szCs w:val="20"/>
                <w:lang w:val="en-US" w:eastAsia="fr-FR"/>
              </w:rPr>
            </w:pPr>
            <w:r w:rsidRPr="00703635">
              <w:rPr>
                <w:rFonts w:ascii="Arial" w:eastAsia="Times New Roman" w:hAnsi="Arial"/>
                <w:color w:val="auto"/>
                <w:sz w:val="20"/>
                <w:szCs w:val="20"/>
                <w:lang w:val="en-US" w:eastAsia="fr-FR"/>
              </w:rPr>
              <w:t>CRP (mg/L)</w:t>
            </w:r>
          </w:p>
        </w:tc>
        <w:tc>
          <w:tcPr>
            <w:tcW w:w="1035" w:type="dxa"/>
            <w:tcBorders>
              <w:top w:val="single" w:sz="18" w:space="0" w:color="auto"/>
            </w:tcBorders>
            <w:shd w:val="clear" w:color="auto" w:fill="auto"/>
          </w:tcPr>
          <w:p w14:paraId="6820E937" w14:textId="3DDB4014"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olor w:val="auto"/>
                <w:sz w:val="20"/>
                <w:szCs w:val="20"/>
                <w:lang w:val="en-US" w:eastAsia="fr-FR"/>
              </w:rPr>
            </w:pPr>
            <w:r w:rsidRPr="00703635">
              <w:rPr>
                <w:rFonts w:ascii="Arial" w:eastAsia="Times New Roman" w:hAnsi="Arial"/>
                <w:color w:val="auto"/>
                <w:sz w:val="20"/>
                <w:szCs w:val="20"/>
                <w:lang w:val="en-US" w:eastAsia="fr-FR"/>
              </w:rPr>
              <w:t>0</w:t>
            </w:r>
            <w:r w:rsidR="001B1770" w:rsidRPr="00703635">
              <w:rPr>
                <w:rFonts w:ascii="Arial" w:eastAsia="Times New Roman" w:hAnsi="Arial"/>
                <w:color w:val="auto"/>
                <w:sz w:val="20"/>
                <w:szCs w:val="20"/>
                <w:lang w:val="en-US" w:eastAsia="fr-FR"/>
              </w:rPr>
              <w:t>.</w:t>
            </w:r>
            <w:r w:rsidRPr="00703635">
              <w:rPr>
                <w:rFonts w:ascii="Arial" w:eastAsia="Times New Roman" w:hAnsi="Arial"/>
                <w:color w:val="auto"/>
                <w:sz w:val="20"/>
                <w:szCs w:val="20"/>
                <w:lang w:val="en-US" w:eastAsia="fr-FR"/>
              </w:rPr>
              <w:t xml:space="preserve">74 </w:t>
            </w:r>
          </w:p>
        </w:tc>
        <w:tc>
          <w:tcPr>
            <w:tcW w:w="1096" w:type="dxa"/>
            <w:tcBorders>
              <w:top w:val="single" w:sz="18" w:space="0" w:color="auto"/>
            </w:tcBorders>
            <w:shd w:val="clear" w:color="auto" w:fill="auto"/>
          </w:tcPr>
          <w:p w14:paraId="519FC3B6" w14:textId="77777777"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olor w:val="auto"/>
                <w:sz w:val="20"/>
                <w:szCs w:val="20"/>
                <w:lang w:val="en-US" w:eastAsia="fr-FR"/>
              </w:rPr>
            </w:pPr>
            <w:r w:rsidRPr="00703635">
              <w:rPr>
                <w:rFonts w:ascii="Arial" w:eastAsia="Times New Roman" w:hAnsi="Arial"/>
                <w:color w:val="auto"/>
                <w:sz w:val="20"/>
                <w:szCs w:val="20"/>
                <w:lang w:val="en-US" w:eastAsia="fr-FR"/>
              </w:rPr>
              <w:t>48</w:t>
            </w:r>
          </w:p>
        </w:tc>
        <w:tc>
          <w:tcPr>
            <w:tcW w:w="1584" w:type="dxa"/>
            <w:tcBorders>
              <w:top w:val="single" w:sz="18" w:space="0" w:color="auto"/>
            </w:tcBorders>
            <w:shd w:val="clear" w:color="auto" w:fill="auto"/>
          </w:tcPr>
          <w:p w14:paraId="79240A0F" w14:textId="77777777"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olor w:val="auto"/>
                <w:sz w:val="20"/>
                <w:szCs w:val="20"/>
                <w:lang w:val="en-US" w:eastAsia="fr-FR"/>
              </w:rPr>
            </w:pPr>
            <w:r w:rsidRPr="00703635">
              <w:rPr>
                <w:rFonts w:ascii="Arial" w:eastAsia="Times New Roman" w:hAnsi="Arial"/>
                <w:b/>
                <w:color w:val="auto"/>
                <w:sz w:val="20"/>
                <w:szCs w:val="20"/>
                <w:lang w:val="en-US" w:eastAsia="fr-FR"/>
              </w:rPr>
              <w:t xml:space="preserve">75% </w:t>
            </w:r>
          </w:p>
        </w:tc>
        <w:tc>
          <w:tcPr>
            <w:tcW w:w="1658" w:type="dxa"/>
            <w:tcBorders>
              <w:top w:val="single" w:sz="18" w:space="0" w:color="auto"/>
            </w:tcBorders>
            <w:shd w:val="clear" w:color="auto" w:fill="auto"/>
          </w:tcPr>
          <w:p w14:paraId="76A2E5B2" w14:textId="77777777"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olor w:val="auto"/>
                <w:sz w:val="20"/>
                <w:szCs w:val="20"/>
                <w:lang w:val="en-US" w:eastAsia="fr-FR"/>
              </w:rPr>
            </w:pPr>
            <w:r w:rsidRPr="00703635">
              <w:rPr>
                <w:rFonts w:ascii="Arial" w:eastAsia="Times New Roman" w:hAnsi="Arial"/>
                <w:b/>
                <w:color w:val="auto"/>
                <w:sz w:val="20"/>
                <w:szCs w:val="20"/>
                <w:lang w:val="en-US" w:eastAsia="fr-FR"/>
              </w:rPr>
              <w:t>78%</w:t>
            </w:r>
            <w:r w:rsidRPr="00703635">
              <w:rPr>
                <w:rFonts w:ascii="Arial" w:eastAsia="Times New Roman" w:hAnsi="Arial"/>
                <w:color w:val="auto"/>
                <w:sz w:val="20"/>
                <w:szCs w:val="20"/>
                <w:lang w:val="en-US" w:eastAsia="fr-FR"/>
              </w:rPr>
              <w:t xml:space="preserve"> </w:t>
            </w:r>
          </w:p>
        </w:tc>
        <w:tc>
          <w:tcPr>
            <w:tcW w:w="1073" w:type="dxa"/>
            <w:tcBorders>
              <w:top w:val="single" w:sz="18" w:space="0" w:color="auto"/>
            </w:tcBorders>
            <w:shd w:val="clear" w:color="auto" w:fill="auto"/>
          </w:tcPr>
          <w:p w14:paraId="6252CE6E" w14:textId="77777777"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hAnsi="Arial"/>
                <w:b/>
                <w:color w:val="auto"/>
                <w:sz w:val="20"/>
                <w:szCs w:val="20"/>
                <w:lang w:val="en-US"/>
              </w:rPr>
            </w:pPr>
            <w:r w:rsidRPr="00703635">
              <w:rPr>
                <w:rFonts w:ascii="Arial" w:hAnsi="Arial"/>
                <w:b/>
                <w:color w:val="auto"/>
                <w:sz w:val="20"/>
                <w:szCs w:val="20"/>
                <w:lang w:val="en-US"/>
              </w:rPr>
              <w:t>60%</w:t>
            </w:r>
          </w:p>
        </w:tc>
        <w:tc>
          <w:tcPr>
            <w:tcW w:w="996" w:type="dxa"/>
            <w:tcBorders>
              <w:top w:val="single" w:sz="18" w:space="0" w:color="auto"/>
            </w:tcBorders>
            <w:shd w:val="clear" w:color="auto" w:fill="auto"/>
          </w:tcPr>
          <w:p w14:paraId="1DC63A0A" w14:textId="65C1EA53" w:rsidR="00B26912" w:rsidRPr="00703635" w:rsidRDefault="00B26912" w:rsidP="00254B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
                <w:color w:val="auto"/>
                <w:sz w:val="20"/>
                <w:szCs w:val="20"/>
                <w:lang w:val="en-US" w:eastAsia="fr-FR"/>
              </w:rPr>
            </w:pPr>
            <w:r w:rsidRPr="00703635">
              <w:rPr>
                <w:rFonts w:ascii="Arial" w:hAnsi="Arial"/>
                <w:b/>
                <w:color w:val="auto"/>
                <w:sz w:val="20"/>
                <w:szCs w:val="20"/>
                <w:lang w:val="en-US"/>
              </w:rPr>
              <w:t>87</w:t>
            </w:r>
            <w:r w:rsidR="001B1770" w:rsidRPr="00703635">
              <w:rPr>
                <w:rFonts w:ascii="Arial" w:hAnsi="Arial"/>
                <w:b/>
                <w:color w:val="auto"/>
                <w:sz w:val="20"/>
                <w:szCs w:val="20"/>
                <w:lang w:val="en-US"/>
              </w:rPr>
              <w:t>.</w:t>
            </w:r>
            <w:r w:rsidRPr="00703635">
              <w:rPr>
                <w:rFonts w:ascii="Arial" w:hAnsi="Arial"/>
                <w:b/>
                <w:color w:val="auto"/>
                <w:sz w:val="20"/>
                <w:szCs w:val="20"/>
                <w:lang w:val="en-US"/>
              </w:rPr>
              <w:t>5%</w:t>
            </w:r>
          </w:p>
        </w:tc>
      </w:tr>
      <w:tr w:rsidR="001B1770" w:rsidRPr="00703635" w14:paraId="5F94321A" w14:textId="77777777" w:rsidTr="001B1770">
        <w:trPr>
          <w:trHeight w:val="277"/>
        </w:trPr>
        <w:tc>
          <w:tcPr>
            <w:cnfStyle w:val="001000000000" w:firstRow="0" w:lastRow="0" w:firstColumn="1" w:lastColumn="0" w:oddVBand="0" w:evenVBand="0" w:oddHBand="0" w:evenHBand="0" w:firstRowFirstColumn="0" w:firstRowLastColumn="0" w:lastRowFirstColumn="0" w:lastRowLastColumn="0"/>
            <w:tcW w:w="1537" w:type="dxa"/>
          </w:tcPr>
          <w:p w14:paraId="0BF8E10F" w14:textId="77777777" w:rsidR="00B26912" w:rsidRPr="00703635" w:rsidRDefault="00B26912" w:rsidP="00254B48">
            <w:pPr>
              <w:jc w:val="both"/>
              <w:rPr>
                <w:rFonts w:ascii="Arial" w:hAnsi="Arial"/>
                <w:color w:val="auto"/>
                <w:sz w:val="20"/>
                <w:szCs w:val="20"/>
                <w:lang w:val="en-US"/>
              </w:rPr>
            </w:pPr>
            <w:r w:rsidRPr="00703635">
              <w:rPr>
                <w:rFonts w:ascii="Arial" w:eastAsia="Times New Roman" w:hAnsi="Arial"/>
                <w:color w:val="auto"/>
                <w:sz w:val="20"/>
                <w:szCs w:val="20"/>
                <w:lang w:val="en-US" w:eastAsia="fr-FR"/>
              </w:rPr>
              <w:t xml:space="preserve"> PCT (ng/ml)</w:t>
            </w:r>
          </w:p>
        </w:tc>
        <w:tc>
          <w:tcPr>
            <w:tcW w:w="1035" w:type="dxa"/>
          </w:tcPr>
          <w:p w14:paraId="65DEC521" w14:textId="792EB553"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color w:val="auto"/>
                <w:sz w:val="20"/>
                <w:szCs w:val="20"/>
                <w:lang w:val="en-US"/>
              </w:rPr>
            </w:pPr>
            <w:r w:rsidRPr="00703635">
              <w:rPr>
                <w:rFonts w:ascii="Arial" w:hAnsi="Arial"/>
                <w:color w:val="auto"/>
                <w:sz w:val="20"/>
                <w:szCs w:val="20"/>
                <w:lang w:val="en-US"/>
              </w:rPr>
              <w:t>0</w:t>
            </w:r>
            <w:r w:rsidR="001B1770" w:rsidRPr="00703635">
              <w:rPr>
                <w:rFonts w:ascii="Arial" w:hAnsi="Arial"/>
                <w:color w:val="auto"/>
                <w:sz w:val="20"/>
                <w:szCs w:val="20"/>
                <w:lang w:val="en-US"/>
              </w:rPr>
              <w:t>.</w:t>
            </w:r>
            <w:r w:rsidRPr="00703635">
              <w:rPr>
                <w:rFonts w:ascii="Arial" w:hAnsi="Arial"/>
                <w:color w:val="auto"/>
                <w:sz w:val="20"/>
                <w:szCs w:val="20"/>
                <w:lang w:val="en-US"/>
              </w:rPr>
              <w:t xml:space="preserve">93 </w:t>
            </w:r>
          </w:p>
        </w:tc>
        <w:tc>
          <w:tcPr>
            <w:tcW w:w="1096" w:type="dxa"/>
          </w:tcPr>
          <w:p w14:paraId="2E3D642C" w14:textId="628AECBD"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color w:val="auto"/>
                <w:sz w:val="20"/>
                <w:szCs w:val="20"/>
                <w:lang w:val="en-US"/>
              </w:rPr>
            </w:pPr>
            <w:r w:rsidRPr="00703635">
              <w:rPr>
                <w:rFonts w:ascii="Arial" w:hAnsi="Arial"/>
                <w:color w:val="auto"/>
                <w:sz w:val="20"/>
                <w:szCs w:val="20"/>
                <w:lang w:val="en-US"/>
              </w:rPr>
              <w:t>0</w:t>
            </w:r>
            <w:r w:rsidR="001B1770" w:rsidRPr="00703635">
              <w:rPr>
                <w:rFonts w:ascii="Arial" w:hAnsi="Arial"/>
                <w:color w:val="auto"/>
                <w:sz w:val="20"/>
                <w:szCs w:val="20"/>
                <w:lang w:val="en-US"/>
              </w:rPr>
              <w:t>.</w:t>
            </w:r>
            <w:r w:rsidRPr="00703635">
              <w:rPr>
                <w:rFonts w:ascii="Arial" w:hAnsi="Arial"/>
                <w:color w:val="auto"/>
                <w:sz w:val="20"/>
                <w:szCs w:val="20"/>
                <w:lang w:val="en-US"/>
              </w:rPr>
              <w:t>98</w:t>
            </w:r>
          </w:p>
        </w:tc>
        <w:tc>
          <w:tcPr>
            <w:tcW w:w="1584" w:type="dxa"/>
          </w:tcPr>
          <w:p w14:paraId="0438B604" w14:textId="1DB7B0F4"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color w:val="auto"/>
                <w:sz w:val="20"/>
                <w:szCs w:val="20"/>
                <w:lang w:val="en-US"/>
              </w:rPr>
            </w:pPr>
            <w:r w:rsidRPr="00703635">
              <w:rPr>
                <w:rFonts w:ascii="Arial" w:eastAsia="Times New Roman" w:hAnsi="Arial"/>
                <w:b/>
                <w:color w:val="auto"/>
                <w:sz w:val="20"/>
                <w:szCs w:val="20"/>
                <w:lang w:val="en-US" w:eastAsia="fr-FR"/>
              </w:rPr>
              <w:t>87</w:t>
            </w:r>
            <w:r w:rsidR="001B1770" w:rsidRPr="00703635">
              <w:rPr>
                <w:rFonts w:ascii="Arial" w:eastAsia="Times New Roman" w:hAnsi="Arial"/>
                <w:b/>
                <w:color w:val="auto"/>
                <w:sz w:val="20"/>
                <w:szCs w:val="20"/>
                <w:lang w:val="en-US" w:eastAsia="fr-FR"/>
              </w:rPr>
              <w:t>.</w:t>
            </w:r>
            <w:r w:rsidRPr="00703635">
              <w:rPr>
                <w:rFonts w:ascii="Arial" w:eastAsia="Times New Roman" w:hAnsi="Arial"/>
                <w:b/>
                <w:color w:val="auto"/>
                <w:sz w:val="20"/>
                <w:szCs w:val="20"/>
                <w:lang w:val="en-US" w:eastAsia="fr-FR"/>
              </w:rPr>
              <w:t>5%</w:t>
            </w:r>
            <w:r w:rsidRPr="00703635">
              <w:rPr>
                <w:rFonts w:ascii="Arial" w:eastAsia="Times New Roman" w:hAnsi="Arial"/>
                <w:color w:val="auto"/>
                <w:sz w:val="20"/>
                <w:szCs w:val="20"/>
                <w:lang w:val="en-US" w:eastAsia="fr-FR"/>
              </w:rPr>
              <w:t xml:space="preserve"> </w:t>
            </w:r>
          </w:p>
        </w:tc>
        <w:tc>
          <w:tcPr>
            <w:tcW w:w="1658" w:type="dxa"/>
          </w:tcPr>
          <w:p w14:paraId="0EAB7C9E" w14:textId="0EE78CAF"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color w:val="auto"/>
                <w:sz w:val="20"/>
                <w:szCs w:val="20"/>
                <w:lang w:val="en-US"/>
              </w:rPr>
            </w:pPr>
            <w:r w:rsidRPr="00703635">
              <w:rPr>
                <w:rFonts w:ascii="Arial" w:eastAsia="Times New Roman" w:hAnsi="Arial"/>
                <w:b/>
                <w:color w:val="auto"/>
                <w:sz w:val="20"/>
                <w:szCs w:val="20"/>
                <w:lang w:val="en-US" w:eastAsia="fr-FR"/>
              </w:rPr>
              <w:t>88</w:t>
            </w:r>
            <w:r w:rsidR="001B1770" w:rsidRPr="00703635">
              <w:rPr>
                <w:rFonts w:ascii="Arial" w:eastAsia="Times New Roman" w:hAnsi="Arial"/>
                <w:b/>
                <w:color w:val="auto"/>
                <w:sz w:val="20"/>
                <w:szCs w:val="20"/>
                <w:lang w:val="en-US" w:eastAsia="fr-FR"/>
              </w:rPr>
              <w:t>.</w:t>
            </w:r>
            <w:r w:rsidRPr="00703635">
              <w:rPr>
                <w:rFonts w:ascii="Arial" w:eastAsia="Times New Roman" w:hAnsi="Arial"/>
                <w:b/>
                <w:color w:val="auto"/>
                <w:sz w:val="20"/>
                <w:szCs w:val="20"/>
                <w:lang w:val="en-US" w:eastAsia="fr-FR"/>
              </w:rPr>
              <w:t>89%</w:t>
            </w:r>
          </w:p>
        </w:tc>
        <w:tc>
          <w:tcPr>
            <w:tcW w:w="1073" w:type="dxa"/>
          </w:tcPr>
          <w:p w14:paraId="63D85F9C" w14:textId="5C0ACC8E"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b/>
                <w:color w:val="auto"/>
                <w:sz w:val="20"/>
                <w:szCs w:val="20"/>
                <w:lang w:val="en-US"/>
              </w:rPr>
            </w:pPr>
            <w:r w:rsidRPr="00703635">
              <w:rPr>
                <w:rFonts w:ascii="Arial" w:hAnsi="Arial"/>
                <w:b/>
                <w:color w:val="auto"/>
                <w:sz w:val="20"/>
                <w:szCs w:val="20"/>
                <w:lang w:val="en-US"/>
              </w:rPr>
              <w:t>77</w:t>
            </w:r>
            <w:r w:rsidR="001B1770" w:rsidRPr="00703635">
              <w:rPr>
                <w:rFonts w:ascii="Arial" w:hAnsi="Arial"/>
                <w:b/>
                <w:color w:val="auto"/>
                <w:sz w:val="20"/>
                <w:szCs w:val="20"/>
                <w:lang w:val="en-US"/>
              </w:rPr>
              <w:t>.</w:t>
            </w:r>
            <w:r w:rsidRPr="00703635">
              <w:rPr>
                <w:rFonts w:ascii="Arial" w:hAnsi="Arial"/>
                <w:b/>
                <w:color w:val="auto"/>
                <w:sz w:val="20"/>
                <w:szCs w:val="20"/>
                <w:lang w:val="en-US"/>
              </w:rPr>
              <w:t>78%</w:t>
            </w:r>
          </w:p>
        </w:tc>
        <w:tc>
          <w:tcPr>
            <w:tcW w:w="996" w:type="dxa"/>
          </w:tcPr>
          <w:p w14:paraId="7ED8D5EF" w14:textId="78B02E11" w:rsidR="00B26912" w:rsidRPr="00703635" w:rsidRDefault="00B26912" w:rsidP="00254B48">
            <w:pPr>
              <w:jc w:val="both"/>
              <w:cnfStyle w:val="000000000000" w:firstRow="0" w:lastRow="0" w:firstColumn="0" w:lastColumn="0" w:oddVBand="0" w:evenVBand="0" w:oddHBand="0" w:evenHBand="0" w:firstRowFirstColumn="0" w:firstRowLastColumn="0" w:lastRowFirstColumn="0" w:lastRowLastColumn="0"/>
              <w:rPr>
                <w:rFonts w:ascii="Arial" w:hAnsi="Arial"/>
                <w:b/>
                <w:color w:val="auto"/>
                <w:sz w:val="20"/>
                <w:szCs w:val="20"/>
                <w:lang w:val="en-US"/>
              </w:rPr>
            </w:pPr>
            <w:r w:rsidRPr="00703635">
              <w:rPr>
                <w:rFonts w:ascii="Arial" w:hAnsi="Arial"/>
                <w:b/>
                <w:color w:val="auto"/>
                <w:sz w:val="20"/>
                <w:szCs w:val="20"/>
                <w:lang w:val="en-US"/>
              </w:rPr>
              <w:t>94</w:t>
            </w:r>
            <w:r w:rsidR="001B1770" w:rsidRPr="00703635">
              <w:rPr>
                <w:rFonts w:ascii="Arial" w:hAnsi="Arial"/>
                <w:b/>
                <w:color w:val="auto"/>
                <w:sz w:val="20"/>
                <w:szCs w:val="20"/>
                <w:lang w:val="en-US"/>
              </w:rPr>
              <w:t>.</w:t>
            </w:r>
            <w:r w:rsidRPr="00703635">
              <w:rPr>
                <w:rFonts w:ascii="Arial" w:hAnsi="Arial"/>
                <w:b/>
                <w:color w:val="auto"/>
                <w:sz w:val="20"/>
                <w:szCs w:val="20"/>
                <w:lang w:val="en-US"/>
              </w:rPr>
              <w:t>12%</w:t>
            </w:r>
          </w:p>
        </w:tc>
      </w:tr>
    </w:tbl>
    <w:p w14:paraId="5352E816" w14:textId="42E30ACE" w:rsidR="00B26912" w:rsidRPr="00703635" w:rsidRDefault="00B26912" w:rsidP="00254B48">
      <w:pPr>
        <w:pStyle w:val="Caption"/>
        <w:keepNext/>
        <w:spacing w:after="0"/>
        <w:rPr>
          <w:rFonts w:ascii="Arial" w:hAnsi="Arial" w:cs="Arial"/>
          <w:i w:val="0"/>
          <w:color w:val="000000" w:themeColor="text1"/>
          <w:sz w:val="20"/>
          <w:szCs w:val="20"/>
          <w:lang w:val="en-US"/>
        </w:rPr>
      </w:pPr>
      <w:bookmarkStart w:id="2" w:name="_Hlk181786197"/>
      <w:r w:rsidRPr="00703635">
        <w:rPr>
          <w:rFonts w:ascii="Arial" w:hAnsi="Arial" w:cs="Arial"/>
          <w:b/>
          <w:i w:val="0"/>
          <w:color w:val="000000" w:themeColor="text1"/>
          <w:sz w:val="20"/>
          <w:szCs w:val="20"/>
          <w:lang w:val="en-US"/>
        </w:rPr>
        <w:t xml:space="preserve">Table </w:t>
      </w:r>
      <w:proofErr w:type="gramStart"/>
      <w:r w:rsidR="002248AB">
        <w:rPr>
          <w:rFonts w:ascii="Arial" w:hAnsi="Arial" w:cs="Arial"/>
          <w:b/>
          <w:i w:val="0"/>
          <w:color w:val="000000" w:themeColor="text1"/>
          <w:sz w:val="20"/>
          <w:szCs w:val="20"/>
          <w:lang w:val="en-US"/>
        </w:rPr>
        <w:t>4</w:t>
      </w:r>
      <w:r w:rsidRPr="00703635">
        <w:rPr>
          <w:rFonts w:ascii="Arial" w:hAnsi="Arial" w:cs="Arial"/>
          <w:b/>
          <w:i w:val="0"/>
          <w:color w:val="000000" w:themeColor="text1"/>
          <w:sz w:val="20"/>
          <w:szCs w:val="20"/>
          <w:lang w:val="en-US"/>
        </w:rPr>
        <w:t xml:space="preserve"> :</w:t>
      </w:r>
      <w:proofErr w:type="gramEnd"/>
      <w:r w:rsidRPr="00703635">
        <w:rPr>
          <w:rFonts w:ascii="Arial" w:hAnsi="Arial" w:cs="Arial"/>
          <w:i w:val="0"/>
          <w:color w:val="000000" w:themeColor="text1"/>
          <w:sz w:val="20"/>
          <w:szCs w:val="20"/>
          <w:lang w:val="en-US"/>
        </w:rPr>
        <w:t xml:space="preserve"> </w:t>
      </w:r>
      <w:r w:rsidR="006B0578" w:rsidRPr="00703635">
        <w:rPr>
          <w:rFonts w:ascii="Arial" w:hAnsi="Arial" w:cs="Arial"/>
          <w:i w:val="0"/>
          <w:color w:val="000000" w:themeColor="text1"/>
          <w:sz w:val="20"/>
          <w:szCs w:val="20"/>
          <w:lang w:val="en-US"/>
        </w:rPr>
        <w:t>Diagnostic performance of serum PCT and CRP in bacterial meningitis</w:t>
      </w:r>
    </w:p>
    <w:bookmarkEnd w:id="2"/>
    <w:p w14:paraId="3B72CEC8" w14:textId="09714AF2" w:rsidR="00B26912" w:rsidRPr="00703635" w:rsidRDefault="00361E9D" w:rsidP="005E3D6A">
      <w:pPr>
        <w:pStyle w:val="Caption"/>
        <w:keepNext/>
        <w:spacing w:before="240"/>
        <w:jc w:val="both"/>
        <w:rPr>
          <w:rFonts w:ascii="Arial" w:hAnsi="Arial" w:cs="Arial"/>
          <w:sz w:val="20"/>
          <w:szCs w:val="20"/>
          <w:lang w:val="en-US"/>
        </w:rPr>
      </w:pPr>
      <w:r w:rsidRPr="00703635">
        <w:rPr>
          <w:rFonts w:ascii="Arial" w:hAnsi="Arial" w:cs="Arial"/>
          <w:i w:val="0"/>
          <w:iCs w:val="0"/>
          <w:color w:val="auto"/>
          <w:kern w:val="2"/>
          <w:sz w:val="20"/>
          <w:szCs w:val="20"/>
          <w:lang w:val="en-US"/>
          <w14:ligatures w14:val="standardContextual"/>
        </w:rPr>
        <w:t>CRP has moderate diagnostic capability (AUC = 0.74) with a sensitivity of 75% and specificity of 78%</w:t>
      </w:r>
      <w:r w:rsidR="00254B48" w:rsidRPr="00703635">
        <w:rPr>
          <w:rFonts w:ascii="Arial" w:hAnsi="Arial" w:cs="Arial"/>
          <w:i w:val="0"/>
          <w:iCs w:val="0"/>
          <w:color w:val="auto"/>
          <w:kern w:val="2"/>
          <w:sz w:val="20"/>
          <w:szCs w:val="20"/>
          <w:lang w:val="en-US"/>
          <w14:ligatures w14:val="standardContextual"/>
        </w:rPr>
        <w:t xml:space="preserve"> (figure </w:t>
      </w:r>
      <w:r w:rsidR="00300DE1" w:rsidRPr="00703635">
        <w:rPr>
          <w:rFonts w:ascii="Arial" w:hAnsi="Arial" w:cs="Arial"/>
          <w:i w:val="0"/>
          <w:iCs w:val="0"/>
          <w:color w:val="auto"/>
          <w:kern w:val="2"/>
          <w:sz w:val="20"/>
          <w:szCs w:val="20"/>
          <w:lang w:val="en-US"/>
          <w14:ligatures w14:val="standardContextual"/>
        </w:rPr>
        <w:t>2</w:t>
      </w:r>
      <w:r w:rsidR="00254B48" w:rsidRPr="00703635">
        <w:rPr>
          <w:rFonts w:ascii="Arial" w:hAnsi="Arial" w:cs="Arial"/>
          <w:i w:val="0"/>
          <w:iCs w:val="0"/>
          <w:color w:val="auto"/>
          <w:kern w:val="2"/>
          <w:sz w:val="20"/>
          <w:szCs w:val="20"/>
          <w:lang w:val="en-US"/>
          <w14:ligatures w14:val="standardContextual"/>
        </w:rPr>
        <w:t>)</w:t>
      </w:r>
      <w:r w:rsidRPr="00703635">
        <w:rPr>
          <w:rFonts w:ascii="Arial" w:hAnsi="Arial" w:cs="Arial"/>
          <w:i w:val="0"/>
          <w:iCs w:val="0"/>
          <w:color w:val="auto"/>
          <w:kern w:val="2"/>
          <w:sz w:val="20"/>
          <w:szCs w:val="20"/>
          <w:lang w:val="en-US"/>
          <w14:ligatures w14:val="standardContextual"/>
        </w:rPr>
        <w:t>, indicating good exclusion of non-suspected cases (NPV = 87.5%)</w:t>
      </w:r>
      <w:r w:rsidR="000400CC" w:rsidRPr="00703635">
        <w:rPr>
          <w:rFonts w:ascii="Arial" w:hAnsi="Arial" w:cs="Arial"/>
          <w:i w:val="0"/>
          <w:iCs w:val="0"/>
          <w:color w:val="auto"/>
          <w:kern w:val="2"/>
          <w:sz w:val="20"/>
          <w:szCs w:val="20"/>
          <w:lang w:val="en-US"/>
          <w14:ligatures w14:val="standardContextual"/>
        </w:rPr>
        <w:t xml:space="preserve"> (Table </w:t>
      </w:r>
      <w:r w:rsidR="002248AB">
        <w:rPr>
          <w:rFonts w:ascii="Arial" w:hAnsi="Arial" w:cs="Arial"/>
          <w:i w:val="0"/>
          <w:iCs w:val="0"/>
          <w:color w:val="auto"/>
          <w:kern w:val="2"/>
          <w:sz w:val="20"/>
          <w:szCs w:val="20"/>
          <w:lang w:val="en-US"/>
          <w14:ligatures w14:val="standardContextual"/>
        </w:rPr>
        <w:t>4</w:t>
      </w:r>
      <w:r w:rsidR="000400CC" w:rsidRPr="00703635">
        <w:rPr>
          <w:rFonts w:ascii="Arial" w:hAnsi="Arial" w:cs="Arial"/>
          <w:i w:val="0"/>
          <w:iCs w:val="0"/>
          <w:color w:val="auto"/>
          <w:kern w:val="2"/>
          <w:sz w:val="20"/>
          <w:szCs w:val="20"/>
          <w:lang w:val="en-US"/>
          <w14:ligatures w14:val="standardContextual"/>
        </w:rPr>
        <w:t>)</w:t>
      </w:r>
      <w:r w:rsidRPr="00703635">
        <w:rPr>
          <w:rFonts w:ascii="Arial" w:hAnsi="Arial" w:cs="Arial"/>
          <w:i w:val="0"/>
          <w:iCs w:val="0"/>
          <w:color w:val="auto"/>
          <w:kern w:val="2"/>
          <w:sz w:val="20"/>
          <w:szCs w:val="20"/>
          <w:lang w:val="en-US"/>
          <w14:ligatures w14:val="standardContextual"/>
        </w:rPr>
        <w:t xml:space="preserve">.  </w:t>
      </w:r>
      <w:r w:rsidR="00BE1DA1" w:rsidRPr="00703635">
        <w:rPr>
          <w:rFonts w:ascii="Arial" w:hAnsi="Arial" w:cs="Arial"/>
          <w:i w:val="0"/>
          <w:iCs w:val="0"/>
          <w:color w:val="auto"/>
          <w:kern w:val="2"/>
          <w:sz w:val="20"/>
          <w:szCs w:val="20"/>
          <w:lang w:val="en-US"/>
          <w14:ligatures w14:val="standardContextual"/>
        </w:rPr>
        <w:t>PCT shows excellent</w:t>
      </w:r>
      <w:r w:rsidR="007B6655" w:rsidRPr="00703635">
        <w:rPr>
          <w:rFonts w:ascii="Arial" w:hAnsi="Arial" w:cs="Arial"/>
          <w:i w:val="0"/>
          <w:iCs w:val="0"/>
          <w:color w:val="auto"/>
          <w:kern w:val="2"/>
          <w:sz w:val="20"/>
          <w:szCs w:val="20"/>
          <w:lang w:val="en-US"/>
          <w14:ligatures w14:val="standardContextual"/>
        </w:rPr>
        <w:t xml:space="preserve"> </w:t>
      </w:r>
      <w:r w:rsidR="00BE1DA1" w:rsidRPr="00703635">
        <w:rPr>
          <w:rFonts w:ascii="Arial" w:hAnsi="Arial" w:cs="Arial"/>
          <w:i w:val="0"/>
          <w:iCs w:val="0"/>
          <w:color w:val="auto"/>
          <w:kern w:val="2"/>
          <w:sz w:val="20"/>
          <w:szCs w:val="20"/>
          <w:lang w:val="en-US"/>
          <w14:ligatures w14:val="standardContextual"/>
        </w:rPr>
        <w:t>performance with an AUC = 0.93, sensitivity of 87.5%, specificity of 88.89%</w:t>
      </w:r>
      <w:r w:rsidR="00254B48" w:rsidRPr="00703635">
        <w:rPr>
          <w:rFonts w:ascii="Arial" w:hAnsi="Arial" w:cs="Arial"/>
          <w:i w:val="0"/>
          <w:iCs w:val="0"/>
          <w:color w:val="auto"/>
          <w:kern w:val="2"/>
          <w:sz w:val="20"/>
          <w:szCs w:val="20"/>
          <w:lang w:val="en-US"/>
          <w14:ligatures w14:val="standardContextual"/>
        </w:rPr>
        <w:t xml:space="preserve"> (figure </w:t>
      </w:r>
      <w:r w:rsidR="00300DE1" w:rsidRPr="00703635">
        <w:rPr>
          <w:rFonts w:ascii="Arial" w:hAnsi="Arial" w:cs="Arial"/>
          <w:i w:val="0"/>
          <w:iCs w:val="0"/>
          <w:color w:val="auto"/>
          <w:kern w:val="2"/>
          <w:sz w:val="20"/>
          <w:szCs w:val="20"/>
          <w:lang w:val="en-US"/>
          <w14:ligatures w14:val="standardContextual"/>
        </w:rPr>
        <w:t>2</w:t>
      </w:r>
      <w:r w:rsidR="00254B48" w:rsidRPr="00703635">
        <w:rPr>
          <w:rFonts w:ascii="Arial" w:hAnsi="Arial" w:cs="Arial"/>
          <w:i w:val="0"/>
          <w:iCs w:val="0"/>
          <w:color w:val="auto"/>
          <w:kern w:val="2"/>
          <w:sz w:val="20"/>
          <w:szCs w:val="20"/>
          <w:lang w:val="en-US"/>
          <w14:ligatures w14:val="standardContextual"/>
        </w:rPr>
        <w:t>)</w:t>
      </w:r>
      <w:r w:rsidR="00BE1DA1" w:rsidRPr="00703635">
        <w:rPr>
          <w:rFonts w:ascii="Arial" w:hAnsi="Arial" w:cs="Arial"/>
          <w:i w:val="0"/>
          <w:iCs w:val="0"/>
          <w:color w:val="auto"/>
          <w:kern w:val="2"/>
          <w:sz w:val="20"/>
          <w:szCs w:val="20"/>
          <w:lang w:val="en-US"/>
          <w14:ligatures w14:val="standardContextual"/>
        </w:rPr>
        <w:t>, and high reliability for excluding cases (NPV = 94.12%)</w:t>
      </w:r>
      <w:r w:rsidR="00254B48" w:rsidRPr="00703635">
        <w:rPr>
          <w:rFonts w:ascii="Arial" w:hAnsi="Arial" w:cs="Arial"/>
          <w:i w:val="0"/>
          <w:iCs w:val="0"/>
          <w:color w:val="auto"/>
          <w:kern w:val="2"/>
          <w:sz w:val="20"/>
          <w:szCs w:val="20"/>
          <w:lang w:val="en-US"/>
          <w14:ligatures w14:val="standardContextual"/>
        </w:rPr>
        <w:t xml:space="preserve"> (table </w:t>
      </w:r>
      <w:r w:rsidR="002248AB">
        <w:rPr>
          <w:rFonts w:ascii="Arial" w:hAnsi="Arial" w:cs="Arial"/>
          <w:i w:val="0"/>
          <w:iCs w:val="0"/>
          <w:color w:val="auto"/>
          <w:kern w:val="2"/>
          <w:sz w:val="20"/>
          <w:szCs w:val="20"/>
          <w:lang w:val="en-US"/>
          <w14:ligatures w14:val="standardContextual"/>
        </w:rPr>
        <w:t>4</w:t>
      </w:r>
      <w:r w:rsidR="00254B48" w:rsidRPr="00703635">
        <w:rPr>
          <w:rFonts w:ascii="Arial" w:hAnsi="Arial" w:cs="Arial"/>
          <w:i w:val="0"/>
          <w:iCs w:val="0"/>
          <w:color w:val="auto"/>
          <w:kern w:val="2"/>
          <w:sz w:val="20"/>
          <w:szCs w:val="20"/>
          <w:lang w:val="en-US"/>
          <w14:ligatures w14:val="standardContextual"/>
        </w:rPr>
        <w:t>)</w:t>
      </w:r>
      <w:r w:rsidR="00BE1DA1" w:rsidRPr="00703635">
        <w:rPr>
          <w:rFonts w:ascii="Arial" w:hAnsi="Arial" w:cs="Arial"/>
          <w:i w:val="0"/>
          <w:iCs w:val="0"/>
          <w:color w:val="auto"/>
          <w:kern w:val="2"/>
          <w:sz w:val="20"/>
          <w:szCs w:val="20"/>
          <w:lang w:val="en-US"/>
          <w14:ligatures w14:val="standardContextual"/>
        </w:rPr>
        <w:t>.</w:t>
      </w:r>
    </w:p>
    <w:p w14:paraId="3E73AC64" w14:textId="68957E92" w:rsidR="00B26912" w:rsidRPr="00703635" w:rsidRDefault="00B26912" w:rsidP="003B760A">
      <w:pPr>
        <w:spacing w:line="240" w:lineRule="auto"/>
        <w:rPr>
          <w:rFonts w:ascii="Arial" w:hAnsi="Arial" w:cs="Arial"/>
          <w:lang w:val="en-US"/>
        </w:rPr>
      </w:pPr>
    </w:p>
    <w:p w14:paraId="76A95B15" w14:textId="76CEF4AF" w:rsidR="00B26912" w:rsidRPr="00703635" w:rsidRDefault="00B26912" w:rsidP="003B760A">
      <w:pPr>
        <w:spacing w:line="240" w:lineRule="auto"/>
        <w:rPr>
          <w:rFonts w:ascii="Arial" w:hAnsi="Arial" w:cs="Arial"/>
          <w:lang w:val="en-US"/>
        </w:rPr>
      </w:pPr>
    </w:p>
    <w:p w14:paraId="5A181DE7" w14:textId="77777777" w:rsidR="00B26912" w:rsidRPr="00703635" w:rsidRDefault="00B26912" w:rsidP="003B760A">
      <w:pPr>
        <w:spacing w:line="240" w:lineRule="auto"/>
        <w:rPr>
          <w:rFonts w:ascii="Arial" w:hAnsi="Arial" w:cs="Arial"/>
          <w:lang w:val="en-US"/>
        </w:rPr>
      </w:pPr>
    </w:p>
    <w:p w14:paraId="6A4008B2" w14:textId="77777777" w:rsidR="00B26912" w:rsidRPr="00703635" w:rsidRDefault="00B26912" w:rsidP="003B760A">
      <w:pPr>
        <w:spacing w:line="240" w:lineRule="auto"/>
        <w:rPr>
          <w:rFonts w:ascii="Arial" w:hAnsi="Arial" w:cs="Arial"/>
          <w:lang w:val="en-US"/>
        </w:rPr>
      </w:pPr>
    </w:p>
    <w:p w14:paraId="359A9671" w14:textId="77777777" w:rsidR="00B26912" w:rsidRPr="00703635" w:rsidRDefault="00B26912" w:rsidP="003B760A">
      <w:pPr>
        <w:spacing w:line="240" w:lineRule="auto"/>
        <w:rPr>
          <w:rFonts w:ascii="Arial" w:hAnsi="Arial" w:cs="Arial"/>
          <w:lang w:val="en-US"/>
        </w:rPr>
      </w:pPr>
    </w:p>
    <w:p w14:paraId="068A379C" w14:textId="77777777" w:rsidR="00B26912" w:rsidRPr="00703635" w:rsidRDefault="00B26912" w:rsidP="003B760A">
      <w:pPr>
        <w:spacing w:line="240" w:lineRule="auto"/>
        <w:rPr>
          <w:rFonts w:ascii="Arial" w:hAnsi="Arial" w:cs="Arial"/>
          <w:lang w:val="en-US"/>
        </w:rPr>
      </w:pPr>
    </w:p>
    <w:p w14:paraId="7F8404E1" w14:textId="77777777" w:rsidR="00B26912" w:rsidRPr="00703635" w:rsidRDefault="00B26912" w:rsidP="003B760A">
      <w:pPr>
        <w:spacing w:line="240" w:lineRule="auto"/>
        <w:rPr>
          <w:rFonts w:ascii="Arial" w:hAnsi="Arial" w:cs="Arial"/>
          <w:lang w:val="en-US"/>
        </w:rPr>
      </w:pPr>
    </w:p>
    <w:p w14:paraId="06BC2833" w14:textId="62A5365F" w:rsidR="00B26912" w:rsidRPr="00703635" w:rsidRDefault="00B26912" w:rsidP="003B760A">
      <w:pPr>
        <w:spacing w:line="240" w:lineRule="auto"/>
        <w:rPr>
          <w:rFonts w:ascii="Arial" w:hAnsi="Arial" w:cs="Arial"/>
          <w:lang w:val="en-US"/>
        </w:rPr>
      </w:pPr>
    </w:p>
    <w:p w14:paraId="7B5ED4C3" w14:textId="7C8DC2F3" w:rsidR="00B26912" w:rsidRPr="00703635" w:rsidRDefault="007B6655" w:rsidP="003B760A">
      <w:pPr>
        <w:spacing w:line="240" w:lineRule="auto"/>
        <w:jc w:val="both"/>
        <w:rPr>
          <w:rFonts w:ascii="Arial" w:hAnsi="Arial" w:cs="Arial"/>
          <w:lang w:val="en-US"/>
        </w:rPr>
      </w:pPr>
      <w:r w:rsidRPr="00703635">
        <w:rPr>
          <w:rFonts w:ascii="Arial" w:eastAsia="Aptos" w:hAnsi="Arial" w:cs="Arial"/>
          <w:noProof/>
          <w:lang w:eastAsia="fr-FR"/>
        </w:rPr>
        <w:drawing>
          <wp:anchor distT="0" distB="0" distL="114300" distR="114300" simplePos="0" relativeHeight="251661312" behindDoc="0" locked="0" layoutInCell="1" allowOverlap="1" wp14:anchorId="3A837516" wp14:editId="3DE38CC8">
            <wp:simplePos x="0" y="0"/>
            <wp:positionH relativeFrom="column">
              <wp:posOffset>922655</wp:posOffset>
            </wp:positionH>
            <wp:positionV relativeFrom="paragraph">
              <wp:posOffset>-2214245</wp:posOffset>
            </wp:positionV>
            <wp:extent cx="3733800" cy="3054985"/>
            <wp:effectExtent l="0" t="0" r="0" b="0"/>
            <wp:wrapSquare wrapText="bothSides"/>
            <wp:docPr id="35" name="Espace réservé du contenu 1" descr="Une image contenant texte, diagramme, ligne, Parallèle&#10;&#10;Description générée automatiquement">
              <a:extLst xmlns:a="http://schemas.openxmlformats.org/drawingml/2006/main">
                <a:ext uri="{FF2B5EF4-FFF2-40B4-BE49-F238E27FC236}">
                  <a16:creationId xmlns:a16="http://schemas.microsoft.com/office/drawing/2014/main" id="{376D8FA7-DDD7-0EE2-91A7-2EF96405D36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Espace réservé du contenu 1" descr="Une image contenant texte, diagramme, ligne, Parallèle&#10;&#10;Description générée automatiquement">
                      <a:extLst>
                        <a:ext uri="{FF2B5EF4-FFF2-40B4-BE49-F238E27FC236}">
                          <a16:creationId xmlns:a16="http://schemas.microsoft.com/office/drawing/2014/main" id="{376D8FA7-DDD7-0EE2-91A7-2EF96405D36B}"/>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3800" cy="3054985"/>
                    </a:xfrm>
                    <a:prstGeom prst="rect">
                      <a:avLst/>
                    </a:prstGeom>
                  </pic:spPr>
                </pic:pic>
              </a:graphicData>
            </a:graphic>
            <wp14:sizeRelH relativeFrom="margin">
              <wp14:pctWidth>0</wp14:pctWidth>
            </wp14:sizeRelH>
            <wp14:sizeRelV relativeFrom="margin">
              <wp14:pctHeight>0</wp14:pctHeight>
            </wp14:sizeRelV>
          </wp:anchor>
        </w:drawing>
      </w:r>
    </w:p>
    <w:p w14:paraId="418A9169" w14:textId="77777777" w:rsidR="00C8189F" w:rsidRPr="00703635" w:rsidRDefault="00C8189F" w:rsidP="003B760A">
      <w:pPr>
        <w:spacing w:line="240" w:lineRule="auto"/>
        <w:jc w:val="both"/>
        <w:rPr>
          <w:rFonts w:ascii="Arial" w:hAnsi="Arial" w:cs="Arial"/>
          <w:b/>
          <w:bCs/>
          <w:lang w:val="en-US"/>
        </w:rPr>
      </w:pPr>
    </w:p>
    <w:p w14:paraId="23EA9677" w14:textId="77777777" w:rsidR="00C8189F" w:rsidRPr="00703635" w:rsidRDefault="00C8189F" w:rsidP="003B760A">
      <w:pPr>
        <w:spacing w:line="240" w:lineRule="auto"/>
        <w:jc w:val="both"/>
        <w:rPr>
          <w:rFonts w:ascii="Arial" w:hAnsi="Arial" w:cs="Arial"/>
          <w:b/>
          <w:bCs/>
          <w:lang w:val="en-US"/>
        </w:rPr>
      </w:pPr>
    </w:p>
    <w:p w14:paraId="04B0010B" w14:textId="77777777" w:rsidR="00146BC1" w:rsidRPr="00703635" w:rsidRDefault="00146BC1" w:rsidP="001801CD">
      <w:pPr>
        <w:spacing w:line="240" w:lineRule="auto"/>
        <w:rPr>
          <w:rFonts w:ascii="Arial" w:hAnsi="Arial" w:cs="Arial"/>
          <w:b/>
          <w:bCs/>
          <w:lang w:val="en-US"/>
        </w:rPr>
      </w:pPr>
    </w:p>
    <w:p w14:paraId="5B5D2B9C" w14:textId="554B8AF8" w:rsidR="007B6655" w:rsidRPr="00703635" w:rsidRDefault="00C8189F" w:rsidP="00254B48">
      <w:pPr>
        <w:spacing w:line="240" w:lineRule="auto"/>
        <w:jc w:val="center"/>
        <w:rPr>
          <w:rFonts w:ascii="Arial" w:hAnsi="Arial" w:cs="Arial"/>
          <w:b/>
          <w:bCs/>
          <w:sz w:val="20"/>
          <w:szCs w:val="20"/>
          <w:lang w:val="en-US"/>
        </w:rPr>
      </w:pPr>
      <w:r w:rsidRPr="00703635">
        <w:rPr>
          <w:rFonts w:ascii="Arial" w:hAnsi="Arial" w:cs="Arial"/>
          <w:b/>
          <w:bCs/>
          <w:sz w:val="20"/>
          <w:szCs w:val="20"/>
          <w:lang w:val="en-US"/>
        </w:rPr>
        <w:t xml:space="preserve">Figure </w:t>
      </w:r>
      <w:proofErr w:type="gramStart"/>
      <w:r w:rsidR="00146BC1" w:rsidRPr="00703635">
        <w:rPr>
          <w:rFonts w:ascii="Arial" w:hAnsi="Arial" w:cs="Arial"/>
          <w:b/>
          <w:bCs/>
          <w:sz w:val="20"/>
          <w:szCs w:val="20"/>
          <w:lang w:val="en-US"/>
        </w:rPr>
        <w:t xml:space="preserve">2 </w:t>
      </w:r>
      <w:r w:rsidRPr="00703635">
        <w:rPr>
          <w:rFonts w:ascii="Arial" w:hAnsi="Arial" w:cs="Arial"/>
          <w:b/>
          <w:bCs/>
          <w:sz w:val="20"/>
          <w:szCs w:val="20"/>
          <w:lang w:val="en-US"/>
        </w:rPr>
        <w:t>:</w:t>
      </w:r>
      <w:proofErr w:type="gramEnd"/>
      <w:r w:rsidRPr="00703635">
        <w:rPr>
          <w:rFonts w:ascii="Arial" w:hAnsi="Arial" w:cs="Arial"/>
          <w:b/>
          <w:bCs/>
          <w:sz w:val="20"/>
          <w:szCs w:val="20"/>
          <w:lang w:val="en-US"/>
        </w:rPr>
        <w:t xml:space="preserve"> </w:t>
      </w:r>
      <w:r w:rsidRPr="00703635">
        <w:rPr>
          <w:rFonts w:ascii="Arial" w:hAnsi="Arial" w:cs="Arial"/>
          <w:sz w:val="20"/>
          <w:szCs w:val="20"/>
          <w:lang w:val="en-US"/>
        </w:rPr>
        <w:t>ROC curve for PCT and CRP</w:t>
      </w:r>
    </w:p>
    <w:p w14:paraId="47301F0F" w14:textId="09E96F3D" w:rsidR="00B26912" w:rsidRPr="00703635" w:rsidRDefault="00B26912" w:rsidP="003B760A">
      <w:pPr>
        <w:pStyle w:val="ListParagraph"/>
        <w:numPr>
          <w:ilvl w:val="0"/>
          <w:numId w:val="5"/>
        </w:numPr>
        <w:spacing w:line="240" w:lineRule="auto"/>
        <w:jc w:val="both"/>
        <w:rPr>
          <w:rFonts w:ascii="Arial" w:hAnsi="Arial" w:cs="Arial"/>
          <w:b/>
          <w:bCs/>
          <w:sz w:val="22"/>
          <w:szCs w:val="22"/>
          <w:lang w:val="en-US"/>
        </w:rPr>
      </w:pPr>
      <w:r w:rsidRPr="00703635">
        <w:rPr>
          <w:rFonts w:ascii="Arial" w:hAnsi="Arial" w:cs="Arial"/>
          <w:b/>
          <w:bCs/>
          <w:sz w:val="22"/>
          <w:szCs w:val="22"/>
          <w:lang w:val="en-US"/>
        </w:rPr>
        <w:t>DISCUSSION</w:t>
      </w:r>
    </w:p>
    <w:p w14:paraId="15F35110" w14:textId="77777777" w:rsidR="000D1371" w:rsidRPr="00703635" w:rsidRDefault="000D1371"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Positive CSF culture is the gold standard for diagnosing meningitis, but its sensitivity is low. Clinical presentation, cytochemistry, and response to treatment are increasingly being emphasized for guiding and confirming diagnosis in our setting. Given the limitations of our diagnostic platforms for detecting germs with PCR or detecting antigens with serological tests, the use of a specific blood marker is important for accurate and rapid diagnosis of bacterial meningitis. </w:t>
      </w:r>
    </w:p>
    <w:p w14:paraId="20E5B4D6" w14:textId="0DF69BA5" w:rsidR="0026030B" w:rsidRPr="00703635" w:rsidRDefault="0026030B" w:rsidP="0026030B">
      <w:pPr>
        <w:spacing w:line="240" w:lineRule="auto"/>
        <w:jc w:val="both"/>
        <w:rPr>
          <w:rFonts w:ascii="Arial" w:hAnsi="Arial" w:cs="Arial"/>
          <w:sz w:val="20"/>
          <w:szCs w:val="20"/>
          <w:lang w:val="en-US"/>
        </w:rPr>
      </w:pPr>
      <w:r w:rsidRPr="00703635">
        <w:rPr>
          <w:rFonts w:ascii="Arial" w:hAnsi="Arial" w:cs="Arial"/>
          <w:sz w:val="20"/>
          <w:szCs w:val="20"/>
          <w:lang w:val="en-US"/>
        </w:rPr>
        <w:t xml:space="preserve">With the decrease in suspected cases of meningitis following the introduction of vaccination, we were able to include 40 children under the age of 5 in our study. Clinically, a high frequency of fever (92.5%) </w:t>
      </w:r>
      <w:r w:rsidRPr="00703635">
        <w:rPr>
          <w:rFonts w:ascii="Arial" w:hAnsi="Arial" w:cs="Arial"/>
          <w:sz w:val="20"/>
          <w:szCs w:val="20"/>
          <w:lang w:val="en-US"/>
        </w:rPr>
        <w:lastRenderedPageBreak/>
        <w:t>reflecting a systemic inflammatory response was often observed in meningeal infections. Convulsions (65%), indicating meningeal irritation or encephalitis, and vomiting (40%) (</w:t>
      </w:r>
      <w:r w:rsidR="004A0261" w:rsidRPr="00703635">
        <w:rPr>
          <w:rFonts w:ascii="Arial" w:hAnsi="Arial" w:cs="Arial"/>
          <w:sz w:val="20"/>
          <w:szCs w:val="20"/>
          <w:lang w:val="en-US"/>
        </w:rPr>
        <w:t xml:space="preserve">Table </w:t>
      </w:r>
      <w:r w:rsidR="002248AB">
        <w:rPr>
          <w:rFonts w:ascii="Arial" w:hAnsi="Arial" w:cs="Arial"/>
          <w:sz w:val="20"/>
          <w:szCs w:val="20"/>
          <w:lang w:val="en-US"/>
        </w:rPr>
        <w:t>1</w:t>
      </w:r>
      <w:r w:rsidRPr="00703635">
        <w:rPr>
          <w:rFonts w:ascii="Arial" w:hAnsi="Arial" w:cs="Arial"/>
          <w:sz w:val="20"/>
          <w:szCs w:val="20"/>
          <w:lang w:val="en-US"/>
        </w:rPr>
        <w:t xml:space="preserve">). </w:t>
      </w:r>
    </w:p>
    <w:p w14:paraId="3C0E30BD" w14:textId="5FEFC63A" w:rsidR="00D60BEE" w:rsidRPr="00703635" w:rsidRDefault="007B0187" w:rsidP="00D60BEE">
      <w:pPr>
        <w:spacing w:line="240" w:lineRule="auto"/>
        <w:jc w:val="both"/>
        <w:rPr>
          <w:rFonts w:ascii="Arial" w:hAnsi="Arial" w:cs="Arial"/>
          <w:sz w:val="20"/>
          <w:szCs w:val="20"/>
          <w:lang w:val="en-US"/>
        </w:rPr>
      </w:pPr>
      <w:r w:rsidRPr="00703635">
        <w:rPr>
          <w:rFonts w:ascii="Arial" w:hAnsi="Arial" w:cs="Arial"/>
          <w:sz w:val="20"/>
          <w:szCs w:val="20"/>
          <w:lang w:val="en-US"/>
        </w:rPr>
        <w:t>Our results are similar to those of MC et al in 2019</w:t>
      </w:r>
      <w:r w:rsidR="00B26912" w:rsidRPr="00703635">
        <w:rPr>
          <w:rFonts w:ascii="Arial" w:hAnsi="Arial" w:cs="Arial"/>
          <w:sz w:val="20"/>
          <w:szCs w:val="20"/>
          <w:lang w:val="en-US"/>
        </w:rPr>
        <w:t xml:space="preserve"> </w:t>
      </w:r>
      <w:r w:rsidR="00373804" w:rsidRPr="00703635">
        <w:rPr>
          <w:rFonts w:ascii="Arial" w:hAnsi="Arial" w:cs="Arial"/>
          <w:sz w:val="20"/>
          <w:szCs w:val="20"/>
          <w:lang w:val="en-US"/>
        </w:rPr>
        <w:t>(Barry, 2019)</w:t>
      </w:r>
      <w:r w:rsidR="009C4122" w:rsidRPr="00703635">
        <w:rPr>
          <w:rFonts w:ascii="Arial" w:hAnsi="Arial" w:cs="Arial"/>
          <w:b/>
          <w:bCs/>
          <w:sz w:val="20"/>
          <w:szCs w:val="20"/>
          <w:lang w:val="en-US"/>
        </w:rPr>
        <w:t>,</w:t>
      </w:r>
      <w:r w:rsidR="00B26912" w:rsidRPr="00703635">
        <w:rPr>
          <w:rFonts w:ascii="Arial" w:hAnsi="Arial" w:cs="Arial"/>
          <w:sz w:val="20"/>
          <w:szCs w:val="20"/>
          <w:lang w:val="en-US"/>
        </w:rPr>
        <w:t xml:space="preserve"> </w:t>
      </w:r>
      <w:r w:rsidR="009C4122" w:rsidRPr="00703635">
        <w:rPr>
          <w:rFonts w:ascii="Arial" w:hAnsi="Arial" w:cs="Arial"/>
          <w:sz w:val="20"/>
          <w:szCs w:val="20"/>
          <w:lang w:val="en-US"/>
        </w:rPr>
        <w:t xml:space="preserve">who found fever in 100% of cases, convulsions in 78.5% and vomiting in 56.3%, as well as Doumbia et al in 2020 </w:t>
      </w:r>
      <w:r w:rsidR="00373804" w:rsidRPr="00703635">
        <w:rPr>
          <w:rFonts w:ascii="Arial" w:hAnsi="Arial" w:cs="Arial"/>
          <w:sz w:val="20"/>
          <w:szCs w:val="20"/>
          <w:lang w:val="en-US"/>
        </w:rPr>
        <w:t>(Doumbia, 2020)</w:t>
      </w:r>
      <w:r w:rsidR="00B26912" w:rsidRPr="00703635">
        <w:rPr>
          <w:rFonts w:ascii="Arial" w:hAnsi="Arial" w:cs="Arial"/>
          <w:sz w:val="20"/>
          <w:szCs w:val="20"/>
          <w:lang w:val="en-US"/>
        </w:rPr>
        <w:t xml:space="preserve"> </w:t>
      </w:r>
      <w:r w:rsidR="00D60BEE" w:rsidRPr="00703635">
        <w:rPr>
          <w:rFonts w:ascii="Arial" w:hAnsi="Arial" w:cs="Arial"/>
          <w:sz w:val="20"/>
          <w:szCs w:val="20"/>
          <w:lang w:val="en-US"/>
        </w:rPr>
        <w:t xml:space="preserve">(fever 81%, convulsions 69%, and vomiting 44%). </w:t>
      </w:r>
    </w:p>
    <w:p w14:paraId="3B4B72CD" w14:textId="187D7295" w:rsidR="00B26912" w:rsidRPr="00703635" w:rsidRDefault="00D60BEE" w:rsidP="004D44D9">
      <w:pPr>
        <w:spacing w:line="240" w:lineRule="auto"/>
        <w:jc w:val="both"/>
        <w:rPr>
          <w:rFonts w:ascii="Arial" w:hAnsi="Arial" w:cs="Arial"/>
          <w:sz w:val="20"/>
          <w:szCs w:val="20"/>
          <w:lang w:val="en-US"/>
        </w:rPr>
      </w:pPr>
      <w:r w:rsidRPr="00703635">
        <w:rPr>
          <w:rFonts w:ascii="Arial" w:hAnsi="Arial" w:cs="Arial"/>
          <w:sz w:val="20"/>
          <w:szCs w:val="20"/>
          <w:lang w:val="en-US"/>
        </w:rPr>
        <w:t>This diversity highlights the complexity of differential diagnosis based on clinical presentation alone.</w:t>
      </w:r>
      <w:r w:rsidR="00F66401" w:rsidRPr="00703635">
        <w:rPr>
          <w:rFonts w:ascii="Arial" w:hAnsi="Arial" w:cs="Arial"/>
          <w:sz w:val="20"/>
          <w:szCs w:val="20"/>
          <w:lang w:val="en-US"/>
        </w:rPr>
        <w:t xml:space="preserve"> </w:t>
      </w:r>
      <w:r w:rsidR="00150C4E" w:rsidRPr="00703635">
        <w:rPr>
          <w:rFonts w:ascii="Arial" w:hAnsi="Arial" w:cs="Arial"/>
          <w:sz w:val="20"/>
          <w:szCs w:val="20"/>
          <w:lang w:val="en-US"/>
        </w:rPr>
        <w:t xml:space="preserve">The similarities in symptoms between bacterial meningitis, viral meningitis, sepsis, and other generalized infections require a comprehensive diagnostic approach </w:t>
      </w:r>
      <w:r w:rsidR="00373804" w:rsidRPr="00703635">
        <w:rPr>
          <w:rFonts w:ascii="Arial" w:hAnsi="Arial" w:cs="Arial"/>
          <w:sz w:val="20"/>
          <w:szCs w:val="20"/>
          <w:lang w:val="en-US"/>
        </w:rPr>
        <w:t>(Esposito, 2018)</w:t>
      </w:r>
      <w:r w:rsidR="00B26912" w:rsidRPr="00703635">
        <w:rPr>
          <w:rFonts w:ascii="Arial" w:hAnsi="Arial" w:cs="Arial"/>
          <w:sz w:val="20"/>
          <w:szCs w:val="20"/>
          <w:lang w:val="en-US"/>
        </w:rPr>
        <w:t xml:space="preserve">. </w:t>
      </w:r>
      <w:r w:rsidR="006A5163" w:rsidRPr="00703635">
        <w:rPr>
          <w:rFonts w:ascii="Arial" w:hAnsi="Arial" w:cs="Arial"/>
          <w:sz w:val="20"/>
          <w:szCs w:val="20"/>
          <w:lang w:val="en-US"/>
        </w:rPr>
        <w:t xml:space="preserve">Similar studies have also shown that suspected cases of meningitis can lead to a variety of other final diagnoses. A study conducted in the United Kingdom and Ireland in 2022 </w:t>
      </w:r>
      <w:r w:rsidR="00373804" w:rsidRPr="00703635">
        <w:rPr>
          <w:rFonts w:ascii="Arial" w:hAnsi="Arial" w:cs="Arial"/>
          <w:sz w:val="20"/>
          <w:szCs w:val="20"/>
          <w:lang w:val="en-US"/>
        </w:rPr>
        <w:t>(Ellis, 2022)</w:t>
      </w:r>
      <w:r w:rsidR="00B26912" w:rsidRPr="00703635">
        <w:rPr>
          <w:rFonts w:ascii="Arial" w:hAnsi="Arial" w:cs="Arial"/>
          <w:b/>
          <w:bCs/>
          <w:sz w:val="20"/>
          <w:szCs w:val="20"/>
          <w:lang w:val="en-US"/>
        </w:rPr>
        <w:t xml:space="preserve"> </w:t>
      </w:r>
      <w:r w:rsidR="00352A2D" w:rsidRPr="00703635">
        <w:rPr>
          <w:rFonts w:ascii="Arial" w:hAnsi="Arial" w:cs="Arial"/>
          <w:sz w:val="20"/>
          <w:szCs w:val="20"/>
          <w:lang w:val="en-US"/>
        </w:rPr>
        <w:t xml:space="preserve">revealed that, among patients suspected of having bacterial meningitis, only 21% had a confirmed diagnosis, which is similar to our result (Figure </w:t>
      </w:r>
      <w:r w:rsidR="00555B3F" w:rsidRPr="00703635">
        <w:rPr>
          <w:rFonts w:ascii="Arial" w:hAnsi="Arial" w:cs="Arial"/>
          <w:sz w:val="20"/>
          <w:szCs w:val="20"/>
          <w:lang w:val="en-US"/>
        </w:rPr>
        <w:t>1</w:t>
      </w:r>
      <w:r w:rsidR="00352A2D" w:rsidRPr="00703635">
        <w:rPr>
          <w:rFonts w:ascii="Arial" w:hAnsi="Arial" w:cs="Arial"/>
          <w:sz w:val="20"/>
          <w:szCs w:val="20"/>
          <w:lang w:val="en-US"/>
        </w:rPr>
        <w:t xml:space="preserve">). 42% had viral meningitis, and a significant proportion (37%) had no identifiable pathogen. </w:t>
      </w:r>
      <w:r w:rsidR="004D44D9" w:rsidRPr="00703635">
        <w:rPr>
          <w:rFonts w:ascii="Arial" w:hAnsi="Arial" w:cs="Arial"/>
          <w:sz w:val="20"/>
          <w:szCs w:val="20"/>
          <w:lang w:val="en-US"/>
        </w:rPr>
        <w:t xml:space="preserve">In another study conducted in Kenya, out of 12,986 pediatric admissions, 98 cases of meningitis were identified (0.8%). Several children initially suspected of having meningitis were ultimately diagnosed with respiratory infections, septicemia, and other non-infectious conditions </w:t>
      </w:r>
      <w:r w:rsidR="00373804" w:rsidRPr="00703635">
        <w:rPr>
          <w:rFonts w:ascii="Arial" w:hAnsi="Arial" w:cs="Arial"/>
          <w:sz w:val="20"/>
          <w:szCs w:val="20"/>
          <w:lang w:val="en-US"/>
        </w:rPr>
        <w:t>(Obie</w:t>
      </w:r>
      <w:r w:rsidR="0036546A" w:rsidRPr="00703635">
        <w:rPr>
          <w:rFonts w:ascii="Arial" w:hAnsi="Arial" w:cs="Arial"/>
          <w:sz w:val="20"/>
          <w:szCs w:val="20"/>
          <w:lang w:val="en-US"/>
        </w:rPr>
        <w:t>ro, 2021)</w:t>
      </w:r>
      <w:r w:rsidR="00B26912" w:rsidRPr="00703635">
        <w:rPr>
          <w:rFonts w:ascii="Arial" w:hAnsi="Arial" w:cs="Arial"/>
          <w:b/>
          <w:bCs/>
          <w:sz w:val="20"/>
          <w:szCs w:val="20"/>
          <w:lang w:val="en-US"/>
        </w:rPr>
        <w:t>.</w:t>
      </w:r>
    </w:p>
    <w:p w14:paraId="5880066D" w14:textId="6A8E8547" w:rsidR="00B26912" w:rsidRPr="00703635" w:rsidRDefault="00433994" w:rsidP="00BB68BB">
      <w:pPr>
        <w:spacing w:line="240" w:lineRule="auto"/>
        <w:jc w:val="both"/>
        <w:rPr>
          <w:rFonts w:ascii="Arial" w:hAnsi="Arial" w:cs="Arial"/>
          <w:sz w:val="20"/>
          <w:szCs w:val="20"/>
          <w:lang w:val="en-US"/>
        </w:rPr>
      </w:pPr>
      <w:r w:rsidRPr="00703635">
        <w:rPr>
          <w:rFonts w:ascii="Arial" w:hAnsi="Arial" w:cs="Arial"/>
          <w:sz w:val="20"/>
          <w:szCs w:val="20"/>
          <w:lang w:val="en-US"/>
        </w:rPr>
        <w:t>Regarding the cytological and cytochemical evaluation of CSF, our results show a lymphocytic predominance with an average leukocyte count of 135 mm</w:t>
      </w:r>
      <w:r w:rsidRPr="00703635">
        <w:rPr>
          <w:rFonts w:ascii="Arial" w:hAnsi="Arial" w:cs="Arial"/>
          <w:sz w:val="20"/>
          <w:szCs w:val="20"/>
          <w:vertAlign w:val="superscript"/>
          <w:lang w:val="en-US"/>
        </w:rPr>
        <w:t>3</w:t>
      </w:r>
      <w:r w:rsidRPr="00703635">
        <w:rPr>
          <w:rFonts w:ascii="Arial" w:hAnsi="Arial" w:cs="Arial"/>
          <w:sz w:val="20"/>
          <w:szCs w:val="20"/>
          <w:lang w:val="en-US"/>
        </w:rPr>
        <w:t xml:space="preserve">. </w:t>
      </w:r>
      <w:r w:rsidR="00EC14F1" w:rsidRPr="00703635">
        <w:rPr>
          <w:rFonts w:ascii="Arial" w:hAnsi="Arial" w:cs="Arial"/>
          <w:sz w:val="20"/>
          <w:szCs w:val="20"/>
          <w:lang w:val="en-US"/>
        </w:rPr>
        <w:t xml:space="preserve">In addition, we found that the majority of patients had normal </w:t>
      </w:r>
      <w:proofErr w:type="spellStart"/>
      <w:r w:rsidR="00EC14F1" w:rsidRPr="00703635">
        <w:rPr>
          <w:rFonts w:ascii="Arial" w:hAnsi="Arial" w:cs="Arial"/>
          <w:sz w:val="20"/>
          <w:szCs w:val="20"/>
          <w:lang w:val="en-US"/>
        </w:rPr>
        <w:t>glycorachia</w:t>
      </w:r>
      <w:proofErr w:type="spellEnd"/>
      <w:r w:rsidR="00EC14F1" w:rsidRPr="00703635">
        <w:rPr>
          <w:rFonts w:ascii="Arial" w:hAnsi="Arial" w:cs="Arial"/>
          <w:sz w:val="20"/>
          <w:szCs w:val="20"/>
          <w:lang w:val="en-US"/>
        </w:rPr>
        <w:t xml:space="preserve"> (0.60 g/L) and slightly elevated </w:t>
      </w:r>
      <w:proofErr w:type="spellStart"/>
      <w:r w:rsidR="00EC14F1" w:rsidRPr="00703635">
        <w:rPr>
          <w:rFonts w:ascii="Arial" w:hAnsi="Arial" w:cs="Arial"/>
          <w:sz w:val="20"/>
          <w:szCs w:val="20"/>
          <w:lang w:val="en-US"/>
        </w:rPr>
        <w:t>proteinorachia</w:t>
      </w:r>
      <w:proofErr w:type="spellEnd"/>
      <w:r w:rsidR="00EC14F1" w:rsidRPr="00703635">
        <w:rPr>
          <w:rFonts w:ascii="Arial" w:hAnsi="Arial" w:cs="Arial"/>
          <w:sz w:val="20"/>
          <w:szCs w:val="20"/>
          <w:lang w:val="en-US"/>
        </w:rPr>
        <w:t xml:space="preserve">, at 0.62 g/L (Table </w:t>
      </w:r>
      <w:r w:rsidR="002248AB">
        <w:rPr>
          <w:rFonts w:ascii="Arial" w:hAnsi="Arial" w:cs="Arial"/>
          <w:sz w:val="20"/>
          <w:szCs w:val="20"/>
          <w:lang w:val="en-US"/>
        </w:rPr>
        <w:t>2</w:t>
      </w:r>
      <w:r w:rsidR="00EC14F1" w:rsidRPr="00703635">
        <w:rPr>
          <w:rFonts w:ascii="Arial" w:hAnsi="Arial" w:cs="Arial"/>
          <w:sz w:val="20"/>
          <w:szCs w:val="20"/>
          <w:lang w:val="en-US"/>
        </w:rPr>
        <w:t>)</w:t>
      </w:r>
      <w:r w:rsidRPr="00703635">
        <w:rPr>
          <w:rFonts w:ascii="Arial" w:hAnsi="Arial" w:cs="Arial"/>
          <w:sz w:val="20"/>
          <w:szCs w:val="20"/>
          <w:lang w:val="en-US"/>
        </w:rPr>
        <w:t>.</w:t>
      </w:r>
      <w:r w:rsidR="00EC14F1" w:rsidRPr="00703635">
        <w:rPr>
          <w:rFonts w:ascii="Arial" w:hAnsi="Arial" w:cs="Arial"/>
          <w:sz w:val="20"/>
          <w:szCs w:val="20"/>
          <w:lang w:val="en-US"/>
        </w:rPr>
        <w:t xml:space="preserve"> </w:t>
      </w:r>
      <w:r w:rsidRPr="00703635">
        <w:rPr>
          <w:rFonts w:ascii="Arial" w:hAnsi="Arial" w:cs="Arial"/>
          <w:sz w:val="20"/>
          <w:szCs w:val="20"/>
          <w:lang w:val="en-US"/>
        </w:rPr>
        <w:t xml:space="preserve">This cell distribution may be indicative of a predominance of viral meningitis. </w:t>
      </w:r>
      <w:r w:rsidR="00316B4A" w:rsidRPr="00703635">
        <w:rPr>
          <w:rFonts w:ascii="Arial" w:hAnsi="Arial" w:cs="Arial"/>
          <w:sz w:val="20"/>
          <w:szCs w:val="20"/>
          <w:lang w:val="en-US"/>
        </w:rPr>
        <w:t>According to Mary</w:t>
      </w:r>
      <w:r w:rsidR="0036546A" w:rsidRPr="00703635">
        <w:rPr>
          <w:rFonts w:ascii="Arial" w:hAnsi="Arial" w:cs="Arial"/>
          <w:sz w:val="20"/>
          <w:szCs w:val="20"/>
          <w:lang w:val="en-US"/>
        </w:rPr>
        <w:t xml:space="preserve"> (Mary, 2024)</w:t>
      </w:r>
      <w:r w:rsidR="00B26912" w:rsidRPr="00703635">
        <w:rPr>
          <w:rFonts w:ascii="Arial" w:hAnsi="Arial" w:cs="Arial"/>
          <w:b/>
          <w:bCs/>
          <w:sz w:val="20"/>
          <w:szCs w:val="20"/>
          <w:lang w:val="en-US"/>
        </w:rPr>
        <w:t>,</w:t>
      </w:r>
      <w:r w:rsidR="00B26912" w:rsidRPr="00703635">
        <w:rPr>
          <w:rFonts w:ascii="Arial" w:hAnsi="Arial" w:cs="Arial"/>
          <w:sz w:val="20"/>
          <w:szCs w:val="20"/>
          <w:lang w:val="en-US"/>
        </w:rPr>
        <w:t xml:space="preserve"> </w:t>
      </w:r>
      <w:r w:rsidR="00BB68BB" w:rsidRPr="00703635">
        <w:rPr>
          <w:rFonts w:ascii="Arial" w:hAnsi="Arial" w:cs="Arial"/>
          <w:sz w:val="20"/>
          <w:szCs w:val="20"/>
          <w:lang w:val="en-US"/>
        </w:rPr>
        <w:t xml:space="preserve">if there is a predominance of lymphocytes in association with hypoglycorrhachia (glycorrhachia/glycemia &lt;0.5 g/L), tuberculosis, listeriosis, and cryptococcosis may be considered depending on the clinical context and the appearance of the CSF. If </w:t>
      </w:r>
      <w:proofErr w:type="spellStart"/>
      <w:r w:rsidR="00BB68BB" w:rsidRPr="00703635">
        <w:rPr>
          <w:rFonts w:ascii="Arial" w:hAnsi="Arial" w:cs="Arial"/>
          <w:sz w:val="20"/>
          <w:szCs w:val="20"/>
          <w:lang w:val="en-US"/>
        </w:rPr>
        <w:t>glycorachia</w:t>
      </w:r>
      <w:proofErr w:type="spellEnd"/>
      <w:r w:rsidR="00BB68BB" w:rsidRPr="00703635">
        <w:rPr>
          <w:rFonts w:ascii="Arial" w:hAnsi="Arial" w:cs="Arial"/>
          <w:sz w:val="20"/>
          <w:szCs w:val="20"/>
          <w:lang w:val="en-US"/>
        </w:rPr>
        <w:t xml:space="preserve"> is normal, a viral etiology should be considered.</w:t>
      </w:r>
    </w:p>
    <w:p w14:paraId="73D1DB9C" w14:textId="7BEC5AEA" w:rsidR="003765EE" w:rsidRPr="00703635" w:rsidRDefault="00336EBC" w:rsidP="003765EE">
      <w:pPr>
        <w:spacing w:line="240" w:lineRule="auto"/>
        <w:jc w:val="both"/>
        <w:rPr>
          <w:rFonts w:ascii="Arial" w:hAnsi="Arial" w:cs="Arial"/>
          <w:sz w:val="20"/>
          <w:szCs w:val="20"/>
          <w:lang w:val="en-US"/>
        </w:rPr>
      </w:pPr>
      <w:r w:rsidRPr="00703635">
        <w:rPr>
          <w:rFonts w:ascii="Arial" w:hAnsi="Arial" w:cs="Arial"/>
          <w:sz w:val="20"/>
          <w:szCs w:val="20"/>
          <w:lang w:val="en-US"/>
        </w:rPr>
        <w:t xml:space="preserve">However, variations in PCT, CRP, and cytochemistry are more closely related to the discharge diagnosis. </w:t>
      </w:r>
      <w:r w:rsidR="00623B6B" w:rsidRPr="00703635">
        <w:rPr>
          <w:rFonts w:ascii="Arial" w:hAnsi="Arial" w:cs="Arial"/>
          <w:sz w:val="20"/>
          <w:szCs w:val="20"/>
          <w:lang w:val="en-US"/>
        </w:rPr>
        <w:t xml:space="preserve">In fact, they made it possible to differentiate between bacterial meningitis and viral meningitis. CRP levels are much higher in bacterial meningitis (114 ± 88.6 mg/L) than in viral meningitis (31.7 ± 49.7 mg/L) (Table </w:t>
      </w:r>
      <w:r w:rsidR="002248AB">
        <w:rPr>
          <w:rFonts w:ascii="Arial" w:hAnsi="Arial" w:cs="Arial"/>
          <w:sz w:val="20"/>
          <w:szCs w:val="20"/>
          <w:lang w:val="en-US"/>
        </w:rPr>
        <w:t>3</w:t>
      </w:r>
      <w:r w:rsidR="00623B6B" w:rsidRPr="00703635">
        <w:rPr>
          <w:rFonts w:ascii="Arial" w:hAnsi="Arial" w:cs="Arial"/>
          <w:sz w:val="20"/>
          <w:szCs w:val="20"/>
          <w:lang w:val="en-US"/>
        </w:rPr>
        <w:t xml:space="preserve">), due to a more intense inflammatory response during bacterial infection. </w:t>
      </w:r>
      <w:r w:rsidR="00C50673" w:rsidRPr="00703635">
        <w:rPr>
          <w:rFonts w:ascii="Arial" w:hAnsi="Arial" w:cs="Arial"/>
          <w:sz w:val="20"/>
          <w:szCs w:val="20"/>
          <w:lang w:val="en-US"/>
        </w:rPr>
        <w:t xml:space="preserve">Similarly, procalcitonin is significantly higher in bacterial meningitis (13.3 ± 13.3 ng/mL) because it is produced in response to bacterial toxins, whereas its levels remain low in viral meningitis (0.27 ± 0.28 ng/mL) (Table </w:t>
      </w:r>
      <w:r w:rsidR="002248AB">
        <w:rPr>
          <w:rFonts w:ascii="Arial" w:hAnsi="Arial" w:cs="Arial"/>
          <w:sz w:val="20"/>
          <w:szCs w:val="20"/>
          <w:lang w:val="en-US"/>
        </w:rPr>
        <w:t>3</w:t>
      </w:r>
      <w:r w:rsidR="00C50673" w:rsidRPr="00703635">
        <w:rPr>
          <w:rFonts w:ascii="Arial" w:hAnsi="Arial" w:cs="Arial"/>
          <w:sz w:val="20"/>
          <w:szCs w:val="20"/>
          <w:lang w:val="en-US"/>
        </w:rPr>
        <w:t xml:space="preserve">). </w:t>
      </w:r>
      <w:r w:rsidR="003765EE" w:rsidRPr="00703635">
        <w:rPr>
          <w:rFonts w:ascii="Arial" w:hAnsi="Arial" w:cs="Arial"/>
          <w:sz w:val="20"/>
          <w:szCs w:val="20"/>
          <w:lang w:val="en-US"/>
        </w:rPr>
        <w:t xml:space="preserve">In both situations, the p-value was significant, with p &lt;0.001 for PCT and p = 0.049 for CRP. </w:t>
      </w:r>
    </w:p>
    <w:p w14:paraId="42836947" w14:textId="5E4A8DC6" w:rsidR="00B26912" w:rsidRPr="00703635" w:rsidRDefault="003765EE" w:rsidP="003765EE">
      <w:pPr>
        <w:spacing w:line="240" w:lineRule="auto"/>
        <w:jc w:val="both"/>
        <w:rPr>
          <w:rFonts w:ascii="Arial" w:hAnsi="Arial" w:cs="Arial"/>
          <w:sz w:val="20"/>
          <w:szCs w:val="20"/>
          <w:lang w:val="en-US"/>
        </w:rPr>
      </w:pPr>
      <w:r w:rsidRPr="00703635">
        <w:rPr>
          <w:rFonts w:ascii="Arial" w:hAnsi="Arial" w:cs="Arial"/>
          <w:sz w:val="20"/>
          <w:szCs w:val="20"/>
          <w:lang w:val="en-US"/>
        </w:rPr>
        <w:t xml:space="preserve">Our results are similar to those of </w:t>
      </w:r>
      <w:proofErr w:type="spellStart"/>
      <w:r w:rsidRPr="00703635">
        <w:rPr>
          <w:rFonts w:ascii="Arial" w:hAnsi="Arial" w:cs="Arial"/>
          <w:sz w:val="20"/>
          <w:szCs w:val="20"/>
          <w:lang w:val="en-US"/>
        </w:rPr>
        <w:t>Ferrière</w:t>
      </w:r>
      <w:proofErr w:type="spellEnd"/>
      <w:r w:rsidRPr="00703635">
        <w:rPr>
          <w:rFonts w:ascii="Arial" w:hAnsi="Arial" w:cs="Arial"/>
          <w:sz w:val="20"/>
          <w:szCs w:val="20"/>
          <w:lang w:val="en-US"/>
        </w:rPr>
        <w:t xml:space="preserve"> </w:t>
      </w:r>
      <w:r w:rsidR="007D2F71" w:rsidRPr="00703635">
        <w:rPr>
          <w:rFonts w:ascii="Arial" w:hAnsi="Arial" w:cs="Arial"/>
          <w:sz w:val="20"/>
          <w:szCs w:val="20"/>
          <w:lang w:val="en-US"/>
        </w:rPr>
        <w:t>(</w:t>
      </w:r>
      <w:proofErr w:type="spellStart"/>
      <w:r w:rsidR="007D2F71" w:rsidRPr="00703635">
        <w:rPr>
          <w:rFonts w:ascii="Arial" w:hAnsi="Arial" w:cs="Arial"/>
          <w:sz w:val="20"/>
          <w:szCs w:val="20"/>
          <w:lang w:val="en-US"/>
        </w:rPr>
        <w:t>Ferrière</w:t>
      </w:r>
      <w:proofErr w:type="spellEnd"/>
      <w:r w:rsidR="007D2F71" w:rsidRPr="00703635">
        <w:rPr>
          <w:rFonts w:ascii="Arial" w:hAnsi="Arial" w:cs="Arial"/>
          <w:sz w:val="20"/>
          <w:szCs w:val="20"/>
          <w:lang w:val="en-US"/>
        </w:rPr>
        <w:t>, 2020)</w:t>
      </w:r>
      <w:r w:rsidR="000B3F2B" w:rsidRPr="00703635">
        <w:rPr>
          <w:rFonts w:ascii="Arial" w:hAnsi="Arial" w:cs="Arial"/>
          <w:sz w:val="20"/>
          <w:szCs w:val="20"/>
          <w:lang w:val="en-US"/>
        </w:rPr>
        <w:t>,</w:t>
      </w:r>
      <w:r w:rsidR="00B26912" w:rsidRPr="00703635">
        <w:rPr>
          <w:rFonts w:ascii="Arial" w:hAnsi="Arial" w:cs="Arial"/>
          <w:b/>
          <w:bCs/>
          <w:sz w:val="20"/>
          <w:szCs w:val="20"/>
          <w:lang w:val="en-US"/>
        </w:rPr>
        <w:t xml:space="preserve"> </w:t>
      </w:r>
      <w:r w:rsidR="000B3F2B" w:rsidRPr="00703635">
        <w:rPr>
          <w:rFonts w:ascii="Arial" w:hAnsi="Arial" w:cs="Arial"/>
          <w:sz w:val="20"/>
          <w:szCs w:val="20"/>
          <w:lang w:val="en-US"/>
        </w:rPr>
        <w:t>where the mean PCT was 61 ng/mL for bacterial meningitis and 0.25 ng/mL for viral meningitis.</w:t>
      </w:r>
    </w:p>
    <w:p w14:paraId="466A8EED" w14:textId="0368A3A1" w:rsidR="00B26912" w:rsidRPr="00703635" w:rsidRDefault="005A73F5"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The PCT shows superior performance with an AUC of 0.93, indicating excellent discriminatory power. </w:t>
      </w:r>
      <w:r w:rsidR="007B6C65" w:rsidRPr="00703635">
        <w:rPr>
          <w:rFonts w:ascii="Arial" w:hAnsi="Arial" w:cs="Arial"/>
          <w:sz w:val="20"/>
          <w:szCs w:val="20"/>
          <w:lang w:val="en-US"/>
        </w:rPr>
        <w:t xml:space="preserve">The PCT shows superior performance with an AUC of 0.93, indicating excellent discriminatory power. </w:t>
      </w:r>
      <w:r w:rsidR="005D3D35" w:rsidRPr="00703635">
        <w:rPr>
          <w:rFonts w:ascii="Arial" w:hAnsi="Arial" w:cs="Arial"/>
          <w:sz w:val="20"/>
          <w:szCs w:val="20"/>
          <w:lang w:val="en-US"/>
        </w:rPr>
        <w:t>The PPV of 77.78% and NPV of 94.12% show that PCT is more reliable than CRP (PPV=60% and NPV=87.5%) for both confirming and ruling out the diagnosis (</w:t>
      </w:r>
      <w:bookmarkStart w:id="3" w:name="_GoBack"/>
      <w:r w:rsidR="005D3D35" w:rsidRPr="00703635">
        <w:rPr>
          <w:rFonts w:ascii="Arial" w:hAnsi="Arial" w:cs="Arial"/>
          <w:sz w:val="20"/>
          <w:szCs w:val="20"/>
          <w:lang w:val="en-US"/>
        </w:rPr>
        <w:t>Table</w:t>
      </w:r>
      <w:bookmarkEnd w:id="3"/>
      <w:r w:rsidR="002248AB">
        <w:rPr>
          <w:rFonts w:ascii="Arial" w:hAnsi="Arial" w:cs="Arial"/>
          <w:sz w:val="20"/>
          <w:szCs w:val="20"/>
          <w:lang w:val="en-US"/>
        </w:rPr>
        <w:t xml:space="preserve"> 4</w:t>
      </w:r>
      <w:r w:rsidR="005D3D35" w:rsidRPr="00703635">
        <w:rPr>
          <w:rFonts w:ascii="Arial" w:hAnsi="Arial" w:cs="Arial"/>
          <w:sz w:val="20"/>
          <w:szCs w:val="20"/>
          <w:lang w:val="en-US"/>
        </w:rPr>
        <w:t xml:space="preserve">). </w:t>
      </w:r>
      <w:r w:rsidR="005E3CAA" w:rsidRPr="00703635">
        <w:rPr>
          <w:rFonts w:ascii="Arial" w:hAnsi="Arial" w:cs="Arial"/>
          <w:sz w:val="20"/>
          <w:szCs w:val="20"/>
          <w:lang w:val="en-US"/>
        </w:rPr>
        <w:t xml:space="preserve">Our results are comparable to those obtained by </w:t>
      </w:r>
      <w:r w:rsidR="007D2F71" w:rsidRPr="00703635">
        <w:rPr>
          <w:rFonts w:ascii="Arial" w:hAnsi="Arial" w:cs="Arial"/>
          <w:sz w:val="20"/>
          <w:szCs w:val="20"/>
          <w:lang w:val="en-US"/>
        </w:rPr>
        <w:t>(</w:t>
      </w:r>
      <w:proofErr w:type="spellStart"/>
      <w:r w:rsidR="007D2F71" w:rsidRPr="00703635">
        <w:rPr>
          <w:rFonts w:ascii="Arial" w:hAnsi="Arial" w:cs="Arial"/>
          <w:sz w:val="20"/>
          <w:szCs w:val="20"/>
          <w:lang w:val="en-US"/>
        </w:rPr>
        <w:t>Viallon</w:t>
      </w:r>
      <w:proofErr w:type="spellEnd"/>
      <w:r w:rsidR="007D2F71" w:rsidRPr="00703635">
        <w:rPr>
          <w:rFonts w:ascii="Arial" w:hAnsi="Arial" w:cs="Arial"/>
          <w:sz w:val="20"/>
          <w:szCs w:val="20"/>
          <w:lang w:val="en-US"/>
        </w:rPr>
        <w:t>, 2000)</w:t>
      </w:r>
      <w:r w:rsidR="00B26912" w:rsidRPr="00703635">
        <w:rPr>
          <w:rFonts w:ascii="Arial" w:hAnsi="Arial" w:cs="Arial"/>
          <w:b/>
          <w:bCs/>
          <w:sz w:val="20"/>
          <w:szCs w:val="20"/>
          <w:lang w:val="en-US"/>
        </w:rPr>
        <w:t>,</w:t>
      </w:r>
      <w:r w:rsidR="00B26912" w:rsidRPr="00703635">
        <w:rPr>
          <w:rFonts w:ascii="Arial" w:hAnsi="Arial" w:cs="Arial"/>
          <w:sz w:val="20"/>
          <w:szCs w:val="20"/>
          <w:lang w:val="en-US"/>
        </w:rPr>
        <w:t xml:space="preserve"> </w:t>
      </w:r>
      <w:r w:rsidR="008C5B84" w:rsidRPr="00703635">
        <w:rPr>
          <w:rFonts w:ascii="Arial" w:hAnsi="Arial" w:cs="Arial"/>
          <w:sz w:val="20"/>
          <w:szCs w:val="20"/>
          <w:lang w:val="en-US"/>
        </w:rPr>
        <w:t xml:space="preserve">with a PPV of 100% and an NPV of 100%, confirming the good performance of PCT for the differential diagnosis of meningitis, unlike CRP. </w:t>
      </w:r>
      <w:r w:rsidR="003C3AC2" w:rsidRPr="00703635">
        <w:rPr>
          <w:rFonts w:ascii="Arial" w:hAnsi="Arial" w:cs="Arial"/>
          <w:sz w:val="20"/>
          <w:szCs w:val="20"/>
          <w:lang w:val="en-US"/>
        </w:rPr>
        <w:t>These similarities reinforce the idea that PCT is a more effective inflammatory marker than CRP for the diagnosis of bacterial meningitis</w:t>
      </w:r>
      <w:r w:rsidR="0047532D" w:rsidRPr="00703635">
        <w:rPr>
          <w:rFonts w:ascii="Arial" w:hAnsi="Arial" w:cs="Arial"/>
          <w:sz w:val="20"/>
          <w:szCs w:val="20"/>
          <w:lang w:val="en-US"/>
        </w:rPr>
        <w:t xml:space="preserve"> (figure 2</w:t>
      </w:r>
      <w:proofErr w:type="gramStart"/>
      <w:r w:rsidR="0047532D" w:rsidRPr="00703635">
        <w:rPr>
          <w:rFonts w:ascii="Arial" w:hAnsi="Arial" w:cs="Arial"/>
          <w:sz w:val="20"/>
          <w:szCs w:val="20"/>
          <w:lang w:val="en-US"/>
        </w:rPr>
        <w:t xml:space="preserve">) </w:t>
      </w:r>
      <w:r w:rsidR="00B26912" w:rsidRPr="00703635">
        <w:rPr>
          <w:rFonts w:ascii="Arial" w:hAnsi="Arial" w:cs="Arial"/>
          <w:sz w:val="20"/>
          <w:szCs w:val="20"/>
          <w:lang w:val="en-US"/>
        </w:rPr>
        <w:t>.</w:t>
      </w:r>
      <w:proofErr w:type="gramEnd"/>
    </w:p>
    <w:p w14:paraId="00F9F48A" w14:textId="01443AE3" w:rsidR="00B26912" w:rsidRPr="00703635" w:rsidRDefault="00C05869" w:rsidP="003B760A">
      <w:pPr>
        <w:spacing w:line="240" w:lineRule="auto"/>
        <w:jc w:val="both"/>
        <w:rPr>
          <w:rFonts w:ascii="Arial" w:hAnsi="Arial" w:cs="Arial"/>
          <w:sz w:val="20"/>
          <w:szCs w:val="20"/>
          <w:lang w:val="en-US"/>
        </w:rPr>
      </w:pPr>
      <w:r w:rsidRPr="00703635">
        <w:rPr>
          <w:rFonts w:ascii="Arial" w:hAnsi="Arial" w:cs="Arial"/>
          <w:sz w:val="20"/>
          <w:szCs w:val="20"/>
          <w:lang w:val="en-US"/>
        </w:rPr>
        <w:t xml:space="preserve">In cerebrospinal fluid at a threshold of 0.2 ng/mL, PCT proved beneficial in distinguishing neonatal meningitis from sepsis, with a sensitivity of 95.2% and a specificity of 96% </w:t>
      </w:r>
      <w:r w:rsidR="007D2F71" w:rsidRPr="00703635">
        <w:rPr>
          <w:rFonts w:ascii="Arial" w:hAnsi="Arial" w:cs="Arial"/>
          <w:sz w:val="20"/>
          <w:szCs w:val="20"/>
          <w:lang w:val="en-US"/>
        </w:rPr>
        <w:t>(Rajial</w:t>
      </w:r>
      <w:r w:rsidR="009A5713" w:rsidRPr="00703635">
        <w:rPr>
          <w:rFonts w:ascii="Arial" w:hAnsi="Arial" w:cs="Arial"/>
          <w:sz w:val="20"/>
          <w:szCs w:val="20"/>
          <w:lang w:val="en-US"/>
        </w:rPr>
        <w:t>, 2022)</w:t>
      </w:r>
      <w:r w:rsidR="00B26912" w:rsidRPr="00703635">
        <w:rPr>
          <w:rFonts w:ascii="Arial" w:hAnsi="Arial" w:cs="Arial"/>
          <w:sz w:val="20"/>
          <w:szCs w:val="20"/>
          <w:lang w:val="en-US"/>
        </w:rPr>
        <w:t xml:space="preserve">. </w:t>
      </w:r>
    </w:p>
    <w:p w14:paraId="10270ED4" w14:textId="2390761B" w:rsidR="00B26912" w:rsidRPr="00703635" w:rsidRDefault="007547F8" w:rsidP="003B760A">
      <w:pPr>
        <w:spacing w:line="240" w:lineRule="auto"/>
        <w:jc w:val="both"/>
        <w:rPr>
          <w:rFonts w:ascii="Arial" w:hAnsi="Arial" w:cs="Arial"/>
          <w:sz w:val="20"/>
          <w:szCs w:val="20"/>
          <w:lang w:val="en-US"/>
        </w:rPr>
      </w:pPr>
      <w:r w:rsidRPr="00703635">
        <w:rPr>
          <w:rFonts w:ascii="Arial" w:hAnsi="Arial" w:cs="Arial"/>
          <w:sz w:val="20"/>
          <w:szCs w:val="20"/>
          <w:lang w:val="en-US"/>
        </w:rPr>
        <w:t>However, there are considerable differences in the use of PCT between hospitals and between patient populations in different studies, which make its interpretation and the implementation of new recommendations difficult</w:t>
      </w:r>
      <w:r w:rsidR="009A5713" w:rsidRPr="00703635">
        <w:rPr>
          <w:rFonts w:ascii="Arial" w:hAnsi="Arial" w:cs="Arial"/>
          <w:sz w:val="20"/>
          <w:szCs w:val="20"/>
          <w:lang w:val="en-US"/>
        </w:rPr>
        <w:t xml:space="preserve"> (</w:t>
      </w:r>
      <w:proofErr w:type="spellStart"/>
      <w:r w:rsidR="009A5713" w:rsidRPr="00703635">
        <w:rPr>
          <w:rFonts w:ascii="Arial" w:hAnsi="Arial" w:cs="Arial"/>
          <w:sz w:val="20"/>
          <w:szCs w:val="20"/>
          <w:lang w:val="en-US"/>
        </w:rPr>
        <w:t>Borens</w:t>
      </w:r>
      <w:r w:rsidR="00A22320" w:rsidRPr="00703635">
        <w:rPr>
          <w:rFonts w:ascii="Arial" w:hAnsi="Arial" w:cs="Arial"/>
          <w:sz w:val="20"/>
          <w:szCs w:val="20"/>
          <w:lang w:val="en-US"/>
        </w:rPr>
        <w:t>ztajn</w:t>
      </w:r>
      <w:proofErr w:type="spellEnd"/>
      <w:r w:rsidR="00A22320" w:rsidRPr="00703635">
        <w:rPr>
          <w:rFonts w:ascii="Arial" w:hAnsi="Arial" w:cs="Arial"/>
          <w:sz w:val="20"/>
          <w:szCs w:val="20"/>
          <w:lang w:val="en-US"/>
        </w:rPr>
        <w:t>, 2025)</w:t>
      </w:r>
      <w:r w:rsidR="00B26912" w:rsidRPr="00703635">
        <w:rPr>
          <w:rFonts w:ascii="Arial" w:hAnsi="Arial" w:cs="Arial"/>
          <w:sz w:val="20"/>
          <w:szCs w:val="20"/>
          <w:lang w:val="en-US"/>
        </w:rPr>
        <w:t>.</w:t>
      </w:r>
    </w:p>
    <w:p w14:paraId="45709370" w14:textId="77777777" w:rsidR="00B26912" w:rsidRPr="00703635" w:rsidRDefault="00B26912" w:rsidP="003B760A">
      <w:pPr>
        <w:spacing w:line="240" w:lineRule="auto"/>
        <w:jc w:val="both"/>
        <w:rPr>
          <w:rFonts w:ascii="Arial" w:hAnsi="Arial" w:cs="Arial"/>
          <w:b/>
          <w:bCs/>
          <w:sz w:val="22"/>
          <w:szCs w:val="22"/>
          <w:lang w:val="en-US"/>
        </w:rPr>
      </w:pPr>
      <w:proofErr w:type="gramStart"/>
      <w:r w:rsidRPr="00703635">
        <w:rPr>
          <w:rFonts w:ascii="Arial" w:hAnsi="Arial" w:cs="Arial"/>
          <w:b/>
          <w:bCs/>
          <w:sz w:val="22"/>
          <w:szCs w:val="22"/>
          <w:lang w:val="en-US"/>
        </w:rPr>
        <w:t>CONCLUSION :</w:t>
      </w:r>
      <w:proofErr w:type="gramEnd"/>
    </w:p>
    <w:p w14:paraId="520A9EC4" w14:textId="7EB2D8A7" w:rsidR="008D6BC1" w:rsidRPr="00703635" w:rsidRDefault="00323B34" w:rsidP="008D6BC1">
      <w:pPr>
        <w:spacing w:line="240" w:lineRule="auto"/>
        <w:jc w:val="both"/>
        <w:rPr>
          <w:rFonts w:ascii="Arial" w:hAnsi="Arial" w:cs="Arial"/>
          <w:sz w:val="20"/>
          <w:szCs w:val="20"/>
          <w:lang w:val="en-US"/>
        </w:rPr>
      </w:pPr>
      <w:r w:rsidRPr="00703635">
        <w:rPr>
          <w:rFonts w:ascii="Arial" w:hAnsi="Arial" w:cs="Arial"/>
          <w:sz w:val="20"/>
          <w:szCs w:val="20"/>
          <w:lang w:val="en-US"/>
        </w:rPr>
        <w:t>Procalcitonin is a promising biomarker for the diagnosis of bacterial meningitis, providing a more accurate distinction between bacterial and viral meningitis, which is important for the choice of appropriate treatment</w:t>
      </w:r>
      <w:r w:rsidR="00B26912" w:rsidRPr="00703635">
        <w:rPr>
          <w:rFonts w:ascii="Arial" w:hAnsi="Arial" w:cs="Arial"/>
          <w:sz w:val="20"/>
          <w:szCs w:val="20"/>
          <w:lang w:val="en-US"/>
        </w:rPr>
        <w:t xml:space="preserve">. </w:t>
      </w:r>
      <w:r w:rsidR="008D6BC1" w:rsidRPr="00703635">
        <w:rPr>
          <w:rFonts w:ascii="Arial" w:hAnsi="Arial" w:cs="Arial"/>
          <w:sz w:val="20"/>
          <w:szCs w:val="20"/>
          <w:lang w:val="en-US"/>
        </w:rPr>
        <w:t>Its use can thus reduce unnecessary and premature antibiotic use and promote faster and more effective patient care. However, it is essential to consider this marker alongside other analyses in addition to clinical assessment for a comprehensive diagnostic approach.</w:t>
      </w:r>
    </w:p>
    <w:p w14:paraId="39D16A02" w14:textId="77777777" w:rsidR="00C341E8" w:rsidRPr="00C341E8" w:rsidRDefault="00C341E8" w:rsidP="00C341E8">
      <w:pPr>
        <w:spacing w:line="240" w:lineRule="auto"/>
        <w:jc w:val="both"/>
        <w:rPr>
          <w:rFonts w:ascii="Arial" w:hAnsi="Arial" w:cs="Arial"/>
          <w:sz w:val="20"/>
          <w:szCs w:val="20"/>
          <w:lang w:val="en-US"/>
        </w:rPr>
      </w:pPr>
      <w:r w:rsidRPr="00C341E8">
        <w:rPr>
          <w:rFonts w:ascii="Arial" w:hAnsi="Arial" w:cs="Arial"/>
          <w:sz w:val="20"/>
          <w:szCs w:val="20"/>
          <w:lang w:val="en-US"/>
        </w:rPr>
        <w:t xml:space="preserve">Consent </w:t>
      </w:r>
    </w:p>
    <w:p w14:paraId="0503CA65" w14:textId="31DC9383" w:rsidR="0063620D" w:rsidRDefault="00C341E8" w:rsidP="00C341E8">
      <w:pPr>
        <w:spacing w:line="240" w:lineRule="auto"/>
        <w:jc w:val="both"/>
        <w:rPr>
          <w:rFonts w:ascii="Arial" w:hAnsi="Arial" w:cs="Arial"/>
          <w:sz w:val="20"/>
          <w:szCs w:val="20"/>
          <w:lang w:val="en-US"/>
        </w:rPr>
      </w:pPr>
      <w:r w:rsidRPr="00C341E8">
        <w:rPr>
          <w:rFonts w:ascii="Arial" w:hAnsi="Arial" w:cs="Arial"/>
          <w:sz w:val="20"/>
          <w:szCs w:val="20"/>
          <w:lang w:val="en-US"/>
        </w:rPr>
        <w:lastRenderedPageBreak/>
        <w:t>As per international standards, parental written consent has been collected and preserved by the author(s).</w:t>
      </w:r>
    </w:p>
    <w:p w14:paraId="07DBDDA0" w14:textId="18D1F39B" w:rsidR="0063620D" w:rsidRDefault="0063620D" w:rsidP="003B760A">
      <w:pPr>
        <w:spacing w:line="240" w:lineRule="auto"/>
        <w:jc w:val="both"/>
        <w:rPr>
          <w:rFonts w:ascii="Arial" w:hAnsi="Arial" w:cs="Arial"/>
          <w:sz w:val="20"/>
          <w:szCs w:val="20"/>
          <w:lang w:val="en-US"/>
        </w:rPr>
      </w:pPr>
    </w:p>
    <w:p w14:paraId="19A4522A" w14:textId="77777777" w:rsidR="0063620D" w:rsidRDefault="0063620D" w:rsidP="0063620D">
      <w:pPr>
        <w:rPr>
          <w:rFonts w:ascii="Calibri" w:eastAsia="Calibri" w:hAnsi="Calibri" w:cs="Times New Roman"/>
          <w:highlight w:val="yellow"/>
          <w:lang w:val="en-US"/>
        </w:rPr>
      </w:pPr>
      <w:bookmarkStart w:id="4" w:name="_Hlk204003461"/>
      <w:bookmarkStart w:id="5" w:name="_Hlk213070710"/>
      <w:r>
        <w:rPr>
          <w:rFonts w:ascii="Calibri" w:eastAsia="Calibri" w:hAnsi="Calibri" w:cs="Times New Roman"/>
          <w:highlight w:val="yellow"/>
          <w:lang w:val="en-US"/>
        </w:rPr>
        <w:t>Disclaimer (Artificial intelligence)</w:t>
      </w:r>
    </w:p>
    <w:p w14:paraId="4FF0D47F" w14:textId="77777777" w:rsidR="0063620D" w:rsidRDefault="0063620D" w:rsidP="0063620D">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754431A4" w14:textId="4933CBF5" w:rsidR="00133F6A" w:rsidRDefault="0063620D" w:rsidP="00EA3996">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4"/>
      <w:bookmarkEnd w:id="5"/>
    </w:p>
    <w:p w14:paraId="18112D35" w14:textId="77777777" w:rsidR="00EA3996" w:rsidRPr="00EA3996" w:rsidRDefault="00EA3996" w:rsidP="00EA3996">
      <w:pPr>
        <w:rPr>
          <w:rFonts w:ascii="Calibri" w:eastAsia="Calibri" w:hAnsi="Calibri" w:cs="Times New Roman"/>
          <w:highlight w:val="yellow"/>
          <w:lang w:val="en-US"/>
        </w:rPr>
      </w:pPr>
    </w:p>
    <w:p w14:paraId="5BAEE11D" w14:textId="086DBEFA" w:rsidR="000E3013" w:rsidRPr="00703635" w:rsidRDefault="000E3013" w:rsidP="00C55445">
      <w:pPr>
        <w:spacing w:line="240" w:lineRule="auto"/>
        <w:jc w:val="both"/>
        <w:rPr>
          <w:rFonts w:ascii="Arial" w:hAnsi="Arial" w:cs="Arial"/>
          <w:b/>
          <w:bCs/>
          <w:sz w:val="22"/>
          <w:szCs w:val="22"/>
          <w:lang w:val="en-US"/>
        </w:rPr>
      </w:pPr>
      <w:r w:rsidRPr="00703635">
        <w:rPr>
          <w:rFonts w:ascii="Arial" w:hAnsi="Arial" w:cs="Arial"/>
          <w:b/>
          <w:bCs/>
          <w:sz w:val="22"/>
          <w:szCs w:val="22"/>
          <w:lang w:val="en-US"/>
        </w:rPr>
        <w:t>REFERENCES</w:t>
      </w:r>
    </w:p>
    <w:p w14:paraId="648478D7" w14:textId="77777777"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Tracy, A., Waterfield, T. (2020). How to use clinical signs of meningitis. Arch Dis Child Educ </w:t>
      </w:r>
      <w:proofErr w:type="spellStart"/>
      <w:r w:rsidRPr="00703635">
        <w:rPr>
          <w:rFonts w:ascii="Arial" w:hAnsi="Arial" w:cs="Arial"/>
          <w:sz w:val="20"/>
          <w:szCs w:val="20"/>
          <w:lang w:val="en-US"/>
        </w:rPr>
        <w:t>Pract</w:t>
      </w:r>
      <w:proofErr w:type="spellEnd"/>
      <w:r w:rsidRPr="00703635">
        <w:rPr>
          <w:rFonts w:ascii="Arial" w:hAnsi="Arial" w:cs="Arial"/>
          <w:sz w:val="20"/>
          <w:szCs w:val="20"/>
          <w:lang w:val="en-US"/>
        </w:rPr>
        <w:t xml:space="preserve"> Ed.105(1):46-49.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10.1136/archdischild-2018-315428.</w:t>
      </w:r>
    </w:p>
    <w:p w14:paraId="491CBC74" w14:textId="77777777"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Skar, G., Flannigan, L., Latch, R., Snowden, J. (2024); Meningitis in Children: Still a Can’t-Miss Diagnosis. </w:t>
      </w:r>
      <w:proofErr w:type="spellStart"/>
      <w:r w:rsidRPr="00703635">
        <w:rPr>
          <w:rFonts w:ascii="Arial" w:hAnsi="Arial" w:cs="Arial"/>
          <w:sz w:val="20"/>
          <w:szCs w:val="20"/>
          <w:lang w:val="en-US"/>
        </w:rPr>
        <w:t>Pediatr</w:t>
      </w:r>
      <w:proofErr w:type="spellEnd"/>
      <w:r w:rsidRPr="00703635">
        <w:rPr>
          <w:rFonts w:ascii="Arial" w:hAnsi="Arial" w:cs="Arial"/>
          <w:sz w:val="20"/>
          <w:szCs w:val="20"/>
          <w:lang w:val="en-US"/>
        </w:rPr>
        <w:t xml:space="preserve"> Rev, 45 (6), 305–315. https://doi.org/10.1542/pir.2023-006013</w:t>
      </w:r>
    </w:p>
    <w:p w14:paraId="6E767AA4" w14:textId="09ECC103"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Novak, R.T., </w:t>
      </w:r>
      <w:proofErr w:type="spellStart"/>
      <w:r w:rsidRPr="00703635">
        <w:rPr>
          <w:rFonts w:ascii="Arial" w:hAnsi="Arial" w:cs="Arial"/>
          <w:sz w:val="20"/>
          <w:szCs w:val="20"/>
          <w:lang w:val="en-US"/>
        </w:rPr>
        <w:t>Ronveaux</w:t>
      </w:r>
      <w:proofErr w:type="spellEnd"/>
      <w:r w:rsidRPr="00703635">
        <w:rPr>
          <w:rFonts w:ascii="Arial" w:hAnsi="Arial" w:cs="Arial"/>
          <w:sz w:val="20"/>
          <w:szCs w:val="20"/>
          <w:lang w:val="en-US"/>
        </w:rPr>
        <w:t xml:space="preserve">, O., </w:t>
      </w:r>
      <w:proofErr w:type="spellStart"/>
      <w:r w:rsidRPr="00703635">
        <w:rPr>
          <w:rFonts w:ascii="Arial" w:hAnsi="Arial" w:cs="Arial"/>
          <w:sz w:val="20"/>
          <w:szCs w:val="20"/>
          <w:lang w:val="en-US"/>
        </w:rPr>
        <w:t>Bita</w:t>
      </w:r>
      <w:proofErr w:type="spellEnd"/>
      <w:r w:rsidRPr="00703635">
        <w:rPr>
          <w:rFonts w:ascii="Arial" w:hAnsi="Arial" w:cs="Arial"/>
          <w:sz w:val="20"/>
          <w:szCs w:val="20"/>
          <w:lang w:val="en-US"/>
        </w:rPr>
        <w:t xml:space="preserve">, A.F., </w:t>
      </w:r>
      <w:proofErr w:type="spellStart"/>
      <w:r w:rsidRPr="00703635">
        <w:rPr>
          <w:rFonts w:ascii="Arial" w:hAnsi="Arial" w:cs="Arial"/>
          <w:sz w:val="20"/>
          <w:szCs w:val="20"/>
          <w:lang w:val="en-US"/>
        </w:rPr>
        <w:t>Aké</w:t>
      </w:r>
      <w:proofErr w:type="spellEnd"/>
      <w:r w:rsidRPr="00703635">
        <w:rPr>
          <w:rFonts w:ascii="Arial" w:hAnsi="Arial" w:cs="Arial"/>
          <w:sz w:val="20"/>
          <w:szCs w:val="20"/>
          <w:lang w:val="en-US"/>
        </w:rPr>
        <w:t xml:space="preserve">, H.F., </w:t>
      </w:r>
      <w:proofErr w:type="spellStart"/>
      <w:r w:rsidRPr="00703635">
        <w:rPr>
          <w:rFonts w:ascii="Arial" w:hAnsi="Arial" w:cs="Arial"/>
          <w:sz w:val="20"/>
          <w:szCs w:val="20"/>
          <w:lang w:val="en-US"/>
        </w:rPr>
        <w:t>Lessa</w:t>
      </w:r>
      <w:proofErr w:type="spellEnd"/>
      <w:r w:rsidRPr="00703635">
        <w:rPr>
          <w:rFonts w:ascii="Arial" w:hAnsi="Arial" w:cs="Arial"/>
          <w:sz w:val="20"/>
          <w:szCs w:val="20"/>
          <w:lang w:val="en-US"/>
        </w:rPr>
        <w:t>, F.C., Wang, X. and al. (2019). Future Directions for Meningitis Surveillance and Vaccine Evaluation in the Meningitis Belt of Sub-Saharan Africa. J Infect Dis</w:t>
      </w:r>
      <w:r w:rsidR="009F1074" w:rsidRPr="00703635">
        <w:rPr>
          <w:rFonts w:ascii="Arial" w:hAnsi="Arial" w:cs="Arial"/>
          <w:sz w:val="20"/>
          <w:szCs w:val="20"/>
          <w:lang w:val="en-US"/>
        </w:rPr>
        <w:t>,</w:t>
      </w:r>
      <w:r w:rsidRPr="00703635">
        <w:rPr>
          <w:rFonts w:ascii="Arial" w:hAnsi="Arial" w:cs="Arial"/>
          <w:sz w:val="20"/>
          <w:szCs w:val="20"/>
          <w:lang w:val="en-US"/>
        </w:rPr>
        <w:t xml:space="preserve"> 220(220 Suppl 4</w:t>
      </w:r>
      <w:proofErr w:type="gramStart"/>
      <w:r w:rsidRPr="00703635">
        <w:rPr>
          <w:rFonts w:ascii="Arial" w:hAnsi="Arial" w:cs="Arial"/>
          <w:sz w:val="20"/>
          <w:szCs w:val="20"/>
          <w:lang w:val="en-US"/>
        </w:rPr>
        <w:t>)</w:t>
      </w:r>
      <w:r w:rsidR="009F1074" w:rsidRPr="00703635">
        <w:rPr>
          <w:rFonts w:ascii="Arial" w:hAnsi="Arial" w:cs="Arial"/>
          <w:sz w:val="20"/>
          <w:szCs w:val="20"/>
          <w:lang w:val="en-US"/>
        </w:rPr>
        <w:t>,</w:t>
      </w:r>
      <w:r w:rsidRPr="00703635">
        <w:rPr>
          <w:rFonts w:ascii="Arial" w:hAnsi="Arial" w:cs="Arial"/>
          <w:sz w:val="20"/>
          <w:szCs w:val="20"/>
          <w:lang w:val="en-US"/>
        </w:rPr>
        <w:t>S</w:t>
      </w:r>
      <w:proofErr w:type="gramEnd"/>
      <w:r w:rsidRPr="00703635">
        <w:rPr>
          <w:rFonts w:ascii="Arial" w:hAnsi="Arial" w:cs="Arial"/>
          <w:sz w:val="20"/>
          <w:szCs w:val="20"/>
          <w:lang w:val="en-US"/>
        </w:rPr>
        <w:t xml:space="preserve">279-S285.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10.1093/</w:t>
      </w:r>
      <w:proofErr w:type="spellStart"/>
      <w:r w:rsidRPr="00703635">
        <w:rPr>
          <w:rFonts w:ascii="Arial" w:hAnsi="Arial" w:cs="Arial"/>
          <w:sz w:val="20"/>
          <w:szCs w:val="20"/>
          <w:lang w:val="en-US"/>
        </w:rPr>
        <w:t>infdis</w:t>
      </w:r>
      <w:proofErr w:type="spellEnd"/>
      <w:r w:rsidRPr="00703635">
        <w:rPr>
          <w:rFonts w:ascii="Arial" w:hAnsi="Arial" w:cs="Arial"/>
          <w:sz w:val="20"/>
          <w:szCs w:val="20"/>
          <w:lang w:val="en-US"/>
        </w:rPr>
        <w:t>/jiz421.</w:t>
      </w:r>
    </w:p>
    <w:p w14:paraId="524BD0E0" w14:textId="79076B29"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Mount, H.R., Boyle, S.D. (2017). Aseptic and Bacterial Meningitis: Evaluation, Treatment, and Prevention. Am Fam Physician, 1;96(5)</w:t>
      </w:r>
      <w:r w:rsidR="009F1074" w:rsidRPr="00703635">
        <w:rPr>
          <w:rFonts w:ascii="Arial" w:hAnsi="Arial" w:cs="Arial"/>
          <w:sz w:val="20"/>
          <w:szCs w:val="20"/>
          <w:lang w:val="en-US"/>
        </w:rPr>
        <w:t>,</w:t>
      </w:r>
      <w:r w:rsidRPr="00703635">
        <w:rPr>
          <w:rFonts w:ascii="Arial" w:hAnsi="Arial" w:cs="Arial"/>
          <w:sz w:val="20"/>
          <w:szCs w:val="20"/>
          <w:lang w:val="en-US"/>
        </w:rPr>
        <w:t>314-322. PMID: 28925647.</w:t>
      </w:r>
    </w:p>
    <w:p w14:paraId="4198FF69" w14:textId="77777777"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de-DE"/>
        </w:rPr>
        <w:t xml:space="preserve">Schuetz, P., Wirz, Y., Sager, R., Christ-Crain, M., Stolz, D., Tamm, M. and al. </w:t>
      </w:r>
      <w:r w:rsidRPr="00703635">
        <w:rPr>
          <w:rFonts w:ascii="Arial" w:hAnsi="Arial" w:cs="Arial"/>
          <w:sz w:val="20"/>
          <w:szCs w:val="20"/>
          <w:lang w:val="en-US"/>
        </w:rPr>
        <w:t xml:space="preserve">(2017) Procalcitonin to initiate or discontinue antibiotics in acute respiratory tract infections. Cochrane Database Syst Rev, 10(10), CD007498.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10.1002/14651858.CD007498.</w:t>
      </w:r>
    </w:p>
    <w:p w14:paraId="258B3769" w14:textId="77777777"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Parri, N., Pantell, R.H., Carrol, E.D., Abuhammour, W., Benito-Fernández, J., Gras-Le Guen, C. and al. Procalcitonin in Pediatric Emergency Medicine. (2025). Adv </w:t>
      </w:r>
      <w:proofErr w:type="spellStart"/>
      <w:r w:rsidRPr="00703635">
        <w:rPr>
          <w:rFonts w:ascii="Arial" w:hAnsi="Arial" w:cs="Arial"/>
          <w:sz w:val="20"/>
          <w:szCs w:val="20"/>
          <w:lang w:val="en-US"/>
        </w:rPr>
        <w:t>Pediatr</w:t>
      </w:r>
      <w:proofErr w:type="spellEnd"/>
      <w:r w:rsidRPr="00703635">
        <w:rPr>
          <w:rFonts w:ascii="Arial" w:hAnsi="Arial" w:cs="Arial"/>
          <w:sz w:val="20"/>
          <w:szCs w:val="20"/>
          <w:lang w:val="en-US"/>
        </w:rPr>
        <w:t xml:space="preserve">, 72(1),25-40.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10.1016/j.yapd.2025.01.002.</w:t>
      </w:r>
    </w:p>
    <w:p w14:paraId="68D98FEF" w14:textId="77777777" w:rsidR="009835DE" w:rsidRPr="00703635" w:rsidRDefault="009835DE" w:rsidP="00C55445">
      <w:pPr>
        <w:pStyle w:val="ListParagraph"/>
        <w:numPr>
          <w:ilvl w:val="0"/>
          <w:numId w:val="12"/>
        </w:numPr>
        <w:spacing w:line="240" w:lineRule="auto"/>
        <w:jc w:val="both"/>
        <w:rPr>
          <w:rFonts w:ascii="Arial" w:hAnsi="Arial" w:cs="Arial"/>
          <w:sz w:val="20"/>
          <w:szCs w:val="20"/>
        </w:rPr>
      </w:pPr>
      <w:r w:rsidRPr="00703635">
        <w:rPr>
          <w:rFonts w:ascii="Arial" w:hAnsi="Arial" w:cs="Arial"/>
          <w:sz w:val="20"/>
          <w:szCs w:val="20"/>
        </w:rPr>
        <w:t xml:space="preserve">Tounsi, G. (2025). Techniques d’échantillonnage dans la recherche quantitative : Application avec les formules de Cochran et </w:t>
      </w:r>
      <w:proofErr w:type="spellStart"/>
      <w:r w:rsidRPr="00703635">
        <w:rPr>
          <w:rFonts w:ascii="Arial" w:hAnsi="Arial" w:cs="Arial"/>
          <w:sz w:val="20"/>
          <w:szCs w:val="20"/>
        </w:rPr>
        <w:t>Krejcie</w:t>
      </w:r>
      <w:proofErr w:type="spellEnd"/>
      <w:r w:rsidRPr="00703635">
        <w:rPr>
          <w:rFonts w:ascii="Arial" w:hAnsi="Arial" w:cs="Arial"/>
          <w:sz w:val="20"/>
          <w:szCs w:val="20"/>
        </w:rPr>
        <w:t xml:space="preserve"> &amp; Morgan. https://doi.org/10.13140/RG.2.2.29161.40805/1.</w:t>
      </w:r>
    </w:p>
    <w:p w14:paraId="7D73A707" w14:textId="77777777" w:rsidR="009835DE" w:rsidRPr="00703635" w:rsidRDefault="009835DE" w:rsidP="00C55445">
      <w:pPr>
        <w:pStyle w:val="ListParagraph"/>
        <w:numPr>
          <w:ilvl w:val="0"/>
          <w:numId w:val="12"/>
        </w:numPr>
        <w:spacing w:line="240" w:lineRule="auto"/>
        <w:jc w:val="both"/>
        <w:rPr>
          <w:rFonts w:ascii="Arial" w:hAnsi="Arial" w:cs="Arial"/>
          <w:sz w:val="20"/>
          <w:szCs w:val="20"/>
        </w:rPr>
      </w:pPr>
      <w:r w:rsidRPr="00703635">
        <w:rPr>
          <w:rFonts w:ascii="Arial" w:hAnsi="Arial" w:cs="Arial"/>
          <w:sz w:val="20"/>
          <w:szCs w:val="20"/>
        </w:rPr>
        <w:t xml:space="preserve">Aubry, P., </w:t>
      </w:r>
      <w:proofErr w:type="spellStart"/>
      <w:r w:rsidRPr="00703635">
        <w:rPr>
          <w:rFonts w:ascii="Arial" w:hAnsi="Arial" w:cs="Arial"/>
          <w:sz w:val="20"/>
          <w:szCs w:val="20"/>
        </w:rPr>
        <w:t>Gaüzère</w:t>
      </w:r>
      <w:proofErr w:type="spellEnd"/>
      <w:r w:rsidRPr="00703635">
        <w:rPr>
          <w:rFonts w:ascii="Arial" w:hAnsi="Arial" w:cs="Arial"/>
          <w:sz w:val="20"/>
          <w:szCs w:val="20"/>
        </w:rPr>
        <w:t>, B.A. (2024</w:t>
      </w:r>
      <w:proofErr w:type="gramStart"/>
      <w:r w:rsidRPr="00703635">
        <w:rPr>
          <w:rFonts w:ascii="Arial" w:hAnsi="Arial" w:cs="Arial"/>
          <w:sz w:val="20"/>
          <w:szCs w:val="20"/>
        </w:rPr>
        <w:t>).Méningite</w:t>
      </w:r>
      <w:proofErr w:type="gramEnd"/>
      <w:r w:rsidRPr="00703635">
        <w:rPr>
          <w:rFonts w:ascii="Arial" w:hAnsi="Arial" w:cs="Arial"/>
          <w:sz w:val="20"/>
          <w:szCs w:val="20"/>
        </w:rPr>
        <w:t xml:space="preserve"> cérébro-spinale à méningocoques Actualités 2024.  </w:t>
      </w:r>
      <w:proofErr w:type="spellStart"/>
      <w:r w:rsidRPr="00703635">
        <w:rPr>
          <w:rFonts w:ascii="Arial" w:hAnsi="Arial" w:cs="Arial"/>
          <w:sz w:val="20"/>
          <w:szCs w:val="20"/>
        </w:rPr>
        <w:t>Medecine</w:t>
      </w:r>
      <w:proofErr w:type="spellEnd"/>
      <w:r w:rsidRPr="00703635">
        <w:rPr>
          <w:rFonts w:ascii="Arial" w:hAnsi="Arial" w:cs="Arial"/>
          <w:sz w:val="20"/>
          <w:szCs w:val="20"/>
        </w:rPr>
        <w:t xml:space="preserve"> tropicale, mise à jour le 19/11/2024. http://medecinetropicale.free.fr/cours/meningitecerebro.pdf</w:t>
      </w:r>
    </w:p>
    <w:p w14:paraId="58DBA443" w14:textId="77777777" w:rsidR="009835DE" w:rsidRPr="00703635" w:rsidRDefault="009835DE" w:rsidP="00C55445">
      <w:pPr>
        <w:pStyle w:val="ListParagraph"/>
        <w:numPr>
          <w:ilvl w:val="0"/>
          <w:numId w:val="12"/>
        </w:numPr>
        <w:spacing w:line="240" w:lineRule="auto"/>
        <w:jc w:val="both"/>
        <w:rPr>
          <w:rFonts w:ascii="Arial" w:hAnsi="Arial" w:cs="Arial"/>
          <w:sz w:val="20"/>
          <w:szCs w:val="20"/>
        </w:rPr>
      </w:pPr>
      <w:r w:rsidRPr="00542C86">
        <w:rPr>
          <w:rFonts w:ascii="Arial" w:hAnsi="Arial" w:cs="Arial"/>
          <w:sz w:val="20"/>
          <w:szCs w:val="20"/>
          <w:lang w:val="en-US"/>
        </w:rPr>
        <w:t xml:space="preserve">Barry, M., Diallo, I.S., Sidikiba, S., Camara, M., Bah, A.B., Dia, H (2019). Méningite du nourrisson : Etude de 44 cas observés au service de Pédiatrie de l’Hôpital National Ignace Deen Infant Meningitis: A Study of 44 Cases Observed at the Pediatric Department of Ignace Deen National Hospital. </w:t>
      </w:r>
      <w:r w:rsidRPr="00703635">
        <w:rPr>
          <w:rFonts w:ascii="Arial" w:hAnsi="Arial" w:cs="Arial"/>
          <w:sz w:val="20"/>
          <w:szCs w:val="20"/>
        </w:rPr>
        <w:t xml:space="preserve">Journal de Neurologie-Neurochirurgie-Psychiatrie, 01(N°19), 45 – 52. </w:t>
      </w:r>
    </w:p>
    <w:p w14:paraId="7D398DC1" w14:textId="07316E8A" w:rsidR="009835DE" w:rsidRPr="00703635" w:rsidRDefault="009835DE" w:rsidP="00C55445">
      <w:pPr>
        <w:pStyle w:val="ListParagraph"/>
        <w:numPr>
          <w:ilvl w:val="0"/>
          <w:numId w:val="12"/>
        </w:numPr>
        <w:spacing w:line="240" w:lineRule="auto"/>
        <w:jc w:val="both"/>
        <w:rPr>
          <w:rFonts w:ascii="Arial" w:hAnsi="Arial" w:cs="Arial"/>
          <w:sz w:val="20"/>
          <w:szCs w:val="20"/>
          <w:lang w:val="fr-BE"/>
        </w:rPr>
      </w:pPr>
      <w:r w:rsidRPr="00703635">
        <w:rPr>
          <w:rFonts w:ascii="Arial" w:hAnsi="Arial" w:cs="Arial"/>
          <w:sz w:val="20"/>
          <w:szCs w:val="20"/>
        </w:rPr>
        <w:t xml:space="preserve">Doumbia, A.K., Togo P., Konaté D., Diakité, F.L., Cissé, M.E., </w:t>
      </w:r>
      <w:proofErr w:type="spellStart"/>
      <w:r w:rsidRPr="00703635">
        <w:rPr>
          <w:rFonts w:ascii="Arial" w:hAnsi="Arial" w:cs="Arial"/>
          <w:sz w:val="20"/>
          <w:szCs w:val="20"/>
        </w:rPr>
        <w:t>Maiga</w:t>
      </w:r>
      <w:proofErr w:type="spellEnd"/>
      <w:r w:rsidRPr="00703635">
        <w:rPr>
          <w:rFonts w:ascii="Arial" w:hAnsi="Arial" w:cs="Arial"/>
          <w:sz w:val="20"/>
          <w:szCs w:val="20"/>
        </w:rPr>
        <w:t>, B et al. (2020). La Méningite Infectieuse chez les Enfants de Moins de 5 Ans en Milieu Hospitalier Bamakois</w:t>
      </w:r>
      <w:r w:rsidR="00E46FF8" w:rsidRPr="00703635">
        <w:rPr>
          <w:rFonts w:ascii="Arial" w:hAnsi="Arial" w:cs="Arial"/>
          <w:sz w:val="20"/>
          <w:szCs w:val="20"/>
        </w:rPr>
        <w:t xml:space="preserve">. </w:t>
      </w:r>
      <w:proofErr w:type="spellStart"/>
      <w:r w:rsidRPr="00703635">
        <w:rPr>
          <w:rFonts w:ascii="Arial" w:hAnsi="Arial" w:cs="Arial"/>
          <w:sz w:val="20"/>
          <w:szCs w:val="20"/>
          <w:lang w:val="fr-BE"/>
        </w:rPr>
        <w:t>Health</w:t>
      </w:r>
      <w:proofErr w:type="spellEnd"/>
      <w:r w:rsidRPr="00703635">
        <w:rPr>
          <w:rFonts w:ascii="Arial" w:hAnsi="Arial" w:cs="Arial"/>
          <w:sz w:val="20"/>
          <w:szCs w:val="20"/>
          <w:lang w:val="fr-BE"/>
        </w:rPr>
        <w:t xml:space="preserve"> </w:t>
      </w:r>
      <w:proofErr w:type="spellStart"/>
      <w:r w:rsidRPr="00703635">
        <w:rPr>
          <w:rFonts w:ascii="Arial" w:hAnsi="Arial" w:cs="Arial"/>
          <w:sz w:val="20"/>
          <w:szCs w:val="20"/>
          <w:lang w:val="fr-BE"/>
        </w:rPr>
        <w:t>Sci</w:t>
      </w:r>
      <w:proofErr w:type="spellEnd"/>
      <w:r w:rsidRPr="00703635">
        <w:rPr>
          <w:rFonts w:ascii="Arial" w:hAnsi="Arial" w:cs="Arial"/>
          <w:sz w:val="20"/>
          <w:szCs w:val="20"/>
          <w:lang w:val="fr-BE"/>
        </w:rPr>
        <w:t>. Dis, Vol 21 (10), 91-94. https://doi.org/10.5281/hsd.v21i10.2346.</w:t>
      </w:r>
    </w:p>
    <w:p w14:paraId="24002924" w14:textId="312ECA69"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it-IT"/>
        </w:rPr>
        <w:t xml:space="preserve">Esposito. S., Rinaldi, V.E., Argentiero, A., Farinelli, E., Cofini, M., D'Alonzo, R., and al. </w:t>
      </w:r>
      <w:r w:rsidRPr="00703635">
        <w:rPr>
          <w:rFonts w:ascii="Arial" w:hAnsi="Arial" w:cs="Arial"/>
          <w:sz w:val="20"/>
          <w:szCs w:val="20"/>
          <w:lang w:val="en-US"/>
        </w:rPr>
        <w:t xml:space="preserve">(2018). Approach to Neonates and Young Infants with Fever without a Source Who Are at Risk for Severe Bacterial Infection. Mediators </w:t>
      </w:r>
      <w:proofErr w:type="spellStart"/>
      <w:r w:rsidRPr="00703635">
        <w:rPr>
          <w:rFonts w:ascii="Arial" w:hAnsi="Arial" w:cs="Arial"/>
          <w:sz w:val="20"/>
          <w:szCs w:val="20"/>
          <w:lang w:val="en-US"/>
        </w:rPr>
        <w:t>Inflamm</w:t>
      </w:r>
      <w:proofErr w:type="spellEnd"/>
      <w:r w:rsidRPr="00703635">
        <w:rPr>
          <w:rFonts w:ascii="Arial" w:hAnsi="Arial" w:cs="Arial"/>
          <w:sz w:val="20"/>
          <w:szCs w:val="20"/>
          <w:lang w:val="en-US"/>
        </w:rPr>
        <w:t>, 26;2018</w:t>
      </w:r>
      <w:r w:rsidR="00B82F75" w:rsidRPr="00703635">
        <w:rPr>
          <w:rFonts w:ascii="Arial" w:hAnsi="Arial" w:cs="Arial"/>
          <w:sz w:val="20"/>
          <w:szCs w:val="20"/>
          <w:lang w:val="en-US"/>
        </w:rPr>
        <w:t>,</w:t>
      </w:r>
      <w:r w:rsidRPr="00703635">
        <w:rPr>
          <w:rFonts w:ascii="Arial" w:hAnsi="Arial" w:cs="Arial"/>
          <w:sz w:val="20"/>
          <w:szCs w:val="20"/>
          <w:lang w:val="en-US"/>
        </w:rPr>
        <w:t xml:space="preserve">4869329.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10.1155/2018/4869329.</w:t>
      </w:r>
    </w:p>
    <w:p w14:paraId="3536FFA7" w14:textId="6A5D22B3"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Ellis, J., Harvey, D., </w:t>
      </w:r>
      <w:proofErr w:type="spellStart"/>
      <w:r w:rsidRPr="00703635">
        <w:rPr>
          <w:rFonts w:ascii="Arial" w:hAnsi="Arial" w:cs="Arial"/>
          <w:sz w:val="20"/>
          <w:szCs w:val="20"/>
          <w:lang w:val="en-US"/>
        </w:rPr>
        <w:t>Defres</w:t>
      </w:r>
      <w:proofErr w:type="spellEnd"/>
      <w:r w:rsidRPr="00703635">
        <w:rPr>
          <w:rFonts w:ascii="Arial" w:hAnsi="Arial" w:cs="Arial"/>
          <w:sz w:val="20"/>
          <w:szCs w:val="20"/>
          <w:lang w:val="en-US"/>
        </w:rPr>
        <w:t>, S., Chandna, A., MacLachlan, E., Solomon, T., and al. (2022). Clinical management of community-acquired meningitis in adults in the UK and Ireland in 2017: a retrospective cohort study on behalf of the National Infection Trainees Collaborative for Audit and Research (NITCAR). BMJ Open,12(7</w:t>
      </w:r>
      <w:proofErr w:type="gramStart"/>
      <w:r w:rsidRPr="00703635">
        <w:rPr>
          <w:rFonts w:ascii="Arial" w:hAnsi="Arial" w:cs="Arial"/>
          <w:sz w:val="20"/>
          <w:szCs w:val="20"/>
          <w:lang w:val="en-US"/>
        </w:rPr>
        <w:t>)</w:t>
      </w:r>
      <w:r w:rsidR="00B82F75" w:rsidRPr="00703635">
        <w:rPr>
          <w:rFonts w:ascii="Arial" w:hAnsi="Arial" w:cs="Arial"/>
          <w:sz w:val="20"/>
          <w:szCs w:val="20"/>
          <w:lang w:val="en-US"/>
        </w:rPr>
        <w:t>,</w:t>
      </w:r>
      <w:r w:rsidRPr="00703635">
        <w:rPr>
          <w:rFonts w:ascii="Arial" w:hAnsi="Arial" w:cs="Arial"/>
          <w:sz w:val="20"/>
          <w:szCs w:val="20"/>
          <w:lang w:val="en-US"/>
        </w:rPr>
        <w:t>e</w:t>
      </w:r>
      <w:proofErr w:type="gramEnd"/>
      <w:r w:rsidRPr="00703635">
        <w:rPr>
          <w:rFonts w:ascii="Arial" w:hAnsi="Arial" w:cs="Arial"/>
          <w:sz w:val="20"/>
          <w:szCs w:val="20"/>
          <w:lang w:val="en-US"/>
        </w:rPr>
        <w:t xml:space="preserve">062698.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xml:space="preserve">: 10.1136/bmjopen-2022-062698. </w:t>
      </w:r>
    </w:p>
    <w:p w14:paraId="19FA7EA4" w14:textId="04CB659A" w:rsidR="009835DE" w:rsidRPr="00703635" w:rsidRDefault="009835DE" w:rsidP="00C55445">
      <w:pPr>
        <w:pStyle w:val="ListParagraph"/>
        <w:numPr>
          <w:ilvl w:val="0"/>
          <w:numId w:val="12"/>
        </w:numPr>
        <w:spacing w:line="240" w:lineRule="auto"/>
        <w:jc w:val="both"/>
        <w:rPr>
          <w:rFonts w:ascii="Arial" w:hAnsi="Arial" w:cs="Arial"/>
          <w:sz w:val="20"/>
          <w:szCs w:val="20"/>
        </w:rPr>
      </w:pPr>
      <w:r w:rsidRPr="00703635">
        <w:rPr>
          <w:rFonts w:ascii="Arial" w:hAnsi="Arial" w:cs="Arial"/>
          <w:sz w:val="20"/>
          <w:szCs w:val="20"/>
          <w:lang w:val="it-IT"/>
        </w:rPr>
        <w:t xml:space="preserve">Obiero, C.W., Mturi, N., Mwarumba, S. Ngari, M., Newton C.R., Boele, M. and al. </w:t>
      </w:r>
      <w:r w:rsidRPr="00703635">
        <w:rPr>
          <w:rFonts w:ascii="Arial" w:hAnsi="Arial" w:cs="Arial"/>
          <w:sz w:val="20"/>
          <w:szCs w:val="20"/>
          <w:lang w:val="en-US"/>
        </w:rPr>
        <w:t xml:space="preserve">(2021). Clinical features of bacterial meningitis among </w:t>
      </w:r>
      <w:proofErr w:type="spellStart"/>
      <w:r w:rsidRPr="00703635">
        <w:rPr>
          <w:rFonts w:ascii="Arial" w:hAnsi="Arial" w:cs="Arial"/>
          <w:sz w:val="20"/>
          <w:szCs w:val="20"/>
          <w:lang w:val="en-US"/>
        </w:rPr>
        <w:t>hospitalised</w:t>
      </w:r>
      <w:proofErr w:type="spellEnd"/>
      <w:r w:rsidRPr="00703635">
        <w:rPr>
          <w:rFonts w:ascii="Arial" w:hAnsi="Arial" w:cs="Arial"/>
          <w:sz w:val="20"/>
          <w:szCs w:val="20"/>
          <w:lang w:val="en-US"/>
        </w:rPr>
        <w:t xml:space="preserve"> children in Kenya. </w:t>
      </w:r>
      <w:r w:rsidRPr="00703635">
        <w:rPr>
          <w:rFonts w:ascii="Arial" w:hAnsi="Arial" w:cs="Arial"/>
          <w:sz w:val="20"/>
          <w:szCs w:val="20"/>
        </w:rPr>
        <w:t xml:space="preserve">BMC </w:t>
      </w:r>
      <w:proofErr w:type="spellStart"/>
      <w:r w:rsidRPr="00703635">
        <w:rPr>
          <w:rFonts w:ascii="Arial" w:hAnsi="Arial" w:cs="Arial"/>
          <w:sz w:val="20"/>
          <w:szCs w:val="20"/>
        </w:rPr>
        <w:t>Medicine</w:t>
      </w:r>
      <w:proofErr w:type="spellEnd"/>
      <w:r w:rsidRPr="00703635">
        <w:rPr>
          <w:rFonts w:ascii="Arial" w:hAnsi="Arial" w:cs="Arial"/>
          <w:sz w:val="20"/>
          <w:szCs w:val="20"/>
        </w:rPr>
        <w:t>, 19 (1)</w:t>
      </w:r>
      <w:r w:rsidR="00B82F75" w:rsidRPr="00703635">
        <w:rPr>
          <w:rFonts w:ascii="Arial" w:hAnsi="Arial" w:cs="Arial"/>
          <w:sz w:val="20"/>
          <w:szCs w:val="20"/>
        </w:rPr>
        <w:t>,</w:t>
      </w:r>
      <w:r w:rsidRPr="00703635">
        <w:rPr>
          <w:rFonts w:ascii="Arial" w:hAnsi="Arial" w:cs="Arial"/>
          <w:sz w:val="20"/>
          <w:szCs w:val="20"/>
        </w:rPr>
        <w:t xml:space="preserve"> 122. https://doi.org/10.1186/s12916-021-01998-3.</w:t>
      </w:r>
    </w:p>
    <w:p w14:paraId="39D90C4E" w14:textId="24EE41E8" w:rsidR="009835DE" w:rsidRPr="00703635" w:rsidRDefault="009835DE" w:rsidP="00C55445">
      <w:pPr>
        <w:pStyle w:val="ListParagraph"/>
        <w:numPr>
          <w:ilvl w:val="0"/>
          <w:numId w:val="12"/>
        </w:numPr>
        <w:spacing w:line="240" w:lineRule="auto"/>
        <w:jc w:val="both"/>
        <w:rPr>
          <w:rFonts w:ascii="Arial" w:hAnsi="Arial" w:cs="Arial"/>
          <w:sz w:val="20"/>
          <w:szCs w:val="20"/>
        </w:rPr>
      </w:pPr>
      <w:r w:rsidRPr="00703635">
        <w:rPr>
          <w:rFonts w:ascii="Arial" w:hAnsi="Arial" w:cs="Arial"/>
          <w:sz w:val="20"/>
          <w:szCs w:val="20"/>
        </w:rPr>
        <w:t xml:space="preserve">Mary, R., </w:t>
      </w:r>
      <w:proofErr w:type="spellStart"/>
      <w:r w:rsidRPr="00703635">
        <w:rPr>
          <w:rFonts w:ascii="Arial" w:hAnsi="Arial" w:cs="Arial"/>
          <w:sz w:val="20"/>
          <w:szCs w:val="20"/>
        </w:rPr>
        <w:t>Veinberg</w:t>
      </w:r>
      <w:proofErr w:type="spellEnd"/>
      <w:r w:rsidRPr="00703635">
        <w:rPr>
          <w:rFonts w:ascii="Arial" w:hAnsi="Arial" w:cs="Arial"/>
          <w:sz w:val="20"/>
          <w:szCs w:val="20"/>
        </w:rPr>
        <w:t>, F., et Couderc, R. (2003). Les méningites aiguës, protéines inflammatoires et procalcitonine. Annales de Biologie Clinique</w:t>
      </w:r>
      <w:r w:rsidR="00B82F75" w:rsidRPr="00703635">
        <w:rPr>
          <w:rFonts w:ascii="Arial" w:hAnsi="Arial" w:cs="Arial"/>
          <w:sz w:val="20"/>
          <w:szCs w:val="20"/>
        </w:rPr>
        <w:t>,</w:t>
      </w:r>
      <w:r w:rsidRPr="00703635">
        <w:rPr>
          <w:rFonts w:ascii="Arial" w:hAnsi="Arial" w:cs="Arial"/>
          <w:sz w:val="20"/>
          <w:szCs w:val="20"/>
        </w:rPr>
        <w:t xml:space="preserve"> 61 (2)</w:t>
      </w:r>
      <w:r w:rsidR="00B82F75" w:rsidRPr="00703635">
        <w:rPr>
          <w:rFonts w:ascii="Arial" w:hAnsi="Arial" w:cs="Arial"/>
          <w:sz w:val="20"/>
          <w:szCs w:val="20"/>
        </w:rPr>
        <w:t>,</w:t>
      </w:r>
      <w:r w:rsidRPr="00703635">
        <w:rPr>
          <w:rFonts w:ascii="Arial" w:hAnsi="Arial" w:cs="Arial"/>
          <w:sz w:val="20"/>
          <w:szCs w:val="20"/>
        </w:rPr>
        <w:t xml:space="preserve"> 127</w:t>
      </w:r>
      <w:r w:rsidRPr="00703635">
        <w:rPr>
          <w:rFonts w:ascii="Cambria Math" w:hAnsi="Cambria Math" w:cs="Cambria Math"/>
          <w:sz w:val="20"/>
          <w:szCs w:val="20"/>
        </w:rPr>
        <w:t>‑</w:t>
      </w:r>
      <w:r w:rsidRPr="00703635">
        <w:rPr>
          <w:rFonts w:ascii="Arial" w:hAnsi="Arial" w:cs="Arial"/>
          <w:sz w:val="20"/>
          <w:szCs w:val="20"/>
        </w:rPr>
        <w:t xml:space="preserve">37. </w:t>
      </w:r>
      <w:hyperlink r:id="rId10" w:history="1">
        <w:r w:rsidRPr="00703635">
          <w:rPr>
            <w:rStyle w:val="Hyperlink"/>
            <w:rFonts w:ascii="Arial" w:hAnsi="Arial" w:cs="Arial"/>
            <w:sz w:val="20"/>
            <w:szCs w:val="20"/>
          </w:rPr>
          <w:t>https://www.jle.com/fr/revues/abc/edocs/les_meningites_aigues_proteines_inflammatoires_et_procalcitonine_50675/article.phtml</w:t>
        </w:r>
      </w:hyperlink>
    </w:p>
    <w:p w14:paraId="56B9E50D" w14:textId="6BEF1ED6" w:rsidR="009835DE" w:rsidRPr="00703635" w:rsidRDefault="009835DE" w:rsidP="00C55445">
      <w:pPr>
        <w:pStyle w:val="ListParagraph"/>
        <w:numPr>
          <w:ilvl w:val="0"/>
          <w:numId w:val="12"/>
        </w:numPr>
        <w:spacing w:line="240" w:lineRule="auto"/>
        <w:jc w:val="both"/>
        <w:rPr>
          <w:rFonts w:ascii="Arial" w:hAnsi="Arial" w:cs="Arial"/>
          <w:sz w:val="20"/>
          <w:szCs w:val="20"/>
        </w:rPr>
      </w:pPr>
      <w:r w:rsidRPr="00703635">
        <w:rPr>
          <w:rFonts w:ascii="Arial" w:hAnsi="Arial" w:cs="Arial"/>
          <w:sz w:val="20"/>
          <w:szCs w:val="20"/>
        </w:rPr>
        <w:t>Ferrière, F. 2000. Intérêt de la procalcitonine, nouveau marqueur de l’infection bactérienne. Annales de Biologie Clinique, 58 (1)</w:t>
      </w:r>
      <w:r w:rsidR="00B82F75" w:rsidRPr="00703635">
        <w:rPr>
          <w:rFonts w:ascii="Arial" w:hAnsi="Arial" w:cs="Arial"/>
          <w:sz w:val="20"/>
          <w:szCs w:val="20"/>
        </w:rPr>
        <w:t>,</w:t>
      </w:r>
      <w:r w:rsidRPr="00703635">
        <w:rPr>
          <w:rFonts w:ascii="Arial" w:hAnsi="Arial" w:cs="Arial"/>
          <w:sz w:val="20"/>
          <w:szCs w:val="20"/>
        </w:rPr>
        <w:t xml:space="preserve"> 49</w:t>
      </w:r>
      <w:r w:rsidRPr="00703635">
        <w:rPr>
          <w:rFonts w:ascii="Cambria Math" w:hAnsi="Cambria Math" w:cs="Cambria Math"/>
          <w:sz w:val="20"/>
          <w:szCs w:val="20"/>
        </w:rPr>
        <w:t>‑</w:t>
      </w:r>
      <w:r w:rsidRPr="00703635">
        <w:rPr>
          <w:rFonts w:ascii="Arial" w:hAnsi="Arial" w:cs="Arial"/>
          <w:sz w:val="20"/>
          <w:szCs w:val="20"/>
        </w:rPr>
        <w:t xml:space="preserve">59. </w:t>
      </w:r>
      <w:r w:rsidRPr="00703635">
        <w:rPr>
          <w:rFonts w:ascii="Arial" w:hAnsi="Arial" w:cs="Arial"/>
          <w:sz w:val="20"/>
          <w:szCs w:val="20"/>
        </w:rPr>
        <w:lastRenderedPageBreak/>
        <w:t>https://www.jle.com/fr/revues/abc/edocs/interet_de_la_procalcitonine_nouveau_marqueur_de_linfection_bacterienne_50932/article.phtml?tab=texte</w:t>
      </w:r>
    </w:p>
    <w:p w14:paraId="3494FFF6" w14:textId="046629A7" w:rsidR="009835DE" w:rsidRPr="00703635" w:rsidRDefault="009835DE" w:rsidP="000D4CFB">
      <w:pPr>
        <w:pStyle w:val="ListParagraph"/>
        <w:numPr>
          <w:ilvl w:val="0"/>
          <w:numId w:val="12"/>
        </w:numPr>
        <w:spacing w:after="0" w:line="240" w:lineRule="auto"/>
        <w:ind w:left="357" w:hanging="357"/>
        <w:jc w:val="both"/>
        <w:rPr>
          <w:rFonts w:ascii="Arial" w:hAnsi="Arial" w:cs="Arial"/>
          <w:sz w:val="20"/>
          <w:szCs w:val="20"/>
          <w:lang w:val="en-US"/>
        </w:rPr>
      </w:pPr>
      <w:proofErr w:type="spellStart"/>
      <w:r w:rsidRPr="00703635">
        <w:rPr>
          <w:rFonts w:ascii="Arial" w:hAnsi="Arial" w:cs="Arial"/>
          <w:sz w:val="20"/>
          <w:szCs w:val="20"/>
        </w:rPr>
        <w:t>Viallon</w:t>
      </w:r>
      <w:proofErr w:type="spellEnd"/>
      <w:r w:rsidRPr="00703635">
        <w:rPr>
          <w:rFonts w:ascii="Arial" w:hAnsi="Arial" w:cs="Arial"/>
          <w:sz w:val="20"/>
          <w:szCs w:val="20"/>
        </w:rPr>
        <w:t xml:space="preserve">, A., </w:t>
      </w:r>
      <w:proofErr w:type="spellStart"/>
      <w:r w:rsidRPr="00703635">
        <w:rPr>
          <w:rFonts w:ascii="Arial" w:hAnsi="Arial" w:cs="Arial"/>
          <w:sz w:val="20"/>
          <w:szCs w:val="20"/>
        </w:rPr>
        <w:t>Pouzet</w:t>
      </w:r>
      <w:proofErr w:type="spellEnd"/>
      <w:r w:rsidRPr="00703635">
        <w:rPr>
          <w:rFonts w:ascii="Arial" w:hAnsi="Arial" w:cs="Arial"/>
          <w:sz w:val="20"/>
          <w:szCs w:val="20"/>
        </w:rPr>
        <w:t xml:space="preserve">, V., </w:t>
      </w:r>
      <w:proofErr w:type="spellStart"/>
      <w:r w:rsidRPr="00703635">
        <w:rPr>
          <w:rFonts w:ascii="Arial" w:hAnsi="Arial" w:cs="Arial"/>
          <w:sz w:val="20"/>
          <w:szCs w:val="20"/>
        </w:rPr>
        <w:t>Zeni</w:t>
      </w:r>
      <w:proofErr w:type="spellEnd"/>
      <w:r w:rsidRPr="00703635">
        <w:rPr>
          <w:rFonts w:ascii="Arial" w:hAnsi="Arial" w:cs="Arial"/>
          <w:sz w:val="20"/>
          <w:szCs w:val="20"/>
        </w:rPr>
        <w:t xml:space="preserve">, F., Tardy, B., </w:t>
      </w:r>
      <w:proofErr w:type="spellStart"/>
      <w:r w:rsidRPr="00703635">
        <w:rPr>
          <w:rFonts w:ascii="Arial" w:hAnsi="Arial" w:cs="Arial"/>
          <w:sz w:val="20"/>
          <w:szCs w:val="20"/>
        </w:rPr>
        <w:t>Guyomarc'h</w:t>
      </w:r>
      <w:proofErr w:type="spellEnd"/>
      <w:r w:rsidRPr="00703635">
        <w:rPr>
          <w:rFonts w:ascii="Arial" w:hAnsi="Arial" w:cs="Arial"/>
          <w:sz w:val="20"/>
          <w:szCs w:val="20"/>
        </w:rPr>
        <w:t xml:space="preserve">, S., Lambert, C. et al. (2000) Diagnostic rapide du type de méningite (bactérienne ou virale) par le dosage de la procalcitonine sérique. </w:t>
      </w:r>
      <w:r w:rsidRPr="00703635">
        <w:rPr>
          <w:rFonts w:ascii="Arial" w:hAnsi="Arial" w:cs="Arial"/>
          <w:sz w:val="20"/>
          <w:szCs w:val="20"/>
          <w:lang w:val="en-US"/>
        </w:rPr>
        <w:t>Presse Med</w:t>
      </w:r>
      <w:r w:rsidR="00B82F75" w:rsidRPr="00703635">
        <w:rPr>
          <w:rFonts w:ascii="Arial" w:hAnsi="Arial" w:cs="Arial"/>
          <w:sz w:val="20"/>
          <w:szCs w:val="20"/>
          <w:lang w:val="en-US"/>
        </w:rPr>
        <w:t>,</w:t>
      </w:r>
      <w:r w:rsidRPr="00703635">
        <w:rPr>
          <w:rFonts w:ascii="Arial" w:hAnsi="Arial" w:cs="Arial"/>
          <w:sz w:val="20"/>
          <w:szCs w:val="20"/>
          <w:lang w:val="en-US"/>
        </w:rPr>
        <w:t xml:space="preserve"> 29</w:t>
      </w:r>
      <w:r w:rsidR="00B82F75" w:rsidRPr="00703635">
        <w:rPr>
          <w:rFonts w:ascii="Arial" w:hAnsi="Arial" w:cs="Arial"/>
          <w:sz w:val="20"/>
          <w:szCs w:val="20"/>
          <w:lang w:val="en-US"/>
        </w:rPr>
        <w:t>,</w:t>
      </w:r>
      <w:r w:rsidRPr="00703635">
        <w:rPr>
          <w:rFonts w:ascii="Arial" w:hAnsi="Arial" w:cs="Arial"/>
          <w:sz w:val="20"/>
          <w:szCs w:val="20"/>
          <w:lang w:val="en-US"/>
        </w:rPr>
        <w:t xml:space="preserve"> 584-8. https://pubmed.ncbi.nlm.nih.gov/10776411/</w:t>
      </w:r>
    </w:p>
    <w:p w14:paraId="532C4AD8" w14:textId="56CDF3FD"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r w:rsidRPr="00703635">
        <w:rPr>
          <w:rFonts w:ascii="Arial" w:hAnsi="Arial" w:cs="Arial"/>
          <w:sz w:val="20"/>
          <w:szCs w:val="20"/>
          <w:lang w:val="en-US"/>
        </w:rPr>
        <w:t xml:space="preserve">Rajial, T., Batra, P., Harit, D., Singh, N.P. (2022). Utility of Cerebrospinal Fluid and Serum Procalcitonin for the Diagnosis of Neonatal Meningitis. Am J </w:t>
      </w:r>
      <w:proofErr w:type="spellStart"/>
      <w:r w:rsidRPr="00703635">
        <w:rPr>
          <w:rFonts w:ascii="Arial" w:hAnsi="Arial" w:cs="Arial"/>
          <w:sz w:val="20"/>
          <w:szCs w:val="20"/>
          <w:lang w:val="en-US"/>
        </w:rPr>
        <w:t>Perinatol</w:t>
      </w:r>
      <w:proofErr w:type="spellEnd"/>
      <w:r w:rsidRPr="00703635">
        <w:rPr>
          <w:rFonts w:ascii="Arial" w:hAnsi="Arial" w:cs="Arial"/>
          <w:sz w:val="20"/>
          <w:szCs w:val="20"/>
          <w:lang w:val="en-US"/>
        </w:rPr>
        <w:t>, 39(4)</w:t>
      </w:r>
      <w:r w:rsidR="00C55445" w:rsidRPr="00703635">
        <w:rPr>
          <w:rFonts w:ascii="Arial" w:hAnsi="Arial" w:cs="Arial"/>
          <w:sz w:val="20"/>
          <w:szCs w:val="20"/>
          <w:lang w:val="en-US"/>
        </w:rPr>
        <w:t xml:space="preserve">, </w:t>
      </w:r>
      <w:r w:rsidRPr="00703635">
        <w:rPr>
          <w:rFonts w:ascii="Arial" w:hAnsi="Arial" w:cs="Arial"/>
          <w:sz w:val="20"/>
          <w:szCs w:val="20"/>
          <w:lang w:val="en-US"/>
        </w:rPr>
        <w:t xml:space="preserve">373-378.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10.1055/s-0040-1716406.</w:t>
      </w:r>
      <w:r w:rsidR="00EC0EA0" w:rsidRPr="00703635">
        <w:rPr>
          <w:rFonts w:ascii="Arial" w:hAnsi="Arial" w:cs="Arial"/>
          <w:sz w:val="20"/>
          <w:szCs w:val="20"/>
          <w:lang w:val="en-US"/>
        </w:rPr>
        <w:t xml:space="preserve"> </w:t>
      </w:r>
    </w:p>
    <w:p w14:paraId="65402F70" w14:textId="5C9EE542" w:rsidR="009835DE" w:rsidRPr="00703635" w:rsidRDefault="009835DE" w:rsidP="00C55445">
      <w:pPr>
        <w:pStyle w:val="ListParagraph"/>
        <w:numPr>
          <w:ilvl w:val="0"/>
          <w:numId w:val="12"/>
        </w:numPr>
        <w:spacing w:line="240" w:lineRule="auto"/>
        <w:jc w:val="both"/>
        <w:rPr>
          <w:rFonts w:ascii="Arial" w:hAnsi="Arial" w:cs="Arial"/>
          <w:sz w:val="20"/>
          <w:szCs w:val="20"/>
          <w:lang w:val="en-US"/>
        </w:rPr>
      </w:pPr>
      <w:proofErr w:type="spellStart"/>
      <w:r w:rsidRPr="00703635">
        <w:rPr>
          <w:rFonts w:ascii="Arial" w:hAnsi="Arial" w:cs="Arial"/>
          <w:sz w:val="20"/>
          <w:szCs w:val="20"/>
          <w:lang w:val="en-US"/>
        </w:rPr>
        <w:t>Borensztajn</w:t>
      </w:r>
      <w:proofErr w:type="spellEnd"/>
      <w:r w:rsidRPr="00703635">
        <w:rPr>
          <w:rFonts w:ascii="Arial" w:hAnsi="Arial" w:cs="Arial"/>
          <w:sz w:val="20"/>
          <w:szCs w:val="20"/>
          <w:lang w:val="en-US"/>
        </w:rPr>
        <w:t xml:space="preserve">, D.M., </w:t>
      </w:r>
      <w:proofErr w:type="spellStart"/>
      <w:r w:rsidRPr="00703635">
        <w:rPr>
          <w:rFonts w:ascii="Arial" w:hAnsi="Arial" w:cs="Arial"/>
          <w:sz w:val="20"/>
          <w:szCs w:val="20"/>
          <w:lang w:val="en-US"/>
        </w:rPr>
        <w:t>Zachariasse</w:t>
      </w:r>
      <w:proofErr w:type="spellEnd"/>
      <w:r w:rsidRPr="00703635">
        <w:rPr>
          <w:rFonts w:ascii="Arial" w:hAnsi="Arial" w:cs="Arial"/>
          <w:sz w:val="20"/>
          <w:szCs w:val="20"/>
          <w:lang w:val="en-US"/>
        </w:rPr>
        <w:t xml:space="preserve">, J.M., Carrol, E.D., Nijman, R.G., Von Both U., </w:t>
      </w:r>
      <w:proofErr w:type="spellStart"/>
      <w:r w:rsidRPr="00703635">
        <w:rPr>
          <w:rFonts w:ascii="Arial" w:hAnsi="Arial" w:cs="Arial"/>
          <w:sz w:val="20"/>
          <w:szCs w:val="20"/>
          <w:lang w:val="en-US"/>
        </w:rPr>
        <w:t>Emonts</w:t>
      </w:r>
      <w:proofErr w:type="spellEnd"/>
      <w:r w:rsidRPr="00703635">
        <w:rPr>
          <w:rFonts w:ascii="Arial" w:hAnsi="Arial" w:cs="Arial"/>
          <w:sz w:val="20"/>
          <w:szCs w:val="20"/>
          <w:lang w:val="en-US"/>
        </w:rPr>
        <w:t xml:space="preserve"> M. and al. Procalcitonin use in febrile children attending European emergency departments: a prospective multicenter study. (2025). BMC </w:t>
      </w:r>
      <w:proofErr w:type="spellStart"/>
      <w:r w:rsidRPr="00703635">
        <w:rPr>
          <w:rFonts w:ascii="Arial" w:hAnsi="Arial" w:cs="Arial"/>
          <w:sz w:val="20"/>
          <w:szCs w:val="20"/>
          <w:lang w:val="en-US"/>
        </w:rPr>
        <w:t>Pediatr</w:t>
      </w:r>
      <w:proofErr w:type="spellEnd"/>
      <w:r w:rsidRPr="00703635">
        <w:rPr>
          <w:rFonts w:ascii="Arial" w:hAnsi="Arial" w:cs="Arial"/>
          <w:sz w:val="20"/>
          <w:szCs w:val="20"/>
          <w:lang w:val="en-US"/>
        </w:rPr>
        <w:t>, 1;25(1)</w:t>
      </w:r>
      <w:r w:rsidR="00C55445" w:rsidRPr="00703635">
        <w:rPr>
          <w:rFonts w:ascii="Arial" w:hAnsi="Arial" w:cs="Arial"/>
          <w:sz w:val="20"/>
          <w:szCs w:val="20"/>
          <w:lang w:val="en-US"/>
        </w:rPr>
        <w:t xml:space="preserve">, </w:t>
      </w:r>
      <w:r w:rsidRPr="00703635">
        <w:rPr>
          <w:rFonts w:ascii="Arial" w:hAnsi="Arial" w:cs="Arial"/>
          <w:sz w:val="20"/>
          <w:szCs w:val="20"/>
          <w:lang w:val="en-US"/>
        </w:rPr>
        <w:t xml:space="preserve">157. </w:t>
      </w:r>
      <w:proofErr w:type="spellStart"/>
      <w:r w:rsidRPr="00703635">
        <w:rPr>
          <w:rFonts w:ascii="Arial" w:hAnsi="Arial" w:cs="Arial"/>
          <w:sz w:val="20"/>
          <w:szCs w:val="20"/>
          <w:lang w:val="en-US"/>
        </w:rPr>
        <w:t>doi</w:t>
      </w:r>
      <w:proofErr w:type="spellEnd"/>
      <w:r w:rsidRPr="00703635">
        <w:rPr>
          <w:rFonts w:ascii="Arial" w:hAnsi="Arial" w:cs="Arial"/>
          <w:sz w:val="20"/>
          <w:szCs w:val="20"/>
          <w:lang w:val="en-US"/>
        </w:rPr>
        <w:t>: 10.1186/s12887-025-05483-</w:t>
      </w:r>
      <w:r w:rsidR="00EC0EA0" w:rsidRPr="00703635">
        <w:rPr>
          <w:rFonts w:ascii="Arial" w:hAnsi="Arial" w:cs="Arial"/>
          <w:sz w:val="20"/>
          <w:szCs w:val="20"/>
          <w:lang w:val="en-US"/>
        </w:rPr>
        <w:t>1</w:t>
      </w:r>
      <w:r w:rsidRPr="00703635">
        <w:rPr>
          <w:rFonts w:ascii="Arial" w:hAnsi="Arial" w:cs="Arial"/>
          <w:sz w:val="20"/>
          <w:szCs w:val="20"/>
          <w:lang w:val="en-US"/>
        </w:rPr>
        <w:t>.</w:t>
      </w:r>
      <w:r w:rsidR="00EC0EA0" w:rsidRPr="00703635">
        <w:rPr>
          <w:rFonts w:ascii="Arial" w:hAnsi="Arial" w:cs="Arial"/>
          <w:sz w:val="20"/>
          <w:szCs w:val="20"/>
          <w:lang w:val="en-US"/>
        </w:rPr>
        <w:t xml:space="preserve"> </w:t>
      </w:r>
    </w:p>
    <w:p w14:paraId="2F9873EC" w14:textId="3CCB1AAE" w:rsidR="00B26912" w:rsidRPr="001801CD" w:rsidRDefault="00B26912" w:rsidP="005B5649">
      <w:pPr>
        <w:spacing w:line="240" w:lineRule="auto"/>
        <w:rPr>
          <w:rFonts w:ascii="Arial" w:hAnsi="Arial" w:cs="Arial"/>
          <w:lang w:val="en-US"/>
        </w:rPr>
      </w:pPr>
    </w:p>
    <w:sectPr w:rsidR="00B26912" w:rsidRPr="001801C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6E573" w14:textId="77777777" w:rsidR="00BE4729" w:rsidRDefault="00BE4729" w:rsidP="00133F6A">
      <w:pPr>
        <w:spacing w:after="0" w:line="240" w:lineRule="auto"/>
      </w:pPr>
      <w:r>
        <w:separator/>
      </w:r>
    </w:p>
  </w:endnote>
  <w:endnote w:type="continuationSeparator" w:id="0">
    <w:p w14:paraId="1D9ECBDA" w14:textId="77777777" w:rsidR="00BE4729" w:rsidRDefault="00BE4729" w:rsidP="0013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9434" w14:textId="77777777" w:rsidR="00133F6A" w:rsidRDefault="00133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D67F" w14:textId="77777777" w:rsidR="00133F6A" w:rsidRDefault="00133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FBB0" w14:textId="77777777" w:rsidR="00133F6A" w:rsidRDefault="00133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64130" w14:textId="77777777" w:rsidR="00BE4729" w:rsidRDefault="00BE4729" w:rsidP="00133F6A">
      <w:pPr>
        <w:spacing w:after="0" w:line="240" w:lineRule="auto"/>
      </w:pPr>
      <w:r>
        <w:separator/>
      </w:r>
    </w:p>
  </w:footnote>
  <w:footnote w:type="continuationSeparator" w:id="0">
    <w:p w14:paraId="5956F6AF" w14:textId="77777777" w:rsidR="00BE4729" w:rsidRDefault="00BE4729" w:rsidP="00133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2BF6" w14:textId="1B875847" w:rsidR="00133F6A" w:rsidRDefault="00BE4729">
    <w:pPr>
      <w:pStyle w:val="Header"/>
    </w:pPr>
    <w:r>
      <w:rPr>
        <w:noProof/>
      </w:rPr>
      <w:pict w14:anchorId="70C04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98376" o:spid="_x0000_s2051" type="#_x0000_t136" alt="" style="position:absolute;margin-left:0;margin-top:0;width:574.65pt;height:64.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BE8B" w14:textId="0EE1D3E6" w:rsidR="00133F6A" w:rsidRDefault="00BE4729">
    <w:pPr>
      <w:pStyle w:val="Header"/>
    </w:pPr>
    <w:r>
      <w:rPr>
        <w:noProof/>
      </w:rPr>
      <w:pict w14:anchorId="67CF1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98377" o:spid="_x0000_s2050" type="#_x0000_t136" alt="" style="position:absolute;margin-left:0;margin-top:0;width:574.65pt;height:64.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7EB5D" w14:textId="169A71CE" w:rsidR="00133F6A" w:rsidRDefault="00BE4729">
    <w:pPr>
      <w:pStyle w:val="Header"/>
    </w:pPr>
    <w:r>
      <w:rPr>
        <w:noProof/>
      </w:rPr>
      <w:pict w14:anchorId="5B458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98375" o:spid="_x0000_s2049" type="#_x0000_t136" alt="" style="position:absolute;margin-left:0;margin-top:0;width:574.65pt;height:64.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09DB"/>
    <w:multiLevelType w:val="multilevel"/>
    <w:tmpl w:val="B2FABB38"/>
    <w:lvl w:ilvl="0">
      <w:start w:val="1"/>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D6186"/>
    <w:multiLevelType w:val="hybridMultilevel"/>
    <w:tmpl w:val="579A25C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2027BC9"/>
    <w:multiLevelType w:val="multilevel"/>
    <w:tmpl w:val="5F164A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73087E"/>
    <w:multiLevelType w:val="hybridMultilevel"/>
    <w:tmpl w:val="D2383F4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5D03E4"/>
    <w:multiLevelType w:val="hybridMultilevel"/>
    <w:tmpl w:val="CB7624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872B2B"/>
    <w:multiLevelType w:val="hybridMultilevel"/>
    <w:tmpl w:val="FE2688F0"/>
    <w:lvl w:ilvl="0" w:tplc="96EC50E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200DA1"/>
    <w:multiLevelType w:val="multilevel"/>
    <w:tmpl w:val="F48E918E"/>
    <w:lvl w:ilvl="0">
      <w:numFmt w:val="bullet"/>
      <w:lvlText w:val="-"/>
      <w:lvlJc w:val="left"/>
      <w:pPr>
        <w:ind w:left="720" w:hanging="360"/>
      </w:pPr>
      <w:rPr>
        <w:rFonts w:ascii="Aptos" w:eastAsiaTheme="minorHAnsi" w:hAnsi="Aptos" w:cstheme="min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E94224"/>
    <w:multiLevelType w:val="multilevel"/>
    <w:tmpl w:val="36001F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0C34F5"/>
    <w:multiLevelType w:val="hybridMultilevel"/>
    <w:tmpl w:val="03645A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A020AD"/>
    <w:multiLevelType w:val="hybridMultilevel"/>
    <w:tmpl w:val="16285374"/>
    <w:lvl w:ilvl="0" w:tplc="040C000B">
      <w:start w:val="1"/>
      <w:numFmt w:val="bullet"/>
      <w:lvlText w:val=""/>
      <w:lvlJc w:val="left"/>
      <w:pPr>
        <w:ind w:left="820" w:hanging="360"/>
      </w:pPr>
      <w:rPr>
        <w:rFonts w:ascii="Wingdings" w:hAnsi="Wingdings"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0" w15:restartNumberingAfterBreak="0">
    <w:nsid w:val="704F6065"/>
    <w:multiLevelType w:val="hybridMultilevel"/>
    <w:tmpl w:val="8C62354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B73C10"/>
    <w:multiLevelType w:val="hybridMultilevel"/>
    <w:tmpl w:val="D304F2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9"/>
  </w:num>
  <w:num w:numId="5">
    <w:abstractNumId w:val="2"/>
  </w:num>
  <w:num w:numId="6">
    <w:abstractNumId w:val="0"/>
  </w:num>
  <w:num w:numId="7">
    <w:abstractNumId w:val="6"/>
  </w:num>
  <w:num w:numId="8">
    <w:abstractNumId w:val="10"/>
  </w:num>
  <w:num w:numId="9">
    <w:abstractNumId w:val="3"/>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12"/>
    <w:rsid w:val="00033923"/>
    <w:rsid w:val="000400CC"/>
    <w:rsid w:val="000407D5"/>
    <w:rsid w:val="000552E5"/>
    <w:rsid w:val="00070E3F"/>
    <w:rsid w:val="000865E7"/>
    <w:rsid w:val="000A674F"/>
    <w:rsid w:val="000B3F2B"/>
    <w:rsid w:val="000D1371"/>
    <w:rsid w:val="000D4CFB"/>
    <w:rsid w:val="000E3013"/>
    <w:rsid w:val="000F3A9B"/>
    <w:rsid w:val="00106067"/>
    <w:rsid w:val="00121D17"/>
    <w:rsid w:val="00133F6A"/>
    <w:rsid w:val="001462DF"/>
    <w:rsid w:val="001466F5"/>
    <w:rsid w:val="00146BC1"/>
    <w:rsid w:val="00150C4E"/>
    <w:rsid w:val="00167E72"/>
    <w:rsid w:val="00171DD8"/>
    <w:rsid w:val="001801CD"/>
    <w:rsid w:val="00193E6E"/>
    <w:rsid w:val="001B1770"/>
    <w:rsid w:val="001B2EBC"/>
    <w:rsid w:val="001C7438"/>
    <w:rsid w:val="001E275A"/>
    <w:rsid w:val="002248AB"/>
    <w:rsid w:val="00235D61"/>
    <w:rsid w:val="00246D4D"/>
    <w:rsid w:val="00254B48"/>
    <w:rsid w:val="0026030B"/>
    <w:rsid w:val="00262C0F"/>
    <w:rsid w:val="00282F96"/>
    <w:rsid w:val="00297670"/>
    <w:rsid w:val="002B1EE1"/>
    <w:rsid w:val="002B2F2C"/>
    <w:rsid w:val="002B72AA"/>
    <w:rsid w:val="002C3611"/>
    <w:rsid w:val="002D2E07"/>
    <w:rsid w:val="002D50FA"/>
    <w:rsid w:val="00300DE1"/>
    <w:rsid w:val="00306D39"/>
    <w:rsid w:val="00316B4A"/>
    <w:rsid w:val="00323B34"/>
    <w:rsid w:val="00336EBC"/>
    <w:rsid w:val="00337163"/>
    <w:rsid w:val="00352A2D"/>
    <w:rsid w:val="00361E9D"/>
    <w:rsid w:val="0036546A"/>
    <w:rsid w:val="00372265"/>
    <w:rsid w:val="00373804"/>
    <w:rsid w:val="003765EE"/>
    <w:rsid w:val="00377D23"/>
    <w:rsid w:val="00397D1F"/>
    <w:rsid w:val="003A3803"/>
    <w:rsid w:val="003B2C71"/>
    <w:rsid w:val="003B760A"/>
    <w:rsid w:val="003C3AC2"/>
    <w:rsid w:val="003E5C82"/>
    <w:rsid w:val="003E615B"/>
    <w:rsid w:val="004308B9"/>
    <w:rsid w:val="00433994"/>
    <w:rsid w:val="00436598"/>
    <w:rsid w:val="00446D15"/>
    <w:rsid w:val="0047532D"/>
    <w:rsid w:val="00480A26"/>
    <w:rsid w:val="0049007F"/>
    <w:rsid w:val="004A0261"/>
    <w:rsid w:val="004A38DA"/>
    <w:rsid w:val="004A69EF"/>
    <w:rsid w:val="004A7DAC"/>
    <w:rsid w:val="004D1F55"/>
    <w:rsid w:val="004D44D9"/>
    <w:rsid w:val="004F13B7"/>
    <w:rsid w:val="00502D32"/>
    <w:rsid w:val="00512787"/>
    <w:rsid w:val="00513DA1"/>
    <w:rsid w:val="005235ED"/>
    <w:rsid w:val="00526FA6"/>
    <w:rsid w:val="005418B3"/>
    <w:rsid w:val="00542C86"/>
    <w:rsid w:val="005547DC"/>
    <w:rsid w:val="00555B3F"/>
    <w:rsid w:val="00577038"/>
    <w:rsid w:val="005A6714"/>
    <w:rsid w:val="005A73F5"/>
    <w:rsid w:val="005A74A5"/>
    <w:rsid w:val="005B5649"/>
    <w:rsid w:val="005D3D35"/>
    <w:rsid w:val="005E3CAA"/>
    <w:rsid w:val="005E3D6A"/>
    <w:rsid w:val="005E5027"/>
    <w:rsid w:val="00600BD5"/>
    <w:rsid w:val="00623B6B"/>
    <w:rsid w:val="00632394"/>
    <w:rsid w:val="0063620D"/>
    <w:rsid w:val="00640C2D"/>
    <w:rsid w:val="00650D68"/>
    <w:rsid w:val="00655449"/>
    <w:rsid w:val="00660F67"/>
    <w:rsid w:val="00664FA2"/>
    <w:rsid w:val="00672A28"/>
    <w:rsid w:val="00680B45"/>
    <w:rsid w:val="00687053"/>
    <w:rsid w:val="006A42CA"/>
    <w:rsid w:val="006A5163"/>
    <w:rsid w:val="006B0578"/>
    <w:rsid w:val="006D4423"/>
    <w:rsid w:val="006E6951"/>
    <w:rsid w:val="00703635"/>
    <w:rsid w:val="00734EF1"/>
    <w:rsid w:val="00743B33"/>
    <w:rsid w:val="00750DCE"/>
    <w:rsid w:val="00750DFB"/>
    <w:rsid w:val="007547F8"/>
    <w:rsid w:val="007622BC"/>
    <w:rsid w:val="00774E8F"/>
    <w:rsid w:val="00780BD9"/>
    <w:rsid w:val="007A3839"/>
    <w:rsid w:val="007A6C4A"/>
    <w:rsid w:val="007B0187"/>
    <w:rsid w:val="007B02C9"/>
    <w:rsid w:val="007B6655"/>
    <w:rsid w:val="007B6C65"/>
    <w:rsid w:val="007C28F5"/>
    <w:rsid w:val="007C3864"/>
    <w:rsid w:val="007C5583"/>
    <w:rsid w:val="007D2F71"/>
    <w:rsid w:val="007E46CF"/>
    <w:rsid w:val="00820A33"/>
    <w:rsid w:val="008227D7"/>
    <w:rsid w:val="00824DA7"/>
    <w:rsid w:val="00842E71"/>
    <w:rsid w:val="00853E1E"/>
    <w:rsid w:val="00863876"/>
    <w:rsid w:val="008B18A2"/>
    <w:rsid w:val="008C5B84"/>
    <w:rsid w:val="008D0DC7"/>
    <w:rsid w:val="008D6BC1"/>
    <w:rsid w:val="008E17FC"/>
    <w:rsid w:val="008F3AA8"/>
    <w:rsid w:val="00910E3C"/>
    <w:rsid w:val="00915F21"/>
    <w:rsid w:val="009357C0"/>
    <w:rsid w:val="009768F6"/>
    <w:rsid w:val="009835DE"/>
    <w:rsid w:val="00991AB2"/>
    <w:rsid w:val="009A2645"/>
    <w:rsid w:val="009A5713"/>
    <w:rsid w:val="009A7DE3"/>
    <w:rsid w:val="009B13F2"/>
    <w:rsid w:val="009C4122"/>
    <w:rsid w:val="009F0C13"/>
    <w:rsid w:val="009F1074"/>
    <w:rsid w:val="009F4E1A"/>
    <w:rsid w:val="00A0169C"/>
    <w:rsid w:val="00A22320"/>
    <w:rsid w:val="00A31FE0"/>
    <w:rsid w:val="00A75480"/>
    <w:rsid w:val="00A75B5C"/>
    <w:rsid w:val="00A80220"/>
    <w:rsid w:val="00A9051A"/>
    <w:rsid w:val="00A932FC"/>
    <w:rsid w:val="00AB46C2"/>
    <w:rsid w:val="00AB530F"/>
    <w:rsid w:val="00AC67A0"/>
    <w:rsid w:val="00AF5748"/>
    <w:rsid w:val="00B22F80"/>
    <w:rsid w:val="00B26912"/>
    <w:rsid w:val="00B438FA"/>
    <w:rsid w:val="00B53A5D"/>
    <w:rsid w:val="00B564F6"/>
    <w:rsid w:val="00B657E7"/>
    <w:rsid w:val="00B82F75"/>
    <w:rsid w:val="00B835CB"/>
    <w:rsid w:val="00B86FB5"/>
    <w:rsid w:val="00B91B70"/>
    <w:rsid w:val="00BA75F1"/>
    <w:rsid w:val="00BB68BB"/>
    <w:rsid w:val="00BB7C4B"/>
    <w:rsid w:val="00BE1DA1"/>
    <w:rsid w:val="00BE2A06"/>
    <w:rsid w:val="00BE4729"/>
    <w:rsid w:val="00C034A9"/>
    <w:rsid w:val="00C05869"/>
    <w:rsid w:val="00C1202E"/>
    <w:rsid w:val="00C341E8"/>
    <w:rsid w:val="00C50673"/>
    <w:rsid w:val="00C55445"/>
    <w:rsid w:val="00C56A8C"/>
    <w:rsid w:val="00C621F0"/>
    <w:rsid w:val="00C80B06"/>
    <w:rsid w:val="00C8189F"/>
    <w:rsid w:val="00C834BF"/>
    <w:rsid w:val="00CC0E53"/>
    <w:rsid w:val="00CD1557"/>
    <w:rsid w:val="00CE701B"/>
    <w:rsid w:val="00CF4BFD"/>
    <w:rsid w:val="00CF5016"/>
    <w:rsid w:val="00D10893"/>
    <w:rsid w:val="00D2286B"/>
    <w:rsid w:val="00D24DDC"/>
    <w:rsid w:val="00D540A8"/>
    <w:rsid w:val="00D60BEE"/>
    <w:rsid w:val="00D720ED"/>
    <w:rsid w:val="00D72302"/>
    <w:rsid w:val="00D92503"/>
    <w:rsid w:val="00DB1626"/>
    <w:rsid w:val="00DB1E59"/>
    <w:rsid w:val="00DC4CBE"/>
    <w:rsid w:val="00DD1620"/>
    <w:rsid w:val="00E2503E"/>
    <w:rsid w:val="00E3577C"/>
    <w:rsid w:val="00E46FF8"/>
    <w:rsid w:val="00E502DC"/>
    <w:rsid w:val="00E560D1"/>
    <w:rsid w:val="00E66C26"/>
    <w:rsid w:val="00E830E9"/>
    <w:rsid w:val="00EA3996"/>
    <w:rsid w:val="00EC0EA0"/>
    <w:rsid w:val="00EC14F1"/>
    <w:rsid w:val="00ED656B"/>
    <w:rsid w:val="00EE2E63"/>
    <w:rsid w:val="00F00EE5"/>
    <w:rsid w:val="00F00F36"/>
    <w:rsid w:val="00F36221"/>
    <w:rsid w:val="00F5571D"/>
    <w:rsid w:val="00F6097E"/>
    <w:rsid w:val="00F66401"/>
    <w:rsid w:val="00F67AAD"/>
    <w:rsid w:val="00F70C78"/>
    <w:rsid w:val="00F72D3D"/>
    <w:rsid w:val="00F75C2C"/>
    <w:rsid w:val="00F950D5"/>
    <w:rsid w:val="00FB77DC"/>
    <w:rsid w:val="00FC0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EE65E"/>
  <w15:chartTrackingRefBased/>
  <w15:docId w15:val="{B9CE030A-8A7E-408A-B8FD-0D620AAF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12"/>
  </w:style>
  <w:style w:type="paragraph" w:styleId="Heading1">
    <w:name w:val="heading 1"/>
    <w:basedOn w:val="Normal"/>
    <w:next w:val="Normal"/>
    <w:link w:val="Heading1Char"/>
    <w:uiPriority w:val="9"/>
    <w:qFormat/>
    <w:rsid w:val="00B26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912"/>
    <w:rPr>
      <w:rFonts w:eastAsiaTheme="majorEastAsia" w:cstheme="majorBidi"/>
      <w:color w:val="272727" w:themeColor="text1" w:themeTint="D8"/>
    </w:rPr>
  </w:style>
  <w:style w:type="paragraph" w:styleId="Title">
    <w:name w:val="Title"/>
    <w:basedOn w:val="Normal"/>
    <w:next w:val="Normal"/>
    <w:link w:val="TitleChar"/>
    <w:uiPriority w:val="10"/>
    <w:qFormat/>
    <w:rsid w:val="00B26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912"/>
    <w:pPr>
      <w:spacing w:before="160"/>
      <w:jc w:val="center"/>
    </w:pPr>
    <w:rPr>
      <w:i/>
      <w:iCs/>
      <w:color w:val="404040" w:themeColor="text1" w:themeTint="BF"/>
    </w:rPr>
  </w:style>
  <w:style w:type="character" w:customStyle="1" w:styleId="QuoteChar">
    <w:name w:val="Quote Char"/>
    <w:basedOn w:val="DefaultParagraphFont"/>
    <w:link w:val="Quote"/>
    <w:uiPriority w:val="29"/>
    <w:rsid w:val="00B26912"/>
    <w:rPr>
      <w:i/>
      <w:iCs/>
      <w:color w:val="404040" w:themeColor="text1" w:themeTint="BF"/>
    </w:rPr>
  </w:style>
  <w:style w:type="paragraph" w:styleId="ListParagraph">
    <w:name w:val="List Paragraph"/>
    <w:basedOn w:val="Normal"/>
    <w:uiPriority w:val="34"/>
    <w:qFormat/>
    <w:rsid w:val="00B26912"/>
    <w:pPr>
      <w:ind w:left="720"/>
      <w:contextualSpacing/>
    </w:pPr>
  </w:style>
  <w:style w:type="character" w:styleId="IntenseEmphasis">
    <w:name w:val="Intense Emphasis"/>
    <w:basedOn w:val="DefaultParagraphFont"/>
    <w:uiPriority w:val="21"/>
    <w:qFormat/>
    <w:rsid w:val="00B26912"/>
    <w:rPr>
      <w:i/>
      <w:iCs/>
      <w:color w:val="0F4761" w:themeColor="accent1" w:themeShade="BF"/>
    </w:rPr>
  </w:style>
  <w:style w:type="paragraph" w:styleId="IntenseQuote">
    <w:name w:val="Intense Quote"/>
    <w:basedOn w:val="Normal"/>
    <w:next w:val="Normal"/>
    <w:link w:val="IntenseQuoteChar"/>
    <w:uiPriority w:val="30"/>
    <w:qFormat/>
    <w:rsid w:val="00B26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912"/>
    <w:rPr>
      <w:i/>
      <w:iCs/>
      <w:color w:val="0F4761" w:themeColor="accent1" w:themeShade="BF"/>
    </w:rPr>
  </w:style>
  <w:style w:type="character" w:styleId="IntenseReference">
    <w:name w:val="Intense Reference"/>
    <w:basedOn w:val="DefaultParagraphFont"/>
    <w:uiPriority w:val="32"/>
    <w:qFormat/>
    <w:rsid w:val="00B26912"/>
    <w:rPr>
      <w:b/>
      <w:bCs/>
      <w:smallCaps/>
      <w:color w:val="0F4761" w:themeColor="accent1" w:themeShade="BF"/>
      <w:spacing w:val="5"/>
    </w:rPr>
  </w:style>
  <w:style w:type="table" w:styleId="GridTable6Colorful-Accent1">
    <w:name w:val="Grid Table 6 Colorful Accent 1"/>
    <w:basedOn w:val="TableNormal"/>
    <w:uiPriority w:val="51"/>
    <w:rsid w:val="00B26912"/>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aption">
    <w:name w:val="caption"/>
    <w:basedOn w:val="Normal"/>
    <w:next w:val="Normal"/>
    <w:uiPriority w:val="35"/>
    <w:unhideWhenUsed/>
    <w:qFormat/>
    <w:rsid w:val="00B26912"/>
    <w:pPr>
      <w:spacing w:after="200" w:line="240" w:lineRule="auto"/>
    </w:pPr>
    <w:rPr>
      <w:i/>
      <w:iCs/>
      <w:color w:val="0E2841" w:themeColor="text2"/>
      <w:kern w:val="0"/>
      <w:sz w:val="18"/>
      <w:szCs w:val="18"/>
      <w14:ligatures w14:val="none"/>
    </w:rPr>
  </w:style>
  <w:style w:type="table" w:customStyle="1" w:styleId="TableauGrille6Couleur-Accentuation13">
    <w:name w:val="Tableau Grille 6 Couleur - Accentuation 13"/>
    <w:basedOn w:val="TableNormal"/>
    <w:uiPriority w:val="51"/>
    <w:rsid w:val="00B26912"/>
    <w:pPr>
      <w:spacing w:after="0" w:line="240" w:lineRule="auto"/>
    </w:pPr>
    <w:rPr>
      <w:rFonts w:ascii="Calibri" w:eastAsia="Calibri" w:hAnsi="Calibri" w:cs="Arial"/>
      <w:color w:val="2F5496"/>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4">
    <w:name w:val="Tableau Grille 6 Couleur - Accentuation 14"/>
    <w:basedOn w:val="TableNormal"/>
    <w:next w:val="GridTable6Colorful-Accent1"/>
    <w:uiPriority w:val="51"/>
    <w:rsid w:val="00B26912"/>
    <w:pPr>
      <w:spacing w:after="0" w:line="240" w:lineRule="auto"/>
    </w:pPr>
    <w:rPr>
      <w:rFonts w:ascii="Calibri" w:eastAsia="Calibri" w:hAnsi="Calibri" w:cs="Arial"/>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Author">
    <w:name w:val="Author"/>
    <w:basedOn w:val="Normal"/>
    <w:rsid w:val="00193E6E"/>
    <w:pPr>
      <w:spacing w:after="0" w:line="280" w:lineRule="exact"/>
      <w:jc w:val="right"/>
    </w:pPr>
    <w:rPr>
      <w:rFonts w:ascii="Helvetica" w:eastAsia="Times New Roman" w:hAnsi="Helvetica" w:cs="Times New Roman"/>
      <w:b/>
      <w:kern w:val="0"/>
      <w:szCs w:val="20"/>
      <w:lang w:val="en-US"/>
      <w14:ligatures w14:val="none"/>
    </w:rPr>
  </w:style>
  <w:style w:type="paragraph" w:customStyle="1" w:styleId="ReferHead">
    <w:name w:val="Refer Head"/>
    <w:basedOn w:val="Normal"/>
    <w:rsid w:val="001466F5"/>
    <w:pPr>
      <w:keepNext/>
      <w:spacing w:after="240" w:line="240" w:lineRule="auto"/>
    </w:pPr>
    <w:rPr>
      <w:rFonts w:ascii="Helvetica" w:eastAsia="Times New Roman" w:hAnsi="Helvetica" w:cs="Times New Roman"/>
      <w:b/>
      <w:caps/>
      <w:kern w:val="0"/>
      <w:sz w:val="22"/>
      <w:szCs w:val="20"/>
      <w:lang w:val="en-US"/>
      <w14:ligatures w14:val="none"/>
    </w:rPr>
  </w:style>
  <w:style w:type="paragraph" w:styleId="Bibliography">
    <w:name w:val="Bibliography"/>
    <w:basedOn w:val="Normal"/>
    <w:next w:val="Normal"/>
    <w:uiPriority w:val="37"/>
    <w:unhideWhenUsed/>
    <w:rsid w:val="007C3864"/>
    <w:pPr>
      <w:spacing w:after="240" w:line="240" w:lineRule="auto"/>
      <w:ind w:left="720" w:hanging="720"/>
    </w:pPr>
  </w:style>
  <w:style w:type="character" w:styleId="Hyperlink">
    <w:name w:val="Hyperlink"/>
    <w:basedOn w:val="DefaultParagraphFont"/>
    <w:uiPriority w:val="99"/>
    <w:unhideWhenUsed/>
    <w:rsid w:val="009835DE"/>
    <w:rPr>
      <w:color w:val="467886" w:themeColor="hyperlink"/>
      <w:u w:val="single"/>
    </w:rPr>
  </w:style>
  <w:style w:type="table" w:styleId="TableGrid">
    <w:name w:val="Table Grid"/>
    <w:basedOn w:val="TableNormal"/>
    <w:uiPriority w:val="59"/>
    <w:rsid w:val="00D925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83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3839"/>
    <w:rPr>
      <w:rFonts w:ascii="Times New Roman" w:hAnsi="Times New Roman" w:cs="Times New Roman"/>
      <w:sz w:val="18"/>
      <w:szCs w:val="18"/>
    </w:rPr>
  </w:style>
  <w:style w:type="paragraph" w:styleId="HTMLPreformatted">
    <w:name w:val="HTML Preformatted"/>
    <w:basedOn w:val="Normal"/>
    <w:link w:val="HTMLPreformattedChar"/>
    <w:uiPriority w:val="99"/>
    <w:semiHidden/>
    <w:unhideWhenUsed/>
    <w:rsid w:val="007A383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A3839"/>
    <w:rPr>
      <w:rFonts w:ascii="Consolas" w:hAnsi="Consolas" w:cs="Consolas"/>
      <w:sz w:val="20"/>
      <w:szCs w:val="20"/>
    </w:rPr>
  </w:style>
  <w:style w:type="character" w:styleId="UnresolvedMention">
    <w:name w:val="Unresolved Mention"/>
    <w:basedOn w:val="DefaultParagraphFont"/>
    <w:uiPriority w:val="99"/>
    <w:semiHidden/>
    <w:unhideWhenUsed/>
    <w:rsid w:val="00A80220"/>
    <w:rPr>
      <w:color w:val="605E5C"/>
      <w:shd w:val="clear" w:color="auto" w:fill="E1DFDD"/>
    </w:rPr>
  </w:style>
  <w:style w:type="paragraph" w:styleId="Header">
    <w:name w:val="header"/>
    <w:basedOn w:val="Normal"/>
    <w:link w:val="HeaderChar"/>
    <w:uiPriority w:val="99"/>
    <w:unhideWhenUsed/>
    <w:rsid w:val="0013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F6A"/>
  </w:style>
  <w:style w:type="paragraph" w:styleId="Footer">
    <w:name w:val="footer"/>
    <w:basedOn w:val="Normal"/>
    <w:link w:val="FooterChar"/>
    <w:uiPriority w:val="99"/>
    <w:unhideWhenUsed/>
    <w:rsid w:val="00133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338852">
      <w:bodyDiv w:val="1"/>
      <w:marLeft w:val="0"/>
      <w:marRight w:val="0"/>
      <w:marTop w:val="0"/>
      <w:marBottom w:val="0"/>
      <w:divBdr>
        <w:top w:val="none" w:sz="0" w:space="0" w:color="auto"/>
        <w:left w:val="none" w:sz="0" w:space="0" w:color="auto"/>
        <w:bottom w:val="none" w:sz="0" w:space="0" w:color="auto"/>
        <w:right w:val="none" w:sz="0" w:space="0" w:color="auto"/>
      </w:divBdr>
    </w:div>
    <w:div w:id="19324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jle.com/fr/revues/abc/edocs/les_meningites_aigues_proteines_inflammatoires_et_procalcitonine_50675/article.p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Feuil1!$B$1</c:f>
              <c:strCache>
                <c:ptCount val="1"/>
                <c:pt idx="0">
                  <c:v>Discharge diagnosis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9A6-496B-BAEB-4122820AA01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9A6-496B-BAEB-4122820AA01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9A6-496B-BAEB-4122820AA01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9A6-496B-BAEB-4122820AA0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4"/>
                <c:pt idx="0">
                  <c:v>Bacterial meningitis</c:v>
                </c:pt>
                <c:pt idx="1">
                  <c:v>Viral meningitis</c:v>
                </c:pt>
                <c:pt idx="2">
                  <c:v>Sepsis </c:v>
                </c:pt>
                <c:pt idx="3">
                  <c:v>Other types of infection</c:v>
                </c:pt>
              </c:strCache>
            </c:strRef>
          </c:cat>
          <c:val>
            <c:numRef>
              <c:f>Feuil1!$B$2:$B$5</c:f>
              <c:numCache>
                <c:formatCode>0%</c:formatCode>
                <c:ptCount val="4"/>
                <c:pt idx="0">
                  <c:v>0.2</c:v>
                </c:pt>
                <c:pt idx="1">
                  <c:v>0.45</c:v>
                </c:pt>
                <c:pt idx="2">
                  <c:v>0.15</c:v>
                </c:pt>
                <c:pt idx="3">
                  <c:v>0.2</c:v>
                </c:pt>
              </c:numCache>
            </c:numRef>
          </c:val>
          <c:extLst>
            <c:ext xmlns:c16="http://schemas.microsoft.com/office/drawing/2014/chart" uri="{C3380CC4-5D6E-409C-BE32-E72D297353CC}">
              <c16:uniqueId val="{00000008-39A6-496B-BAEB-4122820AA01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B8080-A295-4B8C-8F6C-341EBF10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3248</Words>
  <Characters>18517</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najah fatou coly</dc:creator>
  <cp:keywords/>
  <dc:description/>
  <cp:lastModifiedBy>SDI 1089</cp:lastModifiedBy>
  <cp:revision>4</cp:revision>
  <dcterms:created xsi:type="dcterms:W3CDTF">2025-11-23T10:52:00Z</dcterms:created>
  <dcterms:modified xsi:type="dcterms:W3CDTF">2025-11-26T10:51:00Z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id="xXcBHLfR"/&gt;&lt;style id="http://www.zotero.org/styles/chicago-author-date" locale="fr-FR" hasBibliography="1" bibliographyStyleHasBeenSet="1"/&gt;&lt;prefs&gt;&lt;pref name="fieldType" value="Field"/&gt;&lt;/prefs&gt;&lt;/</vt:lpwstr>
  </property>
  <property fmtid="{D5CDD505-2E9C-101B-9397-08002B2CF9AE}" pid="3" name="ZOTERO_PREF_2">
    <vt:lpwstr>data&gt;</vt:lpwstr>
  </property>
</Properties>
</file>