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1002" w:rsidRDefault="008B1002" w:rsidP="004914EC">
      <w:pPr>
        <w:pStyle w:val="Author"/>
        <w:spacing w:line="240" w:lineRule="auto"/>
        <w:rPr>
          <w:rFonts w:ascii="Times New Roman" w:hAnsi="Times New Roman"/>
        </w:rPr>
      </w:pPr>
      <w:bookmarkStart w:id="0" w:name="_GoBack"/>
      <w:bookmarkEnd w:id="0"/>
      <w:r w:rsidRPr="008B1002">
        <w:rPr>
          <w:rFonts w:ascii="Times New Roman" w:hAnsi="Times New Roman"/>
        </w:rPr>
        <w:t xml:space="preserve">Case Report    </w:t>
      </w:r>
    </w:p>
    <w:p w:rsidR="008B1002" w:rsidRDefault="008B1002" w:rsidP="004914EC">
      <w:pPr>
        <w:pStyle w:val="Author"/>
        <w:spacing w:line="240" w:lineRule="auto"/>
        <w:rPr>
          <w:rFonts w:ascii="Times New Roman" w:hAnsi="Times New Roman"/>
        </w:rPr>
      </w:pPr>
    </w:p>
    <w:p w:rsidR="004914EC" w:rsidRPr="00163BC4" w:rsidRDefault="004914EC" w:rsidP="004914EC">
      <w:pPr>
        <w:pStyle w:val="Author"/>
        <w:spacing w:line="240" w:lineRule="auto"/>
        <w:rPr>
          <w:rFonts w:ascii="Arial" w:hAnsi="Arial" w:cs="Arial"/>
          <w:bCs/>
          <w:iCs/>
          <w:kern w:val="28"/>
          <w:sz w:val="36"/>
        </w:rPr>
      </w:pPr>
      <w:r w:rsidRPr="003F1466">
        <w:rPr>
          <w:rFonts w:ascii="Times New Roman" w:hAnsi="Times New Roman"/>
        </w:rPr>
        <w:t>Thinking at a spinal level? A novel case of Longitudinal Myelopathy as first presentation of NPSLE in a child</w:t>
      </w:r>
    </w:p>
    <w:p w:rsidR="004914EC" w:rsidRPr="00790ADA" w:rsidRDefault="004914EC" w:rsidP="004914EC">
      <w:pPr>
        <w:pStyle w:val="Author"/>
        <w:spacing w:line="240" w:lineRule="auto"/>
        <w:jc w:val="both"/>
        <w:rPr>
          <w:rFonts w:ascii="Arial" w:hAnsi="Arial" w:cs="Arial"/>
          <w:sz w:val="36"/>
        </w:rPr>
      </w:pPr>
    </w:p>
    <w:p w:rsidR="004914EC" w:rsidRPr="00FB3A86" w:rsidRDefault="004914EC" w:rsidP="004914EC">
      <w:pPr>
        <w:pStyle w:val="Affiliation"/>
        <w:spacing w:after="0" w:line="240" w:lineRule="auto"/>
        <w:jc w:val="both"/>
        <w:rPr>
          <w:rFonts w:ascii="Arial" w:hAnsi="Arial" w:cs="Arial"/>
        </w:rPr>
      </w:pPr>
    </w:p>
    <w:p w:rsidR="008B1002" w:rsidRDefault="00A75BF4" w:rsidP="008B1002">
      <w:pPr>
        <w:pStyle w:val="Copyright"/>
        <w:spacing w:after="0" w:line="240" w:lineRule="auto"/>
        <w:jc w:val="both"/>
        <w:rPr>
          <w:rFonts w:ascii="Arial" w:hAnsi="Arial" w:cs="Arial"/>
        </w:r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rsidR="004914EC" w:rsidRDefault="004914EC" w:rsidP="008B1002">
      <w:pPr>
        <w:pStyle w:val="Copyright"/>
        <w:spacing w:after="0" w:line="240" w:lineRule="auto"/>
        <w:jc w:val="both"/>
        <w:rPr>
          <w:rFonts w:ascii="Arial" w:hAnsi="Arial" w:cs="Arial"/>
        </w:rPr>
      </w:pPr>
      <w:proofErr w:type="gramStart"/>
      <w:r>
        <w:rPr>
          <w:rFonts w:ascii="Arial" w:hAnsi="Arial" w:cs="Arial"/>
        </w:rPr>
        <w:t>.</w:t>
      </w:r>
      <w:r w:rsidRPr="00FB3A86">
        <w:rPr>
          <w:rFonts w:ascii="Arial" w:hAnsi="Arial" w:cs="Arial"/>
        </w:rPr>
        <w:t>ABSTRACT</w:t>
      </w:r>
      <w:proofErr w:type="gramEnd"/>
    </w:p>
    <w:p w:rsidR="004914EC" w:rsidRPr="00FB3A86" w:rsidRDefault="004914EC" w:rsidP="004914E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4914EC" w:rsidRPr="001E44FE" w:rsidTr="00DA450A">
        <w:tc>
          <w:tcPr>
            <w:tcW w:w="9576" w:type="dxa"/>
            <w:shd w:val="clear" w:color="auto" w:fill="F2F2F2"/>
          </w:tcPr>
          <w:p w:rsidR="004914EC" w:rsidRDefault="004914EC" w:rsidP="00DA450A">
            <w:pPr>
              <w:pStyle w:val="NormalWeb"/>
              <w:rPr>
                <w:rFonts w:ascii="Arial" w:hAnsi="Arial" w:cs="Arial"/>
                <w:b/>
                <w:sz w:val="22"/>
                <w:szCs w:val="22"/>
              </w:rPr>
            </w:pPr>
            <w:r w:rsidRPr="005D7B2A">
              <w:rPr>
                <w:rStyle w:val="Strong"/>
                <w:rFonts w:ascii="Arial" w:hAnsi="Arial" w:cs="Arial"/>
                <w:sz w:val="22"/>
                <w:szCs w:val="22"/>
              </w:rPr>
              <w:t>INTRODUCTION:</w:t>
            </w:r>
          </w:p>
          <w:p w:rsidR="004914EC" w:rsidRPr="008B1002" w:rsidRDefault="008B1002" w:rsidP="00DA450A">
            <w:pPr>
              <w:pStyle w:val="NormalWeb"/>
              <w:rPr>
                <w:rFonts w:ascii="Arial" w:hAnsi="Arial" w:cs="Arial"/>
                <w:bCs/>
                <w:sz w:val="22"/>
                <w:szCs w:val="22"/>
              </w:rPr>
            </w:pPr>
            <w:r w:rsidRPr="008B1002">
              <w:rPr>
                <w:rFonts w:ascii="Arial" w:hAnsi="Arial" w:cs="Arial"/>
                <w:bCs/>
                <w:sz w:val="22"/>
                <w:szCs w:val="22"/>
              </w:rPr>
              <w:t xml:space="preserve">Neuropsychiatric systemic lupus erythematosus </w:t>
            </w:r>
            <w:r w:rsidR="004914EC" w:rsidRPr="008B1002">
              <w:rPr>
                <w:rFonts w:ascii="Arial" w:hAnsi="Arial" w:cs="Arial"/>
                <w:bCs/>
                <w:sz w:val="22"/>
                <w:szCs w:val="22"/>
              </w:rPr>
              <w:t xml:space="preserve">(NPSLE) </w:t>
            </w:r>
            <w:r w:rsidRPr="008B1002">
              <w:rPr>
                <w:rFonts w:ascii="Arial" w:hAnsi="Arial" w:cs="Arial"/>
                <w:bCs/>
                <w:sz w:val="22"/>
                <w:szCs w:val="22"/>
              </w:rPr>
              <w:t>involves central and peripheral nervous systems, producing neurological and psychiatric symptoms in</w:t>
            </w:r>
            <w:r w:rsidR="004914EC" w:rsidRPr="008B1002">
              <w:rPr>
                <w:rFonts w:ascii="Arial" w:hAnsi="Arial" w:cs="Arial"/>
                <w:bCs/>
                <w:sz w:val="22"/>
                <w:szCs w:val="22"/>
              </w:rPr>
              <w:t xml:space="preserve"> 25–95% </w:t>
            </w:r>
            <w:r w:rsidRPr="008B1002">
              <w:rPr>
                <w:rFonts w:ascii="Arial" w:hAnsi="Arial" w:cs="Arial"/>
                <w:bCs/>
                <w:sz w:val="22"/>
                <w:szCs w:val="22"/>
              </w:rPr>
              <w:t>of cases</w:t>
            </w:r>
            <w:r w:rsidR="004914EC" w:rsidRPr="008B1002">
              <w:rPr>
                <w:rFonts w:ascii="Arial" w:hAnsi="Arial" w:cs="Arial"/>
                <w:bCs/>
                <w:sz w:val="22"/>
                <w:szCs w:val="22"/>
              </w:rPr>
              <w:t xml:space="preserve">. </w:t>
            </w:r>
            <w:proofErr w:type="spellStart"/>
            <w:r w:rsidR="004914EC" w:rsidRPr="008B1002">
              <w:rPr>
                <w:rFonts w:ascii="Arial" w:hAnsi="Arial" w:cs="Arial"/>
                <w:bCs/>
                <w:sz w:val="22"/>
                <w:szCs w:val="22"/>
              </w:rPr>
              <w:t>E</w:t>
            </w:r>
            <w:r w:rsidRPr="008B1002">
              <w:rPr>
                <w:rFonts w:ascii="Arial" w:hAnsi="Arial" w:cs="Arial"/>
                <w:bCs/>
                <w:sz w:val="22"/>
                <w:szCs w:val="22"/>
              </w:rPr>
              <w:t>xtensivespinal</w:t>
            </w:r>
            <w:proofErr w:type="spellEnd"/>
            <w:r w:rsidRPr="008B1002">
              <w:rPr>
                <w:rFonts w:ascii="Arial" w:hAnsi="Arial" w:cs="Arial"/>
                <w:bCs/>
                <w:sz w:val="22"/>
                <w:szCs w:val="22"/>
              </w:rPr>
              <w:t xml:space="preserve"> cord involvement such as longitudinal myelopathy </w:t>
            </w:r>
            <w:r w:rsidR="004914EC" w:rsidRPr="008B1002">
              <w:rPr>
                <w:rFonts w:ascii="Arial" w:hAnsi="Arial" w:cs="Arial"/>
                <w:bCs/>
                <w:sz w:val="22"/>
                <w:szCs w:val="22"/>
              </w:rPr>
              <w:t xml:space="preserve">(LM) </w:t>
            </w:r>
            <w:r w:rsidRPr="008B1002">
              <w:rPr>
                <w:rFonts w:ascii="Arial" w:hAnsi="Arial" w:cs="Arial"/>
                <w:bCs/>
                <w:sz w:val="22"/>
                <w:szCs w:val="22"/>
              </w:rPr>
              <w:t>is exceedingly rare, particularly in pediatric</w:t>
            </w:r>
            <w:r w:rsidR="004914EC" w:rsidRPr="008B1002">
              <w:rPr>
                <w:rFonts w:ascii="Arial" w:hAnsi="Arial" w:cs="Arial"/>
                <w:bCs/>
                <w:sz w:val="22"/>
                <w:szCs w:val="22"/>
              </w:rPr>
              <w:t xml:space="preserve"> SLE.</w:t>
            </w:r>
          </w:p>
          <w:p w:rsidR="004914EC" w:rsidRPr="008B1002" w:rsidRDefault="004914EC" w:rsidP="00DA450A">
            <w:pPr>
              <w:pStyle w:val="NormalWeb"/>
              <w:rPr>
                <w:rFonts w:ascii="Arial" w:hAnsi="Arial" w:cs="Arial"/>
                <w:bCs/>
                <w:sz w:val="22"/>
                <w:szCs w:val="22"/>
              </w:rPr>
            </w:pPr>
            <w:r w:rsidRPr="008B1002">
              <w:rPr>
                <w:rStyle w:val="Strong"/>
                <w:rFonts w:ascii="Arial" w:hAnsi="Arial" w:cs="Arial"/>
                <w:bCs w:val="0"/>
                <w:sz w:val="22"/>
                <w:szCs w:val="22"/>
              </w:rPr>
              <w:t>CASE REPORT</w:t>
            </w:r>
            <w:r w:rsidRPr="008B1002">
              <w:rPr>
                <w:rStyle w:val="Strong"/>
                <w:rFonts w:ascii="Arial" w:hAnsi="Arial" w:cs="Arial"/>
                <w:b w:val="0"/>
                <w:sz w:val="22"/>
                <w:szCs w:val="22"/>
              </w:rPr>
              <w:t>:</w:t>
            </w:r>
            <w:r w:rsidRPr="008B1002">
              <w:rPr>
                <w:rFonts w:ascii="Arial" w:hAnsi="Arial" w:cs="Arial"/>
                <w:bCs/>
                <w:sz w:val="22"/>
                <w:szCs w:val="22"/>
              </w:rPr>
              <w:t xml:space="preserve"> A 13-</w:t>
            </w:r>
            <w:r w:rsidR="008B1002" w:rsidRPr="008B1002">
              <w:rPr>
                <w:rFonts w:ascii="Arial" w:hAnsi="Arial" w:cs="Arial"/>
                <w:bCs/>
                <w:sz w:val="22"/>
                <w:szCs w:val="22"/>
              </w:rPr>
              <w:t>year-old girl with normal development presented with intermittent fever, arthralgia, malaise, and a malar rash for two months</w:t>
            </w:r>
            <w:r w:rsidRPr="008B1002">
              <w:rPr>
                <w:rFonts w:ascii="Arial" w:hAnsi="Arial" w:cs="Arial"/>
                <w:bCs/>
                <w:sz w:val="22"/>
                <w:szCs w:val="22"/>
              </w:rPr>
              <w:t xml:space="preserve">. </w:t>
            </w:r>
            <w:proofErr w:type="spellStart"/>
            <w:r w:rsidRPr="008B1002">
              <w:rPr>
                <w:rFonts w:ascii="Arial" w:hAnsi="Arial" w:cs="Arial"/>
                <w:bCs/>
                <w:sz w:val="22"/>
                <w:szCs w:val="22"/>
              </w:rPr>
              <w:t>S</w:t>
            </w:r>
            <w:r w:rsidR="008B1002" w:rsidRPr="008B1002">
              <w:rPr>
                <w:rFonts w:ascii="Arial" w:hAnsi="Arial" w:cs="Arial"/>
                <w:bCs/>
                <w:sz w:val="22"/>
                <w:szCs w:val="22"/>
              </w:rPr>
              <w:t>hesubsequently</w:t>
            </w:r>
            <w:proofErr w:type="spellEnd"/>
            <w:r w:rsidR="008B1002" w:rsidRPr="008B1002">
              <w:rPr>
                <w:rFonts w:ascii="Arial" w:hAnsi="Arial" w:cs="Arial"/>
                <w:bCs/>
                <w:sz w:val="22"/>
                <w:szCs w:val="22"/>
              </w:rPr>
              <w:t xml:space="preserve"> developed progressive weakness, urinary retention, and constipation</w:t>
            </w:r>
            <w:r w:rsidRPr="008B1002">
              <w:rPr>
                <w:rFonts w:ascii="Arial" w:hAnsi="Arial" w:cs="Arial"/>
                <w:bCs/>
                <w:sz w:val="22"/>
                <w:szCs w:val="22"/>
              </w:rPr>
              <w:t xml:space="preserve">. </w:t>
            </w:r>
            <w:proofErr w:type="spellStart"/>
            <w:r w:rsidRPr="008B1002">
              <w:rPr>
                <w:rFonts w:ascii="Arial" w:hAnsi="Arial" w:cs="Arial"/>
                <w:bCs/>
                <w:sz w:val="22"/>
                <w:szCs w:val="22"/>
              </w:rPr>
              <w:t>E</w:t>
            </w:r>
            <w:r w:rsidR="008B1002" w:rsidRPr="008B1002">
              <w:rPr>
                <w:rFonts w:ascii="Arial" w:hAnsi="Arial" w:cs="Arial"/>
                <w:bCs/>
                <w:sz w:val="22"/>
                <w:szCs w:val="22"/>
              </w:rPr>
              <w:t>xaminationrevealed</w:t>
            </w:r>
            <w:proofErr w:type="spellEnd"/>
            <w:r w:rsidR="008B1002" w:rsidRPr="008B1002">
              <w:rPr>
                <w:rFonts w:ascii="Arial" w:hAnsi="Arial" w:cs="Arial"/>
                <w:bCs/>
                <w:sz w:val="22"/>
                <w:szCs w:val="22"/>
              </w:rPr>
              <w:t xml:space="preserve"> pallor, malar rash, oral ulcers, and evolving spastic paraparesis with brisk reflexes and extensor </w:t>
            </w:r>
            <w:proofErr w:type="spellStart"/>
            <w:r w:rsidR="008B1002" w:rsidRPr="008B1002">
              <w:rPr>
                <w:rFonts w:ascii="Arial" w:hAnsi="Arial" w:cs="Arial"/>
                <w:bCs/>
                <w:sz w:val="22"/>
                <w:szCs w:val="22"/>
              </w:rPr>
              <w:t>plantars</w:t>
            </w:r>
            <w:proofErr w:type="spellEnd"/>
            <w:r w:rsidR="008B1002" w:rsidRPr="008B1002">
              <w:rPr>
                <w:rFonts w:ascii="Arial" w:hAnsi="Arial" w:cs="Arial"/>
                <w:bCs/>
                <w:sz w:val="22"/>
                <w:szCs w:val="22"/>
              </w:rPr>
              <w:t>, but intact sensation and coordination</w:t>
            </w:r>
            <w:r w:rsidRPr="008B1002">
              <w:rPr>
                <w:rFonts w:ascii="Arial" w:hAnsi="Arial" w:cs="Arial"/>
                <w:bCs/>
                <w:sz w:val="22"/>
                <w:szCs w:val="22"/>
              </w:rPr>
              <w:t>.</w:t>
            </w:r>
          </w:p>
          <w:p w:rsidR="004914EC" w:rsidRPr="008B1002" w:rsidRDefault="008B1002" w:rsidP="00DA450A">
            <w:pPr>
              <w:pStyle w:val="NormalWeb"/>
              <w:rPr>
                <w:rFonts w:ascii="Arial" w:hAnsi="Arial" w:cs="Arial"/>
                <w:bCs/>
                <w:sz w:val="22"/>
                <w:szCs w:val="22"/>
              </w:rPr>
            </w:pPr>
            <w:r w:rsidRPr="008B1002">
              <w:rPr>
                <w:rFonts w:ascii="Arial" w:hAnsi="Arial" w:cs="Arial"/>
                <w:bCs/>
                <w:sz w:val="22"/>
                <w:szCs w:val="22"/>
              </w:rPr>
              <w:t xml:space="preserve">MRI spine demonstrated a T2 hyperintense lesion extending from the </w:t>
            </w:r>
            <w:proofErr w:type="spellStart"/>
            <w:r w:rsidRPr="008B1002">
              <w:rPr>
                <w:rFonts w:ascii="Arial" w:hAnsi="Arial" w:cs="Arial"/>
                <w:bCs/>
                <w:sz w:val="22"/>
                <w:szCs w:val="22"/>
              </w:rPr>
              <w:t>cervicomedullary</w:t>
            </w:r>
            <w:proofErr w:type="spellEnd"/>
            <w:r w:rsidRPr="008B1002">
              <w:rPr>
                <w:rFonts w:ascii="Arial" w:hAnsi="Arial" w:cs="Arial"/>
                <w:bCs/>
                <w:sz w:val="22"/>
                <w:szCs w:val="22"/>
              </w:rPr>
              <w:t xml:space="preserve"> junction to the conus medullaris, consistent with longitudinally extensive myelopathy</w:t>
            </w:r>
            <w:r w:rsidR="004914EC" w:rsidRPr="008B1002">
              <w:rPr>
                <w:rFonts w:ascii="Arial" w:hAnsi="Arial" w:cs="Arial"/>
                <w:bCs/>
                <w:sz w:val="22"/>
                <w:szCs w:val="22"/>
              </w:rPr>
              <w:t xml:space="preserve">. </w:t>
            </w:r>
            <w:proofErr w:type="spellStart"/>
            <w:r w:rsidR="004914EC" w:rsidRPr="008B1002">
              <w:rPr>
                <w:rFonts w:ascii="Arial" w:hAnsi="Arial" w:cs="Arial"/>
                <w:bCs/>
                <w:sz w:val="22"/>
                <w:szCs w:val="22"/>
              </w:rPr>
              <w:t>S</w:t>
            </w:r>
            <w:r w:rsidRPr="008B1002">
              <w:rPr>
                <w:rFonts w:ascii="Arial" w:hAnsi="Arial" w:cs="Arial"/>
                <w:bCs/>
                <w:sz w:val="22"/>
                <w:szCs w:val="22"/>
              </w:rPr>
              <w:t>erologywas</w:t>
            </w:r>
            <w:proofErr w:type="spellEnd"/>
            <w:r w:rsidRPr="008B1002">
              <w:rPr>
                <w:rFonts w:ascii="Arial" w:hAnsi="Arial" w:cs="Arial"/>
                <w:bCs/>
                <w:sz w:val="22"/>
                <w:szCs w:val="22"/>
              </w:rPr>
              <w:t xml:space="preserve"> positive for</w:t>
            </w:r>
            <w:r w:rsidR="004914EC" w:rsidRPr="008B1002">
              <w:rPr>
                <w:rFonts w:ascii="Arial" w:hAnsi="Arial" w:cs="Arial"/>
                <w:bCs/>
                <w:sz w:val="22"/>
                <w:szCs w:val="22"/>
              </w:rPr>
              <w:t xml:space="preserve"> ANA, </w:t>
            </w:r>
            <w:r w:rsidRPr="008B1002">
              <w:rPr>
                <w:rFonts w:ascii="Arial" w:hAnsi="Arial" w:cs="Arial"/>
                <w:bCs/>
                <w:sz w:val="22"/>
                <w:szCs w:val="22"/>
              </w:rPr>
              <w:t>anti-smith</w:t>
            </w:r>
            <w:r w:rsidR="004914EC" w:rsidRPr="008B1002">
              <w:rPr>
                <w:rFonts w:ascii="Arial" w:hAnsi="Arial" w:cs="Arial"/>
                <w:bCs/>
                <w:sz w:val="22"/>
                <w:szCs w:val="22"/>
              </w:rPr>
              <w:t xml:space="preserve">, </w:t>
            </w:r>
            <w:r w:rsidRPr="008B1002">
              <w:rPr>
                <w:rFonts w:ascii="Arial" w:hAnsi="Arial" w:cs="Arial"/>
                <w:bCs/>
                <w:sz w:val="22"/>
                <w:szCs w:val="22"/>
              </w:rPr>
              <w:t>anti</w:t>
            </w:r>
            <w:r w:rsidR="004914EC" w:rsidRPr="008B1002">
              <w:rPr>
                <w:rFonts w:ascii="Arial" w:hAnsi="Arial" w:cs="Arial"/>
                <w:bCs/>
                <w:sz w:val="22"/>
                <w:szCs w:val="22"/>
              </w:rPr>
              <w:t xml:space="preserve">-RNP, </w:t>
            </w:r>
            <w:r w:rsidRPr="008B1002">
              <w:rPr>
                <w:rFonts w:ascii="Arial" w:hAnsi="Arial" w:cs="Arial"/>
                <w:bCs/>
                <w:sz w:val="22"/>
                <w:szCs w:val="22"/>
              </w:rPr>
              <w:t>and</w:t>
            </w:r>
            <w:r w:rsidR="004914EC" w:rsidRPr="008B1002">
              <w:rPr>
                <w:rFonts w:ascii="Arial" w:hAnsi="Arial" w:cs="Arial"/>
                <w:bCs/>
                <w:sz w:val="22"/>
                <w:szCs w:val="22"/>
              </w:rPr>
              <w:t xml:space="preserve"> SS-A/RO-52 </w:t>
            </w:r>
            <w:r w:rsidRPr="008B1002">
              <w:rPr>
                <w:rFonts w:ascii="Arial" w:hAnsi="Arial" w:cs="Arial"/>
                <w:bCs/>
                <w:sz w:val="22"/>
                <w:szCs w:val="22"/>
              </w:rPr>
              <w:t>antibodies, with elevated</w:t>
            </w:r>
            <w:r w:rsidR="004914EC" w:rsidRPr="008B1002">
              <w:rPr>
                <w:rFonts w:ascii="Arial" w:hAnsi="Arial" w:cs="Arial"/>
                <w:bCs/>
                <w:sz w:val="22"/>
                <w:szCs w:val="22"/>
              </w:rPr>
              <w:t xml:space="preserve"> ESR </w:t>
            </w:r>
            <w:r w:rsidRPr="008B1002">
              <w:rPr>
                <w:rFonts w:ascii="Arial" w:hAnsi="Arial" w:cs="Arial"/>
                <w:bCs/>
                <w:sz w:val="22"/>
                <w:szCs w:val="22"/>
              </w:rPr>
              <w:t xml:space="preserve">and </w:t>
            </w:r>
            <w:r w:rsidR="004914EC" w:rsidRPr="008B1002">
              <w:rPr>
                <w:rFonts w:ascii="Arial" w:hAnsi="Arial" w:cs="Arial"/>
                <w:bCs/>
                <w:sz w:val="22"/>
                <w:szCs w:val="22"/>
              </w:rPr>
              <w:t xml:space="preserve">CRP. CSF </w:t>
            </w:r>
            <w:r w:rsidRPr="008B1002">
              <w:rPr>
                <w:rFonts w:ascii="Arial" w:hAnsi="Arial" w:cs="Arial"/>
                <w:bCs/>
                <w:sz w:val="22"/>
                <w:szCs w:val="22"/>
              </w:rPr>
              <w:t>analysis showed mild protein elevation with negative</w:t>
            </w:r>
            <w:r w:rsidR="004914EC" w:rsidRPr="008B1002">
              <w:rPr>
                <w:rFonts w:ascii="Arial" w:hAnsi="Arial" w:cs="Arial"/>
                <w:bCs/>
                <w:sz w:val="22"/>
                <w:szCs w:val="22"/>
              </w:rPr>
              <w:t xml:space="preserve"> NMO </w:t>
            </w:r>
            <w:r w:rsidRPr="008B1002">
              <w:rPr>
                <w:rFonts w:ascii="Arial" w:hAnsi="Arial" w:cs="Arial"/>
                <w:bCs/>
                <w:sz w:val="22"/>
                <w:szCs w:val="22"/>
              </w:rPr>
              <w:t xml:space="preserve">and </w:t>
            </w:r>
            <w:r w:rsidR="004914EC" w:rsidRPr="008B1002">
              <w:rPr>
                <w:rFonts w:ascii="Arial" w:hAnsi="Arial" w:cs="Arial"/>
                <w:bCs/>
                <w:sz w:val="22"/>
                <w:szCs w:val="22"/>
              </w:rPr>
              <w:t xml:space="preserve">MOG </w:t>
            </w:r>
            <w:r w:rsidRPr="008B1002">
              <w:rPr>
                <w:rFonts w:ascii="Arial" w:hAnsi="Arial" w:cs="Arial"/>
                <w:bCs/>
                <w:sz w:val="22"/>
                <w:szCs w:val="22"/>
              </w:rPr>
              <w:t>antibodies</w:t>
            </w:r>
            <w:r w:rsidR="004914EC" w:rsidRPr="008B1002">
              <w:rPr>
                <w:rFonts w:ascii="Arial" w:hAnsi="Arial" w:cs="Arial"/>
                <w:bCs/>
                <w:sz w:val="22"/>
                <w:szCs w:val="22"/>
              </w:rPr>
              <w:t xml:space="preserve">. </w:t>
            </w:r>
            <w:proofErr w:type="spellStart"/>
            <w:r w:rsidR="004914EC" w:rsidRPr="008B1002">
              <w:rPr>
                <w:rFonts w:ascii="Arial" w:hAnsi="Arial" w:cs="Arial"/>
                <w:bCs/>
                <w:sz w:val="22"/>
                <w:szCs w:val="22"/>
              </w:rPr>
              <w:t>F</w:t>
            </w:r>
            <w:r w:rsidRPr="008B1002">
              <w:rPr>
                <w:rFonts w:ascii="Arial" w:hAnsi="Arial" w:cs="Arial"/>
                <w:bCs/>
                <w:sz w:val="22"/>
                <w:szCs w:val="22"/>
              </w:rPr>
              <w:t>undusexamination</w:t>
            </w:r>
            <w:proofErr w:type="spellEnd"/>
            <w:r w:rsidRPr="008B1002">
              <w:rPr>
                <w:rFonts w:ascii="Arial" w:hAnsi="Arial" w:cs="Arial"/>
                <w:bCs/>
                <w:sz w:val="22"/>
                <w:szCs w:val="22"/>
              </w:rPr>
              <w:t xml:space="preserve"> revealed retinal vasculitis with bilateral optic neuritis, while other systemic workups were normal</w:t>
            </w:r>
            <w:r w:rsidR="004914EC" w:rsidRPr="008B1002">
              <w:rPr>
                <w:rFonts w:ascii="Arial" w:hAnsi="Arial" w:cs="Arial"/>
                <w:bCs/>
                <w:sz w:val="22"/>
                <w:szCs w:val="22"/>
              </w:rPr>
              <w:t>.</w:t>
            </w:r>
          </w:p>
          <w:p w:rsidR="004914EC" w:rsidRPr="008B1002" w:rsidRDefault="004914EC" w:rsidP="00DA450A">
            <w:pPr>
              <w:pStyle w:val="NormalWeb"/>
              <w:rPr>
                <w:rFonts w:ascii="Arial" w:hAnsi="Arial" w:cs="Arial"/>
                <w:bCs/>
                <w:sz w:val="22"/>
                <w:szCs w:val="22"/>
              </w:rPr>
            </w:pPr>
            <w:proofErr w:type="spellStart"/>
            <w:r w:rsidRPr="008B1002">
              <w:rPr>
                <w:rFonts w:ascii="Arial" w:hAnsi="Arial" w:cs="Arial"/>
                <w:bCs/>
                <w:sz w:val="22"/>
                <w:szCs w:val="22"/>
              </w:rPr>
              <w:t>T</w:t>
            </w:r>
            <w:r w:rsidR="008B1002" w:rsidRPr="008B1002">
              <w:rPr>
                <w:rFonts w:ascii="Arial" w:hAnsi="Arial" w:cs="Arial"/>
                <w:bCs/>
                <w:sz w:val="22"/>
                <w:szCs w:val="22"/>
              </w:rPr>
              <w:t>hepatient</w:t>
            </w:r>
            <w:proofErr w:type="spellEnd"/>
            <w:r w:rsidR="008B1002" w:rsidRPr="008B1002">
              <w:rPr>
                <w:rFonts w:ascii="Arial" w:hAnsi="Arial" w:cs="Arial"/>
                <w:bCs/>
                <w:sz w:val="22"/>
                <w:szCs w:val="22"/>
              </w:rPr>
              <w:t xml:space="preserve"> was diagnosed with</w:t>
            </w:r>
            <w:r w:rsidRPr="008B1002">
              <w:rPr>
                <w:rFonts w:ascii="Arial" w:hAnsi="Arial" w:cs="Arial"/>
                <w:bCs/>
                <w:sz w:val="22"/>
                <w:szCs w:val="22"/>
              </w:rPr>
              <w:t xml:space="preserve"> SLE-</w:t>
            </w:r>
            <w:r w:rsidR="008B1002" w:rsidRPr="008B1002">
              <w:rPr>
                <w:rFonts w:ascii="Arial" w:hAnsi="Arial" w:cs="Arial"/>
                <w:bCs/>
                <w:sz w:val="22"/>
                <w:szCs w:val="22"/>
              </w:rPr>
              <w:t>associated longitudinal myelopathy and treated with intravenous methylprednisolone</w:t>
            </w:r>
            <w:r w:rsidRPr="008B1002">
              <w:rPr>
                <w:rFonts w:ascii="Arial" w:hAnsi="Arial" w:cs="Arial"/>
                <w:bCs/>
                <w:sz w:val="22"/>
                <w:szCs w:val="22"/>
              </w:rPr>
              <w:t xml:space="preserve"> (30 </w:t>
            </w:r>
            <w:r w:rsidR="008B1002" w:rsidRPr="008B1002">
              <w:rPr>
                <w:rFonts w:ascii="Arial" w:hAnsi="Arial" w:cs="Arial"/>
                <w:bCs/>
                <w:sz w:val="22"/>
                <w:szCs w:val="22"/>
              </w:rPr>
              <w:t>mg</w:t>
            </w:r>
            <w:r w:rsidRPr="008B1002">
              <w:rPr>
                <w:rFonts w:ascii="Arial" w:hAnsi="Arial" w:cs="Arial"/>
                <w:bCs/>
                <w:sz w:val="22"/>
                <w:szCs w:val="22"/>
              </w:rPr>
              <w:t>/</w:t>
            </w:r>
            <w:r w:rsidR="008B1002" w:rsidRPr="008B1002">
              <w:rPr>
                <w:rFonts w:ascii="Arial" w:hAnsi="Arial" w:cs="Arial"/>
                <w:bCs/>
                <w:sz w:val="22"/>
                <w:szCs w:val="22"/>
              </w:rPr>
              <w:t>kg</w:t>
            </w:r>
            <w:r w:rsidRPr="008B1002">
              <w:rPr>
                <w:rFonts w:ascii="Arial" w:hAnsi="Arial" w:cs="Arial"/>
                <w:bCs/>
                <w:sz w:val="22"/>
                <w:szCs w:val="22"/>
              </w:rPr>
              <w:t>/</w:t>
            </w:r>
            <w:r w:rsidR="008B1002" w:rsidRPr="008B1002">
              <w:rPr>
                <w:rFonts w:ascii="Arial" w:hAnsi="Arial" w:cs="Arial"/>
                <w:bCs/>
                <w:sz w:val="22"/>
                <w:szCs w:val="22"/>
              </w:rPr>
              <w:t xml:space="preserve">day for </w:t>
            </w:r>
            <w:r w:rsidRPr="008B1002">
              <w:rPr>
                <w:rFonts w:ascii="Arial" w:hAnsi="Arial" w:cs="Arial"/>
                <w:bCs/>
                <w:sz w:val="22"/>
                <w:szCs w:val="22"/>
              </w:rPr>
              <w:t xml:space="preserve">5 </w:t>
            </w:r>
            <w:r w:rsidR="008B1002" w:rsidRPr="008B1002">
              <w:rPr>
                <w:rFonts w:ascii="Arial" w:hAnsi="Arial" w:cs="Arial"/>
                <w:bCs/>
                <w:sz w:val="22"/>
                <w:szCs w:val="22"/>
              </w:rPr>
              <w:t>days</w:t>
            </w:r>
            <w:r w:rsidRPr="008B1002">
              <w:rPr>
                <w:rFonts w:ascii="Arial" w:hAnsi="Arial" w:cs="Arial"/>
                <w:bCs/>
                <w:sz w:val="22"/>
                <w:szCs w:val="22"/>
              </w:rPr>
              <w:t xml:space="preserve">), </w:t>
            </w:r>
            <w:r w:rsidR="008B1002" w:rsidRPr="008B1002">
              <w:rPr>
                <w:rFonts w:ascii="Arial" w:hAnsi="Arial" w:cs="Arial"/>
                <w:bCs/>
                <w:sz w:val="22"/>
                <w:szCs w:val="22"/>
              </w:rPr>
              <w:t>followed by oral prednisolone and hydroxychloroquine</w:t>
            </w:r>
            <w:r w:rsidRPr="008B1002">
              <w:rPr>
                <w:rFonts w:ascii="Arial" w:hAnsi="Arial" w:cs="Arial"/>
                <w:bCs/>
                <w:sz w:val="22"/>
                <w:szCs w:val="22"/>
              </w:rPr>
              <w:t xml:space="preserve">. </w:t>
            </w:r>
            <w:proofErr w:type="spellStart"/>
            <w:r w:rsidRPr="008B1002">
              <w:rPr>
                <w:rFonts w:ascii="Arial" w:hAnsi="Arial" w:cs="Arial"/>
                <w:bCs/>
                <w:sz w:val="22"/>
                <w:szCs w:val="22"/>
              </w:rPr>
              <w:t>S</w:t>
            </w:r>
            <w:r w:rsidR="008B1002" w:rsidRPr="008B1002">
              <w:rPr>
                <w:rFonts w:ascii="Arial" w:hAnsi="Arial" w:cs="Arial"/>
                <w:bCs/>
                <w:sz w:val="22"/>
                <w:szCs w:val="22"/>
              </w:rPr>
              <w:t>hedemonstrated</w:t>
            </w:r>
            <w:proofErr w:type="spellEnd"/>
            <w:r w:rsidR="008B1002" w:rsidRPr="008B1002">
              <w:rPr>
                <w:rFonts w:ascii="Arial" w:hAnsi="Arial" w:cs="Arial"/>
                <w:bCs/>
                <w:sz w:val="22"/>
                <w:szCs w:val="22"/>
              </w:rPr>
              <w:t xml:space="preserve"> significant neurological improvement within a week, and at one-month follow-up, urinary retention and joint pains had resolved</w:t>
            </w:r>
            <w:r w:rsidRPr="008B1002">
              <w:rPr>
                <w:rFonts w:ascii="Arial" w:hAnsi="Arial" w:cs="Arial"/>
                <w:bCs/>
                <w:sz w:val="22"/>
                <w:szCs w:val="22"/>
              </w:rPr>
              <w:t>.</w:t>
            </w:r>
          </w:p>
          <w:p w:rsidR="004914EC" w:rsidRPr="008B1002" w:rsidRDefault="004914EC" w:rsidP="00DA450A">
            <w:pPr>
              <w:pStyle w:val="NormalWeb"/>
              <w:rPr>
                <w:rFonts w:ascii="Arial" w:hAnsi="Arial" w:cs="Arial"/>
                <w:sz w:val="22"/>
                <w:szCs w:val="22"/>
              </w:rPr>
            </w:pPr>
            <w:proofErr w:type="spellStart"/>
            <w:proofErr w:type="gramStart"/>
            <w:r w:rsidRPr="008B1002">
              <w:rPr>
                <w:rStyle w:val="Strong"/>
                <w:rFonts w:ascii="Arial" w:hAnsi="Arial" w:cs="Arial"/>
                <w:sz w:val="22"/>
                <w:szCs w:val="22"/>
              </w:rPr>
              <w:t>CONCLUSION:</w:t>
            </w:r>
            <w:r w:rsidR="008B1002" w:rsidRPr="008B1002">
              <w:rPr>
                <w:rFonts w:ascii="Arial" w:hAnsi="Arial" w:cs="Arial"/>
                <w:sz w:val="22"/>
                <w:szCs w:val="22"/>
              </w:rPr>
              <w:t>Longitudinal</w:t>
            </w:r>
            <w:proofErr w:type="spellEnd"/>
            <w:proofErr w:type="gramEnd"/>
            <w:r w:rsidR="008B1002" w:rsidRPr="008B1002">
              <w:rPr>
                <w:rFonts w:ascii="Arial" w:hAnsi="Arial" w:cs="Arial"/>
                <w:sz w:val="22"/>
                <w:szCs w:val="22"/>
              </w:rPr>
              <w:t xml:space="preserve"> myelopathy is an uncommon but severe manifestation of pediatric </w:t>
            </w:r>
            <w:r w:rsidRPr="008B1002">
              <w:rPr>
                <w:rFonts w:ascii="Arial" w:hAnsi="Arial" w:cs="Arial"/>
                <w:sz w:val="22"/>
                <w:szCs w:val="22"/>
              </w:rPr>
              <w:t xml:space="preserve">SLE. </w:t>
            </w:r>
            <w:proofErr w:type="spellStart"/>
            <w:r w:rsidRPr="008B1002">
              <w:rPr>
                <w:rFonts w:ascii="Arial" w:hAnsi="Arial" w:cs="Arial"/>
                <w:sz w:val="22"/>
                <w:szCs w:val="22"/>
              </w:rPr>
              <w:t>E</w:t>
            </w:r>
            <w:r w:rsidR="008B1002" w:rsidRPr="008B1002">
              <w:rPr>
                <w:rFonts w:ascii="Arial" w:hAnsi="Arial" w:cs="Arial"/>
                <w:sz w:val="22"/>
                <w:szCs w:val="22"/>
              </w:rPr>
              <w:t>arlyrecognition</w:t>
            </w:r>
            <w:proofErr w:type="spellEnd"/>
            <w:r w:rsidR="008B1002" w:rsidRPr="008B1002">
              <w:rPr>
                <w:rFonts w:ascii="Arial" w:hAnsi="Arial" w:cs="Arial"/>
                <w:sz w:val="22"/>
                <w:szCs w:val="22"/>
              </w:rPr>
              <w:t xml:space="preserve"> and aggressive immunosuppressive therapy are crucial for neurological recovery and improved outcomes</w:t>
            </w:r>
            <w:r w:rsidRPr="008B1002">
              <w:rPr>
                <w:rFonts w:ascii="Arial" w:hAnsi="Arial" w:cs="Arial"/>
                <w:sz w:val="22"/>
                <w:szCs w:val="22"/>
              </w:rPr>
              <w:t>.</w:t>
            </w:r>
          </w:p>
          <w:p w:rsidR="004914EC" w:rsidRPr="00BA1B01" w:rsidRDefault="004914EC" w:rsidP="00DA450A">
            <w:pPr>
              <w:pStyle w:val="Body"/>
              <w:spacing w:after="0"/>
              <w:rPr>
                <w:rFonts w:ascii="Arial" w:eastAsia="Calibri" w:hAnsi="Arial" w:cs="Arial"/>
                <w:szCs w:val="22"/>
              </w:rPr>
            </w:pPr>
            <w:r>
              <w:rPr>
                <w:rFonts w:ascii="Arial" w:eastAsia="Calibri" w:hAnsi="Arial" w:cs="Arial"/>
                <w:color w:val="FF0000"/>
                <w:szCs w:val="22"/>
              </w:rPr>
              <w:t>.</w:t>
            </w:r>
          </w:p>
        </w:tc>
      </w:tr>
    </w:tbl>
    <w:p w:rsidR="004914EC" w:rsidRDefault="004914EC" w:rsidP="004914EC">
      <w:pPr>
        <w:pStyle w:val="Body"/>
        <w:spacing w:after="0"/>
        <w:rPr>
          <w:rFonts w:ascii="Arial" w:hAnsi="Arial" w:cs="Arial"/>
          <w:i/>
        </w:rPr>
      </w:pPr>
    </w:p>
    <w:p w:rsidR="004914EC" w:rsidRPr="005D7B2A" w:rsidRDefault="004914EC" w:rsidP="004914EC">
      <w:pPr>
        <w:widowControl w:val="0"/>
        <w:autoSpaceDE w:val="0"/>
        <w:autoSpaceDN w:val="0"/>
        <w:adjustRightInd w:val="0"/>
        <w:spacing w:line="360" w:lineRule="auto"/>
        <w:rPr>
          <w:rFonts w:ascii="Times New Roman" w:hAnsi="Times New Roman" w:cs="Times New Roman"/>
        </w:rPr>
      </w:pPr>
      <w:r w:rsidRPr="005D7B2A">
        <w:rPr>
          <w:rFonts w:ascii="Times New Roman" w:eastAsia="Times New Roman" w:hAnsi="Times New Roman" w:cs="Times New Roman"/>
          <w:b/>
          <w:bCs/>
          <w:color w:val="000000"/>
        </w:rPr>
        <w:t xml:space="preserve">Key Words </w:t>
      </w:r>
      <w:r w:rsidRPr="005D7B2A">
        <w:rPr>
          <w:rFonts w:ascii="Times New Roman" w:eastAsia="Times New Roman" w:hAnsi="Times New Roman" w:cs="Times New Roman"/>
          <w:color w:val="000000"/>
        </w:rPr>
        <w:t>–</w:t>
      </w:r>
      <w:r w:rsidR="00714A59">
        <w:rPr>
          <w:rFonts w:ascii="Times New Roman" w:hAnsi="Times New Roman"/>
        </w:rPr>
        <w:t xml:space="preserve">SYSTEMIC LUPUS </w:t>
      </w:r>
      <w:r w:rsidR="00714A59">
        <w:rPr>
          <w:rFonts w:ascii="Times New Roman" w:hAnsi="Times New Roman" w:cs="Times New Roman"/>
        </w:rPr>
        <w:t xml:space="preserve">ERYTHEMATOSUS, MYELOPATHY, LONGITUDINALLY EXTENSIVE, PEDIATRIC, AUTOIMMUNE, </w:t>
      </w:r>
      <w:r w:rsidR="00714A59" w:rsidRPr="005D7B2A">
        <w:rPr>
          <w:rFonts w:ascii="Times New Roman" w:hAnsi="Times New Roman" w:cs="Times New Roman"/>
        </w:rPr>
        <w:t>IMMUNOMODULATION</w:t>
      </w:r>
    </w:p>
    <w:p w:rsidR="004914EC" w:rsidRDefault="004914EC" w:rsidP="004914EC">
      <w:pPr>
        <w:shd w:val="clear" w:color="auto" w:fill="F5F5F5"/>
        <w:spacing w:before="120" w:after="120" w:line="360" w:lineRule="auto"/>
        <w:rPr>
          <w:rFonts w:ascii="Arial" w:hAnsi="Arial" w:cs="Arial"/>
          <w:i/>
          <w:sz w:val="18"/>
        </w:rPr>
      </w:pPr>
    </w:p>
    <w:p w:rsidR="00834312" w:rsidRDefault="00834312" w:rsidP="004914EC">
      <w:pPr>
        <w:shd w:val="clear" w:color="auto" w:fill="F5F5F5"/>
        <w:spacing w:before="120" w:after="120" w:line="360" w:lineRule="auto"/>
        <w:rPr>
          <w:rFonts w:ascii="Arial" w:hAnsi="Arial" w:cs="Arial"/>
          <w:i/>
          <w:sz w:val="18"/>
        </w:rPr>
      </w:pPr>
    </w:p>
    <w:p w:rsidR="00834312" w:rsidRDefault="00834312" w:rsidP="004914EC">
      <w:pPr>
        <w:shd w:val="clear" w:color="auto" w:fill="F5F5F5"/>
        <w:spacing w:before="120" w:after="120" w:line="360" w:lineRule="auto"/>
        <w:rPr>
          <w:rFonts w:ascii="Arial" w:hAnsi="Arial" w:cs="Arial"/>
          <w:i/>
          <w:sz w:val="18"/>
        </w:rPr>
      </w:pPr>
    </w:p>
    <w:p w:rsidR="004914EC" w:rsidRDefault="004914EC" w:rsidP="004914EC">
      <w:pPr>
        <w:shd w:val="clear" w:color="auto" w:fill="F5F5F5"/>
        <w:spacing w:before="120" w:after="120" w:line="360" w:lineRule="auto"/>
        <w:rPr>
          <w:rFonts w:ascii="Arial" w:hAnsi="Arial" w:cs="Arial"/>
          <w:i/>
          <w:sz w:val="18"/>
        </w:rPr>
      </w:pPr>
    </w:p>
    <w:p w:rsidR="004914EC" w:rsidRDefault="004914EC" w:rsidP="004914EC">
      <w:pPr>
        <w:shd w:val="clear" w:color="auto" w:fill="F5F5F5"/>
        <w:spacing w:before="120" w:after="120" w:line="360" w:lineRule="auto"/>
        <w:rPr>
          <w:rFonts w:ascii="Arial" w:hAnsi="Arial" w:cs="Arial"/>
          <w:i/>
          <w:sz w:val="18"/>
        </w:rPr>
      </w:pPr>
    </w:p>
    <w:p w:rsidR="004914EC" w:rsidRPr="004914EC" w:rsidRDefault="004914EC" w:rsidP="004914EC">
      <w:pPr>
        <w:shd w:val="clear" w:color="auto" w:fill="F5F5F5"/>
        <w:spacing w:before="120" w:after="120" w:line="360" w:lineRule="auto"/>
        <w:rPr>
          <w:rFonts w:ascii="Arial" w:eastAsia="Times New Roman" w:hAnsi="Arial" w:cs="Arial"/>
          <w:color w:val="000000"/>
        </w:rPr>
      </w:pPr>
      <w:r w:rsidRPr="004914EC">
        <w:rPr>
          <w:rFonts w:ascii="Arial" w:eastAsia="Times New Roman" w:hAnsi="Arial" w:cs="Arial"/>
          <w:b/>
          <w:bCs/>
          <w:color w:val="000000"/>
        </w:rPr>
        <w:t xml:space="preserve">Introduction </w:t>
      </w:r>
      <w:r w:rsidRPr="004914EC">
        <w:rPr>
          <w:rFonts w:ascii="Arial" w:eastAsia="Times New Roman" w:hAnsi="Arial" w:cs="Arial"/>
          <w:color w:val="000000"/>
        </w:rPr>
        <w:t xml:space="preserve">– </w:t>
      </w:r>
    </w:p>
    <w:p w:rsidR="004914EC" w:rsidRPr="004914EC" w:rsidRDefault="004914EC" w:rsidP="004914EC">
      <w:pPr>
        <w:shd w:val="clear" w:color="auto" w:fill="F5F5F5"/>
        <w:spacing w:before="120" w:after="120" w:line="360" w:lineRule="auto"/>
        <w:rPr>
          <w:rFonts w:ascii="Arial" w:eastAsia="Times New Roman" w:hAnsi="Arial" w:cs="Arial"/>
          <w:color w:val="000000"/>
        </w:rPr>
      </w:pPr>
      <w:r w:rsidRPr="004914EC">
        <w:rPr>
          <w:rFonts w:ascii="Arial" w:hAnsi="Arial" w:cs="Arial"/>
        </w:rPr>
        <w:t>Neuropsychiatric Systemic Lupus Erythematosus (NPSLE) refers to the involvement of peripheral and central nervous system in SLE resulting in neurological and psychiatric manifestations. They are described in 25%– 95% of cases, common among them being psychosis, cognitive dysfunction, and headache</w:t>
      </w:r>
      <w:r w:rsidR="00587BAF">
        <w:rPr>
          <w:rFonts w:ascii="Arial" w:hAnsi="Arial" w:cs="Arial"/>
        </w:rPr>
        <w:t xml:space="preserve"> [11-13]</w:t>
      </w:r>
      <w:r w:rsidRPr="004914EC">
        <w:rPr>
          <w:rFonts w:ascii="Arial" w:hAnsi="Arial" w:cs="Arial"/>
        </w:rPr>
        <w:t>. Acute or subacute spinal cord involvement is uncommon and among them Transverse myelitis (TM), that carries an incidence of approximately 1-4 new cases per million individuals every year is commoner and may be the first manifestation of the disease. However extensive cord involvement like longitudinal myelopathy (LM) like seen in our index case is extremely rare especially in pediatric SLE</w:t>
      </w:r>
      <w:r w:rsidR="00714A59">
        <w:rPr>
          <w:rFonts w:ascii="Arial" w:hAnsi="Arial" w:cs="Arial"/>
        </w:rPr>
        <w:t xml:space="preserve"> [1]</w:t>
      </w:r>
      <w:r w:rsidRPr="004914EC">
        <w:rPr>
          <w:rFonts w:ascii="Arial" w:hAnsi="Arial" w:cs="Arial"/>
        </w:rPr>
        <w:t>. We present a child of SLE in whom the neurological symptoms manifested about 2 months after onset of SLE like symptoms</w:t>
      </w:r>
      <w:r w:rsidRPr="004914EC">
        <w:rPr>
          <w:rFonts w:ascii="Arial" w:eastAsia="Times New Roman" w:hAnsi="Arial" w:cs="Arial"/>
          <w:color w:val="000000"/>
        </w:rPr>
        <w:t>.</w:t>
      </w:r>
    </w:p>
    <w:p w:rsidR="004914EC" w:rsidRPr="004914EC" w:rsidRDefault="004914EC" w:rsidP="004914EC">
      <w:pPr>
        <w:shd w:val="clear" w:color="auto" w:fill="F5F5F5"/>
        <w:spacing w:before="120" w:after="120" w:line="360" w:lineRule="auto"/>
        <w:rPr>
          <w:rFonts w:ascii="Arial" w:eastAsia="Times New Roman" w:hAnsi="Arial" w:cs="Arial"/>
          <w:color w:val="000000"/>
        </w:rPr>
      </w:pPr>
    </w:p>
    <w:p w:rsidR="004914EC" w:rsidRPr="004914EC" w:rsidRDefault="004914EC" w:rsidP="004914EC">
      <w:pPr>
        <w:shd w:val="clear" w:color="auto" w:fill="F5F5F5"/>
        <w:spacing w:before="120" w:after="120" w:line="360" w:lineRule="auto"/>
        <w:rPr>
          <w:rFonts w:ascii="Arial" w:eastAsia="Times New Roman" w:hAnsi="Arial" w:cs="Arial"/>
          <w:color w:val="000000"/>
        </w:rPr>
      </w:pPr>
      <w:r w:rsidRPr="004914EC">
        <w:rPr>
          <w:rFonts w:ascii="Arial" w:eastAsia="Times New Roman" w:hAnsi="Arial" w:cs="Arial"/>
          <w:b/>
          <w:bCs/>
          <w:color w:val="000000"/>
        </w:rPr>
        <w:t xml:space="preserve">Presentation of the </w:t>
      </w:r>
      <w:proofErr w:type="gramStart"/>
      <w:r w:rsidRPr="004914EC">
        <w:rPr>
          <w:rFonts w:ascii="Arial" w:eastAsia="Times New Roman" w:hAnsi="Arial" w:cs="Arial"/>
          <w:b/>
          <w:bCs/>
          <w:color w:val="000000"/>
        </w:rPr>
        <w:t>case :</w:t>
      </w:r>
      <w:proofErr w:type="gramEnd"/>
    </w:p>
    <w:p w:rsidR="004914EC" w:rsidRPr="004914EC" w:rsidRDefault="004914EC" w:rsidP="004914EC">
      <w:pPr>
        <w:pStyle w:val="Normal1"/>
        <w:spacing w:line="360" w:lineRule="auto"/>
        <w:jc w:val="both"/>
        <w:rPr>
          <w:rFonts w:ascii="Arial" w:hAnsi="Arial" w:cs="Arial"/>
        </w:rPr>
      </w:pPr>
      <w:r w:rsidRPr="004914EC">
        <w:rPr>
          <w:rFonts w:ascii="Arial" w:hAnsi="Arial" w:cs="Arial"/>
        </w:rPr>
        <w:t xml:space="preserve">A </w:t>
      </w:r>
      <w:proofErr w:type="gramStart"/>
      <w:r w:rsidRPr="004914EC">
        <w:rPr>
          <w:rFonts w:ascii="Arial" w:hAnsi="Arial" w:cs="Arial"/>
        </w:rPr>
        <w:t>13 year old</w:t>
      </w:r>
      <w:proofErr w:type="gramEnd"/>
      <w:r w:rsidRPr="004914EC">
        <w:rPr>
          <w:rFonts w:ascii="Arial" w:hAnsi="Arial" w:cs="Arial"/>
        </w:rPr>
        <w:t xml:space="preserve"> girl with normal birth and developmental history presented with prolonged intermittent fever, arthralgia, generalised malaise and loss of appetite for 2 months. She was apparently well when she developed intermittent fever associated with chills and rigors, without any diurnal variation or periodicity; max temperature recorded was 102 F. Fever was associated with maculopapular rash over cheeks and nose progressing to involve bilateral palms and soles and flexor aspect of upper and lower limbs. Rash resolved with resi</w:t>
      </w:r>
      <w:r w:rsidR="00714A59">
        <w:rPr>
          <w:rFonts w:ascii="Arial" w:hAnsi="Arial" w:cs="Arial"/>
        </w:rPr>
        <w:t xml:space="preserve">dual brownish pigmentation. </w:t>
      </w:r>
    </w:p>
    <w:p w:rsidR="004914EC" w:rsidRPr="004914EC" w:rsidRDefault="004914EC" w:rsidP="004914EC">
      <w:pPr>
        <w:pStyle w:val="Normal1"/>
        <w:spacing w:line="360" w:lineRule="auto"/>
        <w:jc w:val="both"/>
        <w:rPr>
          <w:rFonts w:ascii="Arial" w:hAnsi="Arial" w:cs="Arial"/>
        </w:rPr>
      </w:pPr>
      <w:r w:rsidRPr="004914EC">
        <w:rPr>
          <w:rFonts w:ascii="Arial" w:hAnsi="Arial" w:cs="Arial"/>
        </w:rPr>
        <w:t>She concomitantly developed joint pains starting from small joints of hands, progressing gradually to involve larger joints of knee, shoulder and ankle. There was difficulty in holding and tendency to drop objects. She reported morning stiffness which gradually eased off with day’s activity. She also experienced stiffness an</w:t>
      </w:r>
      <w:r w:rsidR="00714A59">
        <w:rPr>
          <w:rFonts w:ascii="Arial" w:hAnsi="Arial" w:cs="Arial"/>
        </w:rPr>
        <w:t>d restriction of neck movements</w:t>
      </w:r>
      <w:r w:rsidRPr="004914EC">
        <w:rPr>
          <w:rFonts w:ascii="Arial" w:hAnsi="Arial" w:cs="Arial"/>
        </w:rPr>
        <w:t>.</w:t>
      </w:r>
    </w:p>
    <w:p w:rsidR="004914EC" w:rsidRPr="004914EC" w:rsidRDefault="004914EC" w:rsidP="004914EC">
      <w:pPr>
        <w:pStyle w:val="Normal1"/>
        <w:spacing w:line="360" w:lineRule="auto"/>
        <w:jc w:val="both"/>
        <w:rPr>
          <w:rFonts w:ascii="Arial" w:hAnsi="Arial" w:cs="Arial"/>
        </w:rPr>
      </w:pPr>
      <w:r w:rsidRPr="004914EC">
        <w:rPr>
          <w:rFonts w:ascii="Arial" w:hAnsi="Arial" w:cs="Arial"/>
        </w:rPr>
        <w:t>Mother reported one doubtful episode of cough with expectoration of blood-stained sputum. She had bilateral parotitis 3 months back, which was managed conservatively and reported a quantifiable weight loss of 8kg in 2 months.</w:t>
      </w:r>
    </w:p>
    <w:p w:rsidR="004914EC" w:rsidRPr="004914EC" w:rsidRDefault="004914EC" w:rsidP="004914EC">
      <w:pPr>
        <w:shd w:val="clear" w:color="auto" w:fill="F5F5F5"/>
        <w:spacing w:before="120" w:after="120" w:line="360" w:lineRule="auto"/>
        <w:rPr>
          <w:rFonts w:ascii="Arial" w:eastAsia="Times New Roman" w:hAnsi="Arial" w:cs="Arial"/>
          <w:color w:val="000000"/>
        </w:rPr>
      </w:pPr>
      <w:r w:rsidRPr="004914EC">
        <w:rPr>
          <w:rFonts w:ascii="Arial" w:hAnsi="Arial" w:cs="Arial"/>
        </w:rPr>
        <w:t xml:space="preserve">During the current admission, she presented with progressive </w:t>
      </w:r>
      <w:proofErr w:type="spellStart"/>
      <w:r w:rsidRPr="004914EC">
        <w:rPr>
          <w:rFonts w:ascii="Arial" w:hAnsi="Arial" w:cs="Arial"/>
        </w:rPr>
        <w:t>generalised</w:t>
      </w:r>
      <w:proofErr w:type="spellEnd"/>
      <w:r w:rsidRPr="004914EC">
        <w:rPr>
          <w:rFonts w:ascii="Arial" w:hAnsi="Arial" w:cs="Arial"/>
        </w:rPr>
        <w:t xml:space="preserve"> body weakness, joint pains and urinary retention and constipation for 3 days. She was </w:t>
      </w:r>
      <w:proofErr w:type="spellStart"/>
      <w:r w:rsidRPr="004914EC">
        <w:rPr>
          <w:rFonts w:ascii="Arial" w:hAnsi="Arial" w:cs="Arial"/>
        </w:rPr>
        <w:t>catheterised</w:t>
      </w:r>
      <w:proofErr w:type="spellEnd"/>
      <w:r w:rsidRPr="004914EC">
        <w:rPr>
          <w:rFonts w:ascii="Arial" w:hAnsi="Arial" w:cs="Arial"/>
        </w:rPr>
        <w:t xml:space="preserve"> for the same at a local hospital where 4 L of urine was drained. During that hospital stay, she developed constipation with perianal pain and burning not relieved by laxatives. There was no history of </w:t>
      </w:r>
      <w:r w:rsidRPr="004914EC">
        <w:rPr>
          <w:rFonts w:ascii="Arial" w:hAnsi="Arial" w:cs="Arial"/>
        </w:rPr>
        <w:lastRenderedPageBreak/>
        <w:t xml:space="preserve">burning micturition, hematochezia, hematuria or frothy urine, limb </w:t>
      </w:r>
      <w:proofErr w:type="spellStart"/>
      <w:r w:rsidRPr="004914EC">
        <w:rPr>
          <w:rFonts w:ascii="Arial" w:hAnsi="Arial" w:cs="Arial"/>
        </w:rPr>
        <w:t>parasthesias</w:t>
      </w:r>
      <w:proofErr w:type="spellEnd"/>
      <w:r w:rsidRPr="004914EC">
        <w:rPr>
          <w:rFonts w:ascii="Arial" w:hAnsi="Arial" w:cs="Arial"/>
        </w:rPr>
        <w:t xml:space="preserve">, definite sensory level, dysarthria, dysphagia, </w:t>
      </w:r>
      <w:proofErr w:type="spellStart"/>
      <w:r w:rsidRPr="004914EC">
        <w:rPr>
          <w:rFonts w:ascii="Arial" w:hAnsi="Arial" w:cs="Arial"/>
        </w:rPr>
        <w:t>craniobulbar</w:t>
      </w:r>
      <w:proofErr w:type="spellEnd"/>
      <w:r w:rsidRPr="004914EC">
        <w:rPr>
          <w:rFonts w:ascii="Arial" w:hAnsi="Arial" w:cs="Arial"/>
        </w:rPr>
        <w:t xml:space="preserve"> symptoms, visual disturbances, recurrent hiccups or vomi</w:t>
      </w:r>
      <w:r w:rsidR="00714A59">
        <w:rPr>
          <w:rFonts w:ascii="Arial" w:hAnsi="Arial" w:cs="Arial"/>
        </w:rPr>
        <w:t xml:space="preserve">ting. No dry mouth, dry skin / </w:t>
      </w:r>
      <w:proofErr w:type="spellStart"/>
      <w:r w:rsidRPr="004914EC">
        <w:rPr>
          <w:rFonts w:ascii="Arial" w:hAnsi="Arial" w:cs="Arial"/>
        </w:rPr>
        <w:t>oro</w:t>
      </w:r>
      <w:proofErr w:type="spellEnd"/>
      <w:r w:rsidRPr="004914EC">
        <w:rPr>
          <w:rFonts w:ascii="Arial" w:hAnsi="Arial" w:cs="Arial"/>
        </w:rPr>
        <w:t xml:space="preserve"> genital ulcers. No periorbital or limb swelling. No preceding history of any vaccination, trauma or surgery. No history of any comorbidities or chronic illnesses in the </w:t>
      </w:r>
      <w:proofErr w:type="spellStart"/>
      <w:proofErr w:type="gramStart"/>
      <w:r w:rsidRPr="004914EC">
        <w:rPr>
          <w:rFonts w:ascii="Arial" w:hAnsi="Arial" w:cs="Arial"/>
        </w:rPr>
        <w:t>family.There</w:t>
      </w:r>
      <w:proofErr w:type="spellEnd"/>
      <w:proofErr w:type="gramEnd"/>
      <w:r w:rsidRPr="004914EC">
        <w:rPr>
          <w:rFonts w:ascii="Arial" w:hAnsi="Arial" w:cs="Arial"/>
        </w:rPr>
        <w:t xml:space="preserve"> was past history of tuberculosis or contact with tuberculosis case</w:t>
      </w:r>
      <w:r w:rsidRPr="004914EC">
        <w:rPr>
          <w:rFonts w:ascii="Arial" w:eastAsia="Times New Roman" w:hAnsi="Arial" w:cs="Arial"/>
          <w:color w:val="000000"/>
        </w:rPr>
        <w:t>.</w:t>
      </w:r>
    </w:p>
    <w:p w:rsidR="004914EC" w:rsidRPr="004914EC" w:rsidRDefault="004914EC" w:rsidP="004914EC">
      <w:pPr>
        <w:pStyle w:val="Normal1"/>
        <w:spacing w:line="360" w:lineRule="auto"/>
        <w:jc w:val="both"/>
        <w:rPr>
          <w:rFonts w:ascii="Arial" w:eastAsia="Times New Roman" w:hAnsi="Arial" w:cs="Arial"/>
          <w:color w:val="000000"/>
        </w:rPr>
      </w:pPr>
      <w:r w:rsidRPr="004914EC">
        <w:rPr>
          <w:rFonts w:ascii="Arial" w:eastAsia="Times New Roman" w:hAnsi="Arial" w:cs="Arial"/>
          <w:b/>
          <w:bCs/>
          <w:color w:val="000000"/>
        </w:rPr>
        <w:t xml:space="preserve">Clinical Findings </w:t>
      </w:r>
      <w:r w:rsidRPr="004914EC">
        <w:rPr>
          <w:rFonts w:ascii="Arial" w:eastAsia="Times New Roman" w:hAnsi="Arial" w:cs="Arial"/>
          <w:color w:val="000000"/>
        </w:rPr>
        <w:t xml:space="preserve">– </w:t>
      </w:r>
    </w:p>
    <w:p w:rsidR="004914EC" w:rsidRPr="004914EC" w:rsidRDefault="004914EC" w:rsidP="004914EC">
      <w:pPr>
        <w:pStyle w:val="Normal1"/>
        <w:spacing w:line="360" w:lineRule="auto"/>
        <w:jc w:val="both"/>
        <w:rPr>
          <w:rFonts w:ascii="Arial" w:hAnsi="Arial" w:cs="Arial"/>
        </w:rPr>
      </w:pPr>
      <w:r w:rsidRPr="004914EC">
        <w:rPr>
          <w:rFonts w:ascii="Arial" w:hAnsi="Arial" w:cs="Arial"/>
        </w:rPr>
        <w:t xml:space="preserve">Examination revealed pallor, rash over malar distribution, palms and soles with dusky pigmentation. Oral ulcers were present. There was no lymphadenopathy, </w:t>
      </w:r>
      <w:proofErr w:type="spellStart"/>
      <w:r w:rsidRPr="004914EC">
        <w:rPr>
          <w:rFonts w:ascii="Arial" w:hAnsi="Arial" w:cs="Arial"/>
        </w:rPr>
        <w:t>edema</w:t>
      </w:r>
      <w:proofErr w:type="spellEnd"/>
      <w:r w:rsidRPr="004914EC">
        <w:rPr>
          <w:rFonts w:ascii="Arial" w:hAnsi="Arial" w:cs="Arial"/>
        </w:rPr>
        <w:t xml:space="preserve"> or joint swelling.   </w:t>
      </w:r>
    </w:p>
    <w:p w:rsidR="004914EC" w:rsidRPr="004914EC" w:rsidRDefault="004914EC" w:rsidP="004914EC">
      <w:pPr>
        <w:pStyle w:val="Normal1"/>
        <w:spacing w:line="360" w:lineRule="auto"/>
        <w:jc w:val="both"/>
        <w:rPr>
          <w:rFonts w:ascii="Arial" w:hAnsi="Arial" w:cs="Arial"/>
        </w:rPr>
      </w:pPr>
      <w:r w:rsidRPr="004914EC">
        <w:rPr>
          <w:rFonts w:ascii="Arial" w:hAnsi="Arial" w:cs="Arial"/>
        </w:rPr>
        <w:t>CNS examination revealed a conscious, oriented girl, with normal speech, cranial nerves and no meningeal signs. Fundoscopy revealed white patch over bilateral retina suggestive of possible vasculitis</w:t>
      </w:r>
    </w:p>
    <w:p w:rsidR="004914EC" w:rsidRPr="004914EC" w:rsidRDefault="004914EC" w:rsidP="004914EC">
      <w:pPr>
        <w:shd w:val="clear" w:color="auto" w:fill="F5F5F5"/>
        <w:spacing w:before="120" w:after="120" w:line="360" w:lineRule="auto"/>
        <w:rPr>
          <w:rFonts w:ascii="Arial" w:hAnsi="Arial" w:cs="Arial"/>
        </w:rPr>
      </w:pPr>
      <w:r w:rsidRPr="004914EC">
        <w:rPr>
          <w:rFonts w:ascii="Arial" w:hAnsi="Arial" w:cs="Arial"/>
        </w:rPr>
        <w:t xml:space="preserve">Motor examination showed bilateral lower limb hypotonia and transient paraparesis and areflexia suggestive of spinal shock which during course of stay progressed to lower limb spasticity, hypertonia, hyperreflexia in upper limbs and extensor </w:t>
      </w:r>
      <w:proofErr w:type="spellStart"/>
      <w:r w:rsidRPr="004914EC">
        <w:rPr>
          <w:rFonts w:ascii="Arial" w:hAnsi="Arial" w:cs="Arial"/>
        </w:rPr>
        <w:t>plantars</w:t>
      </w:r>
      <w:proofErr w:type="spellEnd"/>
      <w:r w:rsidRPr="004914EC">
        <w:rPr>
          <w:rFonts w:ascii="Arial" w:hAnsi="Arial" w:cs="Arial"/>
        </w:rPr>
        <w:t xml:space="preserve">. Power tested was more than 0/5 in all limbs at presentation which improved to </w:t>
      </w:r>
      <w:r w:rsidRPr="004914EC">
        <w:rPr>
          <w:rFonts w:ascii="Times New Roman" w:hAnsi="Times New Roman" w:cs="Arial"/>
        </w:rPr>
        <w:t>⅗</w:t>
      </w:r>
      <w:r w:rsidRPr="004914EC">
        <w:rPr>
          <w:rFonts w:ascii="Arial" w:hAnsi="Arial" w:cs="Arial"/>
        </w:rPr>
        <w:t xml:space="preserve"> over a period of 5 days. No definite sensory level was elicited and vibration and joint position sense were normal. Cerebellar signs were negative. Her gait was ataxic wide based with antalgic component. Romberg’s sign was negative</w:t>
      </w:r>
    </w:p>
    <w:p w:rsidR="004914EC" w:rsidRPr="004914EC" w:rsidRDefault="004914EC" w:rsidP="004914EC">
      <w:pPr>
        <w:shd w:val="clear" w:color="auto" w:fill="F5F5F5"/>
        <w:spacing w:before="120" w:after="120" w:line="360" w:lineRule="auto"/>
        <w:rPr>
          <w:rFonts w:ascii="Arial" w:eastAsia="Times New Roman" w:hAnsi="Arial" w:cs="Arial"/>
          <w:b/>
          <w:bCs/>
          <w:color w:val="000000"/>
        </w:rPr>
      </w:pPr>
    </w:p>
    <w:p w:rsidR="004914EC" w:rsidRPr="004914EC" w:rsidRDefault="004914EC" w:rsidP="004914EC">
      <w:pPr>
        <w:shd w:val="clear" w:color="auto" w:fill="F5F5F5"/>
        <w:spacing w:before="120" w:after="120" w:line="360" w:lineRule="auto"/>
        <w:rPr>
          <w:rFonts w:ascii="Arial" w:eastAsia="Times New Roman" w:hAnsi="Arial" w:cs="Arial"/>
          <w:color w:val="000000"/>
        </w:rPr>
      </w:pPr>
      <w:r w:rsidRPr="004914EC">
        <w:rPr>
          <w:rFonts w:ascii="Arial" w:eastAsia="Times New Roman" w:hAnsi="Arial" w:cs="Arial"/>
          <w:b/>
          <w:bCs/>
          <w:color w:val="000000"/>
        </w:rPr>
        <w:t>Diagnostic Assessment</w:t>
      </w:r>
    </w:p>
    <w:p w:rsidR="004914EC" w:rsidRPr="004914EC" w:rsidRDefault="004914EC" w:rsidP="004914EC">
      <w:pPr>
        <w:pStyle w:val="Normal1"/>
        <w:spacing w:line="360" w:lineRule="auto"/>
        <w:jc w:val="both"/>
        <w:rPr>
          <w:rFonts w:ascii="Arial" w:hAnsi="Arial" w:cs="Arial"/>
        </w:rPr>
      </w:pPr>
      <w:r w:rsidRPr="004914EC">
        <w:rPr>
          <w:rFonts w:ascii="Arial" w:hAnsi="Arial" w:cs="Arial"/>
        </w:rPr>
        <w:t xml:space="preserve">MRI spine revealed hyperintensity extending from </w:t>
      </w:r>
      <w:proofErr w:type="spellStart"/>
      <w:r w:rsidRPr="004914EC">
        <w:rPr>
          <w:rFonts w:ascii="Arial" w:hAnsi="Arial" w:cs="Arial"/>
        </w:rPr>
        <w:t>cervicomedullary</w:t>
      </w:r>
      <w:proofErr w:type="spellEnd"/>
      <w:r w:rsidRPr="004914EC">
        <w:rPr>
          <w:rFonts w:ascii="Arial" w:hAnsi="Arial" w:cs="Arial"/>
        </w:rPr>
        <w:t xml:space="preserve"> junction to conus medullaris suggestive of longitudinally extensive myelopathy. Work up for tuberculosis was negative. Diagnostic work up for SLE revealed a positive ANA</w:t>
      </w:r>
      <w:r w:rsidR="00714A59">
        <w:rPr>
          <w:rFonts w:ascii="Arial" w:hAnsi="Arial" w:cs="Arial"/>
        </w:rPr>
        <w:t xml:space="preserve"> </w:t>
      </w:r>
      <w:r w:rsidRPr="004914EC">
        <w:rPr>
          <w:rFonts w:ascii="Arial" w:hAnsi="Arial" w:cs="Arial"/>
        </w:rPr>
        <w:t>(+</w:t>
      </w:r>
      <w:proofErr w:type="gramStart"/>
      <w:r w:rsidRPr="004914EC">
        <w:rPr>
          <w:rFonts w:ascii="Arial" w:hAnsi="Arial" w:cs="Arial"/>
        </w:rPr>
        <w:t>),Anti</w:t>
      </w:r>
      <w:proofErr w:type="gramEnd"/>
      <w:r w:rsidRPr="004914EC">
        <w:rPr>
          <w:rFonts w:ascii="Arial" w:hAnsi="Arial" w:cs="Arial"/>
        </w:rPr>
        <w:t xml:space="preserve"> Smith</w:t>
      </w:r>
      <w:r w:rsidR="00714A59">
        <w:rPr>
          <w:rFonts w:ascii="Arial" w:hAnsi="Arial" w:cs="Arial"/>
        </w:rPr>
        <w:t xml:space="preserve"> </w:t>
      </w:r>
      <w:r w:rsidRPr="004914EC">
        <w:rPr>
          <w:rFonts w:ascii="Arial" w:hAnsi="Arial" w:cs="Arial"/>
        </w:rPr>
        <w:t>(1+),Anti RNP</w:t>
      </w:r>
      <w:r w:rsidR="00714A59">
        <w:rPr>
          <w:rFonts w:ascii="Arial" w:hAnsi="Arial" w:cs="Arial"/>
        </w:rPr>
        <w:t xml:space="preserve"> </w:t>
      </w:r>
      <w:r w:rsidRPr="004914EC">
        <w:rPr>
          <w:rFonts w:ascii="Arial" w:hAnsi="Arial" w:cs="Arial"/>
        </w:rPr>
        <w:t>( 2+),SS-A or RO-52 (1+)</w:t>
      </w:r>
      <w:r w:rsidR="00714A59">
        <w:rPr>
          <w:rFonts w:ascii="Arial" w:hAnsi="Arial" w:cs="Arial"/>
        </w:rPr>
        <w:t xml:space="preserve"> </w:t>
      </w:r>
      <w:r w:rsidRPr="004914EC">
        <w:rPr>
          <w:rFonts w:ascii="Arial" w:hAnsi="Arial" w:cs="Arial"/>
        </w:rPr>
        <w:t>and RA Factor</w:t>
      </w:r>
      <w:r w:rsidR="00714A59">
        <w:rPr>
          <w:rFonts w:ascii="Arial" w:hAnsi="Arial" w:cs="Arial"/>
        </w:rPr>
        <w:t xml:space="preserve"> </w:t>
      </w:r>
      <w:r w:rsidRPr="004914EC">
        <w:rPr>
          <w:rFonts w:ascii="Arial" w:hAnsi="Arial" w:cs="Arial"/>
        </w:rPr>
        <w:t>(148). Her inflammatory parameters included ESR (90mm/hr), CRP (4.80mg/L), TLC (12.2K), and platelets (5 Lakhs</w:t>
      </w:r>
      <w:proofErr w:type="gramStart"/>
      <w:r w:rsidRPr="004914EC">
        <w:rPr>
          <w:rFonts w:ascii="Arial" w:hAnsi="Arial" w:cs="Arial"/>
        </w:rPr>
        <w:t>).Viral</w:t>
      </w:r>
      <w:proofErr w:type="gramEnd"/>
      <w:r w:rsidRPr="004914EC">
        <w:rPr>
          <w:rFonts w:ascii="Arial" w:hAnsi="Arial" w:cs="Arial"/>
        </w:rPr>
        <w:t xml:space="preserve"> panel was negative. Lumbar CSF analysis showed absent pleocytosis, (2 lymphocytes), mildly elevated protein (70.3mg/dl), glucose (67mg/dl) and negative NMO and MOG panel.</w:t>
      </w:r>
      <w:r w:rsidR="00714A59">
        <w:rPr>
          <w:rFonts w:ascii="Arial" w:hAnsi="Arial" w:cs="Arial"/>
        </w:rPr>
        <w:t xml:space="preserve"> </w:t>
      </w:r>
      <w:r w:rsidRPr="004914EC">
        <w:rPr>
          <w:rFonts w:ascii="Arial" w:hAnsi="Arial" w:cs="Arial"/>
        </w:rPr>
        <w:t xml:space="preserve">Viral </w:t>
      </w:r>
      <w:r w:rsidR="00714A59" w:rsidRPr="004914EC">
        <w:rPr>
          <w:rFonts w:ascii="Arial" w:hAnsi="Arial" w:cs="Arial"/>
        </w:rPr>
        <w:t>markers, VDRL</w:t>
      </w:r>
      <w:r w:rsidRPr="004914EC">
        <w:rPr>
          <w:rFonts w:ascii="Arial" w:hAnsi="Arial" w:cs="Arial"/>
        </w:rPr>
        <w:t xml:space="preserve"> and workup for Brucellosis was negative. Urine culture revealed Meropenem sensitive </w:t>
      </w:r>
      <w:proofErr w:type="gramStart"/>
      <w:r w:rsidRPr="004914EC">
        <w:rPr>
          <w:rFonts w:ascii="Arial" w:hAnsi="Arial" w:cs="Arial"/>
        </w:rPr>
        <w:t>E.coli</w:t>
      </w:r>
      <w:proofErr w:type="gramEnd"/>
      <w:r w:rsidRPr="004914EC">
        <w:rPr>
          <w:rFonts w:ascii="Arial" w:hAnsi="Arial" w:cs="Arial"/>
        </w:rPr>
        <w:t xml:space="preserve"> for which Meropenem was given for 10 days.</w:t>
      </w:r>
      <w:r w:rsidR="00714A59">
        <w:rPr>
          <w:rFonts w:ascii="Arial" w:hAnsi="Arial" w:cs="Arial"/>
        </w:rPr>
        <w:t xml:space="preserve"> </w:t>
      </w:r>
      <w:r w:rsidRPr="004914EC">
        <w:rPr>
          <w:rFonts w:ascii="Arial" w:hAnsi="Arial" w:cs="Arial"/>
        </w:rPr>
        <w:t xml:space="preserve">Fundus revealed retinal vasculitis with bilateral optic </w:t>
      </w:r>
      <w:r w:rsidRPr="004914EC">
        <w:rPr>
          <w:rFonts w:ascii="Arial" w:hAnsi="Arial" w:cs="Arial"/>
        </w:rPr>
        <w:lastRenderedPageBreak/>
        <w:t xml:space="preserve">neuritis. Screening for other system involvement like heart, renal and liver were normal. </w:t>
      </w:r>
      <w:proofErr w:type="spellStart"/>
      <w:r w:rsidRPr="004914EC">
        <w:rPr>
          <w:rFonts w:ascii="Arial" w:hAnsi="Arial" w:cs="Arial"/>
        </w:rPr>
        <w:t>Anti phospholipid</w:t>
      </w:r>
      <w:proofErr w:type="spellEnd"/>
      <w:r w:rsidRPr="004914EC">
        <w:rPr>
          <w:rFonts w:ascii="Arial" w:hAnsi="Arial" w:cs="Arial"/>
        </w:rPr>
        <w:t xml:space="preserve"> anti</w:t>
      </w:r>
      <w:r w:rsidR="00714A59">
        <w:rPr>
          <w:rFonts w:ascii="Arial" w:hAnsi="Arial" w:cs="Arial"/>
        </w:rPr>
        <w:t>body profile could not be done. (Refer Tables 1 &amp; 2, Figure 1)</w:t>
      </w:r>
    </w:p>
    <w:p w:rsidR="004914EC" w:rsidRPr="004914EC" w:rsidRDefault="004914EC" w:rsidP="004914EC">
      <w:pPr>
        <w:shd w:val="clear" w:color="auto" w:fill="F5F5F5"/>
        <w:spacing w:before="120" w:after="120" w:line="360" w:lineRule="auto"/>
        <w:ind w:left="1440"/>
        <w:rPr>
          <w:rFonts w:ascii="Arial" w:eastAsia="Times New Roman" w:hAnsi="Arial" w:cs="Arial"/>
          <w:color w:val="000000"/>
        </w:rPr>
      </w:pPr>
    </w:p>
    <w:p w:rsidR="004914EC" w:rsidRPr="004914EC" w:rsidRDefault="004914EC" w:rsidP="004914EC">
      <w:pPr>
        <w:shd w:val="clear" w:color="auto" w:fill="F5F5F5"/>
        <w:spacing w:before="120" w:after="120" w:line="360" w:lineRule="auto"/>
        <w:rPr>
          <w:rFonts w:ascii="Arial" w:eastAsia="Times New Roman" w:hAnsi="Arial" w:cs="Arial"/>
          <w:color w:val="000000"/>
        </w:rPr>
      </w:pPr>
      <w:r w:rsidRPr="004914EC">
        <w:rPr>
          <w:rFonts w:ascii="Arial" w:eastAsia="Times New Roman" w:hAnsi="Arial" w:cs="Arial"/>
          <w:b/>
          <w:bCs/>
          <w:color w:val="000000"/>
        </w:rPr>
        <w:t>Therapeutic Intervention</w:t>
      </w:r>
    </w:p>
    <w:p w:rsidR="004914EC" w:rsidRPr="004914EC" w:rsidRDefault="004914EC" w:rsidP="004914EC">
      <w:pPr>
        <w:pStyle w:val="Normal1"/>
        <w:spacing w:line="360" w:lineRule="auto"/>
        <w:jc w:val="both"/>
        <w:rPr>
          <w:rFonts w:ascii="Arial" w:hAnsi="Arial" w:cs="Arial"/>
        </w:rPr>
      </w:pPr>
      <w:r w:rsidRPr="004914EC">
        <w:rPr>
          <w:rFonts w:ascii="Arial" w:hAnsi="Arial" w:cs="Arial"/>
        </w:rPr>
        <w:t xml:space="preserve">Based on her clinical symptomatology, MRI findings and ANA profile a diagnosis of SLE with long segment extensive myelopathy was made and pulsed with methylprednisolone 30mg/kg/day over 5 hours per day for 5 days followed by oral prednisolone 40 mg 1-0-0. Rheumatology consultation was sought following which Hydroxychloroquine was also started. She responded in the form of improvement in bilateral lower limb power to 4/5 and ambulation with </w:t>
      </w:r>
      <w:proofErr w:type="gramStart"/>
      <w:r w:rsidRPr="004914EC">
        <w:rPr>
          <w:rFonts w:ascii="Arial" w:hAnsi="Arial" w:cs="Arial"/>
        </w:rPr>
        <w:t>one person</w:t>
      </w:r>
      <w:proofErr w:type="gramEnd"/>
      <w:r w:rsidRPr="004914EC">
        <w:rPr>
          <w:rFonts w:ascii="Arial" w:hAnsi="Arial" w:cs="Arial"/>
        </w:rPr>
        <w:t xml:space="preserve"> support over the next 7 days. Constipation resolved but urinary retention persisted at the time of discharge. She was discharged on long term immunomodulation and advised to follow </w:t>
      </w:r>
      <w:proofErr w:type="spellStart"/>
      <w:proofErr w:type="gramStart"/>
      <w:r w:rsidRPr="004914EC">
        <w:rPr>
          <w:rFonts w:ascii="Arial" w:hAnsi="Arial" w:cs="Arial"/>
        </w:rPr>
        <w:t>up.At</w:t>
      </w:r>
      <w:proofErr w:type="spellEnd"/>
      <w:proofErr w:type="gramEnd"/>
      <w:r w:rsidRPr="004914EC">
        <w:rPr>
          <w:rFonts w:ascii="Arial" w:hAnsi="Arial" w:cs="Arial"/>
        </w:rPr>
        <w:t xml:space="preserve"> one month follow up she had gained weight and joint pains and urinary retention had </w:t>
      </w:r>
      <w:proofErr w:type="spellStart"/>
      <w:r w:rsidRPr="004914EC">
        <w:rPr>
          <w:rFonts w:ascii="Arial" w:hAnsi="Arial" w:cs="Arial"/>
        </w:rPr>
        <w:t>subsided.She</w:t>
      </w:r>
      <w:proofErr w:type="spellEnd"/>
      <w:r w:rsidRPr="004914EC">
        <w:rPr>
          <w:rFonts w:ascii="Arial" w:hAnsi="Arial" w:cs="Arial"/>
        </w:rPr>
        <w:t xml:space="preserve"> was advised to repeat MRI with serial serum biomarkers at a period of 6 months.</w:t>
      </w:r>
    </w:p>
    <w:p w:rsidR="004914EC" w:rsidRPr="004914EC" w:rsidRDefault="004914EC" w:rsidP="004914EC">
      <w:pPr>
        <w:shd w:val="clear" w:color="auto" w:fill="F5F5F5"/>
        <w:spacing w:before="120" w:after="120" w:line="360" w:lineRule="auto"/>
        <w:rPr>
          <w:rFonts w:ascii="Arial" w:eastAsia="Times New Roman" w:hAnsi="Arial" w:cs="Arial"/>
          <w:color w:val="000000"/>
        </w:rPr>
      </w:pPr>
      <w:r w:rsidRPr="004914EC">
        <w:rPr>
          <w:rFonts w:ascii="Arial" w:eastAsia="Times New Roman" w:hAnsi="Arial" w:cs="Arial"/>
          <w:b/>
          <w:bCs/>
          <w:color w:val="000000"/>
        </w:rPr>
        <w:t>Follow-up and Outcomes</w:t>
      </w:r>
    </w:p>
    <w:p w:rsidR="004914EC" w:rsidRPr="004914EC" w:rsidRDefault="004914EC" w:rsidP="004914EC">
      <w:pPr>
        <w:pStyle w:val="Normal1"/>
        <w:spacing w:line="360" w:lineRule="auto"/>
        <w:jc w:val="both"/>
        <w:rPr>
          <w:rFonts w:ascii="Arial" w:hAnsi="Arial" w:cs="Arial"/>
        </w:rPr>
      </w:pPr>
      <w:r w:rsidRPr="004914EC">
        <w:rPr>
          <w:rFonts w:ascii="Arial" w:hAnsi="Arial" w:cs="Arial"/>
        </w:rPr>
        <w:t xml:space="preserve">At one month follow up she had gained weight and joint pains and urinary retention had subsided. Child is currently on follow up with us and is hemodynamically stable, weakness decreased to </w:t>
      </w:r>
      <w:proofErr w:type="gramStart"/>
      <w:r w:rsidRPr="004914EC">
        <w:rPr>
          <w:rFonts w:ascii="Arial" w:hAnsi="Arial" w:cs="Arial"/>
        </w:rPr>
        <w:t>pre disease</w:t>
      </w:r>
      <w:proofErr w:type="gramEnd"/>
      <w:r w:rsidRPr="004914EC">
        <w:rPr>
          <w:rFonts w:ascii="Arial" w:hAnsi="Arial" w:cs="Arial"/>
        </w:rPr>
        <w:t xml:space="preserve"> levels, leading a happy and a healthy life.</w:t>
      </w:r>
    </w:p>
    <w:p w:rsidR="004914EC" w:rsidRPr="004914EC" w:rsidRDefault="004914EC" w:rsidP="004914EC">
      <w:pPr>
        <w:numPr>
          <w:ilvl w:val="1"/>
          <w:numId w:val="1"/>
        </w:numPr>
        <w:shd w:val="clear" w:color="auto" w:fill="F5F5F5"/>
        <w:spacing w:before="120" w:after="120" w:line="360" w:lineRule="auto"/>
        <w:rPr>
          <w:rFonts w:ascii="Arial" w:eastAsia="Times New Roman" w:hAnsi="Arial" w:cs="Arial"/>
          <w:color w:val="000000"/>
        </w:rPr>
      </w:pPr>
      <w:r w:rsidRPr="004914EC">
        <w:rPr>
          <w:rFonts w:ascii="Arial" w:eastAsia="Times New Roman" w:hAnsi="Arial" w:cs="Arial"/>
          <w:color w:val="000000"/>
        </w:rPr>
        <w:t>.</w:t>
      </w:r>
    </w:p>
    <w:p w:rsidR="004914EC" w:rsidRPr="004914EC" w:rsidRDefault="004914EC" w:rsidP="004914EC">
      <w:pPr>
        <w:shd w:val="clear" w:color="auto" w:fill="F5F5F5"/>
        <w:spacing w:before="120" w:after="120" w:line="360" w:lineRule="auto"/>
        <w:rPr>
          <w:rFonts w:ascii="Arial" w:eastAsia="Times New Roman" w:hAnsi="Arial" w:cs="Arial"/>
          <w:color w:val="000000"/>
        </w:rPr>
      </w:pPr>
      <w:r w:rsidRPr="004914EC">
        <w:rPr>
          <w:rFonts w:ascii="Arial" w:eastAsia="Times New Roman" w:hAnsi="Arial" w:cs="Arial"/>
          <w:b/>
          <w:bCs/>
          <w:color w:val="000000"/>
        </w:rPr>
        <w:t>Discussion</w:t>
      </w:r>
    </w:p>
    <w:p w:rsidR="004914EC" w:rsidRPr="004914EC" w:rsidRDefault="004914EC" w:rsidP="004914EC">
      <w:pPr>
        <w:pStyle w:val="Normal1"/>
        <w:spacing w:line="360" w:lineRule="auto"/>
        <w:rPr>
          <w:rFonts w:ascii="Arial" w:hAnsi="Arial" w:cs="Arial"/>
        </w:rPr>
      </w:pPr>
      <w:r w:rsidRPr="004914EC">
        <w:rPr>
          <w:rFonts w:ascii="Arial" w:hAnsi="Arial" w:cs="Arial"/>
        </w:rPr>
        <w:t xml:space="preserve">Myelitis in SLE is extremely rare, although the incidence is 1000 times greater than the general </w:t>
      </w:r>
      <w:proofErr w:type="gramStart"/>
      <w:r w:rsidRPr="004914EC">
        <w:rPr>
          <w:rFonts w:ascii="Arial" w:hAnsi="Arial" w:cs="Arial"/>
        </w:rPr>
        <w:t>population[</w:t>
      </w:r>
      <w:proofErr w:type="gramEnd"/>
      <w:r w:rsidRPr="004914EC">
        <w:rPr>
          <w:rFonts w:ascii="Arial" w:hAnsi="Arial" w:cs="Arial"/>
        </w:rPr>
        <w:t xml:space="preserve">1]. It can be recurring, requires long term immunomodulation and carries high morbidity. The myelitis is characterised based on level, extent of cord involvement and preferential involvement of grey or white matter. Grey matter myelitis presents with flaccid paralysis and absent reflexes mimicking a spinal shock while white matter myelitis presents with spasticity and exaggerated </w:t>
      </w:r>
      <w:proofErr w:type="gramStart"/>
      <w:r w:rsidRPr="004914EC">
        <w:rPr>
          <w:rFonts w:ascii="Arial" w:hAnsi="Arial" w:cs="Arial"/>
        </w:rPr>
        <w:t>reflexes[</w:t>
      </w:r>
      <w:proofErr w:type="gramEnd"/>
      <w:r w:rsidRPr="004914EC">
        <w:rPr>
          <w:rFonts w:ascii="Arial" w:hAnsi="Arial" w:cs="Arial"/>
        </w:rPr>
        <w:t xml:space="preserve">2]. TM is characterized by acute to subacute paraparesis or quadriparesis, with sensory disturbances, and bowel or bladder dysfunction that is usually bilateral but can be asymmetric [3]. 50% patients in a cohort of SLE- TM, had TM as the initial manifestation of SLE. Longitudinal myelopathy as seen in our index case is much rarer and has been reported in only 13 children below 18 years of </w:t>
      </w:r>
      <w:proofErr w:type="gramStart"/>
      <w:r w:rsidRPr="004914EC">
        <w:rPr>
          <w:rFonts w:ascii="Arial" w:hAnsi="Arial" w:cs="Arial"/>
        </w:rPr>
        <w:t>age[</w:t>
      </w:r>
      <w:proofErr w:type="gramEnd"/>
      <w:r w:rsidRPr="004914EC">
        <w:rPr>
          <w:rFonts w:ascii="Arial" w:hAnsi="Arial" w:cs="Arial"/>
        </w:rPr>
        <w:t xml:space="preserve">1]. The mechanism by which SLE causes myelitis is postulated to be immune mediated or anti- phospholipid antibodies mediated </w:t>
      </w:r>
      <w:r w:rsidRPr="004914EC">
        <w:rPr>
          <w:rFonts w:ascii="Arial" w:hAnsi="Arial" w:cs="Arial"/>
        </w:rPr>
        <w:lastRenderedPageBreak/>
        <w:t xml:space="preserve">vasculitis and/ or thrombosis leading to spinal cord ischemia. No significant differences have been seen in the demographic characteristics of SLE patients with and without myelitis. Unlike TM, LM may not present with definite sensory level or sensory disturbances. Instead isolated bowel bladder involvement and mild paraplegia may be seen. Patients of SLE who present with myelitis early during onset of disease activity, lack the commonly found renal and </w:t>
      </w:r>
      <w:proofErr w:type="spellStart"/>
      <w:r w:rsidRPr="004914EC">
        <w:rPr>
          <w:rFonts w:ascii="Arial" w:hAnsi="Arial" w:cs="Arial"/>
        </w:rPr>
        <w:t>hematological</w:t>
      </w:r>
      <w:proofErr w:type="spellEnd"/>
      <w:r w:rsidRPr="004914EC">
        <w:rPr>
          <w:rFonts w:ascii="Arial" w:hAnsi="Arial" w:cs="Arial"/>
        </w:rPr>
        <w:t xml:space="preserve"> manifestations resulting in delayed diagnosis and treatment. [2] SS-A antibody positivity as highlighted by our case is more commonly associated with </w:t>
      </w:r>
      <w:proofErr w:type="gramStart"/>
      <w:r w:rsidRPr="004914EC">
        <w:rPr>
          <w:rFonts w:ascii="Arial" w:hAnsi="Arial" w:cs="Arial"/>
        </w:rPr>
        <w:t>myelitis.[</w:t>
      </w:r>
      <w:proofErr w:type="gramEnd"/>
      <w:r w:rsidRPr="004914EC">
        <w:rPr>
          <w:rFonts w:ascii="Arial" w:hAnsi="Arial" w:cs="Arial"/>
        </w:rPr>
        <w:t xml:space="preserve">4] Lymphocytic pleocytosis  is common in grey matter as compared to white matter myelitis. Serum Anti AQ4-IgG and Anti-MOG are highly associated with myelitis due to rheumatological causes particularly lupus myelitis. A double seronegative patient (as highlighted by our case), with a normal MRI brain are more likely to have a LM as compared to a transverse myelitis. </w:t>
      </w:r>
      <w:proofErr w:type="gramStart"/>
      <w:r w:rsidRPr="004914EC">
        <w:rPr>
          <w:rFonts w:ascii="Arial" w:hAnsi="Arial" w:cs="Arial"/>
        </w:rPr>
        <w:t>However</w:t>
      </w:r>
      <w:proofErr w:type="gramEnd"/>
      <w:r w:rsidRPr="004914EC">
        <w:rPr>
          <w:rFonts w:ascii="Arial" w:hAnsi="Arial" w:cs="Arial"/>
        </w:rPr>
        <w:t xml:space="preserve"> it is important to mention that the samples for NMO-MOG testing were sent after the first dose of steroids which could have marred the positivity. It is thus important to repeat these biomarkers at follow up visits to detect serial positivity. Pulse methylprednisolone and cyclophosphamide are used in the treatment of </w:t>
      </w:r>
      <w:proofErr w:type="gramStart"/>
      <w:r w:rsidRPr="004914EC">
        <w:rPr>
          <w:rFonts w:ascii="Arial" w:hAnsi="Arial" w:cs="Arial"/>
        </w:rPr>
        <w:t>myelitis[</w:t>
      </w:r>
      <w:proofErr w:type="gramEnd"/>
      <w:r w:rsidRPr="004914EC">
        <w:rPr>
          <w:rFonts w:ascii="Arial" w:hAnsi="Arial" w:cs="Arial"/>
        </w:rPr>
        <w:t xml:space="preserve">5]. The role of plasmapheresis is unclear except in patients who have concurrent AQ4-IgG antibody positivity. SLE myelitis should be diagnosed after ruling out other mimickers like compressive myelopathy or Multiple sclerosis as no relation has been found between MS and SLE as opposed to an NMOSD or MOGAD. Long spinal cord lesions, severe neurological impairment at presentation, delayed therapy, and hyper- inflammation are predictors of poor prognosis. Our case highlights the importance of considering SLE myelopathy as one of upcoming components of NPSLE in children where incidence is reported to be </w:t>
      </w:r>
      <w:proofErr w:type="gramStart"/>
      <w:r w:rsidRPr="004914EC">
        <w:rPr>
          <w:rFonts w:ascii="Arial" w:hAnsi="Arial" w:cs="Arial"/>
        </w:rPr>
        <w:t>low[</w:t>
      </w:r>
      <w:proofErr w:type="gramEnd"/>
      <w:r w:rsidRPr="004914EC">
        <w:rPr>
          <w:rFonts w:ascii="Arial" w:hAnsi="Arial" w:cs="Arial"/>
        </w:rPr>
        <w:t xml:space="preserve">6]. Given the high risk of recurrence and </w:t>
      </w:r>
      <w:proofErr w:type="gramStart"/>
      <w:r w:rsidRPr="004914EC">
        <w:rPr>
          <w:rFonts w:ascii="Arial" w:hAnsi="Arial" w:cs="Arial"/>
        </w:rPr>
        <w:t>long term</w:t>
      </w:r>
      <w:proofErr w:type="gramEnd"/>
      <w:r w:rsidRPr="004914EC">
        <w:rPr>
          <w:rFonts w:ascii="Arial" w:hAnsi="Arial" w:cs="Arial"/>
        </w:rPr>
        <w:t xml:space="preserve"> disability associated with this disease, one has to literally “think at a spinal level” and get timely diagnostic tests and neuroimaging for facilitating early immunomodulation. A strict follow up including biomarker assay needs to be ensured to detect oncoming renal and </w:t>
      </w:r>
      <w:proofErr w:type="spellStart"/>
      <w:r w:rsidRPr="004914EC">
        <w:rPr>
          <w:rFonts w:ascii="Arial" w:hAnsi="Arial" w:cs="Arial"/>
        </w:rPr>
        <w:t>hematological</w:t>
      </w:r>
      <w:proofErr w:type="spellEnd"/>
      <w:r w:rsidRPr="004914EC">
        <w:rPr>
          <w:rFonts w:ascii="Arial" w:hAnsi="Arial" w:cs="Arial"/>
        </w:rPr>
        <w:t xml:space="preserve"> manifestations of SLE, and evolving NMOSD or MOGAD respectively.</w:t>
      </w:r>
    </w:p>
    <w:p w:rsidR="004914EC" w:rsidRPr="004914EC" w:rsidRDefault="004914EC" w:rsidP="004914EC">
      <w:pPr>
        <w:widowControl w:val="0"/>
        <w:autoSpaceDE w:val="0"/>
        <w:autoSpaceDN w:val="0"/>
        <w:adjustRightInd w:val="0"/>
        <w:spacing w:line="360" w:lineRule="auto"/>
        <w:rPr>
          <w:rFonts w:ascii="Arial" w:hAnsi="Arial" w:cs="Arial"/>
          <w:color w:val="000000"/>
          <w:u w:val="single"/>
        </w:rPr>
      </w:pPr>
      <w:r w:rsidRPr="004914EC">
        <w:rPr>
          <w:rFonts w:ascii="Arial" w:hAnsi="Arial" w:cs="Arial"/>
          <w:color w:val="000000"/>
          <w:u w:val="single"/>
        </w:rPr>
        <w:t>CONCLUSION</w:t>
      </w:r>
    </w:p>
    <w:p w:rsidR="004914EC" w:rsidRDefault="004914EC" w:rsidP="004914EC">
      <w:pPr>
        <w:widowControl w:val="0"/>
        <w:autoSpaceDE w:val="0"/>
        <w:autoSpaceDN w:val="0"/>
        <w:adjustRightInd w:val="0"/>
        <w:spacing w:line="360" w:lineRule="auto"/>
        <w:rPr>
          <w:rFonts w:ascii="Arial" w:hAnsi="Arial" w:cs="Arial"/>
          <w:lang w:val="en-GB"/>
        </w:rPr>
      </w:pPr>
      <w:r w:rsidRPr="004914EC">
        <w:rPr>
          <w:rFonts w:ascii="Arial" w:hAnsi="Arial" w:cs="Arial"/>
          <w:lang w:val="en-GB"/>
        </w:rPr>
        <w:t xml:space="preserve">           </w:t>
      </w:r>
      <w:proofErr w:type="gramStart"/>
      <w:r w:rsidRPr="004914EC">
        <w:rPr>
          <w:rFonts w:ascii="Arial" w:hAnsi="Arial" w:cs="Arial"/>
          <w:lang w:val="en-GB"/>
        </w:rPr>
        <w:t>This  presentation</w:t>
      </w:r>
      <w:proofErr w:type="gramEnd"/>
      <w:r w:rsidRPr="004914EC">
        <w:rPr>
          <w:rFonts w:ascii="Arial" w:hAnsi="Arial" w:cs="Arial"/>
          <w:lang w:val="en-GB"/>
        </w:rPr>
        <w:t xml:space="preserve"> highlights t</w:t>
      </w:r>
      <w:r w:rsidR="00714A59">
        <w:rPr>
          <w:rFonts w:ascii="Arial" w:hAnsi="Arial" w:cs="Arial"/>
          <w:lang w:val="en-GB"/>
        </w:rPr>
        <w:t>he importance of diagnostics</w:t>
      </w:r>
      <w:r w:rsidRPr="004914EC">
        <w:rPr>
          <w:rFonts w:ascii="Arial" w:hAnsi="Arial" w:cs="Arial"/>
          <w:lang w:val="en-GB"/>
        </w:rPr>
        <w:t xml:space="preserve"> including biochemical and radiological investigations for diagnosis as well as treatment of the case.</w:t>
      </w:r>
    </w:p>
    <w:p w:rsidR="00B96EFC" w:rsidRDefault="00B96EFC" w:rsidP="004914EC">
      <w:pPr>
        <w:widowControl w:val="0"/>
        <w:autoSpaceDE w:val="0"/>
        <w:autoSpaceDN w:val="0"/>
        <w:adjustRightInd w:val="0"/>
        <w:spacing w:line="360" w:lineRule="auto"/>
        <w:rPr>
          <w:rFonts w:ascii="Arial" w:hAnsi="Arial" w:cs="Arial"/>
          <w:lang w:val="en-GB"/>
        </w:rPr>
      </w:pPr>
    </w:p>
    <w:p w:rsidR="00B96EFC" w:rsidRPr="00B96EFC" w:rsidRDefault="00B96EFC" w:rsidP="00B96EFC">
      <w:pPr>
        <w:widowControl w:val="0"/>
        <w:autoSpaceDE w:val="0"/>
        <w:autoSpaceDN w:val="0"/>
        <w:adjustRightInd w:val="0"/>
        <w:spacing w:line="360" w:lineRule="auto"/>
        <w:rPr>
          <w:rFonts w:ascii="Arial" w:hAnsi="Arial" w:cs="Arial"/>
          <w:lang w:val="en-GB"/>
        </w:rPr>
      </w:pPr>
      <w:r w:rsidRPr="00B96EFC">
        <w:rPr>
          <w:rFonts w:ascii="Arial" w:hAnsi="Arial" w:cs="Arial"/>
          <w:lang w:val="en-GB"/>
        </w:rPr>
        <w:t>COMPETING INTERESTS DISCLAIMER:</w:t>
      </w:r>
    </w:p>
    <w:p w:rsidR="00B96EFC" w:rsidRPr="004914EC" w:rsidRDefault="00B96EFC" w:rsidP="004914EC">
      <w:pPr>
        <w:widowControl w:val="0"/>
        <w:autoSpaceDE w:val="0"/>
        <w:autoSpaceDN w:val="0"/>
        <w:adjustRightInd w:val="0"/>
        <w:spacing w:line="360" w:lineRule="auto"/>
        <w:rPr>
          <w:rFonts w:ascii="Arial" w:hAnsi="Arial" w:cs="Arial"/>
          <w:lang w:val="en-GB"/>
        </w:rPr>
      </w:pPr>
      <w:r w:rsidRPr="00B96EFC">
        <w:rPr>
          <w:rFonts w:ascii="Arial" w:hAnsi="Arial" w:cs="Arial"/>
          <w:lang w:val="en-GB"/>
        </w:rPr>
        <w:lastRenderedPageBreak/>
        <w:t>Authors have declared that they have no known competing financial interests OR non-financial interests OR personal relationships that could have appeared to influence the work reported in this paper.</w:t>
      </w:r>
    </w:p>
    <w:p w:rsidR="004914EC" w:rsidRPr="004914EC" w:rsidRDefault="004914EC" w:rsidP="004914EC">
      <w:pPr>
        <w:spacing w:line="360" w:lineRule="auto"/>
        <w:rPr>
          <w:rFonts w:ascii="Arial" w:hAnsi="Arial" w:cs="Arial"/>
          <w:color w:val="000000"/>
        </w:rPr>
      </w:pPr>
      <w:proofErr w:type="gramStart"/>
      <w:r w:rsidRPr="004914EC">
        <w:rPr>
          <w:rFonts w:ascii="Arial" w:hAnsi="Arial" w:cs="Arial"/>
          <w:b/>
          <w:bCs/>
        </w:rPr>
        <w:t xml:space="preserve">Consent </w:t>
      </w:r>
      <w:r w:rsidRPr="004914EC">
        <w:rPr>
          <w:rFonts w:ascii="Arial" w:hAnsi="Arial" w:cs="Arial"/>
        </w:rPr>
        <w:t>:</w:t>
      </w:r>
      <w:proofErr w:type="gramEnd"/>
      <w:r w:rsidRPr="004914EC">
        <w:rPr>
          <w:rFonts w:ascii="Arial" w:hAnsi="Arial" w:cs="Arial"/>
        </w:rPr>
        <w:t xml:space="preserve"> </w:t>
      </w:r>
      <w:r w:rsidRPr="004914EC">
        <w:rPr>
          <w:rFonts w:ascii="Arial" w:hAnsi="Arial" w:cs="Arial"/>
          <w:color w:val="000000"/>
        </w:rPr>
        <w:t>Appropriate consent was taken from the parents of the child</w:t>
      </w:r>
      <w:r w:rsidRPr="004914EC">
        <w:rPr>
          <w:rFonts w:ascii="Arial" w:hAnsi="Arial" w:cs="Arial"/>
        </w:rPr>
        <w:t>.</w:t>
      </w:r>
    </w:p>
    <w:p w:rsidR="004914EC" w:rsidRDefault="004914EC" w:rsidP="004914EC">
      <w:pPr>
        <w:spacing w:line="360" w:lineRule="auto"/>
        <w:rPr>
          <w:rFonts w:ascii="Arial" w:hAnsi="Arial" w:cs="Arial"/>
        </w:rPr>
      </w:pPr>
      <w:r w:rsidRPr="004914EC">
        <w:rPr>
          <w:rFonts w:ascii="Arial" w:hAnsi="Arial" w:cs="Arial"/>
          <w:b/>
          <w:bCs/>
        </w:rPr>
        <w:t>Ethical Committee approval</w:t>
      </w:r>
      <w:r w:rsidRPr="004914EC">
        <w:rPr>
          <w:rFonts w:ascii="Arial" w:hAnsi="Arial" w:cs="Arial"/>
          <w:color w:val="000000"/>
        </w:rPr>
        <w:t xml:space="preserve">: Approval was taken from the institutional ethical committee for publication of this case as a case report </w:t>
      </w:r>
      <w:r w:rsidRPr="004914EC">
        <w:rPr>
          <w:rFonts w:ascii="Arial" w:hAnsi="Arial" w:cs="Arial"/>
        </w:rPr>
        <w:t>(No: BMCRI/EC/24/2025).</w:t>
      </w:r>
    </w:p>
    <w:p w:rsidR="000C21C0" w:rsidRPr="00714A59" w:rsidRDefault="00714A59" w:rsidP="004914EC">
      <w:pPr>
        <w:spacing w:line="360" w:lineRule="auto"/>
        <w:rPr>
          <w:rFonts w:ascii="Times New Roman" w:hAnsi="Times New Roman" w:cs="Times New Roman"/>
        </w:rPr>
      </w:pPr>
      <w:r w:rsidRPr="00714A59">
        <w:rPr>
          <w:rFonts w:ascii="Times New Roman" w:hAnsi="Times New Roman" w:cs="Times New Roman"/>
        </w:rPr>
        <w:t xml:space="preserve">AI </w:t>
      </w:r>
      <w:proofErr w:type="gramStart"/>
      <w:r w:rsidRPr="00714A59">
        <w:rPr>
          <w:rFonts w:ascii="Times New Roman" w:hAnsi="Times New Roman" w:cs="Times New Roman"/>
        </w:rPr>
        <w:t>USAGE :</w:t>
      </w:r>
      <w:proofErr w:type="gramEnd"/>
      <w:r w:rsidRPr="00714A59">
        <w:rPr>
          <w:rFonts w:ascii="Times New Roman" w:hAnsi="Times New Roman" w:cs="Times New Roman"/>
        </w:rPr>
        <w:t xml:space="preserve"> </w:t>
      </w:r>
      <w:r w:rsidRPr="00714A59">
        <w:rPr>
          <w:rFonts w:ascii="Times New Roman" w:eastAsia="Calibri" w:hAnsi="Times New Roman" w:cs="Times New Roman"/>
          <w:kern w:val="2"/>
        </w:rPr>
        <w:t>Author(s) hereby declare that NO generative AI technologies such as Large Language Models (</w:t>
      </w:r>
      <w:proofErr w:type="spellStart"/>
      <w:r w:rsidRPr="00714A59">
        <w:rPr>
          <w:rFonts w:ascii="Times New Roman" w:eastAsia="Calibri" w:hAnsi="Times New Roman" w:cs="Times New Roman"/>
          <w:kern w:val="2"/>
        </w:rPr>
        <w:t>ChatGPT</w:t>
      </w:r>
      <w:proofErr w:type="spellEnd"/>
      <w:r w:rsidRPr="00714A59">
        <w:rPr>
          <w:rFonts w:ascii="Times New Roman" w:eastAsia="Calibri" w:hAnsi="Times New Roman" w:cs="Times New Roman"/>
          <w:kern w:val="2"/>
        </w:rPr>
        <w:t>, COPILOT, etc.) and text-to-image generators have been used during the writing or editing of this manuscript</w:t>
      </w:r>
    </w:p>
    <w:p w:rsidR="004914EC" w:rsidRPr="004914EC" w:rsidRDefault="004914EC" w:rsidP="004914EC">
      <w:pPr>
        <w:pStyle w:val="Normal1"/>
        <w:spacing w:line="360" w:lineRule="auto"/>
        <w:rPr>
          <w:rFonts w:ascii="Arial" w:hAnsi="Arial" w:cs="Arial"/>
          <w:b/>
        </w:rPr>
      </w:pPr>
      <w:proofErr w:type="gramStart"/>
      <w:r w:rsidRPr="004914EC">
        <w:rPr>
          <w:rFonts w:ascii="Arial" w:hAnsi="Arial" w:cs="Arial"/>
          <w:b/>
        </w:rPr>
        <w:t>References :</w:t>
      </w:r>
      <w:proofErr w:type="gramEnd"/>
    </w:p>
    <w:p w:rsidR="004914EC" w:rsidRPr="004162AC" w:rsidRDefault="004914EC" w:rsidP="004914EC">
      <w:pPr>
        <w:spacing w:line="360" w:lineRule="auto"/>
        <w:rPr>
          <w:rFonts w:ascii="Arial" w:eastAsia="Times New Roman" w:hAnsi="Arial" w:cs="Arial"/>
          <w:color w:val="000000"/>
        </w:rPr>
      </w:pPr>
      <w:r w:rsidRPr="004162AC">
        <w:rPr>
          <w:rFonts w:ascii="Arial" w:hAnsi="Arial" w:cs="Arial"/>
        </w:rPr>
        <w:t>1)</w:t>
      </w:r>
      <w:r w:rsidRPr="004162AC">
        <w:rPr>
          <w:rFonts w:ascii="Arial" w:hAnsi="Arial" w:cs="Arial"/>
          <w:shd w:val="clear" w:color="auto" w:fill="FFFFFF"/>
        </w:rPr>
        <w:t xml:space="preserve">Debnath, </w:t>
      </w:r>
      <w:proofErr w:type="gramStart"/>
      <w:r w:rsidRPr="004162AC">
        <w:rPr>
          <w:rFonts w:ascii="Arial" w:hAnsi="Arial" w:cs="Arial"/>
          <w:shd w:val="clear" w:color="auto" w:fill="FFFFFF"/>
        </w:rPr>
        <w:t>B. .</w:t>
      </w:r>
      <w:proofErr w:type="gramEnd"/>
      <w:r w:rsidRPr="004162AC">
        <w:rPr>
          <w:rFonts w:ascii="Arial" w:hAnsi="Arial" w:cs="Arial"/>
          <w:shd w:val="clear" w:color="auto" w:fill="FFFFFF"/>
        </w:rPr>
        <w:t>, Mallick, U. K. ., &amp; Saha, N. C. . (2021). Longitudinal Myelopathy in a Child with Systemic Lupus Erythematosus (SLE) – A rar</w:t>
      </w:r>
      <w:r w:rsidR="004162AC">
        <w:rPr>
          <w:rFonts w:ascii="Arial" w:hAnsi="Arial" w:cs="Arial"/>
          <w:shd w:val="clear" w:color="auto" w:fill="FFFFFF"/>
        </w:rPr>
        <w:t xml:space="preserve">e case report and review of the </w:t>
      </w:r>
      <w:r w:rsidRPr="004162AC">
        <w:rPr>
          <w:rFonts w:ascii="Arial" w:hAnsi="Arial" w:cs="Arial"/>
          <w:shd w:val="clear" w:color="auto" w:fill="FFFFFF"/>
        </w:rPr>
        <w:t>literature. </w:t>
      </w:r>
      <w:r w:rsidRPr="004162AC">
        <w:rPr>
          <w:rFonts w:ascii="Arial" w:hAnsi="Arial" w:cs="Arial"/>
          <w:i/>
          <w:iCs/>
          <w:shd w:val="clear" w:color="auto" w:fill="FFFFFF"/>
        </w:rPr>
        <w:t>Bangladesh Critical Care Journal</w:t>
      </w:r>
      <w:r w:rsidRPr="004162AC">
        <w:rPr>
          <w:rFonts w:ascii="Arial" w:hAnsi="Arial" w:cs="Arial"/>
          <w:shd w:val="clear" w:color="auto" w:fill="FFFFFF"/>
        </w:rPr>
        <w:t>, </w:t>
      </w:r>
      <w:r w:rsidRPr="004162AC">
        <w:rPr>
          <w:rFonts w:ascii="Arial" w:hAnsi="Arial" w:cs="Arial"/>
          <w:i/>
          <w:iCs/>
          <w:shd w:val="clear" w:color="auto" w:fill="FFFFFF"/>
        </w:rPr>
        <w:t>9</w:t>
      </w:r>
      <w:r w:rsidRPr="004162AC">
        <w:rPr>
          <w:rFonts w:ascii="Arial" w:hAnsi="Arial" w:cs="Arial"/>
          <w:shd w:val="clear" w:color="auto" w:fill="FFFFFF"/>
        </w:rPr>
        <w:t>(2), 112–115. https://doi.org/10.3329/bccj.v9i2.56160</w:t>
      </w:r>
    </w:p>
    <w:p w:rsidR="004914EC" w:rsidRPr="004162AC" w:rsidRDefault="004914EC" w:rsidP="004914EC">
      <w:pPr>
        <w:spacing w:line="360" w:lineRule="auto"/>
        <w:rPr>
          <w:rFonts w:ascii="Arial" w:eastAsia="Times New Roman" w:hAnsi="Arial" w:cs="Arial"/>
          <w:color w:val="000000"/>
        </w:rPr>
      </w:pPr>
      <w:r w:rsidRPr="004162AC">
        <w:rPr>
          <w:rFonts w:ascii="Arial" w:eastAsia="Times New Roman" w:hAnsi="Arial" w:cs="Arial"/>
          <w:color w:val="000000"/>
        </w:rPr>
        <w:t>2</w:t>
      </w:r>
      <w:r w:rsidRPr="004162AC">
        <w:rPr>
          <w:rFonts w:ascii="Arial" w:hAnsi="Arial" w:cs="Arial"/>
          <w:color w:val="212121"/>
          <w:shd w:val="clear" w:color="auto" w:fill="FFFFFF"/>
        </w:rPr>
        <w:t xml:space="preserve">Krett JD, </w:t>
      </w:r>
      <w:proofErr w:type="spellStart"/>
      <w:r w:rsidRPr="004162AC">
        <w:rPr>
          <w:rFonts w:ascii="Arial" w:hAnsi="Arial" w:cs="Arial"/>
          <w:color w:val="212121"/>
          <w:shd w:val="clear" w:color="auto" w:fill="FFFFFF"/>
        </w:rPr>
        <w:t>Filippatou</w:t>
      </w:r>
      <w:proofErr w:type="spellEnd"/>
      <w:r w:rsidRPr="004162AC">
        <w:rPr>
          <w:rFonts w:ascii="Arial" w:hAnsi="Arial" w:cs="Arial"/>
          <w:color w:val="212121"/>
          <w:shd w:val="clear" w:color="auto" w:fill="FFFFFF"/>
        </w:rPr>
        <w:t xml:space="preserve"> AG, </w:t>
      </w:r>
      <w:proofErr w:type="spellStart"/>
      <w:r w:rsidRPr="004162AC">
        <w:rPr>
          <w:rFonts w:ascii="Arial" w:hAnsi="Arial" w:cs="Arial"/>
          <w:color w:val="212121"/>
          <w:shd w:val="clear" w:color="auto" w:fill="FFFFFF"/>
        </w:rPr>
        <w:t>Barreras</w:t>
      </w:r>
      <w:proofErr w:type="spellEnd"/>
      <w:r w:rsidRPr="004162AC">
        <w:rPr>
          <w:rFonts w:ascii="Arial" w:hAnsi="Arial" w:cs="Arial"/>
          <w:color w:val="212121"/>
          <w:shd w:val="clear" w:color="auto" w:fill="FFFFFF"/>
        </w:rPr>
        <w:t xml:space="preserve"> P, Pardo CA, </w:t>
      </w:r>
      <w:proofErr w:type="spellStart"/>
      <w:r w:rsidRPr="004162AC">
        <w:rPr>
          <w:rFonts w:ascii="Arial" w:hAnsi="Arial" w:cs="Arial"/>
          <w:color w:val="212121"/>
          <w:shd w:val="clear" w:color="auto" w:fill="FFFFFF"/>
        </w:rPr>
        <w:t>Gelber</w:t>
      </w:r>
      <w:proofErr w:type="spellEnd"/>
      <w:r w:rsidRPr="004162AC">
        <w:rPr>
          <w:rFonts w:ascii="Arial" w:hAnsi="Arial" w:cs="Arial"/>
          <w:color w:val="212121"/>
          <w:shd w:val="clear" w:color="auto" w:fill="FFFFFF"/>
        </w:rPr>
        <w:t xml:space="preserve"> AC, </w:t>
      </w:r>
      <w:proofErr w:type="spellStart"/>
      <w:r w:rsidRPr="004162AC">
        <w:rPr>
          <w:rFonts w:ascii="Arial" w:hAnsi="Arial" w:cs="Arial"/>
          <w:color w:val="212121"/>
          <w:shd w:val="clear" w:color="auto" w:fill="FFFFFF"/>
        </w:rPr>
        <w:t>Sotirchos</w:t>
      </w:r>
      <w:proofErr w:type="spellEnd"/>
      <w:r w:rsidRPr="004162AC">
        <w:rPr>
          <w:rFonts w:ascii="Arial" w:hAnsi="Arial" w:cs="Arial"/>
          <w:color w:val="212121"/>
          <w:shd w:val="clear" w:color="auto" w:fill="FFFFFF"/>
        </w:rPr>
        <w:t xml:space="preserve"> ES. "Lupus Myelitis" Revisited: A Retrospective Single-Center Study of Myelitis Associated </w:t>
      </w:r>
      <w:proofErr w:type="gramStart"/>
      <w:r w:rsidRPr="004162AC">
        <w:rPr>
          <w:rFonts w:ascii="Arial" w:hAnsi="Arial" w:cs="Arial"/>
          <w:color w:val="212121"/>
          <w:shd w:val="clear" w:color="auto" w:fill="FFFFFF"/>
        </w:rPr>
        <w:t>With</w:t>
      </w:r>
      <w:proofErr w:type="gramEnd"/>
      <w:r w:rsidRPr="004162AC">
        <w:rPr>
          <w:rFonts w:ascii="Arial" w:hAnsi="Arial" w:cs="Arial"/>
          <w:color w:val="212121"/>
          <w:shd w:val="clear" w:color="auto" w:fill="FFFFFF"/>
        </w:rPr>
        <w:t xml:space="preserve"> Rheumatologic Disease. Neurol </w:t>
      </w:r>
      <w:proofErr w:type="spellStart"/>
      <w:r w:rsidRPr="004162AC">
        <w:rPr>
          <w:rFonts w:ascii="Arial" w:hAnsi="Arial" w:cs="Arial"/>
          <w:color w:val="212121"/>
          <w:shd w:val="clear" w:color="auto" w:fill="FFFFFF"/>
        </w:rPr>
        <w:t>NeuroimmunolNeuroinflamm</w:t>
      </w:r>
      <w:proofErr w:type="spellEnd"/>
      <w:r w:rsidRPr="004162AC">
        <w:rPr>
          <w:rFonts w:ascii="Arial" w:hAnsi="Arial" w:cs="Arial"/>
          <w:color w:val="212121"/>
          <w:shd w:val="clear" w:color="auto" w:fill="FFFFFF"/>
        </w:rPr>
        <w:t>. 2025 Jan;12(1</w:t>
      </w:r>
      <w:proofErr w:type="gramStart"/>
      <w:r w:rsidRPr="004162AC">
        <w:rPr>
          <w:rFonts w:ascii="Arial" w:hAnsi="Arial" w:cs="Arial"/>
          <w:color w:val="212121"/>
          <w:shd w:val="clear" w:color="auto" w:fill="FFFFFF"/>
        </w:rPr>
        <w:t>):e</w:t>
      </w:r>
      <w:proofErr w:type="gramEnd"/>
      <w:r w:rsidRPr="004162AC">
        <w:rPr>
          <w:rFonts w:ascii="Arial" w:hAnsi="Arial" w:cs="Arial"/>
          <w:color w:val="212121"/>
          <w:shd w:val="clear" w:color="auto" w:fill="FFFFFF"/>
        </w:rPr>
        <w:t xml:space="preserve">200329. </w:t>
      </w:r>
      <w:proofErr w:type="spellStart"/>
      <w:r w:rsidRPr="004162AC">
        <w:rPr>
          <w:rFonts w:ascii="Arial" w:hAnsi="Arial" w:cs="Arial"/>
          <w:color w:val="212121"/>
          <w:shd w:val="clear" w:color="auto" w:fill="FFFFFF"/>
        </w:rPr>
        <w:t>doi</w:t>
      </w:r>
      <w:proofErr w:type="spellEnd"/>
      <w:r w:rsidRPr="004162AC">
        <w:rPr>
          <w:rFonts w:ascii="Arial" w:hAnsi="Arial" w:cs="Arial"/>
          <w:color w:val="212121"/>
          <w:shd w:val="clear" w:color="auto" w:fill="FFFFFF"/>
        </w:rPr>
        <w:t xml:space="preserve">: 10.1212/NXI.0000000000200329. </w:t>
      </w:r>
      <w:proofErr w:type="spellStart"/>
      <w:r w:rsidRPr="004162AC">
        <w:rPr>
          <w:rFonts w:ascii="Arial" w:hAnsi="Arial" w:cs="Arial"/>
          <w:color w:val="212121"/>
          <w:shd w:val="clear" w:color="auto" w:fill="FFFFFF"/>
        </w:rPr>
        <w:t>Epub</w:t>
      </w:r>
      <w:proofErr w:type="spellEnd"/>
      <w:r w:rsidRPr="004162AC">
        <w:rPr>
          <w:rFonts w:ascii="Arial" w:hAnsi="Arial" w:cs="Arial"/>
          <w:color w:val="212121"/>
          <w:shd w:val="clear" w:color="auto" w:fill="FFFFFF"/>
        </w:rPr>
        <w:t xml:space="preserve"> 2024 Oct 23. PMID: 39442039; PMCID: PMC11727606.</w:t>
      </w:r>
    </w:p>
    <w:p w:rsidR="004914EC" w:rsidRPr="004162AC" w:rsidRDefault="004914EC" w:rsidP="004914EC">
      <w:pPr>
        <w:spacing w:line="360" w:lineRule="auto"/>
        <w:rPr>
          <w:rFonts w:ascii="Arial" w:eastAsia="Times New Roman" w:hAnsi="Arial" w:cs="Arial"/>
          <w:color w:val="000000"/>
        </w:rPr>
      </w:pPr>
      <w:r w:rsidRPr="004162AC">
        <w:rPr>
          <w:rFonts w:ascii="Arial" w:eastAsia="Times New Roman" w:hAnsi="Arial" w:cs="Arial"/>
          <w:color w:val="000000"/>
        </w:rPr>
        <w:t>3)</w:t>
      </w:r>
      <w:proofErr w:type="spellStart"/>
      <w:r w:rsidRPr="004162AC">
        <w:rPr>
          <w:rFonts w:ascii="Arial" w:eastAsia="Times New Roman" w:hAnsi="Arial" w:cs="Arial"/>
          <w:color w:val="000000"/>
        </w:rPr>
        <w:t>Khabbazi</w:t>
      </w:r>
      <w:proofErr w:type="spellEnd"/>
      <w:r w:rsidRPr="004162AC">
        <w:rPr>
          <w:rFonts w:ascii="Arial" w:eastAsia="Times New Roman" w:hAnsi="Arial" w:cs="Arial"/>
          <w:color w:val="000000"/>
        </w:rPr>
        <w:t xml:space="preserve"> A, </w:t>
      </w:r>
      <w:proofErr w:type="spellStart"/>
      <w:r w:rsidRPr="004162AC">
        <w:rPr>
          <w:rFonts w:ascii="Arial" w:eastAsia="Times New Roman" w:hAnsi="Arial" w:cs="Arial"/>
          <w:color w:val="000000"/>
        </w:rPr>
        <w:t>Ghadakchi</w:t>
      </w:r>
      <w:proofErr w:type="spellEnd"/>
      <w:r w:rsidRPr="004162AC">
        <w:rPr>
          <w:rFonts w:ascii="Arial" w:eastAsia="Times New Roman" w:hAnsi="Arial" w:cs="Arial"/>
          <w:color w:val="000000"/>
        </w:rPr>
        <w:t xml:space="preserve"> L, Yazdani Y, </w:t>
      </w:r>
      <w:proofErr w:type="spellStart"/>
      <w:r w:rsidRPr="004162AC">
        <w:rPr>
          <w:rFonts w:ascii="Arial" w:eastAsia="Times New Roman" w:hAnsi="Arial" w:cs="Arial"/>
          <w:color w:val="000000"/>
        </w:rPr>
        <w:t>Habibzade</w:t>
      </w:r>
      <w:proofErr w:type="spellEnd"/>
      <w:r w:rsidRPr="004162AC">
        <w:rPr>
          <w:rFonts w:ascii="Arial" w:eastAsia="Times New Roman" w:hAnsi="Arial" w:cs="Arial"/>
          <w:color w:val="000000"/>
        </w:rPr>
        <w:t xml:space="preserve"> E, </w:t>
      </w:r>
      <w:proofErr w:type="spellStart"/>
      <w:r w:rsidRPr="004162AC">
        <w:rPr>
          <w:rFonts w:ascii="Arial" w:eastAsia="Times New Roman" w:hAnsi="Arial" w:cs="Arial"/>
          <w:color w:val="000000"/>
        </w:rPr>
        <w:t>Mehrtabar</w:t>
      </w:r>
      <w:proofErr w:type="spellEnd"/>
      <w:r w:rsidRPr="004162AC">
        <w:rPr>
          <w:rFonts w:ascii="Arial" w:eastAsia="Times New Roman" w:hAnsi="Arial" w:cs="Arial"/>
          <w:color w:val="000000"/>
        </w:rPr>
        <w:t xml:space="preserve"> S, </w:t>
      </w:r>
      <w:proofErr w:type="spellStart"/>
      <w:r w:rsidRPr="004162AC">
        <w:rPr>
          <w:rFonts w:ascii="Arial" w:eastAsia="Times New Roman" w:hAnsi="Arial" w:cs="Arial"/>
          <w:color w:val="000000"/>
        </w:rPr>
        <w:t>Khalaji</w:t>
      </w:r>
      <w:proofErr w:type="spellEnd"/>
      <w:r w:rsidRPr="004162AC">
        <w:rPr>
          <w:rFonts w:ascii="Arial" w:eastAsia="Times New Roman" w:hAnsi="Arial" w:cs="Arial"/>
          <w:color w:val="000000"/>
        </w:rPr>
        <w:t xml:space="preserve"> A. SLE-associated myelitis successfully treated by rituximab. Clinical case reports [Internet]. 2022;10(11</w:t>
      </w:r>
      <w:proofErr w:type="gramStart"/>
      <w:r w:rsidRPr="004162AC">
        <w:rPr>
          <w:rFonts w:ascii="Arial" w:eastAsia="Times New Roman" w:hAnsi="Arial" w:cs="Arial"/>
          <w:color w:val="000000"/>
        </w:rPr>
        <w:t>):e</w:t>
      </w:r>
      <w:proofErr w:type="gramEnd"/>
      <w:r w:rsidRPr="004162AC">
        <w:rPr>
          <w:rFonts w:ascii="Arial" w:eastAsia="Times New Roman" w:hAnsi="Arial" w:cs="Arial"/>
          <w:color w:val="000000"/>
        </w:rPr>
        <w:t>6622. Available from: https://p</w:t>
      </w:r>
      <w:r w:rsidR="004162AC" w:rsidRPr="004162AC">
        <w:rPr>
          <w:rFonts w:ascii="Arial" w:eastAsia="Times New Roman" w:hAnsi="Arial" w:cs="Arial"/>
          <w:color w:val="000000"/>
        </w:rPr>
        <w:t>ubmed.ncbi.nlm.nih.gov/36419577</w:t>
      </w:r>
    </w:p>
    <w:p w:rsidR="004162AC" w:rsidRPr="004162AC" w:rsidRDefault="004914EC" w:rsidP="004914EC">
      <w:pPr>
        <w:spacing w:line="360" w:lineRule="auto"/>
        <w:rPr>
          <w:rFonts w:ascii="Arial" w:hAnsi="Arial" w:cs="Arial"/>
          <w:color w:val="1B1B1B"/>
          <w:shd w:val="clear" w:color="auto" w:fill="FFFFFF"/>
        </w:rPr>
      </w:pPr>
      <w:r w:rsidRPr="004162AC">
        <w:rPr>
          <w:rFonts w:ascii="Arial" w:eastAsia="Times New Roman" w:hAnsi="Arial" w:cs="Arial"/>
          <w:color w:val="000000"/>
        </w:rPr>
        <w:t xml:space="preserve">‌4) </w:t>
      </w:r>
      <w:r w:rsidR="004162AC" w:rsidRPr="004162AC">
        <w:rPr>
          <w:rFonts w:ascii="Arial" w:hAnsi="Arial" w:cs="Arial"/>
          <w:color w:val="1B1B1B"/>
          <w:shd w:val="clear" w:color="auto" w:fill="FFFFFF"/>
        </w:rPr>
        <w:t xml:space="preserve">Mehta P, Gupta L, Muhammed H, </w:t>
      </w:r>
      <w:proofErr w:type="spellStart"/>
      <w:r w:rsidR="004162AC" w:rsidRPr="004162AC">
        <w:rPr>
          <w:rFonts w:ascii="Arial" w:hAnsi="Arial" w:cs="Arial"/>
          <w:color w:val="1B1B1B"/>
          <w:shd w:val="clear" w:color="auto" w:fill="FFFFFF"/>
        </w:rPr>
        <w:t>Misra</w:t>
      </w:r>
      <w:proofErr w:type="spellEnd"/>
      <w:r w:rsidR="004162AC" w:rsidRPr="004162AC">
        <w:rPr>
          <w:rFonts w:ascii="Arial" w:hAnsi="Arial" w:cs="Arial"/>
          <w:color w:val="1B1B1B"/>
          <w:shd w:val="clear" w:color="auto" w:fill="FFFFFF"/>
        </w:rPr>
        <w:t xml:space="preserve"> DP, Lawrence A, Agarwal V, Aggarwal A, </w:t>
      </w:r>
      <w:proofErr w:type="spellStart"/>
      <w:r w:rsidR="004162AC" w:rsidRPr="004162AC">
        <w:rPr>
          <w:rFonts w:ascii="Arial" w:hAnsi="Arial" w:cs="Arial"/>
          <w:color w:val="1B1B1B"/>
          <w:shd w:val="clear" w:color="auto" w:fill="FFFFFF"/>
        </w:rPr>
        <w:t>Misra</w:t>
      </w:r>
      <w:proofErr w:type="spellEnd"/>
      <w:r w:rsidR="004162AC" w:rsidRPr="004162AC">
        <w:rPr>
          <w:rFonts w:ascii="Arial" w:hAnsi="Arial" w:cs="Arial"/>
          <w:color w:val="1B1B1B"/>
          <w:shd w:val="clear" w:color="auto" w:fill="FFFFFF"/>
        </w:rPr>
        <w:t xml:space="preserve"> R. Spectrum of Myelitis in Systemic Lupus Erythematosus: Experience from a Single Tertiary Care Centre over 25 Years. </w:t>
      </w:r>
      <w:proofErr w:type="spellStart"/>
      <w:r w:rsidR="004162AC" w:rsidRPr="004162AC">
        <w:rPr>
          <w:rFonts w:ascii="Arial" w:hAnsi="Arial" w:cs="Arial"/>
          <w:color w:val="1B1B1B"/>
          <w:shd w:val="clear" w:color="auto" w:fill="FFFFFF"/>
        </w:rPr>
        <w:t>Mediterr</w:t>
      </w:r>
      <w:proofErr w:type="spellEnd"/>
      <w:r w:rsidR="004162AC" w:rsidRPr="004162AC">
        <w:rPr>
          <w:rFonts w:ascii="Arial" w:hAnsi="Arial" w:cs="Arial"/>
          <w:color w:val="1B1B1B"/>
          <w:shd w:val="clear" w:color="auto" w:fill="FFFFFF"/>
        </w:rPr>
        <w:t xml:space="preserve"> J </w:t>
      </w:r>
      <w:proofErr w:type="spellStart"/>
      <w:r w:rsidR="004162AC" w:rsidRPr="004162AC">
        <w:rPr>
          <w:rFonts w:ascii="Arial" w:hAnsi="Arial" w:cs="Arial"/>
          <w:color w:val="1B1B1B"/>
          <w:shd w:val="clear" w:color="auto" w:fill="FFFFFF"/>
        </w:rPr>
        <w:t>Rheumatol</w:t>
      </w:r>
      <w:proofErr w:type="spellEnd"/>
      <w:r w:rsidR="004162AC" w:rsidRPr="004162AC">
        <w:rPr>
          <w:rFonts w:ascii="Arial" w:hAnsi="Arial" w:cs="Arial"/>
          <w:color w:val="1B1B1B"/>
          <w:shd w:val="clear" w:color="auto" w:fill="FFFFFF"/>
        </w:rPr>
        <w:t xml:space="preserve">. 2021 Mar 31;32(1):31-38. </w:t>
      </w:r>
      <w:proofErr w:type="spellStart"/>
      <w:r w:rsidR="004162AC" w:rsidRPr="004162AC">
        <w:rPr>
          <w:rFonts w:ascii="Arial" w:hAnsi="Arial" w:cs="Arial"/>
          <w:color w:val="1B1B1B"/>
          <w:shd w:val="clear" w:color="auto" w:fill="FFFFFF"/>
        </w:rPr>
        <w:t>doi</w:t>
      </w:r>
      <w:proofErr w:type="spellEnd"/>
      <w:r w:rsidR="004162AC" w:rsidRPr="004162AC">
        <w:rPr>
          <w:rFonts w:ascii="Arial" w:hAnsi="Arial" w:cs="Arial"/>
          <w:color w:val="1B1B1B"/>
          <w:shd w:val="clear" w:color="auto" w:fill="FFFFFF"/>
        </w:rPr>
        <w:t>: 10.31138/mjr.32.1.31. PMID: 34386700; PMCID: PMC8314885</w:t>
      </w:r>
    </w:p>
    <w:p w:rsidR="004162AC" w:rsidRPr="004162AC" w:rsidRDefault="004914EC" w:rsidP="004162AC">
      <w:pPr>
        <w:spacing w:line="360" w:lineRule="auto"/>
        <w:rPr>
          <w:rFonts w:ascii="Arial" w:hAnsi="Arial" w:cs="Arial"/>
          <w:color w:val="212121"/>
          <w:shd w:val="clear" w:color="auto" w:fill="FFFFFF"/>
        </w:rPr>
      </w:pPr>
      <w:r w:rsidRPr="004162AC">
        <w:rPr>
          <w:rFonts w:ascii="Arial" w:eastAsia="Times New Roman" w:hAnsi="Arial" w:cs="Arial"/>
          <w:color w:val="000000"/>
        </w:rPr>
        <w:t xml:space="preserve">‌5) </w:t>
      </w:r>
      <w:r w:rsidR="004162AC" w:rsidRPr="004162AC">
        <w:rPr>
          <w:rFonts w:ascii="Arial" w:hAnsi="Arial" w:cs="Arial"/>
          <w:color w:val="212121"/>
          <w:shd w:val="clear" w:color="auto" w:fill="FFFFFF"/>
        </w:rPr>
        <w:t xml:space="preserve">Vieira JP, </w:t>
      </w:r>
      <w:proofErr w:type="spellStart"/>
      <w:r w:rsidR="004162AC" w:rsidRPr="004162AC">
        <w:rPr>
          <w:rFonts w:ascii="Arial" w:hAnsi="Arial" w:cs="Arial"/>
          <w:color w:val="212121"/>
          <w:shd w:val="clear" w:color="auto" w:fill="FFFFFF"/>
        </w:rPr>
        <w:t>Ortet</w:t>
      </w:r>
      <w:proofErr w:type="spellEnd"/>
      <w:r w:rsidR="004162AC" w:rsidRPr="004162AC">
        <w:rPr>
          <w:rFonts w:ascii="Arial" w:hAnsi="Arial" w:cs="Arial"/>
          <w:color w:val="212121"/>
          <w:shd w:val="clear" w:color="auto" w:fill="FFFFFF"/>
        </w:rPr>
        <w:t xml:space="preserve"> O, </w:t>
      </w:r>
      <w:proofErr w:type="spellStart"/>
      <w:r w:rsidR="004162AC" w:rsidRPr="004162AC">
        <w:rPr>
          <w:rFonts w:ascii="Arial" w:hAnsi="Arial" w:cs="Arial"/>
          <w:color w:val="212121"/>
          <w:shd w:val="clear" w:color="auto" w:fill="FFFFFF"/>
        </w:rPr>
        <w:t>Barata</w:t>
      </w:r>
      <w:proofErr w:type="spellEnd"/>
      <w:r w:rsidR="004162AC" w:rsidRPr="004162AC">
        <w:rPr>
          <w:rFonts w:ascii="Arial" w:hAnsi="Arial" w:cs="Arial"/>
          <w:color w:val="212121"/>
          <w:shd w:val="clear" w:color="auto" w:fill="FFFFFF"/>
        </w:rPr>
        <w:t xml:space="preserve"> D, </w:t>
      </w:r>
      <w:proofErr w:type="spellStart"/>
      <w:r w:rsidR="004162AC" w:rsidRPr="004162AC">
        <w:rPr>
          <w:rFonts w:ascii="Arial" w:hAnsi="Arial" w:cs="Arial"/>
          <w:color w:val="212121"/>
          <w:shd w:val="clear" w:color="auto" w:fill="FFFFFF"/>
        </w:rPr>
        <w:t>Abranches</w:t>
      </w:r>
      <w:proofErr w:type="spellEnd"/>
      <w:r w:rsidR="004162AC" w:rsidRPr="004162AC">
        <w:rPr>
          <w:rFonts w:ascii="Arial" w:hAnsi="Arial" w:cs="Arial"/>
          <w:color w:val="212121"/>
          <w:shd w:val="clear" w:color="auto" w:fill="FFFFFF"/>
        </w:rPr>
        <w:t xml:space="preserve"> M, Gomes JM. Lupus myelopathy in a child. </w:t>
      </w:r>
      <w:proofErr w:type="spellStart"/>
      <w:r w:rsidR="004162AC" w:rsidRPr="004162AC">
        <w:rPr>
          <w:rFonts w:ascii="Arial" w:hAnsi="Arial" w:cs="Arial"/>
          <w:color w:val="212121"/>
          <w:shd w:val="clear" w:color="auto" w:fill="FFFFFF"/>
        </w:rPr>
        <w:t>Pediatr</w:t>
      </w:r>
      <w:proofErr w:type="spellEnd"/>
      <w:r w:rsidR="004162AC" w:rsidRPr="004162AC">
        <w:rPr>
          <w:rFonts w:ascii="Arial" w:hAnsi="Arial" w:cs="Arial"/>
          <w:color w:val="212121"/>
          <w:shd w:val="clear" w:color="auto" w:fill="FFFFFF"/>
        </w:rPr>
        <w:t xml:space="preserve"> Neurol. 2002 Oct;27(4):303-6. </w:t>
      </w:r>
      <w:proofErr w:type="spellStart"/>
      <w:r w:rsidR="004162AC" w:rsidRPr="004162AC">
        <w:rPr>
          <w:rFonts w:ascii="Arial" w:hAnsi="Arial" w:cs="Arial"/>
          <w:color w:val="212121"/>
          <w:shd w:val="clear" w:color="auto" w:fill="FFFFFF"/>
        </w:rPr>
        <w:t>doi</w:t>
      </w:r>
      <w:proofErr w:type="spellEnd"/>
      <w:r w:rsidR="004162AC" w:rsidRPr="004162AC">
        <w:rPr>
          <w:rFonts w:ascii="Arial" w:hAnsi="Arial" w:cs="Arial"/>
          <w:color w:val="212121"/>
          <w:shd w:val="clear" w:color="auto" w:fill="FFFFFF"/>
        </w:rPr>
        <w:t>: 10.1016/s0887-8994(02)00439-3. PMID: 12435571</w:t>
      </w:r>
    </w:p>
    <w:p w:rsidR="004914EC" w:rsidRDefault="004914EC" w:rsidP="004162AC">
      <w:pPr>
        <w:spacing w:line="360" w:lineRule="auto"/>
        <w:rPr>
          <w:rFonts w:ascii="Arial" w:eastAsia="Times New Roman" w:hAnsi="Arial" w:cs="Arial"/>
          <w:color w:val="000000"/>
        </w:rPr>
      </w:pPr>
      <w:r w:rsidRPr="004162AC">
        <w:rPr>
          <w:rFonts w:ascii="Arial" w:eastAsia="Times New Roman" w:hAnsi="Arial" w:cs="Arial"/>
          <w:color w:val="000000"/>
        </w:rPr>
        <w:lastRenderedPageBreak/>
        <w:t xml:space="preserve">6)Birnbaum J, Petri M, R. Houston Thompson, </w:t>
      </w:r>
      <w:proofErr w:type="spellStart"/>
      <w:r w:rsidRPr="004162AC">
        <w:rPr>
          <w:rFonts w:ascii="Arial" w:eastAsia="Times New Roman" w:hAnsi="Arial" w:cs="Arial"/>
          <w:color w:val="000000"/>
        </w:rPr>
        <w:t>IzlemIzbudak</w:t>
      </w:r>
      <w:proofErr w:type="spellEnd"/>
      <w:r w:rsidRPr="004162AC">
        <w:rPr>
          <w:rFonts w:ascii="Arial" w:eastAsia="Times New Roman" w:hAnsi="Arial" w:cs="Arial"/>
          <w:color w:val="000000"/>
        </w:rPr>
        <w:t>, Kerr DJ. Distinct subtypes of myelitis in systemic lupus erythematosus. Arthritis &amp; Rheumatism. 2009 Nov 1;60(11):3378–87.</w:t>
      </w:r>
    </w:p>
    <w:p w:rsidR="00714A59" w:rsidRDefault="00714A59" w:rsidP="00714A59">
      <w:pPr>
        <w:spacing w:line="360" w:lineRule="auto"/>
        <w:rPr>
          <w:rFonts w:ascii="Arial" w:eastAsia="Times New Roman" w:hAnsi="Arial" w:cs="Arial"/>
          <w:color w:val="000000"/>
        </w:rPr>
      </w:pPr>
      <w:r>
        <w:rPr>
          <w:rFonts w:ascii="Arial" w:eastAsia="Times New Roman" w:hAnsi="Arial" w:cs="Arial"/>
          <w:color w:val="000000"/>
        </w:rPr>
        <w:t>7)Johnson RT, Richardson EP. The neurological manifestations of systemic lupus erythematosus. Medicine (Baltimore). 1968;47(4):337-369. doi:10.1097/00005792-196807000-00002</w:t>
      </w:r>
    </w:p>
    <w:p w:rsidR="00714A59" w:rsidRDefault="00714A59" w:rsidP="00714A59">
      <w:pPr>
        <w:spacing w:line="360" w:lineRule="auto"/>
        <w:rPr>
          <w:rFonts w:ascii="Arial" w:eastAsia="Times New Roman" w:hAnsi="Arial" w:cs="Arial"/>
          <w:color w:val="000000"/>
        </w:rPr>
      </w:pPr>
      <w:r>
        <w:rPr>
          <w:rFonts w:ascii="Arial" w:eastAsia="Times New Roman" w:hAnsi="Arial" w:cs="Arial"/>
          <w:color w:val="000000"/>
        </w:rPr>
        <w:t xml:space="preserve">8) Kovacs B, Lafferty TL, Brent LH, </w:t>
      </w:r>
      <w:proofErr w:type="spellStart"/>
      <w:r>
        <w:rPr>
          <w:rFonts w:ascii="Arial" w:eastAsia="Times New Roman" w:hAnsi="Arial" w:cs="Arial"/>
          <w:color w:val="000000"/>
        </w:rPr>
        <w:t>DeHoratius</w:t>
      </w:r>
      <w:proofErr w:type="spellEnd"/>
      <w:r>
        <w:rPr>
          <w:rFonts w:ascii="Arial" w:eastAsia="Times New Roman" w:hAnsi="Arial" w:cs="Arial"/>
          <w:color w:val="000000"/>
        </w:rPr>
        <w:t xml:space="preserve"> RJ. Transverse myelopathy in systemic lupus erythematosus: an analysis of 14 cases and review of the literature. Ann Rheum Dis. 2000;59(2):120-124. doi:10.1136/ARD.59.2.12</w:t>
      </w:r>
    </w:p>
    <w:p w:rsidR="00714A59" w:rsidRDefault="00714A59" w:rsidP="00714A59">
      <w:pPr>
        <w:spacing w:line="360" w:lineRule="auto"/>
        <w:rPr>
          <w:rFonts w:ascii="Arial" w:eastAsia="Times New Roman" w:hAnsi="Arial" w:cs="Arial"/>
          <w:color w:val="000000"/>
        </w:rPr>
      </w:pPr>
      <w:r>
        <w:rPr>
          <w:rFonts w:ascii="Arial" w:eastAsia="Times New Roman" w:hAnsi="Arial" w:cs="Arial"/>
          <w:color w:val="000000"/>
        </w:rPr>
        <w:t xml:space="preserve">9. </w:t>
      </w:r>
      <w:proofErr w:type="spellStart"/>
      <w:r>
        <w:rPr>
          <w:rFonts w:ascii="Arial" w:eastAsia="Times New Roman" w:hAnsi="Arial" w:cs="Arial"/>
          <w:color w:val="000000"/>
        </w:rPr>
        <w:t>Chiganer</w:t>
      </w:r>
      <w:proofErr w:type="spellEnd"/>
      <w:r>
        <w:rPr>
          <w:rFonts w:ascii="Arial" w:eastAsia="Times New Roman" w:hAnsi="Arial" w:cs="Arial"/>
          <w:color w:val="000000"/>
        </w:rPr>
        <w:t xml:space="preserve"> EH, </w:t>
      </w:r>
      <w:proofErr w:type="spellStart"/>
      <w:r>
        <w:rPr>
          <w:rFonts w:ascii="Arial" w:eastAsia="Times New Roman" w:hAnsi="Arial" w:cs="Arial"/>
          <w:color w:val="000000"/>
        </w:rPr>
        <w:t>Lessa</w:t>
      </w:r>
      <w:proofErr w:type="spellEnd"/>
      <w:r>
        <w:rPr>
          <w:rFonts w:ascii="Arial" w:eastAsia="Times New Roman" w:hAnsi="Arial" w:cs="Arial"/>
          <w:color w:val="000000"/>
        </w:rPr>
        <w:t xml:space="preserve"> CF, Pace JLD, et al. Transverse myelitis in systemic lupus erythematosus: clinical features and prognostic factors in a large cohort of Latin American patients. J Clin </w:t>
      </w:r>
      <w:proofErr w:type="spellStart"/>
      <w:r>
        <w:rPr>
          <w:rFonts w:ascii="Arial" w:eastAsia="Times New Roman" w:hAnsi="Arial" w:cs="Arial"/>
          <w:color w:val="000000"/>
        </w:rPr>
        <w:t>Rheumatol</w:t>
      </w:r>
      <w:proofErr w:type="spellEnd"/>
      <w:r>
        <w:rPr>
          <w:rFonts w:ascii="Arial" w:eastAsia="Times New Roman" w:hAnsi="Arial" w:cs="Arial"/>
          <w:color w:val="000000"/>
        </w:rPr>
        <w:t>. 2021;27(6S</w:t>
      </w:r>
      <w:proofErr w:type="gramStart"/>
      <w:r>
        <w:rPr>
          <w:rFonts w:ascii="Arial" w:eastAsia="Times New Roman" w:hAnsi="Arial" w:cs="Arial"/>
          <w:color w:val="000000"/>
        </w:rPr>
        <w:t>):S</w:t>
      </w:r>
      <w:proofErr w:type="gramEnd"/>
      <w:r>
        <w:rPr>
          <w:rFonts w:ascii="Arial" w:eastAsia="Times New Roman" w:hAnsi="Arial" w:cs="Arial"/>
          <w:color w:val="000000"/>
        </w:rPr>
        <w:t>204-S211. doi:10.1097/RHU.0000000000001322</w:t>
      </w:r>
    </w:p>
    <w:p w:rsidR="00714A59" w:rsidRDefault="00714A59" w:rsidP="00714A59">
      <w:pPr>
        <w:spacing w:line="360" w:lineRule="auto"/>
        <w:rPr>
          <w:rFonts w:ascii="Arial" w:eastAsia="Times New Roman" w:hAnsi="Arial" w:cs="Arial"/>
          <w:color w:val="000000"/>
        </w:rPr>
      </w:pPr>
      <w:r>
        <w:rPr>
          <w:rFonts w:ascii="Arial" w:eastAsia="Times New Roman" w:hAnsi="Arial" w:cs="Arial"/>
          <w:color w:val="000000"/>
        </w:rPr>
        <w:t xml:space="preserve">10. Birnbaum J, Petri M, Thompson R, </w:t>
      </w:r>
      <w:proofErr w:type="spellStart"/>
      <w:r>
        <w:rPr>
          <w:rFonts w:ascii="Arial" w:eastAsia="Times New Roman" w:hAnsi="Arial" w:cs="Arial"/>
          <w:color w:val="000000"/>
        </w:rPr>
        <w:t>Izbudak</w:t>
      </w:r>
      <w:proofErr w:type="spellEnd"/>
      <w:r>
        <w:rPr>
          <w:rFonts w:ascii="Arial" w:eastAsia="Times New Roman" w:hAnsi="Arial" w:cs="Arial"/>
          <w:color w:val="000000"/>
        </w:rPr>
        <w:t xml:space="preserve"> I, Kerr D. Distinct subtypes of myelitis in systemic lupus erythematosus. Arthritis Rheum. 2009;60(11):3378-3387. doi:10.1002/ART.24937</w:t>
      </w:r>
    </w:p>
    <w:p w:rsidR="00587BAF" w:rsidRDefault="00587BAF" w:rsidP="00714A59">
      <w:pPr>
        <w:spacing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11. Debnath, B., Mallick, U. K., &amp; Saha, N. C. (2021). Longitudinal Myelopathy in a Child with Systemic Lupus Erythematosus (SLE)–A rare case report and review of the literature. </w:t>
      </w:r>
      <w:r>
        <w:rPr>
          <w:rFonts w:ascii="Arial" w:hAnsi="Arial" w:cs="Arial"/>
          <w:i/>
          <w:iCs/>
          <w:color w:val="222222"/>
          <w:sz w:val="20"/>
          <w:szCs w:val="20"/>
          <w:shd w:val="clear" w:color="auto" w:fill="FFFFFF"/>
        </w:rPr>
        <w:t>Bangladesh Critical Care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(2), 112-115.</w:t>
      </w:r>
    </w:p>
    <w:p w:rsidR="00587BAF" w:rsidRDefault="00587BAF" w:rsidP="00714A59">
      <w:pPr>
        <w:spacing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12. </w:t>
      </w:r>
      <w:proofErr w:type="spellStart"/>
      <w:r>
        <w:rPr>
          <w:rFonts w:ascii="Arial" w:hAnsi="Arial" w:cs="Arial"/>
          <w:color w:val="222222"/>
          <w:sz w:val="20"/>
          <w:szCs w:val="20"/>
          <w:shd w:val="clear" w:color="auto" w:fill="FFFFFF"/>
        </w:rPr>
        <w:t>Shivamurthy</w:t>
      </w:r>
      <w:proofErr w:type="spellEnd"/>
      <w:r>
        <w:rPr>
          <w:rFonts w:ascii="Arial" w:hAnsi="Arial" w:cs="Arial"/>
          <w:color w:val="222222"/>
          <w:sz w:val="20"/>
          <w:szCs w:val="20"/>
          <w:shd w:val="clear" w:color="auto" w:fill="FFFFFF"/>
        </w:rPr>
        <w:t>, V. M., Ganesan, S., Khan, A., Hussain, N., &amp; Sridhar, A. V. (2013). Acute longitudinal myelitis as the first presentation in child with systemic lupus erythematosus. </w:t>
      </w:r>
      <w:r>
        <w:rPr>
          <w:rFonts w:ascii="Arial" w:hAnsi="Arial" w:cs="Arial"/>
          <w:i/>
          <w:iCs/>
          <w:color w:val="222222"/>
          <w:sz w:val="20"/>
          <w:szCs w:val="20"/>
          <w:shd w:val="clear" w:color="auto" w:fill="FFFFFF"/>
        </w:rPr>
        <w:t>Journal of pediatric neurosciences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(2), 150-153.</w:t>
      </w:r>
    </w:p>
    <w:p w:rsidR="00587BAF" w:rsidRDefault="00587BAF" w:rsidP="00714A59">
      <w:pPr>
        <w:spacing w:line="360" w:lineRule="auto"/>
        <w:rPr>
          <w:rFonts w:ascii="Arial" w:eastAsia="Times New Roman" w:hAnsi="Arial" w:cs="Arial"/>
          <w:color w:val="000000"/>
        </w:rPr>
      </w:pPr>
      <w:r>
        <w:rPr>
          <w:rFonts w:ascii="Arial" w:hAnsi="Arial" w:cs="Arial"/>
          <w:color w:val="222222"/>
          <w:sz w:val="20"/>
          <w:szCs w:val="20"/>
          <w:shd w:val="clear" w:color="auto" w:fill="FFFFFF"/>
        </w:rPr>
        <w:t xml:space="preserve">13. Nardone, R., Fitzgerald, R. T., Bailey, A., &amp; </w:t>
      </w:r>
      <w:proofErr w:type="spellStart"/>
      <w:r>
        <w:rPr>
          <w:rFonts w:ascii="Arial" w:hAnsi="Arial" w:cs="Arial"/>
          <w:color w:val="222222"/>
          <w:sz w:val="20"/>
          <w:szCs w:val="20"/>
          <w:shd w:val="clear" w:color="auto" w:fill="FFFFFF"/>
        </w:rPr>
        <w:t>Zuccoli</w:t>
      </w:r>
      <w:proofErr w:type="spellEnd"/>
      <w:r>
        <w:rPr>
          <w:rFonts w:ascii="Arial" w:hAnsi="Arial" w:cs="Arial"/>
          <w:color w:val="222222"/>
          <w:sz w:val="20"/>
          <w:szCs w:val="20"/>
          <w:shd w:val="clear" w:color="auto" w:fill="FFFFFF"/>
        </w:rPr>
        <w:t>, G. (2015). Longitudinally extensive transverse myelitis in systemic lupus erythematosus: case report and review of the literature. </w:t>
      </w:r>
      <w:r>
        <w:rPr>
          <w:rFonts w:ascii="Arial" w:hAnsi="Arial" w:cs="Arial"/>
          <w:i/>
          <w:iCs/>
          <w:color w:val="222222"/>
          <w:sz w:val="20"/>
          <w:szCs w:val="20"/>
          <w:shd w:val="clear" w:color="auto" w:fill="FFFFFF"/>
        </w:rPr>
        <w:t>Clinical neurology and neurosurgery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129</w:t>
      </w:r>
      <w:r>
        <w:rPr>
          <w:rFonts w:ascii="Arial" w:hAnsi="Arial" w:cs="Arial"/>
          <w:color w:val="222222"/>
          <w:sz w:val="20"/>
          <w:szCs w:val="20"/>
          <w:shd w:val="clear" w:color="auto" w:fill="FFFFFF"/>
        </w:rPr>
        <w:t>, 57-61.</w:t>
      </w:r>
    </w:p>
    <w:p w:rsidR="00714A59" w:rsidRDefault="00714A59" w:rsidP="00714A59">
      <w:pPr>
        <w:spacing w:line="360" w:lineRule="auto"/>
        <w:rPr>
          <w:rFonts w:ascii="Arial" w:eastAsia="Times New Roman" w:hAnsi="Arial" w:cs="Arial"/>
          <w:color w:val="000000"/>
        </w:rPr>
      </w:pPr>
    </w:p>
    <w:p w:rsidR="00714A59" w:rsidRPr="004162AC" w:rsidRDefault="00714A59" w:rsidP="004162AC">
      <w:pPr>
        <w:spacing w:line="360" w:lineRule="auto"/>
        <w:rPr>
          <w:rFonts w:ascii="Arial" w:eastAsia="Times New Roman" w:hAnsi="Arial" w:cs="Arial"/>
          <w:color w:val="000000"/>
        </w:rPr>
      </w:pPr>
    </w:p>
    <w:p w:rsidR="004914EC" w:rsidRPr="004162AC" w:rsidRDefault="004914EC" w:rsidP="004914EC">
      <w:pPr>
        <w:spacing w:before="100" w:beforeAutospacing="1" w:after="100" w:afterAutospacing="1" w:line="240" w:lineRule="auto"/>
        <w:rPr>
          <w:rFonts w:ascii="Arial" w:eastAsia="Times New Roman" w:hAnsi="Arial" w:cs="Arial"/>
          <w:color w:val="000000"/>
        </w:rPr>
      </w:pPr>
      <w:r w:rsidRPr="004162AC">
        <w:rPr>
          <w:rFonts w:ascii="Arial" w:eastAsia="Times New Roman" w:hAnsi="Arial" w:cs="Arial"/>
          <w:color w:val="000000"/>
        </w:rPr>
        <w:t>‌</w:t>
      </w:r>
    </w:p>
    <w:p w:rsidR="004914EC" w:rsidRPr="004914EC" w:rsidRDefault="004914EC" w:rsidP="004914EC">
      <w:pPr>
        <w:spacing w:before="100" w:beforeAutospacing="1" w:after="100" w:afterAutospacing="1" w:line="240" w:lineRule="auto"/>
        <w:rPr>
          <w:rFonts w:ascii="Arial" w:eastAsia="Times New Roman" w:hAnsi="Arial" w:cs="Arial"/>
          <w:color w:val="000000"/>
        </w:rPr>
      </w:pPr>
      <w:r w:rsidRPr="004914EC">
        <w:rPr>
          <w:rFonts w:ascii="Arial" w:hAnsi="Arial" w:cs="Arial"/>
        </w:rPr>
        <w:t xml:space="preserve">Table </w:t>
      </w:r>
      <w:proofErr w:type="gramStart"/>
      <w:r w:rsidRPr="004914EC">
        <w:rPr>
          <w:rFonts w:ascii="Arial" w:hAnsi="Arial" w:cs="Arial"/>
        </w:rPr>
        <w:t>1 :</w:t>
      </w:r>
      <w:proofErr w:type="gramEnd"/>
      <w:r w:rsidRPr="004914EC">
        <w:rPr>
          <w:rFonts w:ascii="Arial" w:hAnsi="Arial" w:cs="Arial"/>
        </w:rPr>
        <w:t xml:space="preserve"> Investigations : Blood, CSF and Urine</w:t>
      </w:r>
    </w:p>
    <w:tbl>
      <w:tblPr>
        <w:tblStyle w:val="TableGrid"/>
        <w:tblW w:w="0" w:type="auto"/>
        <w:tblLook w:val="04A0" w:firstRow="1" w:lastRow="0" w:firstColumn="1" w:lastColumn="0" w:noHBand="0" w:noVBand="1"/>
      </w:tblPr>
      <w:tblGrid>
        <w:gridCol w:w="3192"/>
        <w:gridCol w:w="1565"/>
        <w:gridCol w:w="1627"/>
        <w:gridCol w:w="3192"/>
      </w:tblGrid>
      <w:tr w:rsidR="004914EC" w:rsidRPr="004914EC" w:rsidTr="00DA450A">
        <w:tc>
          <w:tcPr>
            <w:tcW w:w="3192" w:type="dxa"/>
          </w:tcPr>
          <w:p w:rsidR="004914EC" w:rsidRPr="004914EC" w:rsidRDefault="004914EC" w:rsidP="00DA450A">
            <w:pPr>
              <w:pStyle w:val="Normal1"/>
              <w:spacing w:line="360" w:lineRule="auto"/>
              <w:jc w:val="center"/>
              <w:rPr>
                <w:rFonts w:ascii="Arial" w:hAnsi="Arial" w:cs="Arial"/>
              </w:rPr>
            </w:pPr>
            <w:proofErr w:type="spellStart"/>
            <w:r w:rsidRPr="004914EC">
              <w:rPr>
                <w:rFonts w:ascii="Arial" w:hAnsi="Arial" w:cs="Arial"/>
              </w:rPr>
              <w:t>Invesitgations</w:t>
            </w:r>
            <w:proofErr w:type="spellEnd"/>
          </w:p>
        </w:tc>
        <w:tc>
          <w:tcPr>
            <w:tcW w:w="3192" w:type="dxa"/>
            <w:gridSpan w:val="2"/>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Value</w:t>
            </w:r>
          </w:p>
        </w:tc>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Reference value</w:t>
            </w:r>
          </w:p>
        </w:tc>
      </w:tr>
      <w:tr w:rsidR="004914EC" w:rsidRPr="004914EC" w:rsidTr="00DA450A">
        <w:tc>
          <w:tcPr>
            <w:tcW w:w="3192" w:type="dxa"/>
          </w:tcPr>
          <w:p w:rsidR="004914EC" w:rsidRPr="004914EC" w:rsidRDefault="004914EC" w:rsidP="00DA450A">
            <w:pPr>
              <w:pStyle w:val="Normal1"/>
              <w:spacing w:line="360" w:lineRule="auto"/>
              <w:jc w:val="center"/>
              <w:rPr>
                <w:rFonts w:ascii="Arial" w:hAnsi="Arial" w:cs="Arial"/>
              </w:rPr>
            </w:pPr>
            <w:proofErr w:type="spellStart"/>
            <w:r w:rsidRPr="004914EC">
              <w:rPr>
                <w:rFonts w:ascii="Arial" w:hAnsi="Arial" w:cs="Arial"/>
              </w:rPr>
              <w:lastRenderedPageBreak/>
              <w:t>Hemoglobin</w:t>
            </w:r>
            <w:proofErr w:type="spellEnd"/>
            <w:r w:rsidRPr="004914EC">
              <w:rPr>
                <w:rFonts w:ascii="Arial" w:hAnsi="Arial" w:cs="Arial"/>
              </w:rPr>
              <w:t>(g/dL)</w:t>
            </w:r>
          </w:p>
        </w:tc>
        <w:tc>
          <w:tcPr>
            <w:tcW w:w="3192" w:type="dxa"/>
            <w:gridSpan w:val="2"/>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8</w:t>
            </w:r>
          </w:p>
        </w:tc>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11- 16</w:t>
            </w:r>
          </w:p>
        </w:tc>
      </w:tr>
      <w:tr w:rsidR="004914EC" w:rsidRPr="004914EC" w:rsidTr="00DA450A">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Total counts(cells/mm</w:t>
            </w:r>
            <w:r w:rsidRPr="004914EC">
              <w:rPr>
                <w:rFonts w:ascii="Arial" w:hAnsi="Arial" w:cs="Arial"/>
                <w:vertAlign w:val="superscript"/>
              </w:rPr>
              <w:t>3</w:t>
            </w:r>
            <w:r w:rsidRPr="004914EC">
              <w:rPr>
                <w:rFonts w:ascii="Arial" w:hAnsi="Arial" w:cs="Arial"/>
              </w:rPr>
              <w:t>)</w:t>
            </w:r>
          </w:p>
        </w:tc>
        <w:tc>
          <w:tcPr>
            <w:tcW w:w="3192" w:type="dxa"/>
            <w:gridSpan w:val="2"/>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12280</w:t>
            </w:r>
          </w:p>
        </w:tc>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4000-110000</w:t>
            </w:r>
          </w:p>
        </w:tc>
      </w:tr>
      <w:tr w:rsidR="004914EC" w:rsidRPr="004914EC" w:rsidTr="00DA450A">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Platelets (cells/mm</w:t>
            </w:r>
            <w:r w:rsidRPr="004914EC">
              <w:rPr>
                <w:rFonts w:ascii="Arial" w:hAnsi="Arial" w:cs="Arial"/>
                <w:vertAlign w:val="superscript"/>
              </w:rPr>
              <w:t>3</w:t>
            </w:r>
            <w:r w:rsidRPr="004914EC">
              <w:rPr>
                <w:rFonts w:ascii="Arial" w:hAnsi="Arial" w:cs="Arial"/>
              </w:rPr>
              <w:t>)</w:t>
            </w:r>
          </w:p>
        </w:tc>
        <w:tc>
          <w:tcPr>
            <w:tcW w:w="3192" w:type="dxa"/>
            <w:gridSpan w:val="2"/>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530000</w:t>
            </w:r>
          </w:p>
        </w:tc>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150000-450000</w:t>
            </w:r>
          </w:p>
        </w:tc>
      </w:tr>
      <w:tr w:rsidR="004914EC" w:rsidRPr="004914EC" w:rsidTr="00DA450A">
        <w:tc>
          <w:tcPr>
            <w:tcW w:w="3192" w:type="dxa"/>
          </w:tcPr>
          <w:p w:rsidR="004914EC" w:rsidRPr="004914EC" w:rsidRDefault="004914EC" w:rsidP="00DA450A">
            <w:pPr>
              <w:pStyle w:val="Normal1"/>
              <w:spacing w:line="360" w:lineRule="auto"/>
              <w:jc w:val="center"/>
              <w:rPr>
                <w:rFonts w:ascii="Arial" w:hAnsi="Arial" w:cs="Arial"/>
              </w:rPr>
            </w:pPr>
            <w:proofErr w:type="gramStart"/>
            <w:r w:rsidRPr="004914EC">
              <w:rPr>
                <w:rFonts w:ascii="Arial" w:hAnsi="Arial" w:cs="Arial"/>
              </w:rPr>
              <w:t>CRP(</w:t>
            </w:r>
            <w:proofErr w:type="gramEnd"/>
            <w:r w:rsidRPr="004914EC">
              <w:rPr>
                <w:rFonts w:ascii="Arial" w:hAnsi="Arial" w:cs="Arial"/>
              </w:rPr>
              <w:t>mg/dL)</w:t>
            </w:r>
          </w:p>
        </w:tc>
        <w:tc>
          <w:tcPr>
            <w:tcW w:w="3192" w:type="dxa"/>
            <w:gridSpan w:val="2"/>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4.86</w:t>
            </w:r>
          </w:p>
        </w:tc>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&lt;5</w:t>
            </w:r>
          </w:p>
        </w:tc>
      </w:tr>
      <w:tr w:rsidR="004914EC" w:rsidRPr="004914EC" w:rsidTr="00DA450A">
        <w:tc>
          <w:tcPr>
            <w:tcW w:w="3192" w:type="dxa"/>
          </w:tcPr>
          <w:p w:rsidR="004914EC" w:rsidRPr="004914EC" w:rsidRDefault="004914EC" w:rsidP="00DA450A">
            <w:pPr>
              <w:pStyle w:val="Normal1"/>
              <w:spacing w:line="360" w:lineRule="auto"/>
              <w:jc w:val="center"/>
              <w:rPr>
                <w:rFonts w:ascii="Arial" w:hAnsi="Arial" w:cs="Arial"/>
              </w:rPr>
            </w:pPr>
            <w:proofErr w:type="gramStart"/>
            <w:r w:rsidRPr="004914EC">
              <w:rPr>
                <w:rFonts w:ascii="Arial" w:hAnsi="Arial" w:cs="Arial"/>
              </w:rPr>
              <w:t>ESR(</w:t>
            </w:r>
            <w:proofErr w:type="gramEnd"/>
            <w:r w:rsidRPr="004914EC">
              <w:rPr>
                <w:rFonts w:ascii="Arial" w:hAnsi="Arial" w:cs="Arial"/>
              </w:rPr>
              <w:t>mm/hr)</w:t>
            </w:r>
          </w:p>
        </w:tc>
        <w:tc>
          <w:tcPr>
            <w:tcW w:w="3192" w:type="dxa"/>
            <w:gridSpan w:val="2"/>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90</w:t>
            </w:r>
          </w:p>
        </w:tc>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&lt;10</w:t>
            </w:r>
          </w:p>
        </w:tc>
      </w:tr>
      <w:tr w:rsidR="004914EC" w:rsidRPr="004914EC" w:rsidTr="00DA450A">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Urea(mg/dL)</w:t>
            </w:r>
          </w:p>
        </w:tc>
        <w:tc>
          <w:tcPr>
            <w:tcW w:w="3192" w:type="dxa"/>
            <w:gridSpan w:val="2"/>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20.7</w:t>
            </w:r>
          </w:p>
        </w:tc>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16.6 – 48.51</w:t>
            </w:r>
          </w:p>
        </w:tc>
      </w:tr>
      <w:tr w:rsidR="004914EC" w:rsidRPr="004914EC" w:rsidTr="00DA450A">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Serum Creatinine(mg/dL)</w:t>
            </w:r>
          </w:p>
        </w:tc>
        <w:tc>
          <w:tcPr>
            <w:tcW w:w="3192" w:type="dxa"/>
            <w:gridSpan w:val="2"/>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0.57</w:t>
            </w:r>
          </w:p>
        </w:tc>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0.5 – 1.2</w:t>
            </w:r>
          </w:p>
        </w:tc>
      </w:tr>
      <w:tr w:rsidR="004914EC" w:rsidRPr="004914EC" w:rsidTr="00DA450A">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Sodium(</w:t>
            </w:r>
            <w:proofErr w:type="spellStart"/>
            <w:r w:rsidRPr="004914EC">
              <w:rPr>
                <w:rFonts w:ascii="Arial" w:hAnsi="Arial" w:cs="Arial"/>
              </w:rPr>
              <w:t>mEq</w:t>
            </w:r>
            <w:proofErr w:type="spellEnd"/>
            <w:r w:rsidRPr="004914EC">
              <w:rPr>
                <w:rFonts w:ascii="Arial" w:hAnsi="Arial" w:cs="Arial"/>
              </w:rPr>
              <w:t>/L)</w:t>
            </w:r>
          </w:p>
        </w:tc>
        <w:tc>
          <w:tcPr>
            <w:tcW w:w="3192" w:type="dxa"/>
            <w:gridSpan w:val="2"/>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131</w:t>
            </w:r>
          </w:p>
        </w:tc>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135 – 145</w:t>
            </w:r>
          </w:p>
        </w:tc>
      </w:tr>
      <w:tr w:rsidR="004914EC" w:rsidRPr="004914EC" w:rsidTr="00DA450A">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Potassium(</w:t>
            </w:r>
            <w:proofErr w:type="spellStart"/>
            <w:r w:rsidRPr="004914EC">
              <w:rPr>
                <w:rFonts w:ascii="Arial" w:hAnsi="Arial" w:cs="Arial"/>
              </w:rPr>
              <w:t>mEq</w:t>
            </w:r>
            <w:proofErr w:type="spellEnd"/>
            <w:r w:rsidRPr="004914EC">
              <w:rPr>
                <w:rFonts w:ascii="Arial" w:hAnsi="Arial" w:cs="Arial"/>
              </w:rPr>
              <w:t>/L)</w:t>
            </w:r>
          </w:p>
        </w:tc>
        <w:tc>
          <w:tcPr>
            <w:tcW w:w="3192" w:type="dxa"/>
            <w:gridSpan w:val="2"/>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4.43</w:t>
            </w:r>
          </w:p>
        </w:tc>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3.5 – 5.5</w:t>
            </w:r>
          </w:p>
        </w:tc>
      </w:tr>
      <w:tr w:rsidR="004914EC" w:rsidRPr="004914EC" w:rsidTr="00DA450A">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 xml:space="preserve">RA </w:t>
            </w:r>
            <w:proofErr w:type="gramStart"/>
            <w:r w:rsidRPr="004914EC">
              <w:rPr>
                <w:rFonts w:ascii="Arial" w:hAnsi="Arial" w:cs="Arial"/>
              </w:rPr>
              <w:t>factor(</w:t>
            </w:r>
            <w:proofErr w:type="gramEnd"/>
            <w:r w:rsidRPr="004914EC">
              <w:rPr>
                <w:rFonts w:ascii="Arial" w:hAnsi="Arial" w:cs="Arial"/>
              </w:rPr>
              <w:t>IU/ml)r</w:t>
            </w:r>
          </w:p>
        </w:tc>
        <w:tc>
          <w:tcPr>
            <w:tcW w:w="3192" w:type="dxa"/>
            <w:gridSpan w:val="2"/>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147.55</w:t>
            </w:r>
          </w:p>
        </w:tc>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&lt;30</w:t>
            </w:r>
          </w:p>
        </w:tc>
      </w:tr>
      <w:tr w:rsidR="004914EC" w:rsidRPr="004914EC" w:rsidTr="00DA450A">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 xml:space="preserve">ANA </w:t>
            </w:r>
            <w:r w:rsidR="00714A59">
              <w:rPr>
                <w:rFonts w:ascii="Arial" w:hAnsi="Arial" w:cs="Arial"/>
              </w:rPr>
              <w:t>–</w:t>
            </w:r>
            <w:r w:rsidRPr="004914EC">
              <w:rPr>
                <w:rFonts w:ascii="Arial" w:hAnsi="Arial" w:cs="Arial"/>
              </w:rPr>
              <w:t xml:space="preserve"> IFA</w:t>
            </w:r>
          </w:p>
        </w:tc>
        <w:tc>
          <w:tcPr>
            <w:tcW w:w="3192" w:type="dxa"/>
            <w:gridSpan w:val="2"/>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1:80</w:t>
            </w:r>
          </w:p>
          <w:p w:rsidR="004914EC" w:rsidRPr="004914EC" w:rsidRDefault="004914EC" w:rsidP="00DA450A">
            <w:pPr>
              <w:pStyle w:val="Normal1"/>
              <w:spacing w:line="360" w:lineRule="auto"/>
              <w:jc w:val="center"/>
              <w:rPr>
                <w:rFonts w:ascii="Arial" w:hAnsi="Arial" w:cs="Arial"/>
              </w:rPr>
            </w:pPr>
            <w:r w:rsidRPr="004914EC">
              <w:rPr>
                <w:rFonts w:ascii="Arial" w:hAnsi="Arial" w:cs="Arial"/>
              </w:rPr>
              <w:t>2+</w:t>
            </w:r>
          </w:p>
          <w:p w:rsidR="004914EC" w:rsidRPr="004914EC" w:rsidRDefault="004914EC" w:rsidP="00DA450A">
            <w:pPr>
              <w:pStyle w:val="Normal1"/>
              <w:spacing w:line="360" w:lineRule="auto"/>
              <w:jc w:val="center"/>
              <w:rPr>
                <w:rFonts w:ascii="Arial" w:hAnsi="Arial" w:cs="Arial"/>
              </w:rPr>
            </w:pPr>
            <w:r w:rsidRPr="004914EC">
              <w:rPr>
                <w:rFonts w:ascii="Arial" w:hAnsi="Arial" w:cs="Arial"/>
              </w:rPr>
              <w:t>Cytoplasmic pattern</w:t>
            </w:r>
          </w:p>
        </w:tc>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w:t>
            </w:r>
          </w:p>
        </w:tc>
      </w:tr>
      <w:tr w:rsidR="004914EC" w:rsidRPr="004914EC" w:rsidTr="00DA450A">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C3 (mg/dL)</w:t>
            </w:r>
          </w:p>
        </w:tc>
        <w:tc>
          <w:tcPr>
            <w:tcW w:w="3192" w:type="dxa"/>
            <w:gridSpan w:val="2"/>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118</w:t>
            </w:r>
          </w:p>
        </w:tc>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90-180</w:t>
            </w:r>
          </w:p>
        </w:tc>
      </w:tr>
      <w:tr w:rsidR="004914EC" w:rsidRPr="004914EC" w:rsidTr="00DA450A">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C4 (mg/dL)</w:t>
            </w:r>
          </w:p>
        </w:tc>
        <w:tc>
          <w:tcPr>
            <w:tcW w:w="3192" w:type="dxa"/>
            <w:gridSpan w:val="2"/>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22.3</w:t>
            </w:r>
          </w:p>
        </w:tc>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14-44</w:t>
            </w:r>
          </w:p>
        </w:tc>
      </w:tr>
      <w:tr w:rsidR="004914EC" w:rsidRPr="004914EC" w:rsidTr="00DA450A">
        <w:tc>
          <w:tcPr>
            <w:tcW w:w="3192" w:type="dxa"/>
            <w:vMerge w:val="restart"/>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ANA Profile</w:t>
            </w:r>
          </w:p>
        </w:tc>
        <w:tc>
          <w:tcPr>
            <w:tcW w:w="1565" w:type="dxa"/>
            <w:tcBorders>
              <w:right w:val="single" w:sz="4" w:space="0" w:color="auto"/>
            </w:tcBorders>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RIB</w:t>
            </w:r>
          </w:p>
        </w:tc>
        <w:tc>
          <w:tcPr>
            <w:tcW w:w="1627" w:type="dxa"/>
            <w:tcBorders>
              <w:left w:val="single" w:sz="4" w:space="0" w:color="auto"/>
            </w:tcBorders>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Positive</w:t>
            </w:r>
          </w:p>
        </w:tc>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w:t>
            </w:r>
          </w:p>
        </w:tc>
      </w:tr>
      <w:tr w:rsidR="004914EC" w:rsidRPr="004914EC" w:rsidTr="00DA450A">
        <w:tc>
          <w:tcPr>
            <w:tcW w:w="3192" w:type="dxa"/>
            <w:vMerge/>
          </w:tcPr>
          <w:p w:rsidR="004914EC" w:rsidRPr="004914EC" w:rsidRDefault="004914EC" w:rsidP="00DA450A">
            <w:pPr>
              <w:pStyle w:val="Normal1"/>
              <w:spacing w:line="360" w:lineRule="auto"/>
              <w:jc w:val="center"/>
              <w:rPr>
                <w:rFonts w:ascii="Arial" w:hAnsi="Arial" w:cs="Arial"/>
              </w:rPr>
            </w:pPr>
          </w:p>
        </w:tc>
        <w:tc>
          <w:tcPr>
            <w:tcW w:w="1565" w:type="dxa"/>
            <w:tcBorders>
              <w:right w:val="single" w:sz="4" w:space="0" w:color="auto"/>
            </w:tcBorders>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RNP</w:t>
            </w:r>
          </w:p>
        </w:tc>
        <w:tc>
          <w:tcPr>
            <w:tcW w:w="1627" w:type="dxa"/>
            <w:tcBorders>
              <w:left w:val="single" w:sz="4" w:space="0" w:color="auto"/>
            </w:tcBorders>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Positive</w:t>
            </w:r>
          </w:p>
        </w:tc>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w:t>
            </w:r>
          </w:p>
        </w:tc>
      </w:tr>
      <w:tr w:rsidR="004914EC" w:rsidRPr="004914EC" w:rsidTr="00DA450A">
        <w:tc>
          <w:tcPr>
            <w:tcW w:w="3192" w:type="dxa"/>
            <w:vMerge/>
          </w:tcPr>
          <w:p w:rsidR="004914EC" w:rsidRPr="004914EC" w:rsidRDefault="004914EC" w:rsidP="00DA450A">
            <w:pPr>
              <w:pStyle w:val="Normal1"/>
              <w:spacing w:line="360" w:lineRule="auto"/>
              <w:jc w:val="center"/>
              <w:rPr>
                <w:rFonts w:ascii="Arial" w:hAnsi="Arial" w:cs="Arial"/>
              </w:rPr>
            </w:pPr>
          </w:p>
        </w:tc>
        <w:tc>
          <w:tcPr>
            <w:tcW w:w="1565" w:type="dxa"/>
            <w:tcBorders>
              <w:right w:val="single" w:sz="4" w:space="0" w:color="auto"/>
            </w:tcBorders>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SS - A</w:t>
            </w:r>
          </w:p>
        </w:tc>
        <w:tc>
          <w:tcPr>
            <w:tcW w:w="1627" w:type="dxa"/>
            <w:tcBorders>
              <w:left w:val="single" w:sz="4" w:space="0" w:color="auto"/>
            </w:tcBorders>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Borderline positive</w:t>
            </w:r>
          </w:p>
        </w:tc>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w:t>
            </w:r>
          </w:p>
        </w:tc>
      </w:tr>
      <w:tr w:rsidR="004914EC" w:rsidRPr="004914EC" w:rsidTr="00DA450A">
        <w:tc>
          <w:tcPr>
            <w:tcW w:w="3192" w:type="dxa"/>
            <w:vMerge/>
          </w:tcPr>
          <w:p w:rsidR="004914EC" w:rsidRPr="004914EC" w:rsidRDefault="004914EC" w:rsidP="00DA450A">
            <w:pPr>
              <w:pStyle w:val="Normal1"/>
              <w:spacing w:line="360" w:lineRule="auto"/>
              <w:jc w:val="center"/>
              <w:rPr>
                <w:rFonts w:ascii="Arial" w:hAnsi="Arial" w:cs="Arial"/>
              </w:rPr>
            </w:pPr>
          </w:p>
        </w:tc>
        <w:tc>
          <w:tcPr>
            <w:tcW w:w="1565" w:type="dxa"/>
            <w:tcBorders>
              <w:right w:val="single" w:sz="4" w:space="0" w:color="auto"/>
            </w:tcBorders>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Smith</w:t>
            </w:r>
          </w:p>
        </w:tc>
        <w:tc>
          <w:tcPr>
            <w:tcW w:w="1627" w:type="dxa"/>
            <w:tcBorders>
              <w:left w:val="single" w:sz="4" w:space="0" w:color="auto"/>
            </w:tcBorders>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Equivocal</w:t>
            </w:r>
          </w:p>
        </w:tc>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w:t>
            </w:r>
          </w:p>
        </w:tc>
      </w:tr>
      <w:tr w:rsidR="004914EC" w:rsidRPr="004914EC" w:rsidTr="00DA450A">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 xml:space="preserve">CSF cell </w:t>
            </w:r>
            <w:proofErr w:type="gramStart"/>
            <w:r w:rsidRPr="004914EC">
              <w:rPr>
                <w:rFonts w:ascii="Arial" w:hAnsi="Arial" w:cs="Arial"/>
              </w:rPr>
              <w:t>count(</w:t>
            </w:r>
            <w:proofErr w:type="gramEnd"/>
            <w:r w:rsidRPr="004914EC">
              <w:rPr>
                <w:rFonts w:ascii="Arial" w:hAnsi="Arial" w:cs="Arial"/>
              </w:rPr>
              <w:t>cells/cu mm)</w:t>
            </w:r>
          </w:p>
        </w:tc>
        <w:tc>
          <w:tcPr>
            <w:tcW w:w="3192" w:type="dxa"/>
            <w:gridSpan w:val="2"/>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2</w:t>
            </w:r>
          </w:p>
        </w:tc>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None</w:t>
            </w:r>
          </w:p>
        </w:tc>
      </w:tr>
      <w:tr w:rsidR="004914EC" w:rsidRPr="004914EC" w:rsidTr="00DA450A">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CSF Cytology</w:t>
            </w:r>
          </w:p>
        </w:tc>
        <w:tc>
          <w:tcPr>
            <w:tcW w:w="3192" w:type="dxa"/>
            <w:gridSpan w:val="2"/>
          </w:tcPr>
          <w:p w:rsidR="004914EC" w:rsidRPr="004914EC" w:rsidRDefault="004914EC" w:rsidP="00DA450A">
            <w:pPr>
              <w:pStyle w:val="Normal1"/>
              <w:spacing w:line="360" w:lineRule="auto"/>
              <w:jc w:val="center"/>
              <w:rPr>
                <w:rFonts w:ascii="Arial" w:hAnsi="Arial" w:cs="Arial"/>
              </w:rPr>
            </w:pPr>
            <w:proofErr w:type="spellStart"/>
            <w:r w:rsidRPr="004914EC">
              <w:rPr>
                <w:rFonts w:ascii="Arial" w:hAnsi="Arial" w:cs="Arial"/>
              </w:rPr>
              <w:t>Occcasional</w:t>
            </w:r>
            <w:proofErr w:type="spellEnd"/>
            <w:r w:rsidRPr="004914EC">
              <w:rPr>
                <w:rFonts w:ascii="Arial" w:hAnsi="Arial" w:cs="Arial"/>
              </w:rPr>
              <w:t xml:space="preserve"> lymphocytes over a clear background</w:t>
            </w:r>
          </w:p>
        </w:tc>
        <w:tc>
          <w:tcPr>
            <w:tcW w:w="3192" w:type="dxa"/>
          </w:tcPr>
          <w:p w:rsidR="004914EC" w:rsidRPr="004914EC" w:rsidRDefault="004914EC" w:rsidP="00DA450A">
            <w:pPr>
              <w:pStyle w:val="Normal1"/>
              <w:numPr>
                <w:ilvl w:val="0"/>
                <w:numId w:val="2"/>
              </w:numPr>
              <w:spacing w:line="360" w:lineRule="auto"/>
              <w:jc w:val="center"/>
              <w:rPr>
                <w:rFonts w:ascii="Arial" w:hAnsi="Arial" w:cs="Arial"/>
              </w:rPr>
            </w:pPr>
          </w:p>
        </w:tc>
      </w:tr>
      <w:tr w:rsidR="004914EC" w:rsidRPr="004914EC" w:rsidTr="00DA450A">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CSF sugars</w:t>
            </w:r>
          </w:p>
        </w:tc>
        <w:tc>
          <w:tcPr>
            <w:tcW w:w="3192" w:type="dxa"/>
            <w:gridSpan w:val="2"/>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67.9</w:t>
            </w:r>
          </w:p>
        </w:tc>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40 – 70</w:t>
            </w:r>
          </w:p>
        </w:tc>
      </w:tr>
      <w:tr w:rsidR="004914EC" w:rsidRPr="004914EC" w:rsidTr="00DA450A">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lastRenderedPageBreak/>
              <w:t>CSF Proteins (mg/dL)</w:t>
            </w:r>
          </w:p>
        </w:tc>
        <w:tc>
          <w:tcPr>
            <w:tcW w:w="3192" w:type="dxa"/>
            <w:gridSpan w:val="2"/>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70.3</w:t>
            </w:r>
          </w:p>
        </w:tc>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15 – 45</w:t>
            </w:r>
          </w:p>
        </w:tc>
      </w:tr>
      <w:tr w:rsidR="004914EC" w:rsidRPr="004914EC" w:rsidTr="00DA450A">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CSF Gram Stain</w:t>
            </w:r>
          </w:p>
        </w:tc>
        <w:tc>
          <w:tcPr>
            <w:tcW w:w="3192" w:type="dxa"/>
            <w:gridSpan w:val="2"/>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No pus cells, microorganisms seen</w:t>
            </w:r>
          </w:p>
        </w:tc>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w:t>
            </w:r>
          </w:p>
        </w:tc>
      </w:tr>
      <w:tr w:rsidR="004914EC" w:rsidRPr="004914EC" w:rsidTr="00DA450A">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CSF Culture and Sensitivity</w:t>
            </w:r>
          </w:p>
        </w:tc>
        <w:tc>
          <w:tcPr>
            <w:tcW w:w="3192" w:type="dxa"/>
            <w:gridSpan w:val="2"/>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Sterile</w:t>
            </w:r>
          </w:p>
        </w:tc>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w:t>
            </w:r>
          </w:p>
        </w:tc>
      </w:tr>
      <w:tr w:rsidR="004914EC" w:rsidRPr="004914EC" w:rsidTr="00DA450A">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Urine Culture and Sensitivity</w:t>
            </w:r>
          </w:p>
        </w:tc>
        <w:tc>
          <w:tcPr>
            <w:tcW w:w="3192" w:type="dxa"/>
            <w:gridSpan w:val="2"/>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 xml:space="preserve">Escherichia coli sensitive to </w:t>
            </w:r>
            <w:proofErr w:type="gramStart"/>
            <w:r w:rsidRPr="004914EC">
              <w:rPr>
                <w:rFonts w:ascii="Arial" w:hAnsi="Arial" w:cs="Arial"/>
              </w:rPr>
              <w:t>Ertapenem(</w:t>
            </w:r>
            <w:proofErr w:type="gramEnd"/>
            <w:r w:rsidRPr="004914EC">
              <w:rPr>
                <w:rFonts w:ascii="Arial" w:hAnsi="Arial" w:cs="Arial"/>
              </w:rPr>
              <w:t>MIC &lt;/=0.5)</w:t>
            </w:r>
          </w:p>
        </w:tc>
        <w:tc>
          <w:tcPr>
            <w:tcW w:w="3192"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w:t>
            </w:r>
          </w:p>
        </w:tc>
      </w:tr>
    </w:tbl>
    <w:p w:rsidR="004914EC" w:rsidRPr="004914EC" w:rsidRDefault="004914EC" w:rsidP="004914EC">
      <w:pPr>
        <w:pStyle w:val="Normal1"/>
        <w:spacing w:line="360" w:lineRule="auto"/>
        <w:jc w:val="center"/>
        <w:rPr>
          <w:rFonts w:ascii="Arial" w:hAnsi="Arial" w:cs="Arial"/>
        </w:rPr>
      </w:pPr>
    </w:p>
    <w:p w:rsidR="004914EC" w:rsidRPr="004914EC" w:rsidRDefault="004914EC" w:rsidP="004914EC">
      <w:pPr>
        <w:pStyle w:val="Normal1"/>
        <w:spacing w:line="360" w:lineRule="auto"/>
        <w:jc w:val="center"/>
        <w:rPr>
          <w:rFonts w:ascii="Arial" w:hAnsi="Arial" w:cs="Arial"/>
        </w:rPr>
      </w:pPr>
      <w:r w:rsidRPr="004914EC">
        <w:rPr>
          <w:rFonts w:ascii="Arial" w:hAnsi="Arial" w:cs="Arial"/>
        </w:rPr>
        <w:t xml:space="preserve">Table </w:t>
      </w:r>
      <w:proofErr w:type="gramStart"/>
      <w:r w:rsidRPr="004914EC">
        <w:rPr>
          <w:rFonts w:ascii="Arial" w:hAnsi="Arial" w:cs="Arial"/>
        </w:rPr>
        <w:t>2 :</w:t>
      </w:r>
      <w:proofErr w:type="gramEnd"/>
      <w:r w:rsidRPr="004914EC">
        <w:rPr>
          <w:rFonts w:ascii="Arial" w:hAnsi="Arial" w:cs="Arial"/>
        </w:rPr>
        <w:t xml:space="preserve"> Radiological Investigations :</w:t>
      </w:r>
    </w:p>
    <w:tbl>
      <w:tblPr>
        <w:tblStyle w:val="TableGrid"/>
        <w:tblW w:w="0" w:type="auto"/>
        <w:tblLook w:val="04A0" w:firstRow="1" w:lastRow="0" w:firstColumn="1" w:lastColumn="0" w:noHBand="0" w:noVBand="1"/>
      </w:tblPr>
      <w:tblGrid>
        <w:gridCol w:w="4788"/>
        <w:gridCol w:w="4788"/>
      </w:tblGrid>
      <w:tr w:rsidR="004914EC" w:rsidRPr="004914EC" w:rsidTr="00DA450A">
        <w:tc>
          <w:tcPr>
            <w:tcW w:w="4788"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Investigations</w:t>
            </w:r>
          </w:p>
        </w:tc>
        <w:tc>
          <w:tcPr>
            <w:tcW w:w="4788"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Result</w:t>
            </w:r>
          </w:p>
        </w:tc>
      </w:tr>
      <w:tr w:rsidR="004914EC" w:rsidRPr="004914EC" w:rsidTr="00DA450A">
        <w:tc>
          <w:tcPr>
            <w:tcW w:w="4788"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MRI Spine (Plain + Contrast)</w:t>
            </w:r>
          </w:p>
        </w:tc>
        <w:tc>
          <w:tcPr>
            <w:tcW w:w="4788"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 xml:space="preserve">Longitudinal extensive transverse myelitis with hyperintensities noted involving more than two thirds the cross section of spinal cord extending from </w:t>
            </w:r>
            <w:proofErr w:type="spellStart"/>
            <w:r w:rsidRPr="004914EC">
              <w:rPr>
                <w:rFonts w:ascii="Arial" w:hAnsi="Arial" w:cs="Arial"/>
              </w:rPr>
              <w:t>cervicomedullar</w:t>
            </w:r>
            <w:proofErr w:type="spellEnd"/>
            <w:r w:rsidRPr="004914EC">
              <w:rPr>
                <w:rFonts w:ascii="Arial" w:hAnsi="Arial" w:cs="Arial"/>
              </w:rPr>
              <w:t xml:space="preserve"> junction </w:t>
            </w:r>
            <w:proofErr w:type="spellStart"/>
            <w:r w:rsidRPr="004914EC">
              <w:rPr>
                <w:rFonts w:ascii="Arial" w:hAnsi="Arial" w:cs="Arial"/>
              </w:rPr>
              <w:t>upto</w:t>
            </w:r>
            <w:proofErr w:type="spellEnd"/>
            <w:r w:rsidRPr="004914EC">
              <w:rPr>
                <w:rFonts w:ascii="Arial" w:hAnsi="Arial" w:cs="Arial"/>
              </w:rPr>
              <w:t xml:space="preserve"> conus medullaris with no restriction on DWI, no enhancement post contrast study</w:t>
            </w:r>
          </w:p>
        </w:tc>
      </w:tr>
      <w:tr w:rsidR="004914EC" w:rsidRPr="004914EC" w:rsidTr="00DA450A">
        <w:tc>
          <w:tcPr>
            <w:tcW w:w="4788"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 xml:space="preserve">MRI </w:t>
            </w:r>
            <w:proofErr w:type="gramStart"/>
            <w:r w:rsidRPr="004914EC">
              <w:rPr>
                <w:rFonts w:ascii="Arial" w:hAnsi="Arial" w:cs="Arial"/>
              </w:rPr>
              <w:t>Brain(</w:t>
            </w:r>
            <w:proofErr w:type="gramEnd"/>
            <w:r w:rsidRPr="004914EC">
              <w:rPr>
                <w:rFonts w:ascii="Arial" w:hAnsi="Arial" w:cs="Arial"/>
              </w:rPr>
              <w:t>Plain + Contrast)</w:t>
            </w:r>
          </w:p>
        </w:tc>
        <w:tc>
          <w:tcPr>
            <w:tcW w:w="4788"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Altered signal intensity in the form of T2/FLAIR hyperintensities noted in medulla oblongata</w:t>
            </w:r>
          </w:p>
        </w:tc>
      </w:tr>
      <w:tr w:rsidR="004914EC" w:rsidRPr="004914EC" w:rsidTr="00DA450A">
        <w:tc>
          <w:tcPr>
            <w:tcW w:w="4788"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Ultrasound Abdomen and Pelvis</w:t>
            </w:r>
          </w:p>
        </w:tc>
        <w:tc>
          <w:tcPr>
            <w:tcW w:w="4788"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No significant sonological abnormality detected</w:t>
            </w:r>
          </w:p>
        </w:tc>
      </w:tr>
      <w:tr w:rsidR="004914EC" w:rsidRPr="004914EC" w:rsidTr="00DA450A">
        <w:tc>
          <w:tcPr>
            <w:tcW w:w="4788"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2D echocardiography</w:t>
            </w:r>
          </w:p>
        </w:tc>
        <w:tc>
          <w:tcPr>
            <w:tcW w:w="4788" w:type="dxa"/>
          </w:tcPr>
          <w:p w:rsidR="004914EC" w:rsidRPr="004914EC" w:rsidRDefault="004914EC" w:rsidP="00DA450A">
            <w:pPr>
              <w:pStyle w:val="Normal1"/>
              <w:spacing w:line="360" w:lineRule="auto"/>
              <w:jc w:val="center"/>
              <w:rPr>
                <w:rFonts w:ascii="Arial" w:hAnsi="Arial" w:cs="Arial"/>
              </w:rPr>
            </w:pPr>
            <w:r w:rsidRPr="004914EC">
              <w:rPr>
                <w:rFonts w:ascii="Arial" w:hAnsi="Arial" w:cs="Arial"/>
              </w:rPr>
              <w:t xml:space="preserve">Normal values and chambers with normal biventricular function with no obvious shunt </w:t>
            </w:r>
            <w:proofErr w:type="spellStart"/>
            <w:r w:rsidRPr="004914EC">
              <w:rPr>
                <w:rFonts w:ascii="Arial" w:hAnsi="Arial" w:cs="Arial"/>
              </w:rPr>
              <w:t>leshions</w:t>
            </w:r>
            <w:proofErr w:type="spellEnd"/>
          </w:p>
        </w:tc>
      </w:tr>
    </w:tbl>
    <w:p w:rsidR="004914EC" w:rsidRPr="004914EC" w:rsidRDefault="004914EC" w:rsidP="004914EC">
      <w:pPr>
        <w:pStyle w:val="Normal1"/>
        <w:spacing w:line="360" w:lineRule="auto"/>
        <w:rPr>
          <w:rFonts w:ascii="Arial" w:hAnsi="Arial" w:cs="Arial"/>
        </w:rPr>
      </w:pPr>
    </w:p>
    <w:p w:rsidR="004914EC" w:rsidRPr="004914EC" w:rsidRDefault="004914EC" w:rsidP="004914EC">
      <w:pPr>
        <w:pStyle w:val="Normal1"/>
        <w:spacing w:line="360" w:lineRule="auto"/>
        <w:jc w:val="center"/>
        <w:rPr>
          <w:rFonts w:ascii="Arial" w:hAnsi="Arial" w:cs="Arial"/>
        </w:rPr>
      </w:pPr>
      <w:r w:rsidRPr="004914EC">
        <w:rPr>
          <w:rFonts w:ascii="Arial" w:hAnsi="Arial" w:cs="Arial"/>
        </w:rPr>
        <w:lastRenderedPageBreak/>
        <w:t xml:space="preserve">Figure </w:t>
      </w:r>
      <w:proofErr w:type="gramStart"/>
      <w:r w:rsidRPr="004914EC">
        <w:rPr>
          <w:rFonts w:ascii="Arial" w:hAnsi="Arial" w:cs="Arial"/>
        </w:rPr>
        <w:t>1 :</w:t>
      </w:r>
      <w:proofErr w:type="gramEnd"/>
      <w:r w:rsidRPr="004914EC">
        <w:rPr>
          <w:rFonts w:ascii="Arial" w:hAnsi="Arial" w:cs="Arial"/>
        </w:rPr>
        <w:t xml:space="preserve"> MRI Spine showing hyperintensities involving more than two thirds the cross section of spinal cord extending from </w:t>
      </w:r>
      <w:proofErr w:type="spellStart"/>
      <w:r w:rsidRPr="004914EC">
        <w:rPr>
          <w:rFonts w:ascii="Arial" w:hAnsi="Arial" w:cs="Arial"/>
        </w:rPr>
        <w:t>cervicomedullar</w:t>
      </w:r>
      <w:proofErr w:type="spellEnd"/>
      <w:r w:rsidRPr="004914EC">
        <w:rPr>
          <w:rFonts w:ascii="Arial" w:hAnsi="Arial" w:cs="Arial"/>
        </w:rPr>
        <w:t xml:space="preserve"> junction </w:t>
      </w:r>
      <w:proofErr w:type="spellStart"/>
      <w:r w:rsidRPr="004914EC">
        <w:rPr>
          <w:rFonts w:ascii="Arial" w:hAnsi="Arial" w:cs="Arial"/>
        </w:rPr>
        <w:t>upto</w:t>
      </w:r>
      <w:proofErr w:type="spellEnd"/>
      <w:r w:rsidRPr="004914EC">
        <w:rPr>
          <w:rFonts w:ascii="Arial" w:hAnsi="Arial" w:cs="Arial"/>
        </w:rPr>
        <w:t xml:space="preserve"> conus medullaris       </w:t>
      </w:r>
      <w:r w:rsidRPr="004914EC">
        <w:rPr>
          <w:rFonts w:ascii="Arial" w:hAnsi="Arial" w:cs="Arial"/>
          <w:noProof/>
          <w:lang w:val="en-US"/>
        </w:rPr>
        <w:drawing>
          <wp:inline distT="0" distB="0" distL="0" distR="0">
            <wp:extent cx="3111753" cy="3633746"/>
            <wp:effectExtent l="19050" t="0" r="0" b="0"/>
            <wp:docPr id="1" name="Picture 1" descr="C:\Users\91701\Downloads\Telegram Desktop\photo_2025-08-21_07-2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1701\Downloads\Telegram Desktop\photo_2025-08-21_07-20-00.jpg"/>
                    <pic:cNvPicPr>
                      <a:picLocks noChangeAspect="1" noChangeArrowheads="1"/>
                    </pic:cNvPicPr>
                  </pic:nvPicPr>
                  <pic:blipFill>
                    <a:blip r:embed="rId7" cstate="print"/>
                    <a:srcRect/>
                    <a:stretch>
                      <a:fillRect/>
                    </a:stretch>
                  </pic:blipFill>
                  <pic:spPr bwMode="auto">
                    <a:xfrm>
                      <a:off x="0" y="0"/>
                      <a:ext cx="3111369" cy="3633297"/>
                    </a:xfrm>
                    <a:prstGeom prst="rect">
                      <a:avLst/>
                    </a:prstGeom>
                    <a:noFill/>
                    <a:ln w="9525">
                      <a:noFill/>
                      <a:miter lim="800000"/>
                      <a:headEnd/>
                      <a:tailEnd/>
                    </a:ln>
                  </pic:spPr>
                </pic:pic>
              </a:graphicData>
            </a:graphic>
          </wp:inline>
        </w:drawing>
      </w:r>
    </w:p>
    <w:p w:rsidR="004914EC" w:rsidRPr="004914EC" w:rsidRDefault="004914EC">
      <w:pPr>
        <w:rPr>
          <w:rFonts w:ascii="Arial" w:hAnsi="Arial" w:cs="Arial"/>
        </w:rPr>
      </w:pPr>
    </w:p>
    <w:sectPr w:rsidR="004914EC" w:rsidRPr="004914EC" w:rsidSect="00143D3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BF4" w:rsidRDefault="00A75BF4">
      <w:pPr>
        <w:spacing w:after="0" w:line="240" w:lineRule="auto"/>
      </w:pPr>
      <w:r>
        <w:separator/>
      </w:r>
    </w:p>
  </w:endnote>
  <w:endnote w:type="continuationSeparator" w:id="0">
    <w:p w:rsidR="00A75BF4" w:rsidRDefault="00A75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312" w:rsidRDefault="00834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312" w:rsidRDefault="00834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03E" w:rsidRPr="00834312" w:rsidRDefault="008F203E" w:rsidP="00834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BF4" w:rsidRDefault="00A75BF4">
      <w:pPr>
        <w:spacing w:after="0" w:line="240" w:lineRule="auto"/>
      </w:pPr>
      <w:r>
        <w:separator/>
      </w:r>
    </w:p>
  </w:footnote>
  <w:footnote w:type="continuationSeparator" w:id="0">
    <w:p w:rsidR="00A75BF4" w:rsidRDefault="00A75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312" w:rsidRDefault="00A75B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473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312" w:rsidRDefault="00A75B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473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03E" w:rsidRPr="00296529" w:rsidRDefault="00A75BF4" w:rsidP="00296529">
    <w:pPr>
      <w:ind w:left="2160"/>
      <w:jc w:val="center"/>
      <w:rPr>
        <w:rFonts w:ascii="Times New Roman" w:eastAsia="Calibri" w:hAnsi="Times New Roman"/>
        <w:i/>
        <w:sz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473437"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rsidR="008F203E" w:rsidRPr="00296529" w:rsidRDefault="004162AC" w:rsidP="00296529">
    <w:pPr>
      <w:ind w:left="4320"/>
      <w:rPr>
        <w:rFonts w:ascii="Times New Roman" w:eastAsia="Calibri" w:hAnsi="Times New Roman"/>
        <w:i/>
        <w:sz w:val="18"/>
      </w:rPr>
    </w:pPr>
    <w:r>
      <w:rPr>
        <w:rFonts w:ascii="Times New Roman" w:eastAsia="Calibri" w:hAnsi="Times New Roman"/>
        <w:i/>
        <w:sz w:val="18"/>
      </w:rPr>
      <w:t>.</w:t>
    </w:r>
  </w:p>
  <w:p w:rsidR="008F203E" w:rsidRPr="00296529" w:rsidRDefault="004162AC" w:rsidP="00296529">
    <w:pPr>
      <w:jc w:val="center"/>
      <w:rPr>
        <w:rFonts w:ascii="Times New Roman" w:eastAsia="Calibri" w:hAnsi="Times New Roman"/>
        <w:i/>
        <w:sz w:val="18"/>
      </w:rPr>
    </w:pPr>
    <w:r>
      <w:rPr>
        <w:rFonts w:ascii="Times New Roman" w:eastAsia="Calibri" w:hAnsi="Times New Roman"/>
        <w:i/>
        <w:sz w:val="18"/>
      </w:rPr>
      <w:t>.</w:t>
    </w:r>
  </w:p>
  <w:p w:rsidR="008F203E" w:rsidRPr="00296529" w:rsidRDefault="004162AC" w:rsidP="00296529">
    <w:pPr>
      <w:jc w:val="center"/>
      <w:rPr>
        <w:rFonts w:ascii="Times New Roman" w:eastAsia="Calibri" w:hAnsi="Times New Roman"/>
        <w:b/>
        <w:i/>
        <w:sz w:val="32"/>
      </w:rPr>
    </w:pPr>
    <w:r>
      <w:rPr>
        <w:rFonts w:ascii="Times New Roman" w:eastAsia="Calibri" w:hAnsi="Times New Roman"/>
        <w:b/>
        <w:i/>
        <w:sz w:val="32"/>
      </w:rPr>
      <w:t>.</w:t>
    </w:r>
  </w:p>
  <w:p w:rsidR="008F203E" w:rsidRDefault="008F203E" w:rsidP="00296529">
    <w:pPr>
      <w:jc w:val="center"/>
      <w:rPr>
        <w:rFonts w:ascii="Times New Roman" w:eastAsia="Calibri" w:hAnsi="Times New Roman"/>
        <w:i/>
        <w:sz w:val="18"/>
      </w:rPr>
    </w:pPr>
  </w:p>
  <w:p w:rsidR="008F203E" w:rsidRDefault="004162AC" w:rsidP="00296529">
    <w:pPr>
      <w:tabs>
        <w:tab w:val="left" w:pos="2145"/>
      </w:tabs>
      <w:rPr>
        <w:rFonts w:ascii="Times New Roman" w:eastAsia="Calibri" w:hAnsi="Times New Roman"/>
        <w:i/>
        <w:sz w:val="18"/>
      </w:rPr>
    </w:pPr>
    <w:r>
      <w:rPr>
        <w:rFonts w:ascii="Times New Roman" w:eastAsia="Calibri" w:hAnsi="Times New Roman"/>
        <w:i/>
        <w:sz w:val="18"/>
      </w:rPr>
      <w:tab/>
      <w:t>.</w:t>
    </w:r>
  </w:p>
  <w:p w:rsidR="008F203E" w:rsidRDefault="004162A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A39A4"/>
    <w:multiLevelType w:val="hybridMultilevel"/>
    <w:tmpl w:val="D6CCE240"/>
    <w:lvl w:ilvl="0" w:tplc="A4ACEF66">
      <w:start w:val="3"/>
      <w:numFmt w:val="bullet"/>
      <w:lvlText w:val="-"/>
      <w:lvlJc w:val="left"/>
      <w:pPr>
        <w:ind w:left="410" w:hanging="360"/>
      </w:pPr>
      <w:rPr>
        <w:rFonts w:ascii="Times New Roman" w:eastAsia="Calibri"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 w15:restartNumberingAfterBreak="0">
    <w:nsid w:val="76C42211"/>
    <w:multiLevelType w:val="multilevel"/>
    <w:tmpl w:val="19204C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cyNTAyNTY2NrEwNjNS0lEKTi0uzszPAykwrAUAdeiIXCwAAAA="/>
  </w:docVars>
  <w:rsids>
    <w:rsidRoot w:val="004914EC"/>
    <w:rsid w:val="000C21C0"/>
    <w:rsid w:val="00143D33"/>
    <w:rsid w:val="003100EF"/>
    <w:rsid w:val="00316294"/>
    <w:rsid w:val="00343B55"/>
    <w:rsid w:val="004162AC"/>
    <w:rsid w:val="004914EC"/>
    <w:rsid w:val="00587BAF"/>
    <w:rsid w:val="00714A59"/>
    <w:rsid w:val="00730FF0"/>
    <w:rsid w:val="00834312"/>
    <w:rsid w:val="008722E1"/>
    <w:rsid w:val="008B1002"/>
    <w:rsid w:val="008F203E"/>
    <w:rsid w:val="00A75BF4"/>
    <w:rsid w:val="00B96EFC"/>
    <w:rsid w:val="00C75B31"/>
    <w:rsid w:val="00CF73CB"/>
    <w:rsid w:val="00DE6C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6"/>
      </o:rules>
    </o:shapelayout>
  </w:shapeDefaults>
  <w:decimalSymbol w:val="."/>
  <w:listSeparator w:val=","/>
  <w14:docId w14:val="279267E0"/>
  <w15:docId w15:val="{AF91EA0C-B547-4878-9DD7-1AAFC9490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D33"/>
  </w:style>
  <w:style w:type="paragraph" w:styleId="Heading5">
    <w:name w:val="heading 5"/>
    <w:basedOn w:val="Normal"/>
    <w:link w:val="Heading5Char"/>
    <w:uiPriority w:val="9"/>
    <w:qFormat/>
    <w:rsid w:val="004914EC"/>
    <w:pPr>
      <w:spacing w:before="100" w:beforeAutospacing="1" w:after="100" w:afterAutospacing="1" w:line="240" w:lineRule="auto"/>
      <w:outlineLvl w:val="4"/>
    </w:pPr>
    <w:rPr>
      <w:rFonts w:ascii="Times New Roman" w:eastAsia="Times New Roman" w:hAnsi="Times New Roman" w:cs="Times New Roman"/>
      <w:b/>
      <w:bCs/>
      <w:sz w:val="20"/>
      <w:szCs w:val="2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914EC"/>
    <w:rPr>
      <w:rFonts w:ascii="Times New Roman" w:eastAsia="Times New Roman" w:hAnsi="Times New Roman" w:cs="Times New Roman"/>
      <w:b/>
      <w:bCs/>
      <w:sz w:val="20"/>
      <w:szCs w:val="20"/>
      <w:lang w:val="en-IN" w:eastAsia="en-IN"/>
    </w:rPr>
  </w:style>
  <w:style w:type="paragraph" w:customStyle="1" w:styleId="Normal1">
    <w:name w:val="Normal1"/>
    <w:rsid w:val="004914EC"/>
    <w:pPr>
      <w:spacing w:after="160" w:line="259" w:lineRule="auto"/>
    </w:pPr>
    <w:rPr>
      <w:rFonts w:ascii="Calibri" w:eastAsia="Calibri" w:hAnsi="Calibri" w:cs="Calibri"/>
      <w:lang w:val="en-IN"/>
    </w:rPr>
  </w:style>
  <w:style w:type="table" w:styleId="TableGrid">
    <w:name w:val="Table Grid"/>
    <w:basedOn w:val="TableNormal"/>
    <w:uiPriority w:val="59"/>
    <w:rsid w:val="004914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14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4EC"/>
    <w:rPr>
      <w:rFonts w:ascii="Tahoma" w:hAnsi="Tahoma" w:cs="Tahoma"/>
      <w:sz w:val="16"/>
      <w:szCs w:val="16"/>
    </w:rPr>
  </w:style>
  <w:style w:type="paragraph" w:customStyle="1" w:styleId="Author">
    <w:name w:val="Author"/>
    <w:basedOn w:val="Normal"/>
    <w:rsid w:val="004914EC"/>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4914EC"/>
    <w:pPr>
      <w:spacing w:after="240" w:line="240" w:lineRule="exact"/>
      <w:jc w:val="right"/>
    </w:pPr>
    <w:rPr>
      <w:rFonts w:ascii="Helvetica" w:eastAsia="Times New Roman" w:hAnsi="Helvetica" w:cs="Times New Roman"/>
      <w:sz w:val="20"/>
      <w:szCs w:val="20"/>
    </w:rPr>
  </w:style>
  <w:style w:type="paragraph" w:customStyle="1" w:styleId="Body">
    <w:name w:val="Body"/>
    <w:basedOn w:val="Normal"/>
    <w:rsid w:val="004914EC"/>
    <w:pPr>
      <w:spacing w:after="240" w:line="240" w:lineRule="auto"/>
      <w:jc w:val="both"/>
    </w:pPr>
    <w:rPr>
      <w:rFonts w:ascii="Helvetica" w:eastAsia="Times New Roman" w:hAnsi="Helvetica" w:cs="Times New Roman"/>
      <w:sz w:val="20"/>
      <w:szCs w:val="20"/>
    </w:rPr>
  </w:style>
  <w:style w:type="paragraph" w:customStyle="1" w:styleId="AbstHead">
    <w:name w:val="Abst Head"/>
    <w:basedOn w:val="Normal"/>
    <w:rsid w:val="004914EC"/>
    <w:pPr>
      <w:keepNext/>
      <w:spacing w:after="240" w:line="240" w:lineRule="auto"/>
    </w:pPr>
    <w:rPr>
      <w:rFonts w:ascii="Helvetica" w:eastAsia="Times New Roman" w:hAnsi="Helvetica" w:cs="Times New Roman"/>
      <w:b/>
      <w:caps/>
      <w:szCs w:val="20"/>
    </w:rPr>
  </w:style>
  <w:style w:type="paragraph" w:customStyle="1" w:styleId="Copyright">
    <w:name w:val="Copyright"/>
    <w:basedOn w:val="Normal"/>
    <w:rsid w:val="004914EC"/>
    <w:pPr>
      <w:spacing w:after="960" w:line="200" w:lineRule="exact"/>
    </w:pPr>
    <w:rPr>
      <w:rFonts w:ascii="Helvetica" w:eastAsia="Times New Roman" w:hAnsi="Helvetica" w:cs="Times New Roman"/>
      <w:sz w:val="16"/>
      <w:szCs w:val="20"/>
    </w:rPr>
  </w:style>
  <w:style w:type="paragraph" w:styleId="Footer">
    <w:name w:val="footer"/>
    <w:basedOn w:val="Normal"/>
    <w:link w:val="FooterChar"/>
    <w:rsid w:val="004914EC"/>
    <w:pPr>
      <w:tabs>
        <w:tab w:val="center" w:pos="4320"/>
        <w:tab w:val="right" w:pos="8640"/>
      </w:tabs>
      <w:spacing w:after="0" w:line="240" w:lineRule="auto"/>
    </w:pPr>
    <w:rPr>
      <w:rFonts w:ascii="Helvetica" w:eastAsia="Times New Roman" w:hAnsi="Helvetica" w:cs="Times New Roman"/>
      <w:sz w:val="20"/>
      <w:szCs w:val="20"/>
    </w:rPr>
  </w:style>
  <w:style w:type="character" w:customStyle="1" w:styleId="FooterChar">
    <w:name w:val="Footer Char"/>
    <w:basedOn w:val="DefaultParagraphFont"/>
    <w:link w:val="Footer"/>
    <w:rsid w:val="004914EC"/>
    <w:rPr>
      <w:rFonts w:ascii="Helvetica" w:eastAsia="Times New Roman" w:hAnsi="Helvetica" w:cs="Times New Roman"/>
      <w:sz w:val="20"/>
      <w:szCs w:val="20"/>
    </w:rPr>
  </w:style>
  <w:style w:type="paragraph" w:styleId="Header">
    <w:name w:val="header"/>
    <w:basedOn w:val="Normal"/>
    <w:link w:val="HeaderChar"/>
    <w:rsid w:val="004914EC"/>
    <w:pPr>
      <w:tabs>
        <w:tab w:val="center" w:pos="4320"/>
        <w:tab w:val="right" w:pos="8640"/>
      </w:tabs>
      <w:spacing w:after="0" w:line="240" w:lineRule="auto"/>
    </w:pPr>
    <w:rPr>
      <w:rFonts w:ascii="Helvetica" w:eastAsia="Times New Roman" w:hAnsi="Helvetica" w:cs="Times New Roman"/>
      <w:sz w:val="20"/>
      <w:szCs w:val="20"/>
    </w:rPr>
  </w:style>
  <w:style w:type="character" w:customStyle="1" w:styleId="HeaderChar">
    <w:name w:val="Header Char"/>
    <w:basedOn w:val="DefaultParagraphFont"/>
    <w:link w:val="Header"/>
    <w:rsid w:val="004914EC"/>
    <w:rPr>
      <w:rFonts w:ascii="Helvetica" w:eastAsia="Times New Roman" w:hAnsi="Helvetica" w:cs="Times New Roman"/>
      <w:sz w:val="20"/>
      <w:szCs w:val="20"/>
    </w:rPr>
  </w:style>
  <w:style w:type="paragraph" w:styleId="NormalWeb">
    <w:name w:val="Normal (Web)"/>
    <w:basedOn w:val="Normal"/>
    <w:uiPriority w:val="99"/>
    <w:semiHidden/>
    <w:unhideWhenUsed/>
    <w:rsid w:val="004914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14EC"/>
    <w:rPr>
      <w:b/>
      <w:bCs/>
    </w:rPr>
  </w:style>
  <w:style w:type="character" w:styleId="LineNumber">
    <w:name w:val="line number"/>
    <w:basedOn w:val="DefaultParagraphFont"/>
    <w:uiPriority w:val="99"/>
    <w:semiHidden/>
    <w:unhideWhenUsed/>
    <w:rsid w:val="004914EC"/>
  </w:style>
  <w:style w:type="character" w:styleId="Hyperlink">
    <w:name w:val="Hyperlink"/>
    <w:basedOn w:val="DefaultParagraphFont"/>
    <w:uiPriority w:val="99"/>
    <w:unhideWhenUsed/>
    <w:rsid w:val="004914EC"/>
    <w:rPr>
      <w:color w:val="0000FF"/>
      <w:u w:val="single"/>
    </w:rPr>
  </w:style>
  <w:style w:type="character" w:customStyle="1" w:styleId="mat-subheader">
    <w:name w:val="mat-subheader"/>
    <w:basedOn w:val="DefaultParagraphFont"/>
    <w:rsid w:val="004914EC"/>
  </w:style>
  <w:style w:type="character" w:customStyle="1" w:styleId="UnresolvedMention1">
    <w:name w:val="Unresolved Mention1"/>
    <w:basedOn w:val="DefaultParagraphFont"/>
    <w:uiPriority w:val="99"/>
    <w:semiHidden/>
    <w:unhideWhenUsed/>
    <w:rsid w:val="008B1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555326">
      <w:bodyDiv w:val="1"/>
      <w:marLeft w:val="0"/>
      <w:marRight w:val="0"/>
      <w:marTop w:val="0"/>
      <w:marBottom w:val="0"/>
      <w:divBdr>
        <w:top w:val="none" w:sz="0" w:space="0" w:color="auto"/>
        <w:left w:val="none" w:sz="0" w:space="0" w:color="auto"/>
        <w:bottom w:val="none" w:sz="0" w:space="0" w:color="auto"/>
        <w:right w:val="none" w:sz="0" w:space="0" w:color="auto"/>
      </w:divBdr>
      <w:divsChild>
        <w:div w:id="1518732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10</Pages>
  <Words>2549</Words>
  <Characters>14531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91701</dc:creator>
  <cp:lastModifiedBy>SDI 1089</cp:lastModifiedBy>
  <cp:revision>9</cp:revision>
  <dcterms:created xsi:type="dcterms:W3CDTF">2025-10-22T13:45:00Z</dcterms:created>
  <dcterms:modified xsi:type="dcterms:W3CDTF">2025-11-13T10:54:00Z</dcterms:modified>
</cp:coreProperties>
</file>