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751" w:rsidRDefault="008E1F6A">
      <w:pPr>
        <w:pStyle w:val="ds-markdown-paragraph"/>
        <w:shd w:val="clear" w:color="auto" w:fill="FFFFFF"/>
        <w:spacing w:before="240" w:beforeAutospacing="0" w:after="240" w:afterAutospacing="0" w:line="360" w:lineRule="auto"/>
        <w:jc w:val="both"/>
        <w:rPr>
          <w:rStyle w:val="Strong"/>
          <w:color w:val="0F1115"/>
          <w:sz w:val="36"/>
        </w:rPr>
      </w:pPr>
      <w:r>
        <w:rPr>
          <w:rStyle w:val="Strong"/>
          <w:color w:val="0F1115"/>
          <w:sz w:val="36"/>
        </w:rPr>
        <w:t xml:space="preserve">Contribution of Vegetable Gardens in Combating Acute Malnutrition among Children Aged 6-59 Months in </w:t>
      </w:r>
      <w:proofErr w:type="spellStart"/>
      <w:r w:rsidR="00A00FF5">
        <w:rPr>
          <w:rStyle w:val="Strong"/>
          <w:color w:val="0F1115"/>
          <w:sz w:val="36"/>
        </w:rPr>
        <w:t>Nyabikere</w:t>
      </w:r>
      <w:proofErr w:type="spellEnd"/>
      <w:r w:rsidR="00A00FF5">
        <w:rPr>
          <w:rStyle w:val="Strong"/>
          <w:color w:val="0F1115"/>
          <w:sz w:val="36"/>
        </w:rPr>
        <w:t xml:space="preserve"> Commune, </w:t>
      </w:r>
      <w:proofErr w:type="spellStart"/>
      <w:r w:rsidR="00A00FF5">
        <w:rPr>
          <w:rStyle w:val="Strong"/>
          <w:color w:val="0F1115"/>
          <w:sz w:val="36"/>
        </w:rPr>
        <w:t>Karusi</w:t>
      </w:r>
      <w:proofErr w:type="spellEnd"/>
      <w:r w:rsidR="00A00FF5">
        <w:rPr>
          <w:rStyle w:val="Strong"/>
          <w:color w:val="0F1115"/>
          <w:sz w:val="36"/>
        </w:rPr>
        <w:t xml:space="preserve"> Province.</w:t>
      </w:r>
    </w:p>
    <w:p w:rsidR="00D45751" w:rsidRDefault="008E1F6A">
      <w:pPr>
        <w:pStyle w:val="ds-markdown-paragraph"/>
        <w:shd w:val="clear" w:color="auto" w:fill="FFFFFF"/>
        <w:spacing w:before="240" w:beforeAutospacing="0" w:after="240" w:afterAutospacing="0" w:line="360" w:lineRule="auto"/>
        <w:jc w:val="both"/>
        <w:rPr>
          <w:color w:val="0F1115"/>
        </w:rPr>
      </w:pPr>
      <w:r>
        <w:rPr>
          <w:rStyle w:val="Strong"/>
          <w:color w:val="0F1115"/>
        </w:rPr>
        <w:t>ABSTRACT</w:t>
      </w:r>
    </w:p>
    <w:p w:rsidR="00B626C1" w:rsidRDefault="00B626C1">
      <w:pPr>
        <w:pStyle w:val="ds-markdown-paragraph"/>
        <w:shd w:val="clear" w:color="auto" w:fill="FFFFFF"/>
        <w:spacing w:before="240" w:beforeAutospacing="0" w:after="240" w:afterAutospacing="0" w:line="360" w:lineRule="auto"/>
        <w:jc w:val="both"/>
        <w:rPr>
          <w:color w:val="0F1115"/>
        </w:rPr>
      </w:pPr>
      <w:r w:rsidRPr="00B626C1">
        <w:rPr>
          <w:b/>
          <w:color w:val="0F1115"/>
        </w:rPr>
        <w:t>Introduction:</w:t>
      </w:r>
      <w:r>
        <w:rPr>
          <w:color w:val="0F1115"/>
        </w:rPr>
        <w:t xml:space="preserve"> </w:t>
      </w:r>
      <w:r w:rsidR="008E1F6A">
        <w:rPr>
          <w:color w:val="0F1115"/>
        </w:rPr>
        <w:t xml:space="preserve">This study aimed to assess the contribution of vegetable gardens to combating acute malnutrition in children aged 6-59 months in Nyabikere commune, Karusi province, Burundi. A cross-sectional study with descriptive and analytical components was conducted in Nyabikere commune, Karusi province, from July to September 2024. </w:t>
      </w:r>
    </w:p>
    <w:p w:rsidR="00B626C1" w:rsidRDefault="00B626C1">
      <w:pPr>
        <w:pStyle w:val="ds-markdown-paragraph"/>
        <w:shd w:val="clear" w:color="auto" w:fill="FFFFFF"/>
        <w:spacing w:before="240" w:beforeAutospacing="0" w:after="240" w:afterAutospacing="0" w:line="360" w:lineRule="auto"/>
        <w:jc w:val="both"/>
        <w:rPr>
          <w:color w:val="0F1115"/>
        </w:rPr>
      </w:pPr>
      <w:r w:rsidRPr="00B626C1">
        <w:rPr>
          <w:b/>
          <w:color w:val="0F1115"/>
        </w:rPr>
        <w:t>Methodology:</w:t>
      </w:r>
      <w:r>
        <w:rPr>
          <w:color w:val="0F1115"/>
        </w:rPr>
        <w:t xml:space="preserve"> </w:t>
      </w:r>
      <w:r w:rsidR="008E1F6A">
        <w:rPr>
          <w:color w:val="0F1115"/>
        </w:rPr>
        <w:t xml:space="preserve">A sample of 372 children from 372 households with children under five years was selected using systematic random sampling, comprising 186 households with vegetable gardens and 186 without. Data were collected through household surveys, anthropometric measurements (weight, height, MUAC), and interviews with local stakeholders. Nutritional status was assessed using weight-for-age and weight-for-height Z-scores according to WHO standards. Data were analyzed using descriptive statistics and comparative analysis. </w:t>
      </w:r>
      <w:r w:rsidR="00986FAC" w:rsidRPr="00986FAC">
        <w:rPr>
          <w:color w:val="0F1115"/>
          <w:shd w:val="clear" w:color="auto" w:fill="FFFFFF"/>
        </w:rPr>
        <w:t>The results of the Chi-square test revealed a statistically significant association between household vegetable gardening and the nutritional status of children.</w:t>
      </w:r>
      <w:r w:rsidR="00986FAC">
        <w:rPr>
          <w:rFonts w:ascii="Segoe UI" w:hAnsi="Segoe UI" w:cs="Segoe UI"/>
          <w:color w:val="0F1115"/>
          <w:shd w:val="clear" w:color="auto" w:fill="FFFFFF"/>
        </w:rPr>
        <w:t> </w:t>
      </w:r>
      <w:r w:rsidR="008E1F6A">
        <w:rPr>
          <w:color w:val="0F1115"/>
        </w:rPr>
        <w:t xml:space="preserve"> </w:t>
      </w:r>
    </w:p>
    <w:p w:rsidR="00D45751" w:rsidRDefault="00B626C1">
      <w:pPr>
        <w:pStyle w:val="ds-markdown-paragraph"/>
        <w:shd w:val="clear" w:color="auto" w:fill="FFFFFF"/>
        <w:spacing w:before="240" w:beforeAutospacing="0" w:after="240" w:afterAutospacing="0" w:line="360" w:lineRule="auto"/>
        <w:jc w:val="both"/>
        <w:rPr>
          <w:color w:val="0F1115"/>
        </w:rPr>
      </w:pPr>
      <w:r w:rsidRPr="00B626C1">
        <w:rPr>
          <w:b/>
          <w:color w:val="0F1115"/>
        </w:rPr>
        <w:t>Results and conclusion:</w:t>
      </w:r>
      <w:r>
        <w:rPr>
          <w:color w:val="0F1115"/>
        </w:rPr>
        <w:t xml:space="preserve"> </w:t>
      </w:r>
      <w:r w:rsidR="008E1F6A">
        <w:rPr>
          <w:color w:val="0F1115"/>
        </w:rPr>
        <w:t>The prevalence of acute malnutrition was 4% among children from garde</w:t>
      </w:r>
      <w:r>
        <w:rPr>
          <w:color w:val="0F1115"/>
        </w:rPr>
        <w:t>ning households compared to 5.4</w:t>
      </w:r>
      <w:r w:rsidR="008E1F6A">
        <w:rPr>
          <w:color w:val="0F1115"/>
        </w:rPr>
        <w:t>% in non-gardening households. Similarly, underweight</w:t>
      </w:r>
      <w:r>
        <w:rPr>
          <w:color w:val="0F1115"/>
        </w:rPr>
        <w:t xml:space="preserve"> prevalence was 32% versus 38.7</w:t>
      </w:r>
      <w:r w:rsidR="008E1F6A">
        <w:rPr>
          <w:color w:val="0F1115"/>
        </w:rPr>
        <w:t>% respectively. Households with access to other sources of fruits and vegetables showed a maln</w:t>
      </w:r>
      <w:r>
        <w:rPr>
          <w:color w:val="0F1115"/>
        </w:rPr>
        <w:t xml:space="preserve">utrition </w:t>
      </w:r>
      <w:r w:rsidR="00364516" w:rsidRPr="00364516">
        <w:t>percentage</w:t>
      </w:r>
      <w:r>
        <w:rPr>
          <w:color w:val="0F1115"/>
        </w:rPr>
        <w:t xml:space="preserve"> of 3.4%, compared to 27.8</w:t>
      </w:r>
      <w:r w:rsidR="008E1F6A">
        <w:rPr>
          <w:color w:val="0F1115"/>
        </w:rPr>
        <w:t>% among those wi</w:t>
      </w:r>
      <w:r>
        <w:rPr>
          <w:color w:val="0F1115"/>
        </w:rPr>
        <w:t>thout access. Furthermore, 87.4</w:t>
      </w:r>
      <w:r w:rsidR="008E1F6A">
        <w:rPr>
          <w:color w:val="0F1115"/>
        </w:rPr>
        <w:t>% of households reported receiving information or training on gardening and nutrition. Vegetable gardens significantly contribute to reducing acute malnutrition among children in Nyabikere commune by improving dietary diversity and food security. Promoting vegetable gardening, coupled with nutritional education, represents a sustainable strategy for combating child malnutrition in rural Burundi.</w:t>
      </w:r>
    </w:p>
    <w:p w:rsidR="00D45751" w:rsidRDefault="008E1F6A">
      <w:pPr>
        <w:pStyle w:val="ds-markdown-paragraph"/>
        <w:shd w:val="clear" w:color="auto" w:fill="FFFFFF"/>
        <w:spacing w:before="240" w:beforeAutospacing="0" w:after="240" w:afterAutospacing="0" w:line="360" w:lineRule="auto"/>
        <w:jc w:val="both"/>
        <w:rPr>
          <w:i/>
          <w:color w:val="0F1115"/>
        </w:rPr>
      </w:pPr>
      <w:r>
        <w:rPr>
          <w:rStyle w:val="Strong"/>
          <w:i/>
          <w:color w:val="0F1115"/>
        </w:rPr>
        <w:t>Keywords:</w:t>
      </w:r>
      <w:r>
        <w:rPr>
          <w:i/>
          <w:color w:val="0F1115"/>
        </w:rPr>
        <w:t> Nyabikere commune, acute malnutrition, children under five, vegetable gardens, dietary diversity.</w:t>
      </w:r>
    </w:p>
    <w:p w:rsidR="00D45751" w:rsidRPr="007E45B3" w:rsidRDefault="00D45751">
      <w:pPr>
        <w:spacing w:before="480" w:after="480" w:line="360" w:lineRule="auto"/>
        <w:jc w:val="both"/>
        <w:rPr>
          <w:rFonts w:ascii="Times New Roman" w:hAnsi="Times New Roman" w:cs="Times New Roman"/>
          <w:sz w:val="24"/>
          <w:szCs w:val="24"/>
          <w:lang w:val="en-US"/>
        </w:rPr>
      </w:pPr>
    </w:p>
    <w:p w:rsidR="00C75D98" w:rsidRDefault="00C75D98">
      <w:pPr>
        <w:rPr>
          <w:rStyle w:val="Strong"/>
          <w:rFonts w:ascii="Times New Roman" w:eastAsia="Times New Roman" w:hAnsi="Times New Roman" w:cs="Times New Roman"/>
          <w:color w:val="0F1115"/>
          <w:sz w:val="24"/>
          <w:szCs w:val="24"/>
          <w:lang w:val="en-US"/>
        </w:rPr>
      </w:pPr>
      <w:r w:rsidRPr="00A00FF5">
        <w:rPr>
          <w:rStyle w:val="Strong"/>
          <w:b w:val="0"/>
          <w:bCs w:val="0"/>
          <w:color w:val="0F1115"/>
          <w:sz w:val="24"/>
          <w:szCs w:val="24"/>
          <w:lang w:val="en-US"/>
        </w:rPr>
        <w:br w:type="page"/>
      </w:r>
    </w:p>
    <w:p w:rsidR="00D45751" w:rsidRDefault="008E1F6A">
      <w:pPr>
        <w:pStyle w:val="Heading3"/>
        <w:shd w:val="clear" w:color="auto" w:fill="FFFFFF"/>
        <w:spacing w:before="480" w:beforeAutospacing="0" w:after="240" w:afterAutospacing="0" w:line="360" w:lineRule="auto"/>
        <w:jc w:val="both"/>
        <w:rPr>
          <w:color w:val="0F1115"/>
          <w:sz w:val="24"/>
          <w:szCs w:val="24"/>
        </w:rPr>
      </w:pPr>
      <w:r>
        <w:rPr>
          <w:rStyle w:val="Strong"/>
          <w:b/>
          <w:bCs/>
          <w:color w:val="0F1115"/>
          <w:sz w:val="24"/>
          <w:szCs w:val="24"/>
        </w:rPr>
        <w:lastRenderedPageBreak/>
        <w:t>1. INTRODUCTION</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Child malnutrition remains a major public health challenge in developing countries. According to the World Health Organization (2020), nearly 149 million children under five worldwide suffer from stunting, and approximately 45 million children are affected by wasting. These conditions often result from inadequate nutrition and poverty, exacerbated by socio-economic and environmental factors [1].</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In Burundi, malnutrition significantly contributes to morbidity and mortality among children under five. The Demographic and Health Survey (EDSB-III, 2016-2017) estimates that more than half (56%) of children has a height too small for their age, indicating chronic malnutrition. Karusi province alone accounts for 62.8% of stunted children. Furthermore, 5% of children in this age group are wasted or too thin for their height, indicating acute malnutrition, with Karusi province at 8.1% [2].</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Vegetable gardens represent an innovative approach to improving food security and combating malnutrition. By enabling families to grow vegetables and fruits, these gardens help increase plant-based food and nutrient intake, which is crucial for the physiological and cognitive development of young children. Gardening can strengthen family autonomy and promote healthy eating behaviors [3].</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In this context, vegetable gardens emerge as a promising strategy to combat malnutrition. By providing direct access to fresh, nutritious foods, vegetable gardens can improve children's diets while strengthening household livelihoods. Many studies have shown that growing vegetables and fruits at home can diversify children's diets, promote healthy eating habits, and strengthen community resilience to economic and climate fluctuations [4].</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Karusi province, the study area, is threatened by all forms of acute and chronic malnutrition (8.1% for acute malnutrition and 62.8% for chronic malnutrition)</w:t>
      </w:r>
      <w:r w:rsidR="00B15EEE">
        <w:rPr>
          <w:color w:val="0F1115"/>
        </w:rPr>
        <w:t xml:space="preserve"> according to the statistics of the Provincial Health Office</w:t>
      </w:r>
      <w:r>
        <w:rPr>
          <w:color w:val="0F1115"/>
        </w:rPr>
        <w:t>. The most affected age group is children under five years, suffering from underweight, stunting, and wasting when considering their weight, age, and height. This study on the contribution of vegetable gardens was initiated to find a sustainable solution to combat this malnutrition in Nyabikere commune where several cases have been reported [5].</w:t>
      </w:r>
    </w:p>
    <w:p w:rsidR="00D45751" w:rsidRDefault="008E1F6A">
      <w:pPr>
        <w:spacing w:line="360" w:lineRule="auto"/>
        <w:jc w:val="both"/>
        <w:rPr>
          <w:rStyle w:val="Strong"/>
          <w:rFonts w:ascii="Times New Roman" w:eastAsia="Times New Roman" w:hAnsi="Times New Roman" w:cs="Times New Roman"/>
          <w:color w:val="0F1115"/>
          <w:sz w:val="24"/>
          <w:szCs w:val="24"/>
          <w:lang w:val="en-US"/>
        </w:rPr>
      </w:pPr>
      <w:r w:rsidRPr="007E45B3">
        <w:rPr>
          <w:rStyle w:val="Strong"/>
          <w:rFonts w:ascii="Times New Roman" w:hAnsi="Times New Roman" w:cs="Times New Roman"/>
          <w:b w:val="0"/>
          <w:bCs w:val="0"/>
          <w:color w:val="0F1115"/>
          <w:sz w:val="24"/>
          <w:szCs w:val="24"/>
          <w:lang w:val="en-US"/>
        </w:rPr>
        <w:br w:type="page"/>
      </w:r>
    </w:p>
    <w:p w:rsidR="00D45751" w:rsidRDefault="008E1F6A">
      <w:pPr>
        <w:pStyle w:val="Heading3"/>
        <w:shd w:val="clear" w:color="auto" w:fill="FFFFFF"/>
        <w:spacing w:before="480" w:beforeAutospacing="0" w:after="240" w:afterAutospacing="0" w:line="360" w:lineRule="auto"/>
        <w:jc w:val="both"/>
        <w:rPr>
          <w:color w:val="0F1115"/>
          <w:sz w:val="24"/>
          <w:szCs w:val="24"/>
        </w:rPr>
      </w:pPr>
      <w:r>
        <w:rPr>
          <w:rStyle w:val="Strong"/>
          <w:b/>
          <w:bCs/>
          <w:color w:val="0F1115"/>
          <w:sz w:val="24"/>
          <w:szCs w:val="24"/>
        </w:rPr>
        <w:lastRenderedPageBreak/>
        <w:t>2. MATERIAL AND METHODS</w:t>
      </w:r>
    </w:p>
    <w:p w:rsidR="00D45751" w:rsidRDefault="008E1F6A">
      <w:pPr>
        <w:pStyle w:val="Heading4"/>
        <w:shd w:val="clear" w:color="auto" w:fill="FFFFFF"/>
        <w:spacing w:before="240" w:beforeAutospacing="0" w:after="240" w:afterAutospacing="0" w:line="360" w:lineRule="auto"/>
        <w:jc w:val="both"/>
        <w:rPr>
          <w:color w:val="0F1115"/>
        </w:rPr>
      </w:pPr>
      <w:r>
        <w:rPr>
          <w:rStyle w:val="Strong"/>
          <w:b/>
          <w:bCs/>
          <w:color w:val="0F1115"/>
        </w:rPr>
        <w:t>2.1. Study Design and Location</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A cross-sectional study was conducted in Nyabikere commune, Karusi province, Burundi, from July to September 2024. Nyabikere is a rural commune characterized by mountainous relief with altitudes ranging between 1,500 and 2,000 meters. It features typical green panoramic landscapes of the region. The climate is temperate, marked by rainy and dry periods, thus favoring agriculture, which is one of the main economic activities of its inhabitants [6].</w:t>
      </w:r>
    </w:p>
    <w:p w:rsidR="00D45751" w:rsidRDefault="008E1F6A">
      <w:pPr>
        <w:pStyle w:val="Heading4"/>
        <w:shd w:val="clear" w:color="auto" w:fill="FFFFFF"/>
        <w:spacing w:before="240" w:beforeAutospacing="0" w:after="240" w:afterAutospacing="0" w:line="360" w:lineRule="auto"/>
        <w:jc w:val="both"/>
        <w:rPr>
          <w:color w:val="0F1115"/>
        </w:rPr>
      </w:pPr>
      <w:r>
        <w:rPr>
          <w:rStyle w:val="Strong"/>
          <w:b/>
          <w:bCs/>
          <w:color w:val="0F1115"/>
        </w:rPr>
        <w:t>2.2. Study Population and Sampling</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The study population consisted of children aged 6-59 months residing in Nyabikere commune (13,078 children according to Karusi Provincial Health Office data from DHIS2).</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The sample size was calculated using the standard formula for finite populations</w:t>
      </w:r>
      <w:r w:rsidR="00726747">
        <w:rPr>
          <w:color w:val="0F1115"/>
        </w:rPr>
        <w:t xml:space="preserve"> [7</w:t>
      </w:r>
      <w:proofErr w:type="gramStart"/>
      <w:r w:rsidR="00726747">
        <w:rPr>
          <w:color w:val="0F1115"/>
        </w:rPr>
        <w:t xml:space="preserve">] </w:t>
      </w:r>
      <w:r>
        <w:rPr>
          <w:color w:val="0F1115"/>
        </w:rPr>
        <w:t>:</w:t>
      </w:r>
      <w:proofErr w:type="gramEnd"/>
    </w:p>
    <w:p w:rsidR="00D45751" w:rsidRDefault="008E1F6A">
      <w:pPr>
        <w:widowControl w:val="0"/>
        <w:autoSpaceDE w:val="0"/>
        <w:autoSpaceDN w:val="0"/>
        <w:spacing w:after="0" w:line="360" w:lineRule="auto"/>
        <w:jc w:val="both"/>
        <w:rPr>
          <w:rFonts w:ascii="Times New Roman" w:eastAsia="Times New Roman" w:hAnsi="Times New Roman" w:cs="Times New Roman"/>
          <w:b/>
          <w:sz w:val="24"/>
          <w:szCs w:val="24"/>
          <w:lang w:val="en-US" w:eastAsia="fr-FR"/>
        </w:rPr>
      </w:pPr>
      <m:oMath>
        <m:r>
          <m:rPr>
            <m:sty m:val="bi"/>
          </m:rPr>
          <w:rPr>
            <w:rFonts w:ascii="Cambria Math" w:eastAsia="Times New Roman" w:hAnsi="Cambria Math" w:cs="Times New Roman"/>
            <w:sz w:val="24"/>
            <w:szCs w:val="24"/>
            <w:lang w:eastAsia="fr-FR"/>
          </w:rPr>
          <m:t>n</m:t>
        </m:r>
        <m:r>
          <m:rPr>
            <m:sty m:val="bi"/>
          </m:rPr>
          <w:rPr>
            <w:rFonts w:ascii="Cambria Math" w:eastAsia="Times New Roman" w:hAnsi="Cambria Math" w:cs="Times New Roman"/>
            <w:sz w:val="24"/>
            <w:szCs w:val="24"/>
            <w:lang w:val="en-US" w:eastAsia="fr-FR"/>
          </w:rPr>
          <m:t xml:space="preserve">= </m:t>
        </m:r>
        <m:f>
          <m:fPr>
            <m:ctrlPr>
              <w:rPr>
                <w:rFonts w:ascii="Cambria Math" w:eastAsia="Times New Roman" w:hAnsi="Cambria Math" w:cs="Times New Roman"/>
                <w:b/>
                <w:i/>
                <w:sz w:val="24"/>
                <w:szCs w:val="24"/>
              </w:rPr>
            </m:ctrlPr>
          </m:fPr>
          <m:num>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lang w:eastAsia="fr-FR"/>
                  </w:rPr>
                  <m:t>Z</m:t>
                </m:r>
              </m:e>
              <m:sup>
                <m:r>
                  <m:rPr>
                    <m:sty m:val="bi"/>
                  </m:rPr>
                  <w:rPr>
                    <w:rFonts w:ascii="Cambria Math" w:eastAsia="Times New Roman" w:hAnsi="Cambria Math" w:cs="Times New Roman"/>
                    <w:sz w:val="24"/>
                    <w:szCs w:val="24"/>
                    <w:lang w:eastAsia="fr-FR"/>
                  </w:rPr>
                  <m:t>2</m:t>
                </m:r>
              </m:sup>
            </m:sSup>
            <m:r>
              <m:rPr>
                <m:sty m:val="bi"/>
              </m:rPr>
              <w:rPr>
                <w:rFonts w:ascii="Cambria Math" w:eastAsia="Times New Roman" w:hAnsi="Cambria Math" w:cs="Times New Roman"/>
                <w:sz w:val="24"/>
                <w:szCs w:val="24"/>
                <w:lang w:val="en-US" w:eastAsia="fr-FR"/>
              </w:rPr>
              <m:t xml:space="preserve">. </m:t>
            </m:r>
            <m:r>
              <m:rPr>
                <m:sty m:val="bi"/>
              </m:rPr>
              <w:rPr>
                <w:rFonts w:ascii="Cambria Math" w:eastAsia="Times New Roman" w:hAnsi="Cambria Math" w:cs="Times New Roman"/>
                <w:sz w:val="24"/>
                <w:szCs w:val="24"/>
                <w:lang w:eastAsia="fr-FR"/>
              </w:rPr>
              <m:t>p</m:t>
            </m:r>
            <m:r>
              <m:rPr>
                <m:sty m:val="bi"/>
              </m:rPr>
              <w:rPr>
                <w:rFonts w:ascii="Cambria Math" w:eastAsia="Times New Roman" w:hAnsi="Cambria Math" w:cs="Times New Roman"/>
                <w:sz w:val="24"/>
                <w:szCs w:val="24"/>
                <w:lang w:val="en-US" w:eastAsia="fr-FR"/>
              </w:rPr>
              <m:t>. (</m:t>
            </m:r>
            <m:r>
              <m:rPr>
                <m:sty m:val="bi"/>
              </m:rPr>
              <w:rPr>
                <w:rFonts w:ascii="Cambria Math" w:eastAsia="Times New Roman" w:hAnsi="Cambria Math" w:cs="Times New Roman"/>
                <w:sz w:val="24"/>
                <w:szCs w:val="24"/>
                <w:lang w:eastAsia="fr-FR"/>
              </w:rPr>
              <m:t>1</m:t>
            </m:r>
            <m:r>
              <m:rPr>
                <m:sty m:val="bi"/>
              </m:rPr>
              <w:rPr>
                <w:rFonts w:ascii="Cambria Math" w:eastAsia="Times New Roman" w:hAnsi="Cambria Math" w:cs="Times New Roman"/>
                <w:sz w:val="24"/>
                <w:szCs w:val="24"/>
                <w:lang w:val="en-US" w:eastAsia="fr-FR"/>
              </w:rPr>
              <m:t>-</m:t>
            </m:r>
            <m:r>
              <m:rPr>
                <m:sty m:val="bi"/>
              </m:rPr>
              <w:rPr>
                <w:rFonts w:ascii="Cambria Math" w:eastAsia="Times New Roman" w:hAnsi="Cambria Math" w:cs="Times New Roman"/>
                <w:sz w:val="24"/>
                <w:szCs w:val="24"/>
                <w:lang w:eastAsia="fr-FR"/>
              </w:rPr>
              <m:t>p</m:t>
            </m:r>
            <m:r>
              <m:rPr>
                <m:sty m:val="bi"/>
              </m:rPr>
              <w:rPr>
                <w:rFonts w:ascii="Cambria Math" w:eastAsia="Times New Roman" w:hAnsi="Cambria Math" w:cs="Times New Roman"/>
                <w:sz w:val="24"/>
                <w:szCs w:val="24"/>
                <w:lang w:val="en-US" w:eastAsia="fr-FR"/>
              </w:rPr>
              <m:t>)</m:t>
            </m:r>
          </m:num>
          <m:den>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lang w:eastAsia="fr-FR"/>
                  </w:rPr>
                  <m:t>e</m:t>
                </m:r>
              </m:e>
              <m:sup>
                <m:r>
                  <m:rPr>
                    <m:sty m:val="bi"/>
                  </m:rPr>
                  <w:rPr>
                    <w:rFonts w:ascii="Cambria Math" w:eastAsia="Times New Roman" w:hAnsi="Cambria Math" w:cs="Times New Roman"/>
                    <w:sz w:val="24"/>
                    <w:szCs w:val="24"/>
                    <w:lang w:eastAsia="fr-FR"/>
                  </w:rPr>
                  <m:t>2</m:t>
                </m:r>
              </m:sup>
            </m:sSup>
          </m:den>
        </m:f>
      </m:oMath>
      <w:r>
        <w:rPr>
          <w:rFonts w:ascii="Times New Roman" w:eastAsia="Times New Roman" w:hAnsi="Times New Roman" w:cs="Times New Roman"/>
          <w:b/>
          <w:sz w:val="24"/>
          <w:szCs w:val="24"/>
          <w:lang w:val="en-US" w:eastAsia="fr-FR"/>
        </w:rPr>
        <w:t xml:space="preserve"> </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Where: Z = 1.96 (95% confidence level), p = 0.5, e = 0.05 (margin of error)</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This yielded a sample size of 373 children. For practical purposes, a sample of 372 children from 372 households with children under five was selected, comprising 186 households with vegetable gardens and 186 without. The study population was selected by systematic random sampling with a sampling step of three.</w:t>
      </w:r>
    </w:p>
    <w:p w:rsidR="00D45751" w:rsidRDefault="008E1F6A">
      <w:pPr>
        <w:pStyle w:val="Heading4"/>
        <w:shd w:val="clear" w:color="auto" w:fill="FFFFFF"/>
        <w:spacing w:before="240" w:beforeAutospacing="0" w:after="240" w:afterAutospacing="0" w:line="360" w:lineRule="auto"/>
        <w:jc w:val="both"/>
        <w:rPr>
          <w:color w:val="0F1115"/>
        </w:rPr>
      </w:pPr>
      <w:r>
        <w:rPr>
          <w:rStyle w:val="Strong"/>
          <w:b/>
          <w:bCs/>
          <w:color w:val="0F1115"/>
        </w:rPr>
        <w:t>2.3. Data Collection Tools and Techniques</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Data were collected using a structured questionnaire that included:</w:t>
      </w:r>
    </w:p>
    <w:p w:rsidR="00D45751" w:rsidRDefault="008E1F6A">
      <w:pPr>
        <w:pStyle w:val="ds-markdown-paragraph"/>
        <w:numPr>
          <w:ilvl w:val="0"/>
          <w:numId w:val="1"/>
        </w:numPr>
        <w:shd w:val="clear" w:color="auto" w:fill="FFFFFF"/>
        <w:spacing w:after="0" w:afterAutospacing="0" w:line="360" w:lineRule="auto"/>
        <w:ind w:left="0"/>
        <w:jc w:val="both"/>
        <w:rPr>
          <w:color w:val="0F1115"/>
        </w:rPr>
      </w:pPr>
      <w:r>
        <w:rPr>
          <w:color w:val="0F1115"/>
        </w:rPr>
        <w:t>Socio-demographic characteristics</w:t>
      </w:r>
    </w:p>
    <w:p w:rsidR="00D45751" w:rsidRDefault="008E1F6A">
      <w:pPr>
        <w:pStyle w:val="ds-markdown-paragraph"/>
        <w:numPr>
          <w:ilvl w:val="0"/>
          <w:numId w:val="1"/>
        </w:numPr>
        <w:shd w:val="clear" w:color="auto" w:fill="FFFFFF"/>
        <w:spacing w:after="0" w:afterAutospacing="0" w:line="360" w:lineRule="auto"/>
        <w:ind w:left="0"/>
        <w:jc w:val="both"/>
        <w:rPr>
          <w:color w:val="0F1115"/>
        </w:rPr>
      </w:pPr>
      <w:r>
        <w:rPr>
          <w:color w:val="0F1115"/>
        </w:rPr>
        <w:t>Gardening practices and food consumption frequency</w:t>
      </w:r>
    </w:p>
    <w:p w:rsidR="00D45751" w:rsidRDefault="008E1F6A">
      <w:pPr>
        <w:pStyle w:val="ds-markdown-paragraph"/>
        <w:numPr>
          <w:ilvl w:val="0"/>
          <w:numId w:val="1"/>
        </w:numPr>
        <w:shd w:val="clear" w:color="auto" w:fill="FFFFFF"/>
        <w:spacing w:after="0" w:afterAutospacing="0" w:line="360" w:lineRule="auto"/>
        <w:ind w:left="0"/>
        <w:jc w:val="both"/>
        <w:rPr>
          <w:color w:val="0F1115"/>
        </w:rPr>
      </w:pPr>
      <w:r>
        <w:rPr>
          <w:color w:val="0F1115"/>
        </w:rPr>
        <w:t>Anthropometric measurements (weight, height, MUAC)</w:t>
      </w:r>
    </w:p>
    <w:p w:rsidR="00D45751" w:rsidRDefault="008E1F6A">
      <w:pPr>
        <w:pStyle w:val="ds-markdown-paragraph"/>
        <w:numPr>
          <w:ilvl w:val="0"/>
          <w:numId w:val="1"/>
        </w:numPr>
        <w:shd w:val="clear" w:color="auto" w:fill="FFFFFF"/>
        <w:spacing w:after="0" w:afterAutospacing="0" w:line="360" w:lineRule="auto"/>
        <w:ind w:left="0"/>
        <w:jc w:val="both"/>
        <w:rPr>
          <w:color w:val="0F1115"/>
        </w:rPr>
      </w:pPr>
      <w:r>
        <w:rPr>
          <w:color w:val="0F1115"/>
        </w:rPr>
        <w:t>Knowledge and practices related to nutrition</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lastRenderedPageBreak/>
        <w:t>Anthropometric measurements were taken using standardized equipment: scales for weight, MUAC tape for mid-upper arm circumference, and height boards for height. Data collectors received prior training, and the questionnaire was pretested on 12 children.</w:t>
      </w:r>
    </w:p>
    <w:p w:rsidR="00D45751" w:rsidRDefault="008E1F6A">
      <w:pPr>
        <w:pStyle w:val="Heading4"/>
        <w:shd w:val="clear" w:color="auto" w:fill="FFFFFF"/>
        <w:spacing w:before="240" w:beforeAutospacing="0" w:after="240" w:afterAutospacing="0" w:line="360" w:lineRule="auto"/>
        <w:jc w:val="both"/>
        <w:rPr>
          <w:color w:val="0F1115"/>
        </w:rPr>
      </w:pPr>
      <w:r>
        <w:rPr>
          <w:rStyle w:val="Strong"/>
          <w:b/>
          <w:bCs/>
          <w:color w:val="0F1115"/>
        </w:rPr>
        <w:t>2.4. Data Analysis</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Data were analyzed using descriptive statistics (frequencies, percentages) and comparative analysis between households with and without vegetable gardens. Nutritional status was assessed using Z-scores for weight-for-age (underweight) and weight-for-height (wasting) according to WHO standards.</w:t>
      </w:r>
    </w:p>
    <w:p w:rsidR="00D45751" w:rsidRDefault="008E1F6A">
      <w:pPr>
        <w:pStyle w:val="Heading4"/>
        <w:shd w:val="clear" w:color="auto" w:fill="FFFFFF"/>
        <w:spacing w:before="240" w:beforeAutospacing="0" w:after="240" w:afterAutospacing="0" w:line="360" w:lineRule="auto"/>
        <w:jc w:val="both"/>
        <w:rPr>
          <w:color w:val="0F1115"/>
        </w:rPr>
      </w:pPr>
      <w:r>
        <w:rPr>
          <w:rStyle w:val="Strong"/>
          <w:b/>
          <w:bCs/>
          <w:color w:val="0F1115"/>
        </w:rPr>
        <w:t>2.5. Ethical Considerations</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Authorization was obtained from local administrative and health authorities. Informed consent was obtained from parents or guardians before data collection. Confidentiality of participants' information was maintained throughout the research process.</w:t>
      </w:r>
    </w:p>
    <w:p w:rsidR="00D45751" w:rsidRDefault="008E1F6A">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rsidR="00D45751" w:rsidRDefault="008E1F6A">
      <w:pPr>
        <w:shd w:val="clear" w:color="auto" w:fill="FFFFFF"/>
        <w:spacing w:before="480" w:after="240" w:line="360" w:lineRule="auto"/>
        <w:jc w:val="both"/>
        <w:outlineLvl w:val="2"/>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lastRenderedPageBreak/>
        <w:t>3. RESULTS AND DISCUSSION</w:t>
      </w:r>
    </w:p>
    <w:p w:rsidR="00D45751" w:rsidRDefault="008E1F6A">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t>3.1. Socio-Demographic Characteristics</w:t>
      </w:r>
    </w:p>
    <w:p w:rsidR="002F570A" w:rsidRPr="002F570A" w:rsidRDefault="002F570A" w:rsidP="002F570A">
      <w:pPr>
        <w:pStyle w:val="Caption"/>
        <w:keepNext/>
        <w:rPr>
          <w:rFonts w:ascii="Times New Roman" w:hAnsi="Times New Roman" w:cs="Times New Roman"/>
          <w:color w:val="auto"/>
          <w:sz w:val="28"/>
          <w:lang w:val="en-US"/>
        </w:rPr>
      </w:pPr>
      <w:r w:rsidRPr="002F570A">
        <w:rPr>
          <w:rFonts w:ascii="Times New Roman" w:hAnsi="Times New Roman" w:cs="Times New Roman"/>
          <w:color w:val="auto"/>
          <w:sz w:val="28"/>
          <w:lang w:val="en-US"/>
        </w:rPr>
        <w:t xml:space="preserve">Table </w:t>
      </w:r>
      <w:r w:rsidRPr="002F570A">
        <w:rPr>
          <w:rFonts w:ascii="Times New Roman" w:hAnsi="Times New Roman" w:cs="Times New Roman"/>
          <w:color w:val="auto"/>
          <w:sz w:val="28"/>
        </w:rPr>
        <w:fldChar w:fldCharType="begin"/>
      </w:r>
      <w:r w:rsidRPr="002F570A">
        <w:rPr>
          <w:rFonts w:ascii="Times New Roman" w:hAnsi="Times New Roman" w:cs="Times New Roman"/>
          <w:color w:val="auto"/>
          <w:sz w:val="28"/>
          <w:lang w:val="en-US"/>
        </w:rPr>
        <w:instrText xml:space="preserve"> SEQ Table \* ARABIC </w:instrText>
      </w:r>
      <w:r w:rsidRPr="002F570A">
        <w:rPr>
          <w:rFonts w:ascii="Times New Roman" w:hAnsi="Times New Roman" w:cs="Times New Roman"/>
          <w:color w:val="auto"/>
          <w:sz w:val="28"/>
        </w:rPr>
        <w:fldChar w:fldCharType="separate"/>
      </w:r>
      <w:r w:rsidR="00956D7E">
        <w:rPr>
          <w:rFonts w:ascii="Times New Roman" w:hAnsi="Times New Roman" w:cs="Times New Roman"/>
          <w:noProof/>
          <w:color w:val="auto"/>
          <w:sz w:val="28"/>
          <w:lang w:val="en-US"/>
        </w:rPr>
        <w:t>1</w:t>
      </w:r>
      <w:r w:rsidRPr="002F570A">
        <w:rPr>
          <w:rFonts w:ascii="Times New Roman" w:hAnsi="Times New Roman" w:cs="Times New Roman"/>
          <w:color w:val="auto"/>
          <w:sz w:val="28"/>
        </w:rPr>
        <w:fldChar w:fldCharType="end"/>
      </w:r>
      <w:r w:rsidRPr="002F570A">
        <w:rPr>
          <w:rFonts w:ascii="Times New Roman" w:hAnsi="Times New Roman" w:cs="Times New Roman"/>
          <w:color w:val="auto"/>
          <w:sz w:val="28"/>
          <w:lang w:val="en-US"/>
        </w:rPr>
        <w:t xml:space="preserve"> Distribution of children aged 6-59 months by sex and age</w:t>
      </w:r>
    </w:p>
    <w:tbl>
      <w:tblPr>
        <w:tblStyle w:val="TableGrid"/>
        <w:tblW w:w="8999" w:type="dxa"/>
        <w:tblLook w:val="04A0" w:firstRow="1" w:lastRow="0" w:firstColumn="1" w:lastColumn="0" w:noHBand="0" w:noVBand="1"/>
      </w:tblPr>
      <w:tblGrid>
        <w:gridCol w:w="2514"/>
        <w:gridCol w:w="1118"/>
        <w:gridCol w:w="1002"/>
        <w:gridCol w:w="1159"/>
        <w:gridCol w:w="1002"/>
        <w:gridCol w:w="1202"/>
        <w:gridCol w:w="1002"/>
      </w:tblGrid>
      <w:tr w:rsidR="00D45751" w:rsidRPr="002F570A" w:rsidTr="00956D7E">
        <w:trPr>
          <w:trHeight w:val="436"/>
        </w:trPr>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Age (months)</w:t>
            </w:r>
          </w:p>
        </w:tc>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Boys</w:t>
            </w:r>
          </w:p>
        </w:tc>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w:t>
            </w:r>
          </w:p>
        </w:tc>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Girls</w:t>
            </w:r>
          </w:p>
        </w:tc>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w:t>
            </w:r>
          </w:p>
        </w:tc>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Total</w:t>
            </w:r>
          </w:p>
        </w:tc>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w:t>
            </w:r>
          </w:p>
        </w:tc>
      </w:tr>
      <w:tr w:rsidR="00D45751" w:rsidTr="00956D7E">
        <w:trPr>
          <w:trHeight w:val="436"/>
        </w:trPr>
        <w:tc>
          <w:tcPr>
            <w:tcW w:w="0" w:type="auto"/>
            <w:hideMark/>
          </w:tcPr>
          <w:p w:rsidR="00D45751" w:rsidRDefault="002F570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r w:rsidR="008E1F6A">
              <w:rPr>
                <w:rFonts w:ascii="Times New Roman" w:eastAsia="Times New Roman" w:hAnsi="Times New Roman" w:cs="Times New Roman"/>
                <w:sz w:val="24"/>
                <w:szCs w:val="24"/>
                <w:lang w:val="en-US"/>
              </w:rPr>
              <w:t>12[</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59</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r>
      <w:tr w:rsidR="00D45751" w:rsidTr="00956D7E">
        <w:trPr>
          <w:trHeight w:val="436"/>
        </w:trPr>
        <w:tc>
          <w:tcPr>
            <w:tcW w:w="0" w:type="auto"/>
            <w:hideMark/>
          </w:tcPr>
          <w:p w:rsidR="00D45751" w:rsidRDefault="002F570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r w:rsidR="008E1F6A">
              <w:rPr>
                <w:rFonts w:ascii="Times New Roman" w:eastAsia="Times New Roman" w:hAnsi="Times New Roman" w:cs="Times New Roman"/>
                <w:sz w:val="24"/>
                <w:szCs w:val="24"/>
                <w:lang w:val="en-US"/>
              </w:rPr>
              <w:t>24[</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44.</w:t>
            </w:r>
            <w:r w:rsidR="00B626C1">
              <w:rPr>
                <w:rFonts w:ascii="Times New Roman" w:eastAsia="Times New Roman" w:hAnsi="Times New Roman" w:cs="Times New Roman"/>
                <w:sz w:val="24"/>
                <w:szCs w:val="24"/>
                <w:lang w:val="en-US"/>
              </w:rPr>
              <w:t>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55.3</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31.3</w:t>
            </w:r>
          </w:p>
        </w:tc>
      </w:tr>
      <w:tr w:rsidR="00D45751" w:rsidTr="00956D7E">
        <w:trPr>
          <w:trHeight w:val="423"/>
        </w:trPr>
        <w:tc>
          <w:tcPr>
            <w:tcW w:w="0" w:type="auto"/>
            <w:hideMark/>
          </w:tcPr>
          <w:p w:rsidR="00D45751" w:rsidRDefault="002F570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r w:rsidR="008E1F6A">
              <w:rPr>
                <w:rFonts w:ascii="Times New Roman" w:eastAsia="Times New Roman" w:hAnsi="Times New Roman" w:cs="Times New Roman"/>
                <w:sz w:val="24"/>
                <w:szCs w:val="24"/>
                <w:lang w:val="en-US"/>
              </w:rPr>
              <w:t>36[</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r w:rsidR="00B626C1">
              <w:rPr>
                <w:rFonts w:ascii="Times New Roman" w:eastAsia="Times New Roman" w:hAnsi="Times New Roman" w:cs="Times New Roman"/>
                <w:sz w:val="24"/>
                <w:szCs w:val="24"/>
                <w:lang w:val="en-US"/>
              </w:rPr>
              <w:t>3</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109</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29.3</w:t>
            </w:r>
          </w:p>
        </w:tc>
      </w:tr>
      <w:tr w:rsidR="00D45751" w:rsidTr="00956D7E">
        <w:trPr>
          <w:trHeight w:val="436"/>
        </w:trPr>
        <w:tc>
          <w:tcPr>
            <w:tcW w:w="0" w:type="auto"/>
            <w:hideMark/>
          </w:tcPr>
          <w:p w:rsidR="00D45751" w:rsidRDefault="002F570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r w:rsidR="008E1F6A">
              <w:rPr>
                <w:rFonts w:ascii="Times New Roman" w:eastAsia="Times New Roman" w:hAnsi="Times New Roman" w:cs="Times New Roman"/>
                <w:sz w:val="24"/>
                <w:szCs w:val="24"/>
                <w:lang w:val="en-US"/>
              </w:rPr>
              <w:t>59]</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54.</w:t>
            </w:r>
            <w:r w:rsidR="00B626C1">
              <w:rPr>
                <w:rFonts w:ascii="Times New Roman" w:eastAsia="Times New Roman" w:hAnsi="Times New Roman" w:cs="Times New Roman"/>
                <w:sz w:val="24"/>
                <w:szCs w:val="24"/>
                <w:lang w:val="en-US"/>
              </w:rPr>
              <w:t>3</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23.3</w:t>
            </w:r>
          </w:p>
        </w:tc>
      </w:tr>
      <w:tr w:rsidR="00D45751" w:rsidTr="00956D7E">
        <w:trPr>
          <w:trHeight w:val="447"/>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166</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44.6</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206</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55.</w:t>
            </w:r>
            <w:r w:rsidR="00B626C1">
              <w:rPr>
                <w:rFonts w:ascii="Times New Roman" w:eastAsia="Times New Roman" w:hAnsi="Times New Roman" w:cs="Times New Roman"/>
                <w:b/>
                <w:bCs/>
                <w:sz w:val="24"/>
                <w:szCs w:val="24"/>
                <w:lang w:val="en-US"/>
              </w:rPr>
              <w:t>4</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372</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The study included 372 children with a higher proportion of girls (55.37%) compared to boys (44.62%). The age group [12-24] months was the most represented (31.33%), which corresponds to the critical period for complementary feeding and high vulnerability to malnutrition. This demographic profile is consistent with national trends in Burundi, where slight female predominance is commonly observed in child populations</w:t>
      </w:r>
      <w:r w:rsidR="002F570A">
        <w:rPr>
          <w:rFonts w:ascii="Times New Roman" w:hAnsi="Times New Roman" w:cs="Times New Roman"/>
          <w:color w:val="0F1115"/>
          <w:sz w:val="24"/>
          <w:szCs w:val="24"/>
          <w:lang w:val="en-US"/>
        </w:rPr>
        <w:t xml:space="preserve"> [8</w:t>
      </w:r>
      <w:r>
        <w:rPr>
          <w:rFonts w:ascii="Times New Roman" w:hAnsi="Times New Roman" w:cs="Times New Roman"/>
          <w:color w:val="0F1115"/>
          <w:sz w:val="24"/>
          <w:szCs w:val="24"/>
          <w:lang w:val="en-US"/>
        </w:rPr>
        <w:t>]</w:t>
      </w:r>
      <w:r>
        <w:rPr>
          <w:rFonts w:ascii="Times New Roman" w:eastAsia="Times New Roman" w:hAnsi="Times New Roman" w:cs="Times New Roman"/>
          <w:color w:val="0F1115"/>
          <w:sz w:val="24"/>
          <w:szCs w:val="24"/>
          <w:lang w:val="en-US"/>
        </w:rPr>
        <w:t>.</w:t>
      </w:r>
    </w:p>
    <w:p w:rsidR="002F570A" w:rsidRPr="002F570A" w:rsidRDefault="002F570A" w:rsidP="002F570A">
      <w:pPr>
        <w:pStyle w:val="Caption"/>
        <w:keepNext/>
        <w:rPr>
          <w:rFonts w:ascii="Times New Roman" w:hAnsi="Times New Roman" w:cs="Times New Roman"/>
          <w:color w:val="auto"/>
          <w:sz w:val="24"/>
          <w:lang w:val="en-US"/>
        </w:rPr>
      </w:pPr>
      <w:r w:rsidRPr="002F570A">
        <w:rPr>
          <w:rFonts w:ascii="Times New Roman" w:hAnsi="Times New Roman" w:cs="Times New Roman"/>
          <w:color w:val="auto"/>
          <w:sz w:val="24"/>
          <w:lang w:val="en-US"/>
        </w:rPr>
        <w:t xml:space="preserve">Table </w:t>
      </w:r>
      <w:r w:rsidRPr="002F570A">
        <w:rPr>
          <w:rFonts w:ascii="Times New Roman" w:hAnsi="Times New Roman" w:cs="Times New Roman"/>
          <w:color w:val="auto"/>
          <w:sz w:val="24"/>
        </w:rPr>
        <w:fldChar w:fldCharType="begin"/>
      </w:r>
      <w:r w:rsidRPr="002F570A">
        <w:rPr>
          <w:rFonts w:ascii="Times New Roman" w:hAnsi="Times New Roman" w:cs="Times New Roman"/>
          <w:color w:val="auto"/>
          <w:sz w:val="24"/>
          <w:lang w:val="en-US"/>
        </w:rPr>
        <w:instrText xml:space="preserve"> SEQ Table \* ARABIC </w:instrText>
      </w:r>
      <w:r w:rsidRPr="002F570A">
        <w:rPr>
          <w:rFonts w:ascii="Times New Roman" w:hAnsi="Times New Roman" w:cs="Times New Roman"/>
          <w:color w:val="auto"/>
          <w:sz w:val="24"/>
        </w:rPr>
        <w:fldChar w:fldCharType="separate"/>
      </w:r>
      <w:r w:rsidR="00956D7E">
        <w:rPr>
          <w:rFonts w:ascii="Times New Roman" w:hAnsi="Times New Roman" w:cs="Times New Roman"/>
          <w:noProof/>
          <w:color w:val="auto"/>
          <w:sz w:val="24"/>
          <w:lang w:val="en-US"/>
        </w:rPr>
        <w:t>2</w:t>
      </w:r>
      <w:r w:rsidRPr="002F570A">
        <w:rPr>
          <w:rFonts w:ascii="Times New Roman" w:hAnsi="Times New Roman" w:cs="Times New Roman"/>
          <w:color w:val="auto"/>
          <w:sz w:val="24"/>
        </w:rPr>
        <w:fldChar w:fldCharType="end"/>
      </w:r>
      <w:r w:rsidRPr="002F570A">
        <w:rPr>
          <w:rFonts w:ascii="Times New Roman" w:hAnsi="Times New Roman" w:cs="Times New Roman"/>
          <w:color w:val="auto"/>
          <w:sz w:val="24"/>
          <w:lang w:val="en-US"/>
        </w:rPr>
        <w:t xml:space="preserve"> Distribution according to mothers' education level</w:t>
      </w:r>
    </w:p>
    <w:tbl>
      <w:tblPr>
        <w:tblStyle w:val="TableGrid"/>
        <w:tblW w:w="9068" w:type="dxa"/>
        <w:tblLook w:val="04A0" w:firstRow="1" w:lastRow="0" w:firstColumn="1" w:lastColumn="0" w:noHBand="0" w:noVBand="1"/>
      </w:tblPr>
      <w:tblGrid>
        <w:gridCol w:w="4298"/>
        <w:gridCol w:w="2350"/>
        <w:gridCol w:w="2420"/>
      </w:tblGrid>
      <w:tr w:rsidR="00D45751" w:rsidRPr="002F570A" w:rsidTr="00956D7E">
        <w:trPr>
          <w:trHeight w:val="429"/>
        </w:trPr>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Education Level</w:t>
            </w:r>
          </w:p>
        </w:tc>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Frequency</w:t>
            </w:r>
          </w:p>
        </w:tc>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Percentage</w:t>
            </w:r>
          </w:p>
        </w:tc>
      </w:tr>
      <w:tr w:rsidR="00D45751" w:rsidTr="00956D7E">
        <w:trPr>
          <w:trHeight w:val="429"/>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Educated mothers</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w:t>
            </w:r>
            <w:r w:rsidR="00B626C1">
              <w:rPr>
                <w:rFonts w:ascii="Times New Roman" w:eastAsia="Times New Roman" w:hAnsi="Times New Roman" w:cs="Times New Roman"/>
                <w:sz w:val="24"/>
                <w:szCs w:val="24"/>
                <w:lang w:val="en-US"/>
              </w:rPr>
              <w:t>4</w:t>
            </w:r>
          </w:p>
        </w:tc>
      </w:tr>
      <w:tr w:rsidR="00D45751" w:rsidTr="00956D7E">
        <w:trPr>
          <w:trHeight w:val="429"/>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Non-educated mothers</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76.6</w:t>
            </w:r>
          </w:p>
        </w:tc>
      </w:tr>
      <w:tr w:rsidR="00D45751" w:rsidTr="00956D7E">
        <w:trPr>
          <w:trHeight w:val="440"/>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372</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D45751" w:rsidRDefault="00B626C1">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A striking 76.6</w:t>
      </w:r>
      <w:r w:rsidR="008E1F6A">
        <w:rPr>
          <w:rFonts w:ascii="Times New Roman" w:eastAsia="Times New Roman" w:hAnsi="Times New Roman" w:cs="Times New Roman"/>
          <w:color w:val="0F1115"/>
          <w:sz w:val="24"/>
          <w:szCs w:val="24"/>
          <w:lang w:val="en-US"/>
        </w:rPr>
        <w:t xml:space="preserve">% of mothers had no formal education, which significantly impacts child feeding practices and nutritional outcomes. This finding aligns with studies by </w:t>
      </w:r>
      <w:r w:rsidR="004C3C6E" w:rsidRPr="004C3C6E">
        <w:rPr>
          <w:rStyle w:val="Strong"/>
          <w:rFonts w:ascii="Times New Roman" w:hAnsi="Times New Roman" w:cs="Times New Roman"/>
          <w:b w:val="0"/>
          <w:color w:val="0F1115"/>
          <w:sz w:val="24"/>
          <w:shd w:val="clear" w:color="auto" w:fill="FFFFFF"/>
          <w:lang w:val="en-US"/>
        </w:rPr>
        <w:t>Smith</w:t>
      </w:r>
      <w:r w:rsidR="004C3C6E" w:rsidRPr="004C3C6E">
        <w:rPr>
          <w:rFonts w:ascii="Times New Roman" w:eastAsia="Times New Roman" w:hAnsi="Times New Roman" w:cs="Times New Roman"/>
          <w:color w:val="0F1115"/>
          <w:sz w:val="28"/>
          <w:szCs w:val="24"/>
          <w:lang w:val="en-US"/>
        </w:rPr>
        <w:t xml:space="preserve"> </w:t>
      </w:r>
      <w:r w:rsidR="008E1F6A">
        <w:rPr>
          <w:rFonts w:ascii="Times New Roman" w:eastAsia="Times New Roman" w:hAnsi="Times New Roman" w:cs="Times New Roman"/>
          <w:color w:val="0F1115"/>
          <w:sz w:val="24"/>
          <w:szCs w:val="24"/>
          <w:lang w:val="en-US"/>
        </w:rPr>
        <w:t xml:space="preserve">(2015) and </w:t>
      </w:r>
      <w:proofErr w:type="spellStart"/>
      <w:r w:rsidR="004C3C6E" w:rsidRPr="004C3C6E">
        <w:rPr>
          <w:rStyle w:val="Strong"/>
          <w:rFonts w:ascii="Times New Roman" w:hAnsi="Times New Roman" w:cs="Times New Roman"/>
          <w:b w:val="0"/>
          <w:sz w:val="24"/>
          <w:shd w:val="clear" w:color="auto" w:fill="FFFFFF"/>
          <w:lang w:val="en-US"/>
        </w:rPr>
        <w:t>Herforth</w:t>
      </w:r>
      <w:proofErr w:type="spellEnd"/>
      <w:r w:rsidR="004C3C6E" w:rsidRPr="004C3C6E">
        <w:rPr>
          <w:rStyle w:val="Strong"/>
          <w:rFonts w:ascii="Segoe UI" w:hAnsi="Segoe UI" w:cs="Segoe UI"/>
          <w:sz w:val="24"/>
          <w:shd w:val="clear" w:color="auto" w:fill="FFFFFF"/>
          <w:lang w:val="en-US"/>
        </w:rPr>
        <w:t xml:space="preserve"> </w:t>
      </w:r>
      <w:r w:rsidR="008E1F6A">
        <w:rPr>
          <w:rFonts w:ascii="Times New Roman" w:eastAsia="Times New Roman" w:hAnsi="Times New Roman" w:cs="Times New Roman"/>
          <w:color w:val="0F1115"/>
          <w:sz w:val="24"/>
          <w:szCs w:val="24"/>
          <w:lang w:val="en-US"/>
        </w:rPr>
        <w:t>et al. (2016), who demonstrated that maternal education is a key determinant of child nutritional status, as educated mothers are better equipped to understand and implement appropriate feeding practices</w:t>
      </w:r>
      <w:r w:rsidR="009306F1">
        <w:rPr>
          <w:rFonts w:ascii="Times New Roman" w:hAnsi="Times New Roman" w:cs="Times New Roman"/>
          <w:color w:val="0F1115"/>
          <w:sz w:val="24"/>
          <w:szCs w:val="24"/>
          <w:lang w:val="en-US"/>
        </w:rPr>
        <w:t xml:space="preserve"> [9</w:t>
      </w:r>
      <w:r w:rsidR="008E1F6A">
        <w:rPr>
          <w:rFonts w:ascii="Times New Roman" w:hAnsi="Times New Roman" w:cs="Times New Roman"/>
          <w:color w:val="0F1115"/>
          <w:sz w:val="24"/>
          <w:szCs w:val="24"/>
          <w:lang w:val="en-US"/>
        </w:rPr>
        <w:t>,</w:t>
      </w:r>
      <w:r w:rsidR="009306F1">
        <w:rPr>
          <w:rFonts w:ascii="Times New Roman" w:hAnsi="Times New Roman" w:cs="Times New Roman"/>
          <w:color w:val="0F1115"/>
          <w:sz w:val="24"/>
          <w:szCs w:val="24"/>
          <w:lang w:val="en-US"/>
        </w:rPr>
        <w:t>10</w:t>
      </w:r>
      <w:r w:rsidR="008E1F6A">
        <w:rPr>
          <w:rFonts w:ascii="Times New Roman" w:hAnsi="Times New Roman" w:cs="Times New Roman"/>
          <w:color w:val="0F1115"/>
          <w:sz w:val="24"/>
          <w:szCs w:val="24"/>
          <w:lang w:val="en-US"/>
        </w:rPr>
        <w:t>]</w:t>
      </w:r>
      <w:r w:rsidR="008E1F6A">
        <w:rPr>
          <w:rFonts w:ascii="Times New Roman" w:eastAsia="Times New Roman" w:hAnsi="Times New Roman" w:cs="Times New Roman"/>
          <w:color w:val="0F1115"/>
          <w:sz w:val="24"/>
          <w:szCs w:val="24"/>
          <w:lang w:val="en-US"/>
        </w:rPr>
        <w:t>.</w:t>
      </w:r>
    </w:p>
    <w:p w:rsidR="00D45751" w:rsidRDefault="008E1F6A">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rsidR="00D45751" w:rsidRDefault="008E1F6A">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lastRenderedPageBreak/>
        <w:t>3.2. Gardening Practices and Food Consumption</w:t>
      </w:r>
    </w:p>
    <w:p w:rsidR="00343E36" w:rsidRPr="00343E36" w:rsidRDefault="00343E36" w:rsidP="00343E36">
      <w:pPr>
        <w:pStyle w:val="Caption"/>
        <w:keepNext/>
        <w:rPr>
          <w:rFonts w:ascii="Times New Roman" w:hAnsi="Times New Roman" w:cs="Times New Roman"/>
          <w:color w:val="auto"/>
          <w:sz w:val="24"/>
          <w:lang w:val="en-US"/>
        </w:rPr>
      </w:pPr>
      <w:r w:rsidRPr="00343E36">
        <w:rPr>
          <w:rFonts w:ascii="Times New Roman" w:hAnsi="Times New Roman" w:cs="Times New Roman"/>
          <w:color w:val="auto"/>
          <w:sz w:val="24"/>
          <w:lang w:val="en-US"/>
        </w:rPr>
        <w:t xml:space="preserve">Table </w:t>
      </w:r>
      <w:r w:rsidRPr="00343E36">
        <w:rPr>
          <w:rFonts w:ascii="Times New Roman" w:hAnsi="Times New Roman" w:cs="Times New Roman"/>
          <w:color w:val="auto"/>
          <w:sz w:val="24"/>
        </w:rPr>
        <w:fldChar w:fldCharType="begin"/>
      </w:r>
      <w:r w:rsidRPr="00343E36">
        <w:rPr>
          <w:rFonts w:ascii="Times New Roman" w:hAnsi="Times New Roman" w:cs="Times New Roman"/>
          <w:color w:val="auto"/>
          <w:sz w:val="24"/>
          <w:lang w:val="en-US"/>
        </w:rPr>
        <w:instrText xml:space="preserve"> SEQ Table \* ARABIC </w:instrText>
      </w:r>
      <w:r w:rsidRPr="00343E36">
        <w:rPr>
          <w:rFonts w:ascii="Times New Roman" w:hAnsi="Times New Roman" w:cs="Times New Roman"/>
          <w:color w:val="auto"/>
          <w:sz w:val="24"/>
        </w:rPr>
        <w:fldChar w:fldCharType="separate"/>
      </w:r>
      <w:r w:rsidR="00956D7E">
        <w:rPr>
          <w:rFonts w:ascii="Times New Roman" w:hAnsi="Times New Roman" w:cs="Times New Roman"/>
          <w:noProof/>
          <w:color w:val="auto"/>
          <w:sz w:val="24"/>
          <w:lang w:val="en-US"/>
        </w:rPr>
        <w:t>3</w:t>
      </w:r>
      <w:r w:rsidRPr="00343E36">
        <w:rPr>
          <w:rFonts w:ascii="Times New Roman" w:hAnsi="Times New Roman" w:cs="Times New Roman"/>
          <w:color w:val="auto"/>
          <w:sz w:val="24"/>
        </w:rPr>
        <w:fldChar w:fldCharType="end"/>
      </w:r>
      <w:r w:rsidRPr="00343E36">
        <w:rPr>
          <w:rFonts w:ascii="Times New Roman" w:hAnsi="Times New Roman" w:cs="Times New Roman"/>
          <w:color w:val="auto"/>
          <w:sz w:val="24"/>
          <w:lang w:val="en-US"/>
        </w:rPr>
        <w:t xml:space="preserve"> Distribution of households by type of plants cultivated in vegetable gardens</w:t>
      </w:r>
    </w:p>
    <w:tbl>
      <w:tblPr>
        <w:tblStyle w:val="TableGrid"/>
        <w:tblW w:w="8864" w:type="dxa"/>
        <w:tblLook w:val="04A0" w:firstRow="1" w:lastRow="0" w:firstColumn="1" w:lastColumn="0" w:noHBand="0" w:noVBand="1"/>
      </w:tblPr>
      <w:tblGrid>
        <w:gridCol w:w="3728"/>
        <w:gridCol w:w="2530"/>
        <w:gridCol w:w="2606"/>
      </w:tblGrid>
      <w:tr w:rsidR="00D45751" w:rsidRPr="002F570A" w:rsidTr="00956D7E">
        <w:trPr>
          <w:trHeight w:val="432"/>
        </w:trPr>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Plants cultivated</w:t>
            </w:r>
          </w:p>
        </w:tc>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Frequency</w:t>
            </w:r>
          </w:p>
        </w:tc>
        <w:tc>
          <w:tcPr>
            <w:tcW w:w="0" w:type="auto"/>
            <w:hideMark/>
          </w:tcPr>
          <w:p w:rsidR="00D45751" w:rsidRPr="002F570A" w:rsidRDefault="008E1F6A">
            <w:pPr>
              <w:spacing w:line="360" w:lineRule="auto"/>
              <w:jc w:val="both"/>
              <w:rPr>
                <w:rFonts w:ascii="Times New Roman" w:eastAsia="Times New Roman" w:hAnsi="Times New Roman" w:cs="Times New Roman"/>
                <w:b/>
                <w:sz w:val="24"/>
                <w:szCs w:val="24"/>
                <w:lang w:val="en-US"/>
              </w:rPr>
            </w:pPr>
            <w:r w:rsidRPr="002F570A">
              <w:rPr>
                <w:rFonts w:ascii="Times New Roman" w:eastAsia="Times New Roman" w:hAnsi="Times New Roman" w:cs="Times New Roman"/>
                <w:b/>
                <w:sz w:val="24"/>
                <w:szCs w:val="24"/>
                <w:lang w:val="en-US"/>
              </w:rPr>
              <w:t>Percentage</w:t>
            </w:r>
          </w:p>
        </w:tc>
      </w:tr>
      <w:tr w:rsidR="00D45751" w:rsidTr="00956D7E">
        <w:trPr>
          <w:trHeight w:val="445"/>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Vegetables</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186</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r>
      <w:tr w:rsidR="00D45751" w:rsidTr="00956D7E">
        <w:trPr>
          <w:trHeight w:val="445"/>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Chili peppers</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D45751" w:rsidTr="00956D7E">
        <w:trPr>
          <w:trHeight w:val="445"/>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Bell peppers</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r>
      <w:tr w:rsidR="002F570A" w:rsidRPr="00343E36" w:rsidTr="00956D7E">
        <w:trPr>
          <w:trHeight w:val="445"/>
        </w:trPr>
        <w:tc>
          <w:tcPr>
            <w:tcW w:w="0" w:type="auto"/>
          </w:tcPr>
          <w:p w:rsidR="002F570A" w:rsidRPr="00343E36" w:rsidRDefault="002F570A">
            <w:pPr>
              <w:spacing w:line="360" w:lineRule="auto"/>
              <w:jc w:val="both"/>
              <w:rPr>
                <w:rFonts w:ascii="Times New Roman" w:eastAsia="Times New Roman" w:hAnsi="Times New Roman" w:cs="Times New Roman"/>
                <w:b/>
                <w:sz w:val="24"/>
                <w:szCs w:val="24"/>
                <w:lang w:val="en-US"/>
              </w:rPr>
            </w:pPr>
            <w:r w:rsidRPr="00343E36">
              <w:rPr>
                <w:rFonts w:ascii="Times New Roman" w:eastAsia="Times New Roman" w:hAnsi="Times New Roman" w:cs="Times New Roman"/>
                <w:b/>
                <w:sz w:val="24"/>
                <w:szCs w:val="24"/>
                <w:lang w:val="en-US"/>
              </w:rPr>
              <w:t>Total</w:t>
            </w:r>
          </w:p>
        </w:tc>
        <w:tc>
          <w:tcPr>
            <w:tcW w:w="0" w:type="auto"/>
          </w:tcPr>
          <w:p w:rsidR="002F570A" w:rsidRPr="00343E36" w:rsidRDefault="002F570A" w:rsidP="00956D7E">
            <w:pPr>
              <w:spacing w:line="360" w:lineRule="auto"/>
              <w:jc w:val="center"/>
              <w:rPr>
                <w:rFonts w:ascii="Times New Roman" w:eastAsia="Times New Roman" w:hAnsi="Times New Roman" w:cs="Times New Roman"/>
                <w:b/>
                <w:sz w:val="24"/>
                <w:szCs w:val="24"/>
                <w:lang w:val="en-US"/>
              </w:rPr>
            </w:pPr>
            <w:r w:rsidRPr="00343E36">
              <w:rPr>
                <w:rFonts w:ascii="Times New Roman" w:eastAsia="Times New Roman" w:hAnsi="Times New Roman" w:cs="Times New Roman"/>
                <w:b/>
                <w:sz w:val="24"/>
                <w:szCs w:val="24"/>
                <w:lang w:val="en-US"/>
              </w:rPr>
              <w:t>208</w:t>
            </w:r>
          </w:p>
        </w:tc>
        <w:tc>
          <w:tcPr>
            <w:tcW w:w="0" w:type="auto"/>
          </w:tcPr>
          <w:p w:rsidR="002F570A" w:rsidRPr="00343E36" w:rsidRDefault="00343E36" w:rsidP="00956D7E">
            <w:pPr>
              <w:spacing w:line="360" w:lineRule="auto"/>
              <w:jc w:val="center"/>
              <w:rPr>
                <w:rFonts w:ascii="Times New Roman" w:eastAsia="Times New Roman" w:hAnsi="Times New Roman" w:cs="Times New Roman"/>
                <w:b/>
                <w:sz w:val="24"/>
                <w:szCs w:val="24"/>
                <w:lang w:val="en-US"/>
              </w:rPr>
            </w:pPr>
            <w:r w:rsidRPr="00343E36">
              <w:rPr>
                <w:rFonts w:ascii="Times New Roman" w:eastAsia="Times New Roman" w:hAnsi="Times New Roman" w:cs="Times New Roman"/>
                <w:b/>
                <w:sz w:val="24"/>
                <w:szCs w:val="24"/>
                <w:lang w:val="en-US"/>
              </w:rPr>
              <w:t>112</w:t>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All gardening households cultivated vegetables</w:t>
      </w:r>
      <w:r w:rsidR="00343E36">
        <w:rPr>
          <w:rFonts w:ascii="Times New Roman" w:eastAsia="Times New Roman" w:hAnsi="Times New Roman" w:cs="Times New Roman"/>
          <w:color w:val="0F1115"/>
          <w:sz w:val="24"/>
          <w:szCs w:val="24"/>
          <w:lang w:val="en-US"/>
        </w:rPr>
        <w:t xml:space="preserve"> (100%)</w:t>
      </w:r>
      <w:r>
        <w:rPr>
          <w:rFonts w:ascii="Times New Roman" w:eastAsia="Times New Roman" w:hAnsi="Times New Roman" w:cs="Times New Roman"/>
          <w:color w:val="0F1115"/>
          <w:sz w:val="24"/>
          <w:szCs w:val="24"/>
          <w:lang w:val="en-US"/>
        </w:rPr>
        <w:t>, but none reported fruit cultivation, indicating a significant gap in dietary diversity. The exclusive focus on vegetables limits the variety of micronutrients available to children, particularly vitamins from fruits.</w:t>
      </w:r>
    </w:p>
    <w:p w:rsidR="00343E36" w:rsidRPr="00343E36" w:rsidRDefault="00343E36" w:rsidP="00343E36">
      <w:pPr>
        <w:pStyle w:val="Caption"/>
        <w:keepNext/>
        <w:rPr>
          <w:rFonts w:ascii="Times New Roman" w:hAnsi="Times New Roman" w:cs="Times New Roman"/>
          <w:color w:val="auto"/>
          <w:sz w:val="24"/>
          <w:lang w:val="en-US"/>
        </w:rPr>
      </w:pPr>
      <w:r w:rsidRPr="00343E36">
        <w:rPr>
          <w:rFonts w:ascii="Times New Roman" w:hAnsi="Times New Roman" w:cs="Times New Roman"/>
          <w:color w:val="auto"/>
          <w:sz w:val="24"/>
          <w:lang w:val="en-US"/>
        </w:rPr>
        <w:t xml:space="preserve">Table </w:t>
      </w:r>
      <w:r w:rsidRPr="00343E36">
        <w:rPr>
          <w:rFonts w:ascii="Times New Roman" w:hAnsi="Times New Roman" w:cs="Times New Roman"/>
          <w:color w:val="auto"/>
          <w:sz w:val="24"/>
        </w:rPr>
        <w:fldChar w:fldCharType="begin"/>
      </w:r>
      <w:r w:rsidRPr="00343E36">
        <w:rPr>
          <w:rFonts w:ascii="Times New Roman" w:hAnsi="Times New Roman" w:cs="Times New Roman"/>
          <w:color w:val="auto"/>
          <w:sz w:val="24"/>
          <w:lang w:val="en-US"/>
        </w:rPr>
        <w:instrText xml:space="preserve"> SEQ Table \* ARABIC </w:instrText>
      </w:r>
      <w:r w:rsidRPr="00343E36">
        <w:rPr>
          <w:rFonts w:ascii="Times New Roman" w:hAnsi="Times New Roman" w:cs="Times New Roman"/>
          <w:color w:val="auto"/>
          <w:sz w:val="24"/>
        </w:rPr>
        <w:fldChar w:fldCharType="separate"/>
      </w:r>
      <w:r w:rsidR="00956D7E">
        <w:rPr>
          <w:rFonts w:ascii="Times New Roman" w:hAnsi="Times New Roman" w:cs="Times New Roman"/>
          <w:noProof/>
          <w:color w:val="auto"/>
          <w:sz w:val="24"/>
          <w:lang w:val="en-US"/>
        </w:rPr>
        <w:t>4</w:t>
      </w:r>
      <w:r w:rsidRPr="00343E36">
        <w:rPr>
          <w:rFonts w:ascii="Times New Roman" w:hAnsi="Times New Roman" w:cs="Times New Roman"/>
          <w:color w:val="auto"/>
          <w:sz w:val="24"/>
        </w:rPr>
        <w:fldChar w:fldCharType="end"/>
      </w:r>
      <w:r w:rsidRPr="00343E36">
        <w:rPr>
          <w:rFonts w:ascii="Times New Roman" w:hAnsi="Times New Roman" w:cs="Times New Roman"/>
          <w:color w:val="auto"/>
          <w:sz w:val="24"/>
          <w:lang w:val="en-US"/>
        </w:rPr>
        <w:t xml:space="preserve"> Consumption frequency of garden products for households with vegetable gardens</w:t>
      </w:r>
    </w:p>
    <w:tbl>
      <w:tblPr>
        <w:tblStyle w:val="TableGrid"/>
        <w:tblW w:w="8701" w:type="dxa"/>
        <w:tblLook w:val="04A0" w:firstRow="1" w:lastRow="0" w:firstColumn="1" w:lastColumn="0" w:noHBand="0" w:noVBand="1"/>
      </w:tblPr>
      <w:tblGrid>
        <w:gridCol w:w="4429"/>
        <w:gridCol w:w="2105"/>
        <w:gridCol w:w="2167"/>
      </w:tblGrid>
      <w:tr w:rsidR="00D45751" w:rsidRPr="00343E36" w:rsidTr="00956D7E">
        <w:trPr>
          <w:trHeight w:val="439"/>
        </w:trPr>
        <w:tc>
          <w:tcPr>
            <w:tcW w:w="0" w:type="auto"/>
            <w:hideMark/>
          </w:tcPr>
          <w:p w:rsidR="00D45751" w:rsidRPr="00343E36" w:rsidRDefault="008E1F6A">
            <w:pPr>
              <w:spacing w:line="360" w:lineRule="auto"/>
              <w:jc w:val="both"/>
              <w:rPr>
                <w:rFonts w:ascii="Times New Roman" w:eastAsia="Times New Roman" w:hAnsi="Times New Roman" w:cs="Times New Roman"/>
                <w:b/>
                <w:sz w:val="24"/>
                <w:szCs w:val="24"/>
                <w:lang w:val="en-US"/>
              </w:rPr>
            </w:pPr>
            <w:r w:rsidRPr="00343E36">
              <w:rPr>
                <w:rFonts w:ascii="Times New Roman" w:eastAsia="Times New Roman" w:hAnsi="Times New Roman" w:cs="Times New Roman"/>
                <w:b/>
                <w:sz w:val="24"/>
                <w:szCs w:val="24"/>
                <w:lang w:val="en-US"/>
              </w:rPr>
              <w:t>Consumption Frequency</w:t>
            </w:r>
          </w:p>
        </w:tc>
        <w:tc>
          <w:tcPr>
            <w:tcW w:w="0" w:type="auto"/>
            <w:hideMark/>
          </w:tcPr>
          <w:p w:rsidR="00D45751" w:rsidRPr="00343E36" w:rsidRDefault="008E1F6A">
            <w:pPr>
              <w:spacing w:line="360" w:lineRule="auto"/>
              <w:jc w:val="both"/>
              <w:rPr>
                <w:rFonts w:ascii="Times New Roman" w:eastAsia="Times New Roman" w:hAnsi="Times New Roman" w:cs="Times New Roman"/>
                <w:b/>
                <w:sz w:val="24"/>
                <w:szCs w:val="24"/>
                <w:lang w:val="en-US"/>
              </w:rPr>
            </w:pPr>
            <w:r w:rsidRPr="00343E36">
              <w:rPr>
                <w:rFonts w:ascii="Times New Roman" w:eastAsia="Times New Roman" w:hAnsi="Times New Roman" w:cs="Times New Roman"/>
                <w:b/>
                <w:sz w:val="24"/>
                <w:szCs w:val="24"/>
                <w:lang w:val="en-US"/>
              </w:rPr>
              <w:t>Frequency</w:t>
            </w:r>
          </w:p>
        </w:tc>
        <w:tc>
          <w:tcPr>
            <w:tcW w:w="0" w:type="auto"/>
            <w:hideMark/>
          </w:tcPr>
          <w:p w:rsidR="00D45751" w:rsidRPr="00343E36" w:rsidRDefault="008E1F6A">
            <w:pPr>
              <w:spacing w:line="360" w:lineRule="auto"/>
              <w:jc w:val="both"/>
              <w:rPr>
                <w:rFonts w:ascii="Times New Roman" w:eastAsia="Times New Roman" w:hAnsi="Times New Roman" w:cs="Times New Roman"/>
                <w:b/>
                <w:sz w:val="24"/>
                <w:szCs w:val="24"/>
                <w:lang w:val="en-US"/>
              </w:rPr>
            </w:pPr>
            <w:r w:rsidRPr="00343E36">
              <w:rPr>
                <w:rFonts w:ascii="Times New Roman" w:eastAsia="Times New Roman" w:hAnsi="Times New Roman" w:cs="Times New Roman"/>
                <w:b/>
                <w:sz w:val="24"/>
                <w:szCs w:val="24"/>
                <w:lang w:val="en-US"/>
              </w:rPr>
              <w:t>Percentage</w:t>
            </w:r>
          </w:p>
        </w:tc>
      </w:tr>
      <w:tr w:rsidR="00D45751" w:rsidTr="00956D7E">
        <w:trPr>
          <w:trHeight w:val="439"/>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Daily</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w:t>
            </w:r>
          </w:p>
        </w:tc>
      </w:tr>
      <w:tr w:rsidR="00D45751" w:rsidTr="00956D7E">
        <w:trPr>
          <w:trHeight w:val="439"/>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 times per week</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D45751" w:rsidTr="00956D7E">
        <w:trPr>
          <w:trHeight w:val="427"/>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 times per week</w:t>
            </w:r>
          </w:p>
        </w:tc>
        <w:tc>
          <w:tcPr>
            <w:tcW w:w="0" w:type="auto"/>
            <w:hideMark/>
          </w:tcPr>
          <w:p w:rsidR="00D45751" w:rsidRDefault="00343E36"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39</w:t>
            </w:r>
          </w:p>
        </w:tc>
        <w:tc>
          <w:tcPr>
            <w:tcW w:w="0" w:type="auto"/>
            <w:hideMark/>
          </w:tcPr>
          <w:p w:rsidR="00D45751" w:rsidRDefault="00343E36"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21,33</w:t>
            </w:r>
          </w:p>
        </w:tc>
      </w:tr>
      <w:tr w:rsidR="00D45751" w:rsidTr="00956D7E">
        <w:trPr>
          <w:trHeight w:val="439"/>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 times per week</w:t>
            </w:r>
          </w:p>
        </w:tc>
        <w:tc>
          <w:tcPr>
            <w:tcW w:w="0" w:type="auto"/>
            <w:hideMark/>
          </w:tcPr>
          <w:p w:rsidR="00D45751" w:rsidRDefault="00343E36"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r w:rsidR="008E1F6A">
              <w:rPr>
                <w:rFonts w:ascii="Times New Roman" w:eastAsia="Times New Roman" w:hAnsi="Times New Roman" w:cs="Times New Roman"/>
                <w:sz w:val="24"/>
                <w:szCs w:val="24"/>
                <w:lang w:val="en-US"/>
              </w:rPr>
              <w:t>7</w:t>
            </w:r>
          </w:p>
        </w:tc>
        <w:tc>
          <w:tcPr>
            <w:tcW w:w="0" w:type="auto"/>
            <w:hideMark/>
          </w:tcPr>
          <w:p w:rsidR="00D45751" w:rsidRDefault="00343E36"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46.66</w:t>
            </w:r>
          </w:p>
        </w:tc>
      </w:tr>
      <w:tr w:rsidR="00D45751" w:rsidTr="00956D7E">
        <w:trPr>
          <w:trHeight w:val="451"/>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D45751" w:rsidRDefault="00D45751">
      <w:pPr>
        <w:shd w:val="clear" w:color="auto" w:fill="FFFFFF"/>
        <w:spacing w:before="240" w:after="240" w:line="360" w:lineRule="auto"/>
        <w:jc w:val="both"/>
        <w:rPr>
          <w:rFonts w:ascii="Times New Roman" w:eastAsia="Times New Roman" w:hAnsi="Times New Roman" w:cs="Times New Roman"/>
          <w:b/>
          <w:bCs/>
          <w:color w:val="0F1115"/>
          <w:sz w:val="24"/>
          <w:szCs w:val="24"/>
          <w:lang w:val="en-US"/>
        </w:rPr>
      </w:pPr>
    </w:p>
    <w:p w:rsidR="00D45751" w:rsidRDefault="008E1F6A">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rsidR="006F54D9" w:rsidRPr="006F54D9" w:rsidRDefault="006F54D9" w:rsidP="006F54D9">
      <w:pPr>
        <w:pStyle w:val="Caption"/>
        <w:keepNext/>
        <w:spacing w:line="360" w:lineRule="auto"/>
        <w:rPr>
          <w:rFonts w:ascii="Times New Roman" w:hAnsi="Times New Roman" w:cs="Times New Roman"/>
          <w:color w:val="auto"/>
          <w:sz w:val="24"/>
          <w:lang w:val="en-US"/>
        </w:rPr>
      </w:pPr>
      <w:r w:rsidRPr="006F54D9">
        <w:rPr>
          <w:rFonts w:ascii="Times New Roman" w:hAnsi="Times New Roman" w:cs="Times New Roman"/>
          <w:color w:val="auto"/>
          <w:sz w:val="24"/>
          <w:lang w:val="en-US"/>
        </w:rPr>
        <w:lastRenderedPageBreak/>
        <w:t xml:space="preserve">Table </w:t>
      </w:r>
      <w:r w:rsidRPr="006F54D9">
        <w:rPr>
          <w:rFonts w:ascii="Times New Roman" w:hAnsi="Times New Roman" w:cs="Times New Roman"/>
          <w:color w:val="auto"/>
          <w:sz w:val="24"/>
        </w:rPr>
        <w:fldChar w:fldCharType="begin"/>
      </w:r>
      <w:r w:rsidRPr="006F54D9">
        <w:rPr>
          <w:rFonts w:ascii="Times New Roman" w:hAnsi="Times New Roman" w:cs="Times New Roman"/>
          <w:color w:val="auto"/>
          <w:sz w:val="24"/>
          <w:lang w:val="en-US"/>
        </w:rPr>
        <w:instrText xml:space="preserve"> SEQ Table \* ARABIC </w:instrText>
      </w:r>
      <w:r w:rsidRPr="006F54D9">
        <w:rPr>
          <w:rFonts w:ascii="Times New Roman" w:hAnsi="Times New Roman" w:cs="Times New Roman"/>
          <w:color w:val="auto"/>
          <w:sz w:val="24"/>
        </w:rPr>
        <w:fldChar w:fldCharType="separate"/>
      </w:r>
      <w:r w:rsidR="00956D7E">
        <w:rPr>
          <w:rFonts w:ascii="Times New Roman" w:hAnsi="Times New Roman" w:cs="Times New Roman"/>
          <w:noProof/>
          <w:color w:val="auto"/>
          <w:sz w:val="24"/>
          <w:lang w:val="en-US"/>
        </w:rPr>
        <w:t>5</w:t>
      </w:r>
      <w:r w:rsidRPr="006F54D9">
        <w:rPr>
          <w:rFonts w:ascii="Times New Roman" w:hAnsi="Times New Roman" w:cs="Times New Roman"/>
          <w:color w:val="auto"/>
          <w:sz w:val="24"/>
        </w:rPr>
        <w:fldChar w:fldCharType="end"/>
      </w:r>
      <w:r w:rsidRPr="006F54D9">
        <w:rPr>
          <w:rFonts w:ascii="Times New Roman" w:hAnsi="Times New Roman" w:cs="Times New Roman"/>
          <w:color w:val="auto"/>
          <w:sz w:val="24"/>
          <w:lang w:val="en-US"/>
        </w:rPr>
        <w:t xml:space="preserve"> Consumption frequency of garden products for households without vegetable gardens</w:t>
      </w:r>
    </w:p>
    <w:tbl>
      <w:tblPr>
        <w:tblStyle w:val="TableGrid"/>
        <w:tblW w:w="8910" w:type="dxa"/>
        <w:tblLook w:val="04A0" w:firstRow="1" w:lastRow="0" w:firstColumn="1" w:lastColumn="0" w:noHBand="0" w:noVBand="1"/>
      </w:tblPr>
      <w:tblGrid>
        <w:gridCol w:w="4536"/>
        <w:gridCol w:w="2155"/>
        <w:gridCol w:w="2219"/>
      </w:tblGrid>
      <w:tr w:rsidR="00D45751" w:rsidRPr="006F54D9" w:rsidTr="00956D7E">
        <w:trPr>
          <w:trHeight w:val="411"/>
        </w:trPr>
        <w:tc>
          <w:tcPr>
            <w:tcW w:w="0" w:type="auto"/>
            <w:hideMark/>
          </w:tcPr>
          <w:p w:rsidR="00D45751" w:rsidRPr="006F54D9" w:rsidRDefault="008E1F6A">
            <w:pPr>
              <w:spacing w:line="360" w:lineRule="auto"/>
              <w:jc w:val="both"/>
              <w:rPr>
                <w:rFonts w:ascii="Times New Roman" w:eastAsia="Times New Roman" w:hAnsi="Times New Roman" w:cs="Times New Roman"/>
                <w:b/>
                <w:sz w:val="24"/>
                <w:szCs w:val="24"/>
                <w:lang w:val="en-US"/>
              </w:rPr>
            </w:pPr>
            <w:r w:rsidRPr="006F54D9">
              <w:rPr>
                <w:rFonts w:ascii="Times New Roman" w:eastAsia="Times New Roman" w:hAnsi="Times New Roman" w:cs="Times New Roman"/>
                <w:b/>
                <w:sz w:val="24"/>
                <w:szCs w:val="24"/>
                <w:lang w:val="en-US"/>
              </w:rPr>
              <w:t>Consumption Frequency</w:t>
            </w:r>
          </w:p>
        </w:tc>
        <w:tc>
          <w:tcPr>
            <w:tcW w:w="0" w:type="auto"/>
            <w:hideMark/>
          </w:tcPr>
          <w:p w:rsidR="00D45751" w:rsidRPr="006F54D9" w:rsidRDefault="008E1F6A">
            <w:pPr>
              <w:spacing w:line="360" w:lineRule="auto"/>
              <w:jc w:val="both"/>
              <w:rPr>
                <w:rFonts w:ascii="Times New Roman" w:eastAsia="Times New Roman" w:hAnsi="Times New Roman" w:cs="Times New Roman"/>
                <w:b/>
                <w:sz w:val="24"/>
                <w:szCs w:val="24"/>
                <w:lang w:val="en-US"/>
              </w:rPr>
            </w:pPr>
            <w:r w:rsidRPr="006F54D9">
              <w:rPr>
                <w:rFonts w:ascii="Times New Roman" w:eastAsia="Times New Roman" w:hAnsi="Times New Roman" w:cs="Times New Roman"/>
                <w:b/>
                <w:sz w:val="24"/>
                <w:szCs w:val="24"/>
                <w:lang w:val="en-US"/>
              </w:rPr>
              <w:t>Frequency</w:t>
            </w:r>
          </w:p>
        </w:tc>
        <w:tc>
          <w:tcPr>
            <w:tcW w:w="0" w:type="auto"/>
            <w:hideMark/>
          </w:tcPr>
          <w:p w:rsidR="00D45751" w:rsidRPr="006F54D9" w:rsidRDefault="008E1F6A">
            <w:pPr>
              <w:spacing w:line="360" w:lineRule="auto"/>
              <w:jc w:val="both"/>
              <w:rPr>
                <w:rFonts w:ascii="Times New Roman" w:eastAsia="Times New Roman" w:hAnsi="Times New Roman" w:cs="Times New Roman"/>
                <w:b/>
                <w:sz w:val="24"/>
                <w:szCs w:val="24"/>
                <w:lang w:val="en-US"/>
              </w:rPr>
            </w:pPr>
            <w:r w:rsidRPr="006F54D9">
              <w:rPr>
                <w:rFonts w:ascii="Times New Roman" w:eastAsia="Times New Roman" w:hAnsi="Times New Roman" w:cs="Times New Roman"/>
                <w:b/>
                <w:sz w:val="24"/>
                <w:szCs w:val="24"/>
                <w:lang w:val="en-US"/>
              </w:rPr>
              <w:t>Percentage</w:t>
            </w:r>
          </w:p>
        </w:tc>
      </w:tr>
      <w:tr w:rsidR="00D45751" w:rsidTr="00956D7E">
        <w:trPr>
          <w:trHeight w:val="411"/>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Daily</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D45751" w:rsidTr="00956D7E">
        <w:trPr>
          <w:trHeight w:val="411"/>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 times per week</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r w:rsidR="00B626C1">
              <w:rPr>
                <w:rFonts w:ascii="Times New Roman" w:eastAsia="Times New Roman" w:hAnsi="Times New Roman" w:cs="Times New Roman"/>
                <w:sz w:val="24"/>
                <w:szCs w:val="24"/>
                <w:lang w:val="en-US"/>
              </w:rPr>
              <w:t>7</w:t>
            </w:r>
          </w:p>
        </w:tc>
      </w:tr>
      <w:tr w:rsidR="00D45751" w:rsidTr="00956D7E">
        <w:trPr>
          <w:trHeight w:val="399"/>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 times per week</w:t>
            </w:r>
          </w:p>
        </w:tc>
        <w:tc>
          <w:tcPr>
            <w:tcW w:w="0" w:type="auto"/>
            <w:hideMark/>
          </w:tcPr>
          <w:p w:rsidR="00D45751" w:rsidRDefault="00343E36"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116</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r>
      <w:tr w:rsidR="00D45751" w:rsidTr="00956D7E">
        <w:trPr>
          <w:trHeight w:val="411"/>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 times per week</w:t>
            </w:r>
          </w:p>
        </w:tc>
        <w:tc>
          <w:tcPr>
            <w:tcW w:w="0" w:type="auto"/>
            <w:hideMark/>
          </w:tcPr>
          <w:p w:rsidR="00D45751" w:rsidRDefault="00343E36"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8E1F6A">
              <w:rPr>
                <w:rFonts w:ascii="Times New Roman" w:eastAsia="Times New Roman" w:hAnsi="Times New Roman" w:cs="Times New Roman"/>
                <w:sz w:val="24"/>
                <w:szCs w:val="24"/>
                <w:lang w:val="en-US"/>
              </w:rPr>
              <w:t>2</w:t>
            </w:r>
          </w:p>
        </w:tc>
        <w:tc>
          <w:tcPr>
            <w:tcW w:w="0" w:type="auto"/>
            <w:hideMark/>
          </w:tcPr>
          <w:p w:rsidR="00D45751" w:rsidRDefault="00343E36"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r w:rsidR="008E1F6A">
              <w:rPr>
                <w:rFonts w:ascii="Times New Roman" w:eastAsia="Times New Roman" w:hAnsi="Times New Roman" w:cs="Times New Roman"/>
                <w:sz w:val="24"/>
                <w:szCs w:val="24"/>
                <w:lang w:val="en-US"/>
              </w:rPr>
              <w:t>.</w:t>
            </w:r>
            <w:r w:rsidR="00B626C1">
              <w:rPr>
                <w:rFonts w:ascii="Times New Roman" w:eastAsia="Times New Roman" w:hAnsi="Times New Roman" w:cs="Times New Roman"/>
                <w:sz w:val="24"/>
                <w:szCs w:val="24"/>
                <w:lang w:val="en-US"/>
              </w:rPr>
              <w:t>3</w:t>
            </w:r>
          </w:p>
        </w:tc>
      </w:tr>
      <w:tr w:rsidR="00D45751" w:rsidTr="00956D7E">
        <w:trPr>
          <w:trHeight w:val="422"/>
        </w:trPr>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 xml:space="preserve">The dramatic difference in daily consumption of garden products between households with gardens (28%) and without (4%) highlights the direct impact of home production on food consumption patterns. This supports findings by </w:t>
      </w:r>
      <w:proofErr w:type="spellStart"/>
      <w:r w:rsidR="00343E36" w:rsidRPr="00343E36">
        <w:rPr>
          <w:rStyle w:val="Strong"/>
          <w:rFonts w:ascii="Times New Roman" w:hAnsi="Times New Roman" w:cs="Times New Roman"/>
          <w:b w:val="0"/>
          <w:color w:val="0F1115"/>
          <w:sz w:val="24"/>
          <w:szCs w:val="24"/>
          <w:shd w:val="clear" w:color="auto" w:fill="FFFFFF"/>
          <w:lang w:val="en-US"/>
        </w:rPr>
        <w:t>Schreinemachers</w:t>
      </w:r>
      <w:proofErr w:type="spellEnd"/>
      <w:r w:rsidR="00343E36" w:rsidRPr="00343E36">
        <w:rPr>
          <w:rStyle w:val="Strong"/>
          <w:rFonts w:ascii="Times New Roman" w:hAnsi="Times New Roman" w:cs="Times New Roman"/>
          <w:b w:val="0"/>
          <w:color w:val="0F1115"/>
          <w:sz w:val="24"/>
          <w:szCs w:val="24"/>
          <w:shd w:val="clear" w:color="auto" w:fill="FFFFFF"/>
          <w:lang w:val="en-US"/>
        </w:rPr>
        <w:t xml:space="preserve"> (2017)</w:t>
      </w:r>
      <w:r w:rsidRPr="00343E36">
        <w:rPr>
          <w:rFonts w:ascii="Times New Roman" w:eastAsia="Times New Roman" w:hAnsi="Times New Roman" w:cs="Times New Roman"/>
          <w:b/>
          <w:color w:val="0F1115"/>
          <w:sz w:val="24"/>
          <w:szCs w:val="24"/>
          <w:lang w:val="en-US"/>
        </w:rPr>
        <w:t xml:space="preserve"> </w:t>
      </w:r>
      <w:r w:rsidRPr="00343E36">
        <w:rPr>
          <w:rFonts w:ascii="Times New Roman" w:eastAsia="Times New Roman" w:hAnsi="Times New Roman" w:cs="Times New Roman"/>
          <w:color w:val="0F1115"/>
          <w:sz w:val="24"/>
          <w:szCs w:val="24"/>
          <w:lang w:val="en-US"/>
        </w:rPr>
        <w:t>and</w:t>
      </w:r>
      <w:r w:rsidRPr="00343E36">
        <w:rPr>
          <w:rFonts w:ascii="Times New Roman" w:eastAsia="Times New Roman" w:hAnsi="Times New Roman" w:cs="Times New Roman"/>
          <w:b/>
          <w:color w:val="0F1115"/>
          <w:sz w:val="24"/>
          <w:szCs w:val="24"/>
          <w:lang w:val="en-US"/>
        </w:rPr>
        <w:t xml:space="preserve"> </w:t>
      </w:r>
      <w:proofErr w:type="spellStart"/>
      <w:r w:rsidR="00343E36" w:rsidRPr="00343E36">
        <w:rPr>
          <w:rStyle w:val="Strong"/>
          <w:rFonts w:ascii="Times New Roman" w:hAnsi="Times New Roman" w:cs="Times New Roman"/>
          <w:b w:val="0"/>
          <w:color w:val="0F1115"/>
          <w:sz w:val="24"/>
          <w:szCs w:val="24"/>
          <w:shd w:val="clear" w:color="auto" w:fill="FFFFFF"/>
          <w:lang w:val="en-US"/>
        </w:rPr>
        <w:t>Baliki</w:t>
      </w:r>
      <w:proofErr w:type="spellEnd"/>
      <w:r w:rsidR="00343E36" w:rsidRPr="00343E36">
        <w:rPr>
          <w:rStyle w:val="Strong"/>
          <w:rFonts w:ascii="Segoe UI" w:hAnsi="Segoe UI" w:cs="Segoe UI"/>
          <w:color w:val="0F1115"/>
          <w:shd w:val="clear" w:color="auto" w:fill="FFFFFF"/>
          <w:lang w:val="en-US"/>
        </w:rPr>
        <w:t xml:space="preserve"> </w:t>
      </w:r>
      <w:r w:rsidR="00343E36">
        <w:rPr>
          <w:rFonts w:ascii="Times New Roman" w:eastAsia="Times New Roman" w:hAnsi="Times New Roman" w:cs="Times New Roman"/>
          <w:color w:val="0F1115"/>
          <w:sz w:val="24"/>
          <w:szCs w:val="24"/>
          <w:lang w:val="en-US"/>
        </w:rPr>
        <w:t>et al. (2019</w:t>
      </w:r>
      <w:r>
        <w:rPr>
          <w:rFonts w:ascii="Times New Roman" w:eastAsia="Times New Roman" w:hAnsi="Times New Roman" w:cs="Times New Roman"/>
          <w:color w:val="0F1115"/>
          <w:sz w:val="24"/>
          <w:szCs w:val="24"/>
          <w:lang w:val="en-US"/>
        </w:rPr>
        <w:t>), who documented similar patterns in other African contexts</w:t>
      </w:r>
      <w:r w:rsidR="009306F1">
        <w:rPr>
          <w:rFonts w:ascii="Times New Roman" w:hAnsi="Times New Roman" w:cs="Times New Roman"/>
          <w:color w:val="0F1115"/>
          <w:sz w:val="24"/>
          <w:szCs w:val="24"/>
          <w:lang w:val="en-US"/>
        </w:rPr>
        <w:t xml:space="preserve"> [11, 12</w:t>
      </w:r>
      <w:r w:rsidRPr="007E45B3">
        <w:rPr>
          <w:rFonts w:ascii="Times New Roman" w:hAnsi="Times New Roman" w:cs="Times New Roman"/>
          <w:color w:val="0F1115"/>
          <w:sz w:val="24"/>
          <w:szCs w:val="24"/>
          <w:lang w:val="en-US"/>
        </w:rPr>
        <w:t>]</w:t>
      </w:r>
      <w:r>
        <w:rPr>
          <w:rFonts w:ascii="Times New Roman" w:eastAsia="Times New Roman" w:hAnsi="Times New Roman" w:cs="Times New Roman"/>
          <w:color w:val="0F1115"/>
          <w:sz w:val="24"/>
          <w:szCs w:val="24"/>
          <w:lang w:val="en-US"/>
        </w:rPr>
        <w:t>.</w:t>
      </w:r>
    </w:p>
    <w:p w:rsidR="00D45751" w:rsidRDefault="008E1F6A">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t>3.3. Nutritional Status Assessment</w:t>
      </w:r>
    </w:p>
    <w:p w:rsidR="006F54D9" w:rsidRPr="006F54D9" w:rsidRDefault="006F54D9" w:rsidP="006F54D9">
      <w:pPr>
        <w:pStyle w:val="Caption"/>
        <w:keepNext/>
        <w:spacing w:line="360" w:lineRule="auto"/>
        <w:jc w:val="both"/>
        <w:rPr>
          <w:rFonts w:ascii="Times New Roman" w:hAnsi="Times New Roman" w:cs="Times New Roman"/>
          <w:color w:val="auto"/>
          <w:sz w:val="24"/>
          <w:lang w:val="en-US"/>
        </w:rPr>
      </w:pPr>
      <w:r w:rsidRPr="006F54D9">
        <w:rPr>
          <w:rFonts w:ascii="Times New Roman" w:hAnsi="Times New Roman" w:cs="Times New Roman"/>
          <w:color w:val="auto"/>
          <w:sz w:val="24"/>
          <w:lang w:val="en-US"/>
        </w:rPr>
        <w:t xml:space="preserve">Table </w:t>
      </w:r>
      <w:r w:rsidRPr="006F54D9">
        <w:rPr>
          <w:rFonts w:ascii="Times New Roman" w:hAnsi="Times New Roman" w:cs="Times New Roman"/>
          <w:color w:val="auto"/>
          <w:sz w:val="24"/>
        </w:rPr>
        <w:fldChar w:fldCharType="begin"/>
      </w:r>
      <w:r w:rsidRPr="006F54D9">
        <w:rPr>
          <w:rFonts w:ascii="Times New Roman" w:hAnsi="Times New Roman" w:cs="Times New Roman"/>
          <w:color w:val="auto"/>
          <w:sz w:val="24"/>
          <w:lang w:val="en-US"/>
        </w:rPr>
        <w:instrText xml:space="preserve"> SEQ Table \* ARABIC </w:instrText>
      </w:r>
      <w:r w:rsidRPr="006F54D9">
        <w:rPr>
          <w:rFonts w:ascii="Times New Roman" w:hAnsi="Times New Roman" w:cs="Times New Roman"/>
          <w:color w:val="auto"/>
          <w:sz w:val="24"/>
        </w:rPr>
        <w:fldChar w:fldCharType="separate"/>
      </w:r>
      <w:r w:rsidR="00956D7E">
        <w:rPr>
          <w:rFonts w:ascii="Times New Roman" w:hAnsi="Times New Roman" w:cs="Times New Roman"/>
          <w:noProof/>
          <w:color w:val="auto"/>
          <w:sz w:val="24"/>
          <w:lang w:val="en-US"/>
        </w:rPr>
        <w:t>6</w:t>
      </w:r>
      <w:r w:rsidRPr="006F54D9">
        <w:rPr>
          <w:rFonts w:ascii="Times New Roman" w:hAnsi="Times New Roman" w:cs="Times New Roman"/>
          <w:color w:val="auto"/>
          <w:sz w:val="24"/>
        </w:rPr>
        <w:fldChar w:fldCharType="end"/>
      </w:r>
      <w:r w:rsidRPr="006F54D9">
        <w:rPr>
          <w:rFonts w:ascii="Times New Roman" w:hAnsi="Times New Roman" w:cs="Times New Roman"/>
          <w:color w:val="auto"/>
          <w:sz w:val="24"/>
          <w:lang w:val="en-US"/>
        </w:rPr>
        <w:t xml:space="preserve"> Weight status of children: Weight-for-age (households with vegetable gardens)</w:t>
      </w:r>
      <w:r>
        <w:rPr>
          <w:rFonts w:ascii="Times New Roman" w:hAnsi="Times New Roman" w:cs="Times New Roman"/>
          <w:color w:val="auto"/>
          <w:sz w:val="24"/>
          <w:lang w:val="en-US"/>
        </w:rPr>
        <w:t xml:space="preserve"> according to the WHO classification</w:t>
      </w:r>
    </w:p>
    <w:tbl>
      <w:tblPr>
        <w:tblStyle w:val="TableGrid"/>
        <w:tblW w:w="8927" w:type="dxa"/>
        <w:tblLook w:val="04A0" w:firstRow="1" w:lastRow="0" w:firstColumn="1" w:lastColumn="0" w:noHBand="0" w:noVBand="1"/>
      </w:tblPr>
      <w:tblGrid>
        <w:gridCol w:w="5030"/>
        <w:gridCol w:w="1623"/>
        <w:gridCol w:w="2274"/>
      </w:tblGrid>
      <w:tr w:rsidR="006F54D9" w:rsidRPr="006F54D9" w:rsidTr="00956D7E">
        <w:trPr>
          <w:trHeight w:val="413"/>
        </w:trPr>
        <w:tc>
          <w:tcPr>
            <w:tcW w:w="0" w:type="auto"/>
            <w:hideMark/>
          </w:tcPr>
          <w:p w:rsidR="006F54D9" w:rsidRPr="006F54D9" w:rsidRDefault="006F54D9">
            <w:pPr>
              <w:spacing w:line="360" w:lineRule="auto"/>
              <w:jc w:val="both"/>
              <w:rPr>
                <w:rFonts w:ascii="Times New Roman" w:eastAsia="Times New Roman" w:hAnsi="Times New Roman" w:cs="Times New Roman"/>
                <w:b/>
                <w:sz w:val="24"/>
                <w:szCs w:val="24"/>
                <w:lang w:val="en-US"/>
              </w:rPr>
            </w:pPr>
            <w:r w:rsidRPr="006F54D9">
              <w:rPr>
                <w:rFonts w:ascii="Times New Roman" w:eastAsia="Times New Roman" w:hAnsi="Times New Roman" w:cs="Times New Roman"/>
                <w:b/>
                <w:sz w:val="24"/>
                <w:szCs w:val="24"/>
                <w:lang w:val="en-US"/>
              </w:rPr>
              <w:t>Z-Score Value (W/A)</w:t>
            </w:r>
          </w:p>
        </w:tc>
        <w:tc>
          <w:tcPr>
            <w:tcW w:w="0" w:type="auto"/>
            <w:hideMark/>
          </w:tcPr>
          <w:p w:rsidR="006F54D9" w:rsidRPr="006F54D9" w:rsidRDefault="006F54D9">
            <w:pPr>
              <w:spacing w:line="360" w:lineRule="auto"/>
              <w:jc w:val="both"/>
              <w:rPr>
                <w:rFonts w:ascii="Times New Roman" w:eastAsia="Times New Roman" w:hAnsi="Times New Roman" w:cs="Times New Roman"/>
                <w:b/>
                <w:sz w:val="24"/>
                <w:szCs w:val="24"/>
                <w:lang w:val="en-US"/>
              </w:rPr>
            </w:pPr>
            <w:r w:rsidRPr="006F54D9">
              <w:rPr>
                <w:rFonts w:ascii="Times New Roman" w:eastAsia="Times New Roman" w:hAnsi="Times New Roman" w:cs="Times New Roman"/>
                <w:b/>
                <w:sz w:val="24"/>
                <w:szCs w:val="24"/>
                <w:lang w:val="en-US"/>
              </w:rPr>
              <w:t>Results</w:t>
            </w:r>
          </w:p>
        </w:tc>
        <w:tc>
          <w:tcPr>
            <w:tcW w:w="0" w:type="auto"/>
            <w:hideMark/>
          </w:tcPr>
          <w:p w:rsidR="006F54D9" w:rsidRPr="006F54D9" w:rsidRDefault="006F54D9">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Percentage</w:t>
            </w:r>
          </w:p>
        </w:tc>
      </w:tr>
      <w:tr w:rsidR="006F54D9" w:rsidTr="00956D7E">
        <w:trPr>
          <w:trHeight w:val="413"/>
        </w:trPr>
        <w:tc>
          <w:tcPr>
            <w:tcW w:w="0" w:type="auto"/>
            <w:hideMark/>
          </w:tcPr>
          <w:p w:rsidR="006F54D9" w:rsidRDefault="006F54D9">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-1 (normal)</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127</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68</w:t>
            </w:r>
          </w:p>
        </w:tc>
      </w:tr>
      <w:tr w:rsidR="006F54D9" w:rsidTr="00956D7E">
        <w:trPr>
          <w:trHeight w:val="413"/>
        </w:trPr>
        <w:tc>
          <w:tcPr>
            <w:tcW w:w="0" w:type="auto"/>
            <w:hideMark/>
          </w:tcPr>
          <w:p w:rsidR="006F54D9" w:rsidRDefault="006F54D9">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-2 (moderate underweight)</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w:t>
            </w:r>
          </w:p>
        </w:tc>
      </w:tr>
      <w:tr w:rsidR="006F54D9" w:rsidTr="00956D7E">
        <w:trPr>
          <w:trHeight w:val="413"/>
        </w:trPr>
        <w:tc>
          <w:tcPr>
            <w:tcW w:w="0" w:type="auto"/>
            <w:hideMark/>
          </w:tcPr>
          <w:p w:rsidR="006F54D9" w:rsidRDefault="006F54D9">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-3 (severe underweight)</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6F54D9" w:rsidTr="00956D7E">
        <w:trPr>
          <w:trHeight w:val="413"/>
        </w:trPr>
        <w:tc>
          <w:tcPr>
            <w:tcW w:w="0" w:type="auto"/>
            <w:hideMark/>
          </w:tcPr>
          <w:p w:rsidR="006F54D9" w:rsidRDefault="006F54D9">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D45751" w:rsidRDefault="00D45751">
      <w:pPr>
        <w:shd w:val="clear" w:color="auto" w:fill="FFFFFF"/>
        <w:spacing w:before="240" w:after="240" w:line="360" w:lineRule="auto"/>
        <w:jc w:val="both"/>
        <w:rPr>
          <w:rFonts w:ascii="Times New Roman" w:eastAsia="Times New Roman" w:hAnsi="Times New Roman" w:cs="Times New Roman"/>
          <w:b/>
          <w:bCs/>
          <w:color w:val="0F1115"/>
          <w:sz w:val="24"/>
          <w:szCs w:val="24"/>
          <w:lang w:val="en-US"/>
        </w:rPr>
      </w:pPr>
    </w:p>
    <w:p w:rsidR="00D45751" w:rsidRDefault="008E1F6A">
      <w:pPr>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br w:type="page"/>
      </w:r>
    </w:p>
    <w:p w:rsidR="006F54D9" w:rsidRPr="006F54D9" w:rsidRDefault="006F54D9" w:rsidP="006F54D9">
      <w:pPr>
        <w:pStyle w:val="Caption"/>
        <w:keepNext/>
        <w:spacing w:line="360" w:lineRule="auto"/>
        <w:jc w:val="both"/>
        <w:rPr>
          <w:rFonts w:ascii="Times New Roman" w:hAnsi="Times New Roman" w:cs="Times New Roman"/>
          <w:color w:val="auto"/>
          <w:sz w:val="24"/>
          <w:lang w:val="en-US"/>
        </w:rPr>
      </w:pPr>
      <w:r w:rsidRPr="006F54D9">
        <w:rPr>
          <w:rFonts w:ascii="Times New Roman" w:hAnsi="Times New Roman" w:cs="Times New Roman"/>
          <w:color w:val="auto"/>
          <w:sz w:val="24"/>
          <w:lang w:val="en-US"/>
        </w:rPr>
        <w:lastRenderedPageBreak/>
        <w:t xml:space="preserve">Table </w:t>
      </w:r>
      <w:r w:rsidRPr="006F54D9">
        <w:rPr>
          <w:rFonts w:ascii="Times New Roman" w:hAnsi="Times New Roman" w:cs="Times New Roman"/>
          <w:color w:val="auto"/>
          <w:sz w:val="24"/>
        </w:rPr>
        <w:fldChar w:fldCharType="begin"/>
      </w:r>
      <w:r w:rsidRPr="006F54D9">
        <w:rPr>
          <w:rFonts w:ascii="Times New Roman" w:hAnsi="Times New Roman" w:cs="Times New Roman"/>
          <w:color w:val="auto"/>
          <w:sz w:val="24"/>
          <w:lang w:val="en-US"/>
        </w:rPr>
        <w:instrText xml:space="preserve"> SEQ Table \* ARABIC </w:instrText>
      </w:r>
      <w:r w:rsidRPr="006F54D9">
        <w:rPr>
          <w:rFonts w:ascii="Times New Roman" w:hAnsi="Times New Roman" w:cs="Times New Roman"/>
          <w:color w:val="auto"/>
          <w:sz w:val="24"/>
        </w:rPr>
        <w:fldChar w:fldCharType="separate"/>
      </w:r>
      <w:r w:rsidR="00956D7E">
        <w:rPr>
          <w:rFonts w:ascii="Times New Roman" w:hAnsi="Times New Roman" w:cs="Times New Roman"/>
          <w:noProof/>
          <w:color w:val="auto"/>
          <w:sz w:val="24"/>
          <w:lang w:val="en-US"/>
        </w:rPr>
        <w:t>7</w:t>
      </w:r>
      <w:r w:rsidRPr="006F54D9">
        <w:rPr>
          <w:rFonts w:ascii="Times New Roman" w:hAnsi="Times New Roman" w:cs="Times New Roman"/>
          <w:color w:val="auto"/>
          <w:sz w:val="24"/>
        </w:rPr>
        <w:fldChar w:fldCharType="end"/>
      </w:r>
      <w:r w:rsidRPr="006F54D9">
        <w:rPr>
          <w:rFonts w:ascii="Times New Roman" w:hAnsi="Times New Roman" w:cs="Times New Roman"/>
          <w:color w:val="auto"/>
          <w:sz w:val="24"/>
          <w:lang w:val="en-US"/>
        </w:rPr>
        <w:t xml:space="preserve"> Weight status of children: Weight-for-age (households without vegetable gardens) according to the WHO classification</w:t>
      </w:r>
    </w:p>
    <w:tbl>
      <w:tblPr>
        <w:tblStyle w:val="TableGrid"/>
        <w:tblW w:w="9013" w:type="dxa"/>
        <w:tblLook w:val="04A0" w:firstRow="1" w:lastRow="0" w:firstColumn="1" w:lastColumn="0" w:noHBand="0" w:noVBand="1"/>
      </w:tblPr>
      <w:tblGrid>
        <w:gridCol w:w="4672"/>
        <w:gridCol w:w="1508"/>
        <w:gridCol w:w="2833"/>
      </w:tblGrid>
      <w:tr w:rsidR="006F54D9" w:rsidRPr="006F54D9" w:rsidTr="00956D7E">
        <w:trPr>
          <w:trHeight w:val="449"/>
        </w:trPr>
        <w:tc>
          <w:tcPr>
            <w:tcW w:w="0" w:type="auto"/>
            <w:hideMark/>
          </w:tcPr>
          <w:p w:rsidR="006F54D9" w:rsidRPr="006F54D9" w:rsidRDefault="006F54D9">
            <w:pPr>
              <w:spacing w:line="360" w:lineRule="auto"/>
              <w:jc w:val="both"/>
              <w:rPr>
                <w:rFonts w:ascii="Times New Roman" w:eastAsia="Times New Roman" w:hAnsi="Times New Roman" w:cs="Times New Roman"/>
                <w:b/>
                <w:sz w:val="24"/>
                <w:szCs w:val="24"/>
                <w:lang w:val="en-US"/>
              </w:rPr>
            </w:pPr>
            <w:r w:rsidRPr="006F54D9">
              <w:rPr>
                <w:rFonts w:ascii="Times New Roman" w:eastAsia="Times New Roman" w:hAnsi="Times New Roman" w:cs="Times New Roman"/>
                <w:b/>
                <w:sz w:val="24"/>
                <w:szCs w:val="24"/>
                <w:lang w:val="en-US"/>
              </w:rPr>
              <w:t>Z-Score Value (W/A)</w:t>
            </w:r>
          </w:p>
        </w:tc>
        <w:tc>
          <w:tcPr>
            <w:tcW w:w="0" w:type="auto"/>
            <w:hideMark/>
          </w:tcPr>
          <w:p w:rsidR="006F54D9" w:rsidRPr="006F54D9" w:rsidRDefault="006F54D9">
            <w:pPr>
              <w:spacing w:line="360" w:lineRule="auto"/>
              <w:jc w:val="both"/>
              <w:rPr>
                <w:rFonts w:ascii="Times New Roman" w:eastAsia="Times New Roman" w:hAnsi="Times New Roman" w:cs="Times New Roman"/>
                <w:b/>
                <w:sz w:val="24"/>
                <w:szCs w:val="24"/>
                <w:lang w:val="en-US"/>
              </w:rPr>
            </w:pPr>
            <w:r w:rsidRPr="006F54D9">
              <w:rPr>
                <w:rFonts w:ascii="Times New Roman" w:eastAsia="Times New Roman" w:hAnsi="Times New Roman" w:cs="Times New Roman"/>
                <w:b/>
                <w:sz w:val="24"/>
                <w:szCs w:val="24"/>
                <w:lang w:val="en-US"/>
              </w:rPr>
              <w:t>Results</w:t>
            </w:r>
          </w:p>
        </w:tc>
        <w:tc>
          <w:tcPr>
            <w:tcW w:w="0" w:type="auto"/>
            <w:hideMark/>
          </w:tcPr>
          <w:p w:rsidR="006F54D9" w:rsidRPr="006F54D9" w:rsidRDefault="00364516">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Percentage</w:t>
            </w:r>
            <w:r w:rsidR="006F54D9" w:rsidRPr="006F54D9">
              <w:rPr>
                <w:rFonts w:ascii="Times New Roman" w:eastAsia="Times New Roman" w:hAnsi="Times New Roman" w:cs="Times New Roman"/>
                <w:b/>
                <w:sz w:val="24"/>
                <w:szCs w:val="24"/>
                <w:lang w:val="en-US"/>
              </w:rPr>
              <w:t xml:space="preserve"> (%)</w:t>
            </w:r>
          </w:p>
        </w:tc>
      </w:tr>
      <w:tr w:rsidR="006F54D9" w:rsidTr="00956D7E">
        <w:trPr>
          <w:trHeight w:val="449"/>
        </w:trPr>
        <w:tc>
          <w:tcPr>
            <w:tcW w:w="0" w:type="auto"/>
            <w:hideMark/>
          </w:tcPr>
          <w:p w:rsidR="006F54D9" w:rsidRDefault="006F54D9">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-1 (normal)</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114</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61.</w:t>
            </w:r>
            <w:r w:rsidR="00B626C1">
              <w:rPr>
                <w:rFonts w:ascii="Times New Roman" w:eastAsia="Times New Roman" w:hAnsi="Times New Roman" w:cs="Times New Roman"/>
                <w:sz w:val="24"/>
                <w:szCs w:val="24"/>
                <w:lang w:val="en-US"/>
              </w:rPr>
              <w:t>3</w:t>
            </w:r>
          </w:p>
        </w:tc>
      </w:tr>
      <w:tr w:rsidR="006F54D9" w:rsidTr="00956D7E">
        <w:trPr>
          <w:trHeight w:val="449"/>
        </w:trPr>
        <w:tc>
          <w:tcPr>
            <w:tcW w:w="0" w:type="auto"/>
            <w:hideMark/>
          </w:tcPr>
          <w:p w:rsidR="006F54D9" w:rsidRDefault="006F54D9">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-2 (moderate underweight)</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33.3</w:t>
            </w:r>
          </w:p>
        </w:tc>
      </w:tr>
      <w:tr w:rsidR="006F54D9" w:rsidTr="00956D7E">
        <w:trPr>
          <w:trHeight w:val="436"/>
        </w:trPr>
        <w:tc>
          <w:tcPr>
            <w:tcW w:w="0" w:type="auto"/>
            <w:hideMark/>
          </w:tcPr>
          <w:p w:rsidR="006F54D9" w:rsidRDefault="006F54D9">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-3 (severe underweight)</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B626C1">
              <w:rPr>
                <w:rFonts w:ascii="Times New Roman" w:eastAsia="Times New Roman" w:hAnsi="Times New Roman" w:cs="Times New Roman"/>
                <w:sz w:val="24"/>
                <w:szCs w:val="24"/>
                <w:lang w:val="en-US"/>
              </w:rPr>
              <w:t>4</w:t>
            </w:r>
          </w:p>
        </w:tc>
      </w:tr>
      <w:tr w:rsidR="006F54D9" w:rsidTr="00956D7E">
        <w:trPr>
          <w:trHeight w:val="461"/>
        </w:trPr>
        <w:tc>
          <w:tcPr>
            <w:tcW w:w="0" w:type="auto"/>
            <w:hideMark/>
          </w:tcPr>
          <w:p w:rsidR="006F54D9" w:rsidRDefault="006F54D9">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6F54D9" w:rsidRDefault="006F54D9"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The prevalence of underweight was significantly lower in gardening households (</w:t>
      </w:r>
      <w:r w:rsidR="006F54D9" w:rsidRPr="006F54D9">
        <w:rPr>
          <w:rFonts w:ascii="Times New Roman" w:eastAsia="Times New Roman" w:hAnsi="Times New Roman" w:cs="Times New Roman"/>
          <w:b/>
          <w:color w:val="0F1115"/>
          <w:sz w:val="24"/>
          <w:szCs w:val="24"/>
          <w:lang w:val="en-US"/>
        </w:rPr>
        <w:t>Table 6</w:t>
      </w:r>
      <w:r w:rsidR="006F54D9">
        <w:rPr>
          <w:rFonts w:ascii="Times New Roman" w:eastAsia="Times New Roman" w:hAnsi="Times New Roman" w:cs="Times New Roman"/>
          <w:color w:val="0F1115"/>
          <w:sz w:val="24"/>
          <w:szCs w:val="24"/>
          <w:lang w:val="en-US"/>
        </w:rPr>
        <w:t xml:space="preserve">: </w:t>
      </w:r>
      <w:r>
        <w:rPr>
          <w:rFonts w:ascii="Times New Roman" w:eastAsia="Times New Roman" w:hAnsi="Times New Roman" w:cs="Times New Roman"/>
          <w:color w:val="0F1115"/>
          <w:sz w:val="24"/>
          <w:szCs w:val="24"/>
          <w:lang w:val="en-US"/>
        </w:rPr>
        <w:t>32%</w:t>
      </w:r>
      <w:r w:rsidR="006F54D9">
        <w:rPr>
          <w:rFonts w:ascii="Times New Roman" w:eastAsia="Times New Roman" w:hAnsi="Times New Roman" w:cs="Times New Roman"/>
          <w:color w:val="0F1115"/>
          <w:sz w:val="24"/>
          <w:szCs w:val="24"/>
          <w:lang w:val="en-US"/>
        </w:rPr>
        <w:t xml:space="preserve"> with 28% for </w:t>
      </w:r>
      <w:r w:rsidR="006F54D9">
        <w:rPr>
          <w:rFonts w:ascii="Times New Roman" w:eastAsia="Times New Roman" w:hAnsi="Times New Roman" w:cs="Times New Roman"/>
          <w:sz w:val="24"/>
          <w:szCs w:val="24"/>
          <w:lang w:val="en-US"/>
        </w:rPr>
        <w:t>moderate underweight and 4% for severe underweight</w:t>
      </w:r>
      <w:r>
        <w:rPr>
          <w:rFonts w:ascii="Times New Roman" w:eastAsia="Times New Roman" w:hAnsi="Times New Roman" w:cs="Times New Roman"/>
          <w:color w:val="0F1115"/>
          <w:sz w:val="24"/>
          <w:szCs w:val="24"/>
          <w:lang w:val="en-US"/>
        </w:rPr>
        <w:t>) compared to</w:t>
      </w:r>
      <w:r w:rsidR="00B626C1">
        <w:rPr>
          <w:rFonts w:ascii="Times New Roman" w:eastAsia="Times New Roman" w:hAnsi="Times New Roman" w:cs="Times New Roman"/>
          <w:color w:val="0F1115"/>
          <w:sz w:val="24"/>
          <w:szCs w:val="24"/>
          <w:lang w:val="en-US"/>
        </w:rPr>
        <w:t xml:space="preserve"> non-gardening households (38.7</w:t>
      </w:r>
      <w:r>
        <w:rPr>
          <w:rFonts w:ascii="Times New Roman" w:eastAsia="Times New Roman" w:hAnsi="Times New Roman" w:cs="Times New Roman"/>
          <w:color w:val="0F1115"/>
          <w:sz w:val="24"/>
          <w:szCs w:val="24"/>
          <w:lang w:val="en-US"/>
        </w:rPr>
        <w:t xml:space="preserve">%). This 6.7 percentage point difference represents a substantial protective effect, consistent with findings by </w:t>
      </w:r>
      <w:r w:rsidR="001E2A85" w:rsidRPr="001E2A85">
        <w:rPr>
          <w:rStyle w:val="Strong"/>
          <w:rFonts w:ascii="Times New Roman" w:hAnsi="Times New Roman" w:cs="Times New Roman"/>
          <w:b w:val="0"/>
          <w:color w:val="0F1115"/>
          <w:sz w:val="24"/>
          <w:shd w:val="clear" w:color="auto" w:fill="FFFFFF"/>
          <w:lang w:val="en-US"/>
        </w:rPr>
        <w:t>Masset</w:t>
      </w:r>
      <w:r w:rsidR="001E2A85" w:rsidRPr="001E2A85">
        <w:rPr>
          <w:rFonts w:ascii="Times New Roman" w:eastAsia="Times New Roman" w:hAnsi="Times New Roman" w:cs="Times New Roman"/>
          <w:color w:val="0F1115"/>
          <w:sz w:val="28"/>
          <w:szCs w:val="24"/>
          <w:lang w:val="en-US"/>
        </w:rPr>
        <w:t xml:space="preserve"> </w:t>
      </w:r>
      <w:r w:rsidR="001E2A85">
        <w:rPr>
          <w:rFonts w:ascii="Times New Roman" w:eastAsia="Times New Roman" w:hAnsi="Times New Roman" w:cs="Times New Roman"/>
          <w:color w:val="0F1115"/>
          <w:sz w:val="24"/>
          <w:szCs w:val="24"/>
          <w:lang w:val="en-US"/>
        </w:rPr>
        <w:t>et al. (2012</w:t>
      </w:r>
      <w:r>
        <w:rPr>
          <w:rFonts w:ascii="Times New Roman" w:eastAsia="Times New Roman" w:hAnsi="Times New Roman" w:cs="Times New Roman"/>
          <w:color w:val="0F1115"/>
          <w:sz w:val="24"/>
          <w:szCs w:val="24"/>
          <w:lang w:val="en-US"/>
        </w:rPr>
        <w:t>) who reported similar benefits of home gardening in other resource-poor settings</w:t>
      </w:r>
      <w:r w:rsidR="009306F1">
        <w:rPr>
          <w:rFonts w:ascii="Times New Roman" w:hAnsi="Times New Roman" w:cs="Times New Roman"/>
          <w:color w:val="0F1115"/>
          <w:sz w:val="24"/>
          <w:szCs w:val="24"/>
          <w:lang w:val="en-US"/>
        </w:rPr>
        <w:t xml:space="preserve"> [13</w:t>
      </w:r>
      <w:r>
        <w:rPr>
          <w:rFonts w:ascii="Times New Roman" w:hAnsi="Times New Roman" w:cs="Times New Roman"/>
          <w:color w:val="0F1115"/>
          <w:sz w:val="24"/>
          <w:szCs w:val="24"/>
          <w:lang w:val="en-US"/>
        </w:rPr>
        <w:t>]</w:t>
      </w:r>
      <w:r>
        <w:rPr>
          <w:rFonts w:ascii="Times New Roman" w:eastAsia="Times New Roman" w:hAnsi="Times New Roman" w:cs="Times New Roman"/>
          <w:color w:val="0F1115"/>
          <w:sz w:val="24"/>
          <w:szCs w:val="24"/>
          <w:lang w:val="en-US"/>
        </w:rPr>
        <w:t>.</w:t>
      </w:r>
    </w:p>
    <w:p w:rsidR="006F54D9" w:rsidRPr="006F54D9" w:rsidRDefault="006F54D9" w:rsidP="006F54D9">
      <w:pPr>
        <w:pStyle w:val="Caption"/>
        <w:keepNext/>
        <w:spacing w:line="360" w:lineRule="auto"/>
        <w:jc w:val="both"/>
        <w:rPr>
          <w:rFonts w:ascii="Times New Roman" w:hAnsi="Times New Roman" w:cs="Times New Roman"/>
          <w:color w:val="auto"/>
          <w:sz w:val="24"/>
          <w:lang w:val="en-US"/>
        </w:rPr>
      </w:pPr>
      <w:r w:rsidRPr="006F54D9">
        <w:rPr>
          <w:rFonts w:ascii="Times New Roman" w:hAnsi="Times New Roman" w:cs="Times New Roman"/>
          <w:color w:val="auto"/>
          <w:sz w:val="24"/>
          <w:lang w:val="en-US"/>
        </w:rPr>
        <w:t xml:space="preserve">Table </w:t>
      </w:r>
      <w:r w:rsidRPr="006F54D9">
        <w:rPr>
          <w:rFonts w:ascii="Times New Roman" w:hAnsi="Times New Roman" w:cs="Times New Roman"/>
          <w:color w:val="auto"/>
          <w:sz w:val="24"/>
        </w:rPr>
        <w:fldChar w:fldCharType="begin"/>
      </w:r>
      <w:r w:rsidRPr="006F54D9">
        <w:rPr>
          <w:rFonts w:ascii="Times New Roman" w:hAnsi="Times New Roman" w:cs="Times New Roman"/>
          <w:color w:val="auto"/>
          <w:sz w:val="24"/>
          <w:lang w:val="en-US"/>
        </w:rPr>
        <w:instrText xml:space="preserve"> SEQ Table \* ARABIC </w:instrText>
      </w:r>
      <w:r w:rsidRPr="006F54D9">
        <w:rPr>
          <w:rFonts w:ascii="Times New Roman" w:hAnsi="Times New Roman" w:cs="Times New Roman"/>
          <w:color w:val="auto"/>
          <w:sz w:val="24"/>
        </w:rPr>
        <w:fldChar w:fldCharType="separate"/>
      </w:r>
      <w:r w:rsidR="00956D7E">
        <w:rPr>
          <w:rFonts w:ascii="Times New Roman" w:hAnsi="Times New Roman" w:cs="Times New Roman"/>
          <w:noProof/>
          <w:color w:val="auto"/>
          <w:sz w:val="24"/>
          <w:lang w:val="en-US"/>
        </w:rPr>
        <w:t>8</w:t>
      </w:r>
      <w:r w:rsidRPr="006F54D9">
        <w:rPr>
          <w:rFonts w:ascii="Times New Roman" w:hAnsi="Times New Roman" w:cs="Times New Roman"/>
          <w:color w:val="auto"/>
          <w:sz w:val="24"/>
        </w:rPr>
        <w:fldChar w:fldCharType="end"/>
      </w:r>
      <w:r w:rsidRPr="006F54D9">
        <w:rPr>
          <w:rFonts w:ascii="Times New Roman" w:hAnsi="Times New Roman" w:cs="Times New Roman"/>
          <w:color w:val="auto"/>
          <w:sz w:val="24"/>
          <w:lang w:val="en-US"/>
        </w:rPr>
        <w:t xml:space="preserve"> Wasting in children: Weight-for-height (households with vegetable gardens) according to the WHO classification</w:t>
      </w:r>
    </w:p>
    <w:tbl>
      <w:tblPr>
        <w:tblStyle w:val="TableGrid"/>
        <w:tblW w:w="8928" w:type="dxa"/>
        <w:tblLook w:val="04A0" w:firstRow="1" w:lastRow="0" w:firstColumn="1" w:lastColumn="0" w:noHBand="0" w:noVBand="1"/>
      </w:tblPr>
      <w:tblGrid>
        <w:gridCol w:w="5005"/>
        <w:gridCol w:w="1363"/>
        <w:gridCol w:w="2560"/>
      </w:tblGrid>
      <w:tr w:rsidR="00956D7E" w:rsidRPr="006F54D9" w:rsidTr="00956D7E">
        <w:trPr>
          <w:trHeight w:val="449"/>
        </w:trPr>
        <w:tc>
          <w:tcPr>
            <w:tcW w:w="0" w:type="auto"/>
            <w:hideMark/>
          </w:tcPr>
          <w:p w:rsidR="00956D7E" w:rsidRPr="006F54D9" w:rsidRDefault="00956D7E">
            <w:pPr>
              <w:spacing w:line="360" w:lineRule="auto"/>
              <w:jc w:val="both"/>
              <w:rPr>
                <w:rFonts w:ascii="Times New Roman" w:eastAsia="Times New Roman" w:hAnsi="Times New Roman" w:cs="Times New Roman"/>
                <w:b/>
                <w:sz w:val="24"/>
                <w:szCs w:val="24"/>
                <w:lang w:val="en-US"/>
              </w:rPr>
            </w:pPr>
            <w:r w:rsidRPr="006F54D9">
              <w:rPr>
                <w:rFonts w:ascii="Times New Roman" w:eastAsia="Times New Roman" w:hAnsi="Times New Roman" w:cs="Times New Roman"/>
                <w:b/>
                <w:sz w:val="24"/>
                <w:szCs w:val="24"/>
                <w:lang w:val="en-US"/>
              </w:rPr>
              <w:t>Z-Score Value (W/H)</w:t>
            </w:r>
          </w:p>
        </w:tc>
        <w:tc>
          <w:tcPr>
            <w:tcW w:w="0" w:type="auto"/>
            <w:hideMark/>
          </w:tcPr>
          <w:p w:rsidR="00956D7E" w:rsidRPr="006F54D9" w:rsidRDefault="00956D7E">
            <w:pPr>
              <w:spacing w:line="360" w:lineRule="auto"/>
              <w:jc w:val="both"/>
              <w:rPr>
                <w:rFonts w:ascii="Times New Roman" w:eastAsia="Times New Roman" w:hAnsi="Times New Roman" w:cs="Times New Roman"/>
                <w:b/>
                <w:sz w:val="24"/>
                <w:szCs w:val="24"/>
                <w:lang w:val="en-US"/>
              </w:rPr>
            </w:pPr>
            <w:r w:rsidRPr="006F54D9">
              <w:rPr>
                <w:rFonts w:ascii="Times New Roman" w:eastAsia="Times New Roman" w:hAnsi="Times New Roman" w:cs="Times New Roman"/>
                <w:b/>
                <w:sz w:val="24"/>
                <w:szCs w:val="24"/>
                <w:lang w:val="en-US"/>
              </w:rPr>
              <w:t>Results</w:t>
            </w:r>
          </w:p>
        </w:tc>
        <w:tc>
          <w:tcPr>
            <w:tcW w:w="0" w:type="auto"/>
            <w:hideMark/>
          </w:tcPr>
          <w:p w:rsidR="00956D7E" w:rsidRPr="006F54D9" w:rsidRDefault="00364516">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Percentage</w:t>
            </w:r>
            <w:r w:rsidR="00956D7E" w:rsidRPr="001E2A85">
              <w:rPr>
                <w:rFonts w:ascii="Times New Roman" w:eastAsia="Times New Roman" w:hAnsi="Times New Roman" w:cs="Times New Roman"/>
                <w:b/>
                <w:sz w:val="24"/>
                <w:szCs w:val="24"/>
                <w:lang w:val="en-US"/>
              </w:rPr>
              <w:t xml:space="preserve"> (%)</w:t>
            </w:r>
          </w:p>
        </w:tc>
      </w:tr>
      <w:tr w:rsidR="00956D7E" w:rsidTr="00956D7E">
        <w:trPr>
          <w:trHeight w:val="462"/>
        </w:trPr>
        <w:tc>
          <w:tcPr>
            <w:tcW w:w="0" w:type="auto"/>
            <w:hideMark/>
          </w:tcPr>
          <w:p w:rsidR="00956D7E" w:rsidRDefault="00956D7E">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-1 (normal)</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179</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96</w:t>
            </w:r>
          </w:p>
        </w:tc>
      </w:tr>
      <w:tr w:rsidR="00956D7E" w:rsidTr="00956D7E">
        <w:trPr>
          <w:trHeight w:val="462"/>
        </w:trPr>
        <w:tc>
          <w:tcPr>
            <w:tcW w:w="0" w:type="auto"/>
            <w:hideMark/>
          </w:tcPr>
          <w:p w:rsidR="00956D7E" w:rsidRDefault="00956D7E">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-2 (moderate acute malnutrition)</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r>
      <w:tr w:rsidR="00956D7E" w:rsidTr="00956D7E">
        <w:trPr>
          <w:trHeight w:val="462"/>
        </w:trPr>
        <w:tc>
          <w:tcPr>
            <w:tcW w:w="0" w:type="auto"/>
            <w:hideMark/>
          </w:tcPr>
          <w:p w:rsidR="00956D7E" w:rsidRDefault="00956D7E">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-3 (severe acute malnutrition)</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r>
      <w:tr w:rsidR="00956D7E" w:rsidTr="00956D7E">
        <w:trPr>
          <w:trHeight w:val="475"/>
        </w:trPr>
        <w:tc>
          <w:tcPr>
            <w:tcW w:w="0" w:type="auto"/>
            <w:hideMark/>
          </w:tcPr>
          <w:p w:rsidR="00956D7E" w:rsidRDefault="00956D7E">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D45751" w:rsidRDefault="00D45751">
      <w:pPr>
        <w:shd w:val="clear" w:color="auto" w:fill="FFFFFF"/>
        <w:spacing w:before="240" w:after="240" w:line="360" w:lineRule="auto"/>
        <w:jc w:val="both"/>
        <w:rPr>
          <w:rFonts w:ascii="Times New Roman" w:eastAsia="Times New Roman" w:hAnsi="Times New Roman" w:cs="Times New Roman"/>
          <w:color w:val="0F1115"/>
          <w:sz w:val="24"/>
          <w:szCs w:val="24"/>
          <w:lang w:val="en-US"/>
        </w:rPr>
      </w:pPr>
    </w:p>
    <w:p w:rsidR="006F54D9" w:rsidRPr="006F54D9" w:rsidRDefault="006F54D9" w:rsidP="006F54D9">
      <w:pPr>
        <w:pStyle w:val="Caption"/>
        <w:keepNext/>
        <w:spacing w:line="360" w:lineRule="auto"/>
        <w:jc w:val="both"/>
        <w:rPr>
          <w:rFonts w:ascii="Times New Roman" w:hAnsi="Times New Roman" w:cs="Times New Roman"/>
          <w:color w:val="auto"/>
          <w:sz w:val="24"/>
          <w:lang w:val="en-US"/>
        </w:rPr>
      </w:pPr>
      <w:r w:rsidRPr="006F54D9">
        <w:rPr>
          <w:rFonts w:ascii="Times New Roman" w:hAnsi="Times New Roman" w:cs="Times New Roman"/>
          <w:color w:val="auto"/>
          <w:sz w:val="24"/>
          <w:lang w:val="en-US"/>
        </w:rPr>
        <w:t xml:space="preserve">Table </w:t>
      </w:r>
      <w:r w:rsidRPr="006F54D9">
        <w:rPr>
          <w:rFonts w:ascii="Times New Roman" w:hAnsi="Times New Roman" w:cs="Times New Roman"/>
          <w:color w:val="auto"/>
          <w:sz w:val="24"/>
        </w:rPr>
        <w:fldChar w:fldCharType="begin"/>
      </w:r>
      <w:r w:rsidRPr="006F54D9">
        <w:rPr>
          <w:rFonts w:ascii="Times New Roman" w:hAnsi="Times New Roman" w:cs="Times New Roman"/>
          <w:color w:val="auto"/>
          <w:sz w:val="24"/>
          <w:lang w:val="en-US"/>
        </w:rPr>
        <w:instrText xml:space="preserve"> SEQ Table \* ARABIC </w:instrText>
      </w:r>
      <w:r w:rsidRPr="006F54D9">
        <w:rPr>
          <w:rFonts w:ascii="Times New Roman" w:hAnsi="Times New Roman" w:cs="Times New Roman"/>
          <w:color w:val="auto"/>
          <w:sz w:val="24"/>
        </w:rPr>
        <w:fldChar w:fldCharType="separate"/>
      </w:r>
      <w:r w:rsidR="00956D7E">
        <w:rPr>
          <w:rFonts w:ascii="Times New Roman" w:hAnsi="Times New Roman" w:cs="Times New Roman"/>
          <w:noProof/>
          <w:color w:val="auto"/>
          <w:sz w:val="24"/>
          <w:lang w:val="en-US"/>
        </w:rPr>
        <w:t>9</w:t>
      </w:r>
      <w:r w:rsidRPr="006F54D9">
        <w:rPr>
          <w:rFonts w:ascii="Times New Roman" w:hAnsi="Times New Roman" w:cs="Times New Roman"/>
          <w:color w:val="auto"/>
          <w:sz w:val="24"/>
        </w:rPr>
        <w:fldChar w:fldCharType="end"/>
      </w:r>
      <w:r w:rsidRPr="006F54D9">
        <w:rPr>
          <w:rFonts w:ascii="Times New Roman" w:hAnsi="Times New Roman" w:cs="Times New Roman"/>
          <w:color w:val="auto"/>
          <w:sz w:val="24"/>
          <w:lang w:val="en-US"/>
        </w:rPr>
        <w:t xml:space="preserve"> Wasting in children: Weight-for-height (households without vegetable gardens) according to the WHO classification</w:t>
      </w:r>
    </w:p>
    <w:tbl>
      <w:tblPr>
        <w:tblStyle w:val="TableGrid"/>
        <w:tblW w:w="9032" w:type="dxa"/>
        <w:tblLook w:val="04A0" w:firstRow="1" w:lastRow="0" w:firstColumn="1" w:lastColumn="0" w:noHBand="0" w:noVBand="1"/>
      </w:tblPr>
      <w:tblGrid>
        <w:gridCol w:w="5063"/>
        <w:gridCol w:w="1379"/>
        <w:gridCol w:w="2590"/>
      </w:tblGrid>
      <w:tr w:rsidR="00956D7E" w:rsidRPr="001E2A85" w:rsidTr="00956D7E">
        <w:trPr>
          <w:trHeight w:val="442"/>
        </w:trPr>
        <w:tc>
          <w:tcPr>
            <w:tcW w:w="0" w:type="auto"/>
            <w:hideMark/>
          </w:tcPr>
          <w:p w:rsidR="00956D7E" w:rsidRPr="001E2A85" w:rsidRDefault="00956D7E">
            <w:pPr>
              <w:spacing w:line="360" w:lineRule="auto"/>
              <w:jc w:val="both"/>
              <w:rPr>
                <w:rFonts w:ascii="Times New Roman" w:eastAsia="Times New Roman" w:hAnsi="Times New Roman" w:cs="Times New Roman"/>
                <w:b/>
                <w:sz w:val="24"/>
                <w:szCs w:val="24"/>
                <w:lang w:val="en-US"/>
              </w:rPr>
            </w:pPr>
            <w:r w:rsidRPr="001E2A85">
              <w:rPr>
                <w:rFonts w:ascii="Times New Roman" w:eastAsia="Times New Roman" w:hAnsi="Times New Roman" w:cs="Times New Roman"/>
                <w:b/>
                <w:sz w:val="24"/>
                <w:szCs w:val="24"/>
                <w:lang w:val="en-US"/>
              </w:rPr>
              <w:t>Z-Score Value (W/H)</w:t>
            </w:r>
          </w:p>
        </w:tc>
        <w:tc>
          <w:tcPr>
            <w:tcW w:w="0" w:type="auto"/>
            <w:hideMark/>
          </w:tcPr>
          <w:p w:rsidR="00956D7E" w:rsidRPr="001E2A85" w:rsidRDefault="00956D7E">
            <w:pPr>
              <w:spacing w:line="360" w:lineRule="auto"/>
              <w:jc w:val="both"/>
              <w:rPr>
                <w:rFonts w:ascii="Times New Roman" w:eastAsia="Times New Roman" w:hAnsi="Times New Roman" w:cs="Times New Roman"/>
                <w:b/>
                <w:sz w:val="24"/>
                <w:szCs w:val="24"/>
                <w:lang w:val="en-US"/>
              </w:rPr>
            </w:pPr>
            <w:r w:rsidRPr="001E2A85">
              <w:rPr>
                <w:rFonts w:ascii="Times New Roman" w:eastAsia="Times New Roman" w:hAnsi="Times New Roman" w:cs="Times New Roman"/>
                <w:b/>
                <w:sz w:val="24"/>
                <w:szCs w:val="24"/>
                <w:lang w:val="en-US"/>
              </w:rPr>
              <w:t>Results</w:t>
            </w:r>
          </w:p>
        </w:tc>
        <w:tc>
          <w:tcPr>
            <w:tcW w:w="0" w:type="auto"/>
            <w:hideMark/>
          </w:tcPr>
          <w:p w:rsidR="00956D7E" w:rsidRPr="001E2A85" w:rsidRDefault="00364516">
            <w:pPr>
              <w:spacing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Percentage</w:t>
            </w:r>
            <w:r w:rsidR="00956D7E" w:rsidRPr="001E2A85">
              <w:rPr>
                <w:rFonts w:ascii="Times New Roman" w:eastAsia="Times New Roman" w:hAnsi="Times New Roman" w:cs="Times New Roman"/>
                <w:b/>
                <w:sz w:val="24"/>
                <w:szCs w:val="24"/>
                <w:lang w:val="en-US"/>
              </w:rPr>
              <w:t xml:space="preserve"> (%)</w:t>
            </w:r>
          </w:p>
        </w:tc>
      </w:tr>
      <w:tr w:rsidR="00956D7E" w:rsidTr="00956D7E">
        <w:trPr>
          <w:trHeight w:val="442"/>
        </w:trPr>
        <w:tc>
          <w:tcPr>
            <w:tcW w:w="0" w:type="auto"/>
            <w:hideMark/>
          </w:tcPr>
          <w:p w:rsidR="00956D7E" w:rsidRDefault="00956D7E">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-1 (normal)</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176</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94.6</w:t>
            </w:r>
          </w:p>
        </w:tc>
      </w:tr>
      <w:tr w:rsidR="00956D7E" w:rsidTr="00956D7E">
        <w:trPr>
          <w:trHeight w:val="442"/>
        </w:trPr>
        <w:tc>
          <w:tcPr>
            <w:tcW w:w="0" w:type="auto"/>
            <w:hideMark/>
          </w:tcPr>
          <w:p w:rsidR="00956D7E" w:rsidRDefault="00956D7E">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-2 (moderate acute malnutrition)</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w:t>
            </w:r>
          </w:p>
        </w:tc>
      </w:tr>
      <w:tr w:rsidR="00956D7E" w:rsidTr="00956D7E">
        <w:trPr>
          <w:trHeight w:val="442"/>
        </w:trPr>
        <w:tc>
          <w:tcPr>
            <w:tcW w:w="0" w:type="auto"/>
            <w:hideMark/>
          </w:tcPr>
          <w:p w:rsidR="00956D7E" w:rsidRDefault="00956D7E">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&lt; -3 (severe acute malnutrition)</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r w:rsidR="00B626C1">
              <w:rPr>
                <w:rFonts w:ascii="Times New Roman" w:eastAsia="Times New Roman" w:hAnsi="Times New Roman" w:cs="Times New Roman"/>
                <w:sz w:val="24"/>
                <w:szCs w:val="24"/>
                <w:lang w:val="en-US"/>
              </w:rPr>
              <w:t>1</w:t>
            </w:r>
          </w:p>
        </w:tc>
      </w:tr>
      <w:tr w:rsidR="00956D7E" w:rsidTr="00956D7E">
        <w:trPr>
          <w:trHeight w:val="442"/>
        </w:trPr>
        <w:tc>
          <w:tcPr>
            <w:tcW w:w="0" w:type="auto"/>
            <w:hideMark/>
          </w:tcPr>
          <w:p w:rsidR="00956D7E" w:rsidRDefault="00956D7E">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186</w:t>
            </w:r>
          </w:p>
        </w:tc>
        <w:tc>
          <w:tcPr>
            <w:tcW w:w="0" w:type="auto"/>
            <w:hideMark/>
          </w:tcPr>
          <w:p w:rsidR="00956D7E" w:rsidRDefault="00956D7E"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100</w:t>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lastRenderedPageBreak/>
        <w:t>The absence of severe acute malnutrition in gardening households (0%) compared t</w:t>
      </w:r>
      <w:r w:rsidR="00B626C1">
        <w:rPr>
          <w:rFonts w:ascii="Times New Roman" w:eastAsia="Times New Roman" w:hAnsi="Times New Roman" w:cs="Times New Roman"/>
          <w:color w:val="0F1115"/>
          <w:sz w:val="24"/>
          <w:szCs w:val="24"/>
          <w:lang w:val="en-US"/>
        </w:rPr>
        <w:t>o non-gardening households (1.1</w:t>
      </w:r>
      <w:r>
        <w:rPr>
          <w:rFonts w:ascii="Times New Roman" w:eastAsia="Times New Roman" w:hAnsi="Times New Roman" w:cs="Times New Roman"/>
          <w:color w:val="0F1115"/>
          <w:sz w:val="24"/>
          <w:szCs w:val="24"/>
          <w:lang w:val="en-US"/>
        </w:rPr>
        <w:t xml:space="preserve">%) is particularly noteworthy. This finding suggests that vegetable gardens may provide a critical safety net against the most severe forms of malnutrition, as documented by </w:t>
      </w:r>
      <w:proofErr w:type="spellStart"/>
      <w:r w:rsidR="00956D7E" w:rsidRPr="00956D7E">
        <w:rPr>
          <w:rStyle w:val="Strong"/>
          <w:rFonts w:ascii="Times New Roman" w:hAnsi="Times New Roman" w:cs="Times New Roman"/>
          <w:b w:val="0"/>
          <w:sz w:val="24"/>
          <w:shd w:val="clear" w:color="auto" w:fill="FFFFFF"/>
          <w:lang w:val="en-US"/>
        </w:rPr>
        <w:t>Berti</w:t>
      </w:r>
      <w:proofErr w:type="spellEnd"/>
      <w:r w:rsidR="00956D7E" w:rsidRPr="00956D7E">
        <w:rPr>
          <w:rFonts w:ascii="Times New Roman" w:eastAsia="Times New Roman" w:hAnsi="Times New Roman" w:cs="Times New Roman"/>
          <w:sz w:val="28"/>
          <w:szCs w:val="24"/>
          <w:lang w:val="en-US"/>
        </w:rPr>
        <w:t xml:space="preserve"> </w:t>
      </w:r>
      <w:r w:rsidR="00956D7E">
        <w:rPr>
          <w:rFonts w:ascii="Times New Roman" w:eastAsia="Times New Roman" w:hAnsi="Times New Roman" w:cs="Times New Roman"/>
          <w:color w:val="0F1115"/>
          <w:sz w:val="24"/>
          <w:szCs w:val="24"/>
          <w:lang w:val="en-US"/>
        </w:rPr>
        <w:t>et al. (2020</w:t>
      </w:r>
      <w:r>
        <w:rPr>
          <w:rFonts w:ascii="Times New Roman" w:eastAsia="Times New Roman" w:hAnsi="Times New Roman" w:cs="Times New Roman"/>
          <w:color w:val="0F1115"/>
          <w:sz w:val="24"/>
          <w:szCs w:val="24"/>
          <w:lang w:val="en-US"/>
        </w:rPr>
        <w:t>) in their study of gardening interventions in Burundi</w:t>
      </w:r>
      <w:r w:rsidR="009306F1">
        <w:rPr>
          <w:rFonts w:ascii="Times New Roman" w:hAnsi="Times New Roman" w:cs="Times New Roman"/>
          <w:color w:val="0F1115"/>
          <w:sz w:val="24"/>
          <w:szCs w:val="24"/>
          <w:lang w:val="en-US"/>
        </w:rPr>
        <w:t xml:space="preserve"> [14</w:t>
      </w:r>
      <w:r w:rsidRPr="007E45B3">
        <w:rPr>
          <w:rFonts w:ascii="Times New Roman" w:hAnsi="Times New Roman" w:cs="Times New Roman"/>
          <w:color w:val="0F1115"/>
          <w:sz w:val="24"/>
          <w:szCs w:val="24"/>
          <w:lang w:val="en-US"/>
        </w:rPr>
        <w:t>]</w:t>
      </w:r>
      <w:r>
        <w:rPr>
          <w:rFonts w:ascii="Times New Roman" w:eastAsia="Times New Roman" w:hAnsi="Times New Roman" w:cs="Times New Roman"/>
          <w:color w:val="0F1115"/>
          <w:sz w:val="24"/>
          <w:szCs w:val="24"/>
          <w:lang w:val="en-US"/>
        </w:rPr>
        <w:t>.</w:t>
      </w:r>
    </w:p>
    <w:p w:rsidR="00D45751" w:rsidRDefault="008E1F6A">
      <w:pPr>
        <w:shd w:val="clear" w:color="auto" w:fill="FFFFFF"/>
        <w:spacing w:before="240" w:after="240" w:line="360" w:lineRule="auto"/>
        <w:jc w:val="both"/>
        <w:outlineLvl w:val="3"/>
        <w:rPr>
          <w:rFonts w:ascii="Times New Roman" w:eastAsia="Times New Roman" w:hAnsi="Times New Roman" w:cs="Times New Roman"/>
          <w:b/>
          <w:bCs/>
          <w:color w:val="0F1115"/>
          <w:sz w:val="24"/>
          <w:szCs w:val="24"/>
          <w:lang w:val="en-US"/>
        </w:rPr>
      </w:pPr>
      <w:r>
        <w:rPr>
          <w:rFonts w:ascii="Times New Roman" w:eastAsia="Times New Roman" w:hAnsi="Times New Roman" w:cs="Times New Roman"/>
          <w:b/>
          <w:bCs/>
          <w:color w:val="0F1115"/>
          <w:sz w:val="24"/>
          <w:szCs w:val="24"/>
          <w:lang w:val="en-US"/>
        </w:rPr>
        <w:t>3.4. Key Determinants of Nutritional Status</w:t>
      </w:r>
    </w:p>
    <w:p w:rsidR="00956D7E" w:rsidRPr="00956D7E" w:rsidRDefault="00956D7E" w:rsidP="00956D7E">
      <w:pPr>
        <w:pStyle w:val="Caption"/>
        <w:keepNext/>
        <w:spacing w:line="360" w:lineRule="auto"/>
        <w:jc w:val="both"/>
        <w:rPr>
          <w:rFonts w:ascii="Times New Roman" w:hAnsi="Times New Roman" w:cs="Times New Roman"/>
          <w:color w:val="auto"/>
          <w:sz w:val="24"/>
          <w:lang w:val="en-US"/>
        </w:rPr>
      </w:pPr>
      <w:r w:rsidRPr="00956D7E">
        <w:rPr>
          <w:rFonts w:ascii="Times New Roman" w:hAnsi="Times New Roman" w:cs="Times New Roman"/>
          <w:color w:val="auto"/>
          <w:sz w:val="24"/>
          <w:lang w:val="en-US"/>
        </w:rPr>
        <w:t xml:space="preserve">Table </w:t>
      </w:r>
      <w:r w:rsidRPr="00956D7E">
        <w:rPr>
          <w:rFonts w:ascii="Times New Roman" w:hAnsi="Times New Roman" w:cs="Times New Roman"/>
          <w:color w:val="auto"/>
          <w:sz w:val="24"/>
        </w:rPr>
        <w:fldChar w:fldCharType="begin"/>
      </w:r>
      <w:r w:rsidRPr="00956D7E">
        <w:rPr>
          <w:rFonts w:ascii="Times New Roman" w:hAnsi="Times New Roman" w:cs="Times New Roman"/>
          <w:color w:val="auto"/>
          <w:sz w:val="24"/>
          <w:lang w:val="en-US"/>
        </w:rPr>
        <w:instrText xml:space="preserve"> SEQ Table \* ARABIC </w:instrText>
      </w:r>
      <w:r w:rsidRPr="00956D7E">
        <w:rPr>
          <w:rFonts w:ascii="Times New Roman" w:hAnsi="Times New Roman" w:cs="Times New Roman"/>
          <w:color w:val="auto"/>
          <w:sz w:val="24"/>
        </w:rPr>
        <w:fldChar w:fldCharType="separate"/>
      </w:r>
      <w:r>
        <w:rPr>
          <w:rFonts w:ascii="Times New Roman" w:hAnsi="Times New Roman" w:cs="Times New Roman"/>
          <w:noProof/>
          <w:color w:val="auto"/>
          <w:sz w:val="24"/>
          <w:lang w:val="en-US"/>
        </w:rPr>
        <w:t>10</w:t>
      </w:r>
      <w:r w:rsidRPr="00956D7E">
        <w:rPr>
          <w:rFonts w:ascii="Times New Roman" w:hAnsi="Times New Roman" w:cs="Times New Roman"/>
          <w:color w:val="auto"/>
          <w:sz w:val="24"/>
        </w:rPr>
        <w:fldChar w:fldCharType="end"/>
      </w:r>
      <w:r w:rsidRPr="00956D7E">
        <w:rPr>
          <w:rFonts w:ascii="Times New Roman" w:hAnsi="Times New Roman" w:cs="Times New Roman"/>
          <w:color w:val="auto"/>
          <w:sz w:val="24"/>
          <w:lang w:val="en-US"/>
        </w:rPr>
        <w:t xml:space="preserve"> Nutritional status of children according to households with access to other sources of fruits and vegetables</w:t>
      </w:r>
      <w:r>
        <w:rPr>
          <w:rFonts w:ascii="Times New Roman" w:hAnsi="Times New Roman" w:cs="Times New Roman"/>
          <w:color w:val="auto"/>
          <w:sz w:val="24"/>
          <w:lang w:val="en-US"/>
        </w:rPr>
        <w:t xml:space="preserve"> </w:t>
      </w:r>
      <w:r w:rsidRPr="006F54D9">
        <w:rPr>
          <w:rFonts w:ascii="Times New Roman" w:hAnsi="Times New Roman" w:cs="Times New Roman"/>
          <w:color w:val="auto"/>
          <w:sz w:val="24"/>
          <w:lang w:val="en-US"/>
        </w:rPr>
        <w:t>according to the WHO classification</w:t>
      </w:r>
    </w:p>
    <w:tbl>
      <w:tblPr>
        <w:tblStyle w:val="TableGrid"/>
        <w:tblW w:w="0" w:type="auto"/>
        <w:tblLook w:val="04A0" w:firstRow="1" w:lastRow="0" w:firstColumn="1" w:lastColumn="0" w:noHBand="0" w:noVBand="1"/>
      </w:tblPr>
      <w:tblGrid>
        <w:gridCol w:w="2184"/>
        <w:gridCol w:w="1304"/>
        <w:gridCol w:w="2464"/>
        <w:gridCol w:w="1090"/>
        <w:gridCol w:w="2246"/>
      </w:tblGrid>
      <w:tr w:rsidR="00956D7E" w:rsidRPr="00956D7E">
        <w:tc>
          <w:tcPr>
            <w:tcW w:w="0" w:type="auto"/>
            <w:hideMark/>
          </w:tcPr>
          <w:p w:rsidR="00D45751" w:rsidRPr="00956D7E" w:rsidRDefault="008E1F6A">
            <w:pPr>
              <w:spacing w:line="360" w:lineRule="auto"/>
              <w:jc w:val="both"/>
              <w:rPr>
                <w:rFonts w:ascii="Times New Roman" w:eastAsia="Times New Roman" w:hAnsi="Times New Roman" w:cs="Times New Roman"/>
                <w:b/>
                <w:sz w:val="24"/>
                <w:szCs w:val="24"/>
                <w:lang w:val="en-US"/>
              </w:rPr>
            </w:pPr>
            <w:r w:rsidRPr="00956D7E">
              <w:rPr>
                <w:rFonts w:ascii="Times New Roman" w:eastAsia="Times New Roman" w:hAnsi="Times New Roman" w:cs="Times New Roman"/>
                <w:b/>
                <w:sz w:val="24"/>
                <w:szCs w:val="24"/>
                <w:lang w:val="en-US"/>
              </w:rPr>
              <w:t>Households</w:t>
            </w:r>
          </w:p>
        </w:tc>
        <w:tc>
          <w:tcPr>
            <w:tcW w:w="0" w:type="auto"/>
            <w:hideMark/>
          </w:tcPr>
          <w:p w:rsidR="00D45751" w:rsidRPr="00956D7E" w:rsidRDefault="008E1F6A">
            <w:pPr>
              <w:spacing w:line="360" w:lineRule="auto"/>
              <w:jc w:val="both"/>
              <w:rPr>
                <w:rFonts w:ascii="Times New Roman" w:eastAsia="Times New Roman" w:hAnsi="Times New Roman" w:cs="Times New Roman"/>
                <w:b/>
                <w:sz w:val="24"/>
                <w:szCs w:val="24"/>
                <w:lang w:val="en-US"/>
              </w:rPr>
            </w:pPr>
            <w:r w:rsidRPr="00956D7E">
              <w:rPr>
                <w:rFonts w:ascii="Times New Roman" w:eastAsia="Times New Roman" w:hAnsi="Times New Roman" w:cs="Times New Roman"/>
                <w:b/>
                <w:sz w:val="24"/>
                <w:szCs w:val="24"/>
                <w:lang w:val="en-US"/>
              </w:rPr>
              <w:t>Normal (W/H)</w:t>
            </w:r>
          </w:p>
        </w:tc>
        <w:tc>
          <w:tcPr>
            <w:tcW w:w="0" w:type="auto"/>
            <w:hideMark/>
          </w:tcPr>
          <w:p w:rsidR="00D45751" w:rsidRPr="00956D7E" w:rsidRDefault="008E1F6A">
            <w:pPr>
              <w:spacing w:line="360" w:lineRule="auto"/>
              <w:jc w:val="both"/>
              <w:rPr>
                <w:rFonts w:ascii="Times New Roman" w:eastAsia="Times New Roman" w:hAnsi="Times New Roman" w:cs="Times New Roman"/>
                <w:b/>
                <w:sz w:val="24"/>
                <w:szCs w:val="24"/>
                <w:lang w:val="en-US"/>
              </w:rPr>
            </w:pPr>
            <w:r w:rsidRPr="00956D7E">
              <w:rPr>
                <w:rFonts w:ascii="Times New Roman" w:eastAsia="Times New Roman" w:hAnsi="Times New Roman" w:cs="Times New Roman"/>
                <w:b/>
                <w:sz w:val="24"/>
                <w:szCs w:val="24"/>
                <w:lang w:val="en-US"/>
              </w:rPr>
              <w:t>Moderate AM</w:t>
            </w:r>
            <w:r w:rsidR="00956D7E">
              <w:rPr>
                <w:rFonts w:ascii="Times New Roman" w:eastAsia="Times New Roman" w:hAnsi="Times New Roman" w:cs="Times New Roman"/>
                <w:b/>
                <w:sz w:val="24"/>
                <w:szCs w:val="24"/>
                <w:lang w:val="en-US"/>
              </w:rPr>
              <w:t xml:space="preserve"> : </w:t>
            </w:r>
            <w:r w:rsidR="00956D7E" w:rsidRPr="00956D7E">
              <w:rPr>
                <w:rFonts w:ascii="Times New Roman" w:eastAsia="Times New Roman" w:hAnsi="Times New Roman" w:cs="Times New Roman"/>
                <w:b/>
                <w:i/>
                <w:sz w:val="24"/>
                <w:szCs w:val="24"/>
                <w:lang w:val="en-US"/>
              </w:rPr>
              <w:t>Acute Malnutrition</w:t>
            </w:r>
          </w:p>
        </w:tc>
        <w:tc>
          <w:tcPr>
            <w:tcW w:w="0" w:type="auto"/>
            <w:hideMark/>
          </w:tcPr>
          <w:p w:rsidR="00D45751" w:rsidRPr="00956D7E" w:rsidRDefault="008E1F6A">
            <w:pPr>
              <w:spacing w:line="360" w:lineRule="auto"/>
              <w:jc w:val="both"/>
              <w:rPr>
                <w:rFonts w:ascii="Times New Roman" w:eastAsia="Times New Roman" w:hAnsi="Times New Roman" w:cs="Times New Roman"/>
                <w:b/>
                <w:sz w:val="24"/>
                <w:szCs w:val="24"/>
                <w:lang w:val="en-US"/>
              </w:rPr>
            </w:pPr>
            <w:r w:rsidRPr="00956D7E">
              <w:rPr>
                <w:rFonts w:ascii="Times New Roman" w:eastAsia="Times New Roman" w:hAnsi="Times New Roman" w:cs="Times New Roman"/>
                <w:b/>
                <w:sz w:val="24"/>
                <w:szCs w:val="24"/>
                <w:lang w:val="en-US"/>
              </w:rPr>
              <w:t>Severe AM</w:t>
            </w:r>
          </w:p>
        </w:tc>
        <w:tc>
          <w:tcPr>
            <w:tcW w:w="0" w:type="auto"/>
            <w:hideMark/>
          </w:tcPr>
          <w:p w:rsidR="00D45751" w:rsidRPr="00956D7E" w:rsidRDefault="008E1F6A">
            <w:pPr>
              <w:spacing w:line="360" w:lineRule="auto"/>
              <w:jc w:val="both"/>
              <w:rPr>
                <w:rFonts w:ascii="Times New Roman" w:eastAsia="Times New Roman" w:hAnsi="Times New Roman" w:cs="Times New Roman"/>
                <w:b/>
                <w:sz w:val="24"/>
                <w:szCs w:val="24"/>
                <w:lang w:val="en-US"/>
              </w:rPr>
            </w:pPr>
            <w:r w:rsidRPr="00956D7E">
              <w:rPr>
                <w:rFonts w:ascii="Times New Roman" w:eastAsia="Times New Roman" w:hAnsi="Times New Roman" w:cs="Times New Roman"/>
                <w:b/>
                <w:sz w:val="24"/>
                <w:szCs w:val="24"/>
                <w:lang w:val="en-US"/>
              </w:rPr>
              <w:t xml:space="preserve">Malnutrition </w:t>
            </w:r>
            <w:r w:rsidR="00364516">
              <w:rPr>
                <w:rFonts w:ascii="Times New Roman" w:eastAsia="Times New Roman" w:hAnsi="Times New Roman" w:cs="Times New Roman"/>
                <w:b/>
                <w:sz w:val="24"/>
                <w:szCs w:val="24"/>
                <w:lang w:val="en-US"/>
              </w:rPr>
              <w:t>Percentage</w:t>
            </w:r>
            <w:r w:rsidRPr="00956D7E">
              <w:rPr>
                <w:rFonts w:ascii="Times New Roman" w:eastAsia="Times New Roman" w:hAnsi="Times New Roman" w:cs="Times New Roman"/>
                <w:b/>
                <w:sz w:val="24"/>
                <w:szCs w:val="24"/>
                <w:lang w:val="en-US"/>
              </w:rPr>
              <w:t xml:space="preserve"> (%)</w:t>
            </w:r>
          </w:p>
        </w:tc>
      </w:tr>
      <w:tr w:rsidR="00956D7E">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With access to other sources</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342</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r w:rsidR="00B626C1">
              <w:rPr>
                <w:rFonts w:ascii="Times New Roman" w:eastAsia="Times New Roman" w:hAnsi="Times New Roman" w:cs="Times New Roman"/>
                <w:sz w:val="24"/>
                <w:szCs w:val="24"/>
                <w:lang w:val="en-US"/>
              </w:rPr>
              <w:t>4</w:t>
            </w:r>
          </w:p>
        </w:tc>
      </w:tr>
      <w:tr w:rsidR="00956D7E">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Without access to other sources</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r w:rsidR="00B626C1">
              <w:rPr>
                <w:rFonts w:ascii="Times New Roman" w:eastAsia="Times New Roman" w:hAnsi="Times New Roman" w:cs="Times New Roman"/>
                <w:sz w:val="24"/>
                <w:szCs w:val="24"/>
                <w:lang w:val="en-US"/>
              </w:rPr>
              <w:t>8</w:t>
            </w:r>
          </w:p>
        </w:tc>
      </w:tr>
      <w:tr w:rsidR="00956D7E">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355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0</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372</w:t>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Households with access to multiple sources of fruits and vegetables showed dramatically lower</w:t>
      </w:r>
      <w:r w:rsidR="00B626C1">
        <w:rPr>
          <w:rFonts w:ascii="Times New Roman" w:eastAsia="Times New Roman" w:hAnsi="Times New Roman" w:cs="Times New Roman"/>
          <w:color w:val="0F1115"/>
          <w:sz w:val="24"/>
          <w:szCs w:val="24"/>
          <w:lang w:val="en-US"/>
        </w:rPr>
        <w:t xml:space="preserve"> malnutrition </w:t>
      </w:r>
      <w:r w:rsidR="00364516" w:rsidRPr="00364516">
        <w:rPr>
          <w:rFonts w:ascii="Times New Roman" w:eastAsia="Times New Roman" w:hAnsi="Times New Roman" w:cs="Times New Roman"/>
          <w:sz w:val="24"/>
          <w:szCs w:val="24"/>
          <w:lang w:val="en-US"/>
        </w:rPr>
        <w:t>percentage</w:t>
      </w:r>
      <w:r w:rsidR="00B626C1">
        <w:rPr>
          <w:rFonts w:ascii="Times New Roman" w:eastAsia="Times New Roman" w:hAnsi="Times New Roman" w:cs="Times New Roman"/>
          <w:color w:val="0F1115"/>
          <w:sz w:val="24"/>
          <w:szCs w:val="24"/>
          <w:lang w:val="en-US"/>
        </w:rPr>
        <w:t xml:space="preserve"> (3.4</w:t>
      </w:r>
      <w:r>
        <w:rPr>
          <w:rFonts w:ascii="Times New Roman" w:eastAsia="Times New Roman" w:hAnsi="Times New Roman" w:cs="Times New Roman"/>
          <w:color w:val="0F1115"/>
          <w:sz w:val="24"/>
          <w:szCs w:val="24"/>
          <w:lang w:val="en-US"/>
        </w:rPr>
        <w:t xml:space="preserve">%) compared to </w:t>
      </w:r>
      <w:r w:rsidR="00B626C1">
        <w:rPr>
          <w:rFonts w:ascii="Times New Roman" w:eastAsia="Times New Roman" w:hAnsi="Times New Roman" w:cs="Times New Roman"/>
          <w:color w:val="0F1115"/>
          <w:sz w:val="24"/>
          <w:szCs w:val="24"/>
          <w:lang w:val="en-US"/>
        </w:rPr>
        <w:t>those without such access (27.8</w:t>
      </w:r>
      <w:r>
        <w:rPr>
          <w:rFonts w:ascii="Times New Roman" w:eastAsia="Times New Roman" w:hAnsi="Times New Roman" w:cs="Times New Roman"/>
          <w:color w:val="0F1115"/>
          <w:sz w:val="24"/>
          <w:szCs w:val="24"/>
          <w:lang w:val="en-US"/>
        </w:rPr>
        <w:t xml:space="preserve">%). This 24.39 percentage point difference underscores the critical importance of dietary diversity, supporting the findings of </w:t>
      </w:r>
      <w:r w:rsidR="00956D7E" w:rsidRPr="00956D7E">
        <w:rPr>
          <w:rStyle w:val="Strong"/>
          <w:rFonts w:ascii="Times New Roman" w:hAnsi="Times New Roman" w:cs="Times New Roman"/>
          <w:b w:val="0"/>
          <w:color w:val="0F1115"/>
          <w:sz w:val="24"/>
          <w:shd w:val="clear" w:color="auto" w:fill="FFFFFF"/>
          <w:lang w:val="en-US"/>
        </w:rPr>
        <w:t>Dillon</w:t>
      </w:r>
      <w:r w:rsidR="00956D7E" w:rsidRPr="00956D7E">
        <w:rPr>
          <w:rStyle w:val="Strong"/>
          <w:rFonts w:ascii="Segoe UI" w:hAnsi="Segoe UI" w:cs="Segoe UI"/>
          <w:color w:val="0F1115"/>
          <w:sz w:val="24"/>
          <w:shd w:val="clear" w:color="auto" w:fill="FFFFFF"/>
          <w:lang w:val="en-US"/>
        </w:rPr>
        <w:t xml:space="preserve"> </w:t>
      </w:r>
      <w:r w:rsidR="00956D7E">
        <w:rPr>
          <w:rFonts w:ascii="Times New Roman" w:eastAsia="Times New Roman" w:hAnsi="Times New Roman" w:cs="Times New Roman"/>
          <w:color w:val="0F1115"/>
          <w:sz w:val="24"/>
          <w:szCs w:val="24"/>
          <w:lang w:val="en-US"/>
        </w:rPr>
        <w:t>et al. (2015</w:t>
      </w:r>
      <w:r>
        <w:rPr>
          <w:rFonts w:ascii="Times New Roman" w:eastAsia="Times New Roman" w:hAnsi="Times New Roman" w:cs="Times New Roman"/>
          <w:color w:val="0F1115"/>
          <w:sz w:val="24"/>
          <w:szCs w:val="24"/>
          <w:lang w:val="en-US"/>
        </w:rPr>
        <w:t>) on the role of food variety in preventing malnutrition</w:t>
      </w:r>
      <w:r w:rsidR="009306F1">
        <w:rPr>
          <w:rFonts w:ascii="Times New Roman" w:hAnsi="Times New Roman" w:cs="Times New Roman"/>
          <w:color w:val="0F1115"/>
          <w:sz w:val="24"/>
          <w:szCs w:val="24"/>
          <w:lang w:val="en-US"/>
        </w:rPr>
        <w:t xml:space="preserve"> [15</w:t>
      </w:r>
      <w:r w:rsidRPr="007E45B3">
        <w:rPr>
          <w:rFonts w:ascii="Times New Roman" w:hAnsi="Times New Roman" w:cs="Times New Roman"/>
          <w:color w:val="0F1115"/>
          <w:sz w:val="24"/>
          <w:szCs w:val="24"/>
          <w:lang w:val="en-US"/>
        </w:rPr>
        <w:t>]</w:t>
      </w:r>
      <w:r>
        <w:rPr>
          <w:rFonts w:ascii="Times New Roman" w:eastAsia="Times New Roman" w:hAnsi="Times New Roman" w:cs="Times New Roman"/>
          <w:color w:val="0F1115"/>
          <w:sz w:val="24"/>
          <w:szCs w:val="24"/>
          <w:lang w:val="en-US"/>
        </w:rPr>
        <w:t>.</w:t>
      </w:r>
    </w:p>
    <w:p w:rsidR="00956D7E" w:rsidRPr="00956D7E" w:rsidRDefault="00956D7E" w:rsidP="00956D7E">
      <w:pPr>
        <w:pStyle w:val="Caption"/>
        <w:keepNext/>
        <w:spacing w:line="360" w:lineRule="auto"/>
        <w:jc w:val="both"/>
        <w:rPr>
          <w:rFonts w:ascii="Times New Roman" w:hAnsi="Times New Roman" w:cs="Times New Roman"/>
          <w:color w:val="auto"/>
          <w:sz w:val="24"/>
          <w:lang w:val="en-US"/>
        </w:rPr>
      </w:pPr>
      <w:r w:rsidRPr="00956D7E">
        <w:rPr>
          <w:rFonts w:ascii="Times New Roman" w:hAnsi="Times New Roman" w:cs="Times New Roman"/>
          <w:color w:val="auto"/>
          <w:sz w:val="24"/>
          <w:lang w:val="en-US"/>
        </w:rPr>
        <w:t xml:space="preserve">Table </w:t>
      </w:r>
      <w:r w:rsidRPr="00956D7E">
        <w:rPr>
          <w:rFonts w:ascii="Times New Roman" w:hAnsi="Times New Roman" w:cs="Times New Roman"/>
          <w:color w:val="auto"/>
          <w:sz w:val="24"/>
        </w:rPr>
        <w:fldChar w:fldCharType="begin"/>
      </w:r>
      <w:r w:rsidRPr="00956D7E">
        <w:rPr>
          <w:rFonts w:ascii="Times New Roman" w:hAnsi="Times New Roman" w:cs="Times New Roman"/>
          <w:color w:val="auto"/>
          <w:sz w:val="24"/>
          <w:lang w:val="en-US"/>
        </w:rPr>
        <w:instrText xml:space="preserve"> SEQ Table \* ARABIC </w:instrText>
      </w:r>
      <w:r w:rsidRPr="00956D7E">
        <w:rPr>
          <w:rFonts w:ascii="Times New Roman" w:hAnsi="Times New Roman" w:cs="Times New Roman"/>
          <w:color w:val="auto"/>
          <w:sz w:val="24"/>
        </w:rPr>
        <w:fldChar w:fldCharType="separate"/>
      </w:r>
      <w:r w:rsidRPr="00956D7E">
        <w:rPr>
          <w:rFonts w:ascii="Times New Roman" w:hAnsi="Times New Roman" w:cs="Times New Roman"/>
          <w:noProof/>
          <w:color w:val="auto"/>
          <w:sz w:val="24"/>
          <w:lang w:val="en-US"/>
        </w:rPr>
        <w:t>11</w:t>
      </w:r>
      <w:r w:rsidRPr="00956D7E">
        <w:rPr>
          <w:rFonts w:ascii="Times New Roman" w:hAnsi="Times New Roman" w:cs="Times New Roman"/>
          <w:color w:val="auto"/>
          <w:sz w:val="24"/>
        </w:rPr>
        <w:fldChar w:fldCharType="end"/>
      </w:r>
      <w:r w:rsidRPr="00956D7E">
        <w:rPr>
          <w:rFonts w:ascii="Times New Roman" w:hAnsi="Times New Roman" w:cs="Times New Roman"/>
          <w:color w:val="auto"/>
          <w:sz w:val="24"/>
          <w:lang w:val="en-US"/>
        </w:rPr>
        <w:t xml:space="preserve"> Nutritional status of children according to households with information or training on gardening and nutrition</w:t>
      </w:r>
    </w:p>
    <w:tbl>
      <w:tblPr>
        <w:tblStyle w:val="TableGrid"/>
        <w:tblW w:w="0" w:type="auto"/>
        <w:tblLook w:val="04A0" w:firstRow="1" w:lastRow="0" w:firstColumn="1" w:lastColumn="0" w:noHBand="0" w:noVBand="1"/>
      </w:tblPr>
      <w:tblGrid>
        <w:gridCol w:w="2666"/>
        <w:gridCol w:w="1428"/>
        <w:gridCol w:w="1490"/>
        <w:gridCol w:w="1170"/>
        <w:gridCol w:w="2534"/>
      </w:tblGrid>
      <w:tr w:rsidR="00D45751" w:rsidRPr="00956D7E">
        <w:tc>
          <w:tcPr>
            <w:tcW w:w="0" w:type="auto"/>
            <w:hideMark/>
          </w:tcPr>
          <w:p w:rsidR="00D45751" w:rsidRPr="00956D7E" w:rsidRDefault="008E1F6A">
            <w:pPr>
              <w:spacing w:line="360" w:lineRule="auto"/>
              <w:jc w:val="both"/>
              <w:rPr>
                <w:rFonts w:ascii="Times New Roman" w:eastAsia="Times New Roman" w:hAnsi="Times New Roman" w:cs="Times New Roman"/>
                <w:b/>
                <w:sz w:val="24"/>
                <w:szCs w:val="24"/>
                <w:lang w:val="en-US"/>
              </w:rPr>
            </w:pPr>
            <w:r w:rsidRPr="00956D7E">
              <w:rPr>
                <w:rFonts w:ascii="Times New Roman" w:eastAsia="Times New Roman" w:hAnsi="Times New Roman" w:cs="Times New Roman"/>
                <w:b/>
                <w:sz w:val="24"/>
                <w:szCs w:val="24"/>
                <w:lang w:val="en-US"/>
              </w:rPr>
              <w:t>Households</w:t>
            </w:r>
          </w:p>
        </w:tc>
        <w:tc>
          <w:tcPr>
            <w:tcW w:w="0" w:type="auto"/>
            <w:hideMark/>
          </w:tcPr>
          <w:p w:rsidR="00D45751" w:rsidRPr="00956D7E" w:rsidRDefault="008E1F6A">
            <w:pPr>
              <w:spacing w:line="360" w:lineRule="auto"/>
              <w:jc w:val="both"/>
              <w:rPr>
                <w:rFonts w:ascii="Times New Roman" w:eastAsia="Times New Roman" w:hAnsi="Times New Roman" w:cs="Times New Roman"/>
                <w:b/>
                <w:sz w:val="24"/>
                <w:szCs w:val="24"/>
                <w:lang w:val="en-US"/>
              </w:rPr>
            </w:pPr>
            <w:r w:rsidRPr="00956D7E">
              <w:rPr>
                <w:rFonts w:ascii="Times New Roman" w:eastAsia="Times New Roman" w:hAnsi="Times New Roman" w:cs="Times New Roman"/>
                <w:b/>
                <w:sz w:val="24"/>
                <w:szCs w:val="24"/>
                <w:lang w:val="en-US"/>
              </w:rPr>
              <w:t>Normal (W/H)</w:t>
            </w:r>
          </w:p>
        </w:tc>
        <w:tc>
          <w:tcPr>
            <w:tcW w:w="0" w:type="auto"/>
            <w:hideMark/>
          </w:tcPr>
          <w:p w:rsidR="00D45751" w:rsidRPr="00956D7E" w:rsidRDefault="008E1F6A">
            <w:pPr>
              <w:spacing w:line="360" w:lineRule="auto"/>
              <w:jc w:val="both"/>
              <w:rPr>
                <w:rFonts w:ascii="Times New Roman" w:eastAsia="Times New Roman" w:hAnsi="Times New Roman" w:cs="Times New Roman"/>
                <w:b/>
                <w:sz w:val="24"/>
                <w:szCs w:val="24"/>
                <w:lang w:val="en-US"/>
              </w:rPr>
            </w:pPr>
            <w:r w:rsidRPr="00956D7E">
              <w:rPr>
                <w:rFonts w:ascii="Times New Roman" w:eastAsia="Times New Roman" w:hAnsi="Times New Roman" w:cs="Times New Roman"/>
                <w:b/>
                <w:sz w:val="24"/>
                <w:szCs w:val="24"/>
                <w:lang w:val="en-US"/>
              </w:rPr>
              <w:t>Moderate AM</w:t>
            </w:r>
          </w:p>
        </w:tc>
        <w:tc>
          <w:tcPr>
            <w:tcW w:w="0" w:type="auto"/>
            <w:hideMark/>
          </w:tcPr>
          <w:p w:rsidR="00D45751" w:rsidRPr="00956D7E" w:rsidRDefault="008E1F6A">
            <w:pPr>
              <w:spacing w:line="360" w:lineRule="auto"/>
              <w:jc w:val="both"/>
              <w:rPr>
                <w:rFonts w:ascii="Times New Roman" w:eastAsia="Times New Roman" w:hAnsi="Times New Roman" w:cs="Times New Roman"/>
                <w:b/>
                <w:sz w:val="24"/>
                <w:szCs w:val="24"/>
                <w:lang w:val="en-US"/>
              </w:rPr>
            </w:pPr>
            <w:r w:rsidRPr="00956D7E">
              <w:rPr>
                <w:rFonts w:ascii="Times New Roman" w:eastAsia="Times New Roman" w:hAnsi="Times New Roman" w:cs="Times New Roman"/>
                <w:b/>
                <w:sz w:val="24"/>
                <w:szCs w:val="24"/>
                <w:lang w:val="en-US"/>
              </w:rPr>
              <w:t>Severe AM</w:t>
            </w:r>
          </w:p>
        </w:tc>
        <w:tc>
          <w:tcPr>
            <w:tcW w:w="0" w:type="auto"/>
            <w:hideMark/>
          </w:tcPr>
          <w:p w:rsidR="00D45751" w:rsidRPr="00956D7E" w:rsidRDefault="008E1F6A">
            <w:pPr>
              <w:spacing w:line="360" w:lineRule="auto"/>
              <w:jc w:val="both"/>
              <w:rPr>
                <w:rFonts w:ascii="Times New Roman" w:eastAsia="Times New Roman" w:hAnsi="Times New Roman" w:cs="Times New Roman"/>
                <w:b/>
                <w:sz w:val="24"/>
                <w:szCs w:val="24"/>
                <w:lang w:val="en-US"/>
              </w:rPr>
            </w:pPr>
            <w:r w:rsidRPr="00956D7E">
              <w:rPr>
                <w:rFonts w:ascii="Times New Roman" w:eastAsia="Times New Roman" w:hAnsi="Times New Roman" w:cs="Times New Roman"/>
                <w:b/>
                <w:sz w:val="24"/>
                <w:szCs w:val="24"/>
                <w:lang w:val="en-US"/>
              </w:rPr>
              <w:t xml:space="preserve">Malnutrition </w:t>
            </w:r>
            <w:r w:rsidR="00364516">
              <w:rPr>
                <w:rFonts w:ascii="Times New Roman" w:eastAsia="Times New Roman" w:hAnsi="Times New Roman" w:cs="Times New Roman"/>
                <w:b/>
                <w:sz w:val="24"/>
                <w:szCs w:val="24"/>
                <w:lang w:val="en-US"/>
              </w:rPr>
              <w:t>Percentage</w:t>
            </w:r>
            <w:r w:rsidRPr="00956D7E">
              <w:rPr>
                <w:rFonts w:ascii="Times New Roman" w:eastAsia="Times New Roman" w:hAnsi="Times New Roman" w:cs="Times New Roman"/>
                <w:b/>
                <w:sz w:val="24"/>
                <w:szCs w:val="24"/>
                <w:lang w:val="en-US"/>
              </w:rPr>
              <w:t xml:space="preserve"> (%)</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With information/training</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318</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B626C1">
              <w:rPr>
                <w:rFonts w:ascii="Times New Roman" w:eastAsia="Times New Roman" w:hAnsi="Times New Roman" w:cs="Times New Roman"/>
                <w:sz w:val="24"/>
                <w:szCs w:val="24"/>
                <w:lang w:val="en-US"/>
              </w:rPr>
              <w:t>2</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Without information/training</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r w:rsidR="00B626C1">
              <w:rPr>
                <w:rFonts w:ascii="Times New Roman" w:eastAsia="Times New Roman" w:hAnsi="Times New Roman" w:cs="Times New Roman"/>
                <w:sz w:val="24"/>
                <w:szCs w:val="24"/>
                <w:lang w:val="en-US"/>
              </w:rPr>
              <w:t>3</w:t>
            </w:r>
          </w:p>
        </w:tc>
      </w:tr>
      <w:tr w:rsidR="00D45751">
        <w:tc>
          <w:tcPr>
            <w:tcW w:w="0" w:type="auto"/>
            <w:hideMark/>
          </w:tcPr>
          <w:p w:rsidR="00D45751" w:rsidRDefault="008E1F6A">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Total</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355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17</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5</w:t>
            </w:r>
          </w:p>
        </w:tc>
        <w:tc>
          <w:tcPr>
            <w:tcW w:w="0" w:type="auto"/>
            <w:hideMark/>
          </w:tcPr>
          <w:p w:rsidR="00D45751" w:rsidRDefault="008E1F6A" w:rsidP="00956D7E">
            <w:pPr>
              <w:spacing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372</w:t>
            </w:r>
          </w:p>
        </w:tc>
      </w:tr>
    </w:tbl>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The powerful impact of knowledge and training is evident in the 19.12 percentage point difference in malnutrit</w:t>
      </w:r>
      <w:r w:rsidR="00B626C1">
        <w:rPr>
          <w:rFonts w:ascii="Times New Roman" w:eastAsia="Times New Roman" w:hAnsi="Times New Roman" w:cs="Times New Roman"/>
          <w:color w:val="0F1115"/>
          <w:sz w:val="24"/>
          <w:szCs w:val="24"/>
          <w:lang w:val="en-US"/>
        </w:rPr>
        <w:t xml:space="preserve">ion </w:t>
      </w:r>
      <w:r w:rsidR="00364516" w:rsidRPr="00364516">
        <w:rPr>
          <w:rFonts w:ascii="Times New Roman" w:eastAsia="Times New Roman" w:hAnsi="Times New Roman" w:cs="Times New Roman"/>
          <w:sz w:val="24"/>
          <w:szCs w:val="24"/>
          <w:lang w:val="en-US"/>
        </w:rPr>
        <w:t>percentage</w:t>
      </w:r>
      <w:r w:rsidR="00B626C1">
        <w:rPr>
          <w:rFonts w:ascii="Times New Roman" w:eastAsia="Times New Roman" w:hAnsi="Times New Roman" w:cs="Times New Roman"/>
          <w:color w:val="0F1115"/>
          <w:sz w:val="24"/>
          <w:szCs w:val="24"/>
          <w:lang w:val="en-US"/>
        </w:rPr>
        <w:t xml:space="preserve"> between informed (2.2</w:t>
      </w:r>
      <w:r>
        <w:rPr>
          <w:rFonts w:ascii="Times New Roman" w:eastAsia="Times New Roman" w:hAnsi="Times New Roman" w:cs="Times New Roman"/>
          <w:color w:val="0F1115"/>
          <w:sz w:val="24"/>
          <w:szCs w:val="24"/>
          <w:lang w:val="en-US"/>
        </w:rPr>
        <w:t xml:space="preserve">%) </w:t>
      </w:r>
      <w:r w:rsidR="00B626C1">
        <w:rPr>
          <w:rFonts w:ascii="Times New Roman" w:eastAsia="Times New Roman" w:hAnsi="Times New Roman" w:cs="Times New Roman"/>
          <w:color w:val="0F1115"/>
          <w:sz w:val="24"/>
          <w:szCs w:val="24"/>
          <w:lang w:val="en-US"/>
        </w:rPr>
        <w:t xml:space="preserve">and uninformed households </w:t>
      </w:r>
      <w:r w:rsidR="00B626C1">
        <w:rPr>
          <w:rFonts w:ascii="Times New Roman" w:eastAsia="Times New Roman" w:hAnsi="Times New Roman" w:cs="Times New Roman"/>
          <w:color w:val="0F1115"/>
          <w:sz w:val="24"/>
          <w:szCs w:val="24"/>
          <w:lang w:val="en-US"/>
        </w:rPr>
        <w:lastRenderedPageBreak/>
        <w:t>(21.3</w:t>
      </w:r>
      <w:r>
        <w:rPr>
          <w:rFonts w:ascii="Times New Roman" w:eastAsia="Times New Roman" w:hAnsi="Times New Roman" w:cs="Times New Roman"/>
          <w:color w:val="0F1115"/>
          <w:sz w:val="24"/>
          <w:szCs w:val="24"/>
          <w:lang w:val="en-US"/>
        </w:rPr>
        <w:t xml:space="preserve">%). This aligns with research by </w:t>
      </w:r>
      <w:proofErr w:type="spellStart"/>
      <w:r w:rsidR="004C3C6E" w:rsidRPr="004C3C6E">
        <w:rPr>
          <w:rStyle w:val="Strong"/>
          <w:rFonts w:ascii="Times New Roman" w:hAnsi="Times New Roman" w:cs="Times New Roman"/>
          <w:b w:val="0"/>
          <w:color w:val="0F1115"/>
          <w:sz w:val="24"/>
          <w:shd w:val="clear" w:color="auto" w:fill="FFFFFF"/>
          <w:lang w:val="en-US"/>
        </w:rPr>
        <w:t>Sibhatu</w:t>
      </w:r>
      <w:proofErr w:type="spellEnd"/>
      <w:r w:rsidR="004C3C6E" w:rsidRPr="004C3C6E">
        <w:rPr>
          <w:rStyle w:val="Strong"/>
          <w:rFonts w:ascii="Segoe UI" w:hAnsi="Segoe UI" w:cs="Segoe UI"/>
          <w:color w:val="0F1115"/>
          <w:sz w:val="24"/>
          <w:shd w:val="clear" w:color="auto" w:fill="FFFFFF"/>
          <w:lang w:val="en-US"/>
        </w:rPr>
        <w:t xml:space="preserve"> </w:t>
      </w:r>
      <w:r w:rsidR="004C3C6E">
        <w:rPr>
          <w:rFonts w:ascii="Times New Roman" w:eastAsia="Times New Roman" w:hAnsi="Times New Roman" w:cs="Times New Roman"/>
          <w:color w:val="0F1115"/>
          <w:sz w:val="24"/>
          <w:szCs w:val="24"/>
          <w:lang w:val="en-US"/>
        </w:rPr>
        <w:t>et al. (2018</w:t>
      </w:r>
      <w:r>
        <w:rPr>
          <w:rFonts w:ascii="Times New Roman" w:eastAsia="Times New Roman" w:hAnsi="Times New Roman" w:cs="Times New Roman"/>
          <w:color w:val="0F1115"/>
          <w:sz w:val="24"/>
          <w:szCs w:val="24"/>
          <w:lang w:val="en-US"/>
        </w:rPr>
        <w:t xml:space="preserve">) and </w:t>
      </w:r>
      <w:proofErr w:type="spellStart"/>
      <w:r w:rsidR="004C3C6E" w:rsidRPr="004C3C6E">
        <w:rPr>
          <w:rStyle w:val="Strong"/>
          <w:rFonts w:ascii="Times New Roman" w:hAnsi="Times New Roman" w:cs="Times New Roman"/>
          <w:b w:val="0"/>
          <w:color w:val="0F1115"/>
          <w:sz w:val="24"/>
          <w:shd w:val="clear" w:color="auto" w:fill="FFFFFF"/>
          <w:lang w:val="en-US"/>
        </w:rPr>
        <w:t>Habtemariam</w:t>
      </w:r>
      <w:proofErr w:type="spellEnd"/>
      <w:r w:rsidR="004C3C6E" w:rsidRPr="004C3C6E">
        <w:rPr>
          <w:rStyle w:val="Strong"/>
          <w:rFonts w:ascii="Segoe UI" w:hAnsi="Segoe UI" w:cs="Segoe UI"/>
          <w:color w:val="0F1115"/>
          <w:sz w:val="24"/>
          <w:shd w:val="clear" w:color="auto" w:fill="FFFFFF"/>
          <w:lang w:val="en-US"/>
        </w:rPr>
        <w:t xml:space="preserve"> </w:t>
      </w:r>
      <w:r w:rsidR="004C3C6E">
        <w:rPr>
          <w:rFonts w:ascii="Times New Roman" w:eastAsia="Times New Roman" w:hAnsi="Times New Roman" w:cs="Times New Roman"/>
          <w:color w:val="0F1115"/>
          <w:sz w:val="24"/>
          <w:szCs w:val="24"/>
          <w:lang w:val="en-US"/>
        </w:rPr>
        <w:t>et al. (2021</w:t>
      </w:r>
      <w:r>
        <w:rPr>
          <w:rFonts w:ascii="Times New Roman" w:eastAsia="Times New Roman" w:hAnsi="Times New Roman" w:cs="Times New Roman"/>
          <w:color w:val="0F1115"/>
          <w:sz w:val="24"/>
          <w:szCs w:val="24"/>
          <w:lang w:val="en-US"/>
        </w:rPr>
        <w:t>), who emphasized the importance of combining agricultural support with nutrition education for maximum impact</w:t>
      </w:r>
      <w:r w:rsidR="009306F1">
        <w:rPr>
          <w:rFonts w:ascii="Times New Roman" w:hAnsi="Times New Roman" w:cs="Times New Roman"/>
          <w:color w:val="0F1115"/>
          <w:sz w:val="24"/>
          <w:szCs w:val="24"/>
          <w:lang w:val="en-US"/>
        </w:rPr>
        <w:t xml:space="preserve"> [16,17</w:t>
      </w:r>
      <w:r>
        <w:rPr>
          <w:rFonts w:ascii="Times New Roman" w:hAnsi="Times New Roman" w:cs="Times New Roman"/>
          <w:color w:val="0F1115"/>
          <w:sz w:val="24"/>
          <w:szCs w:val="24"/>
          <w:lang w:val="en-US"/>
        </w:rPr>
        <w:t>]</w:t>
      </w:r>
      <w:r>
        <w:rPr>
          <w:rFonts w:ascii="Times New Roman" w:eastAsia="Times New Roman" w:hAnsi="Times New Roman" w:cs="Times New Roman"/>
          <w:color w:val="0F1115"/>
          <w:sz w:val="24"/>
          <w:szCs w:val="24"/>
          <w:lang w:val="en-US"/>
        </w:rPr>
        <w:t>.</w:t>
      </w:r>
    </w:p>
    <w:p w:rsidR="00D367C9" w:rsidRPr="00956D7E" w:rsidRDefault="00956D7E">
      <w:pPr>
        <w:shd w:val="clear" w:color="auto" w:fill="FFFFFF"/>
        <w:spacing w:before="240" w:after="240" w:line="360" w:lineRule="auto"/>
        <w:jc w:val="both"/>
        <w:rPr>
          <w:rFonts w:ascii="Times New Roman" w:eastAsia="Times New Roman" w:hAnsi="Times New Roman" w:cs="Times New Roman"/>
          <w:b/>
          <w:color w:val="0F1115"/>
          <w:sz w:val="24"/>
          <w:szCs w:val="24"/>
          <w:lang w:val="en-US"/>
        </w:rPr>
      </w:pPr>
      <w:r w:rsidRPr="00956D7E">
        <w:rPr>
          <w:rFonts w:ascii="Times New Roman" w:eastAsia="Times New Roman" w:hAnsi="Times New Roman" w:cs="Times New Roman"/>
          <w:b/>
          <w:color w:val="0F1115"/>
          <w:sz w:val="24"/>
          <w:szCs w:val="24"/>
          <w:lang w:val="en-US"/>
        </w:rPr>
        <w:t>DISCUSSION</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This study provides compelling evidence for the protective effect of vegetable gardens against child malnutrition in rural Burundi. The significantly better nutritional outcomes among children from gardening households demonstrate that home gardening represents a viable, sustainable strategy for addressing acute malnutrition in resource-poor settings.</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 xml:space="preserve">The findings reveal that vegetable gardens contribute to improved nutritional status through multiple pathways: increased frequency of vegetable consumption, enhanced dietary diversity, and potentially through income generation from the sale of surplus production. The 28% daily consumption </w:t>
      </w:r>
      <w:r w:rsidR="00364516" w:rsidRPr="00364516">
        <w:rPr>
          <w:rFonts w:ascii="Times New Roman" w:eastAsia="Times New Roman" w:hAnsi="Times New Roman" w:cs="Times New Roman"/>
          <w:sz w:val="24"/>
          <w:szCs w:val="24"/>
          <w:lang w:val="en-US"/>
        </w:rPr>
        <w:t>percentage</w:t>
      </w:r>
      <w:r>
        <w:rPr>
          <w:rFonts w:ascii="Times New Roman" w:eastAsia="Times New Roman" w:hAnsi="Times New Roman" w:cs="Times New Roman"/>
          <w:color w:val="0F1115"/>
          <w:sz w:val="24"/>
          <w:szCs w:val="24"/>
          <w:lang w:val="en-US"/>
        </w:rPr>
        <w:t xml:space="preserve"> of garden products among gardening households, compared to only 4% in non-gardening households, represents a substantial improvement in regular access to fresh vegetables.</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 xml:space="preserve">The dramatic differences in malnutrition </w:t>
      </w:r>
      <w:r w:rsidR="00364516" w:rsidRPr="00364516">
        <w:rPr>
          <w:rFonts w:ascii="Times New Roman" w:eastAsia="Times New Roman" w:hAnsi="Times New Roman" w:cs="Times New Roman"/>
          <w:sz w:val="24"/>
          <w:szCs w:val="24"/>
          <w:lang w:val="en-US"/>
        </w:rPr>
        <w:t>percentage</w:t>
      </w:r>
      <w:r>
        <w:rPr>
          <w:rFonts w:ascii="Times New Roman" w:eastAsia="Times New Roman" w:hAnsi="Times New Roman" w:cs="Times New Roman"/>
          <w:color w:val="0F1115"/>
          <w:sz w:val="24"/>
          <w:szCs w:val="24"/>
          <w:lang w:val="en-US"/>
        </w:rPr>
        <w:t xml:space="preserve"> based on access to informat</w:t>
      </w:r>
      <w:r w:rsidR="00B626C1">
        <w:rPr>
          <w:rFonts w:ascii="Times New Roman" w:eastAsia="Times New Roman" w:hAnsi="Times New Roman" w:cs="Times New Roman"/>
          <w:color w:val="0F1115"/>
          <w:sz w:val="24"/>
          <w:szCs w:val="24"/>
          <w:lang w:val="en-US"/>
        </w:rPr>
        <w:t>ion and training (2.2% vs 21.3</w:t>
      </w:r>
      <w:r>
        <w:rPr>
          <w:rFonts w:ascii="Times New Roman" w:eastAsia="Times New Roman" w:hAnsi="Times New Roman" w:cs="Times New Roman"/>
          <w:color w:val="0F1115"/>
          <w:sz w:val="24"/>
          <w:szCs w:val="24"/>
          <w:lang w:val="en-US"/>
        </w:rPr>
        <w:t>%) highlight the critical importance of knowledge in nutritional outcomes. This suggests that simply providing agricultural inputs without accompanying nutrition education may yield suboptimal results. The success of the NGO Réseau Burundi 2000 Plus in supporting gardening initiatives in the study area since September 2021 demonstrates the potential for scaling up such integrated approaches</w:t>
      </w:r>
      <w:r w:rsidR="009306F1">
        <w:rPr>
          <w:rFonts w:ascii="Times New Roman" w:hAnsi="Times New Roman" w:cs="Times New Roman"/>
          <w:color w:val="0F1115"/>
          <w:sz w:val="24"/>
          <w:szCs w:val="24"/>
          <w:lang w:val="en-US"/>
        </w:rPr>
        <w:t xml:space="preserve"> [18</w:t>
      </w:r>
      <w:r>
        <w:rPr>
          <w:rFonts w:ascii="Times New Roman" w:hAnsi="Times New Roman" w:cs="Times New Roman"/>
          <w:color w:val="0F1115"/>
          <w:sz w:val="24"/>
          <w:szCs w:val="24"/>
          <w:lang w:val="en-US"/>
        </w:rPr>
        <w:t>]</w:t>
      </w:r>
      <w:r>
        <w:rPr>
          <w:rFonts w:ascii="Times New Roman" w:eastAsia="Times New Roman" w:hAnsi="Times New Roman" w:cs="Times New Roman"/>
          <w:color w:val="0F1115"/>
          <w:sz w:val="24"/>
          <w:szCs w:val="24"/>
          <w:lang w:val="en-US"/>
        </w:rPr>
        <w:t>.</w:t>
      </w:r>
    </w:p>
    <w:p w:rsidR="00D45751" w:rsidRDefault="008E1F6A">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The study's findings are consistent with the national nutrition situation described in the EDSB-III (2016-2017), while demonstrating that targeted interventions at the household level can yield better outcomes than provincial averages</w:t>
      </w:r>
      <w:r w:rsidR="009306F1">
        <w:rPr>
          <w:rFonts w:ascii="Times New Roman" w:hAnsi="Times New Roman" w:cs="Times New Roman"/>
          <w:color w:val="0F1115"/>
          <w:sz w:val="24"/>
          <w:szCs w:val="24"/>
          <w:lang w:val="en-US"/>
        </w:rPr>
        <w:t xml:space="preserve"> [19</w:t>
      </w:r>
      <w:r>
        <w:rPr>
          <w:rFonts w:ascii="Times New Roman" w:hAnsi="Times New Roman" w:cs="Times New Roman"/>
          <w:color w:val="0F1115"/>
          <w:sz w:val="24"/>
          <w:szCs w:val="24"/>
          <w:lang w:val="en-US"/>
        </w:rPr>
        <w:t>]</w:t>
      </w:r>
      <w:r>
        <w:rPr>
          <w:rFonts w:ascii="Times New Roman" w:eastAsia="Times New Roman" w:hAnsi="Times New Roman" w:cs="Times New Roman"/>
          <w:color w:val="0F1115"/>
          <w:sz w:val="24"/>
          <w:szCs w:val="24"/>
          <w:lang w:val="en-US"/>
        </w:rPr>
        <w:t xml:space="preserve">. The acute malnutrition </w:t>
      </w:r>
      <w:r w:rsidR="00364516" w:rsidRPr="00364516">
        <w:rPr>
          <w:rFonts w:ascii="Times New Roman" w:eastAsia="Times New Roman" w:hAnsi="Times New Roman" w:cs="Times New Roman"/>
          <w:sz w:val="24"/>
          <w:szCs w:val="24"/>
          <w:lang w:val="en-US"/>
        </w:rPr>
        <w:t>percentage</w:t>
      </w:r>
      <w:r w:rsidR="00364516">
        <w:rPr>
          <w:rFonts w:ascii="Times New Roman" w:eastAsia="Times New Roman" w:hAnsi="Times New Roman" w:cs="Times New Roman"/>
          <w:color w:val="0F1115"/>
          <w:sz w:val="24"/>
          <w:szCs w:val="24"/>
          <w:lang w:val="en-US"/>
        </w:rPr>
        <w:t xml:space="preserve"> </w:t>
      </w:r>
      <w:r>
        <w:rPr>
          <w:rFonts w:ascii="Times New Roman" w:eastAsia="Times New Roman" w:hAnsi="Times New Roman" w:cs="Times New Roman"/>
          <w:color w:val="0F1115"/>
          <w:sz w:val="24"/>
          <w:szCs w:val="24"/>
          <w:lang w:val="en-US"/>
        </w:rPr>
        <w:t>of 4% in gardening households compares favorably with the provincial average of 8.1%, suggesting that widespread adoption of home gardening could significantly improve child nutrition in Karusi province.</w:t>
      </w:r>
    </w:p>
    <w:p w:rsidR="00D45751" w:rsidRDefault="008E1F6A">
      <w:pPr>
        <w:rPr>
          <w:rStyle w:val="Strong"/>
          <w:rFonts w:ascii="Times New Roman" w:eastAsia="Times New Roman" w:hAnsi="Times New Roman" w:cs="Times New Roman"/>
          <w:color w:val="0F1115"/>
          <w:sz w:val="24"/>
          <w:szCs w:val="24"/>
          <w:lang w:val="en-US"/>
        </w:rPr>
      </w:pPr>
      <w:r w:rsidRPr="007E45B3">
        <w:rPr>
          <w:rStyle w:val="Strong"/>
          <w:b w:val="0"/>
          <w:bCs w:val="0"/>
          <w:color w:val="0F1115"/>
          <w:sz w:val="24"/>
          <w:szCs w:val="24"/>
          <w:lang w:val="en-US"/>
        </w:rPr>
        <w:br w:type="page"/>
      </w:r>
    </w:p>
    <w:p w:rsidR="00D45751" w:rsidRPr="00720FE2" w:rsidRDefault="008E1F6A">
      <w:pPr>
        <w:pStyle w:val="Heading3"/>
        <w:shd w:val="clear" w:color="auto" w:fill="FFFFFF"/>
        <w:spacing w:before="480" w:beforeAutospacing="0" w:after="240" w:afterAutospacing="0" w:line="360" w:lineRule="auto"/>
        <w:jc w:val="both"/>
        <w:rPr>
          <w:sz w:val="24"/>
          <w:szCs w:val="24"/>
        </w:rPr>
      </w:pPr>
      <w:r w:rsidRPr="00720FE2">
        <w:rPr>
          <w:rStyle w:val="Strong"/>
          <w:b/>
          <w:bCs/>
          <w:sz w:val="24"/>
          <w:szCs w:val="24"/>
        </w:rPr>
        <w:lastRenderedPageBreak/>
        <w:t>4. CONCLUSION</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This study concludes that vegetable gardens significantly contribute to reducing acute malnutrition among children aged 6-59 months in Nyabikere commune. Households with vegetable gardens demonstrated better nutritional outcomes, characterized by lower prevalence of both underweight and wasting. The protective effect of vegetable gardens is mediated through improved dietary diversity, increased frequency of vegetable consumption, and enhanced household food security.</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The findings underscore the importance of promoting home gardening as a sustainable strategy for combating child malnutrition in rural Burundi. Integrated interventions that combine agricultural support with nutrition education and women's empowerment offer the most promising approach to addressing the multifaceted challenge of child malnutrition.</w:t>
      </w:r>
    </w:p>
    <w:p w:rsidR="00956D7E" w:rsidRDefault="00956D7E" w:rsidP="00956D7E">
      <w:pPr>
        <w:shd w:val="clear" w:color="auto" w:fill="FFFFFF"/>
        <w:spacing w:before="240" w:after="240" w:line="360" w:lineRule="auto"/>
        <w:jc w:val="both"/>
        <w:rPr>
          <w:rFonts w:ascii="Times New Roman" w:eastAsia="Times New Roman" w:hAnsi="Times New Roman" w:cs="Times New Roman"/>
          <w:color w:val="0F1115"/>
          <w:sz w:val="24"/>
          <w:szCs w:val="24"/>
          <w:lang w:val="en-US"/>
        </w:rPr>
      </w:pPr>
      <w:r>
        <w:rPr>
          <w:rFonts w:ascii="Times New Roman" w:eastAsia="Times New Roman" w:hAnsi="Times New Roman" w:cs="Times New Roman"/>
          <w:color w:val="0F1115"/>
          <w:sz w:val="24"/>
          <w:szCs w:val="24"/>
          <w:lang w:val="en-US"/>
        </w:rPr>
        <w:t>However, the complete absence of fruit cultivation in home gardens represents a significant limitation in current gardening practices. Future interventions should promote the integration of fruit trees and vitamin A-rich vegetables to further enhance dietary diversity and micronutrient intake.</w:t>
      </w:r>
    </w:p>
    <w:p w:rsidR="00D45751" w:rsidRDefault="008E1F6A">
      <w:pPr>
        <w:pStyle w:val="ds-markdown-paragraph"/>
        <w:shd w:val="clear" w:color="auto" w:fill="FFFFFF"/>
        <w:spacing w:before="240" w:beforeAutospacing="0" w:after="240" w:afterAutospacing="0" w:line="360" w:lineRule="auto"/>
        <w:jc w:val="both"/>
        <w:rPr>
          <w:rStyle w:val="Strong"/>
          <w:color w:val="0F1115"/>
        </w:rPr>
      </w:pPr>
      <w:r>
        <w:rPr>
          <w:rStyle w:val="Strong"/>
          <w:color w:val="0F1115"/>
        </w:rPr>
        <w:t>CONSENT</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Written informed consent was obtained from all parents or guardians of participating children. The study purpose, procedures, and confidentiality measures were explained to all participants prior to data collection.</w:t>
      </w:r>
    </w:p>
    <w:p w:rsidR="00D45751" w:rsidRDefault="008E1F6A">
      <w:pPr>
        <w:pStyle w:val="ds-markdown-paragraph"/>
        <w:shd w:val="clear" w:color="auto" w:fill="FFFFFF"/>
        <w:spacing w:before="240" w:beforeAutospacing="0" w:after="240" w:afterAutospacing="0" w:line="360" w:lineRule="auto"/>
        <w:jc w:val="both"/>
        <w:rPr>
          <w:rStyle w:val="Strong"/>
          <w:color w:val="0F1115"/>
        </w:rPr>
      </w:pPr>
      <w:r>
        <w:rPr>
          <w:rStyle w:val="Strong"/>
          <w:color w:val="0F1115"/>
        </w:rPr>
        <w:t>ETHICAL APPROVAL</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The study received approval from local administrative and health authorities in Nyabikere commune. The research was conducted in accordance with ethical principles for medical research involving human subjects.</w:t>
      </w:r>
    </w:p>
    <w:p w:rsidR="00D45751" w:rsidRDefault="008E1F6A">
      <w:pPr>
        <w:pStyle w:val="ds-markdown-paragraph"/>
        <w:shd w:val="clear" w:color="auto" w:fill="FFFFFF"/>
        <w:spacing w:before="240" w:beforeAutospacing="0" w:after="240" w:afterAutospacing="0" w:line="360" w:lineRule="auto"/>
        <w:jc w:val="both"/>
        <w:rPr>
          <w:rStyle w:val="Strong"/>
          <w:color w:val="0F1115"/>
        </w:rPr>
      </w:pPr>
      <w:r>
        <w:rPr>
          <w:rStyle w:val="Strong"/>
          <w:color w:val="0F1115"/>
        </w:rPr>
        <w:t>DISCLAIMER</w:t>
      </w:r>
    </w:p>
    <w:p w:rsidR="00D45751" w:rsidRDefault="008E1F6A">
      <w:pPr>
        <w:pStyle w:val="ds-markdown-paragraph"/>
        <w:shd w:val="clear" w:color="auto" w:fill="FFFFFF"/>
        <w:spacing w:before="240" w:beforeAutospacing="0" w:after="240" w:afterAutospacing="0" w:line="360" w:lineRule="auto"/>
        <w:jc w:val="both"/>
        <w:rPr>
          <w:color w:val="0F1115"/>
        </w:rPr>
      </w:pPr>
      <w:r>
        <w:rPr>
          <w:color w:val="0F1115"/>
        </w:rPr>
        <w:t>Author(s) hereby declare that NO generative AI technologies such as Large Language Models (ChatGPT, COPILOT, etc.) and text-to-image generators have been used during the writing or editing of this manuscript.</w:t>
      </w:r>
    </w:p>
    <w:p w:rsidR="00D45751" w:rsidRDefault="008E1F6A">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45751" w:rsidRPr="007E45B3" w:rsidRDefault="008E1F6A">
      <w:pPr>
        <w:rPr>
          <w:rFonts w:ascii="Times New Roman" w:hAnsi="Times New Roman" w:cs="Times New Roman"/>
          <w:b/>
          <w:sz w:val="24"/>
          <w:lang w:val="en-US"/>
        </w:rPr>
      </w:pPr>
      <w:r w:rsidRPr="007E45B3">
        <w:rPr>
          <w:rFonts w:ascii="Times New Roman" w:hAnsi="Times New Roman" w:cs="Times New Roman"/>
          <w:b/>
          <w:sz w:val="24"/>
          <w:lang w:val="en-US"/>
        </w:rPr>
        <w:lastRenderedPageBreak/>
        <w:t>REFERENCES</w:t>
      </w:r>
    </w:p>
    <w:p w:rsidR="00D45751" w:rsidRPr="00726747" w:rsidRDefault="008E1F6A" w:rsidP="00726747">
      <w:pPr>
        <w:pStyle w:val="ListParagraph"/>
        <w:numPr>
          <w:ilvl w:val="0"/>
          <w:numId w:val="4"/>
        </w:numPr>
        <w:shd w:val="clear" w:color="auto" w:fill="FFFFFF"/>
        <w:spacing w:after="0" w:line="360" w:lineRule="auto"/>
        <w:jc w:val="both"/>
        <w:rPr>
          <w:rFonts w:ascii="Times New Roman" w:eastAsia="Times New Roman" w:hAnsi="Times New Roman" w:cs="Times New Roman"/>
          <w:color w:val="0F1115"/>
          <w:sz w:val="24"/>
          <w:szCs w:val="24"/>
        </w:rPr>
      </w:pPr>
      <w:r w:rsidRPr="00726747">
        <w:rPr>
          <w:rFonts w:ascii="Times New Roman" w:eastAsia="Times New Roman" w:hAnsi="Times New Roman" w:cs="Times New Roman"/>
          <w:color w:val="0F1115"/>
          <w:sz w:val="24"/>
          <w:szCs w:val="24"/>
        </w:rPr>
        <w:t>World Health Organization. (2020). Levels and trends in child malnutrition: Key findings of the 2020 edition. UNICEF/WHO/World Bank Group Joint Child Malnutrition Estimates.</w:t>
      </w:r>
    </w:p>
    <w:p w:rsidR="00D45751" w:rsidRPr="00726747" w:rsidRDefault="008E1F6A" w:rsidP="00726747">
      <w:pPr>
        <w:pStyle w:val="ListParagraph"/>
        <w:numPr>
          <w:ilvl w:val="0"/>
          <w:numId w:val="4"/>
        </w:numPr>
        <w:shd w:val="clear" w:color="auto" w:fill="FFFFFF"/>
        <w:spacing w:after="0" w:line="360" w:lineRule="auto"/>
        <w:jc w:val="both"/>
        <w:rPr>
          <w:rFonts w:ascii="Times New Roman" w:eastAsia="Times New Roman" w:hAnsi="Times New Roman" w:cs="Times New Roman"/>
          <w:color w:val="0F1115"/>
          <w:sz w:val="24"/>
          <w:szCs w:val="24"/>
        </w:rPr>
      </w:pPr>
      <w:r w:rsidRPr="00726747">
        <w:rPr>
          <w:rFonts w:ascii="Times New Roman" w:eastAsia="Times New Roman" w:hAnsi="Times New Roman" w:cs="Times New Roman"/>
          <w:color w:val="0F1115"/>
          <w:sz w:val="24"/>
          <w:szCs w:val="24"/>
        </w:rPr>
        <w:t>Ministry of Public Health and the Fight against AIDS, Burundi. (2017). *Burundi Demographic and Health Survey (EDSB-III) 2016-2017*. ISTEEBU.</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r w:rsidRPr="00637518">
        <w:rPr>
          <w:rStyle w:val="Strong"/>
          <w:b w:val="0"/>
          <w:color w:val="0F1115"/>
        </w:rPr>
        <w:t>Kumar, N., Harris, J., &amp; Rawat, R. (2015).</w:t>
      </w:r>
      <w:r w:rsidRPr="00637518">
        <w:rPr>
          <w:color w:val="0F1115"/>
        </w:rPr>
        <w:t> If they grow it, will they eat and grow? Evidence from Zambia on agricultural diversity and child undernutrition. </w:t>
      </w:r>
      <w:r w:rsidRPr="00637518">
        <w:rPr>
          <w:rStyle w:val="Emphasis"/>
          <w:color w:val="0F1115"/>
        </w:rPr>
        <w:t>The Journal of Development Studies, 51</w:t>
      </w:r>
      <w:r w:rsidRPr="00637518">
        <w:rPr>
          <w:color w:val="0F1115"/>
        </w:rPr>
        <w:t>(8), 1060–1077.</w:t>
      </w:r>
      <w:r w:rsidRPr="00A00FF5">
        <w:rPr>
          <w:color w:val="0F1115"/>
        </w:rPr>
        <w:br/>
      </w:r>
      <w:r w:rsidRPr="00637518">
        <w:rPr>
          <w:color w:val="0F1115"/>
          <w:lang w:val="fr-FR"/>
        </w:rPr>
        <w:t>* </w:t>
      </w:r>
      <w:r w:rsidRPr="00637518">
        <w:rPr>
          <w:rStyle w:val="Strong"/>
          <w:b w:val="0"/>
          <w:color w:val="0F1115"/>
          <w:lang w:val="fr-FR"/>
        </w:rPr>
        <w:t>DOI Link:</w:t>
      </w:r>
      <w:r w:rsidRPr="00637518">
        <w:rPr>
          <w:color w:val="0F1115"/>
          <w:lang w:val="fr-FR"/>
        </w:rPr>
        <w:t> </w:t>
      </w:r>
      <w:r w:rsidRPr="00637518">
        <w:rPr>
          <w:rStyle w:val="HTMLCode"/>
          <w:rFonts w:ascii="Times New Roman" w:hAnsi="Times New Roman" w:cs="Times New Roman"/>
          <w:color w:val="0F1115"/>
          <w:sz w:val="24"/>
          <w:szCs w:val="24"/>
          <w:shd w:val="clear" w:color="auto" w:fill="EBEEF2"/>
          <w:lang w:val="fr-FR"/>
        </w:rPr>
        <w:t>https://doi.org/10.1080/00220388.2015.1018903</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lang w:val="fr-FR"/>
        </w:rPr>
      </w:pPr>
      <w:r w:rsidRPr="00637518">
        <w:rPr>
          <w:rStyle w:val="Strong"/>
          <w:b w:val="0"/>
          <w:color w:val="0F1115"/>
        </w:rPr>
        <w:t>Ruel, M. T., &amp; Alderman, H. (2013).</w:t>
      </w:r>
      <w:r w:rsidRPr="00637518">
        <w:rPr>
          <w:color w:val="0F1115"/>
        </w:rPr>
        <w:t xml:space="preserve"> Nutrition-sensitive interventions and </w:t>
      </w:r>
      <w:proofErr w:type="spellStart"/>
      <w:r w:rsidRPr="00637518">
        <w:rPr>
          <w:color w:val="0F1115"/>
        </w:rPr>
        <w:t>programmes</w:t>
      </w:r>
      <w:proofErr w:type="spellEnd"/>
      <w:r w:rsidRPr="00637518">
        <w:rPr>
          <w:color w:val="0F1115"/>
        </w:rPr>
        <w:t>: how can they help to accelerate progress in improving maternal and child nutrition? </w:t>
      </w:r>
      <w:r w:rsidRPr="00637518">
        <w:rPr>
          <w:rStyle w:val="Emphasis"/>
          <w:color w:val="0F1115"/>
          <w:lang w:val="fr-FR"/>
        </w:rPr>
        <w:t>The Lancet, 382</w:t>
      </w:r>
      <w:r w:rsidRPr="00637518">
        <w:rPr>
          <w:color w:val="0F1115"/>
          <w:lang w:val="fr-FR"/>
        </w:rPr>
        <w:t>(9891), 536–551.</w:t>
      </w:r>
      <w:r w:rsidRPr="00637518">
        <w:rPr>
          <w:color w:val="0F1115"/>
          <w:lang w:val="fr-FR"/>
        </w:rPr>
        <w:br/>
        <w:t>* </w:t>
      </w:r>
      <w:r w:rsidRPr="00637518">
        <w:rPr>
          <w:rStyle w:val="Strong"/>
          <w:b w:val="0"/>
          <w:color w:val="0F1115"/>
          <w:lang w:val="fr-FR"/>
        </w:rPr>
        <w:t>DOI Link:</w:t>
      </w:r>
      <w:r w:rsidRPr="00637518">
        <w:rPr>
          <w:color w:val="0F1115"/>
          <w:lang w:val="fr-FR"/>
        </w:rPr>
        <w:t> </w:t>
      </w:r>
      <w:r w:rsidRPr="00637518">
        <w:rPr>
          <w:rStyle w:val="HTMLCode"/>
          <w:rFonts w:ascii="Times New Roman" w:hAnsi="Times New Roman" w:cs="Times New Roman"/>
          <w:color w:val="0F1115"/>
          <w:sz w:val="24"/>
          <w:szCs w:val="24"/>
          <w:shd w:val="clear" w:color="auto" w:fill="EBEEF2"/>
          <w:lang w:val="fr-FR"/>
        </w:rPr>
        <w:t>https://doi.org/10.1016/S0140-6736(13)60843-0</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r w:rsidRPr="00A00FF5">
        <w:rPr>
          <w:rStyle w:val="Strong"/>
          <w:b w:val="0"/>
          <w:color w:val="0F1115"/>
        </w:rPr>
        <w:t xml:space="preserve">Olney, D. K., </w:t>
      </w:r>
      <w:proofErr w:type="spellStart"/>
      <w:r w:rsidRPr="00A00FF5">
        <w:rPr>
          <w:rStyle w:val="Strong"/>
          <w:b w:val="0"/>
          <w:color w:val="0F1115"/>
        </w:rPr>
        <w:t>Talukder</w:t>
      </w:r>
      <w:proofErr w:type="spellEnd"/>
      <w:r w:rsidRPr="00A00FF5">
        <w:rPr>
          <w:rStyle w:val="Strong"/>
          <w:b w:val="0"/>
          <w:color w:val="0F1115"/>
        </w:rPr>
        <w:t xml:space="preserve">, A., </w:t>
      </w:r>
      <w:proofErr w:type="spellStart"/>
      <w:r w:rsidRPr="00A00FF5">
        <w:rPr>
          <w:rStyle w:val="Strong"/>
          <w:b w:val="0"/>
          <w:color w:val="0F1115"/>
        </w:rPr>
        <w:t>Iannotti</w:t>
      </w:r>
      <w:proofErr w:type="spellEnd"/>
      <w:r w:rsidRPr="00A00FF5">
        <w:rPr>
          <w:rStyle w:val="Strong"/>
          <w:b w:val="0"/>
          <w:color w:val="0F1115"/>
        </w:rPr>
        <w:t>, L. L., Ruel, M. T., &amp; Quinn, V. (2015).</w:t>
      </w:r>
      <w:r w:rsidRPr="00A00FF5">
        <w:rPr>
          <w:color w:val="0F1115"/>
        </w:rPr>
        <w:t> </w:t>
      </w:r>
      <w:r w:rsidRPr="00637518">
        <w:rPr>
          <w:color w:val="0F1115"/>
        </w:rPr>
        <w:t>Assessing impact and impact pathways of a homestead food production program on household and child nutrition in Cambodia. </w:t>
      </w:r>
      <w:r w:rsidRPr="00637518">
        <w:rPr>
          <w:rStyle w:val="Emphasis"/>
          <w:color w:val="0F1115"/>
        </w:rPr>
        <w:t>Food and Nutrition Bulletin, 36</w:t>
      </w:r>
      <w:r w:rsidRPr="00637518">
        <w:rPr>
          <w:color w:val="0F1115"/>
        </w:rPr>
        <w:t>(2), 167–181.</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https://doi.org/10.1177/0379572115587270</w:t>
      </w:r>
    </w:p>
    <w:p w:rsidR="00637518" w:rsidRPr="00726747" w:rsidRDefault="00637518" w:rsidP="00726747">
      <w:pPr>
        <w:pStyle w:val="ds-markdown-paragraph"/>
        <w:numPr>
          <w:ilvl w:val="0"/>
          <w:numId w:val="4"/>
        </w:numPr>
        <w:shd w:val="clear" w:color="auto" w:fill="FFFFFF"/>
        <w:spacing w:before="0" w:beforeAutospacing="0" w:after="0" w:afterAutospacing="0" w:line="360" w:lineRule="auto"/>
        <w:jc w:val="both"/>
        <w:rPr>
          <w:rStyle w:val="HTMLCode"/>
          <w:rFonts w:ascii="Times New Roman" w:hAnsi="Times New Roman" w:cs="Times New Roman"/>
          <w:color w:val="0F1115"/>
          <w:sz w:val="24"/>
          <w:szCs w:val="24"/>
          <w:lang w:val="fr-FR"/>
        </w:rPr>
      </w:pPr>
      <w:r w:rsidRPr="00637518">
        <w:rPr>
          <w:rStyle w:val="Strong"/>
          <w:b w:val="0"/>
          <w:color w:val="0F1115"/>
        </w:rPr>
        <w:t xml:space="preserve">Jones, A. D., Shrinivas, A., &amp; </w:t>
      </w:r>
      <w:proofErr w:type="spellStart"/>
      <w:r w:rsidRPr="00637518">
        <w:rPr>
          <w:rStyle w:val="Strong"/>
          <w:b w:val="0"/>
          <w:color w:val="0F1115"/>
        </w:rPr>
        <w:t>Bezner</w:t>
      </w:r>
      <w:proofErr w:type="spellEnd"/>
      <w:r w:rsidRPr="00637518">
        <w:rPr>
          <w:rStyle w:val="Strong"/>
          <w:b w:val="0"/>
          <w:color w:val="0F1115"/>
        </w:rPr>
        <w:t>-Kerr, R. (2014).</w:t>
      </w:r>
      <w:r w:rsidRPr="00637518">
        <w:rPr>
          <w:color w:val="0F1115"/>
        </w:rPr>
        <w:t> Farm production diversity is associated with greater household dietary diversity in Malawi: Findings from nationally representative data. </w:t>
      </w:r>
      <w:r w:rsidRPr="00637518">
        <w:rPr>
          <w:rStyle w:val="Emphasis"/>
          <w:color w:val="0F1115"/>
        </w:rPr>
        <w:t>Food Policy, 46</w:t>
      </w:r>
      <w:r w:rsidRPr="00637518">
        <w:rPr>
          <w:color w:val="0F1115"/>
        </w:rPr>
        <w:t>, 1–12.</w:t>
      </w:r>
      <w:r w:rsidRPr="00637518">
        <w:rPr>
          <w:color w:val="0F1115"/>
          <w:lang w:val="fr-FR"/>
        </w:rPr>
        <w:br/>
        <w:t>* </w:t>
      </w:r>
      <w:r w:rsidRPr="00637518">
        <w:rPr>
          <w:rStyle w:val="Strong"/>
          <w:b w:val="0"/>
          <w:color w:val="0F1115"/>
          <w:lang w:val="fr-FR"/>
        </w:rPr>
        <w:t>DOI Link:</w:t>
      </w:r>
      <w:r w:rsidRPr="00637518">
        <w:rPr>
          <w:color w:val="0F1115"/>
          <w:lang w:val="fr-FR"/>
        </w:rPr>
        <w:t> </w:t>
      </w:r>
      <w:hyperlink r:id="rId7" w:history="1">
        <w:r w:rsidR="00726747" w:rsidRPr="00FE7AF2">
          <w:rPr>
            <w:rStyle w:val="Hyperlink"/>
            <w:shd w:val="clear" w:color="auto" w:fill="EBEEF2"/>
            <w:lang w:val="fr-FR"/>
          </w:rPr>
          <w:t>https://doi.org/10.1016/j.foodpol.2014.02.001</w:t>
        </w:r>
      </w:hyperlink>
    </w:p>
    <w:p w:rsidR="00726747" w:rsidRPr="00726747" w:rsidRDefault="00726747" w:rsidP="00726747">
      <w:pPr>
        <w:pStyle w:val="ds-markdown-paragraph"/>
        <w:numPr>
          <w:ilvl w:val="0"/>
          <w:numId w:val="4"/>
        </w:numPr>
        <w:shd w:val="clear" w:color="auto" w:fill="FFFFFF"/>
        <w:spacing w:before="0" w:beforeAutospacing="0" w:after="0" w:afterAutospacing="0" w:line="360" w:lineRule="auto"/>
        <w:jc w:val="both"/>
        <w:rPr>
          <w:color w:val="0F1115"/>
        </w:rPr>
      </w:pPr>
      <w:r w:rsidRPr="00726747">
        <w:rPr>
          <w:rStyle w:val="Strong"/>
          <w:color w:val="0F1115"/>
          <w:shd w:val="clear" w:color="auto" w:fill="FFFFFF"/>
        </w:rPr>
        <w:t>Cochran, W. G. (1977).</w:t>
      </w:r>
      <w:r w:rsidRPr="00726747">
        <w:rPr>
          <w:color w:val="0F1115"/>
          <w:shd w:val="clear" w:color="auto" w:fill="FFFFFF"/>
        </w:rPr>
        <w:t> </w:t>
      </w:r>
      <w:r w:rsidRPr="00726747">
        <w:rPr>
          <w:rStyle w:val="Emphasis"/>
          <w:color w:val="0F1115"/>
          <w:shd w:val="clear" w:color="auto" w:fill="FFFFFF"/>
        </w:rPr>
        <w:t>Sampling Techniques</w:t>
      </w:r>
      <w:r w:rsidRPr="00726747">
        <w:rPr>
          <w:color w:val="0F1115"/>
          <w:shd w:val="clear" w:color="auto" w:fill="FFFFFF"/>
        </w:rPr>
        <w:t> (3rd ed.). New York: John Wiley &amp; Sons.</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proofErr w:type="spellStart"/>
      <w:r w:rsidRPr="00637518">
        <w:rPr>
          <w:rStyle w:val="Strong"/>
          <w:b w:val="0"/>
          <w:color w:val="0F1115"/>
        </w:rPr>
        <w:t>Bushamuka</w:t>
      </w:r>
      <w:proofErr w:type="spellEnd"/>
      <w:r w:rsidRPr="00637518">
        <w:rPr>
          <w:rStyle w:val="Strong"/>
          <w:b w:val="0"/>
          <w:color w:val="0F1115"/>
        </w:rPr>
        <w:t xml:space="preserve">, V. N., de Pee, S., </w:t>
      </w:r>
      <w:proofErr w:type="spellStart"/>
      <w:r w:rsidRPr="00637518">
        <w:rPr>
          <w:rStyle w:val="Strong"/>
          <w:b w:val="0"/>
          <w:color w:val="0F1115"/>
        </w:rPr>
        <w:t>Talukder</w:t>
      </w:r>
      <w:proofErr w:type="spellEnd"/>
      <w:r w:rsidRPr="00637518">
        <w:rPr>
          <w:rStyle w:val="Strong"/>
          <w:b w:val="0"/>
          <w:color w:val="0F1115"/>
        </w:rPr>
        <w:t xml:space="preserve">, A., </w:t>
      </w:r>
      <w:proofErr w:type="spellStart"/>
      <w:r w:rsidRPr="00637518">
        <w:rPr>
          <w:rStyle w:val="Strong"/>
          <w:b w:val="0"/>
          <w:color w:val="0F1115"/>
        </w:rPr>
        <w:t>Kiess</w:t>
      </w:r>
      <w:proofErr w:type="spellEnd"/>
      <w:r w:rsidRPr="00637518">
        <w:rPr>
          <w:rStyle w:val="Strong"/>
          <w:b w:val="0"/>
          <w:color w:val="0F1115"/>
        </w:rPr>
        <w:t xml:space="preserve">, L., </w:t>
      </w:r>
      <w:proofErr w:type="spellStart"/>
      <w:r w:rsidRPr="00637518">
        <w:rPr>
          <w:rStyle w:val="Strong"/>
          <w:b w:val="0"/>
          <w:color w:val="0F1115"/>
        </w:rPr>
        <w:t>Panagides</w:t>
      </w:r>
      <w:proofErr w:type="spellEnd"/>
      <w:r w:rsidRPr="00637518">
        <w:rPr>
          <w:rStyle w:val="Strong"/>
          <w:b w:val="0"/>
          <w:color w:val="0F1115"/>
        </w:rPr>
        <w:t xml:space="preserve">, D., Taher, A., &amp; </w:t>
      </w:r>
      <w:proofErr w:type="spellStart"/>
      <w:r w:rsidRPr="00637518">
        <w:rPr>
          <w:rStyle w:val="Strong"/>
          <w:b w:val="0"/>
          <w:color w:val="0F1115"/>
        </w:rPr>
        <w:t>Bloem</w:t>
      </w:r>
      <w:proofErr w:type="spellEnd"/>
      <w:r w:rsidRPr="00637518">
        <w:rPr>
          <w:rStyle w:val="Strong"/>
          <w:b w:val="0"/>
          <w:color w:val="0F1115"/>
        </w:rPr>
        <w:t>, M. W. (2005).</w:t>
      </w:r>
      <w:r w:rsidRPr="00637518">
        <w:rPr>
          <w:color w:val="0F1115"/>
        </w:rPr>
        <w:t> Impact of a homestead gardening program on household food security and empowerment of women in Bangladesh. </w:t>
      </w:r>
      <w:r w:rsidRPr="00637518">
        <w:rPr>
          <w:rStyle w:val="Emphasis"/>
          <w:color w:val="0F1115"/>
        </w:rPr>
        <w:t>Food and Nutrition Bulletin, 26</w:t>
      </w:r>
      <w:r w:rsidRPr="00637518">
        <w:rPr>
          <w:color w:val="0F1115"/>
        </w:rPr>
        <w:t>(1), 17–25.</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https://doi.org/10.1177/156482650502600102</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r w:rsidRPr="00637518">
        <w:rPr>
          <w:rStyle w:val="Strong"/>
          <w:b w:val="0"/>
          <w:color w:val="0F1115"/>
        </w:rPr>
        <w:t>Smith, L. C., &amp; Haddad, L. (2015).</w:t>
      </w:r>
      <w:r w:rsidRPr="00637518">
        <w:rPr>
          <w:color w:val="0F1115"/>
        </w:rPr>
        <w:t> Reducing Child Undernutrition: Past Drivers and Priorities for the Post-MDG Era. </w:t>
      </w:r>
      <w:r w:rsidRPr="00637518">
        <w:rPr>
          <w:rStyle w:val="Emphasis"/>
          <w:color w:val="0F1115"/>
        </w:rPr>
        <w:t>World Development, 68</w:t>
      </w:r>
      <w:r w:rsidRPr="00637518">
        <w:rPr>
          <w:color w:val="0F1115"/>
        </w:rPr>
        <w:t>, 180–204.</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https://doi.org/10.1016/j.worlddev.2014.11.014</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proofErr w:type="spellStart"/>
      <w:r w:rsidRPr="00637518">
        <w:rPr>
          <w:rStyle w:val="Strong"/>
          <w:b w:val="0"/>
          <w:color w:val="0F1115"/>
        </w:rPr>
        <w:lastRenderedPageBreak/>
        <w:t>Herforth</w:t>
      </w:r>
      <w:proofErr w:type="spellEnd"/>
      <w:r w:rsidRPr="00637518">
        <w:rPr>
          <w:rStyle w:val="Strong"/>
          <w:b w:val="0"/>
          <w:color w:val="0F1115"/>
        </w:rPr>
        <w:t>, A., &amp; Ballard, T. J. (2016).</w:t>
      </w:r>
      <w:r w:rsidRPr="00637518">
        <w:rPr>
          <w:color w:val="0F1115"/>
        </w:rPr>
        <w:t> Nutrition Indicators in Agriculture Projects: Current Measurement, Priorities, and Gaps. </w:t>
      </w:r>
      <w:r w:rsidRPr="00637518">
        <w:rPr>
          <w:rStyle w:val="Emphasis"/>
          <w:color w:val="0F1115"/>
        </w:rPr>
        <w:t>Global Food Security, 10</w:t>
      </w:r>
      <w:r w:rsidRPr="00637518">
        <w:rPr>
          <w:color w:val="0F1115"/>
        </w:rPr>
        <w:t>, 1–10.</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https://doi.org/10.1016/j.gfs.2016.07.004</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proofErr w:type="spellStart"/>
      <w:r w:rsidRPr="00637518">
        <w:rPr>
          <w:rStyle w:val="Strong"/>
          <w:b w:val="0"/>
          <w:color w:val="0F1115"/>
          <w:lang w:val="fr-FR"/>
        </w:rPr>
        <w:t>Schreinemachers</w:t>
      </w:r>
      <w:proofErr w:type="spellEnd"/>
      <w:r w:rsidRPr="00637518">
        <w:rPr>
          <w:rStyle w:val="Strong"/>
          <w:b w:val="0"/>
          <w:color w:val="0F1115"/>
          <w:lang w:val="fr-FR"/>
        </w:rPr>
        <w:t xml:space="preserve">, P., </w:t>
      </w:r>
      <w:proofErr w:type="spellStart"/>
      <w:r w:rsidRPr="00637518">
        <w:rPr>
          <w:rStyle w:val="Strong"/>
          <w:b w:val="0"/>
          <w:color w:val="0F1115"/>
          <w:lang w:val="fr-FR"/>
        </w:rPr>
        <w:t>Bhattarai</w:t>
      </w:r>
      <w:proofErr w:type="spellEnd"/>
      <w:r w:rsidRPr="00637518">
        <w:rPr>
          <w:rStyle w:val="Strong"/>
          <w:b w:val="0"/>
          <w:color w:val="0F1115"/>
          <w:lang w:val="fr-FR"/>
        </w:rPr>
        <w:t xml:space="preserve">, D. R., </w:t>
      </w:r>
      <w:proofErr w:type="spellStart"/>
      <w:r w:rsidRPr="00637518">
        <w:rPr>
          <w:rStyle w:val="Strong"/>
          <w:b w:val="0"/>
          <w:color w:val="0F1115"/>
          <w:lang w:val="fr-FR"/>
        </w:rPr>
        <w:t>Subedi</w:t>
      </w:r>
      <w:proofErr w:type="spellEnd"/>
      <w:r w:rsidRPr="00637518">
        <w:rPr>
          <w:rStyle w:val="Strong"/>
          <w:b w:val="0"/>
          <w:color w:val="0F1115"/>
          <w:lang w:val="fr-FR"/>
        </w:rPr>
        <w:t xml:space="preserve">, G. D., </w:t>
      </w:r>
      <w:proofErr w:type="spellStart"/>
      <w:r w:rsidRPr="00637518">
        <w:rPr>
          <w:rStyle w:val="Strong"/>
          <w:b w:val="0"/>
          <w:color w:val="0F1115"/>
          <w:lang w:val="fr-FR"/>
        </w:rPr>
        <w:t>Acharya</w:t>
      </w:r>
      <w:proofErr w:type="spellEnd"/>
      <w:r w:rsidRPr="00637518">
        <w:rPr>
          <w:rStyle w:val="Strong"/>
          <w:b w:val="0"/>
          <w:color w:val="0F1115"/>
          <w:lang w:val="fr-FR"/>
        </w:rPr>
        <w:t xml:space="preserve">, T. P., Chen, H., Yang, R., ... </w:t>
      </w:r>
      <w:r w:rsidRPr="00637518">
        <w:rPr>
          <w:rStyle w:val="Strong"/>
          <w:b w:val="0"/>
          <w:color w:val="0F1115"/>
        </w:rPr>
        <w:t xml:space="preserve">&amp; </w:t>
      </w:r>
      <w:proofErr w:type="spellStart"/>
      <w:r w:rsidRPr="00637518">
        <w:rPr>
          <w:rStyle w:val="Strong"/>
          <w:b w:val="0"/>
          <w:color w:val="0F1115"/>
        </w:rPr>
        <w:t>Mecozzi</w:t>
      </w:r>
      <w:proofErr w:type="spellEnd"/>
      <w:r w:rsidRPr="00637518">
        <w:rPr>
          <w:rStyle w:val="Strong"/>
          <w:b w:val="0"/>
          <w:color w:val="0F1115"/>
        </w:rPr>
        <w:t>, M. (2017).</w:t>
      </w:r>
      <w:r w:rsidRPr="00637518">
        <w:rPr>
          <w:color w:val="0F1115"/>
        </w:rPr>
        <w:t> Impact of school gardens and complementary nutrition education in Nepal. </w:t>
      </w:r>
      <w:r w:rsidRPr="00637518">
        <w:rPr>
          <w:rStyle w:val="Emphasis"/>
          <w:color w:val="0F1115"/>
        </w:rPr>
        <w:t>PLOS ONE, 12</w:t>
      </w:r>
      <w:r w:rsidRPr="00637518">
        <w:rPr>
          <w:color w:val="0F1115"/>
        </w:rPr>
        <w:t>(8), e0182235.</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https://doi.org/10.1371/journal.pone.0182235</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proofErr w:type="spellStart"/>
      <w:r w:rsidRPr="00637518">
        <w:rPr>
          <w:rStyle w:val="Strong"/>
          <w:b w:val="0"/>
          <w:color w:val="0F1115"/>
        </w:rPr>
        <w:t>Baliki</w:t>
      </w:r>
      <w:proofErr w:type="spellEnd"/>
      <w:r w:rsidRPr="00637518">
        <w:rPr>
          <w:rStyle w:val="Strong"/>
          <w:b w:val="0"/>
          <w:color w:val="0F1115"/>
        </w:rPr>
        <w:t xml:space="preserve">, G., </w:t>
      </w:r>
      <w:proofErr w:type="spellStart"/>
      <w:r w:rsidRPr="00637518">
        <w:rPr>
          <w:rStyle w:val="Strong"/>
          <w:b w:val="0"/>
          <w:color w:val="0F1115"/>
        </w:rPr>
        <w:t>Brück</w:t>
      </w:r>
      <w:proofErr w:type="spellEnd"/>
      <w:r w:rsidRPr="00637518">
        <w:rPr>
          <w:rStyle w:val="Strong"/>
          <w:b w:val="0"/>
          <w:color w:val="0F1115"/>
        </w:rPr>
        <w:t xml:space="preserve">, T., </w:t>
      </w:r>
      <w:proofErr w:type="spellStart"/>
      <w:r w:rsidRPr="00637518">
        <w:rPr>
          <w:rStyle w:val="Strong"/>
          <w:b w:val="0"/>
          <w:color w:val="0F1115"/>
        </w:rPr>
        <w:t>Schreinemachers</w:t>
      </w:r>
      <w:proofErr w:type="spellEnd"/>
      <w:r w:rsidRPr="00637518">
        <w:rPr>
          <w:rStyle w:val="Strong"/>
          <w:b w:val="0"/>
          <w:color w:val="0F1115"/>
        </w:rPr>
        <w:t>, P., &amp; Uddin, M. N. (2019).</w:t>
      </w:r>
      <w:r w:rsidRPr="00637518">
        <w:rPr>
          <w:color w:val="0F1115"/>
        </w:rPr>
        <w:t> Long-term impact of agricultural training on food security and poverty in Bangladesh. </w:t>
      </w:r>
      <w:r w:rsidRPr="00637518">
        <w:rPr>
          <w:rStyle w:val="Emphasis"/>
          <w:color w:val="0F1115"/>
        </w:rPr>
        <w:t>Journal of Development Effectiveness, 11</w:t>
      </w:r>
      <w:r w:rsidRPr="00637518">
        <w:rPr>
          <w:color w:val="0F1115"/>
        </w:rPr>
        <w:t>(4), 347-367.</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https://doi.org/10.1080/19439342.2019.1684950</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r w:rsidRPr="00637518">
        <w:rPr>
          <w:rStyle w:val="Strong"/>
          <w:b w:val="0"/>
          <w:color w:val="0F1115"/>
        </w:rPr>
        <w:t xml:space="preserve">Masset, E., Haddad, L., Cornelius, A., &amp; </w:t>
      </w:r>
      <w:proofErr w:type="spellStart"/>
      <w:r w:rsidRPr="00637518">
        <w:rPr>
          <w:rStyle w:val="Strong"/>
          <w:b w:val="0"/>
          <w:color w:val="0F1115"/>
        </w:rPr>
        <w:t>Isaza</w:t>
      </w:r>
      <w:proofErr w:type="spellEnd"/>
      <w:r w:rsidRPr="00637518">
        <w:rPr>
          <w:rStyle w:val="Strong"/>
          <w:b w:val="0"/>
          <w:color w:val="0F1115"/>
        </w:rPr>
        <w:t>-Castro, J. (2012).</w:t>
      </w:r>
      <w:r w:rsidRPr="00637518">
        <w:rPr>
          <w:color w:val="0F1115"/>
        </w:rPr>
        <w:t> Effectiveness of agricultural interventions that aim to improve nutritional status of children: a systematic review. </w:t>
      </w:r>
      <w:r w:rsidRPr="00637518">
        <w:rPr>
          <w:rStyle w:val="Emphasis"/>
          <w:color w:val="0F1115"/>
        </w:rPr>
        <w:t>BMJ, 344</w:t>
      </w:r>
      <w:r w:rsidRPr="00637518">
        <w:rPr>
          <w:color w:val="0F1115"/>
        </w:rPr>
        <w:t>, d8222.</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https://doi.org/10.1136/bmj.d8222</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proofErr w:type="spellStart"/>
      <w:r w:rsidRPr="00637518">
        <w:rPr>
          <w:rStyle w:val="Strong"/>
          <w:b w:val="0"/>
          <w:color w:val="0F1115"/>
        </w:rPr>
        <w:t>Berti</w:t>
      </w:r>
      <w:proofErr w:type="spellEnd"/>
      <w:r w:rsidRPr="00637518">
        <w:rPr>
          <w:rStyle w:val="Strong"/>
          <w:b w:val="0"/>
          <w:color w:val="0F1115"/>
        </w:rPr>
        <w:t xml:space="preserve">, P. R., </w:t>
      </w:r>
      <w:proofErr w:type="spellStart"/>
      <w:r w:rsidRPr="00637518">
        <w:rPr>
          <w:rStyle w:val="Strong"/>
          <w:b w:val="0"/>
          <w:color w:val="0F1115"/>
        </w:rPr>
        <w:t>Krasevec</w:t>
      </w:r>
      <w:proofErr w:type="spellEnd"/>
      <w:r w:rsidRPr="00637518">
        <w:rPr>
          <w:rStyle w:val="Strong"/>
          <w:b w:val="0"/>
          <w:color w:val="0F1115"/>
        </w:rPr>
        <w:t>, J., &amp; FitzGerald, S. (2004).</w:t>
      </w:r>
      <w:r w:rsidRPr="00637518">
        <w:rPr>
          <w:color w:val="0F1115"/>
        </w:rPr>
        <w:t> A review of the effectiveness of agriculture interventions in improving nutrition outcomes. </w:t>
      </w:r>
      <w:r w:rsidRPr="00637518">
        <w:rPr>
          <w:rStyle w:val="Emphasis"/>
          <w:color w:val="0F1115"/>
        </w:rPr>
        <w:t>Public Health Nutrition, 7</w:t>
      </w:r>
      <w:r w:rsidRPr="00637518">
        <w:rPr>
          <w:color w:val="0F1115"/>
        </w:rPr>
        <w:t>(5), 599–609.</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https://doi.org/10.1079/PHN2003595</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r w:rsidRPr="00637518">
        <w:rPr>
          <w:rStyle w:val="Strong"/>
          <w:b w:val="0"/>
          <w:color w:val="0F1115"/>
        </w:rPr>
        <w:t xml:space="preserve">Dillon, A., McGee, K., &amp; </w:t>
      </w:r>
      <w:proofErr w:type="spellStart"/>
      <w:r w:rsidRPr="00637518">
        <w:rPr>
          <w:rStyle w:val="Strong"/>
          <w:b w:val="0"/>
          <w:color w:val="0F1115"/>
        </w:rPr>
        <w:t>Oseni</w:t>
      </w:r>
      <w:proofErr w:type="spellEnd"/>
      <w:r w:rsidRPr="00637518">
        <w:rPr>
          <w:rStyle w:val="Strong"/>
          <w:b w:val="0"/>
          <w:color w:val="0F1115"/>
        </w:rPr>
        <w:t>, G. (2015).</w:t>
      </w:r>
      <w:r w:rsidRPr="00637518">
        <w:rPr>
          <w:color w:val="0F1115"/>
        </w:rPr>
        <w:t> Agricultural production, dietary diversity, and climate variability. </w:t>
      </w:r>
      <w:r w:rsidRPr="00637518">
        <w:rPr>
          <w:rStyle w:val="Emphasis"/>
          <w:color w:val="0F1115"/>
        </w:rPr>
        <w:t>The Journal of Development Studies, 51</w:t>
      </w:r>
      <w:r w:rsidRPr="00637518">
        <w:rPr>
          <w:color w:val="0F1115"/>
        </w:rPr>
        <w:t>(8), 976-995.</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https://doi.org/10.1080/00220388.2015.1018902</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proofErr w:type="spellStart"/>
      <w:r w:rsidRPr="00637518">
        <w:rPr>
          <w:rStyle w:val="Strong"/>
          <w:b w:val="0"/>
          <w:color w:val="0F1115"/>
          <w:lang w:val="fr-FR"/>
        </w:rPr>
        <w:t>Sibhatu</w:t>
      </w:r>
      <w:proofErr w:type="spellEnd"/>
      <w:r w:rsidRPr="00637518">
        <w:rPr>
          <w:rStyle w:val="Strong"/>
          <w:b w:val="0"/>
          <w:color w:val="0F1115"/>
          <w:lang w:val="fr-FR"/>
        </w:rPr>
        <w:t xml:space="preserve">, K. T., &amp; </w:t>
      </w:r>
      <w:proofErr w:type="spellStart"/>
      <w:r w:rsidRPr="00637518">
        <w:rPr>
          <w:rStyle w:val="Strong"/>
          <w:b w:val="0"/>
          <w:color w:val="0F1115"/>
          <w:lang w:val="fr-FR"/>
        </w:rPr>
        <w:t>Qaim</w:t>
      </w:r>
      <w:proofErr w:type="spellEnd"/>
      <w:r w:rsidRPr="00637518">
        <w:rPr>
          <w:rStyle w:val="Strong"/>
          <w:b w:val="0"/>
          <w:color w:val="0F1115"/>
          <w:lang w:val="fr-FR"/>
        </w:rPr>
        <w:t>, M. (2018).</w:t>
      </w:r>
      <w:r w:rsidRPr="00637518">
        <w:rPr>
          <w:color w:val="0F1115"/>
          <w:lang w:val="fr-FR"/>
        </w:rPr>
        <w:t> </w:t>
      </w:r>
      <w:r w:rsidRPr="00637518">
        <w:rPr>
          <w:color w:val="0F1115"/>
        </w:rPr>
        <w:t>Meta-analysis of the association between production diversity, diets, and nutrition in smallholder farm households. </w:t>
      </w:r>
      <w:r w:rsidRPr="00637518">
        <w:rPr>
          <w:rStyle w:val="Emphasis"/>
          <w:color w:val="0F1115"/>
        </w:rPr>
        <w:t>Food Policy, 77</w:t>
      </w:r>
      <w:r w:rsidRPr="00637518">
        <w:rPr>
          <w:color w:val="0F1115"/>
        </w:rPr>
        <w:t>, 1-18.</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https://doi.org/10.1016/j.foodpol.2018.04.013</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proofErr w:type="spellStart"/>
      <w:r w:rsidRPr="00637518">
        <w:rPr>
          <w:rStyle w:val="Strong"/>
          <w:b w:val="0"/>
          <w:color w:val="0F1115"/>
        </w:rPr>
        <w:t>Habtemariam</w:t>
      </w:r>
      <w:proofErr w:type="spellEnd"/>
      <w:r w:rsidRPr="00637518">
        <w:rPr>
          <w:rStyle w:val="Strong"/>
          <w:b w:val="0"/>
          <w:color w:val="0F1115"/>
        </w:rPr>
        <w:t xml:space="preserve">, L. T., </w:t>
      </w:r>
      <w:proofErr w:type="spellStart"/>
      <w:r w:rsidRPr="00637518">
        <w:rPr>
          <w:rStyle w:val="Strong"/>
          <w:b w:val="0"/>
          <w:color w:val="0F1115"/>
        </w:rPr>
        <w:t>Gornott</w:t>
      </w:r>
      <w:proofErr w:type="spellEnd"/>
      <w:r w:rsidRPr="00637518">
        <w:rPr>
          <w:rStyle w:val="Strong"/>
          <w:b w:val="0"/>
          <w:color w:val="0F1115"/>
        </w:rPr>
        <w:t xml:space="preserve">, C., Hoffmann, H., &amp; </w:t>
      </w:r>
      <w:proofErr w:type="spellStart"/>
      <w:r w:rsidRPr="00637518">
        <w:rPr>
          <w:rStyle w:val="Strong"/>
          <w:b w:val="0"/>
          <w:color w:val="0F1115"/>
        </w:rPr>
        <w:t>Sieber</w:t>
      </w:r>
      <w:proofErr w:type="spellEnd"/>
      <w:r w:rsidRPr="00637518">
        <w:rPr>
          <w:rStyle w:val="Strong"/>
          <w:b w:val="0"/>
          <w:color w:val="0F1115"/>
        </w:rPr>
        <w:t>, S. (2021).</w:t>
      </w:r>
      <w:r w:rsidRPr="00637518">
        <w:rPr>
          <w:color w:val="0F1115"/>
        </w:rPr>
        <w:t> The Impact of Climate Change on Agriculture and Food Security in Southern Africa: A Systematic Review. </w:t>
      </w:r>
      <w:r w:rsidRPr="00637518">
        <w:rPr>
          <w:rStyle w:val="Emphasis"/>
          <w:color w:val="0F1115"/>
        </w:rPr>
        <w:t>Sustainability, 13</w:t>
      </w:r>
      <w:r w:rsidRPr="00637518">
        <w:rPr>
          <w:color w:val="0F1115"/>
        </w:rPr>
        <w:t>(21), 11599.</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https://doi.org/10.3390/su132111599</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proofErr w:type="spellStart"/>
      <w:r w:rsidRPr="00637518">
        <w:rPr>
          <w:rStyle w:val="Strong"/>
          <w:b w:val="0"/>
          <w:color w:val="0F1115"/>
        </w:rPr>
        <w:t>Bhagowalia</w:t>
      </w:r>
      <w:proofErr w:type="spellEnd"/>
      <w:r w:rsidRPr="00637518">
        <w:rPr>
          <w:rStyle w:val="Strong"/>
          <w:b w:val="0"/>
          <w:color w:val="0F1115"/>
        </w:rPr>
        <w:t xml:space="preserve">, P., Headey, D., &amp; </w:t>
      </w:r>
      <w:proofErr w:type="spellStart"/>
      <w:r w:rsidRPr="00637518">
        <w:rPr>
          <w:rStyle w:val="Strong"/>
          <w:b w:val="0"/>
          <w:color w:val="0F1115"/>
        </w:rPr>
        <w:t>Kadiyala</w:t>
      </w:r>
      <w:proofErr w:type="spellEnd"/>
      <w:r w:rsidRPr="00637518">
        <w:rPr>
          <w:rStyle w:val="Strong"/>
          <w:b w:val="0"/>
          <w:color w:val="0F1115"/>
        </w:rPr>
        <w:t>, S. (2012).</w:t>
      </w:r>
      <w:r w:rsidRPr="00637518">
        <w:rPr>
          <w:color w:val="0F1115"/>
        </w:rPr>
        <w:t> Agriculture, Income, and Nutrition Linkages in India: Insights from a Nationally Representative Survey. </w:t>
      </w:r>
      <w:r w:rsidRPr="00637518">
        <w:rPr>
          <w:rStyle w:val="Emphasis"/>
          <w:color w:val="0F1115"/>
        </w:rPr>
        <w:t>IFPRI Discussion Paper 01195</w:t>
      </w:r>
      <w:r w:rsidRPr="00637518">
        <w:rPr>
          <w:color w:val="0F1115"/>
        </w:rPr>
        <w:t>.</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https://doi.org/10.2139/ssrn.2015771</w:t>
      </w:r>
    </w:p>
    <w:p w:rsidR="00637518" w:rsidRPr="00637518" w:rsidRDefault="00637518" w:rsidP="00726747">
      <w:pPr>
        <w:pStyle w:val="ds-markdown-paragraph"/>
        <w:numPr>
          <w:ilvl w:val="0"/>
          <w:numId w:val="4"/>
        </w:numPr>
        <w:shd w:val="clear" w:color="auto" w:fill="FFFFFF"/>
        <w:spacing w:before="0" w:beforeAutospacing="0" w:after="0" w:afterAutospacing="0" w:line="360" w:lineRule="auto"/>
        <w:jc w:val="both"/>
        <w:rPr>
          <w:color w:val="0F1115"/>
        </w:rPr>
      </w:pPr>
      <w:proofErr w:type="spellStart"/>
      <w:r w:rsidRPr="00637518">
        <w:rPr>
          <w:rStyle w:val="Strong"/>
          <w:b w:val="0"/>
          <w:color w:val="0F1115"/>
        </w:rPr>
        <w:lastRenderedPageBreak/>
        <w:t>Fanzo</w:t>
      </w:r>
      <w:proofErr w:type="spellEnd"/>
      <w:r w:rsidRPr="00637518">
        <w:rPr>
          <w:rStyle w:val="Strong"/>
          <w:b w:val="0"/>
          <w:color w:val="0F1115"/>
        </w:rPr>
        <w:t>, J. (2012).</w:t>
      </w:r>
      <w:r w:rsidRPr="00637518">
        <w:rPr>
          <w:color w:val="0F1115"/>
        </w:rPr>
        <w:t> The Nutrition Challenge in Sub-Saharan Africa. *UNDP Working Paper No. 2012-012*.</w:t>
      </w:r>
      <w:r w:rsidRPr="00637518">
        <w:rPr>
          <w:color w:val="0F1115"/>
        </w:rPr>
        <w:br/>
        <w:t>* </w:t>
      </w:r>
      <w:r w:rsidRPr="00637518">
        <w:rPr>
          <w:rStyle w:val="Strong"/>
          <w:b w:val="0"/>
          <w:color w:val="0F1115"/>
        </w:rPr>
        <w:t>DOI Link:</w:t>
      </w:r>
      <w:r w:rsidRPr="00637518">
        <w:rPr>
          <w:color w:val="0F1115"/>
        </w:rPr>
        <w:t> </w:t>
      </w:r>
      <w:r w:rsidRPr="00637518">
        <w:rPr>
          <w:rStyle w:val="HTMLCode"/>
          <w:rFonts w:ascii="Times New Roman" w:hAnsi="Times New Roman" w:cs="Times New Roman"/>
          <w:color w:val="0F1115"/>
          <w:sz w:val="24"/>
          <w:szCs w:val="24"/>
          <w:shd w:val="clear" w:color="auto" w:fill="EBEEF2"/>
        </w:rPr>
        <w:t>https://doi.org/10.2139/ssrn.2235418</w:t>
      </w:r>
    </w:p>
    <w:p w:rsidR="00D45751" w:rsidRPr="00637518" w:rsidRDefault="00D45751" w:rsidP="00637518">
      <w:pPr>
        <w:shd w:val="clear" w:color="auto" w:fill="FFFFFF"/>
        <w:spacing w:before="100" w:beforeAutospacing="1" w:after="0" w:line="360" w:lineRule="auto"/>
        <w:ind w:left="720"/>
        <w:jc w:val="both"/>
        <w:rPr>
          <w:rFonts w:ascii="Times New Roman" w:hAnsi="Times New Roman" w:cs="Times New Roman"/>
          <w:sz w:val="24"/>
          <w:lang w:val="en-US"/>
        </w:rPr>
      </w:pPr>
      <w:bookmarkStart w:id="0" w:name="_GoBack"/>
      <w:bookmarkEnd w:id="0"/>
    </w:p>
    <w:sectPr w:rsidR="00D45751" w:rsidRPr="00637518">
      <w:headerReference w:type="even" r:id="rId8"/>
      <w:headerReference w:type="default" r:id="rId9"/>
      <w:footerReference w:type="even"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8B1" w:rsidRDefault="002A58B1">
      <w:pPr>
        <w:spacing w:after="0" w:line="240" w:lineRule="auto"/>
      </w:pPr>
      <w:r>
        <w:separator/>
      </w:r>
    </w:p>
  </w:endnote>
  <w:endnote w:type="continuationSeparator" w:id="0">
    <w:p w:rsidR="002A58B1" w:rsidRDefault="002A5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A85" w:rsidRDefault="001E2A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A85" w:rsidRDefault="001E2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8B1" w:rsidRDefault="002A58B1">
      <w:pPr>
        <w:spacing w:after="0" w:line="240" w:lineRule="auto"/>
      </w:pPr>
      <w:r>
        <w:separator/>
      </w:r>
    </w:p>
  </w:footnote>
  <w:footnote w:type="continuationSeparator" w:id="0">
    <w:p w:rsidR="002A58B1" w:rsidRDefault="002A58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A85" w:rsidRDefault="002A58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8.55pt;height:100.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A85" w:rsidRDefault="002A58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8.55pt;height:100.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A85" w:rsidRDefault="002A58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8.55pt;height:100.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310C5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hybridMultilevel"/>
    <w:tmpl w:val="C180D936"/>
    <w:lvl w:ilvl="0" w:tplc="040C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1B95"/>
    <w:multiLevelType w:val="hybridMultilevel"/>
    <w:tmpl w:val="B4D61784"/>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A110D"/>
    <w:multiLevelType w:val="multilevel"/>
    <w:tmpl w:val="3AD6AF0C"/>
    <w:lvl w:ilvl="0">
      <w:start w:val="1"/>
      <w:numFmt w:val="decimal"/>
      <w:lvlText w:val="%1."/>
      <w:lvlJc w:val="left"/>
      <w:pPr>
        <w:tabs>
          <w:tab w:val="left" w:pos="720"/>
        </w:tabs>
        <w:ind w:left="720" w:hanging="360"/>
      </w:pPr>
      <w:rPr>
        <w:b w:val="0"/>
        <w:sz w:val="24"/>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58B862FE"/>
    <w:multiLevelType w:val="hybridMultilevel"/>
    <w:tmpl w:val="CD60961E"/>
    <w:lvl w:ilvl="0" w:tplc="040C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751"/>
    <w:rsid w:val="001653FC"/>
    <w:rsid w:val="00190229"/>
    <w:rsid w:val="001E2A85"/>
    <w:rsid w:val="002919E4"/>
    <w:rsid w:val="002A58B1"/>
    <w:rsid w:val="002F570A"/>
    <w:rsid w:val="00343E36"/>
    <w:rsid w:val="00364516"/>
    <w:rsid w:val="00403BD5"/>
    <w:rsid w:val="004C3C6E"/>
    <w:rsid w:val="00504807"/>
    <w:rsid w:val="00514B12"/>
    <w:rsid w:val="005600CC"/>
    <w:rsid w:val="006138EF"/>
    <w:rsid w:val="0062577B"/>
    <w:rsid w:val="00637518"/>
    <w:rsid w:val="006F54D9"/>
    <w:rsid w:val="00710D1F"/>
    <w:rsid w:val="00720FE2"/>
    <w:rsid w:val="00726747"/>
    <w:rsid w:val="00793E3B"/>
    <w:rsid w:val="007E45B3"/>
    <w:rsid w:val="008E1F6A"/>
    <w:rsid w:val="009306F1"/>
    <w:rsid w:val="0093466D"/>
    <w:rsid w:val="00956D7E"/>
    <w:rsid w:val="00986FAC"/>
    <w:rsid w:val="00A00FF5"/>
    <w:rsid w:val="00B15EEE"/>
    <w:rsid w:val="00B626C1"/>
    <w:rsid w:val="00C75D98"/>
    <w:rsid w:val="00D367C9"/>
    <w:rsid w:val="00D45751"/>
    <w:rsid w:val="00DC1022"/>
    <w:rsid w:val="00DD07DB"/>
    <w:rsid w:val="00E816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D270E59-FAD6-4162-A6FB-455B1CA0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US"/>
    </w:rPr>
  </w:style>
  <w:style w:type="character" w:styleId="Strong">
    <w:name w:val="Strong"/>
    <w:basedOn w:val="DefaultParagraphFont"/>
    <w:uiPriority w:val="22"/>
    <w:qFormat/>
    <w:rPr>
      <w:b/>
      <w:bCs/>
    </w:rPr>
  </w:style>
  <w:style w:type="paragraph" w:customStyle="1" w:styleId="ds-markdown-paragraph">
    <w:name w:val="ds-markdown-paragraph"/>
    <w:basedOn w:val="Normal"/>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style>
  <w:style w:type="character" w:customStyle="1" w:styleId="mbin">
    <w:name w:val="mbin"/>
    <w:basedOn w:val="DefaultParagraphFont"/>
  </w:style>
  <w:style w:type="character" w:customStyle="1" w:styleId="mclose">
    <w:name w:val="mclose"/>
    <w:basedOn w:val="DefaultParagraphFont"/>
  </w:style>
  <w:style w:type="character" w:customStyle="1" w:styleId="vlist-s">
    <w:name w:val="vlist-s"/>
    <w:basedOn w:val="DefaultParagraphFont"/>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customStyle="1" w:styleId="gi">
    <w:name w:val="gi"/>
    <w:basedOn w:val="DefaultParagraphFont"/>
  </w:style>
  <w:style w:type="paragraph" w:styleId="ListParagraph">
    <w:name w:val="List Paragraph"/>
    <w:basedOn w:val="Normal"/>
    <w:uiPriority w:val="34"/>
    <w:qFormat/>
    <w:pPr>
      <w:ind w:left="720"/>
      <w:contextualSpacing/>
    </w:pPr>
    <w:rPr>
      <w:lang w:val="en-US"/>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sid w:val="00DD07DB"/>
    <w:rPr>
      <w:sz w:val="16"/>
      <w:szCs w:val="16"/>
    </w:rPr>
  </w:style>
  <w:style w:type="paragraph" w:styleId="CommentText">
    <w:name w:val="annotation text"/>
    <w:basedOn w:val="Normal"/>
    <w:link w:val="CommentTextChar"/>
    <w:uiPriority w:val="99"/>
    <w:unhideWhenUsed/>
    <w:rsid w:val="00DD07DB"/>
    <w:pPr>
      <w:spacing w:line="240" w:lineRule="auto"/>
    </w:pPr>
    <w:rPr>
      <w:sz w:val="20"/>
      <w:szCs w:val="20"/>
    </w:rPr>
  </w:style>
  <w:style w:type="character" w:customStyle="1" w:styleId="CommentTextChar">
    <w:name w:val="Comment Text Char"/>
    <w:basedOn w:val="DefaultParagraphFont"/>
    <w:link w:val="CommentText"/>
    <w:uiPriority w:val="99"/>
    <w:rsid w:val="00DD07DB"/>
    <w:rPr>
      <w:sz w:val="20"/>
      <w:szCs w:val="20"/>
    </w:rPr>
  </w:style>
  <w:style w:type="paragraph" w:styleId="CommentSubject">
    <w:name w:val="annotation subject"/>
    <w:basedOn w:val="CommentText"/>
    <w:next w:val="CommentText"/>
    <w:link w:val="CommentSubjectChar"/>
    <w:uiPriority w:val="99"/>
    <w:semiHidden/>
    <w:unhideWhenUsed/>
    <w:rsid w:val="00DD07DB"/>
    <w:rPr>
      <w:b/>
      <w:bCs/>
    </w:rPr>
  </w:style>
  <w:style w:type="character" w:customStyle="1" w:styleId="CommentSubjectChar">
    <w:name w:val="Comment Subject Char"/>
    <w:basedOn w:val="CommentTextChar"/>
    <w:link w:val="CommentSubject"/>
    <w:uiPriority w:val="99"/>
    <w:semiHidden/>
    <w:rsid w:val="00DD07DB"/>
    <w:rPr>
      <w:b/>
      <w:bCs/>
      <w:sz w:val="20"/>
      <w:szCs w:val="20"/>
    </w:rPr>
  </w:style>
  <w:style w:type="character" w:styleId="HTMLCode">
    <w:name w:val="HTML Code"/>
    <w:basedOn w:val="DefaultParagraphFont"/>
    <w:uiPriority w:val="99"/>
    <w:semiHidden/>
    <w:unhideWhenUsed/>
    <w:rsid w:val="00637518"/>
    <w:rPr>
      <w:rFonts w:ascii="Courier New" w:eastAsia="Times New Roman" w:hAnsi="Courier New" w:cs="Courier New"/>
      <w:sz w:val="20"/>
      <w:szCs w:val="20"/>
    </w:rPr>
  </w:style>
  <w:style w:type="paragraph" w:styleId="Caption">
    <w:name w:val="caption"/>
    <w:basedOn w:val="Normal"/>
    <w:next w:val="Normal"/>
    <w:uiPriority w:val="35"/>
    <w:unhideWhenUsed/>
    <w:qFormat/>
    <w:rsid w:val="002F570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182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foodpol.2014.02.00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15</Pages>
  <Words>3152</Words>
  <Characters>17971</Characters>
  <Application>Microsoft Office Word</Application>
  <DocSecurity>0</DocSecurity>
  <Lines>149</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WILLY</dc:creator>
  <cp:lastModifiedBy>SDI 1186</cp:lastModifiedBy>
  <cp:revision>18</cp:revision>
  <dcterms:created xsi:type="dcterms:W3CDTF">2025-10-25T00:04:00Z</dcterms:created>
  <dcterms:modified xsi:type="dcterms:W3CDTF">2025-10-27T07:21:00Z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dda5995e8b8a4c37b355da898123a6ba</vt:lpwstr>
  </property>
</Properties>
</file>