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F7EF7" w14:textId="582DC8FC" w:rsidR="0082012C" w:rsidRPr="001B2A74" w:rsidRDefault="00B04016" w:rsidP="001B2A74">
      <w:pPr>
        <w:spacing w:line="360" w:lineRule="auto"/>
        <w:jc w:val="both"/>
        <w:rPr>
          <w:rFonts w:ascii="Times New Roman" w:hAnsi="Times New Roman" w:cs="Times New Roman"/>
          <w:sz w:val="24"/>
          <w:szCs w:val="24"/>
        </w:rPr>
      </w:pPr>
      <w:bookmarkStart w:id="0" w:name="_GoBack"/>
      <w:bookmarkEnd w:id="0"/>
      <w:r w:rsidRPr="001B2A74">
        <w:rPr>
          <w:rFonts w:ascii="Times New Roman" w:hAnsi="Times New Roman" w:cs="Times New Roman"/>
          <w:sz w:val="24"/>
          <w:szCs w:val="24"/>
          <w:lang w:val="en-IN"/>
        </w:rPr>
        <w:t>Paediatric</w:t>
      </w:r>
      <w:r w:rsidR="0082012C" w:rsidRPr="001B2A74">
        <w:rPr>
          <w:rFonts w:ascii="Times New Roman" w:hAnsi="Times New Roman" w:cs="Times New Roman"/>
          <w:sz w:val="24"/>
          <w:szCs w:val="24"/>
          <w:lang w:val="en-IN"/>
        </w:rPr>
        <w:t xml:space="preserve"> Nephrotic Syndrome at Gabriel Touré University Hospital, Mali: A 30-Month Cross-Sectional Study</w:t>
      </w:r>
    </w:p>
    <w:p w14:paraId="34775E0E" w14:textId="13457111" w:rsidR="00744EAE" w:rsidRPr="001B2A74" w:rsidRDefault="00CD25F3" w:rsidP="001B2A7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102F687"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b/>
          <w:bCs/>
          <w:sz w:val="24"/>
          <w:szCs w:val="24"/>
        </w:rPr>
        <w:t xml:space="preserve">Introduction </w:t>
      </w:r>
      <w:r w:rsidRPr="001B2A74">
        <w:rPr>
          <w:rFonts w:ascii="Times New Roman" w:hAnsi="Times New Roman" w:cs="Times New Roman"/>
          <w:sz w:val="24"/>
          <w:szCs w:val="24"/>
        </w:rPr>
        <w:t xml:space="preserve">: Nephrotic syndrome (NS) is biologically defined by hypoalbuminemia below 30 g/L and proteinuria above 50 mg/kg/day or above 200 g/mol of urinary creatinine in a sample. It is one of the most common glomerular nephropathies occurring in children between the ages of 2 and 7, often following an infectious or allergic trigger. </w:t>
      </w:r>
      <w:r w:rsidRPr="001B2A74">
        <w:rPr>
          <w:rFonts w:ascii="Times New Roman" w:hAnsi="Times New Roman" w:cs="Times New Roman"/>
          <w:b/>
          <w:bCs/>
          <w:sz w:val="24"/>
          <w:szCs w:val="24"/>
        </w:rPr>
        <w:t>Materials and methods.</w:t>
      </w:r>
      <w:r w:rsidRPr="001B2A74">
        <w:rPr>
          <w:rFonts w:ascii="Times New Roman" w:hAnsi="Times New Roman" w:cs="Times New Roman"/>
          <w:sz w:val="24"/>
          <w:szCs w:val="24"/>
        </w:rPr>
        <w:t xml:space="preserve"> We conducted a cross-sectional study over a 30-month period from January 1, 2018, to June 30, 2020, among children aged 0 to 15 years admitted to the pediatric department of the Gabriel TOURE University Hospital for nephrotic syndrome. </w:t>
      </w:r>
      <w:r w:rsidRPr="001B2A74">
        <w:rPr>
          <w:rFonts w:ascii="Times New Roman" w:hAnsi="Times New Roman" w:cs="Times New Roman"/>
          <w:b/>
          <w:bCs/>
          <w:sz w:val="24"/>
          <w:szCs w:val="24"/>
        </w:rPr>
        <w:t>Results</w:t>
      </w:r>
      <w:r w:rsidRPr="001B2A74">
        <w:rPr>
          <w:rFonts w:ascii="Times New Roman" w:hAnsi="Times New Roman" w:cs="Times New Roman"/>
          <w:sz w:val="24"/>
          <w:szCs w:val="24"/>
        </w:rPr>
        <w:t xml:space="preserve">. Over the 30-month period, we collected 65 files that met the inclusion criteria out of a total of 19,047 hospitalizations, representing a hospitalization rate of 0.34%. The average age was 7.15 ± 3.92, with extremes ranging from 1 to 14 years. The sex ratio was 2.82. Twenty-four-hour proteinuria was between 100 and 200 mg/kg/day in 64.6% of cases, and 4.7% had proteinuria greater than 300 mg/kg/day. All children received corticosteroid therapy. </w:t>
      </w:r>
      <w:r w:rsidRPr="001B2A74">
        <w:rPr>
          <w:rFonts w:ascii="Times New Roman" w:hAnsi="Times New Roman" w:cs="Times New Roman"/>
          <w:b/>
          <w:bCs/>
          <w:sz w:val="24"/>
          <w:szCs w:val="24"/>
        </w:rPr>
        <w:t>Conclusion</w:t>
      </w:r>
      <w:r w:rsidRPr="001B2A74">
        <w:rPr>
          <w:rFonts w:ascii="Times New Roman" w:hAnsi="Times New Roman" w:cs="Times New Roman"/>
          <w:sz w:val="24"/>
          <w:szCs w:val="24"/>
        </w:rPr>
        <w:t>. NS is the most common kidney disease in children. Early treatment with corticosteroids and rigorous follow-up are essential, but remain difficult to implement in resource-limited settings.</w:t>
      </w:r>
    </w:p>
    <w:p w14:paraId="29B85DC1" w14:textId="3C8CDF51" w:rsidR="0082012C" w:rsidRPr="001B2A74" w:rsidRDefault="0082012C" w:rsidP="001B2A74">
      <w:pPr>
        <w:tabs>
          <w:tab w:val="left" w:pos="1925"/>
        </w:tabs>
        <w:spacing w:after="0" w:line="360" w:lineRule="auto"/>
        <w:jc w:val="both"/>
        <w:rPr>
          <w:rFonts w:ascii="Times New Roman" w:hAnsi="Times New Roman" w:cs="Times New Roman"/>
          <w:sz w:val="24"/>
          <w:szCs w:val="24"/>
          <w:lang w:val="en-US"/>
        </w:rPr>
      </w:pPr>
      <w:r w:rsidRPr="001B2A74">
        <w:rPr>
          <w:rFonts w:ascii="Times New Roman" w:hAnsi="Times New Roman" w:cs="Times New Roman"/>
          <w:b/>
          <w:bCs/>
          <w:sz w:val="24"/>
          <w:szCs w:val="24"/>
          <w:lang w:val="en-US"/>
        </w:rPr>
        <w:t>Key words</w:t>
      </w:r>
      <w:r w:rsidRPr="001B2A74">
        <w:rPr>
          <w:rFonts w:ascii="Times New Roman" w:hAnsi="Times New Roman" w:cs="Times New Roman"/>
          <w:sz w:val="24"/>
          <w:szCs w:val="24"/>
          <w:lang w:val="en-US"/>
        </w:rPr>
        <w:t xml:space="preserve">: Nephrotic syndrome, Child, </w:t>
      </w:r>
      <w:r w:rsidR="00CD25F3" w:rsidRPr="00CD25F3">
        <w:rPr>
          <w:rFonts w:ascii="Times New Roman" w:hAnsi="Times New Roman" w:cs="Times New Roman"/>
          <w:sz w:val="24"/>
          <w:szCs w:val="24"/>
          <w:lang w:val="en-US"/>
        </w:rPr>
        <w:t>Paediatric</w:t>
      </w:r>
      <w:r w:rsidR="00CD25F3">
        <w:rPr>
          <w:rFonts w:ascii="Times New Roman" w:hAnsi="Times New Roman" w:cs="Times New Roman"/>
          <w:sz w:val="24"/>
          <w:szCs w:val="24"/>
          <w:lang w:val="en-US"/>
        </w:rPr>
        <w:t>,</w:t>
      </w:r>
      <w:r w:rsidR="00CD25F3" w:rsidRPr="00CD25F3">
        <w:t xml:space="preserve"> </w:t>
      </w:r>
      <w:r w:rsidR="00CD25F3" w:rsidRPr="00CD25F3">
        <w:rPr>
          <w:rFonts w:ascii="Times New Roman" w:hAnsi="Times New Roman" w:cs="Times New Roman"/>
          <w:sz w:val="24"/>
          <w:szCs w:val="24"/>
          <w:lang w:val="en-US"/>
        </w:rPr>
        <w:t>hypoalbuminemia</w:t>
      </w:r>
    </w:p>
    <w:p w14:paraId="20F17E3F" w14:textId="77777777"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Introduction</w:t>
      </w:r>
    </w:p>
    <w:p w14:paraId="6B84F526"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Nephrotic syndrome (NS) is biologically defined by hypoalbuminemia below 30 g/L and proteinuria above 50 mg/kg/day or above 200 g/mol of urinary creatinine in a sample [1]. It is one of the most common glomerular nephropathies occurring in children between the ages of 2 and 7, often following an infectious or allergic trigger [2].</w:t>
      </w:r>
    </w:p>
    <w:p w14:paraId="66BDB0D5"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It reflects an abnormality in glomerular permeability that may be primary or secondary to infections, sometimes congenital, diabetes, systemic lupus erythematosus, human immunodeficiency virus (HIV) nephropathy, neoplasms, certain medications, and genetic abnormalities, among other causes [2].</w:t>
      </w:r>
    </w:p>
    <w:p w14:paraId="1635C94D" w14:textId="6F8440BD"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The annual incidence of N</w:t>
      </w:r>
      <w:r w:rsidR="00780E03" w:rsidRPr="001B2A74">
        <w:rPr>
          <w:rFonts w:ascii="Times New Roman" w:hAnsi="Times New Roman" w:cs="Times New Roman"/>
          <w:sz w:val="24"/>
          <w:szCs w:val="24"/>
        </w:rPr>
        <w:t>S</w:t>
      </w:r>
      <w:r w:rsidRPr="001B2A74">
        <w:rPr>
          <w:rFonts w:ascii="Times New Roman" w:hAnsi="Times New Roman" w:cs="Times New Roman"/>
          <w:sz w:val="24"/>
          <w:szCs w:val="24"/>
        </w:rPr>
        <w:t xml:space="preserve"> is 1 to 4 per 100,000 children and varies according to gender, age, ethnicity, and place of residence [2,3]. It affects boys more frequently, with a sex ratio of 3 boys to 1 girl. Children of Asian origin are more affected, suggesting a genetic determinant, and urban centers compared to rural areas, suggesting the role of environmental factors [4,5].</w:t>
      </w:r>
    </w:p>
    <w:p w14:paraId="2878545C"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lastRenderedPageBreak/>
        <w:t xml:space="preserve">It can occur at any age, but most often begins between the ages of 2 and 7 [6]. Its pathophysiology is still poorly understood, but it appears to result from an immunological disorder involving the production of a circulating factor known as glomerular permeability, the nature, exact origin (immune </w:t>
      </w:r>
      <w:proofErr w:type="gramStart"/>
      <w:r w:rsidRPr="001B2A74">
        <w:rPr>
          <w:rFonts w:ascii="Times New Roman" w:hAnsi="Times New Roman" w:cs="Times New Roman"/>
          <w:sz w:val="24"/>
          <w:szCs w:val="24"/>
        </w:rPr>
        <w:t>cells?</w:t>
      </w:r>
      <w:proofErr w:type="gramEnd"/>
      <w:r w:rsidRPr="001B2A74">
        <w:rPr>
          <w:rFonts w:ascii="Times New Roman" w:hAnsi="Times New Roman" w:cs="Times New Roman"/>
          <w:sz w:val="24"/>
          <w:szCs w:val="24"/>
        </w:rPr>
        <w:t>), mechanism of action, and physicochemical properties of which remain unclear. Corticosteroid therapy is the first-line treatment for NS in children [7].</w:t>
      </w:r>
    </w:p>
    <w:p w14:paraId="2B49088B" w14:textId="77777777" w:rsidR="0082012C" w:rsidRPr="001B2A74" w:rsidRDefault="0082012C" w:rsidP="001B2A74">
      <w:pPr>
        <w:spacing w:line="360" w:lineRule="auto"/>
        <w:jc w:val="both"/>
        <w:rPr>
          <w:rFonts w:ascii="Times New Roman" w:hAnsi="Times New Roman" w:cs="Times New Roman"/>
          <w:sz w:val="24"/>
          <w:szCs w:val="24"/>
          <w:lang w:val="en-US"/>
        </w:rPr>
      </w:pPr>
      <w:r w:rsidRPr="001B2A74">
        <w:rPr>
          <w:rFonts w:ascii="Times New Roman" w:hAnsi="Times New Roman" w:cs="Times New Roman"/>
          <w:sz w:val="24"/>
          <w:szCs w:val="24"/>
          <w:lang w:val="en-US"/>
        </w:rPr>
        <w:t>The aim of this study was to investigate the therapeutic and evolutionary aspects of nephrotic syndrome in children in the paediatric department of the Gabriel Touré University Hospital in Bamako.</w:t>
      </w:r>
    </w:p>
    <w:p w14:paraId="2BD97C09" w14:textId="77777777"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Methods</w:t>
      </w:r>
    </w:p>
    <w:p w14:paraId="5178404F" w14:textId="77777777"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Study type</w:t>
      </w:r>
    </w:p>
    <w:p w14:paraId="0D47E4C7"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This was a descriptive cross-sectional study conducted over a 30-month period from January 1, 2018, to June 30, 2020, among children aged 0 to 15 years admitted to the pediatric department of the CHU GT for nephrotic syndrome.</w:t>
      </w:r>
    </w:p>
    <w:p w14:paraId="1A20641D" w14:textId="0AB87963"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Choice of study location</w:t>
      </w:r>
      <w:proofErr w:type="gramStart"/>
      <w:r w:rsidRPr="001B2A74">
        <w:rPr>
          <w:rFonts w:ascii="Times New Roman" w:hAnsi="Times New Roman" w:cs="Times New Roman"/>
          <w:b/>
          <w:bCs/>
          <w:sz w:val="24"/>
          <w:szCs w:val="24"/>
        </w:rPr>
        <w:t> :</w:t>
      </w:r>
      <w:r w:rsidR="00780E03" w:rsidRPr="001B2A74">
        <w:rPr>
          <w:rFonts w:ascii="Times New Roman" w:hAnsi="Times New Roman" w:cs="Times New Roman"/>
          <w:sz w:val="24"/>
          <w:szCs w:val="24"/>
        </w:rPr>
        <w:t>T</w:t>
      </w:r>
      <w:r w:rsidRPr="001B2A74">
        <w:rPr>
          <w:rFonts w:ascii="Times New Roman" w:hAnsi="Times New Roman" w:cs="Times New Roman"/>
          <w:sz w:val="24"/>
          <w:szCs w:val="24"/>
        </w:rPr>
        <w:t>his</w:t>
      </w:r>
      <w:proofErr w:type="gramEnd"/>
      <w:r w:rsidRPr="001B2A74">
        <w:rPr>
          <w:rFonts w:ascii="Times New Roman" w:hAnsi="Times New Roman" w:cs="Times New Roman"/>
          <w:sz w:val="24"/>
          <w:szCs w:val="24"/>
        </w:rPr>
        <w:t xml:space="preserve"> work was carried out in the pediatric department of the Gabriel TOURE University Hospital, a tertiary referral hospital located in the center of the Bamako district, which is easily accessible and receives the largest number of hospitalized children.</w:t>
      </w:r>
    </w:p>
    <w:p w14:paraId="67AD5A64" w14:textId="621581F6"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 xml:space="preserve">Inclusion and exclusion criteria : </w:t>
      </w:r>
      <w:r w:rsidR="00780E03" w:rsidRPr="001B2A74">
        <w:rPr>
          <w:rFonts w:ascii="Times New Roman" w:hAnsi="Times New Roman" w:cs="Times New Roman"/>
          <w:sz w:val="24"/>
          <w:szCs w:val="24"/>
        </w:rPr>
        <w:t>A</w:t>
      </w:r>
      <w:r w:rsidRPr="001B2A74">
        <w:rPr>
          <w:rFonts w:ascii="Times New Roman" w:hAnsi="Times New Roman" w:cs="Times New Roman"/>
          <w:sz w:val="24"/>
          <w:szCs w:val="24"/>
        </w:rPr>
        <w:t xml:space="preserve">ll children hospitalized in the pediatric department or followed up in consultation at the time of the study for biologically confirmed nephrotic syndrome (24-hour proteinuria greater than 50 mg/kg/day associated with albuminemia less than 30 g/L) were included. </w:t>
      </w:r>
    </w:p>
    <w:p w14:paraId="00718E77"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All children who did not undergo 24-hour proteinuria testing, children with 24-hour proteinuria less than 50 mg/kg/day, and those whose parents refused to participate in the study were excluded.</w:t>
      </w:r>
    </w:p>
    <w:p w14:paraId="1F73206F" w14:textId="77777777"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 xml:space="preserve">Data collection : </w:t>
      </w:r>
      <w:r w:rsidRPr="001B2A74">
        <w:rPr>
          <w:rFonts w:ascii="Times New Roman" w:hAnsi="Times New Roman" w:cs="Times New Roman"/>
          <w:sz w:val="24"/>
          <w:szCs w:val="24"/>
        </w:rPr>
        <w:t>data were collected from individual questionnaires completed by mothers and from clinical examinations of infants. The variables studied were qualitative and quantitative.</w:t>
      </w:r>
    </w:p>
    <w:p w14:paraId="1EAFF474" w14:textId="77777777" w:rsidR="0082012C" w:rsidRPr="001B2A74" w:rsidRDefault="0082012C" w:rsidP="001B2A74">
      <w:pPr>
        <w:spacing w:line="360" w:lineRule="auto"/>
        <w:jc w:val="both"/>
        <w:rPr>
          <w:rFonts w:ascii="Times New Roman" w:hAnsi="Times New Roman" w:cs="Times New Roman"/>
          <w:b/>
          <w:bCs/>
          <w:sz w:val="24"/>
          <w:szCs w:val="24"/>
        </w:rPr>
      </w:pPr>
      <w:r w:rsidRPr="001B2A74">
        <w:rPr>
          <w:rFonts w:ascii="Times New Roman" w:hAnsi="Times New Roman" w:cs="Times New Roman"/>
          <w:b/>
          <w:bCs/>
          <w:sz w:val="24"/>
          <w:szCs w:val="24"/>
        </w:rPr>
        <w:t xml:space="preserve">Data analysis and interpretation : </w:t>
      </w:r>
      <w:r w:rsidRPr="001B2A74">
        <w:rPr>
          <w:rFonts w:ascii="Times New Roman" w:hAnsi="Times New Roman" w:cs="Times New Roman"/>
          <w:sz w:val="24"/>
          <w:szCs w:val="24"/>
        </w:rPr>
        <w:t>data were entered into SPSS 2021 and processed using Microsoft Word 2016 software.</w:t>
      </w:r>
    </w:p>
    <w:p w14:paraId="7C2DADF2" w14:textId="014AB176"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b/>
          <w:bCs/>
          <w:sz w:val="24"/>
          <w:szCs w:val="24"/>
        </w:rPr>
        <w:t>Study authorization :</w:t>
      </w:r>
      <w:r w:rsidRPr="001B2A74">
        <w:rPr>
          <w:rFonts w:ascii="Times New Roman" w:hAnsi="Times New Roman" w:cs="Times New Roman"/>
          <w:sz w:val="24"/>
          <w:szCs w:val="24"/>
        </w:rPr>
        <w:t xml:space="preserve"> </w:t>
      </w:r>
      <w:r w:rsidR="006558B8" w:rsidRPr="001B2A74">
        <w:rPr>
          <w:rFonts w:ascii="Times New Roman" w:hAnsi="Times New Roman" w:cs="Times New Roman"/>
          <w:sz w:val="24"/>
          <w:szCs w:val="24"/>
        </w:rPr>
        <w:t>T</w:t>
      </w:r>
      <w:r w:rsidRPr="001B2A74">
        <w:rPr>
          <w:rFonts w:ascii="Times New Roman" w:hAnsi="Times New Roman" w:cs="Times New Roman"/>
          <w:sz w:val="24"/>
          <w:szCs w:val="24"/>
        </w:rPr>
        <w:t>he study was authorized by the ethics committee of the Gabriel TOURE University Hospital Center under number 001118/GT/CE.</w:t>
      </w:r>
    </w:p>
    <w:p w14:paraId="7F770B34" w14:textId="77777777" w:rsidR="0082012C" w:rsidRPr="00CD25F3" w:rsidRDefault="0082012C" w:rsidP="001B2A74">
      <w:pPr>
        <w:spacing w:line="360" w:lineRule="auto"/>
        <w:jc w:val="both"/>
        <w:rPr>
          <w:rFonts w:ascii="Times New Roman" w:hAnsi="Times New Roman" w:cs="Times New Roman"/>
          <w:b/>
          <w:sz w:val="24"/>
          <w:szCs w:val="24"/>
        </w:rPr>
      </w:pPr>
      <w:r w:rsidRPr="00CD25F3">
        <w:rPr>
          <w:rFonts w:ascii="Times New Roman" w:hAnsi="Times New Roman" w:cs="Times New Roman"/>
          <w:b/>
          <w:sz w:val="24"/>
          <w:szCs w:val="24"/>
        </w:rPr>
        <w:lastRenderedPageBreak/>
        <w:t>Results</w:t>
      </w:r>
    </w:p>
    <w:p w14:paraId="14F5D87B"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Over the 30-month period, we collected 65 files that met the inclusion criteria out of a total of 19,047 hospitalizations, representing a hospitalization rate of 0.34%. The average age was 7.15 ± 3.92, with extremes between 1 and 14 years. Children came for consultation between 2 and 4 weeks after the onset of symptoms. 93.8% had no history of nephropathy, 44% had genital infiltration, 67.7% had edema on admission, and 33.8% had oliguria. Twenty-four-hour proteinuria was between 100 and 200 mg/kg/day in 64.6%, and 4.7% had proteinuria greater than 300 mg/kg/day (Table I). Albuminuria was less than 10 g/L in 20% of cases, between 10 and 20 g/L in 70.8% of cases, and between 20 and 30 g/L in 9.8% of cases.</w:t>
      </w:r>
    </w:p>
    <w:p w14:paraId="367EB3A3"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Hemoglobin levels were low in 74.6% of patients, with an average of 9.57g/dl. Uric acid and creatinine levels were elevated in 28.8% and 9.3% of children, respectively.</w:t>
      </w:r>
    </w:p>
    <w:p w14:paraId="35BE3C99" w14:textId="17D6792E"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Urinalysis was performed in 57/65 patients, and 37/65 underwent cytological and bacteriological examination of urine (ECBU). Leukocyturia was found in </w:t>
      </w:r>
      <w:r w:rsidR="00AE38CB" w:rsidRPr="001B2A74">
        <w:rPr>
          <w:rFonts w:ascii="Times New Roman" w:hAnsi="Times New Roman" w:cs="Times New Roman"/>
          <w:sz w:val="24"/>
          <w:szCs w:val="24"/>
        </w:rPr>
        <w:t>23</w:t>
      </w:r>
      <w:r w:rsidR="00E25372" w:rsidRPr="001B2A74">
        <w:rPr>
          <w:rFonts w:ascii="Times New Roman" w:hAnsi="Times New Roman" w:cs="Times New Roman"/>
          <w:sz w:val="24"/>
          <w:szCs w:val="24"/>
        </w:rPr>
        <w:t>/</w:t>
      </w:r>
      <w:r w:rsidR="00AE38CB" w:rsidRPr="001B2A74">
        <w:rPr>
          <w:rFonts w:ascii="Times New Roman" w:hAnsi="Times New Roman" w:cs="Times New Roman"/>
          <w:sz w:val="24"/>
          <w:szCs w:val="24"/>
        </w:rPr>
        <w:t>57</w:t>
      </w:r>
      <w:r w:rsidR="00E25372" w:rsidRPr="001B2A74">
        <w:rPr>
          <w:rFonts w:ascii="Times New Roman" w:hAnsi="Times New Roman" w:cs="Times New Roman"/>
          <w:sz w:val="24"/>
          <w:szCs w:val="24"/>
        </w:rPr>
        <w:t xml:space="preserve"> (</w:t>
      </w:r>
      <w:r w:rsidR="00AE38CB" w:rsidRPr="001B2A74">
        <w:rPr>
          <w:rFonts w:ascii="Times New Roman" w:hAnsi="Times New Roman" w:cs="Times New Roman"/>
          <w:sz w:val="24"/>
          <w:szCs w:val="24"/>
        </w:rPr>
        <w:t>40,3</w:t>
      </w:r>
      <w:r w:rsidR="00E25372" w:rsidRPr="001B2A74">
        <w:rPr>
          <w:rFonts w:ascii="Times New Roman" w:hAnsi="Times New Roman" w:cs="Times New Roman"/>
          <w:sz w:val="24"/>
          <w:szCs w:val="24"/>
        </w:rPr>
        <w:t>%)</w:t>
      </w:r>
      <w:r w:rsidRPr="001B2A74">
        <w:rPr>
          <w:rFonts w:ascii="Times New Roman" w:hAnsi="Times New Roman" w:cs="Times New Roman"/>
          <w:sz w:val="24"/>
          <w:szCs w:val="24"/>
        </w:rPr>
        <w:t xml:space="preserve">, nitrites in </w:t>
      </w:r>
      <w:r w:rsidR="00AE38CB" w:rsidRPr="001B2A74">
        <w:rPr>
          <w:rFonts w:ascii="Times New Roman" w:hAnsi="Times New Roman" w:cs="Times New Roman"/>
          <w:sz w:val="24"/>
          <w:szCs w:val="24"/>
        </w:rPr>
        <w:t>19</w:t>
      </w:r>
      <w:r w:rsidR="00E25372" w:rsidRPr="001B2A74">
        <w:rPr>
          <w:rFonts w:ascii="Times New Roman" w:hAnsi="Times New Roman" w:cs="Times New Roman"/>
          <w:sz w:val="24"/>
          <w:szCs w:val="24"/>
        </w:rPr>
        <w:t>/</w:t>
      </w:r>
      <w:r w:rsidR="00AE38CB" w:rsidRPr="001B2A74">
        <w:rPr>
          <w:rFonts w:ascii="Times New Roman" w:hAnsi="Times New Roman" w:cs="Times New Roman"/>
          <w:sz w:val="24"/>
          <w:szCs w:val="24"/>
        </w:rPr>
        <w:t>57</w:t>
      </w:r>
      <w:r w:rsidR="00E25372" w:rsidRPr="001B2A74">
        <w:rPr>
          <w:rFonts w:ascii="Times New Roman" w:hAnsi="Times New Roman" w:cs="Times New Roman"/>
          <w:sz w:val="24"/>
          <w:szCs w:val="24"/>
        </w:rPr>
        <w:t xml:space="preserve"> (</w:t>
      </w:r>
      <w:r w:rsidR="00AE38CB" w:rsidRPr="001B2A74">
        <w:rPr>
          <w:rFonts w:ascii="Times New Roman" w:hAnsi="Times New Roman" w:cs="Times New Roman"/>
          <w:sz w:val="24"/>
          <w:szCs w:val="24"/>
        </w:rPr>
        <w:t>33,33</w:t>
      </w:r>
      <w:r w:rsidR="00E25372" w:rsidRPr="001B2A74">
        <w:rPr>
          <w:rFonts w:ascii="Times New Roman" w:hAnsi="Times New Roman" w:cs="Times New Roman"/>
          <w:sz w:val="24"/>
          <w:szCs w:val="24"/>
        </w:rPr>
        <w:t>%)</w:t>
      </w:r>
      <w:r w:rsidRPr="001B2A74">
        <w:rPr>
          <w:rFonts w:ascii="Times New Roman" w:hAnsi="Times New Roman" w:cs="Times New Roman"/>
          <w:sz w:val="24"/>
          <w:szCs w:val="24"/>
        </w:rPr>
        <w:t xml:space="preserve">, and the ECBU was positive in </w:t>
      </w:r>
      <w:r w:rsidR="00AE38CB" w:rsidRPr="001B2A74">
        <w:rPr>
          <w:rFonts w:ascii="Times New Roman" w:hAnsi="Times New Roman" w:cs="Times New Roman"/>
          <w:sz w:val="24"/>
          <w:szCs w:val="24"/>
        </w:rPr>
        <w:t>32,4</w:t>
      </w:r>
      <w:r w:rsidRPr="001B2A74">
        <w:rPr>
          <w:rFonts w:ascii="Times New Roman" w:hAnsi="Times New Roman" w:cs="Times New Roman"/>
          <w:sz w:val="24"/>
          <w:szCs w:val="24"/>
        </w:rPr>
        <w:t>% (</w:t>
      </w:r>
      <w:r w:rsidR="00AE38CB" w:rsidRPr="001B2A74">
        <w:rPr>
          <w:rFonts w:ascii="Times New Roman" w:hAnsi="Times New Roman" w:cs="Times New Roman"/>
          <w:sz w:val="24"/>
          <w:szCs w:val="24"/>
        </w:rPr>
        <w:t>12</w:t>
      </w:r>
      <w:r w:rsidRPr="001B2A74">
        <w:rPr>
          <w:rFonts w:ascii="Times New Roman" w:hAnsi="Times New Roman" w:cs="Times New Roman"/>
          <w:sz w:val="24"/>
          <w:szCs w:val="24"/>
        </w:rPr>
        <w:t>/37) of the cases sampled. Escherichia coli was found in 50% of patients with a positive ECBU (Table II).</w:t>
      </w:r>
    </w:p>
    <w:p w14:paraId="5E277EE4"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Nephrotic syndrome was pure in 67.7% of patients and impure in 32.3%. Hypertensive encephalopathy was found in 7.7% of patients, and 4.6% were malnourished. Symptomatic treatment consisted mainly </w:t>
      </w:r>
      <w:proofErr w:type="gramStart"/>
      <w:r w:rsidRPr="001B2A74">
        <w:rPr>
          <w:rFonts w:ascii="Times New Roman" w:hAnsi="Times New Roman" w:cs="Times New Roman"/>
          <w:sz w:val="24"/>
          <w:szCs w:val="24"/>
        </w:rPr>
        <w:t>of:</w:t>
      </w:r>
      <w:proofErr w:type="gramEnd"/>
      <w:r w:rsidRPr="001B2A74">
        <w:rPr>
          <w:rFonts w:ascii="Times New Roman" w:hAnsi="Times New Roman" w:cs="Times New Roman"/>
          <w:sz w:val="24"/>
          <w:szCs w:val="24"/>
        </w:rPr>
        <w:t xml:space="preserve"> a low-sodium diet and deworming in 100% of cases, diuretics in 89.2%, fresh frozen plasma transfusion in 49.2%, and albumin infusion in 7.7% of cases.</w:t>
      </w:r>
    </w:p>
    <w:p w14:paraId="2C3BCB58" w14:textId="19F3A265"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All children received corticosteroid </w:t>
      </w:r>
      <w:proofErr w:type="gramStart"/>
      <w:r w:rsidRPr="001B2A74">
        <w:rPr>
          <w:rFonts w:ascii="Times New Roman" w:hAnsi="Times New Roman" w:cs="Times New Roman"/>
          <w:sz w:val="24"/>
          <w:szCs w:val="24"/>
        </w:rPr>
        <w:t>therapy:</w:t>
      </w:r>
      <w:proofErr w:type="gramEnd"/>
      <w:r w:rsidRPr="001B2A74">
        <w:rPr>
          <w:rFonts w:ascii="Times New Roman" w:hAnsi="Times New Roman" w:cs="Times New Roman"/>
          <w:sz w:val="24"/>
          <w:szCs w:val="24"/>
        </w:rPr>
        <w:t xml:space="preserve"> 73.9% were corticosteroid-responsive, 3.1% were corticosteroid-resistant, 21.5% discontinued treatment. After starting corticosteroid therapy, 4.6% of patients experienced confusion and insomnia, and 3.1% lost weight. The average length of hospital stay was 45 days, with averages ranging from 4 to 8 weeks.</w:t>
      </w:r>
    </w:p>
    <w:p w14:paraId="0CF4B2A2"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Following </w:t>
      </w:r>
      <w:proofErr w:type="gramStart"/>
      <w:r w:rsidRPr="001B2A74">
        <w:rPr>
          <w:rFonts w:ascii="Times New Roman" w:hAnsi="Times New Roman" w:cs="Times New Roman"/>
          <w:sz w:val="24"/>
          <w:szCs w:val="24"/>
        </w:rPr>
        <w:t>treatment:</w:t>
      </w:r>
      <w:proofErr w:type="gramEnd"/>
      <w:r w:rsidRPr="001B2A74">
        <w:rPr>
          <w:rFonts w:ascii="Times New Roman" w:hAnsi="Times New Roman" w:cs="Times New Roman"/>
          <w:sz w:val="24"/>
          <w:szCs w:val="24"/>
        </w:rPr>
        <w:t xml:space="preserve"> 3.1% of patients were declared cured, 29.2% were in partial remission, 6.2% were corticosteroid-resistant, 7.7% were corticosteroid-dependent, 21.5% were lost to follow-up, and 9.2% had died.</w:t>
      </w:r>
    </w:p>
    <w:p w14:paraId="2275A527" w14:textId="423308C3" w:rsidR="0082012C" w:rsidRPr="001B2A74" w:rsidRDefault="00CD25F3" w:rsidP="001B2A7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503535" w:rsidRPr="001B2A74">
        <w:rPr>
          <w:rFonts w:ascii="Times New Roman" w:hAnsi="Times New Roman" w:cs="Times New Roman"/>
          <w:b/>
          <w:bCs/>
          <w:sz w:val="24"/>
          <w:szCs w:val="24"/>
        </w:rPr>
        <w:t>iscussion :</w:t>
      </w:r>
    </w:p>
    <w:p w14:paraId="164D9AC5" w14:textId="1B2A5AD8" w:rsidR="0082012C" w:rsidRPr="001B2A74" w:rsidRDefault="0082012C" w:rsidP="001B2A74">
      <w:pPr>
        <w:spacing w:line="360" w:lineRule="auto"/>
        <w:jc w:val="both"/>
        <w:rPr>
          <w:rFonts w:ascii="Times New Roman" w:hAnsi="Times New Roman" w:cs="Times New Roman"/>
          <w:b/>
          <w:bCs/>
          <w:sz w:val="24"/>
          <w:szCs w:val="24"/>
        </w:rPr>
      </w:pPr>
      <w:proofErr w:type="gramStart"/>
      <w:r w:rsidRPr="001B2A74">
        <w:rPr>
          <w:rFonts w:ascii="Times New Roman" w:hAnsi="Times New Roman" w:cs="Times New Roman"/>
          <w:b/>
          <w:bCs/>
          <w:sz w:val="24"/>
          <w:szCs w:val="24"/>
        </w:rPr>
        <w:t>Difficulties</w:t>
      </w:r>
      <w:r w:rsidR="001E48AC" w:rsidRPr="001B2A74">
        <w:rPr>
          <w:rFonts w:ascii="Times New Roman" w:hAnsi="Times New Roman" w:cs="Times New Roman"/>
          <w:b/>
          <w:bCs/>
          <w:sz w:val="24"/>
          <w:szCs w:val="24"/>
        </w:rPr>
        <w:t>:</w:t>
      </w:r>
      <w:proofErr w:type="gramEnd"/>
    </w:p>
    <w:p w14:paraId="3A3723A0" w14:textId="77777777" w:rsidR="0082012C" w:rsidRPr="001B2A74" w:rsidRDefault="0082012C" w:rsidP="001B2A74">
      <w:pPr>
        <w:tabs>
          <w:tab w:val="left" w:pos="1925"/>
        </w:tabs>
        <w:spacing w:after="0" w:line="360" w:lineRule="auto"/>
        <w:jc w:val="both"/>
        <w:rPr>
          <w:rFonts w:ascii="Times New Roman" w:hAnsi="Times New Roman" w:cs="Times New Roman"/>
          <w:sz w:val="24"/>
          <w:szCs w:val="24"/>
          <w:lang w:val="en-US"/>
        </w:rPr>
      </w:pPr>
      <w:r w:rsidRPr="001B2A74">
        <w:rPr>
          <w:rFonts w:ascii="Times New Roman" w:hAnsi="Times New Roman" w:cs="Times New Roman"/>
          <w:sz w:val="24"/>
          <w:szCs w:val="24"/>
          <w:lang w:val="en-US"/>
        </w:rPr>
        <w:t xml:space="preserve">The inadequacy of the technical facilities meant that Renal Biopsy Puncture (RBP) was not performed when indicated (cortico-resistance, cortico-dependence). </w:t>
      </w:r>
    </w:p>
    <w:p w14:paraId="705E8378" w14:textId="77777777" w:rsidR="0082012C" w:rsidRPr="001B2A74" w:rsidRDefault="0082012C" w:rsidP="001B2A74">
      <w:pPr>
        <w:tabs>
          <w:tab w:val="left" w:pos="1925"/>
        </w:tabs>
        <w:spacing w:after="0" w:line="360" w:lineRule="auto"/>
        <w:jc w:val="both"/>
        <w:rPr>
          <w:rFonts w:ascii="Times New Roman" w:hAnsi="Times New Roman" w:cs="Times New Roman"/>
          <w:sz w:val="24"/>
          <w:szCs w:val="24"/>
          <w:lang w:val="en-US"/>
        </w:rPr>
      </w:pPr>
      <w:r w:rsidRPr="001B2A74">
        <w:rPr>
          <w:rFonts w:ascii="Times New Roman" w:hAnsi="Times New Roman" w:cs="Times New Roman"/>
          <w:sz w:val="24"/>
          <w:szCs w:val="24"/>
          <w:lang w:val="en-US"/>
        </w:rPr>
        <w:lastRenderedPageBreak/>
        <w:t>Lack of financial resources prevented the performance of certain tests required for aetiological diagnosis (screening for sickle cell disease, hepatitis B, syphilis, HIV, lupus ......).</w:t>
      </w:r>
    </w:p>
    <w:p w14:paraId="74E68455" w14:textId="33F1E69F"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NS is the leading kidney disease in children, with an estimated global incidence of 2 to 7 per 100,000 children per year [8]. During our study, we collected 65 cases of nephrotic syndrome out of a total of 19,047 hospitalized children, representing a frequency of 0.34%. Keita Y et al, Ndongo AA et al, and Ernould S et al reported hospital frequencies of 1.5%, 0.27%, and 2.1%, respectively [9, 10, 11]. Our results differ from those of Keita and Ernould, perhaps due to the recruitment method, but are comparable to those of Ndongo AA. NS is the most common renal disease in children, particularly between the ages of 2 and 6 [12].  </w:t>
      </w:r>
    </w:p>
    <w:p w14:paraId="4A6FA6E4" w14:textId="5FC6F84F"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In our study, the 6-10 age group was the most affected with 41.5%, and the average age was 7.15 years with extremes ranging from 1 to 14 years, as in other African studies. Keita Y et al and Ndongo AA et al reported average ages of 7.11 and 7.41 years, respectively [9,11], but higher than those of Ernould S and Deschenes G in France, who found average ages of 3.6 and 4 years. This difference could be explained by the age of onset of </w:t>
      </w:r>
      <w:r w:rsidR="00614E21" w:rsidRPr="001B2A74">
        <w:rPr>
          <w:rFonts w:ascii="Times New Roman" w:hAnsi="Times New Roman" w:cs="Times New Roman"/>
          <w:sz w:val="24"/>
          <w:szCs w:val="24"/>
        </w:rPr>
        <w:t>N</w:t>
      </w:r>
      <w:r w:rsidRPr="001B2A74">
        <w:rPr>
          <w:rFonts w:ascii="Times New Roman" w:hAnsi="Times New Roman" w:cs="Times New Roman"/>
          <w:sz w:val="24"/>
          <w:szCs w:val="24"/>
        </w:rPr>
        <w:t>S in sub-Saharan Africa in the literature compared to the West [11].</w:t>
      </w:r>
    </w:p>
    <w:p w14:paraId="386255F7"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In most studies, the sex ratio is approximately two boys for every girl. However, there is unexpected variability in the sex ratio depending on geographical location, ranging from 1 (no male preponderance) to 3.8 (overwhelming majority of boys) [13]. The male preponderance also tends to disappear as adolescence approaches. All these epidemiological factors, combined with the existence of a few familial cases [14], suggest that the disease is polygenic, and the imbalance in the sex ratio suggests the involvement of one or more genes carried by the X chromosome [13].</w:t>
      </w:r>
    </w:p>
    <w:p w14:paraId="2F88B61B"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Our sample consisted of 73.8% males and 26.2% females, with a sex ratio of 2.82.</w:t>
      </w:r>
    </w:p>
    <w:p w14:paraId="2ABEE754" w14:textId="6F30E0F6"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In our study, more than half of the children consulted between 2 and 4 weeks, i.e., 84.6%, with an average delay of 23 days. This explains the symptoms of the patients. This delay in seeking medical attention could be due to the impact of socio-cultural beliefs (such as witchcraft and the concept of the devil), illiteracy, and ignorance among the population, but also to the </w:t>
      </w:r>
      <w:r w:rsidR="00D763B9" w:rsidRPr="001B2A74">
        <w:rPr>
          <w:rFonts w:ascii="Times New Roman" w:hAnsi="Times New Roman" w:cs="Times New Roman"/>
          <w:sz w:val="24"/>
          <w:szCs w:val="24"/>
        </w:rPr>
        <w:t>treatment method chosen</w:t>
      </w:r>
      <w:r w:rsidRPr="001B2A74">
        <w:rPr>
          <w:rFonts w:ascii="Times New Roman" w:hAnsi="Times New Roman" w:cs="Times New Roman"/>
          <w:sz w:val="24"/>
          <w:szCs w:val="24"/>
        </w:rPr>
        <w:t xml:space="preserve"> by patients (traditional healers, community health centers, clinics, etc.) before arriving at the hospital.</w:t>
      </w:r>
    </w:p>
    <w:p w14:paraId="78BD39DC"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Edema was present in all patients (100%) and was generalized in 75.4%. The main local signs found on physical examination </w:t>
      </w:r>
      <w:proofErr w:type="gramStart"/>
      <w:r w:rsidRPr="001B2A74">
        <w:rPr>
          <w:rFonts w:ascii="Times New Roman" w:hAnsi="Times New Roman" w:cs="Times New Roman"/>
          <w:sz w:val="24"/>
          <w:szCs w:val="24"/>
        </w:rPr>
        <w:t>were:</w:t>
      </w:r>
      <w:proofErr w:type="gramEnd"/>
      <w:r w:rsidRPr="001B2A74">
        <w:rPr>
          <w:rFonts w:ascii="Times New Roman" w:hAnsi="Times New Roman" w:cs="Times New Roman"/>
          <w:sz w:val="24"/>
          <w:szCs w:val="24"/>
        </w:rPr>
        <w:t xml:space="preserve"> facial swelling (96.9%), ascites (86.2%), edema of the lower limbs (84.6%), and infiltration of the external genital organs (44.6%). The predominance </w:t>
      </w:r>
      <w:r w:rsidRPr="001B2A74">
        <w:rPr>
          <w:rFonts w:ascii="Times New Roman" w:hAnsi="Times New Roman" w:cs="Times New Roman"/>
          <w:sz w:val="24"/>
          <w:szCs w:val="24"/>
        </w:rPr>
        <w:lastRenderedPageBreak/>
        <w:t>of the edematous-ascitic syndrome has been reported in the literature [10,15]. This could be explained by delays in consultation or diagnosis.</w:t>
      </w:r>
    </w:p>
    <w:p w14:paraId="0E619D8B" w14:textId="41333DA5"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The presence of high blood pressure in the </w:t>
      </w:r>
      <w:r w:rsidR="00820B75" w:rsidRPr="001B2A74">
        <w:rPr>
          <w:rFonts w:ascii="Times New Roman" w:hAnsi="Times New Roman" w:cs="Times New Roman"/>
          <w:sz w:val="24"/>
          <w:szCs w:val="24"/>
        </w:rPr>
        <w:t xml:space="preserve">NS </w:t>
      </w:r>
      <w:r w:rsidRPr="001B2A74">
        <w:rPr>
          <w:rFonts w:ascii="Times New Roman" w:hAnsi="Times New Roman" w:cs="Times New Roman"/>
          <w:sz w:val="24"/>
          <w:szCs w:val="24"/>
        </w:rPr>
        <w:t>is a sign of its severe nature, and the most serious complication is hypertensive encephalopathy, which was found in 21.5% of cases in our study. This complication was found in Ndongo A et al and Keita Y et al in Senegal, who reported 15% and 5% respectively [9,10]. This difference could be explained by the existence of several factors involved in the onset of high blood pressure in our context (salt consumption, family history of high blood pressure, obesity, sedentary lifestyle). Nephrotic syndrome was pure in 44 children (67.7%) and impure in 21 (32.3%). High blood pressure and/or hematuria and/or renal failure and/or non-selective proteinuria associated with nephrotic syndrome defines the impure nature of the condition. A study conducted in Marrakech in 2010 by Ktiri K reported 85.3% pure nephrotic syndrome and 14.7% impure nephrotic syndrome, while Ernould et al reported 89% pure nephrotic syndrome [15,16].</w:t>
      </w:r>
    </w:p>
    <w:p w14:paraId="51E59145" w14:textId="65D0BB94"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The literature shows that in </w:t>
      </w:r>
      <w:r w:rsidR="00820B75" w:rsidRPr="001B2A74">
        <w:rPr>
          <w:rFonts w:ascii="Times New Roman" w:hAnsi="Times New Roman" w:cs="Times New Roman"/>
          <w:sz w:val="24"/>
          <w:szCs w:val="24"/>
        </w:rPr>
        <w:t>N</w:t>
      </w:r>
      <w:r w:rsidRPr="001B2A74">
        <w:rPr>
          <w:rFonts w:ascii="Times New Roman" w:hAnsi="Times New Roman" w:cs="Times New Roman"/>
          <w:sz w:val="24"/>
          <w:szCs w:val="24"/>
        </w:rPr>
        <w:t>S, increased urinary excretion of transferrin can lead to refractory hypochromic microcytic anemia [17].  We found microcytic and normochromic anemia in 74.6% of children. Ktiri K. in Marrakech in 2010 reported 32.2% of cases of microcytic hypochromic anemia [15]. This difference can be explained by the existence of several cofactors responsible for anemia in our context. Hypoproteinemia and hypoalbuminemia were found in 100% of cases with respective averages of 35.07 ± 15.67g/l (3.12–57g/l) and 13.84 ± 4.44g/l (2–26.8g/l). This hypoproteinemia and hypoalbuminemia has been reported in the literature and is due to the massive nature of proteinuria [18].</w:t>
      </w:r>
    </w:p>
    <w:p w14:paraId="6F02F19C" w14:textId="13B91866"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The urine dipstick test was abnormal in 100% of cases, with 44 patients (67.7%) having at least three protein crosses at the time of diagnosis. As found by Ktiri K in 2010 in Marrakech, where the majority had at least three protein crosses, and similarly by Keita Y et al in 2017 in Senegal, where 100% had significant proteinuria at </w:t>
      </w:r>
      <w:r w:rsidR="00820B75" w:rsidRPr="001B2A74">
        <w:rPr>
          <w:rFonts w:ascii="Times New Roman" w:hAnsi="Times New Roman" w:cs="Times New Roman"/>
          <w:sz w:val="24"/>
          <w:szCs w:val="24"/>
        </w:rPr>
        <w:t xml:space="preserve">urine dipstick test </w:t>
      </w:r>
      <w:r w:rsidRPr="001B2A74">
        <w:rPr>
          <w:rFonts w:ascii="Times New Roman" w:hAnsi="Times New Roman" w:cs="Times New Roman"/>
          <w:sz w:val="24"/>
          <w:szCs w:val="24"/>
        </w:rPr>
        <w:t>[9,15].</w:t>
      </w:r>
    </w:p>
    <w:p w14:paraId="5EFBDCF0" w14:textId="3EE9CFA8"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A cytological and bacteriological examination of urine was performed in 37 patients, of whom 12 (32.4%) had a urinary tract infection. </w:t>
      </w:r>
      <w:r w:rsidRPr="001B2A74">
        <w:rPr>
          <w:rFonts w:ascii="Times New Roman" w:hAnsi="Times New Roman" w:cs="Times New Roman"/>
          <w:i/>
          <w:iCs/>
          <w:sz w:val="24"/>
          <w:szCs w:val="24"/>
        </w:rPr>
        <w:t>Escherichia coli</w:t>
      </w:r>
      <w:r w:rsidRPr="001B2A74">
        <w:rPr>
          <w:rFonts w:ascii="Times New Roman" w:hAnsi="Times New Roman" w:cs="Times New Roman"/>
          <w:sz w:val="24"/>
          <w:szCs w:val="24"/>
        </w:rPr>
        <w:t xml:space="preserve"> was the most commonly found bacterium, accounting for 50% (6/12) of cases. According to Savadogo H et al in 2019 in </w:t>
      </w:r>
      <w:proofErr w:type="gramStart"/>
      <w:r w:rsidRPr="001B2A74">
        <w:rPr>
          <w:rFonts w:ascii="Times New Roman" w:hAnsi="Times New Roman" w:cs="Times New Roman"/>
          <w:sz w:val="24"/>
          <w:szCs w:val="24"/>
        </w:rPr>
        <w:t>Ouagadougou:</w:t>
      </w:r>
      <w:proofErr w:type="gramEnd"/>
      <w:r w:rsidRPr="001B2A74">
        <w:rPr>
          <w:rFonts w:ascii="Times New Roman" w:hAnsi="Times New Roman" w:cs="Times New Roman"/>
          <w:sz w:val="24"/>
          <w:szCs w:val="24"/>
        </w:rPr>
        <w:t xml:space="preserve"> 19 patients underwent a urine culture, representing 46.3%, and 8 patients had a urinary tract infection, representing 42.1%, with </w:t>
      </w:r>
      <w:r w:rsidRPr="001B2A74">
        <w:rPr>
          <w:rFonts w:ascii="Times New Roman" w:hAnsi="Times New Roman" w:cs="Times New Roman"/>
          <w:i/>
          <w:iCs/>
          <w:sz w:val="24"/>
          <w:szCs w:val="24"/>
        </w:rPr>
        <w:t>Escherichia coli</w:t>
      </w:r>
      <w:r w:rsidRPr="001B2A74">
        <w:rPr>
          <w:rFonts w:ascii="Times New Roman" w:hAnsi="Times New Roman" w:cs="Times New Roman"/>
          <w:sz w:val="24"/>
          <w:szCs w:val="24"/>
        </w:rPr>
        <w:t xml:space="preserve"> being the most common pathogen (n=3), representing 7.31%. Keita Y et al. </w:t>
      </w:r>
      <w:proofErr w:type="gramStart"/>
      <w:r w:rsidRPr="001B2A74">
        <w:rPr>
          <w:rFonts w:ascii="Times New Roman" w:hAnsi="Times New Roman" w:cs="Times New Roman"/>
          <w:sz w:val="24"/>
          <w:szCs w:val="24"/>
        </w:rPr>
        <w:t>in</w:t>
      </w:r>
      <w:proofErr w:type="gramEnd"/>
      <w:r w:rsidRPr="001B2A74">
        <w:rPr>
          <w:rFonts w:ascii="Times New Roman" w:hAnsi="Times New Roman" w:cs="Times New Roman"/>
          <w:sz w:val="24"/>
          <w:szCs w:val="24"/>
        </w:rPr>
        <w:t xml:space="preserve"> 2017 in Senegal reported a positive urine culture in 7.7% (n=3) of patients. </w:t>
      </w:r>
      <w:r w:rsidRPr="001B2A74">
        <w:rPr>
          <w:rFonts w:ascii="Times New Roman" w:hAnsi="Times New Roman" w:cs="Times New Roman"/>
          <w:i/>
          <w:iCs/>
          <w:sz w:val="24"/>
          <w:szCs w:val="24"/>
        </w:rPr>
        <w:t>Escherichia coli</w:t>
      </w:r>
      <w:r w:rsidRPr="001B2A74">
        <w:rPr>
          <w:rFonts w:ascii="Times New Roman" w:hAnsi="Times New Roman" w:cs="Times New Roman"/>
          <w:sz w:val="24"/>
          <w:szCs w:val="24"/>
        </w:rPr>
        <w:t xml:space="preserve"> was the most common pathogen (n=3), </w:t>
      </w:r>
      <w:r w:rsidRPr="001B2A74">
        <w:rPr>
          <w:rFonts w:ascii="Times New Roman" w:hAnsi="Times New Roman" w:cs="Times New Roman"/>
          <w:sz w:val="24"/>
          <w:szCs w:val="24"/>
        </w:rPr>
        <w:lastRenderedPageBreak/>
        <w:t xml:space="preserve">accounting for 7.31%. Keita Y et al. </w:t>
      </w:r>
      <w:proofErr w:type="gramStart"/>
      <w:r w:rsidRPr="001B2A74">
        <w:rPr>
          <w:rFonts w:ascii="Times New Roman" w:hAnsi="Times New Roman" w:cs="Times New Roman"/>
          <w:sz w:val="24"/>
          <w:szCs w:val="24"/>
        </w:rPr>
        <w:t>in</w:t>
      </w:r>
      <w:proofErr w:type="gramEnd"/>
      <w:r w:rsidRPr="001B2A74">
        <w:rPr>
          <w:rFonts w:ascii="Times New Roman" w:hAnsi="Times New Roman" w:cs="Times New Roman"/>
          <w:sz w:val="24"/>
          <w:szCs w:val="24"/>
        </w:rPr>
        <w:t xml:space="preserve"> 2017 in Senegal reported a positive urine culture in 7.7% (n=3) of patients, with </w:t>
      </w:r>
      <w:r w:rsidRPr="001B2A74">
        <w:rPr>
          <w:rFonts w:ascii="Times New Roman" w:hAnsi="Times New Roman" w:cs="Times New Roman"/>
          <w:i/>
          <w:iCs/>
          <w:sz w:val="24"/>
          <w:szCs w:val="24"/>
        </w:rPr>
        <w:t>Escherichia coli</w:t>
      </w:r>
      <w:r w:rsidRPr="001B2A74">
        <w:rPr>
          <w:rFonts w:ascii="Times New Roman" w:hAnsi="Times New Roman" w:cs="Times New Roman"/>
          <w:sz w:val="24"/>
          <w:szCs w:val="24"/>
        </w:rPr>
        <w:t xml:space="preserve"> being the most common pathogen [9.18]. Susceptibility to infections results in part from the immunological disturbances observed during </w:t>
      </w:r>
      <w:r w:rsidR="00A9675D" w:rsidRPr="001B2A74">
        <w:rPr>
          <w:rFonts w:ascii="Times New Roman" w:hAnsi="Times New Roman" w:cs="Times New Roman"/>
          <w:sz w:val="24"/>
          <w:szCs w:val="24"/>
        </w:rPr>
        <w:t>N</w:t>
      </w:r>
      <w:r w:rsidRPr="001B2A74">
        <w:rPr>
          <w:rFonts w:ascii="Times New Roman" w:hAnsi="Times New Roman" w:cs="Times New Roman"/>
          <w:sz w:val="24"/>
          <w:szCs w:val="24"/>
        </w:rPr>
        <w:t xml:space="preserve">S, compounded by the effect of immunosuppressants. The most common causative agents are </w:t>
      </w:r>
      <w:r w:rsidRPr="001B2A74">
        <w:rPr>
          <w:rFonts w:ascii="Times New Roman" w:hAnsi="Times New Roman" w:cs="Times New Roman"/>
          <w:i/>
          <w:iCs/>
          <w:sz w:val="24"/>
          <w:szCs w:val="24"/>
        </w:rPr>
        <w:t xml:space="preserve">Streptococcus pneumoniae </w:t>
      </w:r>
      <w:r w:rsidRPr="001B2A74">
        <w:rPr>
          <w:rFonts w:ascii="Times New Roman" w:hAnsi="Times New Roman" w:cs="Times New Roman"/>
          <w:sz w:val="24"/>
          <w:szCs w:val="24"/>
        </w:rPr>
        <w:t>and</w:t>
      </w:r>
      <w:r w:rsidRPr="001B2A74">
        <w:rPr>
          <w:rFonts w:ascii="Times New Roman" w:hAnsi="Times New Roman" w:cs="Times New Roman"/>
          <w:i/>
          <w:iCs/>
          <w:sz w:val="24"/>
          <w:szCs w:val="24"/>
        </w:rPr>
        <w:t xml:space="preserve"> Escherichia coli</w:t>
      </w:r>
      <w:r w:rsidRPr="001B2A74">
        <w:rPr>
          <w:rFonts w:ascii="Times New Roman" w:hAnsi="Times New Roman" w:cs="Times New Roman"/>
          <w:sz w:val="24"/>
          <w:szCs w:val="24"/>
        </w:rPr>
        <w:t xml:space="preserve"> [19].</w:t>
      </w:r>
    </w:p>
    <w:p w14:paraId="7F57D959"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The majority of patients had 24-hour proteinuria between 100 and 200 mg/kg/day, i.e., 64.6% with an average of 137.78 ± 76.78 mg/kg/day. According to Ktiri K in 2010 in Marrakech, 26% of cases had proteinuria between 100 and 200 mg/kg/24 hours, Ndongo A et al. </w:t>
      </w:r>
      <w:proofErr w:type="gramStart"/>
      <w:r w:rsidRPr="001B2A74">
        <w:rPr>
          <w:rFonts w:ascii="Times New Roman" w:hAnsi="Times New Roman" w:cs="Times New Roman"/>
          <w:sz w:val="24"/>
          <w:szCs w:val="24"/>
        </w:rPr>
        <w:t>in</w:t>
      </w:r>
      <w:proofErr w:type="gramEnd"/>
      <w:r w:rsidRPr="001B2A74">
        <w:rPr>
          <w:rFonts w:ascii="Times New Roman" w:hAnsi="Times New Roman" w:cs="Times New Roman"/>
          <w:sz w:val="24"/>
          <w:szCs w:val="24"/>
        </w:rPr>
        <w:t xml:space="preserve"> 2016 in Senegal and Savadogo H et al in 2019 in Ouagadougou reported respective averages of 113.73 ± 65.42 mg/kg/24h and 177.7 ± 146.1mg/kg/24h [5,10,15]. This massive proteinuria has been reported by other African authors [20]. The massive nature of the proteinuria could be explained by a delay in seeking medical advice.</w:t>
      </w:r>
    </w:p>
    <w:p w14:paraId="683A1654"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The response to corticosteroid therapy depends on the type of NS. In our series, we were able to assess the response to corticosteroid therapy in 57 patients. It appears that 73.8% were corticosteroid-sensitive, 7.7% were corticosteroid-dependent, and 6.2% of patients were corticosteroid-resistant. Savadogo H et al. </w:t>
      </w:r>
      <w:proofErr w:type="gramStart"/>
      <w:r w:rsidRPr="001B2A74">
        <w:rPr>
          <w:rFonts w:ascii="Times New Roman" w:hAnsi="Times New Roman" w:cs="Times New Roman"/>
          <w:sz w:val="24"/>
          <w:szCs w:val="24"/>
        </w:rPr>
        <w:t>in</w:t>
      </w:r>
      <w:proofErr w:type="gramEnd"/>
      <w:r w:rsidRPr="001B2A74">
        <w:rPr>
          <w:rFonts w:ascii="Times New Roman" w:hAnsi="Times New Roman" w:cs="Times New Roman"/>
          <w:sz w:val="24"/>
          <w:szCs w:val="24"/>
        </w:rPr>
        <w:t xml:space="preserve"> 2019 in Ouagadougou reported 40% (n=12) corticosteroid sensitivity, 3.3% (n=1) corticosteroid dependence, and 56.7% (n=17) corticosteroid resistance [18]. This response to corticosteroid therapy usually determines the prognosis. In cases of corticosteroid resistance, other molecules may be prescribed, either in combination with corticosteroids (prednisone) or alone, and the prognosis remains poor in 50% of cases, with side effects such as stunted growth. Among the children included, 48 cases (73.8%) were treated with corticosteroid therapy in combination with adjuvant treatments. Ten (10) patients received boluses of methylprednisolone and seven patients received neither corticosteroid therapy nor boluses of methylprednisolone. No patients received immunosuppressive treatment in our study. According to Ktiri K in 2010 in Marrakech, all patients were placed on corticosteroid therapy (prednisone), and 13% of patients received methylprednisolone boluses [15].</w:t>
      </w:r>
    </w:p>
    <w:p w14:paraId="0A8CDCB0" w14:textId="2AD02844" w:rsidR="00302E9F"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Thrombosis is an increased complication of SN [21,22</w:t>
      </w:r>
      <w:proofErr w:type="gramStart"/>
      <w:r w:rsidRPr="001B2A74">
        <w:rPr>
          <w:rFonts w:ascii="Times New Roman" w:hAnsi="Times New Roman" w:cs="Times New Roman"/>
          <w:sz w:val="24"/>
          <w:szCs w:val="24"/>
        </w:rPr>
        <w:t>];</w:t>
      </w:r>
      <w:proofErr w:type="gramEnd"/>
      <w:r w:rsidRPr="001B2A74">
        <w:rPr>
          <w:rFonts w:ascii="Times New Roman" w:hAnsi="Times New Roman" w:cs="Times New Roman"/>
          <w:sz w:val="24"/>
          <w:szCs w:val="24"/>
        </w:rPr>
        <w:t xml:space="preserve"> no cases of thrombosis were reported in our series or in Ndongo A et al., whereas Ernould et al. [16] reported two cases in their study. This could be explained by the fact that latent forms of thrombosis are more common than symptomatic forms [22], and that it would not have been investigated in the absence of warning signs. We found </w:t>
      </w:r>
      <w:r w:rsidR="00302E9F" w:rsidRPr="001B2A74">
        <w:rPr>
          <w:rFonts w:ascii="Times New Roman" w:hAnsi="Times New Roman" w:cs="Times New Roman"/>
          <w:sz w:val="24"/>
          <w:szCs w:val="24"/>
          <w:lang w:val="en"/>
        </w:rPr>
        <w:t>Twelve</w:t>
      </w:r>
    </w:p>
    <w:p w14:paraId="17777D0B" w14:textId="31D748CA" w:rsidR="0082012C" w:rsidRPr="001B2A74" w:rsidRDefault="006D08D2"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lastRenderedPageBreak/>
        <w:t xml:space="preserve"> </w:t>
      </w:r>
      <w:proofErr w:type="gramStart"/>
      <w:r w:rsidR="0082012C" w:rsidRPr="001B2A74">
        <w:rPr>
          <w:rFonts w:ascii="Times New Roman" w:hAnsi="Times New Roman" w:cs="Times New Roman"/>
          <w:sz w:val="24"/>
          <w:szCs w:val="24"/>
        </w:rPr>
        <w:t>cases</w:t>
      </w:r>
      <w:proofErr w:type="gramEnd"/>
      <w:r w:rsidR="0082012C" w:rsidRPr="001B2A74">
        <w:rPr>
          <w:rFonts w:ascii="Times New Roman" w:hAnsi="Times New Roman" w:cs="Times New Roman"/>
          <w:sz w:val="24"/>
          <w:szCs w:val="24"/>
        </w:rPr>
        <w:t xml:space="preserve"> of urinary tract infections, five cases of hypertensive encephalopathy, and three cases of malnutrition. Ktiri K in Marrakech in 2010 [15] reported ten cases of urinary tract infection, 25 cases of tonsillitis, and 12 cases of otitis. Ernould et al. </w:t>
      </w:r>
      <w:proofErr w:type="gramStart"/>
      <w:r w:rsidR="0082012C" w:rsidRPr="001B2A74">
        <w:rPr>
          <w:rFonts w:ascii="Times New Roman" w:hAnsi="Times New Roman" w:cs="Times New Roman"/>
          <w:sz w:val="24"/>
          <w:szCs w:val="24"/>
        </w:rPr>
        <w:t>recorded</w:t>
      </w:r>
      <w:proofErr w:type="gramEnd"/>
      <w:r w:rsidR="0082012C" w:rsidRPr="001B2A74">
        <w:rPr>
          <w:rFonts w:ascii="Times New Roman" w:hAnsi="Times New Roman" w:cs="Times New Roman"/>
          <w:sz w:val="24"/>
          <w:szCs w:val="24"/>
        </w:rPr>
        <w:t xml:space="preserve"> 9 cases of infectious complications, 1 case of hemodynamic shock, 2 cases of psychiatric disorders, 1 case of unexplained intracranial hypertension, and 1 case of hypothyroidism [16].</w:t>
      </w:r>
    </w:p>
    <w:p w14:paraId="5E04D162" w14:textId="0EA57014" w:rsidR="0082012C" w:rsidRPr="001B2A74" w:rsidRDefault="0082012C" w:rsidP="001B2A74">
      <w:pPr>
        <w:spacing w:line="360" w:lineRule="auto"/>
        <w:jc w:val="both"/>
        <w:rPr>
          <w:rFonts w:ascii="Times New Roman" w:hAnsi="Times New Roman" w:cs="Times New Roman"/>
          <w:color w:val="EE0000"/>
          <w:sz w:val="24"/>
          <w:szCs w:val="24"/>
        </w:rPr>
      </w:pPr>
      <w:r w:rsidRPr="001B2A74">
        <w:rPr>
          <w:rFonts w:ascii="Times New Roman" w:hAnsi="Times New Roman" w:cs="Times New Roman"/>
          <w:sz w:val="24"/>
          <w:szCs w:val="24"/>
        </w:rPr>
        <w:t xml:space="preserve">During corticosteroid therapy, we recorded three cases of confusion, three cases of insomnia, and two cases of weight gain. Ktiri K in 2010 in Marrakech [15] reported 26 cases of growth retardation and anxious behavior in five patients. Ermould found in his study that 3 patients (7%) had osteoporosis defined by </w:t>
      </w:r>
      <w:proofErr w:type="gramStart"/>
      <w:r w:rsidRPr="001B2A74">
        <w:rPr>
          <w:rFonts w:ascii="Times New Roman" w:hAnsi="Times New Roman" w:cs="Times New Roman"/>
          <w:sz w:val="24"/>
          <w:szCs w:val="24"/>
        </w:rPr>
        <w:t>a</w:t>
      </w:r>
      <w:proofErr w:type="gramEnd"/>
      <w:r w:rsidRPr="001B2A74">
        <w:rPr>
          <w:rFonts w:ascii="Times New Roman" w:hAnsi="Times New Roman" w:cs="Times New Roman"/>
          <w:sz w:val="24"/>
          <w:szCs w:val="24"/>
        </w:rPr>
        <w:t xml:space="preserve"> Z-score of less than -2.5, including one child who had suffered a fracture. Ophthalmological examinations performed on 45 corticosteroid-dependent patients (88%) revealed cataracts in two patients and glaucoma in one patient. Seven patients with corticosteroid-sensitive nephrotic syndrome and three patients with corticosteroid-resistant nephrotic syndrome received antihypertensive treatment at some point during follow-up. Two corticosteroid-dependent patients developed transient steroid-induced diabetes. There was a tendency toward a decrease in these iatrogenic complications during the study period </w:t>
      </w:r>
      <w:r w:rsidR="00BD5F71" w:rsidRPr="001B2A74">
        <w:rPr>
          <w:rFonts w:ascii="Times New Roman" w:hAnsi="Times New Roman" w:cs="Times New Roman"/>
          <w:sz w:val="24"/>
          <w:szCs w:val="24"/>
        </w:rPr>
        <w:t xml:space="preserve">according to Ernould S et </w:t>
      </w:r>
      <w:r w:rsidR="00503535" w:rsidRPr="001B2A74">
        <w:rPr>
          <w:rFonts w:ascii="Times New Roman" w:hAnsi="Times New Roman" w:cs="Times New Roman"/>
          <w:sz w:val="24"/>
          <w:szCs w:val="24"/>
        </w:rPr>
        <w:t>al [</w:t>
      </w:r>
      <w:r w:rsidRPr="001B2A74">
        <w:rPr>
          <w:rFonts w:ascii="Times New Roman" w:hAnsi="Times New Roman" w:cs="Times New Roman"/>
          <w:sz w:val="24"/>
          <w:szCs w:val="24"/>
        </w:rPr>
        <w:t>16].</w:t>
      </w:r>
    </w:p>
    <w:p w14:paraId="79E173E4"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A large proportion of patients (21.5%) abandoned </w:t>
      </w:r>
      <w:proofErr w:type="gramStart"/>
      <w:r w:rsidRPr="001B2A74">
        <w:rPr>
          <w:rFonts w:ascii="Times New Roman" w:hAnsi="Times New Roman" w:cs="Times New Roman"/>
          <w:sz w:val="24"/>
          <w:szCs w:val="24"/>
        </w:rPr>
        <w:t>treatment;</w:t>
      </w:r>
      <w:proofErr w:type="gramEnd"/>
      <w:r w:rsidRPr="001B2A74">
        <w:rPr>
          <w:rFonts w:ascii="Times New Roman" w:hAnsi="Times New Roman" w:cs="Times New Roman"/>
          <w:sz w:val="24"/>
          <w:szCs w:val="24"/>
        </w:rPr>
        <w:t xml:space="preserve"> this figure is alarming and calls into question our follow-up procedures. We will need to consider, where possible, home visits and/or telemedicine to address this rate.</w:t>
      </w:r>
    </w:p>
    <w:p w14:paraId="5927E31E"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Conclusion</w:t>
      </w:r>
    </w:p>
    <w:p w14:paraId="6A40E850"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Nephrotic syndrome is common in children and easy to diagnose. Early treatment with corticosteroids and rigorous follow-up are essential, but remain difficult to implement in resource-limited settings. Duration, complications, and resistance to corticosteroids are factors contributing to loss of sight. We recommend improving access to kidney biopsies and social protection mechanisms, and suggest follow-up through home visits and telemedicine to reduce these loss to follow-up rates.</w:t>
      </w:r>
    </w:p>
    <w:p w14:paraId="571D2CE9" w14:textId="3EC778F0" w:rsidR="0082012C" w:rsidRDefault="00CD25F3" w:rsidP="001B2A74">
      <w:pPr>
        <w:spacing w:line="360" w:lineRule="auto"/>
        <w:jc w:val="both"/>
        <w:rPr>
          <w:rFonts w:ascii="Times New Roman" w:hAnsi="Times New Roman" w:cs="Times New Roman"/>
          <w:sz w:val="24"/>
          <w:szCs w:val="24"/>
        </w:rPr>
      </w:pPr>
      <w:r w:rsidRPr="00CD25F3">
        <w:rPr>
          <w:rFonts w:ascii="Times New Roman" w:hAnsi="Times New Roman" w:cs="Times New Roman"/>
          <w:sz w:val="24"/>
          <w:szCs w:val="24"/>
        </w:rPr>
        <w:t xml:space="preserve">Ethical </w:t>
      </w:r>
      <w:r>
        <w:rPr>
          <w:rFonts w:ascii="Times New Roman" w:hAnsi="Times New Roman" w:cs="Times New Roman"/>
          <w:sz w:val="24"/>
          <w:szCs w:val="24"/>
        </w:rPr>
        <w:t>Approval And Consent</w:t>
      </w:r>
      <w:r w:rsidRPr="00CD25F3">
        <w:rPr>
          <w:rFonts w:ascii="Times New Roman" w:hAnsi="Times New Roman" w:cs="Times New Roman"/>
          <w:sz w:val="24"/>
          <w:szCs w:val="24"/>
        </w:rPr>
        <w:t xml:space="preserve"> : </w:t>
      </w:r>
      <w:r w:rsidR="00DD07B5">
        <w:rPr>
          <w:rFonts w:ascii="Times New Roman" w:hAnsi="Times New Roman" w:cs="Times New Roman"/>
          <w:sz w:val="24"/>
          <w:szCs w:val="24"/>
        </w:rPr>
        <w:t>T</w:t>
      </w:r>
      <w:r w:rsidR="00DD07B5" w:rsidRPr="00DD07B5">
        <w:rPr>
          <w:rFonts w:ascii="Times New Roman" w:hAnsi="Times New Roman" w:cs="Times New Roman"/>
          <w:sz w:val="24"/>
          <w:szCs w:val="24"/>
        </w:rPr>
        <w:t>he ethics committee of the Gabriel TOURE University Hospital Center under number 001118/GT/</w:t>
      </w:r>
      <w:proofErr w:type="gramStart"/>
      <w:r w:rsidR="00DD07B5" w:rsidRPr="00DD07B5">
        <w:rPr>
          <w:rFonts w:ascii="Times New Roman" w:hAnsi="Times New Roman" w:cs="Times New Roman"/>
          <w:sz w:val="24"/>
          <w:szCs w:val="24"/>
        </w:rPr>
        <w:t>CE.</w:t>
      </w:r>
      <w:r w:rsidRPr="00CD25F3">
        <w:rPr>
          <w:rFonts w:ascii="Times New Roman" w:hAnsi="Times New Roman" w:cs="Times New Roman"/>
          <w:sz w:val="24"/>
          <w:szCs w:val="24"/>
        </w:rPr>
        <w:t>The</w:t>
      </w:r>
      <w:proofErr w:type="gramEnd"/>
      <w:r w:rsidRPr="00CD25F3">
        <w:rPr>
          <w:rFonts w:ascii="Times New Roman" w:hAnsi="Times New Roman" w:cs="Times New Roman"/>
          <w:sz w:val="24"/>
          <w:szCs w:val="24"/>
        </w:rPr>
        <w:t xml:space="preserve"> purpose and principle of the study were explained to the parents of the patients, along with the potential benefits and risks associated with the study. Confidentiality was guaranteed and all infants were included in the study with the informed consent of their parents.</w:t>
      </w:r>
    </w:p>
    <w:p w14:paraId="53CD450A" w14:textId="04DE71D2" w:rsidR="00D948FB" w:rsidRDefault="00D948FB" w:rsidP="001B2A74">
      <w:pPr>
        <w:spacing w:line="360" w:lineRule="auto"/>
        <w:jc w:val="both"/>
        <w:rPr>
          <w:rFonts w:ascii="Times New Roman" w:hAnsi="Times New Roman" w:cs="Times New Roman"/>
          <w:sz w:val="24"/>
          <w:szCs w:val="24"/>
        </w:rPr>
      </w:pPr>
    </w:p>
    <w:p w14:paraId="3D5E4F3A"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Disclaimer (Artificial intelligence)</w:t>
      </w:r>
    </w:p>
    <w:p w14:paraId="661233DE"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 xml:space="preserve">Option </w:t>
      </w:r>
      <w:proofErr w:type="gramStart"/>
      <w:r w:rsidRPr="00D948FB">
        <w:rPr>
          <w:rFonts w:ascii="Times New Roman" w:hAnsi="Times New Roman" w:cs="Times New Roman"/>
          <w:sz w:val="24"/>
          <w:szCs w:val="24"/>
        </w:rPr>
        <w:t>1:</w:t>
      </w:r>
      <w:proofErr w:type="gramEnd"/>
      <w:r w:rsidRPr="00D948FB">
        <w:rPr>
          <w:rFonts w:ascii="Times New Roman" w:hAnsi="Times New Roman" w:cs="Times New Roman"/>
          <w:sz w:val="24"/>
          <w:szCs w:val="24"/>
        </w:rPr>
        <w:t xml:space="preserve"> </w:t>
      </w:r>
    </w:p>
    <w:p w14:paraId="635CC508"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78FFA7A2"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 xml:space="preserve">Option </w:t>
      </w:r>
      <w:proofErr w:type="gramStart"/>
      <w:r w:rsidRPr="00D948FB">
        <w:rPr>
          <w:rFonts w:ascii="Times New Roman" w:hAnsi="Times New Roman" w:cs="Times New Roman"/>
          <w:sz w:val="24"/>
          <w:szCs w:val="24"/>
        </w:rPr>
        <w:t>2:</w:t>
      </w:r>
      <w:proofErr w:type="gramEnd"/>
      <w:r w:rsidRPr="00D948FB">
        <w:rPr>
          <w:rFonts w:ascii="Times New Roman" w:hAnsi="Times New Roman" w:cs="Times New Roman"/>
          <w:sz w:val="24"/>
          <w:szCs w:val="24"/>
        </w:rPr>
        <w:t xml:space="preserve"> </w:t>
      </w:r>
    </w:p>
    <w:p w14:paraId="02CEE8FE"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CD048E"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 xml:space="preserve">Details of the AI usage are given </w:t>
      </w:r>
      <w:proofErr w:type="gramStart"/>
      <w:r w:rsidRPr="00D948FB">
        <w:rPr>
          <w:rFonts w:ascii="Times New Roman" w:hAnsi="Times New Roman" w:cs="Times New Roman"/>
          <w:sz w:val="24"/>
          <w:szCs w:val="24"/>
        </w:rPr>
        <w:t>below:</w:t>
      </w:r>
      <w:proofErr w:type="gramEnd"/>
    </w:p>
    <w:p w14:paraId="1234A2D8"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1.</w:t>
      </w:r>
    </w:p>
    <w:p w14:paraId="0857E820" w14:textId="77777777" w:rsidR="00D948FB" w:rsidRPr="00D948FB"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2.</w:t>
      </w:r>
    </w:p>
    <w:p w14:paraId="64C128F4" w14:textId="2F70DB2F" w:rsidR="00D948FB" w:rsidRPr="001B2A74" w:rsidRDefault="00D948FB" w:rsidP="00D948FB">
      <w:pPr>
        <w:spacing w:line="360" w:lineRule="auto"/>
        <w:jc w:val="both"/>
        <w:rPr>
          <w:rFonts w:ascii="Times New Roman" w:hAnsi="Times New Roman" w:cs="Times New Roman"/>
          <w:sz w:val="24"/>
          <w:szCs w:val="24"/>
        </w:rPr>
      </w:pPr>
      <w:r w:rsidRPr="00D948FB">
        <w:rPr>
          <w:rFonts w:ascii="Times New Roman" w:hAnsi="Times New Roman" w:cs="Times New Roman"/>
          <w:sz w:val="24"/>
          <w:szCs w:val="24"/>
        </w:rPr>
        <w:t>3.</w:t>
      </w:r>
    </w:p>
    <w:p w14:paraId="1550DD69" w14:textId="77777777" w:rsidR="0082012C" w:rsidRPr="001B2A74" w:rsidRDefault="0082012C" w:rsidP="001B2A74">
      <w:pPr>
        <w:tabs>
          <w:tab w:val="left" w:pos="1925"/>
        </w:tabs>
        <w:spacing w:after="0" w:line="360" w:lineRule="auto"/>
        <w:jc w:val="both"/>
        <w:rPr>
          <w:rFonts w:ascii="Times New Roman" w:hAnsi="Times New Roman" w:cs="Times New Roman"/>
          <w:b/>
          <w:sz w:val="24"/>
          <w:szCs w:val="24"/>
          <w:lang w:val="en-US"/>
        </w:rPr>
      </w:pPr>
      <w:r w:rsidRPr="001B2A74">
        <w:rPr>
          <w:rFonts w:ascii="Times New Roman" w:hAnsi="Times New Roman" w:cs="Times New Roman"/>
          <w:b/>
          <w:sz w:val="24"/>
          <w:szCs w:val="24"/>
          <w:lang w:val="en-US"/>
        </w:rPr>
        <w:t>References</w:t>
      </w:r>
    </w:p>
    <w:p w14:paraId="5A4AB4CC"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1. Bellaiche M, Aurélie PH. Idiopathic nephrotic syndrome in children. Protocole national de diagnostic et de soins pour une maladie rare. HAS ; 10eme édi. Paris 2017 :256-258. </w:t>
      </w:r>
    </w:p>
    <w:p w14:paraId="7F06E407"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2. Boyer O, Baudouin V, Bérard E, Dossier C, Audard V, Guigonis V et al. Clinical aspects of idiopathic nephrotic syndrome in children. </w:t>
      </w:r>
      <w:proofErr w:type="gramStart"/>
      <w:r w:rsidRPr="001B2A74">
        <w:rPr>
          <w:rFonts w:ascii="Times New Roman" w:hAnsi="Times New Roman" w:cs="Times New Roman"/>
          <w:sz w:val="24"/>
          <w:szCs w:val="24"/>
        </w:rPr>
        <w:t>pediatric</w:t>
      </w:r>
      <w:proofErr w:type="gramEnd"/>
      <w:r w:rsidRPr="001B2A74">
        <w:rPr>
          <w:rFonts w:ascii="Times New Roman" w:hAnsi="Times New Roman" w:cs="Times New Roman"/>
          <w:sz w:val="24"/>
          <w:szCs w:val="24"/>
        </w:rPr>
        <w:t xml:space="preserve"> archives xxx (2017) xxx–xxx.</w:t>
      </w:r>
      <w:r w:rsidRPr="001B2A74">
        <w:rPr>
          <w:rFonts w:ascii="Times New Roman" w:hAnsi="Times New Roman" w:cs="Times New Roman"/>
          <w:color w:val="555555"/>
          <w:sz w:val="24"/>
          <w:szCs w:val="24"/>
          <w:shd w:val="clear" w:color="auto" w:fill="FFFFFF"/>
        </w:rPr>
        <w:t xml:space="preserve"> </w:t>
      </w:r>
      <w:r w:rsidRPr="001B2A74">
        <w:rPr>
          <w:rFonts w:ascii="Times New Roman" w:hAnsi="Times New Roman" w:cs="Times New Roman"/>
          <w:sz w:val="24"/>
          <w:szCs w:val="24"/>
        </w:rPr>
        <w:t>Doi : 10.1016/j.arcped.2017.09.022 </w:t>
      </w:r>
    </w:p>
    <w:p w14:paraId="4666CC4A" w14:textId="77777777" w:rsidR="0082012C" w:rsidRPr="001B2A74" w:rsidRDefault="0082012C" w:rsidP="001B2A74">
      <w:pPr>
        <w:pStyle w:val="Default"/>
        <w:spacing w:line="360" w:lineRule="auto"/>
        <w:jc w:val="both"/>
        <w:rPr>
          <w:lang w:val="en-US"/>
        </w:rPr>
      </w:pPr>
      <w:r w:rsidRPr="001B2A74">
        <w:rPr>
          <w:lang w:val="en-US"/>
        </w:rPr>
        <w:t xml:space="preserve">3. Sureshkumar P, Hodson EM, Willis NS, et al. Predictors of remission and relapse in idiopathic nephrotic syndrome: a prospective cohort study. Pediatr Nephrol </w:t>
      </w:r>
      <w:proofErr w:type="gramStart"/>
      <w:r w:rsidRPr="001B2A74">
        <w:rPr>
          <w:lang w:val="en-US"/>
        </w:rPr>
        <w:t>2014;29:1039</w:t>
      </w:r>
      <w:proofErr w:type="gramEnd"/>
      <w:r w:rsidRPr="001B2A74">
        <w:rPr>
          <w:lang w:val="en-US"/>
        </w:rPr>
        <w:t>–46.</w:t>
      </w:r>
    </w:p>
    <w:p w14:paraId="70B81483" w14:textId="77777777" w:rsidR="0082012C" w:rsidRPr="001B2A74" w:rsidRDefault="0082012C" w:rsidP="001B2A74">
      <w:pPr>
        <w:pStyle w:val="Default"/>
        <w:spacing w:line="360" w:lineRule="auto"/>
        <w:jc w:val="both"/>
        <w:rPr>
          <w:lang w:val="en-US"/>
        </w:rPr>
      </w:pPr>
    </w:p>
    <w:p w14:paraId="60F7D96D" w14:textId="77777777" w:rsidR="0082012C" w:rsidRPr="001B2A74" w:rsidRDefault="0082012C" w:rsidP="001B2A74">
      <w:pPr>
        <w:pStyle w:val="Default"/>
        <w:spacing w:line="360" w:lineRule="auto"/>
        <w:jc w:val="both"/>
        <w:rPr>
          <w:lang w:val="en-US"/>
        </w:rPr>
      </w:pPr>
      <w:r w:rsidRPr="001B2A74">
        <w:rPr>
          <w:lang w:val="en-US"/>
        </w:rPr>
        <w:t xml:space="preserve">4. Kikunaga K, Ishikura K, Terano C, et al. High incidence of idiopathic nephrotic syndrome in East Asian children: a nationwide survey in Japan (JP-SHINE study). Clin Exp Nephrol </w:t>
      </w:r>
      <w:proofErr w:type="gramStart"/>
      <w:r w:rsidRPr="001B2A74">
        <w:rPr>
          <w:lang w:val="en-US"/>
        </w:rPr>
        <w:t>2017;21:651</w:t>
      </w:r>
      <w:proofErr w:type="gramEnd"/>
      <w:r w:rsidRPr="001B2A74">
        <w:rPr>
          <w:lang w:val="en-US"/>
        </w:rPr>
        <w:t>–7.</w:t>
      </w:r>
    </w:p>
    <w:p w14:paraId="1F5D23E9" w14:textId="77777777" w:rsidR="0082012C" w:rsidRPr="001B2A74" w:rsidRDefault="0082012C" w:rsidP="001B2A74">
      <w:pPr>
        <w:pStyle w:val="Default"/>
        <w:spacing w:line="360" w:lineRule="auto"/>
        <w:jc w:val="both"/>
        <w:rPr>
          <w:lang w:val="en-US"/>
        </w:rPr>
      </w:pPr>
    </w:p>
    <w:p w14:paraId="5337580B" w14:textId="77777777" w:rsidR="0082012C" w:rsidRPr="001B2A74" w:rsidRDefault="0082012C" w:rsidP="001B2A74">
      <w:pPr>
        <w:pStyle w:val="Default"/>
        <w:spacing w:line="360" w:lineRule="auto"/>
        <w:jc w:val="both"/>
        <w:rPr>
          <w:lang w:val="en-US"/>
        </w:rPr>
      </w:pPr>
      <w:r w:rsidRPr="001B2A74">
        <w:rPr>
          <w:lang w:val="en-US"/>
        </w:rPr>
        <w:lastRenderedPageBreak/>
        <w:t xml:space="preserve"> 5. McKinney PA, Feltbower RG, Brocklebank JT, et al. Time trends and ethnic patterns of childhood nephrotic syndrome in Yorkshire, UK. Pediatr Nephrol </w:t>
      </w:r>
      <w:proofErr w:type="gramStart"/>
      <w:r w:rsidRPr="001B2A74">
        <w:rPr>
          <w:lang w:val="en-US"/>
        </w:rPr>
        <w:t>2001;16:1040</w:t>
      </w:r>
      <w:proofErr w:type="gramEnd"/>
      <w:r w:rsidRPr="001B2A74">
        <w:rPr>
          <w:lang w:val="en-US"/>
        </w:rPr>
        <w:t>–4.</w:t>
      </w:r>
    </w:p>
    <w:p w14:paraId="0D3972E5" w14:textId="77777777" w:rsidR="0082012C" w:rsidRPr="001B2A74" w:rsidRDefault="0082012C" w:rsidP="001B2A74">
      <w:pPr>
        <w:pStyle w:val="Default"/>
        <w:spacing w:line="360" w:lineRule="auto"/>
        <w:jc w:val="both"/>
        <w:rPr>
          <w:lang w:val="en-US"/>
        </w:rPr>
      </w:pPr>
    </w:p>
    <w:p w14:paraId="6FF966F2" w14:textId="77777777" w:rsidR="0082012C" w:rsidRPr="001B2A74" w:rsidRDefault="0082012C" w:rsidP="001B2A74">
      <w:pPr>
        <w:pStyle w:val="Default"/>
        <w:spacing w:after="175" w:line="360" w:lineRule="auto"/>
        <w:jc w:val="both"/>
      </w:pPr>
      <w:r w:rsidRPr="001B2A74">
        <w:rPr>
          <w:lang w:val="en-US"/>
        </w:rPr>
        <w:t xml:space="preserve">6. Niaudet P, Boyer O. Idiopathic nephrotic syndrome in children: clinical aspects. In: Avner ED, Harmon WE, Niaudet P, et al., editors. </w:t>
      </w:r>
      <w:r w:rsidRPr="001B2A74">
        <w:t xml:space="preserve">Pediatric nephrology. 1. 7th ed., </w:t>
      </w:r>
      <w:proofErr w:type="gramStart"/>
      <w:r w:rsidRPr="001B2A74">
        <w:t>Heidelberg:</w:t>
      </w:r>
      <w:proofErr w:type="gramEnd"/>
      <w:r w:rsidRPr="001B2A74">
        <w:t xml:space="preserve"> Springer-Verlag; 2016. p. 839–82.</w:t>
      </w:r>
    </w:p>
    <w:p w14:paraId="4DEF551D" w14:textId="77777777" w:rsidR="0082012C" w:rsidRPr="001B2A74" w:rsidRDefault="0082012C" w:rsidP="001B2A74">
      <w:pPr>
        <w:pStyle w:val="Default"/>
        <w:spacing w:after="175" w:line="360" w:lineRule="auto"/>
        <w:jc w:val="both"/>
      </w:pPr>
      <w:r w:rsidRPr="001B2A74">
        <w:t>7. National Protocol for Diagnosis and Care (PNDS). Idiopathic nephrotic syndrome in children. Journal of Pediatrics and Child Health (2016). http://dx.doi.org/10.1016/j.jpp.2016.09.002</w:t>
      </w:r>
    </w:p>
    <w:p w14:paraId="71A11578" w14:textId="77777777" w:rsidR="0082012C" w:rsidRPr="001B2A74" w:rsidRDefault="0082012C" w:rsidP="001B2A74">
      <w:pPr>
        <w:pStyle w:val="Default"/>
        <w:spacing w:after="175" w:line="360" w:lineRule="auto"/>
        <w:jc w:val="both"/>
        <w:rPr>
          <w:lang w:val="en-US"/>
        </w:rPr>
      </w:pPr>
      <w:r w:rsidRPr="001B2A74">
        <w:rPr>
          <w:bCs/>
          <w:lang w:val="en-US"/>
        </w:rPr>
        <w:t>8</w:t>
      </w:r>
      <w:r w:rsidRPr="001B2A74">
        <w:rPr>
          <w:b/>
          <w:bCs/>
          <w:lang w:val="en-US"/>
        </w:rPr>
        <w:t xml:space="preserve">. </w:t>
      </w:r>
      <w:r w:rsidRPr="001B2A74">
        <w:rPr>
          <w:bCs/>
          <w:lang w:val="en-US"/>
        </w:rPr>
        <w:t xml:space="preserve">Bagga A, Mantan </w:t>
      </w:r>
      <w:proofErr w:type="gramStart"/>
      <w:r w:rsidRPr="001B2A74">
        <w:rPr>
          <w:bCs/>
          <w:lang w:val="en-US"/>
        </w:rPr>
        <w:t>M.</w:t>
      </w:r>
      <w:r w:rsidRPr="001B2A74">
        <w:rPr>
          <w:lang w:val="en-US"/>
        </w:rPr>
        <w:t>Nephrotic</w:t>
      </w:r>
      <w:proofErr w:type="gramEnd"/>
      <w:r w:rsidRPr="001B2A74">
        <w:rPr>
          <w:lang w:val="en-US"/>
        </w:rPr>
        <w:t xml:space="preserve"> syndrome in children. Indian J Med Res 2005 ;122 :13-28. </w:t>
      </w:r>
    </w:p>
    <w:p w14:paraId="4BC197ED" w14:textId="77777777" w:rsidR="0082012C" w:rsidRPr="001B2A74" w:rsidRDefault="0082012C" w:rsidP="001B2A74">
      <w:pPr>
        <w:pStyle w:val="Default"/>
        <w:spacing w:after="175" w:line="360" w:lineRule="auto"/>
        <w:jc w:val="both"/>
      </w:pPr>
      <w:r w:rsidRPr="001B2A74">
        <w:t xml:space="preserve">9. Keita Y, Tall HL, Sylla A, Niang B, Sow A, Ndiaye O et al. 40 cases of idiopathic nephrotic syndrome (INS) in children in Dakar. The Pan African. Médical </w:t>
      </w:r>
      <w:proofErr w:type="gramStart"/>
      <w:r w:rsidRPr="001B2A74">
        <w:t>Journal;</w:t>
      </w:r>
      <w:proofErr w:type="gramEnd"/>
      <w:r w:rsidRPr="001B2A74">
        <w:t>2017; 26: 161. https://doi.10.11604/pamj.2017.26.161.10130.</w:t>
      </w:r>
    </w:p>
    <w:p w14:paraId="5CEE3856" w14:textId="77777777" w:rsidR="0082012C" w:rsidRPr="001B2A74" w:rsidRDefault="0082012C" w:rsidP="001B2A74">
      <w:pPr>
        <w:pStyle w:val="Default"/>
        <w:spacing w:after="175" w:line="360" w:lineRule="auto"/>
        <w:jc w:val="both"/>
      </w:pPr>
      <w:r w:rsidRPr="001B2A74">
        <w:t xml:space="preserve"> 10.Ndongo AA, Thiongane A, KéïtaY, Boiro D, Basse I, Seck N Faye PM &amp; al. The particularities of nephrotic syndrome in children in Senegal. Rev CAMES SANTE </w:t>
      </w:r>
      <w:proofErr w:type="gramStart"/>
      <w:r w:rsidRPr="001B2A74">
        <w:t>2016;</w:t>
      </w:r>
      <w:proofErr w:type="gramEnd"/>
      <w:r w:rsidRPr="001B2A74">
        <w:t xml:space="preserve"> 2: 11-14.</w:t>
      </w:r>
    </w:p>
    <w:p w14:paraId="39F421E5" w14:textId="77777777" w:rsidR="0082012C" w:rsidRPr="001B2A74" w:rsidRDefault="0082012C" w:rsidP="001B2A74">
      <w:pPr>
        <w:pStyle w:val="Default"/>
        <w:spacing w:line="360" w:lineRule="auto"/>
        <w:jc w:val="both"/>
      </w:pPr>
      <w:r w:rsidRPr="001B2A74">
        <w:t xml:space="preserve">11. </w:t>
      </w:r>
      <w:r w:rsidRPr="001B2A74">
        <w:rPr>
          <w:b/>
          <w:bCs/>
          <w:lang w:val="en-US"/>
        </w:rPr>
        <w:t>Gbadoé AD, Atakouma DY, Napo-Koura G, Gouna A, Akakpo-Maxwell O, Dogba MA &amp; al</w:t>
      </w:r>
      <w:r w:rsidRPr="001B2A74">
        <w:t>. Primary nephrotic syndrome in children in sub-Saharan Africa. Archives of Pediatrics. ;</w:t>
      </w:r>
      <w:r w:rsidRPr="001B2A74">
        <w:rPr>
          <w:color w:val="1F1F1F"/>
        </w:rPr>
        <w:t xml:space="preserve"> </w:t>
      </w:r>
      <w:r w:rsidRPr="001B2A74">
        <w:t xml:space="preserve">August 1999, Pages 985-989. </w:t>
      </w:r>
      <w:hyperlink r:id="rId8" w:history="1">
        <w:r w:rsidRPr="001B2A74">
          <w:rPr>
            <w:rStyle w:val="Hyperlink"/>
          </w:rPr>
          <w:t>https://doi.org/10.1016/S0929-693X(99)80594-6</w:t>
        </w:r>
      </w:hyperlink>
    </w:p>
    <w:p w14:paraId="65C5222F" w14:textId="77777777" w:rsidR="0082012C" w:rsidRPr="001B2A74" w:rsidRDefault="0082012C" w:rsidP="001B2A74">
      <w:pPr>
        <w:pStyle w:val="Default"/>
        <w:spacing w:line="360" w:lineRule="auto"/>
        <w:jc w:val="both"/>
      </w:pPr>
    </w:p>
    <w:p w14:paraId="56BD56AA" w14:textId="77777777" w:rsidR="0082012C" w:rsidRPr="001B2A74" w:rsidRDefault="0082012C" w:rsidP="001B2A74">
      <w:pPr>
        <w:pStyle w:val="Default"/>
        <w:spacing w:after="175" w:line="360" w:lineRule="auto"/>
        <w:jc w:val="both"/>
      </w:pPr>
      <w:r w:rsidRPr="001B2A74">
        <w:t>12. Niaudet P, Dolto C. Nephrotic syndrome in children. Paris 2012. 1-34.</w:t>
      </w:r>
    </w:p>
    <w:p w14:paraId="38B29FAF" w14:textId="77777777" w:rsidR="0082012C" w:rsidRPr="001B2A74" w:rsidRDefault="0082012C" w:rsidP="001B2A74">
      <w:pPr>
        <w:pStyle w:val="Default"/>
        <w:spacing w:after="175" w:line="360" w:lineRule="auto"/>
        <w:jc w:val="both"/>
      </w:pPr>
      <w:r w:rsidRPr="001B2A74">
        <w:t xml:space="preserve">13. Deschênes G, Leclerc A. Epidemiology of nephrotic syndrome in children. Archives de Pédiatrie </w:t>
      </w:r>
      <w:proofErr w:type="gramStart"/>
      <w:r w:rsidRPr="001B2A74">
        <w:t>2010;</w:t>
      </w:r>
      <w:proofErr w:type="gramEnd"/>
      <w:r w:rsidRPr="001B2A74">
        <w:t>17:622-623</w:t>
      </w:r>
    </w:p>
    <w:p w14:paraId="37A4D3F1" w14:textId="77777777" w:rsidR="0082012C" w:rsidRPr="001B2A74" w:rsidRDefault="0082012C" w:rsidP="001B2A74">
      <w:pPr>
        <w:pStyle w:val="Default"/>
        <w:spacing w:after="175" w:line="360" w:lineRule="auto"/>
        <w:jc w:val="both"/>
        <w:rPr>
          <w:lang w:val="en-US"/>
        </w:rPr>
      </w:pPr>
      <w:r w:rsidRPr="001B2A74">
        <w:rPr>
          <w:lang w:val="en-US"/>
        </w:rPr>
        <w:t xml:space="preserve">14. </w:t>
      </w:r>
      <w:r w:rsidRPr="001B2A74">
        <w:t>Gianluca C, Antonella T, Simone S-C, Francesco P, Gian M G.</w:t>
      </w:r>
      <w:r w:rsidRPr="001B2A74">
        <w:rPr>
          <w:color w:val="auto"/>
        </w:rPr>
        <w:t xml:space="preserve"> </w:t>
      </w:r>
      <w:r w:rsidRPr="001B2A74">
        <w:rPr>
          <w:lang w:val="en-US"/>
        </w:rPr>
        <w:t>Familial forms of</w:t>
      </w:r>
    </w:p>
    <w:p w14:paraId="49639672" w14:textId="77777777" w:rsidR="0082012C" w:rsidRPr="001B2A74" w:rsidRDefault="0082012C" w:rsidP="001B2A74">
      <w:pPr>
        <w:pStyle w:val="Default"/>
        <w:spacing w:line="360" w:lineRule="auto"/>
        <w:jc w:val="both"/>
        <w:rPr>
          <w:lang w:val="en-US"/>
        </w:rPr>
      </w:pPr>
      <w:r w:rsidRPr="001B2A74">
        <w:rPr>
          <w:lang w:val="en-US"/>
        </w:rPr>
        <w:t xml:space="preserve">nephrotic </w:t>
      </w:r>
      <w:proofErr w:type="gramStart"/>
      <w:r w:rsidRPr="001B2A74">
        <w:rPr>
          <w:lang w:val="en-US"/>
        </w:rPr>
        <w:t>syndrome.</w:t>
      </w:r>
      <w:r w:rsidRPr="001B2A74">
        <w:t>Pediatr</w:t>
      </w:r>
      <w:proofErr w:type="gramEnd"/>
      <w:r w:rsidRPr="001B2A74">
        <w:t xml:space="preserve"> Nephrol (2010) 25:241–52</w:t>
      </w:r>
    </w:p>
    <w:p w14:paraId="0C8F81B6" w14:textId="77777777" w:rsidR="0082012C" w:rsidRPr="001B2A74" w:rsidRDefault="0082012C" w:rsidP="001B2A74">
      <w:pPr>
        <w:pStyle w:val="Default"/>
        <w:spacing w:line="360" w:lineRule="auto"/>
        <w:jc w:val="both"/>
        <w:rPr>
          <w:lang w:val="en-US"/>
        </w:rPr>
      </w:pPr>
    </w:p>
    <w:p w14:paraId="786FE4FA"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15. Ktiri K. Therapeutic and developmental aspects of SN in </w:t>
      </w:r>
      <w:proofErr w:type="gramStart"/>
      <w:r w:rsidRPr="001B2A74">
        <w:rPr>
          <w:rFonts w:ascii="Times New Roman" w:hAnsi="Times New Roman" w:cs="Times New Roman"/>
          <w:sz w:val="24"/>
          <w:szCs w:val="24"/>
        </w:rPr>
        <w:t>children;</w:t>
      </w:r>
      <w:proofErr w:type="gramEnd"/>
      <w:r w:rsidRPr="001B2A74">
        <w:rPr>
          <w:rFonts w:ascii="Times New Roman" w:hAnsi="Times New Roman" w:cs="Times New Roman"/>
          <w:sz w:val="24"/>
          <w:szCs w:val="24"/>
        </w:rPr>
        <w:t xml:space="preserve"> Marrakech 2010; 153.</w:t>
      </w:r>
    </w:p>
    <w:p w14:paraId="77B03E0F"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16. Ernould S, Godron A, Nelson J-R, Rigothier C, Llanas B, Harambat J et al. Idiopathic nephrotic syndrome in </w:t>
      </w:r>
      <w:proofErr w:type="gramStart"/>
      <w:r w:rsidRPr="001B2A74">
        <w:rPr>
          <w:rFonts w:ascii="Times New Roman" w:hAnsi="Times New Roman" w:cs="Times New Roman"/>
          <w:sz w:val="24"/>
          <w:szCs w:val="24"/>
        </w:rPr>
        <w:t>children:</w:t>
      </w:r>
      <w:proofErr w:type="gramEnd"/>
      <w:r w:rsidRPr="001B2A74">
        <w:rPr>
          <w:rFonts w:ascii="Times New Roman" w:hAnsi="Times New Roman" w:cs="Times New Roman"/>
          <w:sz w:val="24"/>
          <w:szCs w:val="24"/>
        </w:rPr>
        <w:t xml:space="preserve"> incidence, clinical presentation and outcome in the Gironde department, France. Arch Pediatr. </w:t>
      </w:r>
      <w:proofErr w:type="gramStart"/>
      <w:r w:rsidRPr="001B2A74">
        <w:rPr>
          <w:rFonts w:ascii="Times New Roman" w:hAnsi="Times New Roman" w:cs="Times New Roman"/>
          <w:sz w:val="24"/>
          <w:szCs w:val="24"/>
        </w:rPr>
        <w:t>2011;</w:t>
      </w:r>
      <w:proofErr w:type="gramEnd"/>
      <w:r w:rsidRPr="001B2A74">
        <w:rPr>
          <w:rFonts w:ascii="Times New Roman" w:hAnsi="Times New Roman" w:cs="Times New Roman"/>
          <w:sz w:val="24"/>
          <w:szCs w:val="24"/>
        </w:rPr>
        <w:t xml:space="preserve"> 18(5): 522-528. </w:t>
      </w:r>
    </w:p>
    <w:p w14:paraId="3F49AD60"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lastRenderedPageBreak/>
        <w:t>17. Deschenes G. Martinat L. Molecular mechanisms of idiopathic nephrotic syndrome. Arch pediatr 2000 ;</w:t>
      </w:r>
      <w:proofErr w:type="gramStart"/>
      <w:r w:rsidRPr="001B2A74">
        <w:rPr>
          <w:rFonts w:ascii="Times New Roman" w:hAnsi="Times New Roman" w:cs="Times New Roman"/>
          <w:sz w:val="24"/>
          <w:szCs w:val="24"/>
        </w:rPr>
        <w:t>7:</w:t>
      </w:r>
      <w:proofErr w:type="gramEnd"/>
      <w:r w:rsidRPr="001B2A74">
        <w:rPr>
          <w:rFonts w:ascii="Times New Roman" w:hAnsi="Times New Roman" w:cs="Times New Roman"/>
          <w:sz w:val="24"/>
          <w:szCs w:val="24"/>
        </w:rPr>
        <w:t>1318-29.</w:t>
      </w:r>
    </w:p>
    <w:p w14:paraId="088D1352"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18. Savadogo H Response to corticosteroid therapy for nephrotic syndrome in children in Ouagadougou. RAMReS </w:t>
      </w:r>
      <w:proofErr w:type="gramStart"/>
      <w:r w:rsidRPr="001B2A74">
        <w:rPr>
          <w:rFonts w:ascii="Times New Roman" w:hAnsi="Times New Roman" w:cs="Times New Roman"/>
          <w:sz w:val="24"/>
          <w:szCs w:val="24"/>
        </w:rPr>
        <w:t>2019;</w:t>
      </w:r>
      <w:proofErr w:type="gramEnd"/>
      <w:r w:rsidRPr="001B2A74">
        <w:rPr>
          <w:rFonts w:ascii="Times New Roman" w:hAnsi="Times New Roman" w:cs="Times New Roman"/>
          <w:sz w:val="24"/>
          <w:szCs w:val="24"/>
        </w:rPr>
        <w:t xml:space="preserve"> 1(2):1-10.  </w:t>
      </w:r>
    </w:p>
    <w:p w14:paraId="272AE34B"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19. O. Boyer, V. Baudouin, E. Bérard, C. Dossier, V. Audard, V. Guigonis, I. </w:t>
      </w:r>
      <w:proofErr w:type="gramStart"/>
      <w:r w:rsidRPr="001B2A74">
        <w:rPr>
          <w:rFonts w:ascii="Times New Roman" w:hAnsi="Times New Roman" w:cs="Times New Roman"/>
          <w:sz w:val="24"/>
          <w:szCs w:val="24"/>
        </w:rPr>
        <w:t>Vrillon:</w:t>
      </w:r>
      <w:proofErr w:type="gramEnd"/>
      <w:r w:rsidRPr="001B2A74">
        <w:rPr>
          <w:rFonts w:ascii="Times New Roman" w:hAnsi="Times New Roman" w:cs="Times New Roman"/>
          <w:sz w:val="24"/>
          <w:szCs w:val="24"/>
        </w:rPr>
        <w:t xml:space="preserve"> Clinical aspects of idiopathic nephrotic syndrome in children Idiopathic nephrotic syndrome: ARCPED 2017, 09: 4560-6 https://doi.org/10.1016/j.arcped.2017.09.022 0929-693X/ _ 2017  Elsevier Masson SAS.</w:t>
      </w:r>
    </w:p>
    <w:p w14:paraId="335E780F" w14:textId="77777777" w:rsidR="0082012C" w:rsidRPr="001B2A74" w:rsidRDefault="0082012C" w:rsidP="001B2A74">
      <w:pPr>
        <w:pStyle w:val="Default"/>
        <w:spacing w:line="360" w:lineRule="auto"/>
        <w:jc w:val="both"/>
      </w:pPr>
      <w:r w:rsidRPr="001B2A74">
        <w:rPr>
          <w:bCs/>
          <w:lang w:val="en-US"/>
        </w:rPr>
        <w:t>20. James YD, Matthias F, Michael M, Ekkehard D, Jochen HHE</w:t>
      </w:r>
      <w:r w:rsidRPr="001B2A74">
        <w:rPr>
          <w:b/>
          <w:bCs/>
          <w:lang w:val="en-US"/>
        </w:rPr>
        <w:t xml:space="preserve">. </w:t>
      </w:r>
      <w:r w:rsidRPr="001B2A74">
        <w:rPr>
          <w:lang w:val="en-US"/>
        </w:rPr>
        <w:t xml:space="preserve">Nephrotic syndrome in African children: lack of evidence for tropical nephrotic syndrome? </w:t>
      </w:r>
      <w:r w:rsidRPr="001B2A74">
        <w:br/>
        <w:t xml:space="preserve">Nephrol Dial Transplant 2006 </w:t>
      </w:r>
      <w:proofErr w:type="gramStart"/>
      <w:r w:rsidRPr="001B2A74">
        <w:t>Mar;</w:t>
      </w:r>
      <w:proofErr w:type="gramEnd"/>
      <w:r w:rsidRPr="001B2A74">
        <w:t>21(3):672-6. </w:t>
      </w:r>
      <w:proofErr w:type="gramStart"/>
      <w:r w:rsidRPr="001B2A74">
        <w:t>doi:</w:t>
      </w:r>
      <w:proofErr w:type="gramEnd"/>
      <w:r w:rsidRPr="001B2A74">
        <w:t xml:space="preserve"> 10.1093/ndt/gfi297.</w:t>
      </w:r>
    </w:p>
    <w:p w14:paraId="4A3099AF" w14:textId="77777777" w:rsidR="0082012C" w:rsidRPr="001B2A74" w:rsidRDefault="0082012C" w:rsidP="001B2A74">
      <w:pPr>
        <w:autoSpaceDE w:val="0"/>
        <w:autoSpaceDN w:val="0"/>
        <w:adjustRightInd w:val="0"/>
        <w:spacing w:after="0"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21. Niaudet P. Syndrome néphrotique chez l’enfant. EMC-Néphrologie </w:t>
      </w:r>
      <w:proofErr w:type="gramStart"/>
      <w:r w:rsidRPr="001B2A74">
        <w:rPr>
          <w:rFonts w:ascii="Times New Roman" w:hAnsi="Times New Roman" w:cs="Times New Roman"/>
          <w:sz w:val="24"/>
          <w:szCs w:val="24"/>
        </w:rPr>
        <w:t>2008;</w:t>
      </w:r>
      <w:proofErr w:type="gramEnd"/>
      <w:r w:rsidRPr="001B2A74">
        <w:rPr>
          <w:rFonts w:ascii="Times New Roman" w:hAnsi="Times New Roman" w:cs="Times New Roman"/>
          <w:sz w:val="24"/>
          <w:szCs w:val="24"/>
        </w:rPr>
        <w:t>18:1-14.</w:t>
      </w:r>
    </w:p>
    <w:p w14:paraId="4584BE4B" w14:textId="77777777" w:rsidR="0082012C" w:rsidRPr="001B2A74" w:rsidRDefault="0082012C" w:rsidP="001B2A74">
      <w:pPr>
        <w:pStyle w:val="Default"/>
        <w:spacing w:line="360" w:lineRule="auto"/>
        <w:jc w:val="both"/>
      </w:pPr>
    </w:p>
    <w:p w14:paraId="1085166B" w14:textId="77777777" w:rsidR="0082012C" w:rsidRPr="001B2A74" w:rsidRDefault="0082012C"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22. Ducloux D. Pathophysiology of acquired minimal change nephrotic syndrome. EMC nephrology </w:t>
      </w:r>
      <w:proofErr w:type="gramStart"/>
      <w:r w:rsidRPr="001B2A74">
        <w:rPr>
          <w:rFonts w:ascii="Times New Roman" w:hAnsi="Times New Roman" w:cs="Times New Roman"/>
          <w:sz w:val="24"/>
          <w:szCs w:val="24"/>
        </w:rPr>
        <w:t>2007;</w:t>
      </w:r>
      <w:proofErr w:type="gramEnd"/>
      <w:r w:rsidRPr="001B2A74">
        <w:rPr>
          <w:rFonts w:ascii="Times New Roman" w:hAnsi="Times New Roman" w:cs="Times New Roman"/>
          <w:sz w:val="24"/>
          <w:szCs w:val="24"/>
        </w:rPr>
        <w:t>18:1-3..</w:t>
      </w:r>
      <w:r w:rsidRPr="001B2A74">
        <w:rPr>
          <w:rFonts w:ascii="Times New Roman" w:hAnsi="Times New Roman" w:cs="Times New Roman"/>
          <w:color w:val="555555"/>
          <w:sz w:val="24"/>
          <w:szCs w:val="24"/>
          <w:shd w:val="clear" w:color="auto" w:fill="FFFFFF"/>
        </w:rPr>
        <w:t xml:space="preserve"> </w:t>
      </w:r>
      <w:r w:rsidRPr="001B2A74">
        <w:rPr>
          <w:rFonts w:ascii="Times New Roman" w:hAnsi="Times New Roman" w:cs="Times New Roman"/>
          <w:sz w:val="24"/>
          <w:szCs w:val="24"/>
        </w:rPr>
        <w:t>Doi : 10.1016/S1762-0945(07)48435-2</w:t>
      </w:r>
    </w:p>
    <w:p w14:paraId="2B4F6423" w14:textId="77777777" w:rsidR="00A06747" w:rsidRPr="001B2A74" w:rsidRDefault="00A06747" w:rsidP="001B2A74">
      <w:pPr>
        <w:spacing w:line="360" w:lineRule="auto"/>
        <w:jc w:val="both"/>
        <w:rPr>
          <w:rFonts w:ascii="Times New Roman" w:hAnsi="Times New Roman" w:cs="Times New Roman"/>
          <w:sz w:val="24"/>
          <w:szCs w:val="24"/>
        </w:rPr>
      </w:pPr>
    </w:p>
    <w:p w14:paraId="2B257BC0" w14:textId="77777777" w:rsidR="00BD2BC2" w:rsidRPr="001B2A74" w:rsidRDefault="00BD2BC2"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Table </w:t>
      </w:r>
      <w:proofErr w:type="gramStart"/>
      <w:r w:rsidRPr="001B2A74">
        <w:rPr>
          <w:rFonts w:ascii="Times New Roman" w:hAnsi="Times New Roman" w:cs="Times New Roman"/>
          <w:sz w:val="24"/>
          <w:szCs w:val="24"/>
        </w:rPr>
        <w:t>I:</w:t>
      </w:r>
      <w:proofErr w:type="gramEnd"/>
      <w:r w:rsidRPr="001B2A74">
        <w:rPr>
          <w:rFonts w:ascii="Times New Roman" w:hAnsi="Times New Roman" w:cs="Times New Roman"/>
          <w:sz w:val="24"/>
          <w:szCs w:val="24"/>
        </w:rPr>
        <w:t xml:space="preserve"> Distribution of children according to 24-hour proteinuria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15"/>
        <w:gridCol w:w="2815"/>
        <w:gridCol w:w="2815"/>
      </w:tblGrid>
      <w:tr w:rsidR="00BD2BC2" w:rsidRPr="001B2A74" w14:paraId="120FB270" w14:textId="77777777" w:rsidTr="00221CE2">
        <w:trPr>
          <w:trHeight w:val="125"/>
        </w:trPr>
        <w:tc>
          <w:tcPr>
            <w:tcW w:w="2815" w:type="dxa"/>
            <w:tcBorders>
              <w:top w:val="none" w:sz="6" w:space="0" w:color="auto"/>
              <w:bottom w:val="none" w:sz="6" w:space="0" w:color="auto"/>
              <w:right w:val="none" w:sz="6" w:space="0" w:color="auto"/>
            </w:tcBorders>
          </w:tcPr>
          <w:p w14:paraId="58093796" w14:textId="77777777" w:rsidR="004758B0" w:rsidRPr="001B2A74" w:rsidRDefault="00BD2BC2" w:rsidP="001B2A74">
            <w:pPr>
              <w:pStyle w:val="Default"/>
              <w:spacing w:line="360" w:lineRule="auto"/>
              <w:jc w:val="both"/>
              <w:rPr>
                <w:bCs/>
              </w:rPr>
            </w:pPr>
            <w:r w:rsidRPr="001B2A74">
              <w:rPr>
                <w:bCs/>
              </w:rPr>
              <w:t xml:space="preserve">Proteinuria in </w:t>
            </w:r>
          </w:p>
          <w:p w14:paraId="74A6503A" w14:textId="77777777" w:rsidR="00BD2BC2" w:rsidRPr="001B2A74" w:rsidRDefault="00BD2BC2" w:rsidP="001B2A74">
            <w:pPr>
              <w:pStyle w:val="Default"/>
              <w:spacing w:line="360" w:lineRule="auto"/>
              <w:jc w:val="both"/>
            </w:pPr>
            <w:proofErr w:type="gramStart"/>
            <w:r w:rsidRPr="001B2A74">
              <w:rPr>
                <w:bCs/>
              </w:rPr>
              <w:t>mg</w:t>
            </w:r>
            <w:proofErr w:type="gramEnd"/>
            <w:r w:rsidRPr="001B2A74">
              <w:rPr>
                <w:bCs/>
              </w:rPr>
              <w:t>/kg/day</w:t>
            </w:r>
          </w:p>
        </w:tc>
        <w:tc>
          <w:tcPr>
            <w:tcW w:w="2815" w:type="dxa"/>
            <w:tcBorders>
              <w:top w:val="none" w:sz="6" w:space="0" w:color="auto"/>
              <w:left w:val="none" w:sz="6" w:space="0" w:color="auto"/>
              <w:bottom w:val="none" w:sz="6" w:space="0" w:color="auto"/>
              <w:right w:val="none" w:sz="6" w:space="0" w:color="auto"/>
            </w:tcBorders>
          </w:tcPr>
          <w:p w14:paraId="2B60C000" w14:textId="77777777" w:rsidR="00BD2BC2" w:rsidRPr="001B2A74" w:rsidRDefault="004758B0" w:rsidP="001B2A74">
            <w:pPr>
              <w:pStyle w:val="Default"/>
              <w:spacing w:line="360" w:lineRule="auto"/>
              <w:jc w:val="both"/>
            </w:pPr>
            <w:r w:rsidRPr="001B2A74">
              <w:rPr>
                <w:bCs/>
              </w:rPr>
              <w:t>Number (n)</w:t>
            </w:r>
          </w:p>
        </w:tc>
        <w:tc>
          <w:tcPr>
            <w:tcW w:w="2815" w:type="dxa"/>
            <w:tcBorders>
              <w:top w:val="none" w:sz="6" w:space="0" w:color="auto"/>
              <w:left w:val="none" w:sz="6" w:space="0" w:color="auto"/>
              <w:bottom w:val="none" w:sz="6" w:space="0" w:color="auto"/>
            </w:tcBorders>
          </w:tcPr>
          <w:p w14:paraId="39B28E73" w14:textId="77777777" w:rsidR="00BD2BC2" w:rsidRPr="001B2A74" w:rsidRDefault="004758B0" w:rsidP="001B2A74">
            <w:pPr>
              <w:pStyle w:val="Default"/>
              <w:spacing w:line="360" w:lineRule="auto"/>
              <w:jc w:val="both"/>
            </w:pPr>
            <w:proofErr w:type="gramStart"/>
            <w:r w:rsidRPr="001B2A74">
              <w:rPr>
                <w:bCs/>
              </w:rPr>
              <w:t>percentage</w:t>
            </w:r>
            <w:proofErr w:type="gramEnd"/>
            <w:r w:rsidR="00BD2BC2" w:rsidRPr="001B2A74">
              <w:rPr>
                <w:bCs/>
              </w:rPr>
              <w:t xml:space="preserve"> (%) </w:t>
            </w:r>
          </w:p>
        </w:tc>
      </w:tr>
      <w:tr w:rsidR="00BD2BC2" w:rsidRPr="001B2A74" w14:paraId="32456E59" w14:textId="77777777" w:rsidTr="00221CE2">
        <w:trPr>
          <w:trHeight w:val="1093"/>
        </w:trPr>
        <w:tc>
          <w:tcPr>
            <w:tcW w:w="2815" w:type="dxa"/>
            <w:tcBorders>
              <w:top w:val="none" w:sz="6" w:space="0" w:color="auto"/>
              <w:bottom w:val="none" w:sz="6" w:space="0" w:color="auto"/>
              <w:right w:val="none" w:sz="6" w:space="0" w:color="auto"/>
            </w:tcBorders>
          </w:tcPr>
          <w:p w14:paraId="7F3D324C" w14:textId="77777777" w:rsidR="00BD2BC2" w:rsidRPr="001B2A74" w:rsidRDefault="004758B0" w:rsidP="001B2A74">
            <w:pPr>
              <w:pStyle w:val="Default"/>
              <w:spacing w:line="360" w:lineRule="auto"/>
              <w:jc w:val="both"/>
            </w:pPr>
            <w:r w:rsidRPr="001B2A74">
              <w:t>50 to</w:t>
            </w:r>
            <w:r w:rsidR="00BD2BC2" w:rsidRPr="001B2A74">
              <w:t xml:space="preserve"> 100 </w:t>
            </w:r>
          </w:p>
          <w:p w14:paraId="69BF95FA" w14:textId="77777777" w:rsidR="00BD2BC2" w:rsidRPr="001B2A74" w:rsidRDefault="004758B0" w:rsidP="001B2A74">
            <w:pPr>
              <w:pStyle w:val="Default"/>
              <w:spacing w:line="360" w:lineRule="auto"/>
              <w:jc w:val="both"/>
            </w:pPr>
            <w:r w:rsidRPr="001B2A74">
              <w:t>100 to</w:t>
            </w:r>
            <w:r w:rsidR="00BD2BC2" w:rsidRPr="001B2A74">
              <w:t xml:space="preserve"> 200 </w:t>
            </w:r>
          </w:p>
          <w:p w14:paraId="75E98823" w14:textId="77777777" w:rsidR="00BD2BC2" w:rsidRPr="001B2A74" w:rsidRDefault="004758B0" w:rsidP="001B2A74">
            <w:pPr>
              <w:pStyle w:val="Default"/>
              <w:spacing w:line="360" w:lineRule="auto"/>
              <w:jc w:val="both"/>
            </w:pPr>
            <w:r w:rsidRPr="001B2A74">
              <w:t>200 to</w:t>
            </w:r>
            <w:r w:rsidR="00BD2BC2" w:rsidRPr="001B2A74">
              <w:t xml:space="preserve"> 300 </w:t>
            </w:r>
          </w:p>
          <w:p w14:paraId="1B188B45" w14:textId="77777777" w:rsidR="00BD2BC2" w:rsidRPr="001B2A74" w:rsidRDefault="004758B0" w:rsidP="001B2A74">
            <w:pPr>
              <w:pStyle w:val="Default"/>
              <w:spacing w:line="360" w:lineRule="auto"/>
              <w:jc w:val="both"/>
            </w:pPr>
            <w:r w:rsidRPr="001B2A74">
              <w:t>Greater than</w:t>
            </w:r>
            <w:r w:rsidR="00BD2BC2" w:rsidRPr="001B2A74">
              <w:t xml:space="preserve"> 300 </w:t>
            </w:r>
          </w:p>
          <w:p w14:paraId="17A3A6EB" w14:textId="77777777" w:rsidR="00BD2BC2" w:rsidRPr="001B2A74" w:rsidRDefault="00BD2BC2" w:rsidP="001B2A74">
            <w:pPr>
              <w:pStyle w:val="Default"/>
              <w:spacing w:line="360" w:lineRule="auto"/>
              <w:jc w:val="both"/>
            </w:pPr>
            <w:r w:rsidRPr="001B2A74">
              <w:t xml:space="preserve">Total </w:t>
            </w:r>
          </w:p>
        </w:tc>
        <w:tc>
          <w:tcPr>
            <w:tcW w:w="2815" w:type="dxa"/>
            <w:tcBorders>
              <w:top w:val="none" w:sz="6" w:space="0" w:color="auto"/>
              <w:left w:val="none" w:sz="6" w:space="0" w:color="auto"/>
              <w:bottom w:val="none" w:sz="6" w:space="0" w:color="auto"/>
              <w:right w:val="none" w:sz="6" w:space="0" w:color="auto"/>
            </w:tcBorders>
          </w:tcPr>
          <w:p w14:paraId="7C473878" w14:textId="77777777" w:rsidR="00BD2BC2" w:rsidRPr="001B2A74" w:rsidRDefault="00BD2BC2" w:rsidP="001B2A74">
            <w:pPr>
              <w:pStyle w:val="Default"/>
              <w:spacing w:line="360" w:lineRule="auto"/>
              <w:jc w:val="both"/>
            </w:pPr>
            <w:r w:rsidRPr="001B2A74">
              <w:t xml:space="preserve">16 </w:t>
            </w:r>
          </w:p>
          <w:p w14:paraId="534E4F26" w14:textId="77777777" w:rsidR="00BD2BC2" w:rsidRPr="001B2A74" w:rsidRDefault="00BD2BC2" w:rsidP="001B2A74">
            <w:pPr>
              <w:pStyle w:val="Default"/>
              <w:spacing w:line="360" w:lineRule="auto"/>
              <w:jc w:val="both"/>
            </w:pPr>
            <w:r w:rsidRPr="001B2A74">
              <w:t xml:space="preserve">42 </w:t>
            </w:r>
          </w:p>
          <w:p w14:paraId="7E3F52DF" w14:textId="77777777" w:rsidR="00BD2BC2" w:rsidRPr="001B2A74" w:rsidRDefault="00BD2BC2" w:rsidP="001B2A74">
            <w:pPr>
              <w:pStyle w:val="Default"/>
              <w:spacing w:line="360" w:lineRule="auto"/>
              <w:jc w:val="both"/>
            </w:pPr>
            <w:r w:rsidRPr="001B2A74">
              <w:t xml:space="preserve">4 </w:t>
            </w:r>
          </w:p>
          <w:p w14:paraId="5E5B2EB2" w14:textId="77777777" w:rsidR="00BD2BC2" w:rsidRPr="001B2A74" w:rsidRDefault="00BD2BC2" w:rsidP="001B2A74">
            <w:pPr>
              <w:pStyle w:val="Default"/>
              <w:spacing w:line="360" w:lineRule="auto"/>
              <w:jc w:val="both"/>
            </w:pPr>
            <w:r w:rsidRPr="001B2A74">
              <w:t xml:space="preserve">3 </w:t>
            </w:r>
          </w:p>
          <w:p w14:paraId="6B1B3BE7" w14:textId="77777777" w:rsidR="00BD2BC2" w:rsidRPr="001B2A74" w:rsidRDefault="00BD2BC2" w:rsidP="001B2A74">
            <w:pPr>
              <w:pStyle w:val="Default"/>
              <w:spacing w:line="360" w:lineRule="auto"/>
              <w:jc w:val="both"/>
            </w:pPr>
            <w:r w:rsidRPr="001B2A74">
              <w:t xml:space="preserve">65 </w:t>
            </w:r>
          </w:p>
        </w:tc>
        <w:tc>
          <w:tcPr>
            <w:tcW w:w="2815" w:type="dxa"/>
            <w:tcBorders>
              <w:top w:val="none" w:sz="6" w:space="0" w:color="auto"/>
              <w:left w:val="none" w:sz="6" w:space="0" w:color="auto"/>
              <w:bottom w:val="none" w:sz="6" w:space="0" w:color="auto"/>
            </w:tcBorders>
          </w:tcPr>
          <w:p w14:paraId="0ED5F393" w14:textId="77777777" w:rsidR="00BD2BC2" w:rsidRPr="001B2A74" w:rsidRDefault="00BD2BC2" w:rsidP="001B2A74">
            <w:pPr>
              <w:pStyle w:val="Default"/>
              <w:spacing w:line="360" w:lineRule="auto"/>
              <w:jc w:val="both"/>
            </w:pPr>
            <w:r w:rsidRPr="001B2A74">
              <w:t xml:space="preserve">24,6 </w:t>
            </w:r>
          </w:p>
          <w:p w14:paraId="40EDFC2F" w14:textId="77777777" w:rsidR="00BD2BC2" w:rsidRPr="001B2A74" w:rsidRDefault="00BD2BC2" w:rsidP="001B2A74">
            <w:pPr>
              <w:pStyle w:val="Default"/>
              <w:spacing w:line="360" w:lineRule="auto"/>
              <w:jc w:val="both"/>
            </w:pPr>
            <w:r w:rsidRPr="001B2A74">
              <w:t xml:space="preserve">64,6 </w:t>
            </w:r>
          </w:p>
          <w:p w14:paraId="04F0703E" w14:textId="77777777" w:rsidR="00BD2BC2" w:rsidRPr="001B2A74" w:rsidRDefault="00BD2BC2" w:rsidP="001B2A74">
            <w:pPr>
              <w:pStyle w:val="Default"/>
              <w:spacing w:line="360" w:lineRule="auto"/>
              <w:jc w:val="both"/>
            </w:pPr>
            <w:r w:rsidRPr="001B2A74">
              <w:t xml:space="preserve">6,2 </w:t>
            </w:r>
          </w:p>
          <w:p w14:paraId="170EB3D9" w14:textId="77777777" w:rsidR="00BD2BC2" w:rsidRPr="001B2A74" w:rsidRDefault="00BD2BC2" w:rsidP="001B2A74">
            <w:pPr>
              <w:pStyle w:val="Default"/>
              <w:spacing w:line="360" w:lineRule="auto"/>
              <w:jc w:val="both"/>
            </w:pPr>
            <w:r w:rsidRPr="001B2A74">
              <w:t xml:space="preserve">4,7 </w:t>
            </w:r>
          </w:p>
          <w:p w14:paraId="2A163D96" w14:textId="77777777" w:rsidR="00BD2BC2" w:rsidRPr="001B2A74" w:rsidRDefault="00BD2BC2" w:rsidP="001B2A74">
            <w:pPr>
              <w:pStyle w:val="Default"/>
              <w:spacing w:line="360" w:lineRule="auto"/>
              <w:jc w:val="both"/>
            </w:pPr>
            <w:r w:rsidRPr="001B2A74">
              <w:t xml:space="preserve">100 </w:t>
            </w:r>
          </w:p>
        </w:tc>
      </w:tr>
    </w:tbl>
    <w:p w14:paraId="2F4D2008" w14:textId="77777777" w:rsidR="009F6898" w:rsidRPr="001B2A74" w:rsidRDefault="009F6898" w:rsidP="001B2A74">
      <w:pPr>
        <w:tabs>
          <w:tab w:val="left" w:pos="6480"/>
        </w:tabs>
        <w:spacing w:line="360" w:lineRule="auto"/>
        <w:jc w:val="both"/>
        <w:rPr>
          <w:rFonts w:ascii="Times New Roman" w:hAnsi="Times New Roman" w:cs="Times New Roman"/>
          <w:sz w:val="24"/>
          <w:szCs w:val="24"/>
        </w:rPr>
      </w:pPr>
    </w:p>
    <w:p w14:paraId="0B46175A"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1732FA3F"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1E85B7E3"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23179177"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231C4E7A"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3835C881"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4C354190"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66FFC9FE" w14:textId="77777777" w:rsidR="0082012C" w:rsidRPr="001B2A74" w:rsidRDefault="0082012C" w:rsidP="001B2A74">
      <w:pPr>
        <w:tabs>
          <w:tab w:val="left" w:pos="6480"/>
        </w:tabs>
        <w:spacing w:line="360" w:lineRule="auto"/>
        <w:jc w:val="both"/>
        <w:rPr>
          <w:rFonts w:ascii="Times New Roman" w:hAnsi="Times New Roman" w:cs="Times New Roman"/>
          <w:sz w:val="24"/>
          <w:szCs w:val="24"/>
        </w:rPr>
      </w:pPr>
    </w:p>
    <w:p w14:paraId="50E36DB5" w14:textId="085D4E88" w:rsidR="004758B0" w:rsidRPr="001B2A74" w:rsidRDefault="004758B0" w:rsidP="001B2A74">
      <w:pPr>
        <w:tabs>
          <w:tab w:val="left" w:pos="6480"/>
        </w:tabs>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 xml:space="preserve">Table </w:t>
      </w:r>
      <w:proofErr w:type="gramStart"/>
      <w:r w:rsidRPr="001B2A74">
        <w:rPr>
          <w:rFonts w:ascii="Times New Roman" w:hAnsi="Times New Roman" w:cs="Times New Roman"/>
          <w:sz w:val="24"/>
          <w:szCs w:val="24"/>
        </w:rPr>
        <w:t>II:</w:t>
      </w:r>
      <w:proofErr w:type="gramEnd"/>
      <w:r w:rsidRPr="001B2A74">
        <w:rPr>
          <w:rFonts w:ascii="Times New Roman" w:hAnsi="Times New Roman" w:cs="Times New Roman"/>
          <w:sz w:val="24"/>
          <w:szCs w:val="24"/>
        </w:rPr>
        <w:t xml:space="preserve"> </w:t>
      </w:r>
      <w:r w:rsidR="001B2A74" w:rsidRPr="001B2A74">
        <w:rPr>
          <w:rFonts w:ascii="Times New Roman" w:hAnsi="Times New Roman" w:cs="Times New Roman"/>
          <w:sz w:val="24"/>
          <w:szCs w:val="24"/>
          <w:lang w:val="en"/>
        </w:rPr>
        <w:t>Distribution of children according to urine profile at admission</w:t>
      </w:r>
    </w:p>
    <w:tbl>
      <w:tblPr>
        <w:tblStyle w:val="TableGrid"/>
        <w:tblW w:w="0" w:type="auto"/>
        <w:tblLayout w:type="fixed"/>
        <w:tblLook w:val="04A0" w:firstRow="1" w:lastRow="0" w:firstColumn="1" w:lastColumn="0" w:noHBand="0" w:noVBand="1"/>
      </w:tblPr>
      <w:tblGrid>
        <w:gridCol w:w="1696"/>
        <w:gridCol w:w="1560"/>
        <w:gridCol w:w="1275"/>
        <w:gridCol w:w="1134"/>
        <w:gridCol w:w="829"/>
        <w:gridCol w:w="1269"/>
        <w:gridCol w:w="1253"/>
      </w:tblGrid>
      <w:tr w:rsidR="004758B0" w:rsidRPr="001B2A74" w14:paraId="0E9197C3" w14:textId="77777777" w:rsidTr="00221CE2">
        <w:tc>
          <w:tcPr>
            <w:tcW w:w="4531" w:type="dxa"/>
            <w:gridSpan w:val="3"/>
          </w:tcPr>
          <w:p w14:paraId="3FF4924B" w14:textId="77777777" w:rsidR="004758B0" w:rsidRPr="001B2A74" w:rsidRDefault="004758B0" w:rsidP="001B2A74">
            <w:pPr>
              <w:pStyle w:val="Default"/>
              <w:spacing w:after="175" w:line="360" w:lineRule="auto"/>
              <w:jc w:val="both"/>
            </w:pPr>
            <w:r w:rsidRPr="001B2A74">
              <w:t>Urine tests</w:t>
            </w:r>
          </w:p>
        </w:tc>
        <w:tc>
          <w:tcPr>
            <w:tcW w:w="1963" w:type="dxa"/>
            <w:gridSpan w:val="2"/>
          </w:tcPr>
          <w:p w14:paraId="249D2369" w14:textId="77777777" w:rsidR="004758B0" w:rsidRPr="001B2A74" w:rsidRDefault="004758B0" w:rsidP="001B2A74">
            <w:pPr>
              <w:pStyle w:val="Default"/>
              <w:spacing w:after="175" w:line="360" w:lineRule="auto"/>
              <w:jc w:val="both"/>
            </w:pPr>
            <w:r w:rsidRPr="001B2A74">
              <w:t xml:space="preserve">    </w:t>
            </w:r>
            <w:proofErr w:type="gramStart"/>
            <w:r w:rsidRPr="001B2A74">
              <w:t>number</w:t>
            </w:r>
            <w:proofErr w:type="gramEnd"/>
            <w:r w:rsidRPr="001B2A74">
              <w:t xml:space="preserve"> (n)</w:t>
            </w:r>
          </w:p>
        </w:tc>
        <w:tc>
          <w:tcPr>
            <w:tcW w:w="2522" w:type="dxa"/>
            <w:gridSpan w:val="2"/>
          </w:tcPr>
          <w:p w14:paraId="3B6436A8" w14:textId="77777777" w:rsidR="004758B0" w:rsidRPr="001B2A74" w:rsidRDefault="004758B0" w:rsidP="001B2A74">
            <w:pPr>
              <w:pStyle w:val="Default"/>
              <w:spacing w:after="175" w:line="360" w:lineRule="auto"/>
              <w:jc w:val="both"/>
            </w:pPr>
            <w:r w:rsidRPr="001B2A74">
              <w:t>Percentage (%)</w:t>
            </w:r>
          </w:p>
        </w:tc>
      </w:tr>
      <w:tr w:rsidR="004758B0" w:rsidRPr="001B2A74" w14:paraId="22500100" w14:textId="77777777" w:rsidTr="00221CE2">
        <w:tc>
          <w:tcPr>
            <w:tcW w:w="1696" w:type="dxa"/>
            <w:vMerge w:val="restart"/>
          </w:tcPr>
          <w:p w14:paraId="0277C752" w14:textId="77777777" w:rsidR="004758B0" w:rsidRPr="001B2A74" w:rsidRDefault="004758B0" w:rsidP="001B2A74">
            <w:pPr>
              <w:pStyle w:val="Default"/>
              <w:spacing w:after="175" w:line="360" w:lineRule="auto"/>
              <w:jc w:val="both"/>
            </w:pPr>
          </w:p>
          <w:p w14:paraId="48264019" w14:textId="77777777" w:rsidR="004758B0" w:rsidRPr="001B2A74" w:rsidRDefault="004758B0" w:rsidP="001B2A74">
            <w:pPr>
              <w:spacing w:line="360" w:lineRule="auto"/>
              <w:jc w:val="both"/>
              <w:rPr>
                <w:rFonts w:ascii="Times New Roman" w:hAnsi="Times New Roman" w:cs="Times New Roman"/>
                <w:sz w:val="24"/>
                <w:szCs w:val="24"/>
              </w:rPr>
            </w:pPr>
          </w:p>
          <w:p w14:paraId="7E75D878" w14:textId="77777777" w:rsidR="004758B0" w:rsidRPr="001B2A74" w:rsidRDefault="004758B0" w:rsidP="001B2A74">
            <w:pPr>
              <w:spacing w:line="360" w:lineRule="auto"/>
              <w:jc w:val="both"/>
              <w:rPr>
                <w:rFonts w:ascii="Times New Roman" w:hAnsi="Times New Roman" w:cs="Times New Roman"/>
                <w:color w:val="000000"/>
                <w:sz w:val="24"/>
                <w:szCs w:val="24"/>
              </w:rPr>
            </w:pPr>
          </w:p>
          <w:p w14:paraId="09FE7F30" w14:textId="77777777" w:rsidR="004758B0" w:rsidRPr="001B2A74" w:rsidRDefault="004758B0" w:rsidP="001B2A74">
            <w:pPr>
              <w:spacing w:line="360" w:lineRule="auto"/>
              <w:jc w:val="both"/>
              <w:rPr>
                <w:rFonts w:ascii="Times New Roman" w:hAnsi="Times New Roman" w:cs="Times New Roman"/>
                <w:color w:val="000000"/>
                <w:sz w:val="24"/>
                <w:szCs w:val="24"/>
              </w:rPr>
            </w:pPr>
          </w:p>
          <w:p w14:paraId="03621734" w14:textId="77777777" w:rsidR="004758B0" w:rsidRPr="001B2A74" w:rsidRDefault="004758B0" w:rsidP="001B2A74">
            <w:pPr>
              <w:spacing w:line="360" w:lineRule="auto"/>
              <w:jc w:val="both"/>
              <w:rPr>
                <w:rFonts w:ascii="Times New Roman" w:hAnsi="Times New Roman" w:cs="Times New Roman"/>
                <w:sz w:val="24"/>
                <w:szCs w:val="24"/>
              </w:rPr>
            </w:pPr>
            <w:r w:rsidRPr="001B2A74">
              <w:rPr>
                <w:rFonts w:ascii="Times New Roman" w:hAnsi="Times New Roman" w:cs="Times New Roman"/>
                <w:sz w:val="24"/>
                <w:szCs w:val="24"/>
              </w:rPr>
              <w:t>Urine strip</w:t>
            </w:r>
          </w:p>
        </w:tc>
        <w:tc>
          <w:tcPr>
            <w:tcW w:w="1560" w:type="dxa"/>
            <w:vMerge w:val="restart"/>
          </w:tcPr>
          <w:p w14:paraId="6520D34C" w14:textId="77777777" w:rsidR="004758B0" w:rsidRPr="001B2A74" w:rsidRDefault="004758B0" w:rsidP="001B2A74">
            <w:pPr>
              <w:pStyle w:val="Default"/>
              <w:spacing w:after="175" w:line="360" w:lineRule="auto"/>
              <w:jc w:val="both"/>
            </w:pPr>
          </w:p>
          <w:p w14:paraId="3756E74C" w14:textId="77777777" w:rsidR="004758B0" w:rsidRPr="001B2A74" w:rsidRDefault="004758B0" w:rsidP="001B2A74">
            <w:pPr>
              <w:pStyle w:val="Default"/>
              <w:spacing w:after="175" w:line="360" w:lineRule="auto"/>
              <w:jc w:val="both"/>
            </w:pPr>
            <w:r w:rsidRPr="001B2A74">
              <w:t>Leucocytes</w:t>
            </w:r>
          </w:p>
        </w:tc>
        <w:tc>
          <w:tcPr>
            <w:tcW w:w="1275" w:type="dxa"/>
          </w:tcPr>
          <w:p w14:paraId="1BF41C8A" w14:textId="77777777" w:rsidR="004758B0" w:rsidRPr="001B2A74" w:rsidRDefault="00561721" w:rsidP="001B2A74">
            <w:pPr>
              <w:pStyle w:val="Default"/>
              <w:spacing w:after="175" w:line="360" w:lineRule="auto"/>
              <w:jc w:val="both"/>
            </w:pPr>
            <w:r w:rsidRPr="001B2A74">
              <w:t>Positive</w:t>
            </w:r>
          </w:p>
        </w:tc>
        <w:tc>
          <w:tcPr>
            <w:tcW w:w="1134" w:type="dxa"/>
          </w:tcPr>
          <w:p w14:paraId="7EF78A02" w14:textId="7BC96BA8" w:rsidR="004758B0" w:rsidRPr="001B2A74" w:rsidRDefault="00503535" w:rsidP="001B2A74">
            <w:pPr>
              <w:pStyle w:val="Default"/>
              <w:spacing w:after="175" w:line="360" w:lineRule="auto"/>
              <w:jc w:val="both"/>
            </w:pPr>
            <w:r w:rsidRPr="001B2A74">
              <w:t>2</w:t>
            </w:r>
            <w:r w:rsidR="00302E9F" w:rsidRPr="001B2A74">
              <w:t>3</w:t>
            </w:r>
          </w:p>
        </w:tc>
        <w:tc>
          <w:tcPr>
            <w:tcW w:w="829" w:type="dxa"/>
            <w:vMerge w:val="restart"/>
          </w:tcPr>
          <w:p w14:paraId="7976718C" w14:textId="77777777" w:rsidR="004758B0" w:rsidRPr="001B2A74" w:rsidRDefault="004758B0" w:rsidP="001B2A74">
            <w:pPr>
              <w:pStyle w:val="Default"/>
              <w:spacing w:after="175" w:line="360" w:lineRule="auto"/>
              <w:jc w:val="both"/>
            </w:pPr>
            <w:r w:rsidRPr="001B2A74">
              <w:t>57</w:t>
            </w:r>
          </w:p>
        </w:tc>
        <w:tc>
          <w:tcPr>
            <w:tcW w:w="1269" w:type="dxa"/>
          </w:tcPr>
          <w:p w14:paraId="4FEF0DC1" w14:textId="7933F54D" w:rsidR="004758B0" w:rsidRPr="001B2A74" w:rsidRDefault="00302E9F" w:rsidP="001B2A74">
            <w:pPr>
              <w:pStyle w:val="Default"/>
              <w:spacing w:after="175" w:line="360" w:lineRule="auto"/>
              <w:jc w:val="both"/>
            </w:pPr>
            <w:r w:rsidRPr="001B2A74">
              <w:t>40,3</w:t>
            </w:r>
          </w:p>
        </w:tc>
        <w:tc>
          <w:tcPr>
            <w:tcW w:w="1253" w:type="dxa"/>
            <w:vMerge w:val="restart"/>
          </w:tcPr>
          <w:p w14:paraId="20EF95BC" w14:textId="77777777" w:rsidR="004758B0" w:rsidRPr="001B2A74" w:rsidRDefault="004758B0" w:rsidP="001B2A74">
            <w:pPr>
              <w:pStyle w:val="Default"/>
              <w:spacing w:after="175" w:line="360" w:lineRule="auto"/>
              <w:jc w:val="both"/>
            </w:pPr>
            <w:r w:rsidRPr="001B2A74">
              <w:t>100</w:t>
            </w:r>
          </w:p>
        </w:tc>
      </w:tr>
      <w:tr w:rsidR="004758B0" w:rsidRPr="001B2A74" w14:paraId="7FCE0CA2" w14:textId="77777777" w:rsidTr="00221CE2">
        <w:tc>
          <w:tcPr>
            <w:tcW w:w="1696" w:type="dxa"/>
            <w:vMerge/>
          </w:tcPr>
          <w:p w14:paraId="72431D36" w14:textId="77777777" w:rsidR="004758B0" w:rsidRPr="001B2A74" w:rsidRDefault="004758B0" w:rsidP="001B2A74">
            <w:pPr>
              <w:pStyle w:val="Default"/>
              <w:spacing w:after="175" w:line="360" w:lineRule="auto"/>
              <w:jc w:val="both"/>
            </w:pPr>
          </w:p>
        </w:tc>
        <w:tc>
          <w:tcPr>
            <w:tcW w:w="1560" w:type="dxa"/>
            <w:vMerge/>
          </w:tcPr>
          <w:p w14:paraId="13C49403" w14:textId="77777777" w:rsidR="004758B0" w:rsidRPr="001B2A74" w:rsidRDefault="004758B0" w:rsidP="001B2A74">
            <w:pPr>
              <w:pStyle w:val="Default"/>
              <w:spacing w:after="175" w:line="360" w:lineRule="auto"/>
              <w:jc w:val="both"/>
            </w:pPr>
          </w:p>
        </w:tc>
        <w:tc>
          <w:tcPr>
            <w:tcW w:w="1275" w:type="dxa"/>
          </w:tcPr>
          <w:p w14:paraId="776EE013" w14:textId="77777777" w:rsidR="004758B0" w:rsidRPr="001B2A74" w:rsidRDefault="00561721" w:rsidP="001B2A74">
            <w:pPr>
              <w:pStyle w:val="Default"/>
              <w:spacing w:after="175" w:line="360" w:lineRule="auto"/>
              <w:jc w:val="both"/>
            </w:pPr>
            <w:r w:rsidRPr="001B2A74">
              <w:t>Negative</w:t>
            </w:r>
          </w:p>
        </w:tc>
        <w:tc>
          <w:tcPr>
            <w:tcW w:w="1134" w:type="dxa"/>
          </w:tcPr>
          <w:p w14:paraId="73972073" w14:textId="5956931E" w:rsidR="004758B0" w:rsidRPr="001B2A74" w:rsidRDefault="00302E9F" w:rsidP="001B2A74">
            <w:pPr>
              <w:pStyle w:val="Default"/>
              <w:spacing w:after="175" w:line="360" w:lineRule="auto"/>
              <w:jc w:val="both"/>
            </w:pPr>
            <w:r w:rsidRPr="001B2A74">
              <w:t>34</w:t>
            </w:r>
          </w:p>
        </w:tc>
        <w:tc>
          <w:tcPr>
            <w:tcW w:w="829" w:type="dxa"/>
            <w:vMerge/>
          </w:tcPr>
          <w:p w14:paraId="07C4DD2F" w14:textId="77777777" w:rsidR="004758B0" w:rsidRPr="001B2A74" w:rsidRDefault="004758B0" w:rsidP="001B2A74">
            <w:pPr>
              <w:pStyle w:val="Default"/>
              <w:spacing w:after="175" w:line="360" w:lineRule="auto"/>
              <w:jc w:val="both"/>
            </w:pPr>
          </w:p>
        </w:tc>
        <w:tc>
          <w:tcPr>
            <w:tcW w:w="1269" w:type="dxa"/>
          </w:tcPr>
          <w:p w14:paraId="2665FBDD" w14:textId="6956C162" w:rsidR="004758B0" w:rsidRPr="001B2A74" w:rsidRDefault="00302E9F" w:rsidP="001B2A74">
            <w:pPr>
              <w:pStyle w:val="Default"/>
              <w:spacing w:after="175" w:line="360" w:lineRule="auto"/>
              <w:jc w:val="both"/>
            </w:pPr>
            <w:r w:rsidRPr="001B2A74">
              <w:t>59,6</w:t>
            </w:r>
          </w:p>
        </w:tc>
        <w:tc>
          <w:tcPr>
            <w:tcW w:w="1253" w:type="dxa"/>
            <w:vMerge/>
          </w:tcPr>
          <w:p w14:paraId="317C1212" w14:textId="77777777" w:rsidR="004758B0" w:rsidRPr="001B2A74" w:rsidRDefault="004758B0" w:rsidP="001B2A74">
            <w:pPr>
              <w:pStyle w:val="Default"/>
              <w:spacing w:after="175" w:line="360" w:lineRule="auto"/>
              <w:jc w:val="both"/>
            </w:pPr>
          </w:p>
        </w:tc>
      </w:tr>
      <w:tr w:rsidR="004758B0" w:rsidRPr="001B2A74" w14:paraId="26228A0D" w14:textId="77777777" w:rsidTr="00221CE2">
        <w:tc>
          <w:tcPr>
            <w:tcW w:w="1696" w:type="dxa"/>
            <w:vMerge/>
          </w:tcPr>
          <w:p w14:paraId="1EC7A9BA" w14:textId="77777777" w:rsidR="004758B0" w:rsidRPr="001B2A74" w:rsidRDefault="004758B0" w:rsidP="001B2A74">
            <w:pPr>
              <w:pStyle w:val="Default"/>
              <w:spacing w:after="175" w:line="360" w:lineRule="auto"/>
              <w:jc w:val="both"/>
            </w:pPr>
          </w:p>
        </w:tc>
        <w:tc>
          <w:tcPr>
            <w:tcW w:w="1560" w:type="dxa"/>
            <w:vMerge w:val="restart"/>
          </w:tcPr>
          <w:p w14:paraId="6CC6F63F" w14:textId="77777777" w:rsidR="004758B0" w:rsidRPr="001B2A74" w:rsidRDefault="004758B0" w:rsidP="001B2A74">
            <w:pPr>
              <w:pStyle w:val="Default"/>
              <w:spacing w:after="175" w:line="360" w:lineRule="auto"/>
              <w:jc w:val="both"/>
            </w:pPr>
          </w:p>
          <w:p w14:paraId="27E1B923" w14:textId="77777777" w:rsidR="004758B0" w:rsidRPr="001B2A74" w:rsidRDefault="004758B0" w:rsidP="001B2A74">
            <w:pPr>
              <w:pStyle w:val="Default"/>
              <w:spacing w:after="175" w:line="360" w:lineRule="auto"/>
              <w:jc w:val="both"/>
            </w:pPr>
            <w:r w:rsidRPr="001B2A74">
              <w:t>Nitrites</w:t>
            </w:r>
          </w:p>
        </w:tc>
        <w:tc>
          <w:tcPr>
            <w:tcW w:w="1275" w:type="dxa"/>
          </w:tcPr>
          <w:p w14:paraId="19883D13" w14:textId="77777777" w:rsidR="004758B0" w:rsidRPr="001B2A74" w:rsidRDefault="004758B0" w:rsidP="001B2A74">
            <w:pPr>
              <w:pStyle w:val="Default"/>
              <w:spacing w:after="175" w:line="360" w:lineRule="auto"/>
              <w:jc w:val="both"/>
            </w:pPr>
            <w:r w:rsidRPr="001B2A74">
              <w:t>Positive</w:t>
            </w:r>
          </w:p>
        </w:tc>
        <w:tc>
          <w:tcPr>
            <w:tcW w:w="1134" w:type="dxa"/>
          </w:tcPr>
          <w:p w14:paraId="1A9BAEB6" w14:textId="4045C47D" w:rsidR="004758B0" w:rsidRPr="001B2A74" w:rsidRDefault="00302E9F" w:rsidP="001B2A74">
            <w:pPr>
              <w:pStyle w:val="Default"/>
              <w:spacing w:after="175" w:line="360" w:lineRule="auto"/>
              <w:jc w:val="both"/>
            </w:pPr>
            <w:r w:rsidRPr="001B2A74">
              <w:t>19</w:t>
            </w:r>
          </w:p>
        </w:tc>
        <w:tc>
          <w:tcPr>
            <w:tcW w:w="829" w:type="dxa"/>
            <w:vMerge w:val="restart"/>
          </w:tcPr>
          <w:p w14:paraId="618A476B" w14:textId="77777777" w:rsidR="004758B0" w:rsidRPr="001B2A74" w:rsidRDefault="004758B0" w:rsidP="001B2A74">
            <w:pPr>
              <w:pStyle w:val="Default"/>
              <w:spacing w:after="175" w:line="360" w:lineRule="auto"/>
              <w:jc w:val="both"/>
            </w:pPr>
            <w:r w:rsidRPr="001B2A74">
              <w:t>57</w:t>
            </w:r>
          </w:p>
        </w:tc>
        <w:tc>
          <w:tcPr>
            <w:tcW w:w="1269" w:type="dxa"/>
          </w:tcPr>
          <w:p w14:paraId="10E2C2C5" w14:textId="4F8FBADD" w:rsidR="004758B0" w:rsidRPr="001B2A74" w:rsidRDefault="00302E9F" w:rsidP="001B2A74">
            <w:pPr>
              <w:pStyle w:val="Default"/>
              <w:spacing w:after="175" w:line="360" w:lineRule="auto"/>
              <w:jc w:val="both"/>
            </w:pPr>
            <w:r w:rsidRPr="001B2A74">
              <w:t>33,33</w:t>
            </w:r>
          </w:p>
        </w:tc>
        <w:tc>
          <w:tcPr>
            <w:tcW w:w="1253" w:type="dxa"/>
            <w:vMerge w:val="restart"/>
          </w:tcPr>
          <w:p w14:paraId="6656AC72" w14:textId="77777777" w:rsidR="004758B0" w:rsidRPr="001B2A74" w:rsidRDefault="004758B0" w:rsidP="001B2A74">
            <w:pPr>
              <w:pStyle w:val="Default"/>
              <w:spacing w:after="175" w:line="360" w:lineRule="auto"/>
              <w:jc w:val="both"/>
            </w:pPr>
            <w:r w:rsidRPr="001B2A74">
              <w:t>100</w:t>
            </w:r>
          </w:p>
        </w:tc>
      </w:tr>
      <w:tr w:rsidR="004758B0" w:rsidRPr="001B2A74" w14:paraId="39ECFF49" w14:textId="77777777" w:rsidTr="00221CE2">
        <w:tc>
          <w:tcPr>
            <w:tcW w:w="1696" w:type="dxa"/>
            <w:vMerge/>
          </w:tcPr>
          <w:p w14:paraId="1616D923" w14:textId="77777777" w:rsidR="004758B0" w:rsidRPr="001B2A74" w:rsidRDefault="004758B0" w:rsidP="001B2A74">
            <w:pPr>
              <w:pStyle w:val="Default"/>
              <w:spacing w:after="175" w:line="360" w:lineRule="auto"/>
              <w:jc w:val="both"/>
            </w:pPr>
          </w:p>
        </w:tc>
        <w:tc>
          <w:tcPr>
            <w:tcW w:w="1560" w:type="dxa"/>
            <w:vMerge/>
          </w:tcPr>
          <w:p w14:paraId="0594C0FA" w14:textId="77777777" w:rsidR="004758B0" w:rsidRPr="001B2A74" w:rsidRDefault="004758B0" w:rsidP="001B2A74">
            <w:pPr>
              <w:pStyle w:val="Default"/>
              <w:spacing w:after="175" w:line="360" w:lineRule="auto"/>
              <w:jc w:val="both"/>
            </w:pPr>
          </w:p>
        </w:tc>
        <w:tc>
          <w:tcPr>
            <w:tcW w:w="1275" w:type="dxa"/>
          </w:tcPr>
          <w:p w14:paraId="36BBDF35" w14:textId="77777777" w:rsidR="004758B0" w:rsidRPr="001B2A74" w:rsidRDefault="00561721" w:rsidP="001B2A74">
            <w:pPr>
              <w:pStyle w:val="Default"/>
              <w:spacing w:after="175" w:line="360" w:lineRule="auto"/>
              <w:jc w:val="both"/>
            </w:pPr>
            <w:r w:rsidRPr="001B2A74">
              <w:t>Ne</w:t>
            </w:r>
            <w:r w:rsidR="004758B0" w:rsidRPr="001B2A74">
              <w:t>gative</w:t>
            </w:r>
          </w:p>
        </w:tc>
        <w:tc>
          <w:tcPr>
            <w:tcW w:w="1134" w:type="dxa"/>
          </w:tcPr>
          <w:p w14:paraId="606ECA6B" w14:textId="580086C0" w:rsidR="004758B0" w:rsidRPr="001B2A74" w:rsidRDefault="00302E9F" w:rsidP="001B2A74">
            <w:pPr>
              <w:pStyle w:val="Default"/>
              <w:spacing w:after="175" w:line="360" w:lineRule="auto"/>
              <w:jc w:val="both"/>
            </w:pPr>
            <w:r w:rsidRPr="001B2A74">
              <w:t>3</w:t>
            </w:r>
            <w:r w:rsidR="00116BB7" w:rsidRPr="001B2A74">
              <w:t>8</w:t>
            </w:r>
          </w:p>
        </w:tc>
        <w:tc>
          <w:tcPr>
            <w:tcW w:w="829" w:type="dxa"/>
            <w:vMerge/>
          </w:tcPr>
          <w:p w14:paraId="155866BB" w14:textId="77777777" w:rsidR="004758B0" w:rsidRPr="001B2A74" w:rsidRDefault="004758B0" w:rsidP="001B2A74">
            <w:pPr>
              <w:pStyle w:val="Default"/>
              <w:spacing w:after="175" w:line="360" w:lineRule="auto"/>
              <w:jc w:val="both"/>
            </w:pPr>
          </w:p>
        </w:tc>
        <w:tc>
          <w:tcPr>
            <w:tcW w:w="1269" w:type="dxa"/>
          </w:tcPr>
          <w:p w14:paraId="7B69D112" w14:textId="273E651E" w:rsidR="004758B0" w:rsidRPr="001B2A74" w:rsidRDefault="00302E9F" w:rsidP="001B2A74">
            <w:pPr>
              <w:pStyle w:val="Default"/>
              <w:spacing w:after="175" w:line="360" w:lineRule="auto"/>
              <w:jc w:val="both"/>
            </w:pPr>
            <w:r w:rsidRPr="001B2A74">
              <w:t>66,66</w:t>
            </w:r>
          </w:p>
        </w:tc>
        <w:tc>
          <w:tcPr>
            <w:tcW w:w="1253" w:type="dxa"/>
            <w:vMerge/>
          </w:tcPr>
          <w:p w14:paraId="2586A823" w14:textId="77777777" w:rsidR="004758B0" w:rsidRPr="001B2A74" w:rsidRDefault="004758B0" w:rsidP="001B2A74">
            <w:pPr>
              <w:pStyle w:val="Default"/>
              <w:spacing w:after="175" w:line="360" w:lineRule="auto"/>
              <w:jc w:val="both"/>
            </w:pPr>
          </w:p>
        </w:tc>
      </w:tr>
      <w:tr w:rsidR="004758B0" w:rsidRPr="001B2A74" w14:paraId="23763997" w14:textId="77777777" w:rsidTr="00221CE2">
        <w:tc>
          <w:tcPr>
            <w:tcW w:w="1696" w:type="dxa"/>
            <w:vMerge/>
          </w:tcPr>
          <w:p w14:paraId="540A72AD" w14:textId="77777777" w:rsidR="004758B0" w:rsidRPr="001B2A74" w:rsidRDefault="004758B0" w:rsidP="001B2A74">
            <w:pPr>
              <w:pStyle w:val="Default"/>
              <w:spacing w:after="175" w:line="360" w:lineRule="auto"/>
              <w:jc w:val="both"/>
            </w:pPr>
          </w:p>
        </w:tc>
        <w:tc>
          <w:tcPr>
            <w:tcW w:w="1560" w:type="dxa"/>
          </w:tcPr>
          <w:p w14:paraId="2FDE4AEA" w14:textId="77777777" w:rsidR="004758B0" w:rsidRPr="001B2A74" w:rsidRDefault="00561721" w:rsidP="001B2A74">
            <w:pPr>
              <w:pStyle w:val="Default"/>
              <w:spacing w:after="175" w:line="360" w:lineRule="auto"/>
              <w:jc w:val="both"/>
            </w:pPr>
            <w:r w:rsidRPr="001B2A74">
              <w:t>Proteins</w:t>
            </w:r>
          </w:p>
        </w:tc>
        <w:tc>
          <w:tcPr>
            <w:tcW w:w="1275" w:type="dxa"/>
          </w:tcPr>
          <w:p w14:paraId="7DECB458" w14:textId="77777777" w:rsidR="004758B0" w:rsidRPr="001B2A74" w:rsidRDefault="004758B0" w:rsidP="001B2A74">
            <w:pPr>
              <w:pStyle w:val="Default"/>
              <w:spacing w:after="175" w:line="360" w:lineRule="auto"/>
              <w:jc w:val="both"/>
            </w:pPr>
            <w:r w:rsidRPr="001B2A74">
              <w:t>Positive</w:t>
            </w:r>
          </w:p>
        </w:tc>
        <w:tc>
          <w:tcPr>
            <w:tcW w:w="1134" w:type="dxa"/>
          </w:tcPr>
          <w:p w14:paraId="7CCF7CCA" w14:textId="77777777" w:rsidR="004758B0" w:rsidRPr="001B2A74" w:rsidRDefault="004758B0" w:rsidP="001B2A74">
            <w:pPr>
              <w:pStyle w:val="Default"/>
              <w:spacing w:after="175" w:line="360" w:lineRule="auto"/>
              <w:jc w:val="both"/>
            </w:pPr>
            <w:r w:rsidRPr="001B2A74">
              <w:t>56</w:t>
            </w:r>
          </w:p>
        </w:tc>
        <w:tc>
          <w:tcPr>
            <w:tcW w:w="829" w:type="dxa"/>
          </w:tcPr>
          <w:p w14:paraId="3EF35615" w14:textId="77777777" w:rsidR="004758B0" w:rsidRPr="001B2A74" w:rsidRDefault="004758B0" w:rsidP="001B2A74">
            <w:pPr>
              <w:pStyle w:val="Default"/>
              <w:spacing w:after="175" w:line="360" w:lineRule="auto"/>
              <w:jc w:val="both"/>
            </w:pPr>
            <w:r w:rsidRPr="001B2A74">
              <w:t>56</w:t>
            </w:r>
          </w:p>
        </w:tc>
        <w:tc>
          <w:tcPr>
            <w:tcW w:w="1269" w:type="dxa"/>
          </w:tcPr>
          <w:p w14:paraId="183A317B" w14:textId="77777777" w:rsidR="004758B0" w:rsidRPr="001B2A74" w:rsidRDefault="004758B0" w:rsidP="001B2A74">
            <w:pPr>
              <w:pStyle w:val="Default"/>
              <w:spacing w:after="175" w:line="360" w:lineRule="auto"/>
              <w:jc w:val="both"/>
            </w:pPr>
            <w:r w:rsidRPr="001B2A74">
              <w:t>100</w:t>
            </w:r>
          </w:p>
        </w:tc>
        <w:tc>
          <w:tcPr>
            <w:tcW w:w="1253" w:type="dxa"/>
          </w:tcPr>
          <w:p w14:paraId="0B890AF6" w14:textId="77777777" w:rsidR="004758B0" w:rsidRPr="001B2A74" w:rsidRDefault="004758B0" w:rsidP="001B2A74">
            <w:pPr>
              <w:pStyle w:val="Default"/>
              <w:spacing w:after="175" w:line="360" w:lineRule="auto"/>
              <w:jc w:val="both"/>
            </w:pPr>
            <w:r w:rsidRPr="001B2A74">
              <w:t>100</w:t>
            </w:r>
          </w:p>
        </w:tc>
      </w:tr>
      <w:tr w:rsidR="004758B0" w:rsidRPr="001B2A74" w14:paraId="31990AAD" w14:textId="77777777" w:rsidTr="00221CE2">
        <w:tc>
          <w:tcPr>
            <w:tcW w:w="1696" w:type="dxa"/>
            <w:vMerge/>
          </w:tcPr>
          <w:p w14:paraId="098C0E81" w14:textId="77777777" w:rsidR="004758B0" w:rsidRPr="001B2A74" w:rsidRDefault="004758B0" w:rsidP="001B2A74">
            <w:pPr>
              <w:pStyle w:val="Default"/>
              <w:spacing w:after="175" w:line="360" w:lineRule="auto"/>
              <w:jc w:val="both"/>
            </w:pPr>
          </w:p>
        </w:tc>
        <w:tc>
          <w:tcPr>
            <w:tcW w:w="1560" w:type="dxa"/>
            <w:vMerge w:val="restart"/>
          </w:tcPr>
          <w:p w14:paraId="5D152AA0" w14:textId="77777777" w:rsidR="004758B0" w:rsidRPr="001B2A74" w:rsidRDefault="004758B0" w:rsidP="001B2A74">
            <w:pPr>
              <w:pStyle w:val="Default"/>
              <w:spacing w:after="175" w:line="360" w:lineRule="auto"/>
              <w:jc w:val="both"/>
            </w:pPr>
          </w:p>
          <w:p w14:paraId="10112C12" w14:textId="77777777" w:rsidR="004758B0" w:rsidRPr="001B2A74" w:rsidRDefault="00561721" w:rsidP="001B2A74">
            <w:pPr>
              <w:pStyle w:val="Default"/>
              <w:spacing w:after="175" w:line="360" w:lineRule="auto"/>
              <w:jc w:val="both"/>
            </w:pPr>
            <w:r w:rsidRPr="001B2A74">
              <w:t>Red cells</w:t>
            </w:r>
          </w:p>
        </w:tc>
        <w:tc>
          <w:tcPr>
            <w:tcW w:w="1275" w:type="dxa"/>
          </w:tcPr>
          <w:p w14:paraId="7DD4703F" w14:textId="77777777" w:rsidR="004758B0" w:rsidRPr="001B2A74" w:rsidRDefault="00561721" w:rsidP="001B2A74">
            <w:pPr>
              <w:pStyle w:val="Default"/>
              <w:spacing w:after="175" w:line="360" w:lineRule="auto"/>
              <w:jc w:val="both"/>
            </w:pPr>
            <w:r w:rsidRPr="001B2A74">
              <w:t>None</w:t>
            </w:r>
          </w:p>
        </w:tc>
        <w:tc>
          <w:tcPr>
            <w:tcW w:w="1134" w:type="dxa"/>
          </w:tcPr>
          <w:p w14:paraId="59E32C8D" w14:textId="77777777" w:rsidR="004758B0" w:rsidRPr="001B2A74" w:rsidRDefault="004758B0" w:rsidP="001B2A74">
            <w:pPr>
              <w:pStyle w:val="Default"/>
              <w:spacing w:after="175" w:line="360" w:lineRule="auto"/>
              <w:jc w:val="both"/>
            </w:pPr>
            <w:r w:rsidRPr="001B2A74">
              <w:t>45</w:t>
            </w:r>
          </w:p>
        </w:tc>
        <w:tc>
          <w:tcPr>
            <w:tcW w:w="829" w:type="dxa"/>
            <w:vMerge w:val="restart"/>
          </w:tcPr>
          <w:p w14:paraId="7B310D3D" w14:textId="77777777" w:rsidR="004758B0" w:rsidRPr="001B2A74" w:rsidRDefault="004758B0" w:rsidP="001B2A74">
            <w:pPr>
              <w:pStyle w:val="Default"/>
              <w:spacing w:after="175" w:line="360" w:lineRule="auto"/>
              <w:jc w:val="both"/>
            </w:pPr>
            <w:r w:rsidRPr="001B2A74">
              <w:t>57</w:t>
            </w:r>
          </w:p>
        </w:tc>
        <w:tc>
          <w:tcPr>
            <w:tcW w:w="1269" w:type="dxa"/>
          </w:tcPr>
          <w:p w14:paraId="23D5CC35" w14:textId="77777777" w:rsidR="004758B0" w:rsidRPr="001B2A74" w:rsidRDefault="004758B0" w:rsidP="001B2A74">
            <w:pPr>
              <w:pStyle w:val="Default"/>
              <w:spacing w:after="175" w:line="360" w:lineRule="auto"/>
              <w:jc w:val="both"/>
            </w:pPr>
            <w:r w:rsidRPr="001B2A74">
              <w:t>79</w:t>
            </w:r>
          </w:p>
        </w:tc>
        <w:tc>
          <w:tcPr>
            <w:tcW w:w="1253" w:type="dxa"/>
            <w:vMerge w:val="restart"/>
          </w:tcPr>
          <w:p w14:paraId="5C07C839" w14:textId="77777777" w:rsidR="004758B0" w:rsidRPr="001B2A74" w:rsidRDefault="004758B0" w:rsidP="001B2A74">
            <w:pPr>
              <w:pStyle w:val="Default"/>
              <w:spacing w:after="175" w:line="360" w:lineRule="auto"/>
              <w:jc w:val="both"/>
            </w:pPr>
            <w:r w:rsidRPr="001B2A74">
              <w:t>100</w:t>
            </w:r>
          </w:p>
        </w:tc>
      </w:tr>
      <w:tr w:rsidR="004758B0" w:rsidRPr="001B2A74" w14:paraId="3813F802" w14:textId="77777777" w:rsidTr="00221CE2">
        <w:trPr>
          <w:trHeight w:val="550"/>
        </w:trPr>
        <w:tc>
          <w:tcPr>
            <w:tcW w:w="1696" w:type="dxa"/>
            <w:vMerge/>
          </w:tcPr>
          <w:p w14:paraId="573B4BC3" w14:textId="77777777" w:rsidR="004758B0" w:rsidRPr="001B2A74" w:rsidRDefault="004758B0" w:rsidP="001B2A74">
            <w:pPr>
              <w:pStyle w:val="Default"/>
              <w:spacing w:after="175" w:line="360" w:lineRule="auto"/>
              <w:jc w:val="both"/>
            </w:pPr>
          </w:p>
        </w:tc>
        <w:tc>
          <w:tcPr>
            <w:tcW w:w="1560" w:type="dxa"/>
            <w:vMerge/>
          </w:tcPr>
          <w:p w14:paraId="18D66B88" w14:textId="77777777" w:rsidR="004758B0" w:rsidRPr="001B2A74" w:rsidRDefault="004758B0" w:rsidP="001B2A74">
            <w:pPr>
              <w:pStyle w:val="Default"/>
              <w:spacing w:after="175" w:line="360" w:lineRule="auto"/>
              <w:jc w:val="both"/>
            </w:pPr>
          </w:p>
        </w:tc>
        <w:tc>
          <w:tcPr>
            <w:tcW w:w="1275" w:type="dxa"/>
          </w:tcPr>
          <w:p w14:paraId="74E80543" w14:textId="77777777" w:rsidR="004758B0" w:rsidRPr="001B2A74" w:rsidRDefault="004758B0" w:rsidP="001B2A74">
            <w:pPr>
              <w:pStyle w:val="Default"/>
              <w:spacing w:after="175" w:line="360" w:lineRule="auto"/>
              <w:jc w:val="both"/>
            </w:pPr>
            <w:r w:rsidRPr="001B2A74">
              <w:t>Positive</w:t>
            </w:r>
          </w:p>
        </w:tc>
        <w:tc>
          <w:tcPr>
            <w:tcW w:w="1134" w:type="dxa"/>
          </w:tcPr>
          <w:p w14:paraId="041ED8C6" w14:textId="77777777" w:rsidR="004758B0" w:rsidRPr="001B2A74" w:rsidRDefault="004758B0" w:rsidP="001B2A74">
            <w:pPr>
              <w:pStyle w:val="Default"/>
              <w:spacing w:after="175" w:line="360" w:lineRule="auto"/>
              <w:jc w:val="both"/>
            </w:pPr>
            <w:r w:rsidRPr="001B2A74">
              <w:t>12</w:t>
            </w:r>
          </w:p>
        </w:tc>
        <w:tc>
          <w:tcPr>
            <w:tcW w:w="829" w:type="dxa"/>
            <w:vMerge/>
          </w:tcPr>
          <w:p w14:paraId="2E6EDA1B" w14:textId="77777777" w:rsidR="004758B0" w:rsidRPr="001B2A74" w:rsidRDefault="004758B0" w:rsidP="001B2A74">
            <w:pPr>
              <w:pStyle w:val="Default"/>
              <w:spacing w:after="175" w:line="360" w:lineRule="auto"/>
              <w:jc w:val="both"/>
            </w:pPr>
          </w:p>
        </w:tc>
        <w:tc>
          <w:tcPr>
            <w:tcW w:w="1269" w:type="dxa"/>
          </w:tcPr>
          <w:p w14:paraId="6DB1FDCB" w14:textId="77777777" w:rsidR="004758B0" w:rsidRPr="001B2A74" w:rsidRDefault="004758B0" w:rsidP="001B2A74">
            <w:pPr>
              <w:pStyle w:val="Default"/>
              <w:spacing w:after="175" w:line="360" w:lineRule="auto"/>
              <w:jc w:val="both"/>
            </w:pPr>
            <w:r w:rsidRPr="001B2A74">
              <w:t>21</w:t>
            </w:r>
          </w:p>
        </w:tc>
        <w:tc>
          <w:tcPr>
            <w:tcW w:w="1253" w:type="dxa"/>
            <w:vMerge/>
          </w:tcPr>
          <w:p w14:paraId="60625998" w14:textId="77777777" w:rsidR="004758B0" w:rsidRPr="001B2A74" w:rsidRDefault="004758B0" w:rsidP="001B2A74">
            <w:pPr>
              <w:pStyle w:val="Default"/>
              <w:spacing w:after="175" w:line="360" w:lineRule="auto"/>
              <w:jc w:val="both"/>
            </w:pPr>
          </w:p>
        </w:tc>
      </w:tr>
      <w:tr w:rsidR="004758B0" w:rsidRPr="001B2A74" w14:paraId="2841C582" w14:textId="77777777" w:rsidTr="00221CE2">
        <w:tc>
          <w:tcPr>
            <w:tcW w:w="3256" w:type="dxa"/>
            <w:gridSpan w:val="2"/>
            <w:vMerge w:val="restart"/>
          </w:tcPr>
          <w:p w14:paraId="711E2BC2" w14:textId="77777777" w:rsidR="004758B0" w:rsidRPr="001B2A74" w:rsidRDefault="00561721" w:rsidP="001B2A74">
            <w:pPr>
              <w:pStyle w:val="Default"/>
              <w:spacing w:after="175" w:line="360" w:lineRule="auto"/>
              <w:jc w:val="both"/>
            </w:pPr>
            <w:proofErr w:type="gramStart"/>
            <w:r w:rsidRPr="001B2A74">
              <w:t>cytobacteriological</w:t>
            </w:r>
            <w:proofErr w:type="gramEnd"/>
            <w:r w:rsidRPr="001B2A74">
              <w:t xml:space="preserve"> examination of urine</w:t>
            </w:r>
          </w:p>
          <w:p w14:paraId="2D8192CF" w14:textId="77777777" w:rsidR="004758B0" w:rsidRPr="001B2A74" w:rsidRDefault="004758B0" w:rsidP="001B2A74">
            <w:pPr>
              <w:pStyle w:val="Default"/>
              <w:spacing w:after="175" w:line="360" w:lineRule="auto"/>
              <w:jc w:val="both"/>
            </w:pPr>
          </w:p>
        </w:tc>
        <w:tc>
          <w:tcPr>
            <w:tcW w:w="1275" w:type="dxa"/>
          </w:tcPr>
          <w:p w14:paraId="5EE9E73D" w14:textId="77777777" w:rsidR="004758B0" w:rsidRPr="001B2A74" w:rsidRDefault="00561721" w:rsidP="001B2A74">
            <w:pPr>
              <w:pStyle w:val="Default"/>
              <w:spacing w:after="175" w:line="360" w:lineRule="auto"/>
              <w:jc w:val="both"/>
            </w:pPr>
            <w:r w:rsidRPr="001B2A74">
              <w:t>Positive</w:t>
            </w:r>
          </w:p>
        </w:tc>
        <w:tc>
          <w:tcPr>
            <w:tcW w:w="1134" w:type="dxa"/>
          </w:tcPr>
          <w:p w14:paraId="4E58F968" w14:textId="3E0ED51A" w:rsidR="004758B0" w:rsidRPr="001B2A74" w:rsidRDefault="00302E9F" w:rsidP="001B2A74">
            <w:pPr>
              <w:pStyle w:val="Default"/>
              <w:spacing w:after="175" w:line="360" w:lineRule="auto"/>
              <w:jc w:val="both"/>
            </w:pPr>
            <w:r w:rsidRPr="001B2A74">
              <w:t>12</w:t>
            </w:r>
          </w:p>
        </w:tc>
        <w:tc>
          <w:tcPr>
            <w:tcW w:w="829" w:type="dxa"/>
            <w:vMerge w:val="restart"/>
          </w:tcPr>
          <w:p w14:paraId="4664FA59" w14:textId="77777777" w:rsidR="004758B0" w:rsidRPr="001B2A74" w:rsidRDefault="004758B0" w:rsidP="001B2A74">
            <w:pPr>
              <w:pStyle w:val="Default"/>
              <w:spacing w:after="175" w:line="360" w:lineRule="auto"/>
              <w:jc w:val="both"/>
            </w:pPr>
            <w:r w:rsidRPr="001B2A74">
              <w:t>37</w:t>
            </w:r>
          </w:p>
        </w:tc>
        <w:tc>
          <w:tcPr>
            <w:tcW w:w="1269" w:type="dxa"/>
          </w:tcPr>
          <w:p w14:paraId="2AE513EE" w14:textId="031191D8" w:rsidR="004758B0" w:rsidRPr="001B2A74" w:rsidRDefault="00302E9F" w:rsidP="001B2A74">
            <w:pPr>
              <w:pStyle w:val="Default"/>
              <w:spacing w:after="175" w:line="360" w:lineRule="auto"/>
              <w:jc w:val="both"/>
            </w:pPr>
            <w:r w:rsidRPr="001B2A74">
              <w:t>32,4</w:t>
            </w:r>
          </w:p>
        </w:tc>
        <w:tc>
          <w:tcPr>
            <w:tcW w:w="1253" w:type="dxa"/>
            <w:vMerge w:val="restart"/>
          </w:tcPr>
          <w:p w14:paraId="313A6502" w14:textId="77777777" w:rsidR="004758B0" w:rsidRPr="001B2A74" w:rsidRDefault="004758B0" w:rsidP="001B2A74">
            <w:pPr>
              <w:pStyle w:val="Default"/>
              <w:spacing w:after="175" w:line="360" w:lineRule="auto"/>
              <w:jc w:val="both"/>
            </w:pPr>
            <w:r w:rsidRPr="001B2A74">
              <w:t>100</w:t>
            </w:r>
          </w:p>
        </w:tc>
      </w:tr>
      <w:tr w:rsidR="004758B0" w:rsidRPr="001B2A74" w14:paraId="2D27A49E" w14:textId="77777777" w:rsidTr="00221CE2">
        <w:tc>
          <w:tcPr>
            <w:tcW w:w="3256" w:type="dxa"/>
            <w:gridSpan w:val="2"/>
            <w:vMerge/>
          </w:tcPr>
          <w:p w14:paraId="7E42E683" w14:textId="77777777" w:rsidR="004758B0" w:rsidRPr="001B2A74" w:rsidRDefault="004758B0" w:rsidP="001B2A74">
            <w:pPr>
              <w:pStyle w:val="Default"/>
              <w:spacing w:after="175" w:line="360" w:lineRule="auto"/>
              <w:jc w:val="both"/>
            </w:pPr>
          </w:p>
        </w:tc>
        <w:tc>
          <w:tcPr>
            <w:tcW w:w="1275" w:type="dxa"/>
          </w:tcPr>
          <w:p w14:paraId="67922B12" w14:textId="77777777" w:rsidR="004758B0" w:rsidRPr="001B2A74" w:rsidRDefault="00561721" w:rsidP="001B2A74">
            <w:pPr>
              <w:pStyle w:val="Default"/>
              <w:spacing w:after="175" w:line="360" w:lineRule="auto"/>
              <w:jc w:val="both"/>
            </w:pPr>
            <w:r w:rsidRPr="001B2A74">
              <w:t>Negative</w:t>
            </w:r>
          </w:p>
        </w:tc>
        <w:tc>
          <w:tcPr>
            <w:tcW w:w="1134" w:type="dxa"/>
          </w:tcPr>
          <w:p w14:paraId="6D8B3890" w14:textId="3AD9FC7F" w:rsidR="004758B0" w:rsidRPr="001B2A74" w:rsidRDefault="00302E9F" w:rsidP="001B2A74">
            <w:pPr>
              <w:pStyle w:val="Default"/>
              <w:spacing w:after="175" w:line="360" w:lineRule="auto"/>
              <w:jc w:val="both"/>
            </w:pPr>
            <w:r w:rsidRPr="001B2A74">
              <w:t>25</w:t>
            </w:r>
          </w:p>
        </w:tc>
        <w:tc>
          <w:tcPr>
            <w:tcW w:w="829" w:type="dxa"/>
            <w:vMerge/>
          </w:tcPr>
          <w:p w14:paraId="1105E327" w14:textId="77777777" w:rsidR="004758B0" w:rsidRPr="001B2A74" w:rsidRDefault="004758B0" w:rsidP="001B2A74">
            <w:pPr>
              <w:pStyle w:val="Default"/>
              <w:spacing w:after="175" w:line="360" w:lineRule="auto"/>
              <w:jc w:val="both"/>
            </w:pPr>
          </w:p>
        </w:tc>
        <w:tc>
          <w:tcPr>
            <w:tcW w:w="1269" w:type="dxa"/>
          </w:tcPr>
          <w:p w14:paraId="29E805F1" w14:textId="55944D34" w:rsidR="004758B0" w:rsidRPr="001B2A74" w:rsidRDefault="00302E9F" w:rsidP="001B2A74">
            <w:pPr>
              <w:pStyle w:val="Default"/>
              <w:spacing w:after="175" w:line="360" w:lineRule="auto"/>
              <w:jc w:val="both"/>
            </w:pPr>
            <w:r w:rsidRPr="001B2A74">
              <w:t>67,6</w:t>
            </w:r>
          </w:p>
        </w:tc>
        <w:tc>
          <w:tcPr>
            <w:tcW w:w="1253" w:type="dxa"/>
            <w:vMerge/>
          </w:tcPr>
          <w:p w14:paraId="4538BFEC" w14:textId="77777777" w:rsidR="004758B0" w:rsidRPr="001B2A74" w:rsidRDefault="004758B0" w:rsidP="001B2A74">
            <w:pPr>
              <w:pStyle w:val="Default"/>
              <w:spacing w:after="175" w:line="360" w:lineRule="auto"/>
              <w:jc w:val="both"/>
            </w:pPr>
          </w:p>
        </w:tc>
      </w:tr>
      <w:tr w:rsidR="004758B0" w:rsidRPr="001B2A74" w14:paraId="6C305C90" w14:textId="77777777" w:rsidTr="00221CE2">
        <w:trPr>
          <w:trHeight w:val="814"/>
        </w:trPr>
        <w:tc>
          <w:tcPr>
            <w:tcW w:w="1696" w:type="dxa"/>
          </w:tcPr>
          <w:p w14:paraId="64E2F9BE" w14:textId="77777777" w:rsidR="004758B0" w:rsidRPr="001B2A74" w:rsidRDefault="00561721" w:rsidP="001B2A74">
            <w:pPr>
              <w:pStyle w:val="Default"/>
              <w:spacing w:after="175" w:line="360" w:lineRule="auto"/>
              <w:jc w:val="both"/>
            </w:pPr>
            <w:r w:rsidRPr="001B2A74">
              <w:t>Most common germ</w:t>
            </w:r>
          </w:p>
        </w:tc>
        <w:tc>
          <w:tcPr>
            <w:tcW w:w="2835" w:type="dxa"/>
            <w:gridSpan w:val="2"/>
          </w:tcPr>
          <w:p w14:paraId="7293DEA3" w14:textId="77777777" w:rsidR="004758B0" w:rsidRPr="001B2A74" w:rsidRDefault="00561721" w:rsidP="001B2A74">
            <w:pPr>
              <w:pStyle w:val="Default"/>
              <w:spacing w:after="175" w:line="360" w:lineRule="auto"/>
              <w:jc w:val="both"/>
              <w:rPr>
                <w:i/>
              </w:rPr>
            </w:pPr>
            <w:proofErr w:type="gramStart"/>
            <w:r w:rsidRPr="001B2A74">
              <w:rPr>
                <w:i/>
              </w:rPr>
              <w:t>escherichia</w:t>
            </w:r>
            <w:proofErr w:type="gramEnd"/>
            <w:r w:rsidRPr="001B2A74">
              <w:rPr>
                <w:i/>
              </w:rPr>
              <w:t xml:space="preserve"> coli</w:t>
            </w:r>
          </w:p>
        </w:tc>
        <w:tc>
          <w:tcPr>
            <w:tcW w:w="1134" w:type="dxa"/>
          </w:tcPr>
          <w:p w14:paraId="2DD113A5" w14:textId="3562A91F" w:rsidR="004758B0" w:rsidRPr="001B2A74" w:rsidRDefault="00302E9F" w:rsidP="001B2A74">
            <w:pPr>
              <w:pStyle w:val="Default"/>
              <w:spacing w:after="175" w:line="360" w:lineRule="auto"/>
              <w:jc w:val="both"/>
            </w:pPr>
            <w:r w:rsidRPr="001B2A74">
              <w:t>6</w:t>
            </w:r>
          </w:p>
        </w:tc>
        <w:tc>
          <w:tcPr>
            <w:tcW w:w="829" w:type="dxa"/>
          </w:tcPr>
          <w:p w14:paraId="48EB614E" w14:textId="24FECCF3" w:rsidR="004758B0" w:rsidRPr="001B2A74" w:rsidRDefault="00302E9F" w:rsidP="001B2A74">
            <w:pPr>
              <w:pStyle w:val="Default"/>
              <w:spacing w:after="175" w:line="360" w:lineRule="auto"/>
              <w:jc w:val="both"/>
            </w:pPr>
            <w:r w:rsidRPr="001B2A74">
              <w:t>6</w:t>
            </w:r>
          </w:p>
        </w:tc>
        <w:tc>
          <w:tcPr>
            <w:tcW w:w="1269" w:type="dxa"/>
          </w:tcPr>
          <w:p w14:paraId="0900C84D" w14:textId="77777777" w:rsidR="004758B0" w:rsidRPr="001B2A74" w:rsidRDefault="004758B0" w:rsidP="001B2A74">
            <w:pPr>
              <w:pStyle w:val="Default"/>
              <w:spacing w:after="175" w:line="360" w:lineRule="auto"/>
              <w:jc w:val="both"/>
            </w:pPr>
            <w:r w:rsidRPr="001B2A74">
              <w:t>100</w:t>
            </w:r>
          </w:p>
        </w:tc>
        <w:tc>
          <w:tcPr>
            <w:tcW w:w="1253" w:type="dxa"/>
          </w:tcPr>
          <w:p w14:paraId="7E10F913" w14:textId="77777777" w:rsidR="004758B0" w:rsidRPr="001B2A74" w:rsidRDefault="004758B0" w:rsidP="001B2A74">
            <w:pPr>
              <w:pStyle w:val="Default"/>
              <w:spacing w:after="175" w:line="360" w:lineRule="auto"/>
              <w:jc w:val="both"/>
            </w:pPr>
            <w:r w:rsidRPr="001B2A74">
              <w:t>100</w:t>
            </w:r>
          </w:p>
        </w:tc>
      </w:tr>
    </w:tbl>
    <w:p w14:paraId="165BFA86" w14:textId="77777777" w:rsidR="004758B0" w:rsidRPr="001B2A74" w:rsidRDefault="004758B0" w:rsidP="001B2A74">
      <w:pPr>
        <w:spacing w:line="360" w:lineRule="auto"/>
        <w:jc w:val="both"/>
        <w:rPr>
          <w:rFonts w:ascii="Times New Roman" w:hAnsi="Times New Roman" w:cs="Times New Roman"/>
          <w:sz w:val="24"/>
          <w:szCs w:val="24"/>
        </w:rPr>
      </w:pPr>
    </w:p>
    <w:sectPr w:rsidR="004758B0" w:rsidRPr="001B2A74" w:rsidSect="009D16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4266" w14:textId="77777777" w:rsidR="000A3DD6" w:rsidRDefault="000A3DD6" w:rsidP="00744EAE">
      <w:pPr>
        <w:spacing w:after="0" w:line="240" w:lineRule="auto"/>
      </w:pPr>
      <w:r>
        <w:separator/>
      </w:r>
    </w:p>
  </w:endnote>
  <w:endnote w:type="continuationSeparator" w:id="0">
    <w:p w14:paraId="037DAA15" w14:textId="77777777" w:rsidR="000A3DD6" w:rsidRDefault="000A3DD6" w:rsidP="0074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2CCE" w14:textId="77777777" w:rsidR="000A3DD6" w:rsidRDefault="000A3DD6" w:rsidP="00744EAE">
      <w:pPr>
        <w:spacing w:after="0" w:line="240" w:lineRule="auto"/>
      </w:pPr>
      <w:r>
        <w:separator/>
      </w:r>
    </w:p>
  </w:footnote>
  <w:footnote w:type="continuationSeparator" w:id="0">
    <w:p w14:paraId="64586D03" w14:textId="77777777" w:rsidR="000A3DD6" w:rsidRDefault="000A3DD6" w:rsidP="00744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9BB"/>
    <w:multiLevelType w:val="multilevel"/>
    <w:tmpl w:val="5B8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65CA0"/>
    <w:multiLevelType w:val="multilevel"/>
    <w:tmpl w:val="3B98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AE"/>
    <w:rsid w:val="00052E96"/>
    <w:rsid w:val="00073D83"/>
    <w:rsid w:val="0009216F"/>
    <w:rsid w:val="000A3DD6"/>
    <w:rsid w:val="000D4F2F"/>
    <w:rsid w:val="00116BB7"/>
    <w:rsid w:val="001313C9"/>
    <w:rsid w:val="0015373D"/>
    <w:rsid w:val="00165C53"/>
    <w:rsid w:val="001924E8"/>
    <w:rsid w:val="00193275"/>
    <w:rsid w:val="001A5932"/>
    <w:rsid w:val="001B2A74"/>
    <w:rsid w:val="001E48AC"/>
    <w:rsid w:val="002222D9"/>
    <w:rsid w:val="00285AE6"/>
    <w:rsid w:val="002E2657"/>
    <w:rsid w:val="002E491E"/>
    <w:rsid w:val="00302E9F"/>
    <w:rsid w:val="0033789A"/>
    <w:rsid w:val="003405F9"/>
    <w:rsid w:val="00377211"/>
    <w:rsid w:val="00393AF3"/>
    <w:rsid w:val="00411B84"/>
    <w:rsid w:val="004443C3"/>
    <w:rsid w:val="004574E0"/>
    <w:rsid w:val="004758B0"/>
    <w:rsid w:val="004A4DFC"/>
    <w:rsid w:val="004B2BCD"/>
    <w:rsid w:val="004C099A"/>
    <w:rsid w:val="005013C4"/>
    <w:rsid w:val="00503535"/>
    <w:rsid w:val="005068E3"/>
    <w:rsid w:val="0050790C"/>
    <w:rsid w:val="00561721"/>
    <w:rsid w:val="005B77A3"/>
    <w:rsid w:val="00614E21"/>
    <w:rsid w:val="00641BBF"/>
    <w:rsid w:val="00644639"/>
    <w:rsid w:val="0064479A"/>
    <w:rsid w:val="006558B8"/>
    <w:rsid w:val="00692154"/>
    <w:rsid w:val="006D08D2"/>
    <w:rsid w:val="00705E82"/>
    <w:rsid w:val="00715246"/>
    <w:rsid w:val="0074443A"/>
    <w:rsid w:val="00744EAE"/>
    <w:rsid w:val="00757B7E"/>
    <w:rsid w:val="00770302"/>
    <w:rsid w:val="00780E03"/>
    <w:rsid w:val="00784FBE"/>
    <w:rsid w:val="0082012C"/>
    <w:rsid w:val="00820B75"/>
    <w:rsid w:val="0085100F"/>
    <w:rsid w:val="0085211E"/>
    <w:rsid w:val="00853269"/>
    <w:rsid w:val="00862F50"/>
    <w:rsid w:val="00876473"/>
    <w:rsid w:val="008C5D88"/>
    <w:rsid w:val="008D1D42"/>
    <w:rsid w:val="00914AF1"/>
    <w:rsid w:val="00927969"/>
    <w:rsid w:val="00962E16"/>
    <w:rsid w:val="009D16CA"/>
    <w:rsid w:val="009E6463"/>
    <w:rsid w:val="009F6898"/>
    <w:rsid w:val="00A06747"/>
    <w:rsid w:val="00A90F1F"/>
    <w:rsid w:val="00A966E7"/>
    <w:rsid w:val="00A9675D"/>
    <w:rsid w:val="00AD668A"/>
    <w:rsid w:val="00AE38CB"/>
    <w:rsid w:val="00B04016"/>
    <w:rsid w:val="00B06D12"/>
    <w:rsid w:val="00B16FB6"/>
    <w:rsid w:val="00BC20DF"/>
    <w:rsid w:val="00BC2D48"/>
    <w:rsid w:val="00BD2BC2"/>
    <w:rsid w:val="00BD5F71"/>
    <w:rsid w:val="00BF0C53"/>
    <w:rsid w:val="00C2626F"/>
    <w:rsid w:val="00C937E9"/>
    <w:rsid w:val="00CB3ADE"/>
    <w:rsid w:val="00CD020C"/>
    <w:rsid w:val="00CD25F3"/>
    <w:rsid w:val="00D16FD7"/>
    <w:rsid w:val="00D265D8"/>
    <w:rsid w:val="00D763B9"/>
    <w:rsid w:val="00D948FB"/>
    <w:rsid w:val="00DC7458"/>
    <w:rsid w:val="00DD07B5"/>
    <w:rsid w:val="00E141FC"/>
    <w:rsid w:val="00E25372"/>
    <w:rsid w:val="00E36C89"/>
    <w:rsid w:val="00E73C4E"/>
    <w:rsid w:val="00EF2B5C"/>
    <w:rsid w:val="00F2116F"/>
    <w:rsid w:val="00F417DD"/>
    <w:rsid w:val="00F55739"/>
    <w:rsid w:val="00F81E8A"/>
    <w:rsid w:val="00F833A2"/>
    <w:rsid w:val="00F84910"/>
    <w:rsid w:val="00F8596E"/>
    <w:rsid w:val="00F94812"/>
    <w:rsid w:val="00F963A8"/>
    <w:rsid w:val="00F967E2"/>
    <w:rsid w:val="00FA7CBF"/>
    <w:rsid w:val="00FB1E4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050E"/>
  <w15:docId w15:val="{C05ADD9E-6A1A-4E2C-82DE-31E80041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E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4EAE"/>
  </w:style>
  <w:style w:type="paragraph" w:styleId="Footer">
    <w:name w:val="footer"/>
    <w:basedOn w:val="Normal"/>
    <w:link w:val="FooterChar"/>
    <w:uiPriority w:val="99"/>
    <w:unhideWhenUsed/>
    <w:rsid w:val="00744E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4EAE"/>
  </w:style>
  <w:style w:type="paragraph" w:customStyle="1" w:styleId="Default">
    <w:name w:val="Default"/>
    <w:rsid w:val="00744E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75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43A"/>
    <w:rPr>
      <w:sz w:val="16"/>
      <w:szCs w:val="16"/>
    </w:rPr>
  </w:style>
  <w:style w:type="paragraph" w:styleId="CommentText">
    <w:name w:val="annotation text"/>
    <w:basedOn w:val="Normal"/>
    <w:link w:val="CommentTextChar"/>
    <w:uiPriority w:val="99"/>
    <w:semiHidden/>
    <w:unhideWhenUsed/>
    <w:rsid w:val="0074443A"/>
    <w:pPr>
      <w:spacing w:line="240" w:lineRule="auto"/>
    </w:pPr>
    <w:rPr>
      <w:sz w:val="20"/>
      <w:szCs w:val="20"/>
    </w:rPr>
  </w:style>
  <w:style w:type="character" w:customStyle="1" w:styleId="CommentTextChar">
    <w:name w:val="Comment Text Char"/>
    <w:basedOn w:val="DefaultParagraphFont"/>
    <w:link w:val="CommentText"/>
    <w:uiPriority w:val="99"/>
    <w:semiHidden/>
    <w:rsid w:val="0074443A"/>
    <w:rPr>
      <w:sz w:val="20"/>
      <w:szCs w:val="20"/>
    </w:rPr>
  </w:style>
  <w:style w:type="paragraph" w:styleId="CommentSubject">
    <w:name w:val="annotation subject"/>
    <w:basedOn w:val="CommentText"/>
    <w:next w:val="CommentText"/>
    <w:link w:val="CommentSubjectChar"/>
    <w:uiPriority w:val="99"/>
    <w:semiHidden/>
    <w:unhideWhenUsed/>
    <w:rsid w:val="0074443A"/>
    <w:rPr>
      <w:b/>
      <w:bCs/>
    </w:rPr>
  </w:style>
  <w:style w:type="character" w:customStyle="1" w:styleId="CommentSubjectChar">
    <w:name w:val="Comment Subject Char"/>
    <w:basedOn w:val="CommentTextChar"/>
    <w:link w:val="CommentSubject"/>
    <w:uiPriority w:val="99"/>
    <w:semiHidden/>
    <w:rsid w:val="0074443A"/>
    <w:rPr>
      <w:b/>
      <w:bCs/>
      <w:sz w:val="20"/>
      <w:szCs w:val="20"/>
    </w:rPr>
  </w:style>
  <w:style w:type="paragraph" w:styleId="BalloonText">
    <w:name w:val="Balloon Text"/>
    <w:basedOn w:val="Normal"/>
    <w:link w:val="BalloonTextChar"/>
    <w:uiPriority w:val="99"/>
    <w:semiHidden/>
    <w:unhideWhenUsed/>
    <w:rsid w:val="00744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3A"/>
    <w:rPr>
      <w:rFonts w:ascii="Tahoma" w:hAnsi="Tahoma" w:cs="Tahoma"/>
      <w:sz w:val="16"/>
      <w:szCs w:val="16"/>
    </w:rPr>
  </w:style>
  <w:style w:type="character" w:styleId="Hyperlink">
    <w:name w:val="Hyperlink"/>
    <w:basedOn w:val="DefaultParagraphFont"/>
    <w:uiPriority w:val="99"/>
    <w:unhideWhenUsed/>
    <w:rsid w:val="00F81E8A"/>
    <w:rPr>
      <w:color w:val="0563C1" w:themeColor="hyperlink"/>
      <w:u w:val="single"/>
    </w:rPr>
  </w:style>
  <w:style w:type="character" w:styleId="UnresolvedMention">
    <w:name w:val="Unresolved Mention"/>
    <w:basedOn w:val="DefaultParagraphFont"/>
    <w:uiPriority w:val="99"/>
    <w:semiHidden/>
    <w:unhideWhenUsed/>
    <w:rsid w:val="00F81E8A"/>
    <w:rPr>
      <w:color w:val="605E5C"/>
      <w:shd w:val="clear" w:color="auto" w:fill="E1DFDD"/>
    </w:rPr>
  </w:style>
  <w:style w:type="paragraph" w:styleId="Revision">
    <w:name w:val="Revision"/>
    <w:hidden/>
    <w:uiPriority w:val="99"/>
    <w:semiHidden/>
    <w:rsid w:val="00B04016"/>
    <w:pPr>
      <w:spacing w:after="0" w:line="240" w:lineRule="auto"/>
    </w:pPr>
  </w:style>
  <w:style w:type="paragraph" w:styleId="HTMLPreformatted">
    <w:name w:val="HTML Preformatted"/>
    <w:basedOn w:val="Normal"/>
    <w:link w:val="HTMLPreformattedChar"/>
    <w:uiPriority w:val="99"/>
    <w:semiHidden/>
    <w:unhideWhenUsed/>
    <w:rsid w:val="00302E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2E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929-693X(99)80594-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A86C-7E60-4B33-9DAE-86749AF5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3411</Words>
  <Characters>19449</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Docteur</dc:creator>
  <cp:lastModifiedBy>SDI 1089</cp:lastModifiedBy>
  <cp:revision>112</cp:revision>
  <dcterms:created xsi:type="dcterms:W3CDTF">2025-10-07T18:12:00Z</dcterms:created>
  <dcterms:modified xsi:type="dcterms:W3CDTF">2025-11-13T10:39:00Z</dcterms:modified>
</cp:coreProperties>
</file>