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E4BBD" w14:textId="77777777" w:rsidR="00F74D8D" w:rsidRPr="00EE0D4F" w:rsidRDefault="00F74D8D" w:rsidP="00EE0D4F">
      <w:pPr>
        <w:jc w:val="right"/>
        <w:rPr>
          <w:rFonts w:asciiTheme="minorBidi" w:hAnsiTheme="minorBidi" w:cstheme="minorBidi"/>
          <w:b/>
          <w:bCs/>
        </w:rPr>
      </w:pPr>
      <w:r w:rsidRPr="00EE0D4F">
        <w:rPr>
          <w:rFonts w:asciiTheme="minorBidi" w:hAnsiTheme="minorBidi" w:cstheme="minorBidi"/>
          <w:b/>
          <w:bCs/>
        </w:rPr>
        <w:t>Original Research Article</w:t>
      </w:r>
    </w:p>
    <w:p w14:paraId="032869C6" w14:textId="77777777" w:rsidR="00F74D8D" w:rsidRPr="00EE0D4F" w:rsidRDefault="00F74D8D" w:rsidP="00EE0D4F">
      <w:pPr>
        <w:jc w:val="right"/>
        <w:rPr>
          <w:rFonts w:asciiTheme="minorBidi" w:hAnsiTheme="minorBidi" w:cstheme="minorBidi"/>
          <w:b/>
          <w:bCs/>
        </w:rPr>
      </w:pPr>
    </w:p>
    <w:p w14:paraId="28527BF6" w14:textId="7442E16D" w:rsidR="00BB48D4" w:rsidRPr="00EE0D4F" w:rsidRDefault="00BB48D4" w:rsidP="00EE0D4F">
      <w:pPr>
        <w:jc w:val="right"/>
        <w:rPr>
          <w:rFonts w:asciiTheme="minorBidi" w:hAnsiTheme="minorBidi" w:cstheme="minorBidi"/>
          <w:b/>
          <w:bCs/>
        </w:rPr>
      </w:pPr>
      <w:r w:rsidRPr="00EE0D4F">
        <w:rPr>
          <w:rFonts w:asciiTheme="minorBidi" w:hAnsiTheme="minorBidi" w:cstheme="minorBidi"/>
          <w:b/>
          <w:bCs/>
        </w:rPr>
        <w:t xml:space="preserve">Clinicians’ adherence with malaria treatment </w:t>
      </w:r>
      <w:r w:rsidR="004E6295">
        <w:rPr>
          <w:rFonts w:asciiTheme="minorBidi" w:hAnsiTheme="minorBidi" w:cstheme="minorBidi"/>
          <w:b/>
          <w:bCs/>
        </w:rPr>
        <w:t>during</w:t>
      </w:r>
      <w:r w:rsidRPr="00EE0D4F">
        <w:rPr>
          <w:rFonts w:asciiTheme="minorBidi" w:hAnsiTheme="minorBidi" w:cstheme="minorBidi"/>
          <w:b/>
          <w:bCs/>
        </w:rPr>
        <w:t xml:space="preserve"> pregnancy in the Tamale Metropolis of Ghana</w:t>
      </w:r>
    </w:p>
    <w:p w14:paraId="0DE9A58E" w14:textId="77777777" w:rsidR="005F181F" w:rsidRPr="00EE0D4F" w:rsidRDefault="005F181F" w:rsidP="00EE0D4F">
      <w:pPr>
        <w:jc w:val="right"/>
        <w:rPr>
          <w:rFonts w:asciiTheme="minorBidi" w:hAnsiTheme="minorBidi" w:cstheme="minorBidi"/>
          <w:b/>
          <w:bCs/>
        </w:rPr>
      </w:pPr>
    </w:p>
    <w:p w14:paraId="40BEF00B" w14:textId="77777777" w:rsidR="002C57D2" w:rsidRPr="00EE0D4F" w:rsidRDefault="002C57D2" w:rsidP="00EE0D4F">
      <w:pPr>
        <w:pStyle w:val="Affiliation"/>
        <w:spacing w:after="0" w:line="240" w:lineRule="auto"/>
        <w:jc w:val="both"/>
        <w:rPr>
          <w:rFonts w:asciiTheme="minorBidi" w:hAnsiTheme="minorBidi" w:cstheme="minorBidi"/>
        </w:rPr>
      </w:pPr>
    </w:p>
    <w:p w14:paraId="780BBD05" w14:textId="37E2997C" w:rsidR="00B01FCD" w:rsidRPr="00EE0D4F" w:rsidRDefault="00C57A48" w:rsidP="00EE0D4F">
      <w:pPr>
        <w:pStyle w:val="Copyright"/>
        <w:spacing w:after="0" w:line="240" w:lineRule="auto"/>
        <w:jc w:val="both"/>
        <w:rPr>
          <w:rFonts w:asciiTheme="minorBidi" w:hAnsiTheme="minorBidi" w:cstheme="minorBidi"/>
          <w:sz w:val="20"/>
        </w:rPr>
        <w:sectPr w:rsidR="00B01FCD" w:rsidRPr="00EE0D4F" w:rsidSect="004955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E0D4F">
        <w:rPr>
          <w:rFonts w:asciiTheme="minorBidi" w:hAnsiTheme="minorBidi" w:cstheme="minorBidi"/>
          <w:noProof/>
          <w:sz w:val="20"/>
        </w:rPr>
        <mc:AlternateContent>
          <mc:Choice Requires="wps">
            <w:drawing>
              <wp:inline distT="0" distB="0" distL="0" distR="0" wp14:anchorId="488EB9E2" wp14:editId="28E01717">
                <wp:extent cx="5303520" cy="635"/>
                <wp:effectExtent l="13335" t="15240" r="17145" b="13335"/>
                <wp:docPr id="9698448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6058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E0D4F">
        <w:rPr>
          <w:rFonts w:asciiTheme="minorBidi" w:hAnsiTheme="minorBidi" w:cstheme="minorBidi"/>
          <w:sz w:val="20"/>
        </w:rPr>
        <w:t>.</w:t>
      </w:r>
      <w:bookmarkStart w:id="1" w:name="_GoBack"/>
      <w:bookmarkEnd w:id="1"/>
    </w:p>
    <w:p w14:paraId="755F5FA6" w14:textId="0040B915" w:rsidR="00B01FCD" w:rsidRPr="00EE0D4F" w:rsidRDefault="00B01FCD" w:rsidP="00EE0D4F">
      <w:pPr>
        <w:pStyle w:val="AbstHead"/>
        <w:spacing w:after="0"/>
        <w:jc w:val="both"/>
        <w:rPr>
          <w:rFonts w:asciiTheme="minorBidi" w:hAnsiTheme="minorBidi" w:cstheme="minorBidi"/>
          <w:sz w:val="20"/>
        </w:rPr>
      </w:pPr>
      <w:r w:rsidRPr="00EE0D4F">
        <w:rPr>
          <w:rFonts w:asciiTheme="minorBidi" w:hAnsiTheme="minorBidi" w:cstheme="minorBidi"/>
          <w:sz w:val="20"/>
        </w:rPr>
        <w:t>ABSTRACT</w:t>
      </w:r>
      <w:r w:rsidR="0066510A" w:rsidRPr="00EE0D4F">
        <w:rPr>
          <w:rFonts w:asciiTheme="minorBidi" w:hAnsiTheme="minorBidi" w:cstheme="minorBidi"/>
          <w:sz w:val="20"/>
        </w:rPr>
        <w:t xml:space="preserve"> </w:t>
      </w:r>
    </w:p>
    <w:p w14:paraId="66E566CD" w14:textId="77777777" w:rsidR="00790ADA" w:rsidRPr="00EE0D4F" w:rsidRDefault="00790ADA" w:rsidP="00EE0D4F">
      <w:pPr>
        <w:pStyle w:val="AbstHead"/>
        <w:spacing w:after="0"/>
        <w:jc w:val="both"/>
        <w:rPr>
          <w:rFonts w:asciiTheme="minorBidi" w:hAnsiTheme="minorBidi" w:cstheme="minorBid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E0D4F" w14:paraId="560BEA39" w14:textId="77777777" w:rsidTr="001E44FE">
        <w:tc>
          <w:tcPr>
            <w:tcW w:w="9576" w:type="dxa"/>
            <w:shd w:val="clear" w:color="auto" w:fill="F2F2F2"/>
          </w:tcPr>
          <w:p w14:paraId="64262FEB" w14:textId="77777777" w:rsidR="00BB48D4" w:rsidRPr="00EE0D4F" w:rsidRDefault="00BA1B01" w:rsidP="00EE0D4F">
            <w:pPr>
              <w:jc w:val="both"/>
              <w:rPr>
                <w:rFonts w:asciiTheme="minorBidi" w:eastAsia="Calibri" w:hAnsiTheme="minorBidi" w:cstheme="minorBidi"/>
              </w:rPr>
            </w:pPr>
            <w:r w:rsidRPr="00EE0D4F">
              <w:rPr>
                <w:rFonts w:asciiTheme="minorBidi" w:eastAsia="Calibri" w:hAnsiTheme="minorBidi" w:cstheme="minorBidi"/>
                <w:b/>
              </w:rPr>
              <w:t xml:space="preserve">Aims: </w:t>
            </w:r>
            <w:r w:rsidR="00BB48D4" w:rsidRPr="00EE0D4F">
              <w:rPr>
                <w:rFonts w:asciiTheme="minorBidi" w:eastAsia="Calibri" w:hAnsiTheme="minorBidi" w:cstheme="minorBidi"/>
              </w:rPr>
              <w:t xml:space="preserve">Clinicians' compliance with malaria treatment protocols in pregnancy is paramount to safeguarding the good health of the mother and the unborn baby. However, ensuring clinicians' compliance with these guidelines has been challenged by drug factors, patients’ factors, and clinicians’ experiences. This study </w:t>
            </w:r>
            <w:r w:rsidR="00BB48D4" w:rsidRPr="00EE0D4F">
              <w:rPr>
                <w:rFonts w:asciiTheme="minorBidi" w:eastAsia="Calibri" w:hAnsiTheme="minorBidi" w:cstheme="minorBidi"/>
                <w:lang w:val="en-GB"/>
              </w:rPr>
              <w:t>aimed to assess clinicians' compliance with malaria treatment guidelines during pregnancy and exploring factors influencing compliance and challenges they encounter</w:t>
            </w:r>
            <w:r w:rsidR="00BB48D4" w:rsidRPr="00EE0D4F">
              <w:rPr>
                <w:rFonts w:asciiTheme="minorBidi" w:eastAsia="Calibri" w:hAnsiTheme="minorBidi" w:cstheme="minorBidi"/>
              </w:rPr>
              <w:t>.</w:t>
            </w:r>
          </w:p>
          <w:p w14:paraId="093FCDB7" w14:textId="2D4FDD60" w:rsidR="00BA1B01" w:rsidRPr="00EE0D4F" w:rsidRDefault="00BA1B01" w:rsidP="00EE0D4F">
            <w:pPr>
              <w:pStyle w:val="Body"/>
              <w:spacing w:after="0"/>
              <w:rPr>
                <w:rFonts w:asciiTheme="minorBidi" w:eastAsia="Calibri" w:hAnsiTheme="minorBidi" w:cstheme="minorBidi"/>
              </w:rPr>
            </w:pPr>
            <w:r w:rsidRPr="00EE0D4F">
              <w:rPr>
                <w:rFonts w:asciiTheme="minorBidi" w:eastAsia="Calibri" w:hAnsiTheme="minorBidi" w:cstheme="minorBidi"/>
                <w:b/>
              </w:rPr>
              <w:t>Study design:</w:t>
            </w:r>
            <w:r w:rsidRPr="00EE0D4F">
              <w:rPr>
                <w:rFonts w:asciiTheme="minorBidi" w:eastAsia="Calibri" w:hAnsiTheme="minorBidi" w:cstheme="minorBidi"/>
              </w:rPr>
              <w:t xml:space="preserve"> </w:t>
            </w:r>
            <w:r w:rsidR="00BB48D4" w:rsidRPr="00EE0D4F">
              <w:rPr>
                <w:rFonts w:asciiTheme="minorBidi" w:eastAsia="Calibri" w:hAnsiTheme="minorBidi" w:cstheme="minorBidi"/>
              </w:rPr>
              <w:t xml:space="preserve">The study employed a convergent mixed-method (quantitative and qualitative) design. </w:t>
            </w:r>
          </w:p>
          <w:p w14:paraId="51F21669" w14:textId="77777777" w:rsidR="00BB48D4" w:rsidRPr="00EE0D4F" w:rsidRDefault="00BA1B01" w:rsidP="00EE0D4F">
            <w:pPr>
              <w:pStyle w:val="Body"/>
              <w:spacing w:after="0"/>
              <w:rPr>
                <w:rFonts w:asciiTheme="minorBidi" w:eastAsia="Calibri" w:hAnsiTheme="minorBidi" w:cstheme="minorBidi"/>
              </w:rPr>
            </w:pPr>
            <w:r w:rsidRPr="00EE0D4F">
              <w:rPr>
                <w:rFonts w:asciiTheme="minorBidi" w:eastAsia="Calibri" w:hAnsiTheme="minorBidi" w:cstheme="minorBidi"/>
                <w:b/>
              </w:rPr>
              <w:t>Place and Duration of Study:</w:t>
            </w:r>
            <w:r w:rsidRPr="00EE0D4F">
              <w:rPr>
                <w:rFonts w:asciiTheme="minorBidi" w:eastAsia="Calibri" w:hAnsiTheme="minorBidi" w:cstheme="minorBidi"/>
              </w:rPr>
              <w:t xml:space="preserve"> </w:t>
            </w:r>
            <w:r w:rsidR="00BB48D4" w:rsidRPr="00EE0D4F">
              <w:rPr>
                <w:rFonts w:asciiTheme="minorBidi" w:eastAsia="Calibri" w:hAnsiTheme="minorBidi" w:cstheme="minorBidi"/>
              </w:rPr>
              <w:t>The study was done in three hospitals including the Tamale Reproductive and Child Health (RCH), Universal Health Clinic (UHC) and the Tamale Teaching Hospital (TTH). These hospitals are representative of primary, secondary, and tertiary hospitals respectively in the metropolis. For the quantitative study, consultation details of 203 pregnant women managed for malaria from May to October 2022 were reviewed.</w:t>
            </w:r>
          </w:p>
          <w:p w14:paraId="3EBB7612" w14:textId="1A167CCB" w:rsidR="00BA1B01" w:rsidRPr="00EE0D4F" w:rsidRDefault="00BA1B01" w:rsidP="00EE0D4F">
            <w:pPr>
              <w:pStyle w:val="Body"/>
              <w:spacing w:after="0"/>
              <w:rPr>
                <w:rFonts w:asciiTheme="minorBidi" w:eastAsia="Calibri" w:hAnsiTheme="minorBidi" w:cstheme="minorBidi"/>
              </w:rPr>
            </w:pPr>
            <w:r w:rsidRPr="00EE0D4F">
              <w:rPr>
                <w:rFonts w:asciiTheme="minorBidi" w:eastAsia="Calibri" w:hAnsiTheme="minorBidi" w:cstheme="minorBidi"/>
                <w:b/>
                <w:bCs/>
              </w:rPr>
              <w:t>Methodology:</w:t>
            </w:r>
            <w:r w:rsidRPr="00EE0D4F">
              <w:rPr>
                <w:rFonts w:asciiTheme="minorBidi" w:eastAsia="Calibri" w:hAnsiTheme="minorBidi" w:cstheme="minorBidi"/>
              </w:rPr>
              <w:t xml:space="preserve"> </w:t>
            </w:r>
            <w:r w:rsidR="00BB48D4" w:rsidRPr="00EE0D4F">
              <w:rPr>
                <w:rFonts w:asciiTheme="minorBidi" w:eastAsia="Calibri" w:hAnsiTheme="minorBidi" w:cstheme="minorBidi"/>
              </w:rPr>
              <w:t>Descriptive statistics were used to summarize the data. Binary logistic regression was used to examine the association between variables. The study conducted a face-to-face interview with 21 health professionals in the selected health facilities. Thematic analysis was used to analyze qualitative data</w:t>
            </w:r>
            <w:r w:rsidRPr="00EE0D4F">
              <w:rPr>
                <w:rFonts w:asciiTheme="minorBidi" w:eastAsia="Calibri" w:hAnsiTheme="minorBidi" w:cstheme="minorBidi"/>
              </w:rPr>
              <w:t>.</w:t>
            </w:r>
          </w:p>
          <w:p w14:paraId="04A90EDA" w14:textId="77777777" w:rsidR="00BB48D4" w:rsidRPr="00EE0D4F" w:rsidRDefault="00BA1B01" w:rsidP="00EE0D4F">
            <w:pPr>
              <w:jc w:val="both"/>
              <w:rPr>
                <w:rFonts w:asciiTheme="minorBidi" w:eastAsia="Calibri" w:hAnsiTheme="minorBidi" w:cstheme="minorBidi"/>
                <w:lang w:val="en-GB"/>
              </w:rPr>
            </w:pPr>
            <w:r w:rsidRPr="00EE0D4F">
              <w:rPr>
                <w:rFonts w:asciiTheme="minorBidi" w:eastAsia="Calibri" w:hAnsiTheme="minorBidi" w:cstheme="minorBidi"/>
                <w:b/>
                <w:bCs/>
              </w:rPr>
              <w:t>Results:</w:t>
            </w:r>
            <w:r w:rsidRPr="00EE0D4F">
              <w:rPr>
                <w:rFonts w:asciiTheme="minorBidi" w:eastAsia="Calibri" w:hAnsiTheme="minorBidi" w:cstheme="minorBidi"/>
              </w:rPr>
              <w:t xml:space="preserve"> </w:t>
            </w:r>
            <w:r w:rsidR="00BB48D4" w:rsidRPr="00EE0D4F">
              <w:rPr>
                <w:rFonts w:asciiTheme="minorBidi" w:eastAsia="Calibri" w:hAnsiTheme="minorBidi" w:cstheme="minorBidi"/>
              </w:rPr>
              <w:t xml:space="preserve">The study revealed that clinicians’ compliance with the protocol was very low (2.8%) in the first trimester. Compliance was 100% in the third trimester. Malaria laboratory tests, signs and symptoms, and gestation age of the pregnancy were found to be associated with treatment compliance. Other factors include clinicians’ experiences such as fear of medication side effects, patient health beliefs and adherence, professional norms, and the location or level of the health facility influenced compliance. </w:t>
            </w:r>
          </w:p>
          <w:p w14:paraId="4233BDFA" w14:textId="037A4272" w:rsidR="00505F06" w:rsidRPr="00EE0D4F" w:rsidRDefault="00BA1B01" w:rsidP="00EE0D4F">
            <w:pPr>
              <w:jc w:val="both"/>
              <w:rPr>
                <w:rFonts w:asciiTheme="minorBidi" w:eastAsia="Calibri" w:hAnsiTheme="minorBidi" w:cstheme="minorBidi"/>
              </w:rPr>
            </w:pPr>
            <w:r w:rsidRPr="00EE0D4F">
              <w:rPr>
                <w:rFonts w:asciiTheme="minorBidi" w:eastAsia="Calibri" w:hAnsiTheme="minorBidi" w:cstheme="minorBidi"/>
                <w:b/>
                <w:bCs/>
              </w:rPr>
              <w:t>Conclusion:</w:t>
            </w:r>
            <w:r w:rsidRPr="00EE0D4F">
              <w:rPr>
                <w:rFonts w:asciiTheme="minorBidi" w:eastAsia="Calibri" w:hAnsiTheme="minorBidi" w:cstheme="minorBidi"/>
              </w:rPr>
              <w:t xml:space="preserve"> </w:t>
            </w:r>
            <w:r w:rsidR="00BB48D4" w:rsidRPr="00EE0D4F">
              <w:rPr>
                <w:rFonts w:asciiTheme="minorBidi" w:eastAsia="Calibri" w:hAnsiTheme="minorBidi" w:cstheme="minorBidi"/>
              </w:rPr>
              <w:t>The study revealed low compliance with malaria treatment protocol in the first trimester of pregnancy mainly due to adverse effects of quinine and colleagues professionals’ influences. There is the need to monitor clinicians’ compliance with the guidelines for malaria treatment in pregnancy and ensure clinicians comply or address challenges in the guideline to protect pregnant women with malaria.</w:t>
            </w:r>
          </w:p>
        </w:tc>
      </w:tr>
    </w:tbl>
    <w:p w14:paraId="222574B6" w14:textId="77777777" w:rsidR="00636EB2" w:rsidRPr="00EE0D4F" w:rsidRDefault="00636EB2" w:rsidP="00EE0D4F">
      <w:pPr>
        <w:pStyle w:val="Body"/>
        <w:spacing w:after="0"/>
        <w:rPr>
          <w:rFonts w:asciiTheme="minorBidi" w:hAnsiTheme="minorBidi" w:cstheme="minorBidi"/>
          <w:i/>
        </w:rPr>
      </w:pPr>
    </w:p>
    <w:p w14:paraId="11FB2217" w14:textId="615889A6" w:rsidR="00A24E7E" w:rsidRPr="00EE0D4F" w:rsidRDefault="00A24E7E" w:rsidP="00EE0D4F">
      <w:pPr>
        <w:pStyle w:val="Body"/>
        <w:spacing w:after="0"/>
        <w:jc w:val="left"/>
        <w:rPr>
          <w:rFonts w:asciiTheme="minorBidi" w:hAnsiTheme="minorBidi" w:cstheme="minorBidi"/>
          <w:i/>
        </w:rPr>
      </w:pPr>
      <w:r w:rsidRPr="00EE0D4F">
        <w:rPr>
          <w:rFonts w:asciiTheme="minorBidi" w:hAnsiTheme="minorBidi" w:cstheme="minorBidi"/>
          <w:i/>
        </w:rPr>
        <w:t xml:space="preserve">Keywords: </w:t>
      </w:r>
      <w:r w:rsidR="00BB48D4" w:rsidRPr="00EE0D4F">
        <w:rPr>
          <w:rFonts w:asciiTheme="minorBidi" w:eastAsia="Calibri" w:hAnsiTheme="minorBidi" w:cstheme="minorBidi"/>
          <w:i/>
        </w:rPr>
        <w:t>Compliance, Clinician, Malaria treatment, Adherence, Experience, Pregnancy</w:t>
      </w:r>
    </w:p>
    <w:p w14:paraId="19D9A91D" w14:textId="77777777" w:rsidR="0024282C" w:rsidRPr="00EE0D4F" w:rsidRDefault="0024282C" w:rsidP="00EE0D4F">
      <w:pPr>
        <w:pStyle w:val="Body"/>
        <w:spacing w:after="0"/>
        <w:rPr>
          <w:rFonts w:asciiTheme="minorBidi" w:hAnsiTheme="minorBidi" w:cstheme="minorBidi"/>
          <w:i/>
        </w:rPr>
      </w:pPr>
    </w:p>
    <w:p w14:paraId="0D580A44" w14:textId="47DCB0C7" w:rsidR="007F7B32" w:rsidRPr="00EE0D4F" w:rsidRDefault="00902823" w:rsidP="00EE0D4F">
      <w:pPr>
        <w:pStyle w:val="AbstHead"/>
        <w:spacing w:after="0"/>
        <w:jc w:val="both"/>
        <w:rPr>
          <w:rFonts w:asciiTheme="minorBidi" w:hAnsiTheme="minorBidi" w:cstheme="minorBidi"/>
          <w:sz w:val="20"/>
        </w:rPr>
      </w:pPr>
      <w:r w:rsidRPr="00EE0D4F">
        <w:rPr>
          <w:rFonts w:asciiTheme="minorBidi" w:hAnsiTheme="minorBidi" w:cstheme="minorBidi"/>
          <w:sz w:val="20"/>
        </w:rPr>
        <w:t xml:space="preserve">1. </w:t>
      </w:r>
      <w:r w:rsidR="00B01FCD" w:rsidRPr="00EE0D4F">
        <w:rPr>
          <w:rFonts w:asciiTheme="minorBidi" w:hAnsiTheme="minorBidi" w:cstheme="minorBidi"/>
          <w:sz w:val="20"/>
        </w:rPr>
        <w:t>INTRODUCTION</w:t>
      </w:r>
      <w:r w:rsidR="007F7B32" w:rsidRPr="00EE0D4F">
        <w:rPr>
          <w:rFonts w:asciiTheme="minorBidi" w:hAnsiTheme="minorBidi" w:cstheme="minorBidi"/>
          <w:sz w:val="20"/>
        </w:rPr>
        <w:t xml:space="preserve"> </w:t>
      </w:r>
    </w:p>
    <w:p w14:paraId="058E7CE4" w14:textId="77777777" w:rsidR="00790ADA" w:rsidRPr="00EE0D4F" w:rsidRDefault="00790ADA" w:rsidP="00EE0D4F">
      <w:pPr>
        <w:pStyle w:val="AbstHead"/>
        <w:spacing w:after="0"/>
        <w:jc w:val="both"/>
        <w:rPr>
          <w:rFonts w:asciiTheme="minorBidi" w:hAnsiTheme="minorBidi" w:cstheme="minorBidi"/>
          <w:sz w:val="20"/>
        </w:rPr>
      </w:pPr>
    </w:p>
    <w:p w14:paraId="6B41E729" w14:textId="3821D6E4"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Globally, more than five hundred thousand people die every year due to the devasting effect of the malaria parasite infection and its treatment outcome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{"citationItems":[{"id":"ITEM-1","itemData":{"ISBN":"9789240086173","abstract":"20 years of global progress &amp; challenges","author":[{"dropping-particle":"","family":"WHO","given":"","non-dropping-particle":"","parse-names":false,"suffix":""}],"id":"ITEM-1","issued":{"date-parts":[["2023"]]},"number-of-pages":"283","title":"World malaria World malaria report report","type":"book"},"uris":["http://www.mendeley.com/documents/?uuid=73044447-283f-4a6c-8b7b-5800dba1227d"]}],"mendeley":{"formattedCitation":"(WHO, 2023)","plainTextFormattedCitation":"(WHO, 2023)","previouslyFormattedCitation":"[1]"},"properties":{"noteIndex":0},"schema":"https://github.com/citation-style-language/schema/raw/master/csl-citation.json"}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(WHO, 2023)</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Pregnant women are more susceptible to infections, which are a significant cause of recurrent pregnancy loss in women of reproductive age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10.1038/s41572-020-00228-z.","author":[{"dropping-particle":"","family":"Dimitriadis","given":"Evdokia","non-dropping-particle":"","parse-names":false,"suffix":""},{"dropping-particle":"","family":"Menkhorst","given":"Ellen","non-dropping-particle":"","parse-names":false,"suffix":""},{"dropping-particle":"","family":"Saito","given":"Shigeru","non-dropping-particle":"","parse-names":false,"suffix":""},{"dropping-particle":"","family":"Kutteh","given":"William H","non-dropping-particle":"","parse-names":false,"suffix":""},{"dropping-particle":"","family":"Brosens","given":"Jan J","non-dropping-particle":"","parse-names":false,"suffix":""}],"container-title":"National Library of Medicine National Center for biotechnology information","id":"ITEM-1","issued":{"date-parts":[["2020"]]},"page":"98","title":"Recurrent pregnancy loss","type":"article-journal","volume":"10"},"uris":["http://www.mendeley.com/documents/?uuid=f5e41274-4c74-4e2b-bf98-822565175d08","http://www.mendeley.com/documents/?uuid=a831ed73-bcfc-4ce3-967c-9650a6a34afc"]}],"mendeley":{"formattedCitation":"(Dimitriadis et al., 2020)","plainTextFormattedCitation":"(Dimitriadis et al., 2020)","previouslyFormattedCitation":"[2]"},"properties":{"noteIndex":0},"schema":"https://github.com/citation-style-language/schema/raw/master/csl-citation.json"}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(Dimitriadis et al., 2020)</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as a result of the immunological alterations that limit adaptive immune response to malaria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{"citationItems":[{"id":"ITEM-1","itemData":{"DOI":"10.1093/humupd/dmv041","ISSN":"14602369","PMID":"26386469","abstract":"Background: Miscarriage is the spontaneous loss of a pregnancy before 12 weeks (early miscarriage) or from 12 to 24 weeks (late miscarriage) of gestation. Miscarriage occurs in one in five pregnancies and can have considerable physiological and psychological implications for the patient. It is also associated with significant health care costs. There is evidence that potentially preventable infections may account for up to 15% of early miscarriages and up to 66% of late miscarriages. However, the provision of associated screening and management algorithms is inconsistent for newly pregnant women. Here, we review recent population-based studies on infections that have been shown to be associated with miscarriage. methods: Ouraim wasto examinewhere the current scientific focus lies with regards to the role of infection in miscarriage. Papers dating from June 2009 with key words 'miscarriage' and 'infection' or 'infections' were identified in PubMed (292 and 327 papers, respectively, on 2 June 2014). Relevant human studies (meta-analyses, case-control studies, cohort studies or case series) were included. Single case reports were excluded. The studies were scored based on the Newcastle - Ottawa Quality Assessment Scale. results: The association of systemic infections with malaria, brucellosis, cytomegalovirus and human immunodeficiency virus, dengue fever, influenza virus and of vaginal infection with bacterial vaginosis, with increased risk of miscarriage has been demonstrated. Q fever, adeno-associated virus, Bocavirus, Hepatitis C and Mycoplasma genitalium infections do not appear to affect pregnancy outcome. The effects of Chlamydia trachomatis, Toxoplasma gondii, human papillomavirus, herpes simplex virus, parvovirus B19, Hepatitis B and polyomavirus BK infections remain controversial, as some studies indicate increased miscarriage risk and others showno increased risk. The latest data on rubella and syphilis indicate increased antenatal screening worldwide and a decrease in the frequency of their reported associations with pregnancy failure. Though various pathogens have been associated with miscarriage, the mechanism(s) of infection-induced miscarriage are not yet fully elucidated. conclusions: Further research is required to clarify whether certain infections do increase miscarriage risk and whether screening of newly pregnant women for treatable infections would improve reproductive outcomes.","author":[{"dropping-particle":"","family":"Sevi","given":"Giakoumelou","non-dropping-particle":"","parse-names":false,"suffix":""},{"dropping-particle":"","family":"Wheelhouse","given":"","non-dropping-particle":"","parse-names":false,"suffix":""},{"dropping-particle":"","family":"Cuschieri","given":"","non-dropping-particle":"","parse-names":false,"suffix":""},{"dropping-particle":"","family":"Kate","given":"Nick","non-dropping-particle":"","parse-names":false,"suffix":""},{"dropping-particle":"","family":"Gary","given":"Entrican","non-dropping-particle":"","parse-names":false,"suffix":""},{"dropping-particle":"","family":"E.M.","given":"Sarah","non-dropping-particle":"","parse-names":false,"suffix":""},{"dropping-particle":"","family":"Howie5","given":"and Andrew W. Horne","non-dropping-particle":"","parse-names":false,"suffix":""}],"container-title":"Human Reproduction Update","id":"ITEM-1","issue":"1","issued":{"date-parts":[["2016"]]},"page":"116-133","title":"The role of infection in miscarriage","type":"article-journal","volume":"22"},"uris":["http://www.mendeley.com/documents/?uuid=a9a08424-67d9-4eb9-9896-2d691f1342c8","http://www.mendeley.com/documents/?uuid=605b486b-7d0f-4b23-94db-072aa97b4f9b"]}],"mendeley":{"formattedCitation":"(Sevi et al., 2016)","plainTextFormattedCitation":"(Sevi et al., 2016)","previouslyFormattedCitation":"[3]"},"properties":{"noteIndex":0},"schema":"https://github.com/citation-style-language/schema/raw/master/csl-citation.json"}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(Sevi et al., 2016)</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Africa is the region with the highest rate of illness and mortality among pregnant women and children. About  12% of all pregnancies are affected by malaria within the nine months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Organization","given":"","non-dropping-particle":"","parse-names":false,"suffix":""}],"container-title":"Who","id":"ITEM-1","issue":"June","issued":{"date-parts":[["2022"]]},"page":"210","title":"WHO Guidelines for malaria","type":"article-journal"},"uris":["http://www.mendeley.com/documents/?uuid=c0be0028-ae89-48aa-b711-dd88e22b78f6","http://www.mendeley.com/documents/?uuid=4210b9bc-db9f-4a3a-afc9-75af3d25d3dd"]}],"mendeley":{"formattedCitation":"(World Health Organization, 2022)","plainTextFormattedCitation":"(World Health Organization, 2022)","previouslyFormattedCitation":"[4]"},"properties":{"noteIndex":0},"schema":"https://github.com/citation-style-language/schema/raw/master/csl-citation.json"}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(World Health Organization, 2022)</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For Sub-Saharan Africa, it is estimated that interference in access to effective antimalarial expose 25% of pregnant women to pregnancies losses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{"citationItems":[{"id":"ITEM-1","itemData":{"ISBN":"9789240086173","abstract":"20 years of global progress &amp; challenges","author":[{"dropping-particle":"","family":"WHO","given":"","non-dropping-particle":"","parse-names":false,"suffix":""}],"id":"ITEM-1","issued":{"date-parts":[["2023"]]},"number-of-pages":"283","title":"World malaria World malaria report report","type":"book"},"uris":["http://www.mendeley.com/documents/?uuid=73044447-283f-4a6c-8b7b-5800dba1227d"]}],"mendeley":{"formattedCitation":"(WHO, 2023)","plainTextFormattedCitation":"(WHO, 2023)","previouslyFormattedCitation":"[1]"},"properties":{"noteIndex":0},"schema":"https://github.com/citation-style-language/schema/raw/master/csl-citation.json"}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(WHO, 2023)</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w:t>
      </w:r>
      <w:r w:rsidRPr="00EE0D4F">
        <w:rPr>
          <w:rFonts w:asciiTheme="minorBidi" w:eastAsia="Calibri" w:hAnsiTheme="minorBidi" w:cstheme="minorBidi"/>
        </w:rPr>
        <w:lastRenderedPageBreak/>
        <w:t xml:space="preserve">The malaria situation is particularly worst in Ghana's northern and savanna regions, which are also the places where malaria is most prevalent in the country. The prevalence of maternal parasitemia is comparatively higher in the northern savannah transmission zone due to the typical seasonal malaria transmission pattern, the hot weather that discourages consistent bed net use, and possibly slower urbanized development compared to Accra in the coastal belt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{"citationItems":[{"id":"ITEM-1","itemData":{"DOI":"10.1186/s12936-021-04031-3","ISSN":"14752875","PMID":"34983534","abstract":"Background: There has been a global decline in malaria transmission over the past decade. However, not much is known of the impact of this observation on the burden of malaria infection in pregnancy in endemic regions including Ghana. A narrative review was undertaken to help describe trends in malaria infection in pregnancy in Ghana. Among others, such information is important in showing any progress made in malaria in pregnancy control. Methods: To describe trends in pregnancy-associated malaria infection in Ghana, a search and review of literature reporting data on the prevalence of asymptomatic Plasmodium falciparum infection in pregnancy was conducted. Results: Thirty-six (36) studies, conducted over 1994–2019, were included in the review. In the northern savannah zone with largely seasonal malaria transmission, prevalence appeared to reduce from about 50–60% in 1994–2010 to 13–26% by 2019. In the middle transitional/forest zone, where transmission is perennial with peaks in the rainy season, prevalence apparently reduced from 60% in the late 1990 s to about 5–20% by 2018. In the coastal savannah area, there was apparent reduction from 28 to 35% in 2003–2010 to 5–11% by 2018–2019. The burden of malaria infection in pregnancy continues to be highest among teenagers and younger-aged pregnant women and paucigravidae. Conclusions: There appears to be a decline in asymptomatic parasite prevalence in pregnancy in Ghana though this has not been uniform across the different transmission zones. The greatest declines were noticeably in urban settings. Submicroscopic parasitaemia remains a challenge for control efforts. Further studies are needed to evaluate the impact of the reduced parasite prevalence on maternal anaemia and low birthweight and to assess the local burden of submicroscopic parasitaemia in relation to pregnancy outcomes.","author":[{"dropping-particle":"","family":"Osarfo","given":"Joseph","non-dropping-particle":"","parse-names":false,"suffix":""},{"dropping-particle":"","family":"Ampofo","given":"Gifty Dufie","non-dropping-particle":"","parse-names":false,"suffix":""},{"dropping-particle":"","family":"Tagbor","given":"Harry","non-dropping-particle":"","parse-names":false,"suffix":""}],"container-title":"Malaria Journal","id":"ITEM-1","issue":"1","issued":{"date-parts":[["2022"]]},"page":"1-40","title":"Trends of malaria infection in pregnancy in Ghana over the past two decades: a review","type":"article-journal","volume":"21"},"uris":["http://www.mendeley.com/documents/?uuid=3f64bf2b-2d50-43c4-ad68-8398c0f8792a","http://www.mendeley.com/documents/?uuid=1fd6f8c6-e754-4edf-80ec-94fc79dba51b"]}],"mendeley":{"formattedCitation":"(Osarfo et al., 2022)","plainTextFormattedCitation":"(Osarfo et al., 2022)","previouslyFormattedCitation":"[5]"},"properties":{"noteIndex":0},"schema":"https://github.com/citation-style-language/schema/raw/master/csl-citation.json"}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(Osarfo et al., 2022)</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About 14.1% of all pregnancies in the savanna and northern region are infected with malaria within the nine months period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10.1371/JOURNAL.PONE.0210365","ISBN":"1111111111","author":[{"dropping-particle":"","family":"Godwin","given":"Nsoh","non-dropping-particle":"","parse-names":false,"suffix":""},{"dropping-particle":"","family":"Id","given":"Anabire","non-dropping-particle":"","parse-names":false,"suffix":""},{"dropping-particle":"","family":"Armah","given":"Paul","non-dropping-particle":"","parse-names":false,"suffix":""},{"dropping-particle":"","family":"Id","given":"Aryee","non-dropping-particle":"","parse-names":false,"suffix":""},{"dropping-particle":"","family":"Abdul-karim","given":"Abass","non-dropping-particle":"","parse-names":false,"suffix":""},{"dropping-particle":"","family":"Abdulai","given":"Bakari","non-dropping-particle":"","parse-names":false,"suffix":""},{"dropping-particle":"","family":"Id","given":"Osbourne Quaye","non-dropping-particle":"","parse-names":false,"suffix":""},{"dropping-particle":"","family":"Awandare","given":"Gordon Akanzuwine","non-dropping-particle":"","parse-names":false,"suffix":""},{"dropping-particle":"","family":"Helegbe","given":"Kofi","non-dropping-particle":"","parse-names":false,"suffix":""}],"container-title":"PLOS ONE","id":"ITEM-1","issued":{"date-parts":[["2019"]]},"page":"1-14","title":"Prevalence of malaria and hepatitis B among pregnant women in Northern Ghana : Comparing RDTs with PCR","type":"article-journal"},"uris":["http://www.mendeley.com/documents/?uuid=fa82dfdf-0854-4a91-88ce-3ae9d850256e"]}],"mendeley":{"formattedCitation":"(Godwin et al., 2019)","plainTextFormattedCitation":"(Godwin et al., 2019)","previouslyFormattedCitation":"[6]"},"properties":{"noteIndex":0},"schema":"https://github.com/citation-style-language/schema/raw/master/csl-citation.json"}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(Godwin et al., 2019)</w:t>
      </w:r>
      <w:r w:rsidRPr="00EE0D4F">
        <w:rPr>
          <w:rFonts w:asciiTheme="minorBidi" w:eastAsia="Calibri" w:hAnsiTheme="minorBidi" w:cstheme="minorBidi"/>
        </w:rPr>
        <w:fldChar w:fldCharType="end"/>
      </w:r>
      <w:r w:rsidRPr="00EE0D4F">
        <w:rPr>
          <w:rFonts w:asciiTheme="minorBidi" w:eastAsia="Calibri" w:hAnsiTheme="minorBidi" w:cstheme="minorBidi"/>
        </w:rPr>
        <w:t>.</w:t>
      </w:r>
    </w:p>
    <w:p w14:paraId="5A4E1305" w14:textId="39EFEE61"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Malaria infection is categorized as uncomplicated or severe malaria depending on the extent of end-organ damage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Organization","given":"","non-dropping-particle":"","parse-names":false,"suffix":""}],"container-title":"Who","id":"ITEM-1","issue":"June","issued":{"date-parts":[["2022"]]},"page":"210","title":"WHO Guidelines for malaria","type":"article-journal"},"uris":["http://www.mendeley.com/documents/?uuid=c0be0028-ae89-48aa-b711-dd88e22b78f6"]}],"mendeley":{"formattedCitation":"(World Health Organization, 2022)","plainTextFormattedCitation":"(World Health Organization, 2022)","previouslyFormattedCitation":"[4]"},"properties":{"noteIndex":0},"schema":"https://github.com/citation-style-language/schema/raw/master/csl-citation.json"}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(World Health Organization, 2022)</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Uncomplicated malaria is characterized by fever, general body aches, fatigue, malaise, and musculoskeletal pain with no signs of end-organ dysfunction. Uncomplicated malaria that is not treated or managed promptly progresses to severe life-threatening problems. Severe malaria quickly develops from uncomplicated malaria if it is not treated properly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{"citationItems":[{"id":"ITEM-1","itemData":{"DOI":"10.1371/journal.pmed.1002290","ISBN":"1111111111","ISSN":"15491676","PMID":"28463996","abstract":"Background: Animal embryotoxicity data, and the scarcity of safety data in human pregnancies, have prevented artemisinin derivatives from being recommended for malaria treatment in the first trimester except in lifesaving circumstances. We conducted a meta-analysis of prospective observational studies comparing the risk of miscarriage, stillbirth, and major congenital anomaly (primary outcomes) among first-trimester pregnancies treated with artemisinin derivatives versus quinine or no antimalarial treatment. Methods and findings: Electronic databases including Medline, Embase, and Malaria in Pregnancy Library were searched, and investigators contacted. Five studies involving 30,618 pregnancies were included; four from sub-Saharan Africa (n = 6,666 pregnancies, six sites) and one from Thailand (n = 23,952). Antimalarial exposures were ascertained by self-report or active detection and confirmed by prescriptions, clinic cards, and outpatient registers. Cox proportional hazards models, accounting for time under observation and gestational age at enrollment, were used to calculate hazard ratios. Individual participant data (IPD) meta-analysis was used to combine the African studies, and the results were then combined with those from Thailand using aggregated data meta-analysis with a random effects model. There was no difference in the risk of miscarriage associated with the use of artemisinins anytime during the first trimester (n = 37/671) compared with quinine (n = 96/945; adjusted hazard ratio [aHR] = 0.73 [95% CI 0.44, 1.21], I2= 0%, p = 0.228), in the risk of stillbirth (artemisinins, n = 10/654; quinine, n = 11/615; aHR = 0.29 [95% CI 0.08–1.02], p = 0.053), or in the risk of miscarriage and stillbirth combined (pregnancy loss) (aHR = 0.58 [95% CI 0.36–1.02], p = 0.099). The corresponding risks of miscarriage, stillbirth, and pregnancy loss in a sensitivity analysis restricted to artemisinin exposures during the embryo sensitive period (6–12 wk gestation) were as follows: aHR = 1.04 (95% CI 0.54–2.01), I2= 0%, p = 0.910; aHR = 0.73 (95% CI 0.26–2.06), p = 0.551; and aHR = 0.98 (95% CI 0.52–2.04), p = 0.603. The prevalence of major congenital anomalies was similar for first-trimester artemisinin (1.5% [95% CI 0.6%–3.5%]) and quinine exposures (1.2% [95% CI 0.6%–2.4%]). Key limitations of the study include the inability to control for confounding by indication in the African studies, the paucity of data on potential confounders, the limited statistical…","author":[{"dropping-particle":"","family":"Dellicour","given":"Stephanie","non-dropping-particle":"","parse-names":false,"suffix":""},{"dropping-particle":"","family":"Sevene","given":"Esperança","non-dropping-particle":"","parse-names":false,"suffix":""},{"dropping-particle":"","family":"McGready","given":"Rose","non-dropping-particle":"","parse-names":false,"suffix":""},{"dropping-particle":"","family":"Tinto","given":"Halidou","non-dropping-particle":"","parse-names":false,"suffix":""},{"dropping-particle":"","family":"Mosha","given":"Dominic","non-dropping-particle":"","parse-names":false,"suffix":""},{"dropping-particle":"","family":"Manyando","given":"Christine","non-dropping-particle":"","parse-names":false,"suffix":""},{"dropping-particle":"","family":"Rulisa","given":"Stephen","non-dropping-particle":"","parse-names":false,"suffix":""},{"dropping-particle":"","family":"Desai","given":"Meghna","non-dropping-particle":"","parse-names":false,"suffix":""},{"dropping-particle":"","family":"Ouma","given":"Peter","non-dropping-particle":"","parse-names":false,"suffix":""},{"dropping-particle":"","family":"Oneko","given":"Martina","non-dropping-particle":"","parse-names":false,"suffix":""},{"dropping-particle":"","family":"Vala","given":"Anifa","non-dropping-particle":"","parse-names":false,"suffix":""},{"dropping-particle":"","family":"Rupérez","given":"Maria","non-dropping-particle":"","parse-names":false,"suffix":""},{"dropping-particle":"","family":"Macete","given":"Eusébio","non-dropping-particle":"","parse-names":false,"suffix":""},{"dropping-particle":"","family":"Menéndez","given":"Clara","non-dropping-particle":"","parse-names":false,"suffix":""},{"dropping-particle":"","family":"Nakanabo-Diallo","given":"Seydou","non-dropping-particle":"","parse-names":false,"suffix":""},{"dropping-particle":"","family":"Kazienga","given":"Adama","non-dropping-particle":"","parse-names":false,"suffix":""},{"dropping-particle":"","family":"Valéa","given":"Innocent","non-dropping-particle":"","parse-names":false,"suffix":""},{"dropping-particle":"","family":"Calip","given":"Gregory","non-dropping-particle":"","parse-names":false,"suffix":""},{"dropping-particle":"","family":"Augusto","given":"Orvalho","non-dropping-particle":"","parse-names":false,"suffix":""},{"dropping-particle":"","family":"Genton","given":"Blaise","non-dropping-particle":"","parse-names":false,"suffix":""},{"dropping-particle":"","family":"Njunju","given":"Eric M.","non-dropping-particle":"","parse-names":false,"suffix":""},{"dropping-particle":"","family":"Moore","given":"Kerryn A.","non-dropping-particle":"","parse-names":false,"suffix":""},{"dropping-particle":"","family":"d’Alessandro","given":"Umberto","non-dropping-particle":"","parse-names":false,"suffix":""},{"dropping-particle":"","family":"Nosten","given":"Francois","non-dropping-particle":"","parse-names":false,"suffix":""},{"dropping-particle":"","family":"Kuile","given":"Feiko","non-dropping-particle":"ter","parse-names":false,"suffix":""},{"dropping-particle":"","family":"Stergachis","given":"Andy","non-dropping-particle":"","parse-names":false,"suffix":""}],"container-title":"PLoS Medicine","id":"ITEM-1","issue":"5","issued":{"date-parts":[["2017"]]},"title":"First-trimester artemisinin derivatives and quinine treatments and the risk of adverse pregnancy outcomes in Africa and Asia: A meta-analysis of observational studies","type":"article-journal","volume":"14"},"uris":["http://www.mendeley.com/documents/?uuid=a768e333-7cd0-4a03-bd31-b8dc8d6d216e","http://www.mendeley.com/documents/?uuid=459d7fb9-ac21-42ce-b929-91a8151d0275"]}],"mendeley":{"formattedCitation":"(Dellicour et al., 2017)","plainTextFormattedCitation":"(Dellicour et al., 2017)","previouslyFormattedCitation":"[7]"},"properties":{"noteIndex":0},"schema":"https://github.com/citation-style-language/schema/raw/master/csl-citation.json"}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(Dellicour et al., 2017)</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and inefficient treatment ultimately lead to death once vital organ malfunction occurs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{"citationItems":[{"id":"ITEM-1","itemData":{"DOI":"10.3184/003685009X440290","ISSN":"00368504","PMID":"19544698","abstract":"The renewed interest in malaria research and control is based on the intolerable toll this disease takes on young children and pregnant women in Africa and other vulnerable populations; 150 to 300 children die each hour from malaria amounting to 1 to 2 million deaths yearly. Malaria-induced neurologic impairment, anemia, hypoglycemia, and low birth weight imperil normal development and survival. Resistance of Plasmodium falciparum to drugs and Anopheles mosquitoes to insecticides has stimulated discovery and development of artemisinin-based combination treatments (ACTs) and other drugs, long-lasting insecticide-treated bednets (with synthetic pyrethroids) and a search for non-toxic, long-lasting, affordable insecticides for indoor residual spraying (IRS). Malaria vaccine development and testing are progressing rapidly and a recombinant protein (RTS,S/AS02A) directed against the circumsporozoite protein is soon to be in Phase 3 trials. Support for malaria control, research, and advocacy through the Global Fund for HIV/AIDS, Tuberculosis and Malaria, the U. S. President's Malaria Initiative, the Bill &amp; Melinda Gates Foundation, WHO and other organizations is resulting in decreasing morbidity and mortality in many malarious countries. Sustainability of effective programs through training and institution strengthening will be the key to malaria elimination coupled with improved surveillance and targeted research.","author":[{"dropping-particle":"","family":"Breman","given":"Joel G.","non-dropping-particle":"","parse-names":false,"suffix":""}],"container-title":"Science Progress","id":"ITEM-1","issue":"1","issued":{"date-parts":[["2009"]]},"page":"1-38","title":"Eradicating malaria","type":"article-journal","volume":"92"},"uris":["http://www.mendeley.com/documents/?uuid=b665d629-3518-4198-96c9-7ebe8e158a51","http://www.mendeley.com/documents/?uuid=d262b925-e81c-4bf8-b780-b6da118711ce"]}],"mendeley":{"formattedCitation":"(Breman, 2009)","plainTextFormattedCitation":"(Breman, 2009)","previouslyFormattedCitation":"[8]"},"properties":{"noteIndex":0},"schema":"https://github.com/citation-style-language/schema/raw/master/csl-citation.json"}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(Breman, 2009)</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w:t>
      </w:r>
    </w:p>
    <w:p w14:paraId="003C92CB" w14:textId="22066394"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Due to the deadly effects of malaria in human populations, numerous treatments are used in different countries. Malaria was not prioritized internationally for many decades until the 1990s when the World Health Organization (WHO) started to offer suggestions for endemic countries to follow to reduce the global burden of the disease in the populations. WHO recommends three strategies for protecting pregnant women against the negative consequences of malaria. For nations where malaria is endemic such as Ghana, insecticide-treated nets (ITNs), intermittent preventive treatment (IPTp), and quick and effective case care and management are recommended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{"citationItems":[{"id":"ITEM-1","itemData":{"ISBN":"9789241599412","abstract":"WHO policy on implementing the new IPTp-SP recommendations","author":[{"dropping-particle":"","family":"WHO","given":"","non-dropping-particle":"","parse-names":false,"suffix":""}],"container-title":"WHO Department of Maternal, Newborn, Child and Adolescent Health","id":"ITEM-1","issue":"October 2012","issued":{"date-parts":[["2014"]]},"page":"1-13","title":"WHO policy brief for the implementation of intermittent preventive treatment of malaria in pregnancy April 2013 ( revised January 2014 )","type":"article-journal"},"uris":["http://www.mendeley.com/documents/?uuid=00e6e713-771e-4cd9-aeda-6fac5e69905b","http://www.mendeley.com/documents/?uuid=d9d17acf-8ee0-4317-ae83-3781434615bf"]}],"mendeley":{"formattedCitation":"(WHO, 2014)","plainTextFormattedCitation":"(WHO, 2014)","previouslyFormattedCitation":"[9]"},"properties":{"noteIndex":0},"schema":"https://github.com/citation-style-language/schema/raw/master/csl-citation.json"}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(WHO, 20</w:t>
      </w:r>
      <w:r w:rsidR="00D36AAE">
        <w:rPr>
          <w:rFonts w:asciiTheme="minorBidi" w:eastAsia="Calibri" w:hAnsiTheme="minorBidi" w:cstheme="minorBidi"/>
          <w:noProof/>
        </w:rPr>
        <w:t>22</w:t>
      </w:r>
      <w:r w:rsidR="00C57A48" w:rsidRPr="00EE0D4F">
        <w:rPr>
          <w:rFonts w:asciiTheme="minorBidi" w:eastAsia="Calibri" w:hAnsiTheme="minorBidi" w:cstheme="minorBidi"/>
          <w:noProof/>
        </w:rPr>
        <w:t>)</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Due to evidence that malaria monotherapy leads to the rapid development of drug resistance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10.1586/ERI.09.85","ISSN":"14787210","PMID":"19883322","author":[{"dropping-particle":"","family":"Schlagenhauf","given":"Patricia","non-dropping-particle":"","parse-names":false,"suffix":""},{"dropping-particle":"","family":"Petersen","given":"Eskild","non-dropping-particle":"","parse-names":false,"suffix":""}],"container-title":"Expert Review of Anti-Infective Therapy","id":"ITEM-1","issue":"9","issued":{"date-parts":[["2009"]]},"page":"1039-1042","title":"Editorial: Antimalaria drug resistance: The mono-combi-counterfeit triangle","type":"article-journal","volume":"7"},"uris":["http://www.mendeley.com/documents/?uuid=ebab3195-36a3-4293-8809-33f73929d8e5","http://www.mendeley.com/documents/?uuid=39be25c1-a9d5-433a-b483-6018fd427f1c"]}],"mendeley":{"formattedCitation":"(Schlagenhauf &amp; Petersen, 2009)","plainTextFormattedCitation":"(Schlagenhauf &amp; Petersen, 2009)","previouslyFormattedCitation":"[10]"},"properties":{"noteIndex":0},"schema":"https://github.com/citation-style-language/schema/raw/master/csl-citation.json"}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(Schlagenhauf &amp; Petersen, 2009)</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the World Health Organization recommends quinine + clindamycin (10mg/kg body weight thrice daily) for 7 days for uncomplicated malaria. Parenteral quinine and artesunate are recommended for severe malaria treatment for the past 20 years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ISBN":"9789988257873","author":[{"dropping-particle":"","family":"MoH","given":"","non-dropping-particle":"","parse-names":false,"suffix":""}],"edition":"7th","id":"ITEM-1","issued":{"date-parts":[["2017"]]},"number-of-pages":"708","publisher-place":"Ghana","title":"Standard Treatment Guidelines","type":"book"},"uris":["http://www.mendeley.com/documents/?uuid=bb958cc3-ec10-416a-bdef-06159dfcd350"]},{"id":"ITEM-2","itemData":{"abstract":"Cosmetic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Organization","given":"","non-dropping-particle":"","parse-names":false,"suffix":""}],"container-title":"Who","id":"ITEM-2","issue":"June","issued":{"date-parts":[["2022"]]},"page":"210","title":"WHO Guidelines for malaria","type":"article-journal"},"uris":["http://www.mendeley.com/documents/?uuid=c0be0028-ae89-48aa-b711-dd88e22b78f6"]}],"mendeley":{"formattedCitation":"(MoH, 2017; World Health Organization, 2022)"},"properties":{"noteIndex":0},"schema":"https://github.com/citation-style-language/schema/raw/master/csl-citation.json"}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(MoH, 2017; World Health Organization, 2022)</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As a result of concerns for embryotoxicity and congenital malformations with artemisinin administration in the first half of pregnancy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{"citationItems":[{"id":"ITEM-1","itemData":{"DOI":"10.1371/journal.pone.0164963","ISSN":"19326203","PMID":"27824884","abstract":"Given the high morbidity for mother and fetus associated with malaria in pregnancy, safe and efficacious drugs are needed for treatment. Artemisinin derivatives are the most effective antimalarials, but are associated with teratogenic and embryotoxic effects in animal models when used in early pregnancy. However, several organ systems are still under development later in pregnancy. We conducted a systematic review and meta-analysis of the occurrence of adverse pregnancy outcomes among women treated with artemisinins monotherapy or as artemisinin-based combination therapy during the 2nd or 3rd trimesters relative to pregnant women who received non-artemisinin antimalarials or none at all. Pooled odds ratio (POR) were calculated using Mantel-Haenszel fixed effects model with a 0.5 continuity correction for zero events. Eligible studies were identified through Medline, Embase, and the Malaria in Pregnancy Consortium Library. Twenty studies (11 cohort studies and 9 randomized controlled trials) contributed to the analysis, with 3,707 women receiving an artemisinin, 1,951 a non-artemisinin antimalarial, and 13,714 no antimalarial. The PORs (95% confidence interval (CI)) for stillbirth, fetal loss, and congenital anomalies when comparing artemisinin versus quinine were 0.49 (95% CI 0.24-0.97,I2 = 0%, 3 studies); 0.58 (95% CI 0.31-1.16,I2 = 0%, 6 studies); and 1.00 (95% CI 0.27-3.75,I2 = 0%, 3 studies), respectively. The PORs comparing artemisinin users to pregnant women who received no antimalarial were 1.13 (95% CI 0.77-1.66,I2 = 86.7%, 3 studies); 1.10 (95% CI 0.79-1.54, I2 = 0%, 4 studies); and 0.79 (95% CI 0.37-1.67,I2 = 0%, 3 studies) for miscarriage, stillbirth and congenital anomalies respectively. Treatment with artemisinin in 2nd and 3rd trimester was not associated with increased risks of congenital malformations or miscarriage and may be was associated with a reduced risk of stillbirths compared to quinine. This study updates the reviews conducted by the WHO in 2002 and 2006 and supports the current WHO malaria treatment guidelines malaria in pregnancy.","author":[{"dropping-particle":"","family":"Kovacs","given":"Stephanie D.","non-dropping-particle":"","parse-names":false,"suffix":""},{"dropping-particle":"","family":"Eijk","given":"Anna Maria","non-dropping-particle":"Van","parse-names":false,"suffix":""},{"dropping-particle":"","family":"Sevene","given":"Esperanca","non-dropping-particle":"","parse-names":false,"suffix":""},{"dropping-particle":"","family":"Dellicour","given":"Stephanie","non-dropping-particle":"","parse-names":false,"suffix":""},{"dropping-particle":"","family":"Weiss","given":"Noel S.","non-dropping-particle":"","parse-names":false,"suffix":""},{"dropping-particle":"","family":"Emerson","given":"Scott","non-dropping-particle":"","parse-names":false,"suffix":""},{"dropping-particle":"","family":"Steketee","given":"Richard","non-dropping-particle":"","parse-names":false,"suffix":""},{"dropping-particle":"","family":"Kuile","given":"Feiko O.","non-dropping-particle":"Ter","parse-names":false,"suffix":""},{"dropping-particle":"","family":"Stergachis","given":"Andy","non-dropping-particle":"","parse-names":false,"suffix":""}],"container-title":"PLoS ONE","id":"ITEM-1","issue":"11","issued":{"date-parts":[["2016"]]},"page":"1-20","title":"The safety of artemisinin derivatives for the treatment of malaria in the 2nd or 3rd trimester of pregnancy: A systematic review and meta-analysis","type":"article-journal","volume":"11"},"uris":["http://www.mendeley.com/documents/?uuid=173f4197-624e-491e-8eee-8810ad07f891","http://www.mendeley.com/documents/?uuid=1e0bdc16-adc8-4d0b-8a64-ce17caeeb6f1"]}],"mendeley":{"formattedCitation":"(Kovacs et al., 2016)","plainTextFormattedCitation":"(Kovacs et al., 2016)","previouslyFormattedCitation":"[12]"},"properties":{"noteIndex":0},"schema":"https://github.com/citation-style-language/schema/raw/master/csl-citation.json"}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(Kovacs et al., 2016)</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WHO suggested artemisinin-based combination therapies (ACTs) as first-line drugs for the treatment of uncomplicated malaria parasites in only the second and third trimesters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Organization","given":"","non-dropping-particle":"","parse-names":false,"suffix":""}],"container-title":"Who","id":"ITEM-1","issue":"June","issued":{"date-parts":[["2022"]]},"page":"210","title":"WHO Guidelines for malaria","type":"article-journal"},"uris":["http://www.mendeley.com/documents/?uuid=c0be0028-ae89-48aa-b711-dd88e22b78f6"]}],"mendeley":{"formattedCitation":"(World Health Organization, 2022)","plainTextFormattedCitation":"(World Health Organization, 2022)","previouslyFormattedCitation":"[4]"},"properties":{"noteIndex":0},"schema":"https://github.com/citation-style-language/schema/raw/master/csl-citation.json"}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(World Health Organization, 2022)</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w:t>
      </w:r>
    </w:p>
    <w:p w14:paraId="2ED81F68" w14:textId="6D4760B9"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Pregnant women in the first trimester of pregnancy (MIFP) should not be given ACTs (Artemether/Lumefantrine, Dihydroartemisinic-Piperaquine, Artesunate Amodiaquine) but in the second and third trimesters, they should be treated with these ACTs. The exclusion of artemisinin for malaria treatment in the first trimester of pregnancy was due to limited information to support its safety in the first trimester of pregnancy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{"citationItems":[{"id":"ITEM-1","itemData":{"DOI":"10.1186/1475-2875-6-15","ISSN":"14752875","PMID":"17300719","abstract":"Background. An increasing number of countries in sub-Saharan Africa are changing to artemisinins combination therapy (ACT) as first or second line treatment for malaria. There is an urgent need to assess the safety of these drugs in pregnant women who may be inadvertently exposed to or actively treated with ACTs. Objectives. To examine existing published evidence on the relationship between artemisinin compounds and adverse pregnancy outcomes and consider the published evidence with regard to the safety of these compounds when administered during pregnancy. Methods. Studies on ACT use in pregnancy were identified via searches of MEDLINE, EMBASE, Cochrane and Current Contents databases. Data on study characteristics, maternal adverse events, pregnancy outcomes and infant follow up were extracted. Results. Fourteen relevant studies (nine descriptive/case reports and five controlled trials) were identified. Numbers of participants in these studies ranged from six to 461. Overall there were reports on 945 women exposed to an artemisinin during pregnancy, 123 in the 1st trimester and 822 in 2nd or 3rd trimesters. The primary end points for these studies were drug efficacy and parasite clearance. Secondary endpoints were birth outcomes including low birth weight, pre-term birth, pregnancy loss, congenital anomalies and developmental milestones. While none of the studies found evidence for an association between the use of artemisinin compounds and increased risk of adverse pregnancy outcomes, none were of sufficient size to detect small differences in event rates that could be of public health importance. Heterogeneity between studies in the artemisinin and comparator drugs used, and in definitions of adverse pregnancy outcomes, limited any pooled analysis. Conclusion. The limited data available suggest that artemisinins are effective and unlikely to be cause of foetal loss or abnormalities, when used in late pregnancy. However, none of these studies had adequate power to rule out rare serious adverse events, even in 2nd and 3rd trimesters and there is not enough evidence to effectively assess the risk-benefit profile of artemisinin compounds for pregnant women particularly for 1st trimester exposure. Methodologically rigorous, larger studies and post-marketing pharmacovigilance are urgently required. © 2007 Dellicour et al; licensee BioMed Central Ltd.","author":[{"dropping-particle":"","family":"Dellicour","given":"Stephanie","non-dropping-particle":"","parse-names":false,"suffix":""},{"dropping-particle":"","family":"Hall","given":"Susan","non-dropping-particle":"","parse-names":false,"suffix":""},{"dropping-particle":"","family":"Chandramohan","given":"Daniel","non-dropping-particle":"","parse-names":false,"suffix":""},{"dropping-particle":"","family":"Greenwood","given":"Brian","non-dropping-particle":"","parse-names":false,"suffix":""}],"container-title":"Malaria Journal","id":"ITEM-1","issued":{"date-parts":[["2007"]]},"page":"1-10","title":"The safety of artemisinins during pregnancy: A pressing question","type":"article-journal","volume":"6"},"uris":["http://www.mendeley.com/documents/?uuid=016e3b1d-fb92-49c7-9421-ca260cf0065e","http://www.mendeley.com/documents/?uuid=32a4fef0-9d13-4907-a34a-26815034d31f"]}],"mendeley":{"formattedCitation":"(Dellicour et al., 2007)","plainTextFormattedCitation":"(Dellicour et al., 2007)","previouslyFormattedCitation":"[13]"},"properties":{"noteIndex":0},"schema":"https://github.com/citation-style-language/schema/raw/master/csl-citation.json"}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(Dellicour et al., 2007)</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w:t>
      </w:r>
      <w:bookmarkStart w:id="2" w:name="_Hlk138596966"/>
      <w:r w:rsidRPr="00EE0D4F">
        <w:rPr>
          <w:rFonts w:asciiTheme="minorBidi" w:eastAsia="Calibri" w:hAnsiTheme="minorBidi" w:cstheme="minorBidi"/>
        </w:rPr>
        <w:t>For the past 20 years, Ghana’s malaria treatment protocols have aligned with the WHO’s guidelines. However, the current updated WHO guidelines now recommend some ACTs, such as Artemether/Lumefantrine and Artesunate Amodiaquine, for malaria treatment in pregnancy. Yet, Ghana has not updated its guidelines to reflect these latest WHO recommendations. In 2022, the WHO's recommendations were based on two decades of malaria treatment practices that involved quinine in the first trimester and ACTs in the second and third trimesters. These guidelines were still being enforced by both WHO and Ghana at the time the data was collected for this study.</w:t>
      </w:r>
    </w:p>
    <w:p w14:paraId="3439B253" w14:textId="119C0DA1"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Despite the existence of clear guidelines, overdiagnosis and mismanagement of malaria is still persistent globally. This leads to wastage of malaria medications, misallocation of resources, and frequent hospital attendance. It also results in poor response to treatment regimens and consequently, increased workload on the clinicians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{"citationItems":[{"id":"ITEM-1","itemData":{"DOI":"10.1371/journal.pone.0058107","author":[{"dropping-particle":"","family":"Osei-kwakye","given":"Kingsley","non-dropping-particle":"","parse-names":false,"suffix":""},{"dropping-particle":"","family":"Asante","given":"Kwaku Poku","non-dropping-particle":"","parse-names":false,"suffix":""},{"dropping-particle":"","family":"Mahama","given":"Emmanuel","non-dropping-particle":"","parse-names":false,"suffix":""},{"dropping-particle":"","family":"Apanga","given":"Stephen","non-dropping-particle":"","parse-names":false,"suffix":""},{"dropping-particle":"","family":"Owusu","given":"Ruth","non-dropping-particle":"","parse-names":false,"suffix":""},{"dropping-particle":"","family":"Kwara","given":"Evans","non-dropping-particle":"","parse-names":false,"suffix":""},{"dropping-particle":"","family":"Adjei","given":"George","non-dropping-particle":"","parse-names":false,"suffix":""},{"dropping-particle":"","family":"Abokyi","given":"Livesy","non-dropping-particle":"","parse-names":false,"suffix":""},{"dropping-particle":"","family":"Yeetey","given":"Enuameh","non-dropping-particle":"","parse-names":false,"suffix":""},{"dropping-particle":"","family":"Dosoo","given":"David Kwame","non-dropping-particle":"","parse-names":false,"suffix":""},{"dropping-particle":"","family":"Punguyire","given":"Damien","non-dropping-particle":"","parse-names":false,"suffix":""},{"dropping-particle":"","family":"Owusu-agyei","given":"Seth","non-dropping-particle":"","parse-names":false,"suffix":""}],"id":"ITEM-1","issue":"3","issued":{"date-parts":[["2013"]]},"page":"1-7","title":"The Benefits or Otherwise of Managing Malaria Cases with or without Laboratory Diagnosis : The Experience in a District Hospital in Ghana","type":"article-journal","volume":"8"},"uris":["http://www.mendeley.com/documents/?uuid=3c5d9435-e025-49e1-945a-3933bd09aeec","http://www.mendeley.com/documents/?uuid=45f1a5da-91c0-40c6-87f3-6acea3246571"]}],"mendeley":{"formattedCitation":"(Osei-kwakye et al., 2013)","plainTextFormattedCitation":"(Osei-kwakye et al., 2013)","previouslyFormattedCitation":"[14]"},"properties":{"noteIndex":0},"schema":"https://github.com/citation-style-language/schema/raw/master/csl-citation.json"}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(Osei-kwakye et al., 2013)</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Untreated placental malaria as a results of missed diagnosis and delayed treatment is responsible for negative pregnancy outcomes such as miscarriage, low birth weight, and stillbirth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{"citationItems":[{"id":"ITEM-1","itemData":{"author":[{"dropping-particle":"","family":"Zakama","given":"Arthurine K","non-dropping-particle":"","parse-names":false,"suffix":""},{"dropping-particle":"","family":"Ozarslan","given":"Nida","non-dropping-particle":"","parse-names":false,"suffix":""},{"dropping-particle":"","family":"Gaw","given":"Stephanie L","non-dropping-particle":"","parse-names":false,"suffix":""}],"id":"ITEM-1","issued":{"date-parts":[["2020"]]},"page":"162-171","publisher":"Current Tropical Medicine Reports","title":"Placental Malaria","type":"article-journal"},"uris":["http://www.mendeley.com/documents/?uuid=cf2884c4-00f4-48c5-8a9e-d10b570e2840","http://www.mendeley.com/documents/?uuid=40e05088-707d-43e6-a73a-df19834e8d4f"]}],"mendeley":{"formattedCitation":"(Zakama et al., 2020)","plainTextFormattedCitation":"(Zakama et al., 2020)","previouslyFormattedCitation":"[15]"},"properties":{"noteIndex":0},"schema":"https://github.com/citation-style-language/schema/raw/master/csl-citation.json"}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(Zakama et al., 2020)</w:t>
      </w:r>
      <w:r w:rsidRPr="00EE0D4F">
        <w:rPr>
          <w:rFonts w:asciiTheme="minorBidi" w:eastAsia="Calibri" w:hAnsiTheme="minorBidi" w:cstheme="minorBidi"/>
        </w:rPr>
        <w:fldChar w:fldCharType="end"/>
      </w:r>
      <w:r w:rsidRPr="00EE0D4F">
        <w:rPr>
          <w:rFonts w:asciiTheme="minorBidi" w:eastAsia="Calibri" w:hAnsiTheme="minorBidi" w:cstheme="minorBidi"/>
        </w:rPr>
        <w:t>.</w:t>
      </w:r>
    </w:p>
    <w:p w14:paraId="247ADE57" w14:textId="7A7D05DB"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Additionally, medical practitioners regularly flout treatment recommendations due to influences of their own experiences and pharmaceutical companies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{"citationItems":[{"id":"ITEM-1","itemData":{"DOI":"10.1186/1475-2875-7-29","ISSN":"14752875","PMID":"18252000","abstract":"Background. Kenya recently changed its antimalarial drug policy to a specific artemisinin-based combination therapy (ACT), artemether-lumefantrine (AL). New national guidelines on the diagnosis, treatment and prevention were developed and disseminated to health workers together with in-service training. Methods. Between January and March 2007, 36 in-depth interviews were conducted in five rural districts with health workers who attended in-service training and were non-adherent to the new guidelines. A further 20 interviews were undertaken with training facilitators and members of District Health Management Teams (DHMTs) to explore reasons underlying health workers' non-adherence. Results. Health workers generally perceived AL as being tolerable and efficacious as compared to amodiaquine and sulphadoxine-pyremethamine. However, a number of key reasons for non-adherence were identified. Insufficient supply of AL was a major issue and hence fears of stock outs and concern about AL costs was an impediment to AL prescription. Training messages that contradicted the recommended guidelines also led to health worker non-adherence, compounded by a lack of follow-up supervision. In addition, the availability of non-recommended antimalarials such as amodiaquine caused prescription confusion. Some health workers and DHMT members maintained that shortage of staff had resulted in increased patient caseload affecting the delivery of the desirable quality of care and adherence to guidelines. Conclusion. The introduction of free efficacious ACTs in the public health sector in Kenya and other countries has major potential public health benefits for Africa. These may not be realized if provider prescription practices do not conform to the recommended treatment guidelines. It is essential that high quality training, drug supply and supervision work synergistically to ensure appropriate case management. © 2008 Wasunna et al; licensee BioMed Central Ltd.","author":[{"dropping-particle":"","family":"Wasunna","given":"Beatrice","non-dropping-particle":"","parse-names":false,"suffix":""},{"dropping-particle":"","family":"Zurovac","given":"Dejan","non-dropping-particle":"","parse-names":false,"suffix":""},{"dropping-particle":"","family":"Goodman","given":"Catherine A.","non-dropping-particle":"","parse-names":false,"suffix":""},{"dropping-particle":"","family":"Snow","given":"Robert W.","non-dropping-particle":"","parse-names":false,"suffix":""}],"container-title":"Malaria Journal","id":"ITEM-1","issued":{"date-parts":[["2008"]]},"page":"1-9","title":"Why don't health workers prescribe ACT? A qualitative study of factors affecting the prescription of artemether-lumefantrine","type":"article-journal","volume":"7"},"uris":["http://www.mendeley.com/documents/?uuid=bbb4dacc-15f2-4487-b690-c6be6b233d8c","http://www.mendeley.com/documents/?uuid=c1c17492-973d-48b0-a083-78f6b61d89df"]}],"mendeley":{"formattedCitation":"(Wasunna et al., 2008)","plainTextFormattedCitation":"(Wasunna et al., 2008)","previouslyFormattedCitation":"[16]"},"properties":{"noteIndex":0},"schema":"https://github.com/citation-style-language/schema/raw/master/csl-citation.json"}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(Wasunna et al., 2008)</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Previous studies have found that clinicians’ clinical experience, use of educational materials </w:t>
      </w:r>
      <w:r w:rsidRPr="00EE0D4F">
        <w:rPr>
          <w:rFonts w:asciiTheme="minorBidi" w:eastAsia="Calibri" w:hAnsiTheme="minorBidi" w:cstheme="minorBidi"/>
        </w:rPr>
        <w:lastRenderedPageBreak/>
        <w:t xml:space="preserve">for ongoing medical knowledge updates, and willingness to involve patients in decision-making all affected compliance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{"citationItems":[{"id":"ITEM-1","itemData":{"author":[{"dropping-particle":"","family":"Magzoub, M.A., Neyaz, Y., Khoja, T., Qureshi, N.A., Haycox","given":"A. et","non-dropping-particle":"","parse-names":false,"suffix":""}],"id":"ITEM-1","issued":{"date-parts":[["2011"]]},"page":"21-22","title":"Determinants of physicians ' medication prescribing behaviour in primary care in Riyadh city , Saudi Arabia","type":"article-journal"},"uris":["http://www.mendeley.com/documents/?uuid=e629b907-88af-49cf-b423-ff445b9d35ad","http://www.mendeley.com/documents/?uuid=37816871-9f75-4985-bf20-72fa323bd9e3"]}],"mendeley":{"formattedCitation":"(Magzoub, M.A., Neyaz, Y., Khoja, T., Qureshi, N.A., Haycox, 2011)","plainTextFormattedCitation":"(Magzoub, M.A., Neyaz, Y., Khoja, T., Qureshi, N.A., Haycox, 2011)","previouslyFormattedCitation":"[17]"},"properties":{"noteIndex":0},"schema":"https://github.com/citation-style-language/schema/raw/master/csl-citation.json"}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(Magzoub, M.A., Neyaz, Y., Khoja, T., Qureshi, N.A., Haycox, 2011)</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According to a study done in Nigeria, life-threatening outcomes of quinine-based therapy (oral and/or parenteral) such as miscarriages in the first half of pregnancies as noted by clinicians have informed them on prescription choices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{"citationItems":[{"id":"ITEM-1","itemData":{"author":[{"dropping-particle":"","family":"Access","given":"Promoting","non-dropping-particle":"","parse-names":false,"suffix":""},{"dropping-particle":"","family":"African","given":"T O","non-dropping-particle":"","parse-names":false,"suffix":""}],"id":"ITEM-1","issued":{"date-parts":[["2011"]]},"page":"4-7","title":"How Many Physicians Prescribe Quinine For The Treatment Of Malaria In The First Trimester Of Pregnancy ?","type":"article-journal"},"uris":["http://www.mendeley.com/documents/?uuid=dd2e88a4-1ccb-483d-b14d-56815861dcff"]}],"mendeley":{"formattedCitation":"(Access &amp; African, 2011)","plainTextFormattedCitation":"(Access &amp; African, 2011)","previouslyFormattedCitation":"[18]"},"properties":{"noteIndex":0},"schema":"https://github.com/citation-style-language/schema/raw/master/csl-citation.json"}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(Access &amp; African, 2011)</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About half of clinicians treat malaria in the first trimester with unrecommended antimalarial such as A/L. A study in Kenya among found a significant differences in compliance to malaria treatment across pregnancy. About 71% of clinicians complied in non-pregnant women, 54% in the third trimester, 24% in the second trimester and no correct treatment in the first trimester of pregnancy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{"citationItems":[{"id":"ITEM-1","itemData":{"DOI":"10.1371/journal.pone.0145616","ISSN":"19326203","PMID":"26789638","abstract":"Background Although prompt, effective treatment is a cornerstone of malaria control, information on provider adherence to malaria in pregnancy (MIP) treatment guidelines is limited. Incorrect or sub-optimal treatment can adversely affect the mother and fetus. This study assessed provider knowledge of and adherence to national case management guidelines for uncomplicated MIP. Methods We conducted a cross-sectional study from September to November 2013, in 51 health facilities (HF) and a randomly-selected sample of 39 drug outlets (DO) in the KEMRI/CDC Health and Demographic Surveillance System area in western Kenya. Provider knowledge of national treatment guidelines was assessed with standardized questionnaires. Correct practice required adequate diagnosis, pregnancy assessment, and treatment with correct drug and dosage. In HF, we conducted exit interviews in all women of childbearing age assessed for fever. In DO, simulated clients posing as first trimester pregnant women or as relatives of third trimester pregnant women collected standardized information. Results Correct MIP case management knowledge and practice were observed in 45% and 31% of HF and 0% and 3% of DO encounters, respectively. The correct drug and dosage for pregnancy trimester was prescribed in 62% of HF and 42% of DO encounters; correct prescription occurred less often in first than in second/ third trimesters (HF: 24% vs. 65%, p&lt;0.01; DO: 0% vs. 40%, p&lt;0.01). Sulfadoxine-pyrimethamine, which is not recommended for malaria treatment, was prescribed in 3% of HF and 18% of DO encounters. Exposure to artemether-lumefantrine in first trimester, which is contraindicated, occurred in 29% and 49% of HF and DO encounters, respectively. Conclusion This study highlights knowledge inadequacies and incorrect prescribing practices in the treatment of MIP. Particularly concerning is the prescription of contraindicated medications in the first trimester. These issues should be addressed through comprehensive trainings and increased supportive supervision. Additional innovative means to improve care should be explored.","author":[{"dropping-particle":"","family":"Riley","given":"Christina","non-dropping-particle":"","parse-names":false,"suffix":""},{"dropping-particle":"","family":"Dellicour","given":"Stephanie","non-dropping-particle":"","parse-names":false,"suffix":""},{"dropping-particle":"","family":"Ouma","given":"Peter","non-dropping-particle":"","parse-names":false,"suffix":""},{"dropping-particle":"","family":"Kioko","given":"Urbanus","non-dropping-particle":"","parse-names":false,"suffix":""},{"dropping-particle":"","family":"Kuile","given":"Feiko O.","non-dropping-particle":"Ter","parse-names":false,"suffix":""},{"dropping-particle":"","family":"Omar","given":"Ahmeddin","non-dropping-particle":"","parse-names":false,"suffix":""},{"dropping-particle":"","family":"Kariuki","given":"Simon","non-dropping-particle":"","parse-names":false,"suffix":""},{"dropping-particle":"","family":"Buff","given":"Ann M.","non-dropping-particle":"","parse-names":false,"suffix":""},{"dropping-particle":"","family":"Desai","given":"Meghna","non-dropping-particle":"","parse-names":false,"suffix":""},{"dropping-particle":"","family":"Gutman","given":"Julie","non-dropping-particle":"","parse-names":false,"suffix":""}],"container-title":"PLoS ONE","id":"ITEM-1","issue":"1","issued":{"date-parts":[["2016"]]},"page":"1-18","title":"Knowledge and adherence to the national guidelines for malaria case management in pregnancy among healthcare providers and drug outlet dispensers in rural, western Kenya","type":"article-journal","volume":"11"},"uris":["http://www.mendeley.com/documents/?uuid=188aa382-6b48-4a92-a54f-320d717f79cf","http://www.mendeley.com/documents/?uuid=ecb855a9-f656-43d3-880d-06bdd5889233"]}],"mendeley":{"formattedCitation":"(Riley et al., 2016)","plainTextFormattedCitation":"(Riley et al., 2016)","previouslyFormattedCitation":"[19]"},"properties":{"noteIndex":0},"schema":"https://github.com/citation-style-language/schema/raw/master/csl-citation.json"}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(Riley et al., 2016)</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In Ghana, majority of clinicians rather prescribe Artemether-lumefantrine as a first choice instead of quinine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{"citationItems":[{"id":"ITEM-1","itemData":{"DOI":"10.11604/pamj.cp.2017.3.36.150","author":[{"dropping-particle":"","family":"Nkrumah","given":"Isaac","non-dropping-particle":"","parse-names":false,"suffix":""},{"dropping-particle":"","family":"Sarpong","given":"Ivy Asantewa","non-dropping-particle":"","parse-names":false,"suffix":""}],"container-title":"Pan African Medical Journal Conference Proceedings","id":"ITEM-1","issued":{"date-parts":[["2018"]]},"title":"Prescribers</w:instrText>
      </w:r>
      <w:r w:rsidR="00C57A48" w:rsidRPr="00EE0D4F">
        <w:rPr>
          <w:rFonts w:ascii="Arial" w:eastAsia="Calibri" w:hAnsi="Arial" w:cs="Arial"/>
        </w:rPr>
        <w:instrText>�</w:instrText>
      </w:r>
      <w:r w:rsidR="00C57A48" w:rsidRPr="00EE0D4F">
        <w:rPr>
          <w:rFonts w:asciiTheme="minorBidi" w:eastAsia="Calibri" w:hAnsiTheme="minorBidi" w:cstheme="minorBidi"/>
        </w:rPr>
        <w:instrText xml:space="preserve"> compliance with quinine use for treating uncomplicated malaria in the first trimester of pregnancy in polyclinics in Accra","type":"article-journal","volume":"1"},"uris":["http://www.mendeley.com/documents/?uuid=8312dd1d-d736-4571-8135-16ce245f08b8"]}],"mendeley":{"formattedCitation":"(Nkrumah &amp; Sarpong, 2018)","plainTextFormattedCitation":"(Nkrumah &amp; Sarpong, 2018)","previouslyFormattedCitation":"[20]"},"properties":{"noteIndex":0},"schema":"https://github.com/citation-style-language/schema/raw/master/csl-citation.json"}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(Nkrumah &amp; Sarpong, 2018)</w:t>
      </w:r>
      <w:r w:rsidRPr="00EE0D4F">
        <w:rPr>
          <w:rFonts w:asciiTheme="minorBidi" w:eastAsia="Calibri" w:hAnsiTheme="minorBidi" w:cstheme="minorBidi"/>
        </w:rPr>
        <w:fldChar w:fldCharType="end"/>
      </w:r>
      <w:r w:rsidRPr="00EE0D4F">
        <w:rPr>
          <w:rFonts w:asciiTheme="minorBidi" w:eastAsia="Calibri" w:hAnsiTheme="minorBidi" w:cstheme="minorBidi"/>
        </w:rPr>
        <w:t>.</w:t>
      </w:r>
      <w:bookmarkEnd w:id="2"/>
      <w:r w:rsidRPr="00EE0D4F">
        <w:rPr>
          <w:rFonts w:asciiTheme="minorBidi" w:eastAsia="Calibri" w:hAnsiTheme="minorBidi" w:cstheme="minorBidi"/>
        </w:rPr>
        <w:t xml:space="preserve"> Given that the study in Ghana was a purely quantitative study in the capital city of Ghana, this study used a mixed method design to </w:t>
      </w:r>
      <w:r w:rsidRPr="00EE0D4F">
        <w:rPr>
          <w:rFonts w:asciiTheme="minorBidi" w:eastAsia="Calibri" w:hAnsiTheme="minorBidi" w:cstheme="minorBidi"/>
          <w:lang w:val="en-GB"/>
        </w:rPr>
        <w:t>assess clinicians' compliance with malaria treatment guidelines during pregnancy, explore factors influencing compliance and challenges they encounter</w:t>
      </w:r>
      <w:r w:rsidRPr="00EE0D4F">
        <w:rPr>
          <w:rFonts w:asciiTheme="minorBidi" w:eastAsia="Calibri" w:hAnsiTheme="minorBidi" w:cstheme="minorBidi"/>
        </w:rPr>
        <w:t>.</w:t>
      </w:r>
    </w:p>
    <w:p w14:paraId="1E5D8FDC" w14:textId="77777777" w:rsidR="00FB6FC4" w:rsidRPr="00EE0D4F" w:rsidRDefault="00FB6FC4" w:rsidP="00EE0D4F">
      <w:pPr>
        <w:jc w:val="both"/>
        <w:rPr>
          <w:rFonts w:asciiTheme="minorBidi" w:eastAsia="Calibri" w:hAnsiTheme="minorBidi" w:cstheme="minorBidi"/>
        </w:rPr>
      </w:pPr>
    </w:p>
    <w:p w14:paraId="7C938D43" w14:textId="65583A40" w:rsidR="007F7B32" w:rsidRPr="00EE0D4F" w:rsidRDefault="00902823" w:rsidP="00EE0D4F">
      <w:pPr>
        <w:pStyle w:val="AbstHead"/>
        <w:spacing w:after="0"/>
        <w:jc w:val="both"/>
        <w:rPr>
          <w:rFonts w:asciiTheme="minorBidi" w:hAnsiTheme="minorBidi" w:cstheme="minorBidi"/>
          <w:sz w:val="20"/>
        </w:rPr>
      </w:pPr>
      <w:r w:rsidRPr="00EE0D4F">
        <w:rPr>
          <w:rFonts w:asciiTheme="minorBidi" w:hAnsiTheme="minorBidi" w:cstheme="minorBidi"/>
          <w:sz w:val="20"/>
        </w:rPr>
        <w:t>2. material and method</w:t>
      </w:r>
      <w:r w:rsidR="00000F8F" w:rsidRPr="00EE0D4F">
        <w:rPr>
          <w:rFonts w:asciiTheme="minorBidi" w:hAnsiTheme="minorBidi" w:cstheme="minorBidi"/>
          <w:sz w:val="20"/>
        </w:rPr>
        <w:t xml:space="preserve">s </w:t>
      </w:r>
    </w:p>
    <w:p w14:paraId="439F4F88" w14:textId="77777777" w:rsidR="00790ADA" w:rsidRPr="00EE0D4F" w:rsidRDefault="00790ADA" w:rsidP="00EE0D4F">
      <w:pPr>
        <w:pStyle w:val="AbstHead"/>
        <w:spacing w:after="0"/>
        <w:jc w:val="both"/>
        <w:rPr>
          <w:rFonts w:asciiTheme="minorBidi" w:hAnsiTheme="minorBidi" w:cstheme="minorBidi"/>
          <w:sz w:val="20"/>
        </w:rPr>
      </w:pPr>
    </w:p>
    <w:p w14:paraId="632A3A50" w14:textId="20B69AA8" w:rsidR="00FB6FC4" w:rsidRPr="00EE0D4F" w:rsidRDefault="00FB6FC4" w:rsidP="00EE0D4F">
      <w:pPr>
        <w:keepNext/>
        <w:keepLines/>
        <w:numPr>
          <w:ilvl w:val="1"/>
          <w:numId w:val="0"/>
        </w:numPr>
        <w:jc w:val="both"/>
        <w:outlineLvl w:val="1"/>
        <w:rPr>
          <w:rFonts w:asciiTheme="minorBidi" w:eastAsia="SimSun" w:hAnsiTheme="minorBidi" w:cstheme="minorBidi"/>
          <w:b/>
        </w:rPr>
      </w:pPr>
      <w:bookmarkStart w:id="3" w:name="_Toc62522701"/>
      <w:bookmarkStart w:id="4" w:name="_Toc81171028"/>
      <w:r w:rsidRPr="00EE0D4F">
        <w:rPr>
          <w:rFonts w:asciiTheme="minorBidi" w:eastAsia="SimSun" w:hAnsiTheme="minorBidi" w:cstheme="minorBidi"/>
          <w:b/>
        </w:rPr>
        <w:t>2.1 Study setting</w:t>
      </w:r>
    </w:p>
    <w:p w14:paraId="660C0406" w14:textId="46D1D868"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 xml:space="preserve">This study is a facility-based study in three health facilities in the Tamale Metropolis of the northern region of Ghana. Tamale is the capital town of the Northern Region, one of the sixteen in the country. It is located within the Guinea Savannah belt. It is the fourth largest city in Ghana with a population of 293,881 with a growth rate of 3.5%. Tamale has a total land area of approximately 922km square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uthor":[{"dropping-particle":"","family":"GSS","given":"","non-dropping-particle":"","parse-names":false,"suffix":""}],"id":"ITEM-1","issued":{"date-parts":[["2021"]]},"number-of-pages":"3A","publisher-place":"Ghana","title":"Population and Housing Census","type":"report"},"uris":["http://www.mendeley.com/documents/?uuid=5e963eee-11a5-4ecc-9b73-487025b5a891"]}],"mendeley":{"formattedCitation":"(GSS, 2021)","plainTextFormattedCitation":"(GSS, 2021)","previouslyFormattedCitation":"[21]"},"properties":{"noteIndex":0},"schema":"https://github.com/citation-style-language/schema/raw/master/csl-citation.json"}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(GSS, 2021)</w:t>
      </w:r>
      <w:r w:rsidRPr="00EE0D4F">
        <w:rPr>
          <w:rFonts w:asciiTheme="minorBidi" w:eastAsia="Calibri" w:hAnsiTheme="minorBidi" w:cstheme="minorBidi"/>
        </w:rPr>
        <w:fldChar w:fldCharType="end"/>
      </w:r>
      <w:r w:rsidRPr="00EE0D4F">
        <w:rPr>
          <w:rFonts w:asciiTheme="minorBidi" w:eastAsia="Calibri" w:hAnsiTheme="minorBidi" w:cstheme="minorBidi"/>
        </w:rPr>
        <w:t>.</w:t>
      </w:r>
      <w:r w:rsidRPr="00EE0D4F">
        <w:rPr>
          <w:rFonts w:asciiTheme="minorBidi" w:eastAsia="Calibri" w:hAnsiTheme="minorBidi" w:cstheme="minorBidi"/>
          <w:shd w:val="clear" w:color="auto" w:fill="FFFFFF"/>
        </w:rPr>
        <w:t xml:space="preserve"> </w:t>
      </w:r>
    </w:p>
    <w:p w14:paraId="760348C5"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The age distribution of the Ghanaian population is shifting from being dominated by children under the age of 14 to being dominated by young adults under the age of 35. While the proportion of young people climbed from 34.6 percent in 2000 to 38.2 percent in 2021, the proportion of children decreased between 2000 and 2021. In all regions and metropolitan areas, there is a clear transition from children to young people in the population. Urban areas have more young individuals than rural ones do. Males outweigh females by 2.8% overall and by 5.0% in urban areas. </w:t>
      </w:r>
    </w:p>
    <w:p w14:paraId="770BB1A9"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The study was done in three hospitals including the Tamale Reproductive and Child Health (RCH) and Universal Health Clinic (UHC) and the Tamale Teaching Hospital (TTH). These hospitals are representative of primary, secondary, and tertiary hospitals respectively in the metropolis. RCH managed uncomplicated pregnancy problems including maternal and child health and management of uncomplicated malaria. Cases are mainly managed by nurses and midwives. UHC is a secondary referral health facility managed by all categories of staff including nurses, midwives, nurse practitioners, physician assistants, medical officers, and obstetricians. TTH is the main tertiary hospital in northern Ghana that managed all kinds of complicated health conditions mainly by fellows and consultants.</w:t>
      </w:r>
    </w:p>
    <w:p w14:paraId="4FC11E66" w14:textId="77777777" w:rsidR="00FB6FC4" w:rsidRPr="00EE0D4F" w:rsidRDefault="00FB6FC4" w:rsidP="00EE0D4F">
      <w:pPr>
        <w:jc w:val="both"/>
        <w:rPr>
          <w:rFonts w:asciiTheme="minorBidi" w:eastAsia="Calibri" w:hAnsiTheme="minorBidi" w:cstheme="minorBidi"/>
        </w:rPr>
      </w:pPr>
    </w:p>
    <w:p w14:paraId="16ABA997" w14:textId="3C5D8338" w:rsidR="00FB6FC4" w:rsidRPr="00EE0D4F" w:rsidRDefault="00FB6FC4" w:rsidP="00EE0D4F">
      <w:pPr>
        <w:keepNext/>
        <w:keepLines/>
        <w:numPr>
          <w:ilvl w:val="1"/>
          <w:numId w:val="0"/>
        </w:numPr>
        <w:jc w:val="both"/>
        <w:outlineLvl w:val="1"/>
        <w:rPr>
          <w:rFonts w:asciiTheme="minorBidi" w:eastAsia="SimSun" w:hAnsiTheme="minorBidi" w:cstheme="minorBidi"/>
          <w:b/>
        </w:rPr>
      </w:pPr>
      <w:r w:rsidRPr="00EE0D4F">
        <w:rPr>
          <w:rFonts w:asciiTheme="minorBidi" w:eastAsia="SimSun" w:hAnsiTheme="minorBidi" w:cstheme="minorBidi"/>
          <w:b/>
        </w:rPr>
        <w:t>2.2 Study design</w:t>
      </w:r>
      <w:bookmarkEnd w:id="3"/>
      <w:bookmarkEnd w:id="4"/>
    </w:p>
    <w:p w14:paraId="5295CFCF" w14:textId="13092F9D" w:rsidR="00FB6FC4" w:rsidRPr="00EE0D4F" w:rsidRDefault="00FB6FC4" w:rsidP="00EE0D4F">
      <w:pPr>
        <w:autoSpaceDE w:val="0"/>
        <w:autoSpaceDN w:val="0"/>
        <w:adjustRightInd w:val="0"/>
        <w:jc w:val="both"/>
        <w:rPr>
          <w:rFonts w:asciiTheme="minorBidi" w:eastAsia="Calibri" w:hAnsiTheme="minorBidi" w:cstheme="minorBidi"/>
        </w:rPr>
      </w:pPr>
      <w:bookmarkStart w:id="5" w:name="_Hlk138597426"/>
      <w:r w:rsidRPr="00EE0D4F">
        <w:rPr>
          <w:rFonts w:asciiTheme="minorBidi" w:eastAsia="Calibri" w:hAnsiTheme="minorBidi" w:cstheme="minorBidi"/>
        </w:rPr>
        <w:t xml:space="preserve">The study employed a convergent mixed-method design (quantitative and qualitative) to gather information from medical professionals regarding their compliance and experiences with malaria treatment in the various trimesters of pregnancy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{"citationItems":[{"id":"ITEM-1","itemData":{"ISBN":"9781412965569","author":[{"dropping-particle":"","family":"Creswell","given":"","non-dropping-particle":"","parse-names":false,"suffix":""}],"edition":"Third Edit","id":"ITEM-1","issued":{"date-parts":[["2009"]]},"number-of-pages":"295","publisher":"SAGE","title":"Qualitative, Quantitative, and Mixed Methods Approaches","type":"book"},"uris":["http://www.mendeley.com/documents/?uuid=e44212b8-10df-40d5-84ee-b249b9455295"]}],"mendeley":{"formattedCitation":"(Creswell, 2009)","plainTextFormattedCitation":"(Creswell, 2009)","previouslyFormattedCitation":"[22]"},"properties":{"noteIndex":0},"schema":"https://github.com/citation-style-language/schema/raw/master/csl-citation.json"}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(Creswell, 2009)</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This study was also based on the pragmatic philosophical approach to mixed research. This philosophy of mixed methods research is suitable for this study in that it gave freedom of choice to the researcher such that answers were drawn liberally both quantitatively and qualitatively to understand the complexities of the situation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{"citationItems":[{"id":"ITEM-1","itemData":{"ISBN":"9781412965569","author":[{"dropping-particle":"","family":"Creswell","given":"","non-dropping-particle":"","parse-names":false,"suffix":""}],"edition":"Third Edit","id":"ITEM-1","issued":{"date-parts":[["2009"]]},"number-of-pages":"295","publisher":"SAGE","title":"Qualitative, Quantitative, and Mixed Methods Approaches","type":"book"},"uris":["http://www.mendeley.com/documents/?uuid=e44212b8-10df-40d5-84ee-b249b9455295"]}],"mendeley":{"formattedCitation":"(Creswell, 2009)","plainTextFormattedCitation":"(Creswell, 2009)","previouslyFormattedCitation":"[22]"},"properties":{"noteIndex":0},"schema":"https://github.com/citation-style-language/schema/raw/master/csl-citation.json"}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(Creswell, 2009)</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The main rationale for mixing both quantitative and qualitative methods was that none of the methods alone could provide sufficient information to understand the dilemmas of clinicians in treating malaria during pregnancy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{"citationItems":[{"id":"ITEM-1","itemData":{"author":[{"dropping-particle":"","family":"W. Creswell","given":"&amp; V. Plano","non-dropping-particle":"","parse-names":false,"suffix":""}],"id":"ITEM-1","issued":{"date-parts":[["2018"]]},"page":"832","title":"Designing and conducting mixed methods research","type":"article-journal","volume":"3"},"uris":["http://www.mendeley.com/documents/?uuid=b08be26f-b1c8-44f2-9387-f9afd65fbb0b","http://www.mendeley.com/documents/?uuid=0077e0c3-b32d-48d2-84be-ff15bbe8db70"]}],"mendeley":{"formattedCitation":"(W. Creswell, 2018)","plainTextFormattedCitation":"(W. Creswell, 2018)","previouslyFormattedCitation":"[23]"},"properties":{"noteIndex":0},"schema":"https://github.com/citation-style-language/schema/raw/master/csl-citation.json"}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(W. Creswell, 2018)</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w:t>
      </w:r>
      <w:bookmarkEnd w:id="5"/>
      <w:r w:rsidRPr="00EE0D4F">
        <w:rPr>
          <w:rFonts w:asciiTheme="minorBidi" w:eastAsia="Calibri" w:hAnsiTheme="minorBidi" w:cstheme="minorBidi"/>
        </w:rPr>
        <w:t xml:space="preserve">The study retrospectively reviewed clinicians’ documents (folders) of pregnant women diagnosed with malaria by clinicians from May to October 2022. This review of folders was done in August 2023. The study reviewed documents of pregnant </w:t>
      </w:r>
      <w:r w:rsidRPr="00EE0D4F">
        <w:rPr>
          <w:rFonts w:asciiTheme="minorBidi" w:eastAsia="Calibri" w:hAnsiTheme="minorBidi" w:cstheme="minorBidi"/>
        </w:rPr>
        <w:lastRenderedPageBreak/>
        <w:t xml:space="preserve">women who reported to the hospital within the set period and were seen and diagnosed of malaria by a clinician. Within the same period, clinicians who were on duty during the data review period were interviewed about their compliance and experiences with malaria treatment in pregnancy. </w:t>
      </w:r>
    </w:p>
    <w:p w14:paraId="58521CC0" w14:textId="0F13799B" w:rsidR="00FB6FC4" w:rsidRPr="00EE0D4F" w:rsidRDefault="00FB6FC4" w:rsidP="00EE0D4F">
      <w:pPr>
        <w:autoSpaceDE w:val="0"/>
        <w:autoSpaceDN w:val="0"/>
        <w:adjustRightInd w:val="0"/>
        <w:jc w:val="both"/>
        <w:rPr>
          <w:rFonts w:asciiTheme="minorBidi" w:eastAsia="Calibri" w:hAnsiTheme="minorBidi" w:cstheme="minorBidi"/>
        </w:rPr>
      </w:pPr>
      <w:bookmarkStart w:id="6" w:name="_Hlk138067446"/>
      <w:r w:rsidRPr="00EE0D4F">
        <w:rPr>
          <w:rFonts w:asciiTheme="minorBidi" w:eastAsia="Calibri" w:hAnsiTheme="minorBidi" w:cstheme="minorBidi"/>
        </w:rPr>
        <w:t xml:space="preserve">The data connection in this mixed-method study occurred during the design, interpretation, and discussion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{"citationItems":[{"id":"ITEM-1","itemData":{"DOI":"10.1111/1475-6773.12117","author":[{"dropping-particle":"","family":"Fetters","given":"Michael D","non-dropping-particle":"","parse-names":false,"suffix":""},{"dropping-particle":"","family":"Curry","given":"Leslie A","non-dropping-particle":"","parse-names":false,"suffix":""},{"dropping-particle":"","family":"Creswell","given":"John W","non-dropping-particle":"","parse-names":false,"suffix":""}],"id":"ITEM-1","issued":{"date-parts":[["2013"]]},"page":"2134-2156","title":"Achieving Integration in Mixed Methods Designs — Principles and Practices","type":"article-journal"},"uris":["http://www.mendeley.com/documents/?uuid=99e07eac-7924-4f21-a608-cfb6db07507f","http://www.mendeley.com/documents/?uuid=c1c3c6d7-d15b-4bba-93c3-fa5701f1bede"]}],"mendeley":{"formattedCitation":"(Fetters et al., 2013)","plainTextFormattedCitation":"(Fetters et al., 2013)","previouslyFormattedCitation":"[24]"},"properties":{"noteIndex":0},"schema":"https://github.com/citation-style-language/schema/raw/master/csl-citation.json"}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(Fetters et al., 2013)</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The study employed a weaving narrative approach for the presentation of mixed methods results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{"citationItems":[{"id":"ITEM-1","itemData":{"DOI":"10.1111/1475-6773.12117","author":[{"dropping-particle":"","family":"Fetters","given":"Michael D","non-dropping-particle":"","parse-names":false,"suffix":""},{"dropping-particle":"","family":"Curry","given":"Leslie A","non-dropping-particle":"","parse-names":false,"suffix":""},{"dropping-particle":"","family":"Creswell","given":"John W","non-dropping-particle":"","parse-names":false,"suffix":""}],"id":"ITEM-1","issued":{"date-parts":[["2013"]]},"page":"2134-2156","title":"Achieving Integration in Mixed Methods Designs — Principles and Practices","type":"article-journal"},"uris":["http://www.mendeley.com/documents/?uuid=c1c3c6d7-d15b-4bba-93c3-fa5701f1bede","http://www.mendeley.com/documents/?uuid=99e07eac-7924-4f21-a608-cfb6db07507f"]}],"mendeley":{"formattedCitation":"(Fetters et al., 2013)","plainTextFormattedCitation":"(Fetters et al., 2013)","previouslyFormattedCitation":"[24]"},"properties":{"noteIndex":0},"schema":"https://github.com/citation-style-language/schema/raw/master/csl-citation.json"}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(Fetters et al., 2013)</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Under this method of data interpretation, the two data sets were presented side by side, and a narrative explanation of how the two data sets expand on each other was provided. A Joint displayed table was used to illustrate clinicians’ dilemmas with malaria treatment in the first trimester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{"citationItems":[{"id":"ITEM-1","itemData":{"DOI":"10.1111/1475-6773.12117","author":[{"dropping-particle":"","family":"Fetters","given":"Michael D","non-dropping-particle":"","parse-names":false,"suffix":""},{"dropping-particle":"","family":"Curry","given":"Leslie A","non-dropping-particle":"","parse-names":false,"suffix":""},{"dropping-particle":"","family":"Creswell","given":"John W","non-dropping-particle":"","parse-names":false,"suffix":""}],"id":"ITEM-1","issued":{"date-parts":[["2013"]]},"page":"2134-2156","title":"Achieving Integration in Mixed Methods Designs — Principles and Practices","type":"article-journal"},"uris":["http://www.mendeley.com/documents/?uuid=c1c3c6d7-d15b-4bba-93c3-fa5701f1bede","http://www.mendeley.com/documents/?uuid=99e07eac-7924-4f21-a608-cfb6db07507f"]}],"mendeley":{"formattedCitation":"(Fetters et al., 2013)","plainTextFormattedCitation":"(Fetters et al., 2013)","previouslyFormattedCitation":"[24]"},"properties":{"noteIndex":0},"schema":"https://github.com/citation-style-language/schema/raw/master/csl-citation.json"}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(Fetters et al., 2013)</w:t>
      </w:r>
      <w:r w:rsidRPr="00EE0D4F">
        <w:rPr>
          <w:rFonts w:asciiTheme="minorBidi" w:eastAsia="Calibri" w:hAnsiTheme="minorBidi" w:cstheme="minorBidi"/>
        </w:rPr>
        <w:fldChar w:fldCharType="end"/>
      </w:r>
      <w:r w:rsidRPr="00EE0D4F">
        <w:rPr>
          <w:rFonts w:asciiTheme="minorBidi" w:eastAsia="Calibri" w:hAnsiTheme="minorBidi" w:cstheme="minorBidi"/>
        </w:rPr>
        <w:t>.</w:t>
      </w:r>
      <w:bookmarkEnd w:id="6"/>
      <w:r w:rsidRPr="00EE0D4F">
        <w:rPr>
          <w:rFonts w:asciiTheme="minorBidi" w:eastAsia="Calibri" w:hAnsiTheme="minorBidi" w:cstheme="minorBidi"/>
        </w:rPr>
        <w:t xml:space="preserve"> </w:t>
      </w:r>
    </w:p>
    <w:p w14:paraId="6D18897E"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6125E8CF" w14:textId="04636BC8" w:rsidR="00FB6FC4" w:rsidRPr="00EE0D4F" w:rsidRDefault="00FB6FC4" w:rsidP="00EE0D4F">
      <w:pPr>
        <w:keepNext/>
        <w:keepLines/>
        <w:numPr>
          <w:ilvl w:val="1"/>
          <w:numId w:val="0"/>
        </w:numPr>
        <w:jc w:val="both"/>
        <w:outlineLvl w:val="1"/>
        <w:rPr>
          <w:rFonts w:asciiTheme="minorBidi" w:eastAsia="SimSun" w:hAnsiTheme="minorBidi" w:cstheme="minorBidi"/>
          <w:b/>
        </w:rPr>
      </w:pPr>
      <w:r w:rsidRPr="00EE0D4F">
        <w:rPr>
          <w:rFonts w:asciiTheme="minorBidi" w:eastAsia="SimSun" w:hAnsiTheme="minorBidi" w:cstheme="minorBidi"/>
          <w:b/>
        </w:rPr>
        <w:t>2.3 Sample size estimation</w:t>
      </w:r>
    </w:p>
    <w:p w14:paraId="06613F18" w14:textId="789DD082" w:rsidR="00FB6FC4" w:rsidRPr="00EE0D4F" w:rsidRDefault="00FB6FC4" w:rsidP="00EE0D4F">
      <w:pPr>
        <w:autoSpaceDE w:val="0"/>
        <w:autoSpaceDN w:val="0"/>
        <w:adjustRightInd w:val="0"/>
        <w:jc w:val="both"/>
        <w:rPr>
          <w:rFonts w:asciiTheme="minorBidi" w:hAnsiTheme="minorBidi" w:cstheme="minorBidi"/>
        </w:rPr>
      </w:pPr>
      <w:bookmarkStart w:id="7" w:name="_Toc81171033"/>
      <w:bookmarkStart w:id="8" w:name="_Hlk64672328"/>
      <w:r w:rsidRPr="00EE0D4F">
        <w:rPr>
          <w:rFonts w:asciiTheme="minorBidi" w:eastAsia="Calibri" w:hAnsiTheme="minorBidi" w:cstheme="minorBidi"/>
        </w:rPr>
        <w:t xml:space="preserve">A sample size of 203 was taken from the three facilities for quantitative data. It was calculated using the Cochrane formula </w:t>
      </w:r>
      <w:r w:rsidR="005D1EF4" w:rsidRPr="00EE0D4F">
        <w:rPr>
          <w:rFonts w:asciiTheme="minorBidi" w:eastAsia="Calibri" w:hAnsiTheme="minorBidi" w:cstheme="minorBidi"/>
        </w:rPr>
        <w:t>(</w:t>
      </w:r>
      <w:r w:rsidR="005D1EF4" w:rsidRPr="00EE0D4F">
        <w:rPr>
          <w:rFonts w:asciiTheme="minorBidi" w:eastAsia="Calibri" w:hAnsiTheme="minorBidi" w:cstheme="minorBidi"/>
          <w:color w:val="EE0000"/>
        </w:rPr>
        <w:t xml:space="preserve">Cochrane, 1977) </w:t>
      </w:r>
      <w:r w:rsidRPr="00EE0D4F">
        <w:rPr>
          <w:rFonts w:asciiTheme="minorBidi" w:eastAsia="Calibri" w:hAnsiTheme="minorBidi" w:cstheme="minorBidi"/>
        </w:rPr>
        <w:t xml:space="preserve">for calculating sample size for a population with a defined proportion. </w:t>
      </w:r>
      <w:r w:rsidRPr="00EE0D4F">
        <w:rPr>
          <w:rFonts w:asciiTheme="minorBidi" w:hAnsiTheme="minorBidi" w:cstheme="minorBidi"/>
        </w:rPr>
        <w:t xml:space="preserve">Cochran’s formula: </w:t>
      </w:r>
      <w:r w:rsidRPr="00EE0D4F">
        <w:rPr>
          <w:rFonts w:ascii="Cambria Math" w:hAnsi="Cambria Math" w:cs="Cambria Math"/>
        </w:rPr>
        <w:t>𝑁</w:t>
      </w:r>
      <w:r w:rsidRPr="00EE0D4F">
        <w:rPr>
          <w:rFonts w:asciiTheme="minorBidi" w:hAnsiTheme="minorBidi" w:cstheme="minorBidi"/>
        </w:rPr>
        <w:t xml:space="preserve"> = </w:t>
      </w:r>
      <w:r w:rsidRPr="00EE0D4F">
        <w:rPr>
          <w:rFonts w:ascii="Cambria Math" w:hAnsi="Cambria Math" w:cs="Cambria Math"/>
        </w:rPr>
        <w:t>𝑝</w:t>
      </w:r>
      <w:r w:rsidRPr="00EE0D4F">
        <w:rPr>
          <w:rFonts w:asciiTheme="minorBidi" w:hAnsiTheme="minorBidi" w:cstheme="minorBidi"/>
        </w:rPr>
        <w:t xml:space="preserve"> (1 - </w:t>
      </w:r>
      <w:r w:rsidRPr="00EE0D4F">
        <w:rPr>
          <w:rFonts w:ascii="Cambria Math" w:hAnsi="Cambria Math" w:cs="Cambria Math"/>
        </w:rPr>
        <w:t>𝑝</w:t>
      </w:r>
      <w:r w:rsidRPr="00EE0D4F">
        <w:rPr>
          <w:rFonts w:asciiTheme="minorBidi" w:hAnsiTheme="minorBidi" w:cstheme="minorBidi"/>
        </w:rPr>
        <w:t xml:space="preserve">) </w:t>
      </w:r>
      <w:r w:rsidRPr="00EE0D4F">
        <w:rPr>
          <w:rFonts w:ascii="Cambria Math" w:hAnsi="Cambria Math" w:cs="Cambria Math"/>
        </w:rPr>
        <w:t>𝑍</w:t>
      </w:r>
      <w:r w:rsidRPr="00EE0D4F">
        <w:rPr>
          <w:rFonts w:asciiTheme="minorBidi" w:hAnsiTheme="minorBidi" w:cstheme="minorBidi"/>
        </w:rPr>
        <w:t xml:space="preserve">²/e². </w:t>
      </w:r>
      <w:r w:rsidRPr="00EE0D4F">
        <w:rPr>
          <w:rFonts w:asciiTheme="minorBidi" w:eastAsia="Calibri" w:hAnsiTheme="minorBidi" w:cstheme="minorBidi"/>
        </w:rPr>
        <w:t xml:space="preserve">Where Z is the 95% confidence at Z value (1.96) at an alpha level of 0.05, p is the proportion of pregnant women with malaria in Tamale 14.1%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10.1371/JOURNAL.PONE.0210365","ISBN":"1111111111","author":[{"dropping-particle":"","family":"Godwin","given":"Nsoh","non-dropping-particle":"","parse-names":false,"suffix":""},{"dropping-particle":"","family":"Id","given":"Anabire","non-dropping-particle":"","parse-names":false,"suffix":""},{"dropping-particle":"","family":"Armah","given":"Paul","non-dropping-particle":"","parse-names":false,"suffix":""},{"dropping-particle":"","family":"Id","given":"Aryee","non-dropping-particle":"","parse-names":false,"suffix":""},{"dropping-particle":"","family":"Abdul-karim","given":"Abass","non-dropping-particle":"","parse-names":false,"suffix":""},{"dropping-particle":"","family":"Abdulai","given":"Bakari","non-dropping-particle":"","parse-names":false,"suffix":""},{"dropping-particle":"","family":"Id","given":"Osbourne Quaye","non-dropping-particle":"","parse-names":false,"suffix":""},{"dropping-particle":"","family":"Awandare","given":"Gordon Akanzuwine","non-dropping-particle":"","parse-names":false,"suffix":""},{"dropping-particle":"","family":"Helegbe","given":"Kofi","non-dropping-particle":"","parse-names":false,"suffix":""}],"container-title":"PLOS ONE","id":"ITEM-1","issued":{"date-parts":[["2019"]]},"page":"1-14","title":"Prevalence of malaria and hepatitis B among pregnant women in Northern Ghana : Comparing RDTs with PCR","type":"article-journal"},"uris":["http://www.mendeley.com/documents/?uuid=fa82dfdf-0854-4a91-88ce-3ae9d850256e"]}],"mendeley":{"formattedCitation":"(Godwin et al., 2019)","plainTextFormattedCitation":"(Godwin et al., 2019)","previouslyFormattedCitation":"[6]"},"properties":{"noteIndex":0},"schema":"https://github.com/citation-style-language/schema/raw/master/csl-citation.json"}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(Godwin et al., 2019)</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e=error margin of 0.05, and N=the calculated sample sizes </w:t>
      </w:r>
      <w:r w:rsidRPr="00EE0D4F">
        <w:rPr>
          <w:rFonts w:asciiTheme="minorBidi" w:hAnsiTheme="minorBidi" w:cstheme="minorBidi"/>
        </w:rPr>
        <w:t xml:space="preserve">after a 10% non-response (missing values) rate was estimated, the eligible sample size was 203. The above sample size was divided equally among the three health facilities. </w:t>
      </w:r>
    </w:p>
    <w:p w14:paraId="5BBE32CA" w14:textId="77777777" w:rsidR="00FB6FC4" w:rsidRPr="00EE0D4F" w:rsidRDefault="00FB6FC4" w:rsidP="00EE0D4F">
      <w:pPr>
        <w:autoSpaceDE w:val="0"/>
        <w:autoSpaceDN w:val="0"/>
        <w:adjustRightInd w:val="0"/>
        <w:jc w:val="both"/>
        <w:rPr>
          <w:rFonts w:asciiTheme="minorBidi" w:hAnsiTheme="minorBidi" w:cstheme="minorBidi"/>
        </w:rPr>
      </w:pPr>
      <w:r w:rsidRPr="00EE0D4F">
        <w:rPr>
          <w:rFonts w:asciiTheme="minorBidi" w:hAnsiTheme="minorBidi" w:cstheme="minorBidi"/>
        </w:rPr>
        <w:t>A total of 21 clinicians were purposively selected for the qualitative in-depth interview.</w:t>
      </w:r>
    </w:p>
    <w:p w14:paraId="7EAE1E36" w14:textId="77777777" w:rsidR="00FB6FC4" w:rsidRPr="00EE0D4F" w:rsidRDefault="00FB6FC4" w:rsidP="00EE0D4F">
      <w:pPr>
        <w:autoSpaceDE w:val="0"/>
        <w:autoSpaceDN w:val="0"/>
        <w:adjustRightInd w:val="0"/>
        <w:jc w:val="both"/>
        <w:rPr>
          <w:rFonts w:asciiTheme="minorBidi" w:hAnsiTheme="minorBidi" w:cstheme="minorBidi"/>
        </w:rPr>
      </w:pPr>
    </w:p>
    <w:p w14:paraId="24815FE3" w14:textId="0D44A954" w:rsidR="00FB6FC4" w:rsidRPr="00EE0D4F" w:rsidRDefault="00FB6FC4" w:rsidP="00EE0D4F">
      <w:pPr>
        <w:keepNext/>
        <w:keepLines/>
        <w:numPr>
          <w:ilvl w:val="1"/>
          <w:numId w:val="0"/>
        </w:numPr>
        <w:jc w:val="both"/>
        <w:outlineLvl w:val="1"/>
        <w:rPr>
          <w:rFonts w:asciiTheme="minorBidi" w:eastAsia="SimSun" w:hAnsiTheme="minorBidi" w:cstheme="minorBidi"/>
          <w:b/>
        </w:rPr>
      </w:pPr>
      <w:r w:rsidRPr="00EE0D4F">
        <w:rPr>
          <w:rFonts w:asciiTheme="minorBidi" w:eastAsia="SimSun" w:hAnsiTheme="minorBidi" w:cstheme="minorBidi"/>
          <w:b/>
        </w:rPr>
        <w:t>2.4 Sampling technique</w:t>
      </w:r>
      <w:bookmarkEnd w:id="7"/>
    </w:p>
    <w:p w14:paraId="12484150"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Quantitative data: The health records of pregnant women were reviewed from May to October 2022. This period was chosen because malaria is more prevalent during this time and an adequate sample was obtained. First, the midwife in charge made available the ANC register which contains information about patient diagnosis and state of pregnancy. From this register, women who were pregnant and were referred to the doctor and upon the clinician’s assessment, were confirmed to have malaria folder numbers were recorded on sheet of paper. These folder numbers were given to the health records manager to help with the retrieval of the folders. Upon retrieval of the folders, the documented gestational age, laboratory tests for malaria, diagnosis, treatment given, and other important details were checked and recorded in the observation checklist. This was done at the Tamale Reproductive and Child Health (RCH) and Universal Health Clinic (UHC). At the Tamale Teaching Hospital (TTH), the consultation details of pregnant women diagnosed with malaria were extracted from the electronic system by the health information manager and given to the researcher on a flash memory. After data cleaning for essential information such as malaria test results, gestation age, and diagnosis, 38 samples were qualified for inclusion at Tamale Teaching Hospital due to missing information. All pregnant women who reported to the hospital and was seen by clinicians were included in the study. Out of these, only those who had a documented gestational age and malaria test results were included in the study.</w:t>
      </w:r>
    </w:p>
    <w:p w14:paraId="78FE563A"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Qualitative data: The study sampled 21 health professionals using a non-probability, purposive sampling technique. This allows the selection of respondents with the requisite experience in malaria treatment to provide deep insights into the study results. Clinicians who were on duty during the time of the study were consulted for their willingness to participate in the study. Those who were at a post and willing to participate were scheduled for the interview at their convenient venue and time. Therefore, in this study, the interview was conducted with clinicians instead of the women who experience these effects because one clinician’s interview might witness many pregnant women’s experiences with the medication.</w:t>
      </w:r>
      <w:bookmarkStart w:id="9" w:name="_Hlk145049923"/>
      <w:r w:rsidRPr="00EE0D4F">
        <w:rPr>
          <w:rFonts w:asciiTheme="minorBidi" w:eastAsia="Calibri" w:hAnsiTheme="minorBidi" w:cstheme="minorBidi"/>
        </w:rPr>
        <w:t xml:space="preserve"> Face-to-face interviews with nurses, midwives, physician assistants, nurse practitioners, medical officers, obstetrics, and pharmacists were conducted in each selected hospital.</w:t>
      </w:r>
      <w:bookmarkEnd w:id="9"/>
      <w:r w:rsidRPr="00EE0D4F">
        <w:rPr>
          <w:rFonts w:asciiTheme="minorBidi" w:eastAsia="Calibri" w:hAnsiTheme="minorBidi" w:cstheme="minorBidi"/>
        </w:rPr>
        <w:t xml:space="preserve"> Clinicians with more than two years’ working experience who were on duty during the study period and agreed to </w:t>
      </w:r>
      <w:r w:rsidRPr="00EE0D4F">
        <w:rPr>
          <w:rFonts w:asciiTheme="minorBidi" w:eastAsia="Calibri" w:hAnsiTheme="minorBidi" w:cstheme="minorBidi"/>
        </w:rPr>
        <w:lastRenderedPageBreak/>
        <w:t xml:space="preserve">participate in the study were included in the interview. The interview was done in the clinicians’ office at their less busy time (early in the morning before they start work). </w:t>
      </w:r>
    </w:p>
    <w:p w14:paraId="61C236D1"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03EE9CD" w14:textId="7E1D18AF" w:rsidR="00FB6FC4" w:rsidRPr="00EE0D4F" w:rsidRDefault="00FB6FC4" w:rsidP="00EE0D4F">
      <w:pPr>
        <w:keepNext/>
        <w:keepLines/>
        <w:numPr>
          <w:ilvl w:val="1"/>
          <w:numId w:val="0"/>
        </w:numPr>
        <w:jc w:val="both"/>
        <w:outlineLvl w:val="1"/>
        <w:rPr>
          <w:rFonts w:asciiTheme="minorBidi" w:eastAsia="SimSun" w:hAnsiTheme="minorBidi" w:cstheme="minorBidi"/>
          <w:b/>
        </w:rPr>
      </w:pPr>
      <w:bookmarkStart w:id="10" w:name="_Toc62522706"/>
      <w:bookmarkStart w:id="11" w:name="_Toc81171034"/>
      <w:bookmarkEnd w:id="8"/>
      <w:r w:rsidRPr="00EE0D4F">
        <w:rPr>
          <w:rFonts w:asciiTheme="minorBidi" w:eastAsia="SimSun" w:hAnsiTheme="minorBidi" w:cstheme="minorBidi"/>
          <w:b/>
        </w:rPr>
        <w:t xml:space="preserve">2.5 Data collection </w:t>
      </w:r>
      <w:bookmarkEnd w:id="10"/>
      <w:bookmarkEnd w:id="11"/>
      <w:r w:rsidRPr="00EE0D4F">
        <w:rPr>
          <w:rFonts w:asciiTheme="minorBidi" w:eastAsia="SimSun" w:hAnsiTheme="minorBidi" w:cstheme="minorBidi"/>
          <w:b/>
        </w:rPr>
        <w:t>and analysis</w:t>
      </w:r>
    </w:p>
    <w:p w14:paraId="189C4BB2" w14:textId="17EF47EF"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 xml:space="preserve">Health records of pregnant women containing the demographic and important pregnancy variable such as gestational age, malaria test and diagnosis, and medications prescribed were extracted into </w:t>
      </w:r>
      <w:r w:rsidRPr="00EE0D4F">
        <w:rPr>
          <w:rFonts w:asciiTheme="minorBidi" w:eastAsia="Calibri" w:hAnsiTheme="minorBidi" w:cstheme="minorBidi"/>
          <w:color w:val="EE0000"/>
        </w:rPr>
        <w:t>Kobo</w:t>
      </w:r>
      <w:r w:rsidR="005D1EF4" w:rsidRPr="00EE0D4F">
        <w:rPr>
          <w:rFonts w:asciiTheme="minorBidi" w:eastAsia="Calibri" w:hAnsiTheme="minorBidi" w:cstheme="minorBidi"/>
          <w:color w:val="EE0000"/>
        </w:rPr>
        <w:t>-</w:t>
      </w:r>
      <w:r w:rsidRPr="00EE0D4F">
        <w:rPr>
          <w:rFonts w:asciiTheme="minorBidi" w:eastAsia="Calibri" w:hAnsiTheme="minorBidi" w:cstheme="minorBidi"/>
          <w:color w:val="EE0000"/>
        </w:rPr>
        <w:t>Collect</w:t>
      </w:r>
      <w:r w:rsidRPr="00EE0D4F">
        <w:rPr>
          <w:rFonts w:asciiTheme="minorBidi" w:eastAsia="Calibri" w:hAnsiTheme="minorBidi" w:cstheme="minorBidi"/>
        </w:rPr>
        <w:t xml:space="preserve">. All data with missing gestational age, and malaria diagnosis were excluded from the study. Based on gestational age and diagnosis, treatment compliance was recorded. Compliance was assessed as treatment of uncomplicated malaria in the first trimester with only quinine or plus clindamycin 10mg/kg </w:t>
      </w:r>
      <w:r w:rsidR="005D1EF4" w:rsidRPr="00EE0D4F">
        <w:rPr>
          <w:rFonts w:asciiTheme="minorBidi" w:eastAsia="Calibri" w:hAnsiTheme="minorBidi" w:cstheme="minorBidi"/>
          <w:color w:val="EE0000"/>
        </w:rPr>
        <w:t>body weight</w:t>
      </w:r>
      <w:r w:rsidRPr="00EE0D4F">
        <w:rPr>
          <w:rFonts w:asciiTheme="minorBidi" w:eastAsia="Calibri" w:hAnsiTheme="minorBidi" w:cstheme="minorBidi"/>
        </w:rPr>
        <w:t xml:space="preserve">. In terms of severe malaria treatment, prescription of intravenous quinine or artesunate for twenty-four hours follow with oral quinine or clindamycin was regarded as compliance. In the second and third trimester, treatment with oral ACT or quinine for uncomplicated malaria was recorded as compliance. Prescription of intravenous artesunate or quinine followed with oral ACT or quinine was also regarded as compliance in severe malaria treatment. The data was collected using and imported from </w:t>
      </w:r>
      <w:r w:rsidRPr="00EE0D4F">
        <w:rPr>
          <w:rFonts w:asciiTheme="minorBidi" w:eastAsia="Calibri" w:hAnsiTheme="minorBidi" w:cstheme="minorBidi"/>
          <w:color w:val="EE0000"/>
        </w:rPr>
        <w:t>Kobo</w:t>
      </w:r>
      <w:r w:rsidR="005D1EF4" w:rsidRPr="00EE0D4F">
        <w:rPr>
          <w:rFonts w:asciiTheme="minorBidi" w:eastAsia="Calibri" w:hAnsiTheme="minorBidi" w:cstheme="minorBidi"/>
          <w:color w:val="EE0000"/>
        </w:rPr>
        <w:t>-</w:t>
      </w:r>
      <w:r w:rsidRPr="00EE0D4F">
        <w:rPr>
          <w:rFonts w:asciiTheme="minorBidi" w:eastAsia="Calibri" w:hAnsiTheme="minorBidi" w:cstheme="minorBidi"/>
          <w:color w:val="EE0000"/>
        </w:rPr>
        <w:t xml:space="preserve">collect </w:t>
      </w:r>
      <w:r w:rsidRPr="00EE0D4F">
        <w:rPr>
          <w:rFonts w:asciiTheme="minorBidi" w:eastAsia="Calibri" w:hAnsiTheme="minorBidi" w:cstheme="minorBidi"/>
        </w:rPr>
        <w:t>to computer software, SPSS version 20 for analysis. The descriptive statistics covered the maternal health characteristics of the pregnant women and clinician’s compliance with malaria treatment. The primary outcome of the study was clinicians’ compliance with the treatment protocol. Bivariate analysis and inferential statistics were done.  The analytic aspect covered the association between maternal health factors affecting compliance.  This was done using Chi-square for categorical variables. P-value less than 0.05 was regarded as statistically significant (NS). Binary logistic regression was used to check the strength of association between maternal health factors and clinician’s compliance. The test results from the analysis were presented in the form of frequency tables, bar charts, and pie charts. Regarding the qualitative data analysis, each in-depth interview's audio recording was transcribed and subjected to thematic analysis. Understanding the data was the first step in the analysis process followed by assigning codes based on interview respondents. Next, initial themes were developed based on the research questions and the concerns that emerged from the quantitative data analysis. Finally, the codes were refined and assigned to major themes. Codes were also assigned to subthemes that emerged from each theme. The data collected from the various health professionals put into themes were given to peers to triangulate. The triangulation technique guaranteed the accuracy and reliability of the results from each respondent.</w:t>
      </w:r>
      <w:bookmarkStart w:id="12" w:name="_Toc62522710"/>
      <w:bookmarkStart w:id="13" w:name="_Toc81171042"/>
    </w:p>
    <w:bookmarkEnd w:id="12"/>
    <w:bookmarkEnd w:id="13"/>
    <w:p w14:paraId="45212383" w14:textId="77777777" w:rsidR="00790ADA" w:rsidRPr="00EE0D4F" w:rsidRDefault="00790ADA" w:rsidP="00EE0D4F">
      <w:pPr>
        <w:pStyle w:val="Body"/>
        <w:spacing w:after="0"/>
        <w:rPr>
          <w:rFonts w:asciiTheme="minorBidi" w:hAnsiTheme="minorBidi" w:cstheme="minorBidi"/>
        </w:rPr>
      </w:pPr>
    </w:p>
    <w:p w14:paraId="235C2ED6" w14:textId="454689D5" w:rsidR="00902823" w:rsidRPr="00EE0D4F" w:rsidRDefault="00000F8F" w:rsidP="00EE0D4F">
      <w:pPr>
        <w:pStyle w:val="Head1"/>
        <w:spacing w:after="0"/>
        <w:jc w:val="both"/>
        <w:rPr>
          <w:rFonts w:asciiTheme="minorBidi" w:hAnsiTheme="minorBidi" w:cstheme="minorBidi"/>
          <w:sz w:val="20"/>
        </w:rPr>
      </w:pPr>
      <w:r w:rsidRPr="00EE0D4F">
        <w:rPr>
          <w:rFonts w:asciiTheme="minorBidi" w:hAnsiTheme="minorBidi" w:cstheme="minorBidi"/>
          <w:sz w:val="20"/>
        </w:rPr>
        <w:t>3</w:t>
      </w:r>
      <w:r w:rsidR="00902823" w:rsidRPr="00EE0D4F">
        <w:rPr>
          <w:rFonts w:asciiTheme="minorBidi" w:hAnsiTheme="minorBidi" w:cstheme="minorBidi"/>
          <w:sz w:val="20"/>
        </w:rPr>
        <w:t xml:space="preserve">. </w:t>
      </w:r>
      <w:r w:rsidRPr="00EE0D4F">
        <w:rPr>
          <w:rFonts w:asciiTheme="minorBidi" w:hAnsiTheme="minorBidi" w:cstheme="minorBidi"/>
          <w:sz w:val="20"/>
        </w:rPr>
        <w:t xml:space="preserve">results </w:t>
      </w:r>
    </w:p>
    <w:p w14:paraId="227D7DD8" w14:textId="77777777" w:rsidR="00790ADA" w:rsidRPr="00EE0D4F" w:rsidRDefault="00790ADA" w:rsidP="00EE0D4F">
      <w:pPr>
        <w:pStyle w:val="Head1"/>
        <w:spacing w:after="0"/>
        <w:jc w:val="both"/>
        <w:rPr>
          <w:rFonts w:asciiTheme="minorBidi" w:hAnsiTheme="minorBidi" w:cstheme="minorBidi"/>
          <w:sz w:val="20"/>
        </w:rPr>
      </w:pPr>
    </w:p>
    <w:p w14:paraId="4626E60F" w14:textId="2A5BA44D" w:rsidR="00FB6FC4" w:rsidRPr="00EE0D4F" w:rsidRDefault="00FB6FC4" w:rsidP="00EE0D4F">
      <w:pPr>
        <w:keepNext/>
        <w:keepLines/>
        <w:jc w:val="both"/>
        <w:outlineLvl w:val="1"/>
        <w:rPr>
          <w:rFonts w:asciiTheme="minorBidi" w:eastAsia="DengXian Light" w:hAnsiTheme="minorBidi" w:cstheme="minorBidi"/>
          <w:b/>
        </w:rPr>
      </w:pPr>
      <w:r w:rsidRPr="00EE0D4F">
        <w:rPr>
          <w:rFonts w:asciiTheme="minorBidi" w:eastAsia="DengXian Light" w:hAnsiTheme="minorBidi" w:cstheme="minorBidi"/>
          <w:b/>
        </w:rPr>
        <w:t>3.</w:t>
      </w:r>
      <w:r w:rsidRPr="00EE0D4F">
        <w:rPr>
          <w:rFonts w:asciiTheme="minorBidi" w:eastAsia="DengXian Light" w:hAnsiTheme="minorBidi" w:cstheme="minorBidi"/>
          <w:b/>
          <w:color w:val="EE0000"/>
        </w:rPr>
        <w:t xml:space="preserve">1 </w:t>
      </w:r>
      <w:r w:rsidR="005D1EF4" w:rsidRPr="00EE0D4F">
        <w:rPr>
          <w:rFonts w:asciiTheme="minorBidi" w:eastAsia="DengXian Light" w:hAnsiTheme="minorBidi" w:cstheme="minorBidi"/>
          <w:b/>
          <w:color w:val="EE0000"/>
        </w:rPr>
        <w:t>sociodemographic characteristics of participants</w:t>
      </w:r>
    </w:p>
    <w:p w14:paraId="74A3ACC0" w14:textId="77777777" w:rsidR="00FB6FC4" w:rsidRPr="00EE0D4F" w:rsidRDefault="00FB6FC4" w:rsidP="00EE0D4F">
      <w:pPr>
        <w:keepNext/>
        <w:keepLines/>
        <w:jc w:val="both"/>
        <w:outlineLvl w:val="1"/>
        <w:rPr>
          <w:rFonts w:asciiTheme="minorBidi" w:eastAsia="DengXian Light" w:hAnsiTheme="minorBidi" w:cstheme="minorBidi"/>
          <w:b/>
        </w:rPr>
      </w:pPr>
    </w:p>
    <w:p w14:paraId="5D54B560" w14:textId="5ED903ED" w:rsidR="00FB6FC4" w:rsidRPr="00EE0D4F" w:rsidRDefault="00FB6FC4" w:rsidP="00EE0D4F">
      <w:pPr>
        <w:jc w:val="both"/>
        <w:rPr>
          <w:rFonts w:asciiTheme="minorBidi" w:eastAsia="Calibri" w:hAnsiTheme="minorBidi" w:cstheme="minorBidi"/>
          <w:color w:val="EE0000"/>
        </w:rPr>
      </w:pPr>
      <w:r w:rsidRPr="00EE0D4F">
        <w:rPr>
          <w:rFonts w:asciiTheme="minorBidi" w:eastAsia="Calibri" w:hAnsiTheme="minorBidi" w:cstheme="minorBidi"/>
          <w:color w:val="EE0000"/>
        </w:rPr>
        <w:t>A total of 363 records were reviewed from the three facilities. Out of these, 203 were included in the study. About 160 were not included in the study due to the incompleteness of the data</w:t>
      </w:r>
      <w:bookmarkStart w:id="14" w:name="_Hlk191218782"/>
      <w:r w:rsidRPr="00EE0D4F">
        <w:rPr>
          <w:rFonts w:asciiTheme="minorBidi" w:eastAsia="Calibri" w:hAnsiTheme="minorBidi" w:cstheme="minorBidi"/>
          <w:color w:val="EE0000"/>
        </w:rPr>
        <w:t>. The study showed that the majority (</w:t>
      </w:r>
      <w:r w:rsidR="005D1EF4" w:rsidRPr="00EE0D4F">
        <w:rPr>
          <w:rFonts w:asciiTheme="minorBidi" w:eastAsia="Calibri" w:hAnsiTheme="minorBidi" w:cstheme="minorBidi"/>
          <w:color w:val="EE0000"/>
        </w:rPr>
        <w:t xml:space="preserve">131, </w:t>
      </w:r>
      <w:r w:rsidRPr="00EE0D4F">
        <w:rPr>
          <w:rFonts w:asciiTheme="minorBidi" w:eastAsia="Calibri" w:hAnsiTheme="minorBidi" w:cstheme="minorBidi"/>
          <w:color w:val="EE0000"/>
        </w:rPr>
        <w:t>6</w:t>
      </w:r>
      <w:r w:rsidR="005D1EF4" w:rsidRPr="00EE0D4F">
        <w:rPr>
          <w:rFonts w:asciiTheme="minorBidi" w:eastAsia="Calibri" w:hAnsiTheme="minorBidi" w:cstheme="minorBidi"/>
          <w:color w:val="EE0000"/>
        </w:rPr>
        <w:t>4</w:t>
      </w:r>
      <w:r w:rsidRPr="00EE0D4F">
        <w:rPr>
          <w:rFonts w:asciiTheme="minorBidi" w:eastAsia="Calibri" w:hAnsiTheme="minorBidi" w:cstheme="minorBidi"/>
          <w:color w:val="EE0000"/>
        </w:rPr>
        <w:t>.</w:t>
      </w:r>
      <w:r w:rsidR="005D1EF4" w:rsidRPr="00EE0D4F">
        <w:rPr>
          <w:rFonts w:asciiTheme="minorBidi" w:eastAsia="Calibri" w:hAnsiTheme="minorBidi" w:cstheme="minorBidi"/>
          <w:color w:val="EE0000"/>
        </w:rPr>
        <w:t>5</w:t>
      </w:r>
      <w:r w:rsidRPr="00EE0D4F">
        <w:rPr>
          <w:rFonts w:asciiTheme="minorBidi" w:eastAsia="Calibri" w:hAnsiTheme="minorBidi" w:cstheme="minorBidi"/>
          <w:color w:val="EE0000"/>
        </w:rPr>
        <w:t xml:space="preserve">%) of the respondents were between the ages of </w:t>
      </w:r>
      <w:r w:rsidR="005D1EF4" w:rsidRPr="00EE0D4F">
        <w:rPr>
          <w:rFonts w:asciiTheme="minorBidi" w:eastAsia="Calibri" w:hAnsiTheme="minorBidi" w:cstheme="minorBidi"/>
          <w:color w:val="EE0000"/>
        </w:rPr>
        <w:t>15</w:t>
      </w:r>
      <w:r w:rsidRPr="00EE0D4F">
        <w:rPr>
          <w:rFonts w:asciiTheme="minorBidi" w:eastAsia="Calibri" w:hAnsiTheme="minorBidi" w:cstheme="minorBidi"/>
          <w:color w:val="EE0000"/>
        </w:rPr>
        <w:t>-</w:t>
      </w:r>
      <w:r w:rsidR="005D1EF4" w:rsidRPr="00EE0D4F">
        <w:rPr>
          <w:rFonts w:asciiTheme="minorBidi" w:eastAsia="Calibri" w:hAnsiTheme="minorBidi" w:cstheme="minorBidi"/>
          <w:color w:val="EE0000"/>
        </w:rPr>
        <w:t>2</w:t>
      </w:r>
      <w:r w:rsidRPr="00EE0D4F">
        <w:rPr>
          <w:rFonts w:asciiTheme="minorBidi" w:eastAsia="Calibri" w:hAnsiTheme="minorBidi" w:cstheme="minorBidi"/>
          <w:color w:val="EE0000"/>
        </w:rPr>
        <w:t>5 years. Most of them (</w:t>
      </w:r>
      <w:r w:rsidR="005D1EF4" w:rsidRPr="00EE0D4F">
        <w:rPr>
          <w:rFonts w:asciiTheme="minorBidi" w:eastAsia="Calibri" w:hAnsiTheme="minorBidi" w:cstheme="minorBidi"/>
          <w:color w:val="EE0000"/>
        </w:rPr>
        <w:t xml:space="preserve">172, </w:t>
      </w:r>
      <w:r w:rsidRPr="00EE0D4F">
        <w:rPr>
          <w:rFonts w:asciiTheme="minorBidi" w:eastAsia="Calibri" w:hAnsiTheme="minorBidi" w:cstheme="minorBidi"/>
          <w:color w:val="EE0000"/>
        </w:rPr>
        <w:t>84.7%) had a normal body temperature with most (</w:t>
      </w:r>
      <w:r w:rsidR="005D1EF4" w:rsidRPr="00EE0D4F">
        <w:rPr>
          <w:rFonts w:asciiTheme="minorBidi" w:eastAsia="Calibri" w:hAnsiTheme="minorBidi" w:cstheme="minorBidi"/>
          <w:color w:val="EE0000"/>
        </w:rPr>
        <w:t xml:space="preserve">102, </w:t>
      </w:r>
      <w:r w:rsidRPr="00EE0D4F">
        <w:rPr>
          <w:rFonts w:asciiTheme="minorBidi" w:eastAsia="Calibri" w:hAnsiTheme="minorBidi" w:cstheme="minorBidi"/>
          <w:color w:val="EE0000"/>
        </w:rPr>
        <w:t>55.2%) being multigravida. Majority of them (</w:t>
      </w:r>
      <w:r w:rsidR="005D1EF4" w:rsidRPr="00EE0D4F">
        <w:rPr>
          <w:rFonts w:asciiTheme="minorBidi" w:eastAsia="Calibri" w:hAnsiTheme="minorBidi" w:cstheme="minorBidi"/>
          <w:color w:val="EE0000"/>
        </w:rPr>
        <w:t xml:space="preserve">169, </w:t>
      </w:r>
      <w:r w:rsidRPr="00EE0D4F">
        <w:rPr>
          <w:rFonts w:asciiTheme="minorBidi" w:eastAsia="Calibri" w:hAnsiTheme="minorBidi" w:cstheme="minorBidi"/>
          <w:color w:val="EE0000"/>
        </w:rPr>
        <w:t>80.8%) have never had a miscarriage. Malaria prevalence was high (</w:t>
      </w:r>
      <w:r w:rsidR="005D1EF4" w:rsidRPr="00EE0D4F">
        <w:rPr>
          <w:rFonts w:asciiTheme="minorBidi" w:eastAsia="Calibri" w:hAnsiTheme="minorBidi" w:cstheme="minorBidi"/>
          <w:color w:val="EE0000"/>
        </w:rPr>
        <w:t xml:space="preserve">92, </w:t>
      </w:r>
      <w:r w:rsidRPr="00EE0D4F">
        <w:rPr>
          <w:rFonts w:asciiTheme="minorBidi" w:eastAsia="Calibri" w:hAnsiTheme="minorBidi" w:cstheme="minorBidi"/>
          <w:color w:val="EE0000"/>
        </w:rPr>
        <w:t>45.3%) in the second trimester compared to first trimester.  Most (</w:t>
      </w:r>
      <w:r w:rsidR="005D1EF4" w:rsidRPr="00EE0D4F">
        <w:rPr>
          <w:rFonts w:asciiTheme="minorBidi" w:eastAsia="Calibri" w:hAnsiTheme="minorBidi" w:cstheme="minorBidi"/>
          <w:color w:val="EE0000"/>
        </w:rPr>
        <w:t xml:space="preserve">150, </w:t>
      </w:r>
      <w:r w:rsidRPr="00EE0D4F">
        <w:rPr>
          <w:rFonts w:asciiTheme="minorBidi" w:eastAsia="Calibri" w:hAnsiTheme="minorBidi" w:cstheme="minorBidi"/>
          <w:color w:val="EE0000"/>
        </w:rPr>
        <w:t>73.9%) of the malaria cases were diagnosed using thick and thin blood film for microscopy with the majority (</w:t>
      </w:r>
      <w:r w:rsidR="005D1EF4" w:rsidRPr="00EE0D4F">
        <w:rPr>
          <w:rFonts w:asciiTheme="minorBidi" w:eastAsia="Calibri" w:hAnsiTheme="minorBidi" w:cstheme="minorBidi"/>
          <w:color w:val="EE0000"/>
        </w:rPr>
        <w:t xml:space="preserve">184, </w:t>
      </w:r>
      <w:r w:rsidRPr="00EE0D4F">
        <w:rPr>
          <w:rFonts w:asciiTheme="minorBidi" w:eastAsia="Calibri" w:hAnsiTheme="minorBidi" w:cstheme="minorBidi"/>
          <w:color w:val="EE0000"/>
        </w:rPr>
        <w:t xml:space="preserve">90.6%) being symptomatic. An association was found between gestation, miscarriage, signs/symptoms, laboratory test, diagnosis, and compliance (Table 1). </w:t>
      </w:r>
    </w:p>
    <w:p w14:paraId="74A54357" w14:textId="77777777" w:rsidR="00FB6FC4" w:rsidRPr="00EE0D4F" w:rsidRDefault="00FB6FC4" w:rsidP="00EE0D4F">
      <w:pPr>
        <w:jc w:val="both"/>
        <w:rPr>
          <w:rFonts w:asciiTheme="minorBidi" w:eastAsia="Calibri" w:hAnsiTheme="minorBidi" w:cstheme="minorBidi"/>
        </w:rPr>
      </w:pPr>
    </w:p>
    <w:bookmarkEnd w:id="14"/>
    <w:p w14:paraId="15BEFB3F" w14:textId="5D0E01C9" w:rsidR="00FB6FC4" w:rsidRPr="00EE0D4F" w:rsidRDefault="00FB6FC4" w:rsidP="00EE0D4F">
      <w:pPr>
        <w:jc w:val="both"/>
        <w:rPr>
          <w:rFonts w:asciiTheme="minorBidi" w:eastAsia="Calibri" w:hAnsiTheme="minorBidi" w:cstheme="minorBidi"/>
          <w:b/>
          <w:bCs/>
        </w:rPr>
      </w:pPr>
      <w:r w:rsidRPr="00EE0D4F">
        <w:rPr>
          <w:rFonts w:asciiTheme="minorBidi" w:eastAsia="Calibri" w:hAnsiTheme="minorBidi" w:cstheme="minorBidi"/>
          <w:b/>
          <w:bCs/>
        </w:rPr>
        <w:t>Table 1: Demographic variables and association between variables</w:t>
      </w:r>
    </w:p>
    <w:tbl>
      <w:tblPr>
        <w:tblW w:w="6344" w:type="dxa"/>
        <w:tblBorders>
          <w:top w:val="single" w:sz="4" w:space="0" w:color="auto"/>
          <w:bottom w:val="single" w:sz="4" w:space="0" w:color="auto"/>
        </w:tblBorders>
        <w:tblLayout w:type="fixed"/>
        <w:tblLook w:val="04A0" w:firstRow="1" w:lastRow="0" w:firstColumn="1" w:lastColumn="0" w:noHBand="0" w:noVBand="1"/>
      </w:tblPr>
      <w:tblGrid>
        <w:gridCol w:w="2700"/>
        <w:gridCol w:w="1553"/>
        <w:gridCol w:w="1011"/>
        <w:gridCol w:w="1080"/>
      </w:tblGrid>
      <w:tr w:rsidR="00FB6FC4" w:rsidRPr="00EE0D4F" w14:paraId="55B29B82" w14:textId="77777777" w:rsidTr="00D33971">
        <w:trPr>
          <w:trHeight w:val="355"/>
        </w:trPr>
        <w:tc>
          <w:tcPr>
            <w:tcW w:w="2700" w:type="dxa"/>
            <w:tcBorders>
              <w:bottom w:val="single" w:sz="4" w:space="0" w:color="auto"/>
            </w:tcBorders>
          </w:tcPr>
          <w:p w14:paraId="5AB94B6B"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 xml:space="preserve">Categories </w:t>
            </w:r>
          </w:p>
        </w:tc>
        <w:tc>
          <w:tcPr>
            <w:tcW w:w="1553" w:type="dxa"/>
            <w:tcBorders>
              <w:top w:val="single" w:sz="4" w:space="0" w:color="auto"/>
              <w:bottom w:val="single" w:sz="4" w:space="0" w:color="auto"/>
            </w:tcBorders>
          </w:tcPr>
          <w:p w14:paraId="118F362B" w14:textId="1C9B3E83"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Frequency (%)</w:t>
            </w:r>
          </w:p>
        </w:tc>
        <w:tc>
          <w:tcPr>
            <w:tcW w:w="1011" w:type="dxa"/>
            <w:tcBorders>
              <w:bottom w:val="single" w:sz="4" w:space="0" w:color="auto"/>
            </w:tcBorders>
          </w:tcPr>
          <w:p w14:paraId="3E1DD17C"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rPr>
              <w:t>X</w:t>
            </w:r>
            <w:r w:rsidRPr="00EE0D4F">
              <w:rPr>
                <w:rFonts w:asciiTheme="minorBidi" w:eastAsia="Calibri" w:hAnsiTheme="minorBidi" w:cstheme="minorBidi"/>
                <w:vertAlign w:val="superscript"/>
              </w:rPr>
              <w:t>2</w:t>
            </w:r>
          </w:p>
        </w:tc>
        <w:tc>
          <w:tcPr>
            <w:tcW w:w="1080" w:type="dxa"/>
            <w:tcBorders>
              <w:bottom w:val="single" w:sz="4" w:space="0" w:color="auto"/>
            </w:tcBorders>
          </w:tcPr>
          <w:p w14:paraId="18FA4EED"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P-Value</w:t>
            </w:r>
          </w:p>
        </w:tc>
      </w:tr>
      <w:tr w:rsidR="00FB6FC4" w:rsidRPr="00EE0D4F" w14:paraId="2B849FA6" w14:textId="77777777" w:rsidTr="00D33971">
        <w:trPr>
          <w:trHeight w:val="454"/>
        </w:trPr>
        <w:tc>
          <w:tcPr>
            <w:tcW w:w="2700" w:type="dxa"/>
            <w:tcBorders>
              <w:top w:val="single" w:sz="4" w:space="0" w:color="auto"/>
              <w:bottom w:val="nil"/>
            </w:tcBorders>
          </w:tcPr>
          <w:p w14:paraId="4004BA05"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Age</w:t>
            </w:r>
          </w:p>
          <w:p w14:paraId="10612BF5"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15-25</w:t>
            </w:r>
          </w:p>
          <w:p w14:paraId="7AE01D2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lastRenderedPageBreak/>
              <w:t>26-33</w:t>
            </w:r>
          </w:p>
          <w:p w14:paraId="02CC8359"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36-45</w:t>
            </w:r>
          </w:p>
        </w:tc>
        <w:tc>
          <w:tcPr>
            <w:tcW w:w="1553" w:type="dxa"/>
            <w:tcBorders>
              <w:top w:val="single" w:sz="4" w:space="0" w:color="auto"/>
              <w:bottom w:val="nil"/>
            </w:tcBorders>
          </w:tcPr>
          <w:p w14:paraId="7AD796C4" w14:textId="77777777" w:rsidR="00FB6FC4" w:rsidRPr="00EE0D4F" w:rsidRDefault="00FB6FC4" w:rsidP="00EE0D4F">
            <w:pPr>
              <w:jc w:val="both"/>
              <w:rPr>
                <w:rFonts w:asciiTheme="minorBidi" w:eastAsia="Calibri" w:hAnsiTheme="minorBidi" w:cstheme="minorBidi"/>
              </w:rPr>
            </w:pPr>
          </w:p>
          <w:p w14:paraId="3BBFC834"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131(64.5)</w:t>
            </w:r>
          </w:p>
          <w:p w14:paraId="47704C21"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lastRenderedPageBreak/>
              <w:t>16(7.9)</w:t>
            </w:r>
          </w:p>
          <w:p w14:paraId="3A2574A4"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56(27.6)</w:t>
            </w:r>
          </w:p>
        </w:tc>
        <w:tc>
          <w:tcPr>
            <w:tcW w:w="1011" w:type="dxa"/>
            <w:tcBorders>
              <w:top w:val="single" w:sz="4" w:space="0" w:color="auto"/>
              <w:bottom w:val="nil"/>
            </w:tcBorders>
          </w:tcPr>
          <w:p w14:paraId="49F88B93"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F0F51A1"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69BB7569"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lastRenderedPageBreak/>
              <w:t>5.006</w:t>
            </w:r>
          </w:p>
        </w:tc>
        <w:tc>
          <w:tcPr>
            <w:tcW w:w="1080" w:type="dxa"/>
            <w:tcBorders>
              <w:top w:val="single" w:sz="4" w:space="0" w:color="auto"/>
              <w:bottom w:val="nil"/>
            </w:tcBorders>
          </w:tcPr>
          <w:p w14:paraId="57943AE0"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6CA37545"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5D6C65C"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lastRenderedPageBreak/>
              <w:t>.286</w:t>
            </w:r>
          </w:p>
        </w:tc>
      </w:tr>
      <w:tr w:rsidR="00FB6FC4" w:rsidRPr="00EE0D4F" w14:paraId="241365BF" w14:textId="77777777" w:rsidTr="00D33971">
        <w:trPr>
          <w:trHeight w:val="208"/>
        </w:trPr>
        <w:tc>
          <w:tcPr>
            <w:tcW w:w="2700" w:type="dxa"/>
            <w:tcBorders>
              <w:top w:val="nil"/>
              <w:bottom w:val="nil"/>
            </w:tcBorders>
          </w:tcPr>
          <w:p w14:paraId="19ED702F"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lastRenderedPageBreak/>
              <w:t>Marriage Status</w:t>
            </w:r>
          </w:p>
        </w:tc>
        <w:tc>
          <w:tcPr>
            <w:tcW w:w="1553" w:type="dxa"/>
            <w:tcBorders>
              <w:top w:val="nil"/>
              <w:bottom w:val="nil"/>
            </w:tcBorders>
          </w:tcPr>
          <w:p w14:paraId="44F57C7D"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11" w:type="dxa"/>
            <w:vMerge w:val="restart"/>
            <w:tcBorders>
              <w:top w:val="nil"/>
              <w:bottom w:val="nil"/>
            </w:tcBorders>
          </w:tcPr>
          <w:p w14:paraId="18B590D8"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0882623F"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0CFFD212"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6.901</w:t>
            </w:r>
          </w:p>
        </w:tc>
        <w:tc>
          <w:tcPr>
            <w:tcW w:w="1080" w:type="dxa"/>
            <w:vMerge w:val="restart"/>
            <w:tcBorders>
              <w:top w:val="nil"/>
              <w:bottom w:val="nil"/>
            </w:tcBorders>
          </w:tcPr>
          <w:p w14:paraId="4D2AC572" w14:textId="77777777" w:rsidR="00FB6FC4" w:rsidRPr="00EE0D4F" w:rsidRDefault="00FB6FC4" w:rsidP="00EE0D4F">
            <w:pPr>
              <w:jc w:val="both"/>
              <w:rPr>
                <w:rFonts w:asciiTheme="minorBidi" w:eastAsia="Calibri" w:hAnsiTheme="minorBidi" w:cstheme="minorBidi"/>
              </w:rPr>
            </w:pPr>
          </w:p>
          <w:p w14:paraId="7CE57622"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09F200B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.141</w:t>
            </w:r>
          </w:p>
        </w:tc>
      </w:tr>
      <w:tr w:rsidR="00FB6FC4" w:rsidRPr="00EE0D4F" w14:paraId="27F9D407" w14:textId="77777777" w:rsidTr="00D33971">
        <w:trPr>
          <w:trHeight w:val="220"/>
        </w:trPr>
        <w:tc>
          <w:tcPr>
            <w:tcW w:w="2700" w:type="dxa"/>
            <w:tcBorders>
              <w:top w:val="nil"/>
              <w:bottom w:val="nil"/>
            </w:tcBorders>
          </w:tcPr>
          <w:p w14:paraId="1733195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Single</w:t>
            </w:r>
          </w:p>
        </w:tc>
        <w:tc>
          <w:tcPr>
            <w:tcW w:w="1553" w:type="dxa"/>
            <w:tcBorders>
              <w:top w:val="nil"/>
              <w:bottom w:val="nil"/>
            </w:tcBorders>
          </w:tcPr>
          <w:p w14:paraId="1E6101D8"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48(23.6)</w:t>
            </w:r>
          </w:p>
        </w:tc>
        <w:tc>
          <w:tcPr>
            <w:tcW w:w="1011" w:type="dxa"/>
            <w:vMerge/>
            <w:tcBorders>
              <w:top w:val="nil"/>
              <w:bottom w:val="nil"/>
            </w:tcBorders>
          </w:tcPr>
          <w:p w14:paraId="0A907504"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Borders>
              <w:top w:val="nil"/>
              <w:bottom w:val="nil"/>
            </w:tcBorders>
          </w:tcPr>
          <w:p w14:paraId="62E5E11C" w14:textId="77777777" w:rsidR="00FB6FC4" w:rsidRPr="00EE0D4F" w:rsidRDefault="00FB6FC4" w:rsidP="00EE0D4F">
            <w:pPr>
              <w:jc w:val="both"/>
              <w:rPr>
                <w:rFonts w:asciiTheme="minorBidi" w:eastAsia="Calibri" w:hAnsiTheme="minorBidi" w:cstheme="minorBidi"/>
              </w:rPr>
            </w:pPr>
          </w:p>
        </w:tc>
      </w:tr>
      <w:tr w:rsidR="00FB6FC4" w:rsidRPr="00EE0D4F" w14:paraId="44FE8BF9" w14:textId="77777777" w:rsidTr="00D33971">
        <w:trPr>
          <w:trHeight w:val="182"/>
        </w:trPr>
        <w:tc>
          <w:tcPr>
            <w:tcW w:w="2700" w:type="dxa"/>
            <w:tcBorders>
              <w:top w:val="nil"/>
              <w:bottom w:val="nil"/>
            </w:tcBorders>
          </w:tcPr>
          <w:p w14:paraId="3647D6C0"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Married</w:t>
            </w:r>
          </w:p>
        </w:tc>
        <w:tc>
          <w:tcPr>
            <w:tcW w:w="1553" w:type="dxa"/>
            <w:tcBorders>
              <w:top w:val="nil"/>
              <w:bottom w:val="nil"/>
            </w:tcBorders>
          </w:tcPr>
          <w:p w14:paraId="7D066527"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155(76.4)</w:t>
            </w:r>
          </w:p>
        </w:tc>
        <w:tc>
          <w:tcPr>
            <w:tcW w:w="1011" w:type="dxa"/>
            <w:vMerge/>
            <w:tcBorders>
              <w:top w:val="nil"/>
              <w:bottom w:val="nil"/>
            </w:tcBorders>
          </w:tcPr>
          <w:p w14:paraId="79638E76"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Borders>
              <w:top w:val="nil"/>
              <w:bottom w:val="nil"/>
            </w:tcBorders>
          </w:tcPr>
          <w:p w14:paraId="7B5D4A76"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1B444073" w14:textId="77777777" w:rsidTr="00D33971">
        <w:trPr>
          <w:trHeight w:val="180"/>
        </w:trPr>
        <w:tc>
          <w:tcPr>
            <w:tcW w:w="2700" w:type="dxa"/>
            <w:tcBorders>
              <w:top w:val="nil"/>
              <w:bottom w:val="nil"/>
            </w:tcBorders>
          </w:tcPr>
          <w:p w14:paraId="744CBA14"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Weight</w:t>
            </w:r>
          </w:p>
        </w:tc>
        <w:tc>
          <w:tcPr>
            <w:tcW w:w="1553" w:type="dxa"/>
            <w:tcBorders>
              <w:top w:val="nil"/>
              <w:bottom w:val="nil"/>
            </w:tcBorders>
          </w:tcPr>
          <w:p w14:paraId="3E8B7D50"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11" w:type="dxa"/>
            <w:vMerge w:val="restart"/>
            <w:tcBorders>
              <w:top w:val="nil"/>
              <w:bottom w:val="nil"/>
            </w:tcBorders>
          </w:tcPr>
          <w:p w14:paraId="08533D35"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7C5FD73E"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03D1602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24.435</w:t>
            </w:r>
          </w:p>
        </w:tc>
        <w:tc>
          <w:tcPr>
            <w:tcW w:w="1080" w:type="dxa"/>
            <w:vMerge w:val="restart"/>
            <w:tcBorders>
              <w:top w:val="nil"/>
              <w:bottom w:val="nil"/>
            </w:tcBorders>
          </w:tcPr>
          <w:p w14:paraId="1263ABE4"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14C601E1"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0B42C31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.990</w:t>
            </w:r>
          </w:p>
        </w:tc>
      </w:tr>
      <w:tr w:rsidR="00FB6FC4" w:rsidRPr="00EE0D4F" w14:paraId="2F181AFC" w14:textId="77777777" w:rsidTr="00D33971">
        <w:trPr>
          <w:trHeight w:val="152"/>
        </w:trPr>
        <w:tc>
          <w:tcPr>
            <w:tcW w:w="2700" w:type="dxa"/>
            <w:tcBorders>
              <w:top w:val="nil"/>
            </w:tcBorders>
          </w:tcPr>
          <w:p w14:paraId="24693A7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Below 60kg</w:t>
            </w:r>
          </w:p>
        </w:tc>
        <w:tc>
          <w:tcPr>
            <w:tcW w:w="1553" w:type="dxa"/>
            <w:tcBorders>
              <w:top w:val="nil"/>
            </w:tcBorders>
          </w:tcPr>
          <w:p w14:paraId="73F5CEE2"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52(25.6)</w:t>
            </w:r>
          </w:p>
        </w:tc>
        <w:tc>
          <w:tcPr>
            <w:tcW w:w="1011" w:type="dxa"/>
            <w:vMerge/>
            <w:tcBorders>
              <w:top w:val="nil"/>
            </w:tcBorders>
          </w:tcPr>
          <w:p w14:paraId="380EAF82"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Borders>
              <w:top w:val="nil"/>
            </w:tcBorders>
          </w:tcPr>
          <w:p w14:paraId="266FEE5D"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58F28EE1" w14:textId="77777777" w:rsidTr="00D33971">
        <w:trPr>
          <w:trHeight w:val="235"/>
        </w:trPr>
        <w:tc>
          <w:tcPr>
            <w:tcW w:w="2700" w:type="dxa"/>
          </w:tcPr>
          <w:p w14:paraId="4AD00E09"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Above 60kg</w:t>
            </w:r>
          </w:p>
        </w:tc>
        <w:tc>
          <w:tcPr>
            <w:tcW w:w="1553" w:type="dxa"/>
          </w:tcPr>
          <w:p w14:paraId="2AB75CF7"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151(74.4)</w:t>
            </w:r>
          </w:p>
        </w:tc>
        <w:tc>
          <w:tcPr>
            <w:tcW w:w="1011" w:type="dxa"/>
            <w:vMerge/>
          </w:tcPr>
          <w:p w14:paraId="57764692"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6F7E3CE2"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6FB53C6D" w14:textId="77777777" w:rsidTr="00D33971">
        <w:trPr>
          <w:trHeight w:val="192"/>
        </w:trPr>
        <w:tc>
          <w:tcPr>
            <w:tcW w:w="2700" w:type="dxa"/>
          </w:tcPr>
          <w:p w14:paraId="6C60336A"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Temperature</w:t>
            </w:r>
          </w:p>
        </w:tc>
        <w:tc>
          <w:tcPr>
            <w:tcW w:w="1553" w:type="dxa"/>
            <w:vMerge w:val="restart"/>
          </w:tcPr>
          <w:p w14:paraId="41A15601"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656D3ECD"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31(15.3)</w:t>
            </w:r>
          </w:p>
        </w:tc>
        <w:tc>
          <w:tcPr>
            <w:tcW w:w="1011" w:type="dxa"/>
            <w:vMerge w:val="restart"/>
          </w:tcPr>
          <w:p w14:paraId="2B0F2188"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7E8616D3"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1.404</w:t>
            </w:r>
          </w:p>
        </w:tc>
        <w:tc>
          <w:tcPr>
            <w:tcW w:w="1080" w:type="dxa"/>
            <w:vMerge w:val="restart"/>
          </w:tcPr>
          <w:p w14:paraId="7926943C"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811BE1A"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.236</w:t>
            </w:r>
          </w:p>
          <w:p w14:paraId="3BB6D279"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4D7507C3" w14:textId="77777777" w:rsidTr="00D33971">
        <w:trPr>
          <w:trHeight w:val="194"/>
        </w:trPr>
        <w:tc>
          <w:tcPr>
            <w:tcW w:w="2700" w:type="dxa"/>
          </w:tcPr>
          <w:p w14:paraId="16DC24F3"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Yes</w:t>
            </w:r>
          </w:p>
        </w:tc>
        <w:tc>
          <w:tcPr>
            <w:tcW w:w="1553" w:type="dxa"/>
            <w:vMerge/>
          </w:tcPr>
          <w:p w14:paraId="168241CA"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11" w:type="dxa"/>
            <w:vMerge/>
          </w:tcPr>
          <w:p w14:paraId="1E22AF1D"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33A49F03"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78A7FF89" w14:textId="77777777" w:rsidTr="00D33971">
        <w:trPr>
          <w:trHeight w:val="208"/>
        </w:trPr>
        <w:tc>
          <w:tcPr>
            <w:tcW w:w="2700" w:type="dxa"/>
          </w:tcPr>
          <w:p w14:paraId="1DB79D3B"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No</w:t>
            </w:r>
          </w:p>
        </w:tc>
        <w:tc>
          <w:tcPr>
            <w:tcW w:w="1553" w:type="dxa"/>
          </w:tcPr>
          <w:p w14:paraId="2817AEA9"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172(84.7)</w:t>
            </w:r>
          </w:p>
        </w:tc>
        <w:tc>
          <w:tcPr>
            <w:tcW w:w="1011" w:type="dxa"/>
            <w:vMerge/>
          </w:tcPr>
          <w:p w14:paraId="2F945526"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68935EC8"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62E4AD30" w14:textId="77777777" w:rsidTr="00D33971">
        <w:trPr>
          <w:trHeight w:val="141"/>
        </w:trPr>
        <w:tc>
          <w:tcPr>
            <w:tcW w:w="2700" w:type="dxa"/>
          </w:tcPr>
          <w:p w14:paraId="600325A6"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Gravidity</w:t>
            </w:r>
          </w:p>
        </w:tc>
        <w:tc>
          <w:tcPr>
            <w:tcW w:w="1553" w:type="dxa"/>
          </w:tcPr>
          <w:p w14:paraId="73C84D4F"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11" w:type="dxa"/>
            <w:vMerge w:val="restart"/>
          </w:tcPr>
          <w:p w14:paraId="664AC123"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CE05C37"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263E9787"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.391</w:t>
            </w:r>
          </w:p>
        </w:tc>
        <w:tc>
          <w:tcPr>
            <w:tcW w:w="1080" w:type="dxa"/>
            <w:vMerge w:val="restart"/>
          </w:tcPr>
          <w:p w14:paraId="4A47DEF3"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4240E000"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4DDE4407"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.822</w:t>
            </w:r>
          </w:p>
        </w:tc>
      </w:tr>
      <w:tr w:rsidR="00FB6FC4" w:rsidRPr="00EE0D4F" w14:paraId="19415332" w14:textId="77777777" w:rsidTr="00D33971">
        <w:trPr>
          <w:trHeight w:val="246"/>
        </w:trPr>
        <w:tc>
          <w:tcPr>
            <w:tcW w:w="2700" w:type="dxa"/>
          </w:tcPr>
          <w:p w14:paraId="79D4F2C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Primigravidae</w:t>
            </w:r>
          </w:p>
        </w:tc>
        <w:tc>
          <w:tcPr>
            <w:tcW w:w="1553" w:type="dxa"/>
          </w:tcPr>
          <w:p w14:paraId="7973F05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91(44.8)</w:t>
            </w:r>
          </w:p>
        </w:tc>
        <w:tc>
          <w:tcPr>
            <w:tcW w:w="1011" w:type="dxa"/>
            <w:vMerge/>
          </w:tcPr>
          <w:p w14:paraId="6FD97268"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0406F067"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443E3478" w14:textId="77777777" w:rsidTr="00D33971">
        <w:trPr>
          <w:trHeight w:val="182"/>
        </w:trPr>
        <w:tc>
          <w:tcPr>
            <w:tcW w:w="2700" w:type="dxa"/>
          </w:tcPr>
          <w:p w14:paraId="7A216C58"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Multigravida</w:t>
            </w:r>
          </w:p>
        </w:tc>
        <w:tc>
          <w:tcPr>
            <w:tcW w:w="1553" w:type="dxa"/>
          </w:tcPr>
          <w:p w14:paraId="6F465B3C"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102(55.2)</w:t>
            </w:r>
          </w:p>
        </w:tc>
        <w:tc>
          <w:tcPr>
            <w:tcW w:w="1011" w:type="dxa"/>
            <w:vMerge/>
          </w:tcPr>
          <w:p w14:paraId="792702F5"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68A95C13"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305BC965" w14:textId="77777777" w:rsidTr="00D33971">
        <w:trPr>
          <w:trHeight w:val="156"/>
        </w:trPr>
        <w:tc>
          <w:tcPr>
            <w:tcW w:w="2700" w:type="dxa"/>
          </w:tcPr>
          <w:p w14:paraId="216FCB31"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 xml:space="preserve">Gestation </w:t>
            </w:r>
          </w:p>
        </w:tc>
        <w:tc>
          <w:tcPr>
            <w:tcW w:w="1553" w:type="dxa"/>
          </w:tcPr>
          <w:p w14:paraId="58D2EA58"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11" w:type="dxa"/>
            <w:vMerge w:val="restart"/>
          </w:tcPr>
          <w:p w14:paraId="2E75201D"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E5DD2D2"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06DBDC5"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105.052</w:t>
            </w:r>
          </w:p>
        </w:tc>
        <w:tc>
          <w:tcPr>
            <w:tcW w:w="1080" w:type="dxa"/>
            <w:vMerge w:val="restart"/>
          </w:tcPr>
          <w:p w14:paraId="1D161598" w14:textId="77777777" w:rsidR="00FB6FC4" w:rsidRPr="00EE0D4F" w:rsidRDefault="00FB6FC4" w:rsidP="00EE0D4F">
            <w:pPr>
              <w:autoSpaceDE w:val="0"/>
              <w:autoSpaceDN w:val="0"/>
              <w:adjustRightInd w:val="0"/>
              <w:jc w:val="both"/>
              <w:rPr>
                <w:rFonts w:asciiTheme="minorBidi" w:eastAsia="Calibri" w:hAnsiTheme="minorBidi" w:cstheme="minorBidi"/>
                <w:b/>
              </w:rPr>
            </w:pPr>
          </w:p>
          <w:p w14:paraId="734738B0" w14:textId="77777777" w:rsidR="00FB6FC4" w:rsidRPr="00EE0D4F" w:rsidRDefault="00FB6FC4" w:rsidP="00EE0D4F">
            <w:pPr>
              <w:autoSpaceDE w:val="0"/>
              <w:autoSpaceDN w:val="0"/>
              <w:adjustRightInd w:val="0"/>
              <w:jc w:val="both"/>
              <w:rPr>
                <w:rFonts w:asciiTheme="minorBidi" w:eastAsia="Calibri" w:hAnsiTheme="minorBidi" w:cstheme="minorBidi"/>
                <w:b/>
              </w:rPr>
            </w:pPr>
          </w:p>
          <w:p w14:paraId="0E56BB4A"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.001</w:t>
            </w:r>
          </w:p>
        </w:tc>
      </w:tr>
      <w:tr w:rsidR="00FB6FC4" w:rsidRPr="00EE0D4F" w14:paraId="5C6A0D27" w14:textId="77777777" w:rsidTr="00D33971">
        <w:trPr>
          <w:trHeight w:val="234"/>
        </w:trPr>
        <w:tc>
          <w:tcPr>
            <w:tcW w:w="2700" w:type="dxa"/>
          </w:tcPr>
          <w:p w14:paraId="4C49F46B"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First trimester</w:t>
            </w:r>
          </w:p>
        </w:tc>
        <w:tc>
          <w:tcPr>
            <w:tcW w:w="1553" w:type="dxa"/>
          </w:tcPr>
          <w:p w14:paraId="4C3286B6"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71(35.0)</w:t>
            </w:r>
          </w:p>
        </w:tc>
        <w:tc>
          <w:tcPr>
            <w:tcW w:w="1011" w:type="dxa"/>
            <w:vMerge/>
          </w:tcPr>
          <w:p w14:paraId="4966C5CA"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06BEAFC7" w14:textId="77777777" w:rsidR="00FB6FC4" w:rsidRPr="00EE0D4F" w:rsidRDefault="00FB6FC4" w:rsidP="00EE0D4F">
            <w:pPr>
              <w:autoSpaceDE w:val="0"/>
              <w:autoSpaceDN w:val="0"/>
              <w:adjustRightInd w:val="0"/>
              <w:jc w:val="both"/>
              <w:rPr>
                <w:rFonts w:asciiTheme="minorBidi" w:eastAsia="Calibri" w:hAnsiTheme="minorBidi" w:cstheme="minorBidi"/>
                <w:b/>
              </w:rPr>
            </w:pPr>
          </w:p>
        </w:tc>
      </w:tr>
      <w:tr w:rsidR="00FB6FC4" w:rsidRPr="00EE0D4F" w14:paraId="374DE0AB" w14:textId="77777777" w:rsidTr="00D33971">
        <w:trPr>
          <w:trHeight w:val="208"/>
        </w:trPr>
        <w:tc>
          <w:tcPr>
            <w:tcW w:w="2700" w:type="dxa"/>
          </w:tcPr>
          <w:p w14:paraId="6B878348"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Second trimester</w:t>
            </w:r>
          </w:p>
        </w:tc>
        <w:tc>
          <w:tcPr>
            <w:tcW w:w="1553" w:type="dxa"/>
          </w:tcPr>
          <w:p w14:paraId="48C4537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92(45.3)</w:t>
            </w:r>
          </w:p>
        </w:tc>
        <w:tc>
          <w:tcPr>
            <w:tcW w:w="1011" w:type="dxa"/>
            <w:vMerge/>
          </w:tcPr>
          <w:p w14:paraId="2EC4102C"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32AD2414"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5BAAE888" w14:textId="77777777" w:rsidTr="00D33971">
        <w:trPr>
          <w:trHeight w:val="301"/>
        </w:trPr>
        <w:tc>
          <w:tcPr>
            <w:tcW w:w="2700" w:type="dxa"/>
          </w:tcPr>
          <w:p w14:paraId="41B0CBF3"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Third trimester</w:t>
            </w:r>
          </w:p>
        </w:tc>
        <w:tc>
          <w:tcPr>
            <w:tcW w:w="1553" w:type="dxa"/>
          </w:tcPr>
          <w:p w14:paraId="368CFC39"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40(19.7)</w:t>
            </w:r>
          </w:p>
        </w:tc>
        <w:tc>
          <w:tcPr>
            <w:tcW w:w="1011" w:type="dxa"/>
            <w:vMerge/>
          </w:tcPr>
          <w:p w14:paraId="59B4F378"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0DED177E"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4821677F" w14:textId="77777777" w:rsidTr="00D33971">
        <w:trPr>
          <w:trHeight w:val="141"/>
        </w:trPr>
        <w:tc>
          <w:tcPr>
            <w:tcW w:w="2700" w:type="dxa"/>
          </w:tcPr>
          <w:p w14:paraId="46A7863E"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Miscarriage</w:t>
            </w:r>
          </w:p>
        </w:tc>
        <w:tc>
          <w:tcPr>
            <w:tcW w:w="1553" w:type="dxa"/>
            <w:vMerge w:val="restart"/>
          </w:tcPr>
          <w:p w14:paraId="23D5D463"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D41A7F7"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38(18.2)</w:t>
            </w:r>
          </w:p>
        </w:tc>
        <w:tc>
          <w:tcPr>
            <w:tcW w:w="1011" w:type="dxa"/>
            <w:vMerge w:val="restart"/>
          </w:tcPr>
          <w:p w14:paraId="3AD58BF1"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2D6674E5"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4.018</w:t>
            </w:r>
          </w:p>
        </w:tc>
        <w:tc>
          <w:tcPr>
            <w:tcW w:w="1080" w:type="dxa"/>
            <w:vMerge w:val="restart"/>
          </w:tcPr>
          <w:p w14:paraId="4E9F2E96" w14:textId="77777777" w:rsidR="00FB6FC4" w:rsidRPr="00EE0D4F" w:rsidRDefault="00FB6FC4" w:rsidP="00EE0D4F">
            <w:pPr>
              <w:autoSpaceDE w:val="0"/>
              <w:autoSpaceDN w:val="0"/>
              <w:adjustRightInd w:val="0"/>
              <w:jc w:val="both"/>
              <w:rPr>
                <w:rFonts w:asciiTheme="minorBidi" w:eastAsia="Calibri" w:hAnsiTheme="minorBidi" w:cstheme="minorBidi"/>
                <w:b/>
              </w:rPr>
            </w:pPr>
          </w:p>
          <w:p w14:paraId="4BCB0F93"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.045</w:t>
            </w:r>
          </w:p>
        </w:tc>
      </w:tr>
      <w:tr w:rsidR="00FB6FC4" w:rsidRPr="00EE0D4F" w14:paraId="4CE1A55C" w14:textId="77777777" w:rsidTr="00D33971">
        <w:trPr>
          <w:trHeight w:val="246"/>
        </w:trPr>
        <w:tc>
          <w:tcPr>
            <w:tcW w:w="2700" w:type="dxa"/>
          </w:tcPr>
          <w:p w14:paraId="448C5EF5"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 xml:space="preserve">Yes </w:t>
            </w:r>
          </w:p>
        </w:tc>
        <w:tc>
          <w:tcPr>
            <w:tcW w:w="1553" w:type="dxa"/>
            <w:vMerge/>
          </w:tcPr>
          <w:p w14:paraId="5823C574"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11" w:type="dxa"/>
            <w:vMerge/>
          </w:tcPr>
          <w:p w14:paraId="6F5AD4EB"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0AA73D27" w14:textId="77777777" w:rsidR="00FB6FC4" w:rsidRPr="00EE0D4F" w:rsidRDefault="00FB6FC4" w:rsidP="00EE0D4F">
            <w:pPr>
              <w:autoSpaceDE w:val="0"/>
              <w:autoSpaceDN w:val="0"/>
              <w:adjustRightInd w:val="0"/>
              <w:jc w:val="both"/>
              <w:rPr>
                <w:rFonts w:asciiTheme="minorBidi" w:eastAsia="Calibri" w:hAnsiTheme="minorBidi" w:cstheme="minorBidi"/>
                <w:b/>
              </w:rPr>
            </w:pPr>
          </w:p>
        </w:tc>
      </w:tr>
      <w:tr w:rsidR="00FB6FC4" w:rsidRPr="00EE0D4F" w14:paraId="46A20CD8" w14:textId="77777777" w:rsidTr="00D33971">
        <w:trPr>
          <w:trHeight w:val="355"/>
        </w:trPr>
        <w:tc>
          <w:tcPr>
            <w:tcW w:w="2700" w:type="dxa"/>
          </w:tcPr>
          <w:p w14:paraId="07918A00"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 xml:space="preserve">No </w:t>
            </w:r>
          </w:p>
        </w:tc>
        <w:tc>
          <w:tcPr>
            <w:tcW w:w="1553" w:type="dxa"/>
          </w:tcPr>
          <w:p w14:paraId="7567D1BA"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169(80.8)</w:t>
            </w:r>
          </w:p>
        </w:tc>
        <w:tc>
          <w:tcPr>
            <w:tcW w:w="1011" w:type="dxa"/>
            <w:vMerge/>
          </w:tcPr>
          <w:p w14:paraId="2AE5C176"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4B3B8D21"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168ABA1F" w14:textId="77777777" w:rsidTr="00D33971">
        <w:trPr>
          <w:trHeight w:val="195"/>
        </w:trPr>
        <w:tc>
          <w:tcPr>
            <w:tcW w:w="2700" w:type="dxa"/>
          </w:tcPr>
          <w:p w14:paraId="51D39CD9"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Signs/Symptoms</w:t>
            </w:r>
          </w:p>
        </w:tc>
        <w:tc>
          <w:tcPr>
            <w:tcW w:w="1553" w:type="dxa"/>
            <w:vMerge w:val="restart"/>
          </w:tcPr>
          <w:p w14:paraId="3E351DA1"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16BE7971"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184(90.6)</w:t>
            </w:r>
          </w:p>
        </w:tc>
        <w:tc>
          <w:tcPr>
            <w:tcW w:w="1011" w:type="dxa"/>
            <w:vMerge w:val="restart"/>
          </w:tcPr>
          <w:p w14:paraId="24459043"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1BBC1443"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5.420</w:t>
            </w:r>
          </w:p>
        </w:tc>
        <w:tc>
          <w:tcPr>
            <w:tcW w:w="1080" w:type="dxa"/>
            <w:vMerge w:val="restart"/>
          </w:tcPr>
          <w:p w14:paraId="1962117A" w14:textId="77777777" w:rsidR="00FB6FC4" w:rsidRPr="00EE0D4F" w:rsidRDefault="00FB6FC4" w:rsidP="00EE0D4F">
            <w:pPr>
              <w:autoSpaceDE w:val="0"/>
              <w:autoSpaceDN w:val="0"/>
              <w:adjustRightInd w:val="0"/>
              <w:jc w:val="both"/>
              <w:rPr>
                <w:rFonts w:asciiTheme="minorBidi" w:eastAsia="Calibri" w:hAnsiTheme="minorBidi" w:cstheme="minorBidi"/>
                <w:b/>
              </w:rPr>
            </w:pPr>
          </w:p>
          <w:p w14:paraId="62454591"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.020</w:t>
            </w:r>
          </w:p>
        </w:tc>
      </w:tr>
      <w:tr w:rsidR="00FB6FC4" w:rsidRPr="00EE0D4F" w14:paraId="56D8DF59" w14:textId="77777777" w:rsidTr="00D33971">
        <w:trPr>
          <w:trHeight w:val="192"/>
        </w:trPr>
        <w:tc>
          <w:tcPr>
            <w:tcW w:w="2700" w:type="dxa"/>
          </w:tcPr>
          <w:p w14:paraId="6313070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 xml:space="preserve">Yes </w:t>
            </w:r>
          </w:p>
        </w:tc>
        <w:tc>
          <w:tcPr>
            <w:tcW w:w="1553" w:type="dxa"/>
            <w:vMerge/>
          </w:tcPr>
          <w:p w14:paraId="6C02B572"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11" w:type="dxa"/>
            <w:vMerge/>
          </w:tcPr>
          <w:p w14:paraId="3EF7BEF0"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4164E603" w14:textId="77777777" w:rsidR="00FB6FC4" w:rsidRPr="00EE0D4F" w:rsidRDefault="00FB6FC4" w:rsidP="00EE0D4F">
            <w:pPr>
              <w:autoSpaceDE w:val="0"/>
              <w:autoSpaceDN w:val="0"/>
              <w:adjustRightInd w:val="0"/>
              <w:jc w:val="both"/>
              <w:rPr>
                <w:rFonts w:asciiTheme="minorBidi" w:eastAsia="Calibri" w:hAnsiTheme="minorBidi" w:cstheme="minorBidi"/>
                <w:b/>
              </w:rPr>
            </w:pPr>
          </w:p>
        </w:tc>
      </w:tr>
      <w:tr w:rsidR="00FB6FC4" w:rsidRPr="00EE0D4F" w14:paraId="703AD6D1" w14:textId="77777777" w:rsidTr="00D33971">
        <w:trPr>
          <w:trHeight w:val="195"/>
        </w:trPr>
        <w:tc>
          <w:tcPr>
            <w:tcW w:w="2700" w:type="dxa"/>
          </w:tcPr>
          <w:p w14:paraId="58FD4680"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 xml:space="preserve">No </w:t>
            </w:r>
          </w:p>
        </w:tc>
        <w:tc>
          <w:tcPr>
            <w:tcW w:w="1553" w:type="dxa"/>
          </w:tcPr>
          <w:p w14:paraId="07868F4B"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19(9.4)</w:t>
            </w:r>
          </w:p>
        </w:tc>
        <w:tc>
          <w:tcPr>
            <w:tcW w:w="1011" w:type="dxa"/>
            <w:vMerge/>
          </w:tcPr>
          <w:p w14:paraId="5033EE36"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73466FC5"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3171B6DB" w14:textId="77777777" w:rsidTr="00D33971">
        <w:trPr>
          <w:trHeight w:val="143"/>
        </w:trPr>
        <w:tc>
          <w:tcPr>
            <w:tcW w:w="2700" w:type="dxa"/>
          </w:tcPr>
          <w:p w14:paraId="1C5012AE"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Laboratory tests</w:t>
            </w:r>
          </w:p>
        </w:tc>
        <w:tc>
          <w:tcPr>
            <w:tcW w:w="1553" w:type="dxa"/>
            <w:vMerge w:val="restart"/>
          </w:tcPr>
          <w:p w14:paraId="46E94F56"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7F9583EF"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53(26.1)</w:t>
            </w:r>
          </w:p>
        </w:tc>
        <w:tc>
          <w:tcPr>
            <w:tcW w:w="1011" w:type="dxa"/>
            <w:vMerge w:val="restart"/>
          </w:tcPr>
          <w:p w14:paraId="25F36508"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0577AB77"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11.460</w:t>
            </w:r>
          </w:p>
        </w:tc>
        <w:tc>
          <w:tcPr>
            <w:tcW w:w="1080" w:type="dxa"/>
            <w:vMerge w:val="restart"/>
          </w:tcPr>
          <w:p w14:paraId="5AF9B99D"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39529D85"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.001</w:t>
            </w:r>
          </w:p>
        </w:tc>
      </w:tr>
      <w:tr w:rsidR="00FB6FC4" w:rsidRPr="00EE0D4F" w14:paraId="22DB0ECF" w14:textId="77777777" w:rsidTr="00D33971">
        <w:trPr>
          <w:trHeight w:val="195"/>
        </w:trPr>
        <w:tc>
          <w:tcPr>
            <w:tcW w:w="2700" w:type="dxa"/>
          </w:tcPr>
          <w:p w14:paraId="7280CA98"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RDT</w:t>
            </w:r>
          </w:p>
        </w:tc>
        <w:tc>
          <w:tcPr>
            <w:tcW w:w="1553" w:type="dxa"/>
            <w:vMerge/>
          </w:tcPr>
          <w:p w14:paraId="51E91DA8"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11" w:type="dxa"/>
            <w:vMerge/>
          </w:tcPr>
          <w:p w14:paraId="77239A5B"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2BE59D94"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5D1FF9BF" w14:textId="77777777" w:rsidTr="00D33971">
        <w:trPr>
          <w:trHeight w:val="192"/>
        </w:trPr>
        <w:tc>
          <w:tcPr>
            <w:tcW w:w="2700" w:type="dxa"/>
          </w:tcPr>
          <w:p w14:paraId="48D3DF16"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Microscopy</w:t>
            </w:r>
          </w:p>
        </w:tc>
        <w:tc>
          <w:tcPr>
            <w:tcW w:w="1553" w:type="dxa"/>
          </w:tcPr>
          <w:p w14:paraId="03221833"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150(73.9)</w:t>
            </w:r>
          </w:p>
        </w:tc>
        <w:tc>
          <w:tcPr>
            <w:tcW w:w="1011" w:type="dxa"/>
            <w:vMerge/>
          </w:tcPr>
          <w:p w14:paraId="4E0721C3"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02A70964"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5312C3AB" w14:textId="77777777" w:rsidTr="00D33971">
        <w:trPr>
          <w:trHeight w:val="143"/>
        </w:trPr>
        <w:tc>
          <w:tcPr>
            <w:tcW w:w="2700" w:type="dxa"/>
          </w:tcPr>
          <w:p w14:paraId="2EBD0BFA" w14:textId="77777777" w:rsidR="00FB6FC4" w:rsidRPr="00EE0D4F" w:rsidRDefault="00FB6FC4" w:rsidP="00EE0D4F">
            <w:pPr>
              <w:autoSpaceDE w:val="0"/>
              <w:autoSpaceDN w:val="0"/>
              <w:adjustRightInd w:val="0"/>
              <w:jc w:val="both"/>
              <w:rPr>
                <w:rFonts w:asciiTheme="minorBidi" w:eastAsia="Calibri" w:hAnsiTheme="minorBidi" w:cstheme="minorBidi"/>
                <w:b/>
              </w:rPr>
            </w:pPr>
            <w:r w:rsidRPr="00EE0D4F">
              <w:rPr>
                <w:rFonts w:asciiTheme="minorBidi" w:eastAsia="Calibri" w:hAnsiTheme="minorBidi" w:cstheme="minorBidi"/>
                <w:b/>
              </w:rPr>
              <w:t>Malaria Diagnosis</w:t>
            </w:r>
          </w:p>
        </w:tc>
        <w:tc>
          <w:tcPr>
            <w:tcW w:w="1553" w:type="dxa"/>
            <w:vMerge w:val="restart"/>
          </w:tcPr>
          <w:p w14:paraId="25813C68"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69F7194D"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180(88.7)</w:t>
            </w:r>
          </w:p>
        </w:tc>
        <w:tc>
          <w:tcPr>
            <w:tcW w:w="1011" w:type="dxa"/>
            <w:vMerge w:val="restart"/>
          </w:tcPr>
          <w:p w14:paraId="47928FAA"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C9E4DCA"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 xml:space="preserve"> </w:t>
            </w:r>
          </w:p>
          <w:p w14:paraId="401B20D7"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4.070</w:t>
            </w:r>
          </w:p>
        </w:tc>
        <w:tc>
          <w:tcPr>
            <w:tcW w:w="1080" w:type="dxa"/>
            <w:vMerge w:val="restart"/>
          </w:tcPr>
          <w:p w14:paraId="6BC7A581"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6525380D" w14:textId="77777777" w:rsidR="00FB6FC4" w:rsidRPr="00EE0D4F" w:rsidRDefault="00FB6FC4" w:rsidP="00EE0D4F">
            <w:pPr>
              <w:autoSpaceDE w:val="0"/>
              <w:autoSpaceDN w:val="0"/>
              <w:adjustRightInd w:val="0"/>
              <w:jc w:val="both"/>
              <w:rPr>
                <w:rFonts w:asciiTheme="minorBidi" w:eastAsia="Calibri" w:hAnsiTheme="minorBidi" w:cstheme="minorBidi"/>
              </w:rPr>
            </w:pPr>
          </w:p>
          <w:p w14:paraId="5FE44408"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w:t>
            </w:r>
            <w:r w:rsidRPr="00EE0D4F">
              <w:rPr>
                <w:rFonts w:asciiTheme="minorBidi" w:eastAsia="Calibri" w:hAnsiTheme="minorBidi" w:cstheme="minorBidi"/>
                <w:b/>
              </w:rPr>
              <w:t>044</w:t>
            </w:r>
          </w:p>
        </w:tc>
      </w:tr>
      <w:tr w:rsidR="00FB6FC4" w:rsidRPr="00EE0D4F" w14:paraId="13AADB55" w14:textId="77777777" w:rsidTr="00D33971">
        <w:trPr>
          <w:trHeight w:val="179"/>
        </w:trPr>
        <w:tc>
          <w:tcPr>
            <w:tcW w:w="2700" w:type="dxa"/>
          </w:tcPr>
          <w:p w14:paraId="11E94C05"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Uncomplicated Malaria</w:t>
            </w:r>
          </w:p>
        </w:tc>
        <w:tc>
          <w:tcPr>
            <w:tcW w:w="1553" w:type="dxa"/>
            <w:vMerge/>
          </w:tcPr>
          <w:p w14:paraId="3E160793"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11" w:type="dxa"/>
            <w:vMerge/>
          </w:tcPr>
          <w:p w14:paraId="6E2D6F3C"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60115305" w14:textId="77777777" w:rsidR="00FB6FC4" w:rsidRPr="00EE0D4F" w:rsidRDefault="00FB6FC4" w:rsidP="00EE0D4F">
            <w:pPr>
              <w:autoSpaceDE w:val="0"/>
              <w:autoSpaceDN w:val="0"/>
              <w:adjustRightInd w:val="0"/>
              <w:jc w:val="both"/>
              <w:rPr>
                <w:rFonts w:asciiTheme="minorBidi" w:eastAsia="Calibri" w:hAnsiTheme="minorBidi" w:cstheme="minorBidi"/>
              </w:rPr>
            </w:pPr>
          </w:p>
        </w:tc>
      </w:tr>
      <w:tr w:rsidR="00FB6FC4" w:rsidRPr="00EE0D4F" w14:paraId="4050BB3B" w14:textId="77777777" w:rsidTr="00D33971">
        <w:trPr>
          <w:trHeight w:val="208"/>
        </w:trPr>
        <w:tc>
          <w:tcPr>
            <w:tcW w:w="2700" w:type="dxa"/>
          </w:tcPr>
          <w:p w14:paraId="1CAD10AA"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Severe Malaria</w:t>
            </w:r>
          </w:p>
        </w:tc>
        <w:tc>
          <w:tcPr>
            <w:tcW w:w="1553" w:type="dxa"/>
          </w:tcPr>
          <w:p w14:paraId="366519DB" w14:textId="77777777"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23(11.3)</w:t>
            </w:r>
          </w:p>
        </w:tc>
        <w:tc>
          <w:tcPr>
            <w:tcW w:w="1011" w:type="dxa"/>
            <w:vMerge/>
          </w:tcPr>
          <w:p w14:paraId="5F9DC711" w14:textId="77777777" w:rsidR="00FB6FC4" w:rsidRPr="00EE0D4F" w:rsidRDefault="00FB6FC4" w:rsidP="00EE0D4F">
            <w:pPr>
              <w:autoSpaceDE w:val="0"/>
              <w:autoSpaceDN w:val="0"/>
              <w:adjustRightInd w:val="0"/>
              <w:jc w:val="both"/>
              <w:rPr>
                <w:rFonts w:asciiTheme="minorBidi" w:eastAsia="Calibri" w:hAnsiTheme="minorBidi" w:cstheme="minorBidi"/>
              </w:rPr>
            </w:pPr>
          </w:p>
        </w:tc>
        <w:tc>
          <w:tcPr>
            <w:tcW w:w="1080" w:type="dxa"/>
            <w:vMerge/>
          </w:tcPr>
          <w:p w14:paraId="42EAAF37" w14:textId="77777777" w:rsidR="00FB6FC4" w:rsidRPr="00EE0D4F" w:rsidRDefault="00FB6FC4" w:rsidP="00EE0D4F">
            <w:pPr>
              <w:autoSpaceDE w:val="0"/>
              <w:autoSpaceDN w:val="0"/>
              <w:adjustRightInd w:val="0"/>
              <w:jc w:val="both"/>
              <w:rPr>
                <w:rFonts w:asciiTheme="minorBidi" w:eastAsia="Calibri" w:hAnsiTheme="minorBidi" w:cstheme="minorBidi"/>
              </w:rPr>
            </w:pPr>
          </w:p>
        </w:tc>
      </w:tr>
    </w:tbl>
    <w:p w14:paraId="742B8FA3" w14:textId="1821C8B2"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X</w:t>
      </w:r>
      <w:r w:rsidRPr="00EE0D4F">
        <w:rPr>
          <w:rFonts w:asciiTheme="minorBidi" w:eastAsia="Calibri" w:hAnsiTheme="minorBidi" w:cstheme="minorBidi"/>
          <w:vertAlign w:val="superscript"/>
        </w:rPr>
        <w:t xml:space="preserve">2=chi-square, RDT=Rapid Diagnostic Test </w:t>
      </w:r>
    </w:p>
    <w:p w14:paraId="0DF32DD9" w14:textId="77777777" w:rsidR="00FB6FC4" w:rsidRPr="00EE0D4F" w:rsidRDefault="00FB6FC4" w:rsidP="00EE0D4F">
      <w:pPr>
        <w:keepNext/>
        <w:jc w:val="both"/>
        <w:rPr>
          <w:rFonts w:asciiTheme="minorBidi" w:eastAsia="Calibri" w:hAnsiTheme="minorBidi" w:cstheme="minorBidi"/>
          <w:b/>
          <w:bCs/>
        </w:rPr>
      </w:pPr>
    </w:p>
    <w:p w14:paraId="46324BD0" w14:textId="73A5A4A6" w:rsidR="00FB6FC4" w:rsidRPr="00EE0D4F" w:rsidRDefault="00FB6FC4" w:rsidP="00EE0D4F">
      <w:pPr>
        <w:keepNext/>
        <w:jc w:val="both"/>
        <w:rPr>
          <w:rFonts w:asciiTheme="minorBidi" w:eastAsia="Calibri" w:hAnsiTheme="minorBidi" w:cstheme="minorBidi"/>
          <w:b/>
          <w:bCs/>
        </w:rPr>
      </w:pPr>
      <w:r w:rsidRPr="00EE0D4F">
        <w:rPr>
          <w:rFonts w:asciiTheme="minorBidi" w:eastAsia="Calibri" w:hAnsiTheme="minorBidi" w:cstheme="minorBidi"/>
          <w:b/>
          <w:bCs/>
        </w:rPr>
        <w:t>3.2 Clinicians’ compliance with malaria treatment in pregnancy</w:t>
      </w:r>
    </w:p>
    <w:p w14:paraId="6007DD9A" w14:textId="77777777" w:rsidR="00FB6FC4" w:rsidRPr="00EE0D4F" w:rsidRDefault="00FB6FC4" w:rsidP="00EE0D4F">
      <w:pPr>
        <w:keepNext/>
        <w:jc w:val="both"/>
        <w:rPr>
          <w:rFonts w:asciiTheme="minorBidi" w:eastAsia="Calibri" w:hAnsiTheme="minorBidi" w:cstheme="minorBidi"/>
          <w:b/>
          <w:bCs/>
        </w:rPr>
      </w:pPr>
    </w:p>
    <w:p w14:paraId="12933E1C" w14:textId="1D6F1304" w:rsidR="00FB6FC4" w:rsidRPr="00EE0D4F" w:rsidRDefault="00FB6FC4" w:rsidP="00EE0D4F">
      <w:pPr>
        <w:autoSpaceDE w:val="0"/>
        <w:autoSpaceDN w:val="0"/>
        <w:adjustRightInd w:val="0"/>
        <w:jc w:val="both"/>
        <w:rPr>
          <w:rFonts w:asciiTheme="minorBidi" w:eastAsia="Calibri" w:hAnsiTheme="minorBidi" w:cstheme="minorBidi"/>
        </w:rPr>
      </w:pPr>
      <w:r w:rsidRPr="00EE0D4F">
        <w:rPr>
          <w:rFonts w:asciiTheme="minorBidi" w:eastAsia="Calibri" w:hAnsiTheme="minorBidi" w:cstheme="minorBidi"/>
        </w:rPr>
        <w:t>Figure 1 below shows that clinicians’ compliance with malaria treatment in the first trimester was very low (2.8%). Compliance in the second trimester was, however, high (83.7%). All (100.0%) of the cases treated in the third trimester complied with the treatment guidelines.</w:t>
      </w:r>
    </w:p>
    <w:p w14:paraId="35C27FF4" w14:textId="77777777" w:rsidR="00FB6FC4" w:rsidRPr="00EE0D4F" w:rsidRDefault="00FB6FC4" w:rsidP="00EE0D4F">
      <w:pPr>
        <w:keepNext/>
        <w:jc w:val="both"/>
        <w:rPr>
          <w:rFonts w:asciiTheme="minorBidi" w:eastAsia="Calibri" w:hAnsiTheme="minorBidi" w:cstheme="minorBidi"/>
        </w:rPr>
      </w:pPr>
      <w:r w:rsidRPr="00EE0D4F">
        <w:rPr>
          <w:rFonts w:asciiTheme="minorBidi" w:eastAsia="Calibri" w:hAnsiTheme="minorBidi" w:cstheme="minorBidi"/>
          <w:b/>
          <w:noProof/>
        </w:rPr>
        <w:lastRenderedPageBreak/>
        <w:drawing>
          <wp:inline distT="0" distB="0" distL="114300" distR="114300" wp14:anchorId="5A09D6BC" wp14:editId="467FE375">
            <wp:extent cx="5025600" cy="23040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B38DEF" w14:textId="645BB66E" w:rsidR="00FB6FC4" w:rsidRPr="00EE0D4F" w:rsidRDefault="00FB6FC4" w:rsidP="00EE0D4F">
      <w:pPr>
        <w:keepNext/>
        <w:jc w:val="both"/>
        <w:rPr>
          <w:rFonts w:asciiTheme="minorBidi" w:eastAsia="Calibri" w:hAnsiTheme="minorBidi" w:cstheme="minorBidi"/>
        </w:rPr>
      </w:pPr>
      <w:bookmarkStart w:id="15" w:name="_Toc148277231"/>
      <w:r w:rsidRPr="00EE0D4F">
        <w:rPr>
          <w:rFonts w:asciiTheme="minorBidi" w:eastAsia="Calibri" w:hAnsiTheme="minorBidi" w:cstheme="minorBidi"/>
        </w:rPr>
        <w:t xml:space="preserve">Figure </w:t>
      </w:r>
      <w:r w:rsidRPr="00EE0D4F">
        <w:rPr>
          <w:rFonts w:asciiTheme="minorBidi" w:eastAsia="Calibri" w:hAnsiTheme="minorBidi" w:cstheme="minorBidi"/>
        </w:rPr>
        <w:fldChar w:fldCharType="begin"/>
      </w:r>
      <w:r w:rsidRPr="00EE0D4F">
        <w:rPr>
          <w:rFonts w:asciiTheme="minorBidi" w:eastAsia="Calibri" w:hAnsiTheme="minorBidi" w:cstheme="minorBidi"/>
        </w:rPr>
        <w:instrText xml:space="preserve"> SEQ Figure \* ARABIC \s 1 </w:instrText>
      </w:r>
      <w:r w:rsidRPr="00EE0D4F">
        <w:rPr>
          <w:rFonts w:asciiTheme="minorBidi" w:eastAsia="Calibri" w:hAnsiTheme="minorBidi" w:cstheme="minorBidi"/>
        </w:rPr>
        <w:fldChar w:fldCharType="separate"/>
      </w:r>
      <w:r w:rsidRPr="00EE0D4F">
        <w:rPr>
          <w:rFonts w:asciiTheme="minorBidi" w:eastAsia="Calibri" w:hAnsiTheme="minorBidi" w:cstheme="minorBidi"/>
          <w:noProof/>
        </w:rPr>
        <w:t>1</w:t>
      </w:r>
      <w:r w:rsidRPr="00EE0D4F">
        <w:rPr>
          <w:rFonts w:asciiTheme="minorBidi" w:eastAsia="Calibri" w:hAnsiTheme="minorBidi" w:cstheme="minorBidi"/>
          <w:noProof/>
        </w:rPr>
        <w:fldChar w:fldCharType="end"/>
      </w:r>
      <w:r w:rsidR="002A3E55" w:rsidRPr="00EE0D4F">
        <w:rPr>
          <w:rFonts w:asciiTheme="minorBidi" w:eastAsia="Calibri" w:hAnsiTheme="minorBidi" w:cstheme="minorBidi"/>
          <w:noProof/>
        </w:rPr>
        <w:t>:</w:t>
      </w:r>
      <w:r w:rsidRPr="00EE0D4F">
        <w:rPr>
          <w:rFonts w:asciiTheme="minorBidi" w:eastAsia="Calibri" w:hAnsiTheme="minorBidi" w:cstheme="minorBidi"/>
        </w:rPr>
        <w:t xml:space="preserve"> Clinicians’ compliance with malaria treatment in pregnancy</w:t>
      </w:r>
      <w:bookmarkStart w:id="16" w:name="_Toc148193602"/>
      <w:bookmarkEnd w:id="15"/>
    </w:p>
    <w:p w14:paraId="6058B894" w14:textId="77777777" w:rsidR="00FB6FC4" w:rsidRPr="00EE0D4F" w:rsidRDefault="00FB6FC4" w:rsidP="00EE0D4F">
      <w:pPr>
        <w:keepNext/>
        <w:jc w:val="both"/>
        <w:rPr>
          <w:rFonts w:asciiTheme="minorBidi" w:eastAsia="Calibri" w:hAnsiTheme="minorBidi" w:cstheme="minorBidi"/>
        </w:rPr>
      </w:pPr>
    </w:p>
    <w:p w14:paraId="46ADECCB" w14:textId="2CB039C3" w:rsidR="00FB6FC4" w:rsidRPr="00EE0D4F" w:rsidRDefault="00FB6FC4" w:rsidP="00EE0D4F">
      <w:pPr>
        <w:keepNext/>
        <w:keepLines/>
        <w:jc w:val="both"/>
        <w:outlineLvl w:val="1"/>
        <w:rPr>
          <w:rFonts w:asciiTheme="minorBidi" w:eastAsia="DengXian Light" w:hAnsiTheme="minorBidi" w:cstheme="minorBidi"/>
          <w:b/>
        </w:rPr>
      </w:pPr>
      <w:bookmarkStart w:id="17" w:name="_Hlk191220732"/>
      <w:r w:rsidRPr="00EE0D4F">
        <w:rPr>
          <w:rFonts w:asciiTheme="minorBidi" w:eastAsia="DengXian Light" w:hAnsiTheme="minorBidi" w:cstheme="minorBidi"/>
          <w:b/>
        </w:rPr>
        <w:t>3.3 Treatment compliance with the type of malaria diagnosis</w:t>
      </w:r>
      <w:bookmarkEnd w:id="16"/>
      <w:bookmarkEnd w:id="17"/>
    </w:p>
    <w:p w14:paraId="19620F3A"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Figure 2 below shows clinicians' compliance with the type of malaria diagnosis.  Compliance with uncomplicated malaria treatment was 57.8% and compliance with severe malaria treatment was 65.2%. </w:t>
      </w:r>
    </w:p>
    <w:p w14:paraId="61EED1A0" w14:textId="77777777" w:rsidR="00FB6FC4" w:rsidRPr="00EE0D4F" w:rsidRDefault="00FB6FC4" w:rsidP="00EE0D4F">
      <w:pPr>
        <w:jc w:val="both"/>
        <w:rPr>
          <w:rFonts w:asciiTheme="minorBidi" w:eastAsia="Calibri" w:hAnsiTheme="minorBidi" w:cstheme="minorBidi"/>
        </w:rPr>
      </w:pPr>
    </w:p>
    <w:p w14:paraId="21ECD1C0" w14:textId="77777777" w:rsidR="00FB6FC4" w:rsidRPr="00EE0D4F" w:rsidRDefault="00FB6FC4" w:rsidP="00EE0D4F">
      <w:pPr>
        <w:jc w:val="both"/>
        <w:rPr>
          <w:rFonts w:asciiTheme="minorBidi" w:eastAsia="Calibri" w:hAnsiTheme="minorBidi" w:cstheme="minorBidi"/>
        </w:rPr>
      </w:pPr>
    </w:p>
    <w:p w14:paraId="15377870" w14:textId="77777777" w:rsidR="00FB6FC4" w:rsidRPr="00EE0D4F" w:rsidRDefault="00FB6FC4" w:rsidP="00EE0D4F">
      <w:pPr>
        <w:keepNext/>
        <w:jc w:val="both"/>
        <w:rPr>
          <w:rFonts w:asciiTheme="minorBidi" w:eastAsia="Calibri" w:hAnsiTheme="minorBidi" w:cstheme="minorBidi"/>
        </w:rPr>
      </w:pPr>
      <w:r w:rsidRPr="00EE0D4F">
        <w:rPr>
          <w:rFonts w:asciiTheme="minorBidi" w:eastAsia="Calibri" w:hAnsiTheme="minorBidi" w:cstheme="minorBidi"/>
          <w:noProof/>
        </w:rPr>
        <w:drawing>
          <wp:inline distT="0" distB="0" distL="114300" distR="114300" wp14:anchorId="3345CE54" wp14:editId="180949A7">
            <wp:extent cx="5464800" cy="30816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141152" w14:textId="77777777" w:rsidR="00FB6FC4" w:rsidRPr="00EE0D4F" w:rsidRDefault="00FB6FC4" w:rsidP="00EE0D4F">
      <w:pPr>
        <w:keepNext/>
        <w:jc w:val="both"/>
        <w:rPr>
          <w:rFonts w:asciiTheme="minorBidi" w:eastAsia="Calibri" w:hAnsiTheme="minorBidi" w:cstheme="minorBidi"/>
          <w:bCs/>
        </w:rPr>
      </w:pPr>
      <w:bookmarkStart w:id="18" w:name="_Toc148277232"/>
      <w:r w:rsidRPr="00EE0D4F">
        <w:rPr>
          <w:rFonts w:asciiTheme="minorBidi" w:eastAsia="Calibri" w:hAnsiTheme="minorBidi" w:cstheme="minorBidi"/>
        </w:rPr>
        <w:t xml:space="preserve">Figure </w:t>
      </w:r>
      <w:r w:rsidRPr="00EE0D4F">
        <w:rPr>
          <w:rFonts w:asciiTheme="minorBidi" w:eastAsia="Calibri" w:hAnsiTheme="minorBidi" w:cstheme="minorBidi"/>
        </w:rPr>
        <w:fldChar w:fldCharType="begin"/>
      </w:r>
      <w:r w:rsidRPr="00EE0D4F">
        <w:rPr>
          <w:rFonts w:asciiTheme="minorBidi" w:eastAsia="Calibri" w:hAnsiTheme="minorBidi" w:cstheme="minorBidi"/>
        </w:rPr>
        <w:instrText xml:space="preserve"> SEQ Figure \* ARABIC \s 1 </w:instrText>
      </w:r>
      <w:r w:rsidRPr="00EE0D4F">
        <w:rPr>
          <w:rFonts w:asciiTheme="minorBidi" w:eastAsia="Calibri" w:hAnsiTheme="minorBidi" w:cstheme="minorBidi"/>
        </w:rPr>
        <w:fldChar w:fldCharType="separate"/>
      </w:r>
      <w:r w:rsidRPr="00EE0D4F">
        <w:rPr>
          <w:rFonts w:asciiTheme="minorBidi" w:eastAsia="Calibri" w:hAnsiTheme="minorBidi" w:cstheme="minorBidi"/>
          <w:noProof/>
        </w:rPr>
        <w:t>2</w:t>
      </w:r>
      <w:r w:rsidRPr="00EE0D4F">
        <w:rPr>
          <w:rFonts w:asciiTheme="minorBidi" w:eastAsia="Calibri" w:hAnsiTheme="minorBidi" w:cstheme="minorBidi"/>
          <w:noProof/>
        </w:rPr>
        <w:fldChar w:fldCharType="end"/>
      </w:r>
      <w:r w:rsidRPr="00EE0D4F">
        <w:rPr>
          <w:rFonts w:asciiTheme="minorBidi" w:eastAsia="Calibri" w:hAnsiTheme="minorBidi" w:cstheme="minorBidi"/>
          <w:noProof/>
        </w:rPr>
        <w:t>:</w:t>
      </w:r>
      <w:r w:rsidRPr="00EE0D4F">
        <w:rPr>
          <w:rFonts w:asciiTheme="minorBidi" w:eastAsia="Calibri" w:hAnsiTheme="minorBidi" w:cstheme="minorBidi"/>
        </w:rPr>
        <w:t xml:space="preserve"> </w:t>
      </w:r>
      <w:bookmarkEnd w:id="18"/>
      <w:r w:rsidRPr="00EE0D4F">
        <w:rPr>
          <w:rFonts w:asciiTheme="minorBidi" w:eastAsia="Calibri" w:hAnsiTheme="minorBidi" w:cstheme="minorBidi"/>
          <w:bCs/>
        </w:rPr>
        <w:t>Treatment compliance with the type of malaria diagnosis</w:t>
      </w:r>
    </w:p>
    <w:p w14:paraId="78E925D7" w14:textId="77777777" w:rsidR="00FB6FC4" w:rsidRPr="00EE0D4F" w:rsidRDefault="00FB6FC4" w:rsidP="00EE0D4F">
      <w:pPr>
        <w:keepNext/>
        <w:jc w:val="both"/>
        <w:rPr>
          <w:rFonts w:asciiTheme="minorBidi" w:eastAsia="Calibri" w:hAnsiTheme="minorBidi" w:cstheme="minorBidi"/>
        </w:rPr>
      </w:pPr>
    </w:p>
    <w:p w14:paraId="235DAC02" w14:textId="3C6A0D93" w:rsidR="00FB6FC4" w:rsidRPr="00EE0D4F" w:rsidRDefault="00FB6FC4" w:rsidP="00EE0D4F">
      <w:pPr>
        <w:keepNext/>
        <w:jc w:val="both"/>
        <w:rPr>
          <w:rFonts w:asciiTheme="minorBidi" w:eastAsia="Calibri" w:hAnsiTheme="minorBidi" w:cstheme="minorBidi"/>
          <w:b/>
          <w:bCs/>
        </w:rPr>
      </w:pPr>
      <w:r w:rsidRPr="00EE0D4F">
        <w:rPr>
          <w:rFonts w:asciiTheme="minorBidi" w:eastAsia="Calibri" w:hAnsiTheme="minorBidi" w:cstheme="minorBidi"/>
          <w:b/>
          <w:bCs/>
        </w:rPr>
        <w:t>3.4 Explanation and confirmation from clinicians’ interview</w:t>
      </w:r>
    </w:p>
    <w:p w14:paraId="5B9C88CA"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From the qualitative interview, clinicians gave many reasons for the poor compliance to the treatment protocols in pregnancy. These are confirmations and explanations from some clinicians.</w:t>
      </w:r>
    </w:p>
    <w:p w14:paraId="1F3892D7" w14:textId="3EF256DE"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“I don't prescribe quinine because of the side effects</w:t>
      </w:r>
      <w:r w:rsidR="002A3E55" w:rsidRPr="00EE0D4F">
        <w:rPr>
          <w:rFonts w:asciiTheme="minorBidi" w:eastAsia="Calibri" w:hAnsiTheme="minorBidi" w:cstheme="minorBidi"/>
        </w:rPr>
        <w:t>. E</w:t>
      </w:r>
      <w:r w:rsidRPr="00EE0D4F">
        <w:rPr>
          <w:rFonts w:asciiTheme="minorBidi" w:eastAsia="Calibri" w:hAnsiTheme="minorBidi" w:cstheme="minorBidi"/>
        </w:rPr>
        <w:t>ven</w:t>
      </w:r>
      <w:r w:rsidR="002A3E55" w:rsidRPr="00EE0D4F">
        <w:rPr>
          <w:rFonts w:asciiTheme="minorBidi" w:eastAsia="Calibri" w:hAnsiTheme="minorBidi" w:cstheme="minorBidi"/>
        </w:rPr>
        <w:t xml:space="preserve"> if</w:t>
      </w:r>
      <w:r w:rsidRPr="00EE0D4F">
        <w:rPr>
          <w:rFonts w:asciiTheme="minorBidi" w:eastAsia="Calibri" w:hAnsiTheme="minorBidi" w:cstheme="minorBidi"/>
        </w:rPr>
        <w:t xml:space="preserve"> I am to use it, what I do is that</w:t>
      </w:r>
      <w:r w:rsidR="002A3E55" w:rsidRPr="00EE0D4F">
        <w:rPr>
          <w:rFonts w:asciiTheme="minorBidi" w:eastAsia="Calibri" w:hAnsiTheme="minorBidi" w:cstheme="minorBidi"/>
        </w:rPr>
        <w:t>,</w:t>
      </w:r>
      <w:r w:rsidRPr="00EE0D4F">
        <w:rPr>
          <w:rFonts w:asciiTheme="minorBidi" w:eastAsia="Calibri" w:hAnsiTheme="minorBidi" w:cstheme="minorBidi"/>
        </w:rPr>
        <w:t xml:space="preserve"> I make sure a reduced the dosage and it works perfectly</w:t>
      </w:r>
      <w:r w:rsidR="002A3E55" w:rsidRPr="00EE0D4F">
        <w:rPr>
          <w:rFonts w:asciiTheme="minorBidi" w:eastAsia="Calibri" w:hAnsiTheme="minorBidi" w:cstheme="minorBidi"/>
        </w:rPr>
        <w:t>”</w:t>
      </w:r>
      <w:r w:rsidRPr="00EE0D4F">
        <w:rPr>
          <w:rFonts w:asciiTheme="minorBidi" w:eastAsia="Calibri" w:hAnsiTheme="minorBidi" w:cstheme="minorBidi"/>
        </w:rPr>
        <w:t xml:space="preserve">. </w:t>
      </w:r>
      <w:r w:rsidRPr="00EE0D4F">
        <w:rPr>
          <w:rFonts w:asciiTheme="minorBidi" w:eastAsia="Calibri" w:hAnsiTheme="minorBidi" w:cstheme="minorBidi"/>
          <w:b/>
        </w:rPr>
        <w:t>NP OF</w:t>
      </w:r>
    </w:p>
    <w:p w14:paraId="5865F355" w14:textId="0CA656C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lastRenderedPageBreak/>
        <w:t xml:space="preserve">“Mostly I'm at ANC and it's the Artesunate and AL we use. Artesunate IV for the severe and AL for simple malaria. I have never given quinine before”. </w:t>
      </w:r>
      <w:r w:rsidRPr="00EE0D4F">
        <w:rPr>
          <w:rFonts w:asciiTheme="minorBidi" w:eastAsia="Calibri" w:hAnsiTheme="minorBidi" w:cstheme="minorBidi"/>
          <w:b/>
        </w:rPr>
        <w:t>PA OF</w:t>
      </w:r>
    </w:p>
    <w:p w14:paraId="164581FD" w14:textId="77777777" w:rsidR="00FB6FC4" w:rsidRPr="00EE0D4F" w:rsidRDefault="00FB6FC4" w:rsidP="00EE0D4F">
      <w:pPr>
        <w:ind w:left="720"/>
        <w:jc w:val="both"/>
        <w:rPr>
          <w:rFonts w:asciiTheme="minorBidi" w:eastAsia="Calibri" w:hAnsiTheme="minorBidi" w:cstheme="minorBidi"/>
          <w:b/>
        </w:rPr>
      </w:pPr>
    </w:p>
    <w:p w14:paraId="5A34EAAE" w14:textId="572753B3" w:rsidR="00FB6FC4" w:rsidRPr="00EE0D4F" w:rsidRDefault="00FB6FC4" w:rsidP="00EE0D4F">
      <w:pPr>
        <w:keepNext/>
        <w:keepLines/>
        <w:jc w:val="both"/>
        <w:outlineLvl w:val="1"/>
        <w:rPr>
          <w:rFonts w:asciiTheme="minorBidi" w:eastAsia="DengXian Light" w:hAnsiTheme="minorBidi" w:cstheme="minorBidi"/>
          <w:b/>
        </w:rPr>
      </w:pPr>
      <w:bookmarkStart w:id="19" w:name="_Toc148193603"/>
      <w:r w:rsidRPr="00EE0D4F">
        <w:rPr>
          <w:rFonts w:asciiTheme="minorBidi" w:eastAsia="DengXian Light" w:hAnsiTheme="minorBidi" w:cstheme="minorBidi"/>
          <w:b/>
        </w:rPr>
        <w:t>3.5 Clinicians’ choice of antimalarial in the various trimesters of pregnancy</w:t>
      </w:r>
      <w:bookmarkEnd w:id="19"/>
    </w:p>
    <w:p w14:paraId="46A91354" w14:textId="77777777" w:rsidR="00FB6FC4" w:rsidRPr="00EE0D4F" w:rsidRDefault="00FB6FC4" w:rsidP="00EE0D4F">
      <w:pPr>
        <w:keepNext/>
        <w:keepLines/>
        <w:jc w:val="both"/>
        <w:outlineLvl w:val="1"/>
        <w:rPr>
          <w:rFonts w:asciiTheme="minorBidi" w:eastAsia="DengXian Light" w:hAnsiTheme="minorBidi" w:cstheme="minorBidi"/>
          <w:b/>
        </w:rPr>
      </w:pPr>
    </w:p>
    <w:p w14:paraId="3B1BF725" w14:textId="51AABEBC"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From the table below, </w:t>
      </w:r>
      <w:r w:rsidR="002A3E55" w:rsidRPr="00EE0D4F">
        <w:rPr>
          <w:rFonts w:asciiTheme="minorBidi" w:eastAsia="Calibri" w:hAnsiTheme="minorBidi" w:cstheme="minorBidi"/>
        </w:rPr>
        <w:t>ACTs and intravenous artesunate were, respectively, the most prescribed oral and intravenous medications for the treatment of malaria in the first trimester of pregnancy</w:t>
      </w:r>
      <w:r w:rsidRPr="00EE0D4F">
        <w:rPr>
          <w:rFonts w:asciiTheme="minorBidi" w:eastAsia="Calibri" w:hAnsiTheme="minorBidi" w:cstheme="minorBidi"/>
        </w:rPr>
        <w:t xml:space="preserve"> (Table 2) </w:t>
      </w:r>
    </w:p>
    <w:p w14:paraId="3AE5096E" w14:textId="77777777" w:rsidR="00FB6FC4" w:rsidRPr="00EE0D4F" w:rsidRDefault="00FB6FC4" w:rsidP="00EE0D4F">
      <w:pPr>
        <w:jc w:val="both"/>
        <w:rPr>
          <w:rFonts w:asciiTheme="minorBidi" w:eastAsia="Calibri" w:hAnsiTheme="minorBidi" w:cstheme="minorBidi"/>
        </w:rPr>
      </w:pPr>
    </w:p>
    <w:p w14:paraId="7FA78345" w14:textId="77777777" w:rsidR="00FB6FC4" w:rsidRPr="00EE0D4F" w:rsidRDefault="00FB6FC4" w:rsidP="00EE0D4F">
      <w:pPr>
        <w:keepNext/>
        <w:jc w:val="both"/>
        <w:rPr>
          <w:rFonts w:asciiTheme="minorBidi" w:eastAsia="Calibri" w:hAnsiTheme="minorBidi" w:cstheme="minorBidi"/>
        </w:rPr>
      </w:pPr>
      <w:bookmarkStart w:id="20" w:name="_Hlk148281543"/>
      <w:r w:rsidRPr="00EE0D4F">
        <w:rPr>
          <w:rFonts w:asciiTheme="minorBidi" w:eastAsia="Calibri" w:hAnsiTheme="minorBidi" w:cstheme="minorBidi"/>
        </w:rPr>
        <w:t>Table 2 Clinicians' choice of antimalarial in the various trimesters of pregnancy</w:t>
      </w:r>
    </w:p>
    <w:bookmarkEnd w:id="20"/>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931"/>
        <w:gridCol w:w="1932"/>
        <w:gridCol w:w="1965"/>
      </w:tblGrid>
      <w:tr w:rsidR="00FB6FC4" w:rsidRPr="00EE0D4F" w14:paraId="1E4A0133" w14:textId="77777777" w:rsidTr="00D33971">
        <w:trPr>
          <w:trHeight w:val="332"/>
        </w:trPr>
        <w:tc>
          <w:tcPr>
            <w:tcW w:w="2682" w:type="dxa"/>
            <w:vMerge w:val="restart"/>
          </w:tcPr>
          <w:p w14:paraId="5863E4C0" w14:textId="77777777" w:rsidR="00FB6FC4" w:rsidRPr="00EE0D4F" w:rsidRDefault="00FB6FC4" w:rsidP="00EE0D4F">
            <w:pPr>
              <w:jc w:val="both"/>
              <w:rPr>
                <w:rFonts w:asciiTheme="minorBidi" w:hAnsiTheme="minorBidi" w:cstheme="minorBidi"/>
                <w:sz w:val="20"/>
                <w:szCs w:val="20"/>
              </w:rPr>
            </w:pPr>
          </w:p>
          <w:p w14:paraId="0B4B8F2B"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Variables</w:t>
            </w:r>
          </w:p>
        </w:tc>
        <w:tc>
          <w:tcPr>
            <w:tcW w:w="6678" w:type="dxa"/>
            <w:gridSpan w:val="3"/>
            <w:tcBorders>
              <w:bottom w:val="single" w:sz="4" w:space="0" w:color="auto"/>
            </w:tcBorders>
          </w:tcPr>
          <w:p w14:paraId="6CC009EF"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 xml:space="preserve">                                 GESTATIONAL AGE</w:t>
            </w:r>
          </w:p>
        </w:tc>
      </w:tr>
      <w:tr w:rsidR="00FB6FC4" w:rsidRPr="00EE0D4F" w14:paraId="24017343" w14:textId="77777777" w:rsidTr="00D33971">
        <w:trPr>
          <w:trHeight w:val="208"/>
        </w:trPr>
        <w:tc>
          <w:tcPr>
            <w:tcW w:w="2682" w:type="dxa"/>
            <w:vMerge/>
          </w:tcPr>
          <w:p w14:paraId="181CC03F" w14:textId="77777777" w:rsidR="00FB6FC4" w:rsidRPr="00EE0D4F" w:rsidRDefault="00FB6FC4" w:rsidP="00EE0D4F">
            <w:pPr>
              <w:jc w:val="both"/>
              <w:rPr>
                <w:rFonts w:asciiTheme="minorBidi" w:hAnsiTheme="minorBidi" w:cstheme="minorBidi"/>
                <w:sz w:val="20"/>
                <w:szCs w:val="20"/>
              </w:rPr>
            </w:pPr>
          </w:p>
        </w:tc>
        <w:tc>
          <w:tcPr>
            <w:tcW w:w="6678" w:type="dxa"/>
            <w:gridSpan w:val="3"/>
            <w:tcBorders>
              <w:top w:val="single" w:sz="4" w:space="0" w:color="auto"/>
            </w:tcBorders>
          </w:tcPr>
          <w:p w14:paraId="2207E5A3" w14:textId="77777777" w:rsidR="00FB6FC4" w:rsidRPr="00EE0D4F" w:rsidRDefault="00FB6FC4" w:rsidP="00EE0D4F">
            <w:pPr>
              <w:jc w:val="both"/>
              <w:rPr>
                <w:rFonts w:asciiTheme="minorBidi" w:hAnsiTheme="minorBidi" w:cstheme="minorBidi"/>
                <w:sz w:val="20"/>
                <w:szCs w:val="20"/>
              </w:rPr>
            </w:pPr>
          </w:p>
        </w:tc>
      </w:tr>
      <w:tr w:rsidR="00FB6FC4" w:rsidRPr="00EE0D4F" w14:paraId="787576E5" w14:textId="77777777" w:rsidTr="00D33971">
        <w:trPr>
          <w:trHeight w:val="117"/>
        </w:trPr>
        <w:tc>
          <w:tcPr>
            <w:tcW w:w="2682" w:type="dxa"/>
            <w:vMerge/>
            <w:tcBorders>
              <w:bottom w:val="single" w:sz="4" w:space="0" w:color="auto"/>
            </w:tcBorders>
          </w:tcPr>
          <w:p w14:paraId="66AF8B08" w14:textId="77777777" w:rsidR="00FB6FC4" w:rsidRPr="00EE0D4F" w:rsidRDefault="00FB6FC4" w:rsidP="00EE0D4F">
            <w:pPr>
              <w:jc w:val="both"/>
              <w:rPr>
                <w:rFonts w:asciiTheme="minorBidi" w:hAnsiTheme="minorBidi" w:cstheme="minorBidi"/>
                <w:sz w:val="20"/>
                <w:szCs w:val="20"/>
              </w:rPr>
            </w:pPr>
          </w:p>
        </w:tc>
        <w:tc>
          <w:tcPr>
            <w:tcW w:w="6678" w:type="dxa"/>
            <w:gridSpan w:val="3"/>
            <w:tcBorders>
              <w:bottom w:val="single" w:sz="4" w:space="0" w:color="auto"/>
            </w:tcBorders>
          </w:tcPr>
          <w:p w14:paraId="7775ACDC"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First Trimester   %      Second Trimester %    Third Trimester%</w:t>
            </w:r>
          </w:p>
        </w:tc>
      </w:tr>
      <w:tr w:rsidR="00FB6FC4" w:rsidRPr="00EE0D4F" w14:paraId="239BF79A" w14:textId="77777777" w:rsidTr="00D33971">
        <w:trPr>
          <w:trHeight w:val="215"/>
        </w:trPr>
        <w:tc>
          <w:tcPr>
            <w:tcW w:w="2682" w:type="dxa"/>
            <w:tcBorders>
              <w:top w:val="single" w:sz="4" w:space="0" w:color="auto"/>
            </w:tcBorders>
          </w:tcPr>
          <w:p w14:paraId="4D5F1C83" w14:textId="77777777" w:rsidR="00FB6FC4" w:rsidRPr="00EE0D4F" w:rsidRDefault="00FB6FC4" w:rsidP="00EE0D4F">
            <w:pPr>
              <w:jc w:val="both"/>
              <w:rPr>
                <w:rFonts w:asciiTheme="minorBidi" w:hAnsiTheme="minorBidi" w:cstheme="minorBidi"/>
                <w:sz w:val="20"/>
                <w:szCs w:val="20"/>
              </w:rPr>
            </w:pPr>
          </w:p>
        </w:tc>
        <w:tc>
          <w:tcPr>
            <w:tcW w:w="6678" w:type="dxa"/>
            <w:gridSpan w:val="3"/>
            <w:tcBorders>
              <w:top w:val="single" w:sz="4" w:space="0" w:color="auto"/>
            </w:tcBorders>
          </w:tcPr>
          <w:p w14:paraId="54D5A807" w14:textId="77777777" w:rsidR="00FB6FC4" w:rsidRPr="00EE0D4F" w:rsidRDefault="00FB6FC4" w:rsidP="00EE0D4F">
            <w:pPr>
              <w:jc w:val="both"/>
              <w:rPr>
                <w:rFonts w:asciiTheme="minorBidi" w:hAnsiTheme="minorBidi" w:cstheme="minorBidi"/>
                <w:sz w:val="20"/>
                <w:szCs w:val="20"/>
              </w:rPr>
            </w:pPr>
          </w:p>
        </w:tc>
      </w:tr>
      <w:tr w:rsidR="00FB6FC4" w:rsidRPr="00EE0D4F" w14:paraId="6FE9FFB6" w14:textId="77777777" w:rsidTr="00D33971">
        <w:tc>
          <w:tcPr>
            <w:tcW w:w="2682" w:type="dxa"/>
          </w:tcPr>
          <w:p w14:paraId="3176875E" w14:textId="77777777" w:rsidR="00FB6FC4" w:rsidRPr="00EE0D4F" w:rsidRDefault="00FB6FC4" w:rsidP="00EE0D4F">
            <w:pPr>
              <w:jc w:val="both"/>
              <w:rPr>
                <w:rFonts w:asciiTheme="minorBidi" w:hAnsiTheme="minorBidi" w:cstheme="minorBidi"/>
                <w:b/>
                <w:sz w:val="20"/>
                <w:szCs w:val="20"/>
              </w:rPr>
            </w:pPr>
            <w:r w:rsidRPr="00EE0D4F">
              <w:rPr>
                <w:rFonts w:asciiTheme="minorBidi" w:hAnsiTheme="minorBidi" w:cstheme="minorBidi"/>
                <w:b/>
                <w:sz w:val="20"/>
                <w:szCs w:val="20"/>
              </w:rPr>
              <w:t>Oral Medications</w:t>
            </w:r>
          </w:p>
          <w:p w14:paraId="2B33F25F"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ACT</w:t>
            </w:r>
          </w:p>
          <w:p w14:paraId="02E5FC75"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Q/C</w:t>
            </w:r>
          </w:p>
          <w:p w14:paraId="4C12D517"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N/A</w:t>
            </w:r>
          </w:p>
        </w:tc>
        <w:tc>
          <w:tcPr>
            <w:tcW w:w="2222" w:type="dxa"/>
          </w:tcPr>
          <w:p w14:paraId="0985C33B" w14:textId="77777777" w:rsidR="00FB6FC4" w:rsidRPr="00EE0D4F" w:rsidRDefault="00FB6FC4" w:rsidP="00EE0D4F">
            <w:pPr>
              <w:jc w:val="both"/>
              <w:rPr>
                <w:rFonts w:asciiTheme="minorBidi" w:hAnsiTheme="minorBidi" w:cstheme="minorBidi"/>
                <w:sz w:val="20"/>
                <w:szCs w:val="20"/>
              </w:rPr>
            </w:pPr>
          </w:p>
          <w:p w14:paraId="6B9F59D1"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29(40.8)</w:t>
            </w:r>
          </w:p>
          <w:p w14:paraId="5B458748"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8(11.3)</w:t>
            </w:r>
          </w:p>
          <w:p w14:paraId="1563C5C7"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34(47.9)</w:t>
            </w:r>
          </w:p>
        </w:tc>
        <w:tc>
          <w:tcPr>
            <w:tcW w:w="2223" w:type="dxa"/>
          </w:tcPr>
          <w:p w14:paraId="2FA716FF" w14:textId="77777777" w:rsidR="00FB6FC4" w:rsidRPr="00EE0D4F" w:rsidRDefault="00FB6FC4" w:rsidP="00EE0D4F">
            <w:pPr>
              <w:jc w:val="both"/>
              <w:rPr>
                <w:rFonts w:asciiTheme="minorBidi" w:hAnsiTheme="minorBidi" w:cstheme="minorBidi"/>
                <w:sz w:val="20"/>
                <w:szCs w:val="20"/>
              </w:rPr>
            </w:pPr>
          </w:p>
          <w:p w14:paraId="3829F4DA"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81(88.1)</w:t>
            </w:r>
          </w:p>
          <w:p w14:paraId="3CA31C39"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6(6.5)</w:t>
            </w:r>
          </w:p>
          <w:p w14:paraId="587E860E"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5(5.4)</w:t>
            </w:r>
          </w:p>
        </w:tc>
        <w:tc>
          <w:tcPr>
            <w:tcW w:w="2233" w:type="dxa"/>
          </w:tcPr>
          <w:p w14:paraId="08E9AEA4" w14:textId="77777777" w:rsidR="00FB6FC4" w:rsidRPr="00EE0D4F" w:rsidRDefault="00FB6FC4" w:rsidP="00EE0D4F">
            <w:pPr>
              <w:jc w:val="both"/>
              <w:rPr>
                <w:rFonts w:asciiTheme="minorBidi" w:hAnsiTheme="minorBidi" w:cstheme="minorBidi"/>
                <w:sz w:val="20"/>
                <w:szCs w:val="20"/>
              </w:rPr>
            </w:pPr>
          </w:p>
          <w:p w14:paraId="07DD7E1B"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40(100.0)</w:t>
            </w:r>
          </w:p>
          <w:p w14:paraId="573B91F2"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0(0.0)</w:t>
            </w:r>
          </w:p>
          <w:p w14:paraId="235ADD56"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0(0.0)</w:t>
            </w:r>
          </w:p>
        </w:tc>
      </w:tr>
      <w:tr w:rsidR="00FB6FC4" w:rsidRPr="00EE0D4F" w14:paraId="776A9C4F" w14:textId="77777777" w:rsidTr="00D33971">
        <w:tc>
          <w:tcPr>
            <w:tcW w:w="2682" w:type="dxa"/>
          </w:tcPr>
          <w:p w14:paraId="7F03D04A" w14:textId="77777777" w:rsidR="00FB6FC4" w:rsidRPr="00EE0D4F" w:rsidRDefault="00FB6FC4" w:rsidP="00EE0D4F">
            <w:pPr>
              <w:jc w:val="both"/>
              <w:rPr>
                <w:rFonts w:asciiTheme="minorBidi" w:hAnsiTheme="minorBidi" w:cstheme="minorBidi"/>
                <w:b/>
                <w:sz w:val="20"/>
                <w:szCs w:val="20"/>
                <w:lang w:val="fr-FR"/>
              </w:rPr>
            </w:pPr>
            <w:proofErr w:type="spellStart"/>
            <w:r w:rsidRPr="00EE0D4F">
              <w:rPr>
                <w:rFonts w:asciiTheme="minorBidi" w:hAnsiTheme="minorBidi" w:cstheme="minorBidi"/>
                <w:b/>
                <w:sz w:val="20"/>
                <w:szCs w:val="20"/>
                <w:lang w:val="fr-FR"/>
              </w:rPr>
              <w:t>Intravenous</w:t>
            </w:r>
            <w:proofErr w:type="spellEnd"/>
          </w:p>
          <w:p w14:paraId="505AABBB" w14:textId="77777777" w:rsidR="00FB6FC4" w:rsidRPr="00EE0D4F" w:rsidRDefault="00FB6FC4" w:rsidP="00EE0D4F">
            <w:pPr>
              <w:jc w:val="both"/>
              <w:rPr>
                <w:rFonts w:asciiTheme="minorBidi" w:hAnsiTheme="minorBidi" w:cstheme="minorBidi"/>
                <w:sz w:val="20"/>
                <w:szCs w:val="20"/>
                <w:lang w:val="fr-FR"/>
              </w:rPr>
            </w:pPr>
            <w:proofErr w:type="spellStart"/>
            <w:r w:rsidRPr="00EE0D4F">
              <w:rPr>
                <w:rFonts w:asciiTheme="minorBidi" w:hAnsiTheme="minorBidi" w:cstheme="minorBidi"/>
                <w:sz w:val="20"/>
                <w:szCs w:val="20"/>
                <w:lang w:val="fr-FR"/>
              </w:rPr>
              <w:t>Artesunate</w:t>
            </w:r>
            <w:proofErr w:type="spellEnd"/>
            <w:r w:rsidRPr="00EE0D4F">
              <w:rPr>
                <w:rFonts w:asciiTheme="minorBidi" w:hAnsiTheme="minorBidi" w:cstheme="minorBidi"/>
                <w:sz w:val="20"/>
                <w:szCs w:val="20"/>
                <w:lang w:val="fr-FR"/>
              </w:rPr>
              <w:t xml:space="preserve"> IV</w:t>
            </w:r>
          </w:p>
          <w:p w14:paraId="417B00B9" w14:textId="77777777" w:rsidR="00FB6FC4" w:rsidRPr="00EE0D4F" w:rsidRDefault="00FB6FC4" w:rsidP="00EE0D4F">
            <w:pPr>
              <w:jc w:val="both"/>
              <w:rPr>
                <w:rFonts w:asciiTheme="minorBidi" w:hAnsiTheme="minorBidi" w:cstheme="minorBidi"/>
                <w:sz w:val="20"/>
                <w:szCs w:val="20"/>
                <w:lang w:val="fr-FR"/>
              </w:rPr>
            </w:pPr>
            <w:r w:rsidRPr="00EE0D4F">
              <w:rPr>
                <w:rFonts w:asciiTheme="minorBidi" w:hAnsiTheme="minorBidi" w:cstheme="minorBidi"/>
                <w:sz w:val="20"/>
                <w:szCs w:val="20"/>
                <w:lang w:val="fr-FR"/>
              </w:rPr>
              <w:t>Quinine IV</w:t>
            </w:r>
          </w:p>
          <w:p w14:paraId="26D7803E" w14:textId="77777777" w:rsidR="00FB6FC4" w:rsidRPr="00EE0D4F" w:rsidRDefault="00FB6FC4" w:rsidP="00EE0D4F">
            <w:pPr>
              <w:jc w:val="both"/>
              <w:rPr>
                <w:rFonts w:asciiTheme="minorBidi" w:hAnsiTheme="minorBidi" w:cstheme="minorBidi"/>
                <w:sz w:val="20"/>
                <w:szCs w:val="20"/>
                <w:lang w:val="fr-FR"/>
              </w:rPr>
            </w:pPr>
            <w:r w:rsidRPr="00EE0D4F">
              <w:rPr>
                <w:rFonts w:asciiTheme="minorBidi" w:hAnsiTheme="minorBidi" w:cstheme="minorBidi"/>
                <w:sz w:val="20"/>
                <w:szCs w:val="20"/>
                <w:lang w:val="fr-FR"/>
              </w:rPr>
              <w:t>None</w:t>
            </w:r>
          </w:p>
        </w:tc>
        <w:tc>
          <w:tcPr>
            <w:tcW w:w="2222" w:type="dxa"/>
          </w:tcPr>
          <w:p w14:paraId="345F857E" w14:textId="77777777" w:rsidR="00FB6FC4" w:rsidRPr="00EE0D4F" w:rsidRDefault="00FB6FC4" w:rsidP="00EE0D4F">
            <w:pPr>
              <w:jc w:val="both"/>
              <w:rPr>
                <w:rFonts w:asciiTheme="minorBidi" w:hAnsiTheme="minorBidi" w:cstheme="minorBidi"/>
                <w:sz w:val="20"/>
                <w:szCs w:val="20"/>
                <w:lang w:val="fr-FR"/>
              </w:rPr>
            </w:pPr>
          </w:p>
          <w:p w14:paraId="4F910ABD"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27(38.0)</w:t>
            </w:r>
          </w:p>
          <w:p w14:paraId="0A55D7F2"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1(1.4)</w:t>
            </w:r>
          </w:p>
          <w:p w14:paraId="1A4A05E1"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43(60.6)</w:t>
            </w:r>
          </w:p>
        </w:tc>
        <w:tc>
          <w:tcPr>
            <w:tcW w:w="2223" w:type="dxa"/>
          </w:tcPr>
          <w:p w14:paraId="24D04D99" w14:textId="77777777" w:rsidR="00FB6FC4" w:rsidRPr="00EE0D4F" w:rsidRDefault="00FB6FC4" w:rsidP="00EE0D4F">
            <w:pPr>
              <w:jc w:val="both"/>
              <w:rPr>
                <w:rFonts w:asciiTheme="minorBidi" w:hAnsiTheme="minorBidi" w:cstheme="minorBidi"/>
                <w:sz w:val="20"/>
                <w:szCs w:val="20"/>
              </w:rPr>
            </w:pPr>
          </w:p>
          <w:p w14:paraId="663DBDA6"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1(1.1)</w:t>
            </w:r>
          </w:p>
          <w:p w14:paraId="69A165B0"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10(10.9)</w:t>
            </w:r>
          </w:p>
          <w:p w14:paraId="6FC70FB7"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81(88.0)</w:t>
            </w:r>
          </w:p>
        </w:tc>
        <w:tc>
          <w:tcPr>
            <w:tcW w:w="2233" w:type="dxa"/>
          </w:tcPr>
          <w:p w14:paraId="42B2C635" w14:textId="77777777" w:rsidR="00FB6FC4" w:rsidRPr="00EE0D4F" w:rsidRDefault="00FB6FC4" w:rsidP="00EE0D4F">
            <w:pPr>
              <w:jc w:val="both"/>
              <w:rPr>
                <w:rFonts w:asciiTheme="minorBidi" w:hAnsiTheme="minorBidi" w:cstheme="minorBidi"/>
                <w:sz w:val="20"/>
                <w:szCs w:val="20"/>
              </w:rPr>
            </w:pPr>
          </w:p>
          <w:p w14:paraId="5F6ABA4A"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0(0.0)</w:t>
            </w:r>
          </w:p>
          <w:p w14:paraId="1C799D53"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8(20.)</w:t>
            </w:r>
          </w:p>
          <w:p w14:paraId="009536F9"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32(80.0)</w:t>
            </w:r>
          </w:p>
        </w:tc>
      </w:tr>
    </w:tbl>
    <w:p w14:paraId="4FFB8932"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N/A means no antimalarial</w:t>
      </w:r>
      <w:bookmarkStart w:id="21" w:name="_Toc148193605"/>
      <w:r w:rsidRPr="00EE0D4F">
        <w:rPr>
          <w:rFonts w:asciiTheme="minorBidi" w:eastAsia="Calibri" w:hAnsiTheme="minorBidi" w:cstheme="minorBidi"/>
        </w:rPr>
        <w:t>, ACT=Artemisinin combination therapy: Q/C=Quinine plus Clindamycin, IV=Intravenous</w:t>
      </w:r>
    </w:p>
    <w:bookmarkEnd w:id="21"/>
    <w:p w14:paraId="7FCB2A56" w14:textId="77777777" w:rsidR="00FB6FC4" w:rsidRPr="00EE0D4F" w:rsidRDefault="00FB6FC4" w:rsidP="00EE0D4F">
      <w:pPr>
        <w:jc w:val="both"/>
        <w:rPr>
          <w:rFonts w:asciiTheme="minorBidi" w:eastAsia="Calibri" w:hAnsiTheme="minorBidi" w:cstheme="minorBidi"/>
        </w:rPr>
      </w:pPr>
    </w:p>
    <w:p w14:paraId="30242A04" w14:textId="0DF4E985" w:rsidR="00FB6FC4" w:rsidRPr="00EE0D4F" w:rsidRDefault="00FB6FC4" w:rsidP="00EE0D4F">
      <w:pPr>
        <w:keepNext/>
        <w:keepLines/>
        <w:jc w:val="both"/>
        <w:outlineLvl w:val="1"/>
        <w:rPr>
          <w:rFonts w:asciiTheme="minorBidi" w:eastAsia="DengXian Light" w:hAnsiTheme="minorBidi" w:cstheme="minorBidi"/>
          <w:b/>
        </w:rPr>
      </w:pPr>
      <w:bookmarkStart w:id="22" w:name="_Toc148193608"/>
      <w:bookmarkStart w:id="23" w:name="_Hlk145662134"/>
      <w:r w:rsidRPr="00EE0D4F">
        <w:rPr>
          <w:rFonts w:asciiTheme="minorBidi" w:eastAsia="DengXian Light" w:hAnsiTheme="minorBidi" w:cstheme="minorBidi"/>
          <w:b/>
        </w:rPr>
        <w:t>3.6 Binary logistic regression analysis of factors influencing clinician’s compliance</w:t>
      </w:r>
      <w:bookmarkEnd w:id="22"/>
    </w:p>
    <w:p w14:paraId="46D22280" w14:textId="77777777" w:rsidR="00FB6FC4" w:rsidRPr="00EE0D4F" w:rsidRDefault="00FB6FC4" w:rsidP="00EE0D4F">
      <w:pPr>
        <w:keepNext/>
        <w:keepLines/>
        <w:jc w:val="both"/>
        <w:outlineLvl w:val="1"/>
        <w:rPr>
          <w:rFonts w:asciiTheme="minorBidi" w:eastAsia="DengXian Light" w:hAnsiTheme="minorBidi" w:cstheme="minorBidi"/>
          <w:b/>
        </w:rPr>
      </w:pPr>
    </w:p>
    <w:p w14:paraId="766CB032" w14:textId="1267FD9D" w:rsidR="00FB6FC4" w:rsidRPr="00EE0D4F" w:rsidRDefault="00FB6FC4" w:rsidP="00EE0D4F">
      <w:pPr>
        <w:jc w:val="both"/>
        <w:rPr>
          <w:rFonts w:asciiTheme="minorBidi" w:hAnsiTheme="minorBidi" w:cstheme="minorBidi"/>
          <w:color w:val="EE0000"/>
        </w:rPr>
      </w:pPr>
      <w:r w:rsidRPr="00EE0D4F">
        <w:rPr>
          <w:rFonts w:asciiTheme="minorBidi" w:hAnsiTheme="minorBidi" w:cstheme="minorBidi"/>
        </w:rPr>
        <w:t xml:space="preserve">Table 3 also shows that, on a bivariate level, </w:t>
      </w:r>
      <w:bookmarkStart w:id="24" w:name="_Hlk162540771"/>
      <w:r w:rsidRPr="00EE0D4F">
        <w:rPr>
          <w:rFonts w:asciiTheme="minorBidi" w:hAnsiTheme="minorBidi" w:cstheme="minorBidi"/>
        </w:rPr>
        <w:t>clinicians were more likely not to comply with the recommended medication if the woman was in the first trimester (</w:t>
      </w:r>
      <w:r w:rsidRPr="00EE0D4F">
        <w:rPr>
          <w:rFonts w:asciiTheme="minorBidi" w:eastAsia="Calibri" w:hAnsiTheme="minorBidi" w:cstheme="minorBidi"/>
        </w:rPr>
        <w:t>X</w:t>
      </w:r>
      <w:r w:rsidRPr="00EE0D4F">
        <w:rPr>
          <w:rFonts w:asciiTheme="minorBidi" w:eastAsia="Calibri" w:hAnsiTheme="minorBidi" w:cstheme="minorBidi"/>
          <w:vertAlign w:val="superscript"/>
        </w:rPr>
        <w:t>2</w:t>
      </w:r>
      <w:r w:rsidRPr="00EE0D4F">
        <w:rPr>
          <w:rFonts w:asciiTheme="minorBidi" w:hAnsiTheme="minorBidi" w:cstheme="minorBidi"/>
        </w:rPr>
        <w:t>=105.05, P-value = 0.001).</w:t>
      </w:r>
      <w:bookmarkEnd w:id="24"/>
      <w:r w:rsidRPr="00EE0D4F">
        <w:rPr>
          <w:rFonts w:asciiTheme="minorBidi" w:hAnsiTheme="minorBidi" w:cstheme="minorBidi"/>
        </w:rPr>
        <w:t xml:space="preserve"> This relationship was maintained on a binary logistic regression level as they were approximately 2 times more likely not to comply when other variables were held constant (OR=2.065, 95% C.I = 0.557-3.707, p= 0.167). Clinicians were also less likely to comply if the patient exhibited signs and symptoms (OR=1.00, CI=0.052-0.758, P=0.018</w:t>
      </w:r>
      <w:r w:rsidRPr="00EE0D4F">
        <w:rPr>
          <w:rFonts w:asciiTheme="minorBidi" w:hAnsiTheme="minorBidi" w:cstheme="minorBidi"/>
          <w:color w:val="EE0000"/>
        </w:rPr>
        <w:t>)</w:t>
      </w:r>
      <w:r w:rsidR="002A3E55" w:rsidRPr="00EE0D4F">
        <w:rPr>
          <w:rFonts w:asciiTheme="minorBidi" w:hAnsiTheme="minorBidi" w:cstheme="minorBidi"/>
          <w:color w:val="EE0000"/>
        </w:rPr>
        <w:t>. Women diagnosed of malaria using RDT were at lower odds of clinicians’ complying with malaria treatment in first trimester pregnancy (OR=0.183, CI=0.049-0.672, P=0.011)</w:t>
      </w:r>
    </w:p>
    <w:p w14:paraId="67D96961" w14:textId="77777777" w:rsidR="00FB6FC4" w:rsidRPr="00EE0D4F" w:rsidRDefault="00FB6FC4" w:rsidP="00EE0D4F">
      <w:pPr>
        <w:jc w:val="both"/>
        <w:rPr>
          <w:rFonts w:asciiTheme="minorBidi" w:hAnsiTheme="minorBidi" w:cstheme="minorBidi"/>
        </w:rPr>
      </w:pPr>
    </w:p>
    <w:bookmarkEnd w:id="23"/>
    <w:p w14:paraId="42B058B6" w14:textId="77777777" w:rsidR="00FB6FC4" w:rsidRPr="00EE0D4F" w:rsidRDefault="00FB6FC4" w:rsidP="00EE0D4F">
      <w:pPr>
        <w:keepNext/>
        <w:jc w:val="both"/>
        <w:rPr>
          <w:rFonts w:asciiTheme="minorBidi" w:eastAsia="Calibri" w:hAnsiTheme="minorBidi" w:cstheme="minorBidi"/>
        </w:rPr>
      </w:pPr>
      <w:r w:rsidRPr="00EE0D4F">
        <w:rPr>
          <w:rFonts w:asciiTheme="minorBidi" w:eastAsia="Calibri" w:hAnsiTheme="minorBidi" w:cstheme="minorBidi"/>
        </w:rPr>
        <w:t>Table 3 Binary logistic regression analysis of factors influencing clinician’s compliance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1653"/>
        <w:gridCol w:w="2878"/>
        <w:gridCol w:w="1463"/>
      </w:tblGrid>
      <w:tr w:rsidR="00FB6FC4" w:rsidRPr="00EE0D4F" w14:paraId="62E5C92D" w14:textId="77777777" w:rsidTr="00D33971">
        <w:tc>
          <w:tcPr>
            <w:tcW w:w="2337" w:type="dxa"/>
            <w:tcBorders>
              <w:top w:val="single" w:sz="4" w:space="0" w:color="auto"/>
              <w:bottom w:val="single" w:sz="4" w:space="0" w:color="auto"/>
            </w:tcBorders>
          </w:tcPr>
          <w:p w14:paraId="02482359"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variable</w:t>
            </w:r>
          </w:p>
        </w:tc>
        <w:tc>
          <w:tcPr>
            <w:tcW w:w="1888" w:type="dxa"/>
            <w:tcBorders>
              <w:top w:val="single" w:sz="4" w:space="0" w:color="auto"/>
              <w:bottom w:val="single" w:sz="4" w:space="0" w:color="auto"/>
            </w:tcBorders>
          </w:tcPr>
          <w:p w14:paraId="2480D005"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Odds Ratio</w:t>
            </w:r>
          </w:p>
        </w:tc>
        <w:tc>
          <w:tcPr>
            <w:tcW w:w="3420" w:type="dxa"/>
            <w:tcBorders>
              <w:top w:val="single" w:sz="4" w:space="0" w:color="auto"/>
              <w:bottom w:val="single" w:sz="4" w:space="0" w:color="auto"/>
            </w:tcBorders>
          </w:tcPr>
          <w:p w14:paraId="7CB91C9E"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Confidence interval (95% CI)</w:t>
            </w:r>
          </w:p>
        </w:tc>
        <w:tc>
          <w:tcPr>
            <w:tcW w:w="1705" w:type="dxa"/>
            <w:tcBorders>
              <w:top w:val="single" w:sz="4" w:space="0" w:color="auto"/>
              <w:bottom w:val="single" w:sz="4" w:space="0" w:color="auto"/>
            </w:tcBorders>
          </w:tcPr>
          <w:p w14:paraId="648BD135"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P- Value</w:t>
            </w:r>
          </w:p>
        </w:tc>
      </w:tr>
      <w:tr w:rsidR="00FB6FC4" w:rsidRPr="00EE0D4F" w14:paraId="529C99E4" w14:textId="77777777" w:rsidTr="00D33971">
        <w:tc>
          <w:tcPr>
            <w:tcW w:w="2337" w:type="dxa"/>
            <w:tcBorders>
              <w:top w:val="single" w:sz="4" w:space="0" w:color="auto"/>
            </w:tcBorders>
          </w:tcPr>
          <w:p w14:paraId="2463A4E8" w14:textId="77777777" w:rsidR="00FB6FC4" w:rsidRPr="00EE0D4F" w:rsidRDefault="00FB6FC4" w:rsidP="00EE0D4F">
            <w:pPr>
              <w:jc w:val="both"/>
              <w:rPr>
                <w:rFonts w:asciiTheme="minorBidi" w:hAnsiTheme="minorBidi" w:cstheme="minorBidi"/>
                <w:b/>
                <w:sz w:val="20"/>
                <w:szCs w:val="20"/>
              </w:rPr>
            </w:pPr>
            <w:r w:rsidRPr="00EE0D4F">
              <w:rPr>
                <w:rFonts w:asciiTheme="minorBidi" w:hAnsiTheme="minorBidi" w:cstheme="minorBidi"/>
                <w:b/>
                <w:sz w:val="20"/>
                <w:szCs w:val="20"/>
              </w:rPr>
              <w:t>Gestation</w:t>
            </w:r>
          </w:p>
        </w:tc>
        <w:tc>
          <w:tcPr>
            <w:tcW w:w="1888" w:type="dxa"/>
            <w:tcBorders>
              <w:top w:val="single" w:sz="4" w:space="0" w:color="auto"/>
            </w:tcBorders>
          </w:tcPr>
          <w:p w14:paraId="1DBA1ECB" w14:textId="77777777" w:rsidR="00FB6FC4" w:rsidRPr="00EE0D4F" w:rsidRDefault="00FB6FC4" w:rsidP="00EE0D4F">
            <w:pPr>
              <w:jc w:val="both"/>
              <w:rPr>
                <w:rFonts w:asciiTheme="minorBidi" w:hAnsiTheme="minorBidi" w:cstheme="minorBidi"/>
                <w:sz w:val="20"/>
                <w:szCs w:val="20"/>
              </w:rPr>
            </w:pPr>
          </w:p>
        </w:tc>
        <w:tc>
          <w:tcPr>
            <w:tcW w:w="3420" w:type="dxa"/>
            <w:tcBorders>
              <w:top w:val="single" w:sz="4" w:space="0" w:color="auto"/>
            </w:tcBorders>
          </w:tcPr>
          <w:p w14:paraId="083C024E" w14:textId="77777777" w:rsidR="00FB6FC4" w:rsidRPr="00EE0D4F" w:rsidRDefault="00FB6FC4" w:rsidP="00EE0D4F">
            <w:pPr>
              <w:jc w:val="both"/>
              <w:rPr>
                <w:rFonts w:asciiTheme="minorBidi" w:hAnsiTheme="minorBidi" w:cstheme="minorBidi"/>
                <w:sz w:val="20"/>
                <w:szCs w:val="20"/>
              </w:rPr>
            </w:pPr>
          </w:p>
        </w:tc>
        <w:tc>
          <w:tcPr>
            <w:tcW w:w="1705" w:type="dxa"/>
            <w:tcBorders>
              <w:top w:val="single" w:sz="4" w:space="0" w:color="auto"/>
            </w:tcBorders>
          </w:tcPr>
          <w:p w14:paraId="0131126D" w14:textId="77777777" w:rsidR="00FB6FC4" w:rsidRPr="00EE0D4F" w:rsidRDefault="00FB6FC4" w:rsidP="00EE0D4F">
            <w:pPr>
              <w:jc w:val="both"/>
              <w:rPr>
                <w:rFonts w:asciiTheme="minorBidi" w:hAnsiTheme="minorBidi" w:cstheme="minorBidi"/>
                <w:sz w:val="20"/>
                <w:szCs w:val="20"/>
              </w:rPr>
            </w:pPr>
          </w:p>
        </w:tc>
      </w:tr>
      <w:tr w:rsidR="00FB6FC4" w:rsidRPr="00EE0D4F" w14:paraId="5331C91A" w14:textId="77777777" w:rsidTr="00D33971">
        <w:tc>
          <w:tcPr>
            <w:tcW w:w="2337" w:type="dxa"/>
          </w:tcPr>
          <w:p w14:paraId="5CC8A5CE" w14:textId="77777777" w:rsidR="00FB6FC4" w:rsidRPr="00EE0D4F" w:rsidRDefault="00FB6FC4" w:rsidP="00EE0D4F">
            <w:pPr>
              <w:jc w:val="both"/>
              <w:rPr>
                <w:rFonts w:asciiTheme="minorBidi" w:hAnsiTheme="minorBidi" w:cstheme="minorBidi"/>
                <w:b/>
                <w:sz w:val="20"/>
                <w:szCs w:val="20"/>
              </w:rPr>
            </w:pPr>
            <w:r w:rsidRPr="00EE0D4F">
              <w:rPr>
                <w:rFonts w:asciiTheme="minorBidi" w:hAnsiTheme="minorBidi" w:cstheme="minorBidi"/>
                <w:sz w:val="20"/>
                <w:szCs w:val="20"/>
              </w:rPr>
              <w:t>Third trimester</w:t>
            </w:r>
          </w:p>
        </w:tc>
        <w:tc>
          <w:tcPr>
            <w:tcW w:w="1888" w:type="dxa"/>
          </w:tcPr>
          <w:p w14:paraId="188DBD4F"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Ref</w:t>
            </w:r>
          </w:p>
        </w:tc>
        <w:tc>
          <w:tcPr>
            <w:tcW w:w="3420" w:type="dxa"/>
          </w:tcPr>
          <w:p w14:paraId="10A441A4" w14:textId="77777777" w:rsidR="00FB6FC4" w:rsidRPr="00EE0D4F" w:rsidRDefault="00FB6FC4" w:rsidP="00EE0D4F">
            <w:pPr>
              <w:jc w:val="both"/>
              <w:rPr>
                <w:rFonts w:asciiTheme="minorBidi" w:hAnsiTheme="minorBidi" w:cstheme="minorBidi"/>
                <w:sz w:val="20"/>
                <w:szCs w:val="20"/>
              </w:rPr>
            </w:pPr>
          </w:p>
        </w:tc>
        <w:tc>
          <w:tcPr>
            <w:tcW w:w="1705" w:type="dxa"/>
          </w:tcPr>
          <w:p w14:paraId="0876DE10" w14:textId="77777777" w:rsidR="00FB6FC4" w:rsidRPr="00EE0D4F" w:rsidRDefault="00FB6FC4" w:rsidP="00EE0D4F">
            <w:pPr>
              <w:jc w:val="both"/>
              <w:rPr>
                <w:rFonts w:asciiTheme="minorBidi" w:hAnsiTheme="minorBidi" w:cstheme="minorBidi"/>
                <w:sz w:val="20"/>
                <w:szCs w:val="20"/>
              </w:rPr>
            </w:pPr>
          </w:p>
        </w:tc>
      </w:tr>
      <w:tr w:rsidR="00FB6FC4" w:rsidRPr="00EE0D4F" w14:paraId="45878120" w14:textId="77777777" w:rsidTr="00D33971">
        <w:tc>
          <w:tcPr>
            <w:tcW w:w="2337" w:type="dxa"/>
          </w:tcPr>
          <w:p w14:paraId="37FCDA9D"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First trimester</w:t>
            </w:r>
          </w:p>
        </w:tc>
        <w:tc>
          <w:tcPr>
            <w:tcW w:w="1888" w:type="dxa"/>
          </w:tcPr>
          <w:p w14:paraId="7A5B8FA6"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157.714</w:t>
            </w:r>
          </w:p>
        </w:tc>
        <w:tc>
          <w:tcPr>
            <w:tcW w:w="3420" w:type="dxa"/>
          </w:tcPr>
          <w:p w14:paraId="25A2D29C"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31.012-802.074</w:t>
            </w:r>
          </w:p>
        </w:tc>
        <w:tc>
          <w:tcPr>
            <w:tcW w:w="1705" w:type="dxa"/>
          </w:tcPr>
          <w:p w14:paraId="72767586"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.001</w:t>
            </w:r>
          </w:p>
        </w:tc>
      </w:tr>
      <w:tr w:rsidR="00FB6FC4" w:rsidRPr="00EE0D4F" w14:paraId="22BAAC8A" w14:textId="77777777" w:rsidTr="00D33971">
        <w:tc>
          <w:tcPr>
            <w:tcW w:w="2337" w:type="dxa"/>
          </w:tcPr>
          <w:p w14:paraId="7A7194BE"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Second trimester</w:t>
            </w:r>
          </w:p>
        </w:tc>
        <w:tc>
          <w:tcPr>
            <w:tcW w:w="1888" w:type="dxa"/>
          </w:tcPr>
          <w:p w14:paraId="72644158"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2.065</w:t>
            </w:r>
          </w:p>
        </w:tc>
        <w:tc>
          <w:tcPr>
            <w:tcW w:w="3420" w:type="dxa"/>
          </w:tcPr>
          <w:p w14:paraId="0B2BC4C8"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.557-3.707</w:t>
            </w:r>
          </w:p>
        </w:tc>
        <w:tc>
          <w:tcPr>
            <w:tcW w:w="1705" w:type="dxa"/>
          </w:tcPr>
          <w:p w14:paraId="2928F138"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.167</w:t>
            </w:r>
          </w:p>
        </w:tc>
      </w:tr>
      <w:tr w:rsidR="00FB6FC4" w:rsidRPr="00EE0D4F" w14:paraId="0F11AEC9" w14:textId="77777777" w:rsidTr="00D33971">
        <w:tc>
          <w:tcPr>
            <w:tcW w:w="2337" w:type="dxa"/>
          </w:tcPr>
          <w:p w14:paraId="6E79F0A3" w14:textId="77777777" w:rsidR="00FB6FC4" w:rsidRPr="00EE0D4F" w:rsidRDefault="00FB6FC4" w:rsidP="00EE0D4F">
            <w:pPr>
              <w:jc w:val="both"/>
              <w:rPr>
                <w:rFonts w:asciiTheme="minorBidi" w:hAnsiTheme="minorBidi" w:cstheme="minorBidi"/>
                <w:b/>
                <w:sz w:val="20"/>
                <w:szCs w:val="20"/>
              </w:rPr>
            </w:pPr>
            <w:r w:rsidRPr="00EE0D4F">
              <w:rPr>
                <w:rFonts w:asciiTheme="minorBidi" w:hAnsiTheme="minorBidi" w:cstheme="minorBidi"/>
                <w:b/>
                <w:sz w:val="20"/>
                <w:szCs w:val="20"/>
              </w:rPr>
              <w:t>Signs/Symptoms</w:t>
            </w:r>
          </w:p>
        </w:tc>
        <w:tc>
          <w:tcPr>
            <w:tcW w:w="1888" w:type="dxa"/>
          </w:tcPr>
          <w:p w14:paraId="57119A7E" w14:textId="77777777" w:rsidR="00FB6FC4" w:rsidRPr="00EE0D4F" w:rsidRDefault="00FB6FC4" w:rsidP="00EE0D4F">
            <w:pPr>
              <w:jc w:val="both"/>
              <w:rPr>
                <w:rFonts w:asciiTheme="minorBidi" w:hAnsiTheme="minorBidi" w:cstheme="minorBidi"/>
                <w:sz w:val="20"/>
                <w:szCs w:val="20"/>
              </w:rPr>
            </w:pPr>
          </w:p>
        </w:tc>
        <w:tc>
          <w:tcPr>
            <w:tcW w:w="3420" w:type="dxa"/>
          </w:tcPr>
          <w:p w14:paraId="5960C896" w14:textId="77777777" w:rsidR="00FB6FC4" w:rsidRPr="00EE0D4F" w:rsidRDefault="00FB6FC4" w:rsidP="00EE0D4F">
            <w:pPr>
              <w:jc w:val="both"/>
              <w:rPr>
                <w:rFonts w:asciiTheme="minorBidi" w:hAnsiTheme="minorBidi" w:cstheme="minorBidi"/>
                <w:sz w:val="20"/>
                <w:szCs w:val="20"/>
              </w:rPr>
            </w:pPr>
          </w:p>
        </w:tc>
        <w:tc>
          <w:tcPr>
            <w:tcW w:w="1705" w:type="dxa"/>
          </w:tcPr>
          <w:p w14:paraId="70FC0326" w14:textId="77777777" w:rsidR="00FB6FC4" w:rsidRPr="00EE0D4F" w:rsidRDefault="00FB6FC4" w:rsidP="00EE0D4F">
            <w:pPr>
              <w:jc w:val="both"/>
              <w:rPr>
                <w:rFonts w:asciiTheme="minorBidi" w:hAnsiTheme="minorBidi" w:cstheme="minorBidi"/>
                <w:sz w:val="20"/>
                <w:szCs w:val="20"/>
              </w:rPr>
            </w:pPr>
          </w:p>
        </w:tc>
      </w:tr>
      <w:tr w:rsidR="00FB6FC4" w:rsidRPr="00EE0D4F" w14:paraId="0C9DE1F9" w14:textId="77777777" w:rsidTr="00D33971">
        <w:tc>
          <w:tcPr>
            <w:tcW w:w="2337" w:type="dxa"/>
          </w:tcPr>
          <w:p w14:paraId="346B10BD"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Yes</w:t>
            </w:r>
          </w:p>
        </w:tc>
        <w:tc>
          <w:tcPr>
            <w:tcW w:w="1888" w:type="dxa"/>
          </w:tcPr>
          <w:p w14:paraId="0A6DF396"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 xml:space="preserve">Ref </w:t>
            </w:r>
          </w:p>
        </w:tc>
        <w:tc>
          <w:tcPr>
            <w:tcW w:w="3420" w:type="dxa"/>
          </w:tcPr>
          <w:p w14:paraId="37267B90" w14:textId="77777777" w:rsidR="00FB6FC4" w:rsidRPr="00EE0D4F" w:rsidRDefault="00FB6FC4" w:rsidP="00EE0D4F">
            <w:pPr>
              <w:jc w:val="both"/>
              <w:rPr>
                <w:rFonts w:asciiTheme="minorBidi" w:hAnsiTheme="minorBidi" w:cstheme="minorBidi"/>
                <w:sz w:val="20"/>
                <w:szCs w:val="20"/>
              </w:rPr>
            </w:pPr>
          </w:p>
        </w:tc>
        <w:tc>
          <w:tcPr>
            <w:tcW w:w="1705" w:type="dxa"/>
          </w:tcPr>
          <w:p w14:paraId="5A5F1462" w14:textId="77777777" w:rsidR="00FB6FC4" w:rsidRPr="00EE0D4F" w:rsidRDefault="00FB6FC4" w:rsidP="00EE0D4F">
            <w:pPr>
              <w:jc w:val="both"/>
              <w:rPr>
                <w:rFonts w:asciiTheme="minorBidi" w:hAnsiTheme="minorBidi" w:cstheme="minorBidi"/>
                <w:sz w:val="20"/>
                <w:szCs w:val="20"/>
              </w:rPr>
            </w:pPr>
          </w:p>
        </w:tc>
      </w:tr>
      <w:tr w:rsidR="00FB6FC4" w:rsidRPr="00EE0D4F" w14:paraId="3F93BEFC" w14:textId="77777777" w:rsidTr="00D33971">
        <w:tc>
          <w:tcPr>
            <w:tcW w:w="2337" w:type="dxa"/>
          </w:tcPr>
          <w:p w14:paraId="1FF2D64A"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 xml:space="preserve">No  </w:t>
            </w:r>
          </w:p>
        </w:tc>
        <w:tc>
          <w:tcPr>
            <w:tcW w:w="1888" w:type="dxa"/>
          </w:tcPr>
          <w:p w14:paraId="42139DA3"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1.00</w:t>
            </w:r>
          </w:p>
        </w:tc>
        <w:tc>
          <w:tcPr>
            <w:tcW w:w="3420" w:type="dxa"/>
          </w:tcPr>
          <w:p w14:paraId="05935E5E"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0.052-0.758</w:t>
            </w:r>
          </w:p>
        </w:tc>
        <w:tc>
          <w:tcPr>
            <w:tcW w:w="1705" w:type="dxa"/>
          </w:tcPr>
          <w:p w14:paraId="01980210"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.018</w:t>
            </w:r>
          </w:p>
        </w:tc>
      </w:tr>
      <w:tr w:rsidR="00FB6FC4" w:rsidRPr="00EE0D4F" w14:paraId="030803E5" w14:textId="77777777" w:rsidTr="00D33971">
        <w:tc>
          <w:tcPr>
            <w:tcW w:w="2337" w:type="dxa"/>
          </w:tcPr>
          <w:p w14:paraId="2212929B" w14:textId="77777777" w:rsidR="00FB6FC4" w:rsidRPr="00EE0D4F" w:rsidRDefault="00FB6FC4" w:rsidP="00EE0D4F">
            <w:pPr>
              <w:jc w:val="both"/>
              <w:rPr>
                <w:rFonts w:asciiTheme="minorBidi" w:hAnsiTheme="minorBidi" w:cstheme="minorBidi"/>
                <w:b/>
                <w:sz w:val="20"/>
                <w:szCs w:val="20"/>
              </w:rPr>
            </w:pPr>
            <w:r w:rsidRPr="00EE0D4F">
              <w:rPr>
                <w:rFonts w:asciiTheme="minorBidi" w:hAnsiTheme="minorBidi" w:cstheme="minorBidi"/>
                <w:b/>
                <w:sz w:val="20"/>
                <w:szCs w:val="20"/>
              </w:rPr>
              <w:t>Laboratory Test</w:t>
            </w:r>
          </w:p>
        </w:tc>
        <w:tc>
          <w:tcPr>
            <w:tcW w:w="1888" w:type="dxa"/>
          </w:tcPr>
          <w:p w14:paraId="3D8F0712" w14:textId="77777777" w:rsidR="00FB6FC4" w:rsidRPr="00EE0D4F" w:rsidRDefault="00FB6FC4" w:rsidP="00EE0D4F">
            <w:pPr>
              <w:jc w:val="both"/>
              <w:rPr>
                <w:rFonts w:asciiTheme="minorBidi" w:hAnsiTheme="minorBidi" w:cstheme="minorBidi"/>
                <w:sz w:val="20"/>
                <w:szCs w:val="20"/>
              </w:rPr>
            </w:pPr>
          </w:p>
        </w:tc>
        <w:tc>
          <w:tcPr>
            <w:tcW w:w="3420" w:type="dxa"/>
          </w:tcPr>
          <w:p w14:paraId="330F114F" w14:textId="77777777" w:rsidR="00FB6FC4" w:rsidRPr="00EE0D4F" w:rsidRDefault="00FB6FC4" w:rsidP="00EE0D4F">
            <w:pPr>
              <w:jc w:val="both"/>
              <w:rPr>
                <w:rFonts w:asciiTheme="minorBidi" w:hAnsiTheme="minorBidi" w:cstheme="minorBidi"/>
                <w:sz w:val="20"/>
                <w:szCs w:val="20"/>
              </w:rPr>
            </w:pPr>
          </w:p>
        </w:tc>
        <w:tc>
          <w:tcPr>
            <w:tcW w:w="1705" w:type="dxa"/>
          </w:tcPr>
          <w:p w14:paraId="6417E062" w14:textId="77777777" w:rsidR="00FB6FC4" w:rsidRPr="00EE0D4F" w:rsidRDefault="00FB6FC4" w:rsidP="00EE0D4F">
            <w:pPr>
              <w:jc w:val="both"/>
              <w:rPr>
                <w:rFonts w:asciiTheme="minorBidi" w:hAnsiTheme="minorBidi" w:cstheme="minorBidi"/>
                <w:sz w:val="20"/>
                <w:szCs w:val="20"/>
              </w:rPr>
            </w:pPr>
          </w:p>
        </w:tc>
      </w:tr>
      <w:tr w:rsidR="00FB6FC4" w:rsidRPr="00EE0D4F" w14:paraId="6A5F4D06" w14:textId="77777777" w:rsidTr="00D33971">
        <w:tc>
          <w:tcPr>
            <w:tcW w:w="2337" w:type="dxa"/>
          </w:tcPr>
          <w:p w14:paraId="658A1812"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Microscopy</w:t>
            </w:r>
          </w:p>
        </w:tc>
        <w:tc>
          <w:tcPr>
            <w:tcW w:w="1888" w:type="dxa"/>
          </w:tcPr>
          <w:p w14:paraId="7DCA4700"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ref</w:t>
            </w:r>
          </w:p>
        </w:tc>
        <w:tc>
          <w:tcPr>
            <w:tcW w:w="3420" w:type="dxa"/>
          </w:tcPr>
          <w:p w14:paraId="5412C163" w14:textId="77777777" w:rsidR="00FB6FC4" w:rsidRPr="00EE0D4F" w:rsidRDefault="00FB6FC4" w:rsidP="00EE0D4F">
            <w:pPr>
              <w:jc w:val="both"/>
              <w:rPr>
                <w:rFonts w:asciiTheme="minorBidi" w:hAnsiTheme="minorBidi" w:cstheme="minorBidi"/>
                <w:sz w:val="20"/>
                <w:szCs w:val="20"/>
              </w:rPr>
            </w:pPr>
          </w:p>
        </w:tc>
        <w:tc>
          <w:tcPr>
            <w:tcW w:w="1705" w:type="dxa"/>
          </w:tcPr>
          <w:p w14:paraId="6E91CC80" w14:textId="77777777" w:rsidR="00FB6FC4" w:rsidRPr="00EE0D4F" w:rsidRDefault="00FB6FC4" w:rsidP="00EE0D4F">
            <w:pPr>
              <w:jc w:val="both"/>
              <w:rPr>
                <w:rFonts w:asciiTheme="minorBidi" w:hAnsiTheme="minorBidi" w:cstheme="minorBidi"/>
                <w:sz w:val="20"/>
                <w:szCs w:val="20"/>
              </w:rPr>
            </w:pPr>
          </w:p>
        </w:tc>
      </w:tr>
      <w:tr w:rsidR="00FB6FC4" w:rsidRPr="00EE0D4F" w14:paraId="1E6C167C" w14:textId="77777777" w:rsidTr="00D33971">
        <w:tc>
          <w:tcPr>
            <w:tcW w:w="2337" w:type="dxa"/>
          </w:tcPr>
          <w:p w14:paraId="651AC934"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RDT</w:t>
            </w:r>
          </w:p>
        </w:tc>
        <w:tc>
          <w:tcPr>
            <w:tcW w:w="1888" w:type="dxa"/>
          </w:tcPr>
          <w:p w14:paraId="4FA5AA8E"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.183</w:t>
            </w:r>
          </w:p>
        </w:tc>
        <w:tc>
          <w:tcPr>
            <w:tcW w:w="3420" w:type="dxa"/>
          </w:tcPr>
          <w:p w14:paraId="218CDB2F" w14:textId="17D767FB"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.049-</w:t>
            </w:r>
            <w:r w:rsidR="002A3E55" w:rsidRPr="00EE0D4F">
              <w:rPr>
                <w:rFonts w:asciiTheme="minorBidi" w:hAnsiTheme="minorBidi" w:cstheme="minorBidi"/>
                <w:sz w:val="20"/>
                <w:szCs w:val="20"/>
              </w:rPr>
              <w:t>.</w:t>
            </w:r>
            <w:r w:rsidRPr="00EE0D4F">
              <w:rPr>
                <w:rFonts w:asciiTheme="minorBidi" w:hAnsiTheme="minorBidi" w:cstheme="minorBidi"/>
                <w:sz w:val="20"/>
                <w:szCs w:val="20"/>
              </w:rPr>
              <w:t>672</w:t>
            </w:r>
          </w:p>
        </w:tc>
        <w:tc>
          <w:tcPr>
            <w:tcW w:w="1705" w:type="dxa"/>
          </w:tcPr>
          <w:p w14:paraId="33C16C7F" w14:textId="77777777" w:rsidR="00FB6FC4" w:rsidRPr="00EE0D4F" w:rsidRDefault="00FB6FC4" w:rsidP="00EE0D4F">
            <w:pPr>
              <w:jc w:val="both"/>
              <w:rPr>
                <w:rFonts w:asciiTheme="minorBidi" w:hAnsiTheme="minorBidi" w:cstheme="minorBidi"/>
                <w:sz w:val="20"/>
                <w:szCs w:val="20"/>
              </w:rPr>
            </w:pPr>
            <w:r w:rsidRPr="00EE0D4F">
              <w:rPr>
                <w:rFonts w:asciiTheme="minorBidi" w:hAnsiTheme="minorBidi" w:cstheme="minorBidi"/>
                <w:sz w:val="20"/>
                <w:szCs w:val="20"/>
              </w:rPr>
              <w:t>.011</w:t>
            </w:r>
          </w:p>
        </w:tc>
      </w:tr>
    </w:tbl>
    <w:p w14:paraId="33A75E6D" w14:textId="77777777" w:rsidR="00FB6FC4" w:rsidRPr="00EE0D4F" w:rsidRDefault="00FB6FC4" w:rsidP="00EE0D4F">
      <w:pPr>
        <w:jc w:val="both"/>
        <w:rPr>
          <w:rFonts w:asciiTheme="minorBidi" w:eastAsia="Calibri" w:hAnsiTheme="minorBidi" w:cstheme="minorBidi"/>
        </w:rPr>
      </w:pPr>
      <w:bookmarkStart w:id="25" w:name="_Hlk145264309"/>
    </w:p>
    <w:p w14:paraId="36DE4B19" w14:textId="197EBFAE" w:rsidR="00FB6FC4" w:rsidRPr="00EE0D4F" w:rsidRDefault="00FB6FC4" w:rsidP="00EE0D4F">
      <w:pPr>
        <w:keepNext/>
        <w:keepLines/>
        <w:jc w:val="both"/>
        <w:outlineLvl w:val="1"/>
        <w:rPr>
          <w:rFonts w:asciiTheme="minorBidi" w:eastAsia="DengXian Light" w:hAnsiTheme="minorBidi" w:cstheme="minorBidi"/>
          <w:b/>
        </w:rPr>
      </w:pPr>
      <w:bookmarkStart w:id="26" w:name="_Toc148193609"/>
      <w:bookmarkEnd w:id="25"/>
      <w:r w:rsidRPr="00EE0D4F">
        <w:rPr>
          <w:rFonts w:asciiTheme="minorBidi" w:eastAsia="DengXian Light" w:hAnsiTheme="minorBidi" w:cstheme="minorBidi"/>
          <w:b/>
        </w:rPr>
        <w:lastRenderedPageBreak/>
        <w:t>3.7 Clinicians’ experiences with quinine-based malaria treatment in the first trimester of Pregnancy</w:t>
      </w:r>
      <w:bookmarkEnd w:id="26"/>
      <w:r w:rsidRPr="00EE0D4F">
        <w:rPr>
          <w:rFonts w:asciiTheme="minorBidi" w:eastAsia="DengXian Light" w:hAnsiTheme="minorBidi" w:cstheme="minorBidi"/>
          <w:b/>
        </w:rPr>
        <w:t xml:space="preserve"> </w:t>
      </w:r>
    </w:p>
    <w:p w14:paraId="40BFB5C3" w14:textId="77777777" w:rsidR="00FB6FC4" w:rsidRPr="00EE0D4F" w:rsidRDefault="00FB6FC4" w:rsidP="00EE0D4F">
      <w:pPr>
        <w:keepNext/>
        <w:keepLines/>
        <w:jc w:val="both"/>
        <w:outlineLvl w:val="1"/>
        <w:rPr>
          <w:rFonts w:asciiTheme="minorBidi" w:eastAsia="DengXian Light" w:hAnsiTheme="minorBidi" w:cstheme="minorBidi"/>
          <w:b/>
        </w:rPr>
      </w:pPr>
    </w:p>
    <w:p w14:paraId="08F3CD36"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The participant's interview revealed clinicians’ experience they have accumulated over the years has an enormous effect on their prescription practices. It is the cause of the dilemma in the management of MIFP (malaria in first trimester of pregnancy). The main factor that influences clinicians’ compliance is experience. Fears of medications’ side effects, patient’s health beliefs and adherence, professional norms, and institutional bottlenecks were the main factors that emerged under this heading. </w:t>
      </w:r>
    </w:p>
    <w:p w14:paraId="6D8FC99E" w14:textId="77777777" w:rsidR="00FB6FC4" w:rsidRPr="00EE0D4F" w:rsidRDefault="00FB6FC4" w:rsidP="00EE0D4F">
      <w:pPr>
        <w:jc w:val="both"/>
        <w:rPr>
          <w:rFonts w:asciiTheme="minorBidi" w:eastAsia="Calibri" w:hAnsiTheme="minorBidi" w:cstheme="minorBidi"/>
        </w:rPr>
      </w:pPr>
    </w:p>
    <w:p w14:paraId="0C143CE7" w14:textId="2BC5AD72" w:rsidR="00FB6FC4" w:rsidRPr="00EE0D4F" w:rsidRDefault="00FB6FC4" w:rsidP="00EE0D4F">
      <w:pPr>
        <w:keepNext/>
        <w:keepLines/>
        <w:jc w:val="both"/>
        <w:outlineLvl w:val="2"/>
        <w:rPr>
          <w:rFonts w:asciiTheme="minorBidi" w:eastAsia="DengXian Light" w:hAnsiTheme="minorBidi" w:cstheme="minorBidi"/>
          <w:b/>
        </w:rPr>
      </w:pPr>
      <w:bookmarkStart w:id="27" w:name="_Toc148193610"/>
      <w:r w:rsidRPr="00EE0D4F">
        <w:rPr>
          <w:rFonts w:asciiTheme="minorBidi" w:eastAsia="DengXian Light" w:hAnsiTheme="minorBidi" w:cstheme="minorBidi"/>
          <w:b/>
        </w:rPr>
        <w:t>3.7.1 Fear of medication side effects</w:t>
      </w:r>
      <w:bookmarkEnd w:id="27"/>
    </w:p>
    <w:p w14:paraId="7F712ACD" w14:textId="76B532D1"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Many clinicians had a notional fear of the recommended antimalarials such as quinine. Some of the most common adverse effects that clinicians feared include miscarriage, spotting, and hypoglycemia. These were more serious and frequently experienced by patients during clinical practice as compared to tinnitus, dizziness, skin reactions, and hypotension. The most fearful and challenging side effects of the embattled quinine administration were miscarriage and hypoglycemia. </w:t>
      </w:r>
    </w:p>
    <w:p w14:paraId="6AEF3CAD" w14:textId="4FBBE7B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This is the response of a clinician.</w:t>
      </w:r>
    </w:p>
    <w:p w14:paraId="76F7AABC" w14:textId="77777777" w:rsidR="00FB6FC4" w:rsidRPr="00EE0D4F" w:rsidRDefault="00FB6FC4" w:rsidP="00EE0D4F">
      <w:pPr>
        <w:ind w:left="720"/>
        <w:jc w:val="both"/>
        <w:rPr>
          <w:rFonts w:asciiTheme="minorBidi" w:eastAsia="Calibri" w:hAnsiTheme="minorBidi" w:cstheme="minorBidi"/>
          <w:b/>
          <w:color w:val="EE0000"/>
        </w:rPr>
      </w:pPr>
      <w:r w:rsidRPr="00EE0D4F">
        <w:rPr>
          <w:rFonts w:asciiTheme="minorBidi" w:eastAsia="Calibri" w:hAnsiTheme="minorBidi" w:cstheme="minorBidi"/>
          <w:color w:val="EE0000"/>
        </w:rPr>
        <w:t>“Then when we give too, we must admit the patient. Because you know when you give quinine risk of having hypoglycemia is very high especially in pregnancy because, in pregnancy, the woman may be nauseating so she won't eat. She will be vomiting; she won't eat so when you go and add quinine aren't you worsening the situation”</w:t>
      </w:r>
      <w:r w:rsidRPr="00EE0D4F">
        <w:rPr>
          <w:rFonts w:asciiTheme="minorBidi" w:eastAsia="Calibri" w:hAnsiTheme="minorBidi" w:cstheme="minorBidi"/>
          <w:b/>
          <w:color w:val="EE0000"/>
        </w:rPr>
        <w:t>. PA OG</w:t>
      </w:r>
    </w:p>
    <w:p w14:paraId="4DD0E439" w14:textId="77777777" w:rsidR="00FB6FC4" w:rsidRPr="00EE0D4F" w:rsidRDefault="00FB6FC4" w:rsidP="00EE0D4F">
      <w:pPr>
        <w:ind w:left="720"/>
        <w:jc w:val="both"/>
        <w:rPr>
          <w:rFonts w:asciiTheme="minorBidi" w:eastAsia="Calibri" w:hAnsiTheme="minorBidi" w:cstheme="minorBidi"/>
        </w:rPr>
      </w:pPr>
    </w:p>
    <w:p w14:paraId="165DF219" w14:textId="303D8582" w:rsidR="00FB6FC4" w:rsidRPr="00EE0D4F" w:rsidRDefault="00FB6FC4" w:rsidP="00EE0D4F">
      <w:pPr>
        <w:keepNext/>
        <w:keepLines/>
        <w:jc w:val="both"/>
        <w:outlineLvl w:val="2"/>
        <w:rPr>
          <w:rFonts w:asciiTheme="minorBidi" w:eastAsia="DengXian Light" w:hAnsiTheme="minorBidi" w:cstheme="minorBidi"/>
          <w:b/>
        </w:rPr>
      </w:pPr>
      <w:bookmarkStart w:id="28" w:name="_Toc148193612"/>
      <w:r w:rsidRPr="00EE0D4F">
        <w:rPr>
          <w:rFonts w:asciiTheme="minorBidi" w:eastAsia="DengXian Light" w:hAnsiTheme="minorBidi" w:cstheme="minorBidi"/>
          <w:b/>
        </w:rPr>
        <w:t>3.7.2 Patient health beliefs and adherence</w:t>
      </w:r>
      <w:bookmarkEnd w:id="28"/>
      <w:r w:rsidRPr="00EE0D4F">
        <w:rPr>
          <w:rFonts w:asciiTheme="minorBidi" w:eastAsia="DengXian Light" w:hAnsiTheme="minorBidi" w:cstheme="minorBidi"/>
          <w:b/>
        </w:rPr>
        <w:t xml:space="preserve"> to treatment protocols</w:t>
      </w:r>
    </w:p>
    <w:p w14:paraId="4D75E4E8" w14:textId="77777777" w:rsidR="00FB6FC4" w:rsidRPr="00EE0D4F" w:rsidRDefault="00FB6FC4" w:rsidP="00EE0D4F">
      <w:pPr>
        <w:keepNext/>
        <w:keepLines/>
        <w:jc w:val="both"/>
        <w:outlineLvl w:val="2"/>
        <w:rPr>
          <w:rFonts w:asciiTheme="minorBidi" w:eastAsia="DengXian Light" w:hAnsiTheme="minorBidi" w:cstheme="minorBidi"/>
          <w:b/>
        </w:rPr>
      </w:pPr>
    </w:p>
    <w:p w14:paraId="2D1D700A"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Patient factors directly influence clinicians’ choice of antimalarial. Doctors affirmed that they do not force drugs on patients and if a patient by any experience or rumors decides not to take a drug, they look for an alternative drug for the patient. Some patients may have previous exposure to quinine and may not want to take it again. After discussion of the risks and benefits, if patients insist on an alternative, they could give a different drug even if it is not recommended. </w:t>
      </w:r>
    </w:p>
    <w:p w14:paraId="5D6009FF" w14:textId="77777777" w:rsidR="00FB6FC4" w:rsidRPr="00EE0D4F" w:rsidRDefault="00FB6FC4" w:rsidP="00EE0D4F">
      <w:pPr>
        <w:ind w:left="720"/>
        <w:jc w:val="both"/>
        <w:rPr>
          <w:rFonts w:asciiTheme="minorBidi" w:eastAsia="Calibri" w:hAnsiTheme="minorBidi" w:cstheme="minorBidi"/>
          <w:b/>
        </w:rPr>
      </w:pPr>
      <w:bookmarkStart w:id="29" w:name="_Hlk135221356"/>
      <w:r w:rsidRPr="00EE0D4F">
        <w:rPr>
          <w:rFonts w:asciiTheme="minorBidi" w:eastAsia="Calibri" w:hAnsiTheme="minorBidi" w:cstheme="minorBidi"/>
        </w:rPr>
        <w:t>“You only have good compliance if your patients are receptive to treatment. Apart from that when you write quinine, your patient won’t take</w:t>
      </w:r>
      <w:bookmarkEnd w:id="29"/>
      <w:r w:rsidRPr="00EE0D4F">
        <w:rPr>
          <w:rFonts w:asciiTheme="minorBidi" w:eastAsia="Calibri" w:hAnsiTheme="minorBidi" w:cstheme="minorBidi"/>
        </w:rPr>
        <w:t xml:space="preserve"> it because we have many of them who have heard and believe that when you take quinine you get spotting, miscarriage, and all that. </w:t>
      </w:r>
      <w:r w:rsidRPr="00EE0D4F">
        <w:rPr>
          <w:rFonts w:asciiTheme="minorBidi" w:eastAsia="Calibri" w:hAnsiTheme="minorBidi" w:cstheme="minorBidi"/>
          <w:b/>
        </w:rPr>
        <w:t>OBS OV</w:t>
      </w:r>
    </w:p>
    <w:p w14:paraId="6A6FE12C" w14:textId="77777777" w:rsidR="00FB6FC4" w:rsidRPr="00EE0D4F" w:rsidRDefault="00FB6FC4" w:rsidP="00EE0D4F">
      <w:pPr>
        <w:ind w:left="720"/>
        <w:jc w:val="both"/>
        <w:rPr>
          <w:rFonts w:asciiTheme="minorBidi" w:eastAsia="Calibri" w:hAnsiTheme="minorBidi" w:cstheme="minorBidi"/>
          <w:b/>
        </w:rPr>
      </w:pPr>
    </w:p>
    <w:p w14:paraId="486C57B9" w14:textId="7C87C68F" w:rsidR="00FB6FC4" w:rsidRPr="00EE0D4F" w:rsidRDefault="00FB6FC4" w:rsidP="00EE0D4F">
      <w:pPr>
        <w:keepNext/>
        <w:keepLines/>
        <w:jc w:val="both"/>
        <w:outlineLvl w:val="2"/>
        <w:rPr>
          <w:rFonts w:asciiTheme="minorBidi" w:eastAsia="DengXian Light" w:hAnsiTheme="minorBidi" w:cstheme="minorBidi"/>
          <w:b/>
        </w:rPr>
      </w:pPr>
      <w:bookmarkStart w:id="30" w:name="_Toc148193613"/>
      <w:r w:rsidRPr="00EE0D4F">
        <w:rPr>
          <w:rFonts w:asciiTheme="minorBidi" w:eastAsia="DengXian Light" w:hAnsiTheme="minorBidi" w:cstheme="minorBidi"/>
          <w:b/>
        </w:rPr>
        <w:t>3.7.3 Professional Customs and Other staff influence</w:t>
      </w:r>
      <w:bookmarkEnd w:id="30"/>
    </w:p>
    <w:p w14:paraId="299C9B68" w14:textId="77777777" w:rsidR="00FB6FC4" w:rsidRPr="00EE0D4F" w:rsidRDefault="00FB6FC4" w:rsidP="00EE0D4F">
      <w:pPr>
        <w:keepNext/>
        <w:keepLines/>
        <w:jc w:val="both"/>
        <w:outlineLvl w:val="2"/>
        <w:rPr>
          <w:rFonts w:asciiTheme="minorBidi" w:eastAsia="DengXian Light" w:hAnsiTheme="minorBidi" w:cstheme="minorBidi"/>
          <w:b/>
        </w:rPr>
      </w:pPr>
    </w:p>
    <w:p w14:paraId="09DD7E6C" w14:textId="6E24880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Respondents explained that there is a hierarchy of practice in the medical profession where aside from academic knowledge junior colleagues learn through the experiences of their senior colleagues. Inexperienced medical staff are therefore required by professional norms to follow the dictates of their senior colleagues. Some of the factors that emerge from professional norms and influences include coercion by nursing staff, and senior colleagues/ bosses’ orders. </w:t>
      </w:r>
    </w:p>
    <w:p w14:paraId="4176A61F" w14:textId="77777777" w:rsidR="00FB6FC4" w:rsidRPr="00EE0D4F" w:rsidRDefault="00FB6FC4" w:rsidP="00EE0D4F">
      <w:pPr>
        <w:jc w:val="both"/>
        <w:rPr>
          <w:rFonts w:asciiTheme="minorBidi" w:eastAsia="Calibri" w:hAnsiTheme="minorBidi" w:cstheme="minorBidi"/>
        </w:rPr>
      </w:pPr>
    </w:p>
    <w:p w14:paraId="42452462" w14:textId="77777777" w:rsidR="00FB6FC4" w:rsidRPr="00EE0D4F" w:rsidRDefault="00FB6FC4" w:rsidP="00EE0D4F">
      <w:pPr>
        <w:jc w:val="both"/>
        <w:rPr>
          <w:rFonts w:asciiTheme="minorBidi" w:eastAsia="Calibri" w:hAnsiTheme="minorBidi" w:cstheme="minorBidi"/>
          <w:b/>
          <w:bCs/>
          <w:i/>
          <w:iCs/>
        </w:rPr>
      </w:pPr>
      <w:r w:rsidRPr="00EE0D4F">
        <w:rPr>
          <w:rFonts w:asciiTheme="minorBidi" w:eastAsia="Calibri" w:hAnsiTheme="minorBidi" w:cstheme="minorBidi"/>
          <w:b/>
          <w:bCs/>
          <w:i/>
          <w:iCs/>
        </w:rPr>
        <w:t>Coercion by nursing staff</w:t>
      </w:r>
    </w:p>
    <w:p w14:paraId="5DAC60D9" w14:textId="77777777" w:rsidR="00FB6FC4" w:rsidRPr="00EE0D4F" w:rsidRDefault="00FB6FC4" w:rsidP="00EE0D4F">
      <w:pPr>
        <w:jc w:val="both"/>
        <w:rPr>
          <w:rFonts w:asciiTheme="minorBidi" w:eastAsia="Calibri" w:hAnsiTheme="minorBidi" w:cstheme="minorBidi"/>
          <w:b/>
          <w:bCs/>
        </w:rPr>
      </w:pPr>
    </w:p>
    <w:p w14:paraId="71919D23"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It was revealed by respondents that colleagues’ staff are some of the major contributors to patients’ refusal to take prescribed quinine medication. Some respondents explained that health staff whose patients experience adverse effects after taking quinine will normally advise patients to refuse the medications. Nurses in the ward will normally tell patients in the ward who are prescribed quinine to avoid it at all costs.</w:t>
      </w:r>
    </w:p>
    <w:p w14:paraId="7A464A3D" w14:textId="77777777" w:rsidR="00FB6FC4" w:rsidRPr="00EE0D4F" w:rsidRDefault="00FB6FC4" w:rsidP="00EE0D4F">
      <w:pPr>
        <w:ind w:left="720"/>
        <w:jc w:val="both"/>
        <w:rPr>
          <w:rFonts w:asciiTheme="minorBidi" w:eastAsia="Calibri" w:hAnsiTheme="minorBidi" w:cstheme="minorBidi"/>
        </w:rPr>
      </w:pPr>
      <w:r w:rsidRPr="00EE0D4F">
        <w:rPr>
          <w:rFonts w:asciiTheme="minorBidi" w:eastAsia="Calibri" w:hAnsiTheme="minorBidi" w:cstheme="minorBidi"/>
        </w:rPr>
        <w:lastRenderedPageBreak/>
        <w:t xml:space="preserve">“Even the few who are not aware of it that quinine causes miscarriage, when they get to the ward the nurses will tell her all that and the patient will tell you on ward rounds that she has refused to take the quinine. Several times, that’s what has been happening. Even when you add clindamycin, the same”. </w:t>
      </w:r>
      <w:r w:rsidRPr="00EE0D4F">
        <w:rPr>
          <w:rFonts w:asciiTheme="minorBidi" w:eastAsia="Calibri" w:hAnsiTheme="minorBidi" w:cstheme="minorBidi"/>
          <w:b/>
        </w:rPr>
        <w:t>OBS OV</w:t>
      </w:r>
      <w:r w:rsidRPr="00EE0D4F">
        <w:rPr>
          <w:rFonts w:asciiTheme="minorBidi" w:eastAsia="Calibri" w:hAnsiTheme="minorBidi" w:cstheme="minorBidi"/>
        </w:rPr>
        <w:t xml:space="preserve"> </w:t>
      </w:r>
    </w:p>
    <w:p w14:paraId="58648647" w14:textId="77777777" w:rsidR="00FB6FC4" w:rsidRPr="00EE0D4F" w:rsidRDefault="00FB6FC4" w:rsidP="00EE0D4F">
      <w:pPr>
        <w:ind w:left="720"/>
        <w:jc w:val="both"/>
        <w:rPr>
          <w:rFonts w:asciiTheme="minorBidi" w:eastAsia="Calibri" w:hAnsiTheme="minorBidi" w:cstheme="minorBidi"/>
        </w:rPr>
      </w:pPr>
    </w:p>
    <w:p w14:paraId="759AF02E" w14:textId="77777777" w:rsidR="00FB6FC4" w:rsidRPr="00EE0D4F" w:rsidRDefault="00FB6FC4" w:rsidP="00EE0D4F">
      <w:pPr>
        <w:jc w:val="both"/>
        <w:rPr>
          <w:rFonts w:asciiTheme="minorBidi" w:eastAsia="Calibri" w:hAnsiTheme="minorBidi" w:cstheme="minorBidi"/>
          <w:b/>
          <w:bCs/>
          <w:i/>
          <w:iCs/>
        </w:rPr>
      </w:pPr>
      <w:r w:rsidRPr="00EE0D4F">
        <w:rPr>
          <w:rFonts w:asciiTheme="minorBidi" w:eastAsia="Calibri" w:hAnsiTheme="minorBidi" w:cstheme="minorBidi"/>
          <w:b/>
          <w:bCs/>
          <w:i/>
          <w:iCs/>
        </w:rPr>
        <w:t>Senior colleague's or bosses’ orders</w:t>
      </w:r>
    </w:p>
    <w:p w14:paraId="141B21B6" w14:textId="77777777" w:rsidR="00FB6FC4" w:rsidRPr="00EE0D4F" w:rsidRDefault="00FB6FC4" w:rsidP="00EE0D4F">
      <w:pPr>
        <w:jc w:val="both"/>
        <w:rPr>
          <w:rFonts w:asciiTheme="minorBidi" w:eastAsia="Calibri" w:hAnsiTheme="minorBidi" w:cstheme="minorBidi"/>
          <w:b/>
          <w:bCs/>
        </w:rPr>
      </w:pPr>
    </w:p>
    <w:p w14:paraId="53FD15D0"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Respondents said that it is a professional norm to consult a senior practitioner in the medical practices when there is a challenge about a choice to be made especially where there are many practitioners in a facility working in teams. In such situations, clinical choices are made based on agreed team decisions. In situations where sole decisions will lead to adverse effects on a patient, clinicians are obliged to refer to a higher health facility for elaborate assessment and refined decision-making. In this study, clinicians who work under a queue of senior practitioners, especially obstetricians, prescribed antimalarial under the orders of their bosses. Respondents said that based on the experiences of their bosses, they were advised to adhere to some localized protocols over which they do not have control. This is what some clinicians say:</w:t>
      </w:r>
    </w:p>
    <w:p w14:paraId="2F3AA534" w14:textId="7777777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 xml:space="preserve">“Quinine, even for this facility we do not treat in the first trimester, and the reason being that per my boss’s experiences, it aborts pregnancy. Right now, you see, this patient has just come, she is 13 weeks pregnant, which is just one week past the first trimester. She has 40 parasites, but I am reluctant to put her on medications until I hear from him. Let me go and ask him. (He left and returned). You know I told you, I just confirmed with him, and he said since the woman is not symptomatic, we shouldn’t treat her”. </w:t>
      </w:r>
      <w:r w:rsidRPr="00EE0D4F">
        <w:rPr>
          <w:rFonts w:asciiTheme="minorBidi" w:eastAsia="Calibri" w:hAnsiTheme="minorBidi" w:cstheme="minorBidi"/>
          <w:b/>
        </w:rPr>
        <w:t>MO OJ</w:t>
      </w:r>
    </w:p>
    <w:p w14:paraId="77E09128" w14:textId="77777777" w:rsidR="00FB6FC4" w:rsidRPr="00EE0D4F" w:rsidRDefault="00FB6FC4" w:rsidP="00EE0D4F">
      <w:pPr>
        <w:ind w:left="720"/>
        <w:jc w:val="both"/>
        <w:rPr>
          <w:rFonts w:asciiTheme="minorBidi" w:eastAsia="Calibri" w:hAnsiTheme="minorBidi" w:cstheme="minorBidi"/>
        </w:rPr>
      </w:pPr>
      <w:r w:rsidRPr="00EE0D4F">
        <w:rPr>
          <w:rFonts w:asciiTheme="minorBidi" w:eastAsia="Calibri" w:hAnsiTheme="minorBidi" w:cstheme="minorBidi"/>
        </w:rPr>
        <w:t>Other respondents said:</w:t>
      </w:r>
    </w:p>
    <w:p w14:paraId="7D2DA07E" w14:textId="7777777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 xml:space="preserve">“That is what our bosses said, I don’t know actually but they have much experience, so I wish I had the opportunity to prescribe it myself and see whether it causes abortion and all that”. </w:t>
      </w:r>
      <w:r w:rsidRPr="00EE0D4F">
        <w:rPr>
          <w:rFonts w:asciiTheme="minorBidi" w:eastAsia="Calibri" w:hAnsiTheme="minorBidi" w:cstheme="minorBidi"/>
          <w:b/>
        </w:rPr>
        <w:t>MO OT</w:t>
      </w:r>
    </w:p>
    <w:p w14:paraId="7F7A71B2" w14:textId="77777777" w:rsidR="00FB6FC4" w:rsidRPr="00EE0D4F" w:rsidRDefault="00FB6FC4" w:rsidP="00EE0D4F">
      <w:pPr>
        <w:ind w:left="720"/>
        <w:jc w:val="both"/>
        <w:rPr>
          <w:rFonts w:asciiTheme="minorBidi" w:eastAsia="Calibri" w:hAnsiTheme="minorBidi" w:cstheme="minorBidi"/>
          <w:b/>
        </w:rPr>
      </w:pPr>
    </w:p>
    <w:p w14:paraId="5A72F071" w14:textId="1FBFD0A6" w:rsidR="00FB6FC4" w:rsidRPr="00EE0D4F" w:rsidRDefault="00FB6FC4" w:rsidP="00EE0D4F">
      <w:pPr>
        <w:jc w:val="both"/>
        <w:rPr>
          <w:rFonts w:asciiTheme="minorBidi" w:eastAsia="Calibri" w:hAnsiTheme="minorBidi" w:cstheme="minorBidi"/>
          <w:b/>
          <w:bCs/>
        </w:rPr>
      </w:pPr>
      <w:r w:rsidRPr="00EE0D4F">
        <w:rPr>
          <w:rFonts w:asciiTheme="minorBidi" w:eastAsia="Calibri" w:hAnsiTheme="minorBidi" w:cstheme="minorBidi"/>
        </w:rPr>
        <w:t>3.7.4 I</w:t>
      </w:r>
      <w:r w:rsidRPr="00EE0D4F">
        <w:rPr>
          <w:rFonts w:asciiTheme="minorBidi" w:eastAsia="Calibri" w:hAnsiTheme="minorBidi" w:cstheme="minorBidi"/>
          <w:b/>
          <w:bCs/>
        </w:rPr>
        <w:t>nstitutional bottlenecks</w:t>
      </w:r>
    </w:p>
    <w:p w14:paraId="067F03D5"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Other respondents said some factors beyond clinicians’ control are contributing to the problems. Level/location of health facility, unavailability, insurance issues, and patient compliance to reviews, were some factors affecting prescription practices. Whilst unavailability and insurance were not major factors affecting prescription, the level/location of the health facility was however a major player in compliance with medication prescriptions. Respondents’ quotes:</w:t>
      </w:r>
    </w:p>
    <w:p w14:paraId="51C2C19E" w14:textId="7777777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 xml:space="preserve">“If at the health center, they still prescribe it, it means somewhere some people are getting it wrong because if the health centers prescribe and don’t see a higher incidence of miscarriage and we at the higher facility are rather seeing it, then we must look at it.  There could be an error somewhere”. </w:t>
      </w:r>
      <w:r w:rsidRPr="00EE0D4F">
        <w:rPr>
          <w:rFonts w:asciiTheme="minorBidi" w:eastAsia="Calibri" w:hAnsiTheme="minorBidi" w:cstheme="minorBidi"/>
          <w:b/>
        </w:rPr>
        <w:t>MO OP</w:t>
      </w:r>
    </w:p>
    <w:p w14:paraId="378AAFED" w14:textId="7C87EF2D" w:rsidR="00FB6FC4" w:rsidRPr="00EE0D4F" w:rsidRDefault="00FB6FC4" w:rsidP="00EE0D4F">
      <w:pPr>
        <w:ind w:left="720"/>
        <w:jc w:val="both"/>
        <w:rPr>
          <w:rFonts w:asciiTheme="minorBidi" w:eastAsia="Calibri" w:hAnsiTheme="minorBidi" w:cstheme="minorBidi"/>
        </w:rPr>
      </w:pPr>
      <w:r w:rsidRPr="00EE0D4F">
        <w:rPr>
          <w:rFonts w:asciiTheme="minorBidi" w:eastAsia="Calibri" w:hAnsiTheme="minorBidi" w:cstheme="minorBidi"/>
        </w:rPr>
        <w:t xml:space="preserve">“Quinine is going out of the system. Sometimes the supply is not there and most times the available ones will be </w:t>
      </w:r>
      <w:r w:rsidR="002A3E55" w:rsidRPr="00EE0D4F">
        <w:rPr>
          <w:rFonts w:asciiTheme="minorBidi" w:eastAsia="Calibri" w:hAnsiTheme="minorBidi" w:cstheme="minorBidi"/>
          <w:color w:val="EE0000"/>
        </w:rPr>
        <w:t>Artemether Lumefantrine or Artesunate Amodiaquine</w:t>
      </w:r>
      <w:r w:rsidRPr="00EE0D4F">
        <w:rPr>
          <w:rFonts w:asciiTheme="minorBidi" w:eastAsia="Calibri" w:hAnsiTheme="minorBidi" w:cstheme="minorBidi"/>
          <w:color w:val="EE0000"/>
        </w:rPr>
        <w:t xml:space="preserve">. </w:t>
      </w:r>
      <w:r w:rsidRPr="00EE0D4F">
        <w:rPr>
          <w:rFonts w:asciiTheme="minorBidi" w:eastAsia="Calibri" w:hAnsiTheme="minorBidi" w:cstheme="minorBidi"/>
        </w:rPr>
        <w:t xml:space="preserve">So, the drugs we use here health insurance covers most of them so if we write quinine, the client must go and buy”. </w:t>
      </w:r>
      <w:r w:rsidRPr="00EE0D4F">
        <w:rPr>
          <w:rFonts w:asciiTheme="minorBidi" w:eastAsia="Calibri" w:hAnsiTheme="minorBidi" w:cstheme="minorBidi"/>
          <w:b/>
        </w:rPr>
        <w:t>RGN OA</w:t>
      </w:r>
    </w:p>
    <w:p w14:paraId="5E8BF5A8" w14:textId="7777777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 xml:space="preserve"> “Secondly the people here don’t come for review and if they experience some effects they report to a different hospital and they don’t tell them what they have taken, and I won’t know they have some effects from taking the quinine”. </w:t>
      </w:r>
      <w:r w:rsidRPr="00EE0D4F">
        <w:rPr>
          <w:rFonts w:asciiTheme="minorBidi" w:eastAsia="Calibri" w:hAnsiTheme="minorBidi" w:cstheme="minorBidi"/>
          <w:b/>
        </w:rPr>
        <w:t>RGN OB</w:t>
      </w:r>
    </w:p>
    <w:p w14:paraId="1988FEC8" w14:textId="77777777" w:rsidR="00FB6FC4" w:rsidRPr="00EE0D4F" w:rsidRDefault="00FB6FC4" w:rsidP="00EE0D4F">
      <w:pPr>
        <w:ind w:left="720"/>
        <w:jc w:val="both"/>
        <w:rPr>
          <w:rFonts w:asciiTheme="minorBidi" w:eastAsia="Calibri" w:hAnsiTheme="minorBidi" w:cstheme="minorBidi"/>
          <w:b/>
        </w:rPr>
      </w:pPr>
    </w:p>
    <w:p w14:paraId="3A5C10B6" w14:textId="63C9D3E2" w:rsidR="00FB6FC4" w:rsidRPr="00EE0D4F" w:rsidRDefault="00FB6FC4" w:rsidP="00EE0D4F">
      <w:pPr>
        <w:keepNext/>
        <w:keepLines/>
        <w:jc w:val="both"/>
        <w:outlineLvl w:val="1"/>
        <w:rPr>
          <w:rFonts w:asciiTheme="minorBidi" w:eastAsia="DengXian Light" w:hAnsiTheme="minorBidi" w:cstheme="minorBidi"/>
          <w:b/>
        </w:rPr>
      </w:pPr>
      <w:bookmarkStart w:id="31" w:name="_Toc148193615"/>
      <w:r w:rsidRPr="00EE0D4F">
        <w:rPr>
          <w:rFonts w:asciiTheme="minorBidi" w:eastAsia="DengXian Light" w:hAnsiTheme="minorBidi" w:cstheme="minorBidi"/>
          <w:b/>
        </w:rPr>
        <w:t>3.8 Malaria treatment dilemma in the first trimester</w:t>
      </w:r>
      <w:bookmarkEnd w:id="31"/>
    </w:p>
    <w:p w14:paraId="78F9F86C" w14:textId="0F227BAE"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color w:val="EE0000"/>
        </w:rPr>
        <w:t xml:space="preserve">Table </w:t>
      </w:r>
      <w:r w:rsidR="00CC3ADD" w:rsidRPr="00EE0D4F">
        <w:rPr>
          <w:rFonts w:asciiTheme="minorBidi" w:eastAsia="Calibri" w:hAnsiTheme="minorBidi" w:cstheme="minorBidi"/>
          <w:color w:val="EE0000"/>
        </w:rPr>
        <w:t>4</w:t>
      </w:r>
      <w:r w:rsidRPr="00EE0D4F">
        <w:rPr>
          <w:rFonts w:asciiTheme="minorBidi" w:eastAsia="Calibri" w:hAnsiTheme="minorBidi" w:cstheme="minorBidi"/>
        </w:rPr>
        <w:t xml:space="preserve"> below depicts the presentation of both quantitative and qualitative results of clinicians’ dilemmas with malaria treatment in the first trimester of pregnancy. The decision to treat or do monitor was the most challenging decision faced by clinicians. Some clinicians (29.0%) treated uncomplicated malaria with intravenous medications which are recommended for severe </w:t>
      </w:r>
      <w:r w:rsidRPr="00EE0D4F">
        <w:rPr>
          <w:rFonts w:asciiTheme="minorBidi" w:eastAsia="Calibri" w:hAnsiTheme="minorBidi" w:cstheme="minorBidi"/>
        </w:rPr>
        <w:lastRenderedPageBreak/>
        <w:t>malaria treatment in the first trimester but not for the treatment of uncomplicated malaria. About 21.1% of pregnant women with malaria in the first trimester were not treated because clinicians explained in the qualitative interview that they monitor the patient's symptoms before initiating treatment and if the patient did not develop any symptoms, they were not treated as observed in table 4 below. The surprising revelation was that clinicians disagreed with each other with the choice of drugs for malaria treatment. Joint display of clinicians’ malaria treatment dilemmas in the first trimester of pregnancy.</w:t>
      </w:r>
    </w:p>
    <w:p w14:paraId="28BC2D10" w14:textId="77777777" w:rsidR="00FB6FC4" w:rsidRPr="00EE0D4F" w:rsidRDefault="00FB6FC4" w:rsidP="00EE0D4F">
      <w:pPr>
        <w:jc w:val="both"/>
        <w:rPr>
          <w:rFonts w:asciiTheme="minorBidi" w:eastAsia="Calibri" w:hAnsiTheme="minorBidi" w:cstheme="minorBidi"/>
        </w:rPr>
      </w:pPr>
    </w:p>
    <w:p w14:paraId="561992F5"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Table 4: Mixed method results of Clinicians' Malaria treatment Dilemmas in the first trimester of pregnancy.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9"/>
        <w:gridCol w:w="1659"/>
      </w:tblGrid>
      <w:tr w:rsidR="00FB6FC4" w:rsidRPr="00EE0D4F" w14:paraId="2EECDF74" w14:textId="77777777" w:rsidTr="00D33971">
        <w:tc>
          <w:tcPr>
            <w:tcW w:w="7321" w:type="dxa"/>
          </w:tcPr>
          <w:p w14:paraId="2E279A2C"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Integrated quantitative and qualitative results</w:t>
            </w:r>
          </w:p>
        </w:tc>
        <w:tc>
          <w:tcPr>
            <w:tcW w:w="1695" w:type="dxa"/>
          </w:tcPr>
          <w:p w14:paraId="4052434E"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outcome</w:t>
            </w:r>
          </w:p>
        </w:tc>
      </w:tr>
      <w:tr w:rsidR="00FB6FC4" w:rsidRPr="00EE0D4F" w14:paraId="0815AAC6" w14:textId="77777777" w:rsidTr="00D33971">
        <w:tc>
          <w:tcPr>
            <w:tcW w:w="7321" w:type="dxa"/>
          </w:tcPr>
          <w:p w14:paraId="50452FFE"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Quantitative findings: 40.8% of malaria cases in the first trimester of pregnancy that were treated were given ACTs against the guidelines.</w:t>
            </w:r>
          </w:p>
          <w:p w14:paraId="094F0EB9" w14:textId="7777777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 xml:space="preserve">“Only Artesunate and A/L are given in all trimesters. I haven't encountered adult wards. Mostly I'm at ANC and it's the Artesunate and AL we use”.  </w:t>
            </w:r>
            <w:r w:rsidRPr="00EE0D4F">
              <w:rPr>
                <w:rFonts w:asciiTheme="minorBidi" w:eastAsia="Calibri" w:hAnsiTheme="minorBidi" w:cstheme="minorBidi"/>
                <w:b/>
              </w:rPr>
              <w:t>PA OH</w:t>
            </w:r>
          </w:p>
          <w:p w14:paraId="38F494D1" w14:textId="7777777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 xml:space="preserve">“Because the AL even has a short time to take like 3 days, but the quinine is normally for about 7 days. Also, the AL will be protective for up to a month, but the quinine may be 2 weeks. I haven't heard anyone complain about AL except that it is not easy to take, some are 4,4.  So taking 4 at a go is not easy for some clients, sometimes too the scent” </w:t>
            </w:r>
            <w:r w:rsidRPr="00EE0D4F">
              <w:rPr>
                <w:rFonts w:asciiTheme="minorBidi" w:eastAsia="Calibri" w:hAnsiTheme="minorBidi" w:cstheme="minorBidi"/>
                <w:b/>
              </w:rPr>
              <w:t>MW OC.</w:t>
            </w:r>
          </w:p>
          <w:p w14:paraId="19FDE5F4" w14:textId="7777777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 xml:space="preserve">“Here! AL prescribed by doctors, prescribed by doctors here!... I have not come across it”. </w:t>
            </w:r>
            <w:r w:rsidRPr="00EE0D4F">
              <w:rPr>
                <w:rFonts w:asciiTheme="minorBidi" w:eastAsia="Calibri" w:hAnsiTheme="minorBidi" w:cstheme="minorBidi"/>
                <w:b/>
              </w:rPr>
              <w:t>OBS OX</w:t>
            </w:r>
          </w:p>
        </w:tc>
        <w:tc>
          <w:tcPr>
            <w:tcW w:w="1695" w:type="dxa"/>
          </w:tcPr>
          <w:p w14:paraId="3C6B74D1" w14:textId="77777777" w:rsidR="00FB6FC4" w:rsidRPr="00EE0D4F" w:rsidRDefault="00FB6FC4" w:rsidP="00EE0D4F">
            <w:pPr>
              <w:jc w:val="both"/>
              <w:rPr>
                <w:rFonts w:asciiTheme="minorBidi" w:eastAsia="Calibri" w:hAnsiTheme="minorBidi" w:cstheme="minorBidi"/>
              </w:rPr>
            </w:pPr>
          </w:p>
          <w:p w14:paraId="016D5217" w14:textId="77777777" w:rsidR="00FB6FC4" w:rsidRPr="00EE0D4F" w:rsidRDefault="00FB6FC4" w:rsidP="00EE0D4F">
            <w:pPr>
              <w:jc w:val="both"/>
              <w:rPr>
                <w:rFonts w:asciiTheme="minorBidi" w:eastAsia="Calibri" w:hAnsiTheme="minorBidi" w:cstheme="minorBidi"/>
              </w:rPr>
            </w:pPr>
          </w:p>
          <w:p w14:paraId="59F2FFDD" w14:textId="77777777" w:rsidR="00FB6FC4" w:rsidRPr="00EE0D4F" w:rsidRDefault="00FB6FC4" w:rsidP="00EE0D4F">
            <w:pPr>
              <w:jc w:val="both"/>
              <w:rPr>
                <w:rFonts w:asciiTheme="minorBidi" w:eastAsia="Calibri" w:hAnsiTheme="minorBidi" w:cstheme="minorBidi"/>
              </w:rPr>
            </w:pPr>
          </w:p>
          <w:p w14:paraId="5A4EB460"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Confirmation </w:t>
            </w:r>
          </w:p>
          <w:p w14:paraId="186AAC2E" w14:textId="77777777" w:rsidR="00FB6FC4" w:rsidRPr="00EE0D4F" w:rsidRDefault="00FB6FC4" w:rsidP="00EE0D4F">
            <w:pPr>
              <w:jc w:val="both"/>
              <w:rPr>
                <w:rFonts w:asciiTheme="minorBidi" w:eastAsia="Calibri" w:hAnsiTheme="minorBidi" w:cstheme="minorBidi"/>
              </w:rPr>
            </w:pPr>
          </w:p>
          <w:p w14:paraId="4F5C2A5D" w14:textId="77777777" w:rsidR="00FB6FC4" w:rsidRPr="00EE0D4F" w:rsidRDefault="00FB6FC4" w:rsidP="00EE0D4F">
            <w:pPr>
              <w:jc w:val="both"/>
              <w:rPr>
                <w:rFonts w:asciiTheme="minorBidi" w:eastAsia="Calibri" w:hAnsiTheme="minorBidi" w:cstheme="minorBidi"/>
              </w:rPr>
            </w:pPr>
          </w:p>
          <w:p w14:paraId="1DD220D5"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Explanation</w:t>
            </w:r>
          </w:p>
          <w:p w14:paraId="21424633"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Disagreement</w:t>
            </w:r>
          </w:p>
          <w:p w14:paraId="068BDC8F"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         </w:t>
            </w:r>
          </w:p>
          <w:p w14:paraId="3E991F1C" w14:textId="77777777" w:rsidR="00FB6FC4" w:rsidRPr="00EE0D4F" w:rsidRDefault="00FB6FC4" w:rsidP="00EE0D4F">
            <w:pPr>
              <w:jc w:val="both"/>
              <w:rPr>
                <w:rFonts w:asciiTheme="minorBidi" w:eastAsia="Calibri" w:hAnsiTheme="minorBidi" w:cstheme="minorBidi"/>
              </w:rPr>
            </w:pPr>
          </w:p>
          <w:p w14:paraId="134B41C0" w14:textId="77777777" w:rsidR="00FB6FC4" w:rsidRPr="00EE0D4F" w:rsidRDefault="00FB6FC4" w:rsidP="00EE0D4F">
            <w:pPr>
              <w:jc w:val="both"/>
              <w:rPr>
                <w:rFonts w:asciiTheme="minorBidi" w:eastAsia="Calibri" w:hAnsiTheme="minorBidi" w:cstheme="minorBidi"/>
              </w:rPr>
            </w:pPr>
          </w:p>
          <w:p w14:paraId="49262EA7"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Disagreement</w:t>
            </w:r>
          </w:p>
          <w:p w14:paraId="58D89695" w14:textId="77777777" w:rsidR="00FB6FC4" w:rsidRPr="00EE0D4F" w:rsidRDefault="00FB6FC4" w:rsidP="00EE0D4F">
            <w:pPr>
              <w:jc w:val="both"/>
              <w:rPr>
                <w:rFonts w:asciiTheme="minorBidi" w:eastAsia="Calibri" w:hAnsiTheme="minorBidi" w:cstheme="minorBidi"/>
              </w:rPr>
            </w:pPr>
          </w:p>
        </w:tc>
      </w:tr>
      <w:tr w:rsidR="00FB6FC4" w:rsidRPr="00EE0D4F" w14:paraId="7CE4DC3B" w14:textId="77777777" w:rsidTr="00D33971">
        <w:tc>
          <w:tcPr>
            <w:tcW w:w="7321" w:type="dxa"/>
          </w:tcPr>
          <w:p w14:paraId="42451CD6" w14:textId="77777777" w:rsidR="00FB6FC4" w:rsidRPr="00EE0D4F" w:rsidRDefault="00FB6FC4" w:rsidP="00EE0D4F">
            <w:pPr>
              <w:tabs>
                <w:tab w:val="left" w:pos="960"/>
              </w:tabs>
              <w:jc w:val="both"/>
              <w:rPr>
                <w:rFonts w:asciiTheme="minorBidi" w:eastAsia="Calibri" w:hAnsiTheme="minorBidi" w:cstheme="minorBidi"/>
              </w:rPr>
            </w:pPr>
            <w:r w:rsidRPr="00EE0D4F">
              <w:rPr>
                <w:rFonts w:asciiTheme="minorBidi" w:eastAsia="Calibri" w:hAnsiTheme="minorBidi" w:cstheme="minorBidi"/>
              </w:rPr>
              <w:t>Quantitative findings: About 47.9% of malaria cases in the first trimester were not treated with oral medications.</w:t>
            </w:r>
          </w:p>
          <w:p w14:paraId="70700C57" w14:textId="77777777" w:rsidR="00FB6FC4" w:rsidRPr="00EE0D4F" w:rsidRDefault="00FB6FC4" w:rsidP="00EE0D4F">
            <w:pPr>
              <w:tabs>
                <w:tab w:val="left" w:pos="960"/>
              </w:tabs>
              <w:ind w:left="720"/>
              <w:jc w:val="both"/>
              <w:rPr>
                <w:rFonts w:asciiTheme="minorBidi" w:eastAsia="Calibri" w:hAnsiTheme="minorBidi" w:cstheme="minorBidi"/>
                <w:b/>
              </w:rPr>
            </w:pPr>
            <w:r w:rsidRPr="00EE0D4F">
              <w:rPr>
                <w:rFonts w:asciiTheme="minorBidi" w:eastAsia="Calibri" w:hAnsiTheme="minorBidi" w:cstheme="minorBidi"/>
              </w:rPr>
              <w:t xml:space="preserve">So, Ehm! for here if you look at it, we usually used the ACT and the quinine even for this facility we do not treat in the first trimester”. </w:t>
            </w:r>
            <w:r w:rsidRPr="00EE0D4F">
              <w:rPr>
                <w:rFonts w:asciiTheme="minorBidi" w:eastAsia="Calibri" w:hAnsiTheme="minorBidi" w:cstheme="minorBidi"/>
                <w:b/>
              </w:rPr>
              <w:t>MO OJ</w:t>
            </w:r>
          </w:p>
          <w:p w14:paraId="15965434" w14:textId="77777777" w:rsidR="00FB6FC4" w:rsidRPr="00EE0D4F" w:rsidRDefault="00FB6FC4" w:rsidP="00EE0D4F">
            <w:pPr>
              <w:tabs>
                <w:tab w:val="left" w:pos="960"/>
              </w:tabs>
              <w:ind w:left="720"/>
              <w:jc w:val="both"/>
              <w:rPr>
                <w:rFonts w:asciiTheme="minorBidi" w:eastAsia="Calibri" w:hAnsiTheme="minorBidi" w:cstheme="minorBidi"/>
                <w:b/>
              </w:rPr>
            </w:pPr>
            <w:r w:rsidRPr="00EE0D4F">
              <w:rPr>
                <w:rFonts w:asciiTheme="minorBidi" w:eastAsia="Calibri" w:hAnsiTheme="minorBidi" w:cstheme="minorBidi"/>
              </w:rPr>
              <w:t xml:space="preserve">“But here not just that but if is less than 100 parasites, is a discretional something. It depends on how the patient will come in. If the patient is very stable, and not having any issues, you might not because the people who come to this facility are coming because of fertility issues for him he thinks that if the person has struggled </w:t>
            </w:r>
            <w:proofErr w:type="spellStart"/>
            <w:r w:rsidRPr="00EE0D4F">
              <w:rPr>
                <w:rFonts w:asciiTheme="minorBidi" w:eastAsia="Calibri" w:hAnsiTheme="minorBidi" w:cstheme="minorBidi"/>
              </w:rPr>
              <w:t>aaarh</w:t>
            </w:r>
            <w:proofErr w:type="spellEnd"/>
            <w:r w:rsidRPr="00EE0D4F">
              <w:rPr>
                <w:rFonts w:asciiTheme="minorBidi" w:eastAsia="Calibri" w:hAnsiTheme="minorBidi" w:cstheme="minorBidi"/>
              </w:rPr>
              <w:t xml:space="preserve"> then she finally conceives and we are now treating malaria which will make the person abort, that is his experience, then he will better not treat. But I also see it works. </w:t>
            </w:r>
            <w:r w:rsidRPr="00EE0D4F">
              <w:rPr>
                <w:rFonts w:asciiTheme="minorBidi" w:eastAsia="Calibri" w:hAnsiTheme="minorBidi" w:cstheme="minorBidi"/>
                <w:b/>
              </w:rPr>
              <w:t>MO OM</w:t>
            </w:r>
          </w:p>
          <w:p w14:paraId="43290643" w14:textId="7777777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 xml:space="preserve"> “Some clinicians if less than 100 parasites, they don’t treat. After I heard that from one of my bosses during my residency, I had a patient with 18 parasites, I offered to treat, and she said no. So, the question is whether such people are receiving SP. Because you know it is a tissue schizonticide and sometimes in actual sense the parasites are within the placental bed, then what is it like, because it deals with immunity, the mother’s immunity is okay. So most often they run away and enter the placenta and leave the mother’s circulation. But occasionally a few will come in, just that is not much for that woman who I said had 18 parasites. And they don’t see any adverse birth outcomes maybe after delivery, nothing”. </w:t>
            </w:r>
            <w:r w:rsidRPr="00EE0D4F">
              <w:rPr>
                <w:rFonts w:asciiTheme="minorBidi" w:eastAsia="Calibri" w:hAnsiTheme="minorBidi" w:cstheme="minorBidi"/>
                <w:b/>
              </w:rPr>
              <w:t>OBS OV</w:t>
            </w:r>
          </w:p>
          <w:p w14:paraId="17E21B19" w14:textId="77777777" w:rsidR="00FB6FC4" w:rsidRPr="00EE0D4F" w:rsidRDefault="00FB6FC4" w:rsidP="00EE0D4F">
            <w:pPr>
              <w:ind w:left="720"/>
              <w:jc w:val="both"/>
              <w:rPr>
                <w:rFonts w:asciiTheme="minorBidi" w:eastAsia="Calibri" w:hAnsiTheme="minorBidi" w:cstheme="minorBidi"/>
                <w:b/>
              </w:rPr>
            </w:pPr>
            <w:r w:rsidRPr="00EE0D4F">
              <w:rPr>
                <w:rFonts w:asciiTheme="minorBidi" w:eastAsia="Calibri" w:hAnsiTheme="minorBidi" w:cstheme="minorBidi"/>
              </w:rPr>
              <w:t xml:space="preserve">“Yes, I have heard that some people don’t treat, if they do and the parasites are not that many and the patient is asymptomatic, they just wait to see what happens before, but I treat”. </w:t>
            </w:r>
            <w:r w:rsidRPr="00EE0D4F">
              <w:rPr>
                <w:rFonts w:asciiTheme="minorBidi" w:eastAsia="Calibri" w:hAnsiTheme="minorBidi" w:cstheme="minorBidi"/>
                <w:b/>
              </w:rPr>
              <w:t>OBS OR</w:t>
            </w:r>
          </w:p>
          <w:p w14:paraId="583650FE" w14:textId="77777777" w:rsidR="00FB6FC4" w:rsidRPr="00EE0D4F" w:rsidRDefault="00FB6FC4" w:rsidP="00EE0D4F">
            <w:pPr>
              <w:ind w:left="720"/>
              <w:jc w:val="both"/>
              <w:rPr>
                <w:rFonts w:asciiTheme="minorBidi" w:eastAsia="Calibri" w:hAnsiTheme="minorBidi" w:cstheme="minorBidi"/>
              </w:rPr>
            </w:pPr>
            <w:r w:rsidRPr="00EE0D4F">
              <w:rPr>
                <w:rFonts w:asciiTheme="minorBidi" w:eastAsia="Calibri" w:hAnsiTheme="minorBidi" w:cstheme="minorBidi"/>
              </w:rPr>
              <w:lastRenderedPageBreak/>
              <w:t xml:space="preserve">“For treatment here, and for me, if a patient comes and is just even one parasite in the first trimester, I admit the patient and give IV artesunate’s”. </w:t>
            </w:r>
            <w:r w:rsidRPr="00EE0D4F">
              <w:rPr>
                <w:rFonts w:asciiTheme="minorBidi" w:eastAsia="Calibri" w:hAnsiTheme="minorBidi" w:cstheme="minorBidi"/>
                <w:b/>
              </w:rPr>
              <w:t>NP OF</w:t>
            </w:r>
          </w:p>
        </w:tc>
        <w:tc>
          <w:tcPr>
            <w:tcW w:w="1695" w:type="dxa"/>
          </w:tcPr>
          <w:p w14:paraId="36CE01FB" w14:textId="77777777" w:rsidR="00FB6FC4" w:rsidRPr="00EE0D4F" w:rsidRDefault="00FB6FC4" w:rsidP="00EE0D4F">
            <w:pPr>
              <w:jc w:val="both"/>
              <w:rPr>
                <w:rFonts w:asciiTheme="minorBidi" w:eastAsia="Calibri" w:hAnsiTheme="minorBidi" w:cstheme="minorBidi"/>
              </w:rPr>
            </w:pPr>
          </w:p>
          <w:p w14:paraId="182ECEA1" w14:textId="77777777" w:rsidR="00FB6FC4" w:rsidRPr="00EE0D4F" w:rsidRDefault="00FB6FC4" w:rsidP="00EE0D4F">
            <w:pPr>
              <w:jc w:val="both"/>
              <w:rPr>
                <w:rFonts w:asciiTheme="minorBidi" w:eastAsia="Calibri" w:hAnsiTheme="minorBidi" w:cstheme="minorBidi"/>
              </w:rPr>
            </w:pPr>
          </w:p>
          <w:p w14:paraId="56B9C529"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Confirmation </w:t>
            </w:r>
          </w:p>
          <w:p w14:paraId="2FCDAB75" w14:textId="77777777" w:rsidR="00FB6FC4" w:rsidRPr="00EE0D4F" w:rsidRDefault="00FB6FC4" w:rsidP="00EE0D4F">
            <w:pPr>
              <w:jc w:val="both"/>
              <w:rPr>
                <w:rFonts w:asciiTheme="minorBidi" w:eastAsia="Calibri" w:hAnsiTheme="minorBidi" w:cstheme="minorBidi"/>
              </w:rPr>
            </w:pPr>
          </w:p>
          <w:p w14:paraId="0037811F" w14:textId="77777777" w:rsidR="00FB6FC4" w:rsidRPr="00EE0D4F" w:rsidRDefault="00FB6FC4" w:rsidP="00EE0D4F">
            <w:pPr>
              <w:jc w:val="both"/>
              <w:rPr>
                <w:rFonts w:asciiTheme="minorBidi" w:eastAsia="Calibri" w:hAnsiTheme="minorBidi" w:cstheme="minorBidi"/>
              </w:rPr>
            </w:pPr>
          </w:p>
          <w:p w14:paraId="6C613F07" w14:textId="77777777" w:rsidR="00FB6FC4" w:rsidRPr="00EE0D4F" w:rsidRDefault="00FB6FC4" w:rsidP="00EE0D4F">
            <w:pPr>
              <w:jc w:val="both"/>
              <w:rPr>
                <w:rFonts w:asciiTheme="minorBidi" w:eastAsia="Calibri" w:hAnsiTheme="minorBidi" w:cstheme="minorBidi"/>
              </w:rPr>
            </w:pPr>
          </w:p>
          <w:p w14:paraId="69BBD54B"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Confirmation and explanation</w:t>
            </w:r>
          </w:p>
          <w:p w14:paraId="65F2A018" w14:textId="77777777" w:rsidR="00FB6FC4" w:rsidRPr="00EE0D4F" w:rsidRDefault="00FB6FC4" w:rsidP="00EE0D4F">
            <w:pPr>
              <w:jc w:val="both"/>
              <w:rPr>
                <w:rFonts w:asciiTheme="minorBidi" w:eastAsia="Calibri" w:hAnsiTheme="minorBidi" w:cstheme="minorBidi"/>
              </w:rPr>
            </w:pPr>
          </w:p>
          <w:p w14:paraId="27F4B09B" w14:textId="77777777" w:rsidR="00FB6FC4" w:rsidRPr="00EE0D4F" w:rsidRDefault="00FB6FC4" w:rsidP="00EE0D4F">
            <w:pPr>
              <w:jc w:val="both"/>
              <w:rPr>
                <w:rFonts w:asciiTheme="minorBidi" w:eastAsia="Calibri" w:hAnsiTheme="minorBidi" w:cstheme="minorBidi"/>
              </w:rPr>
            </w:pPr>
          </w:p>
          <w:p w14:paraId="7127F5C2" w14:textId="77777777" w:rsidR="00FB6FC4" w:rsidRPr="00EE0D4F" w:rsidRDefault="00FB6FC4" w:rsidP="00EE0D4F">
            <w:pPr>
              <w:jc w:val="both"/>
              <w:rPr>
                <w:rFonts w:asciiTheme="minorBidi" w:eastAsia="Calibri" w:hAnsiTheme="minorBidi" w:cstheme="minorBidi"/>
              </w:rPr>
            </w:pPr>
          </w:p>
          <w:p w14:paraId="250C104F" w14:textId="77777777" w:rsidR="00FB6FC4" w:rsidRPr="00EE0D4F" w:rsidRDefault="00FB6FC4" w:rsidP="00EE0D4F">
            <w:pPr>
              <w:jc w:val="both"/>
              <w:rPr>
                <w:rFonts w:asciiTheme="minorBidi" w:eastAsia="Calibri" w:hAnsiTheme="minorBidi" w:cstheme="minorBidi"/>
              </w:rPr>
            </w:pPr>
          </w:p>
          <w:p w14:paraId="5ADA71DA" w14:textId="77777777" w:rsidR="00FB6FC4" w:rsidRPr="00EE0D4F" w:rsidRDefault="00FB6FC4" w:rsidP="00EE0D4F">
            <w:pPr>
              <w:jc w:val="both"/>
              <w:rPr>
                <w:rFonts w:asciiTheme="minorBidi" w:eastAsia="Calibri" w:hAnsiTheme="minorBidi" w:cstheme="minorBidi"/>
              </w:rPr>
            </w:pPr>
          </w:p>
          <w:p w14:paraId="094E9928"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Explanation</w:t>
            </w:r>
          </w:p>
          <w:p w14:paraId="275648A8" w14:textId="77777777" w:rsidR="00FB6FC4" w:rsidRPr="00EE0D4F" w:rsidRDefault="00FB6FC4" w:rsidP="00EE0D4F">
            <w:pPr>
              <w:jc w:val="both"/>
              <w:rPr>
                <w:rFonts w:asciiTheme="minorBidi" w:eastAsia="Calibri" w:hAnsiTheme="minorBidi" w:cstheme="minorBidi"/>
              </w:rPr>
            </w:pPr>
          </w:p>
          <w:p w14:paraId="342E268E" w14:textId="77777777" w:rsidR="00FB6FC4" w:rsidRPr="00EE0D4F" w:rsidRDefault="00FB6FC4" w:rsidP="00EE0D4F">
            <w:pPr>
              <w:jc w:val="both"/>
              <w:rPr>
                <w:rFonts w:asciiTheme="minorBidi" w:eastAsia="Calibri" w:hAnsiTheme="minorBidi" w:cstheme="minorBidi"/>
              </w:rPr>
            </w:pPr>
          </w:p>
          <w:p w14:paraId="6989E109" w14:textId="77777777" w:rsidR="00FB6FC4" w:rsidRPr="00EE0D4F" w:rsidRDefault="00FB6FC4" w:rsidP="00EE0D4F">
            <w:pPr>
              <w:jc w:val="both"/>
              <w:rPr>
                <w:rFonts w:asciiTheme="minorBidi" w:eastAsia="Calibri" w:hAnsiTheme="minorBidi" w:cstheme="minorBidi"/>
              </w:rPr>
            </w:pPr>
          </w:p>
          <w:p w14:paraId="698B1319" w14:textId="77777777" w:rsidR="00FB6FC4" w:rsidRPr="00EE0D4F" w:rsidRDefault="00FB6FC4" w:rsidP="00EE0D4F">
            <w:pPr>
              <w:jc w:val="both"/>
              <w:rPr>
                <w:rFonts w:asciiTheme="minorBidi" w:eastAsia="Calibri" w:hAnsiTheme="minorBidi" w:cstheme="minorBidi"/>
              </w:rPr>
            </w:pPr>
          </w:p>
          <w:p w14:paraId="17689774" w14:textId="77777777" w:rsidR="00FB6FC4" w:rsidRPr="00EE0D4F" w:rsidRDefault="00FB6FC4" w:rsidP="00EE0D4F">
            <w:pPr>
              <w:jc w:val="both"/>
              <w:rPr>
                <w:rFonts w:asciiTheme="minorBidi" w:eastAsia="Calibri" w:hAnsiTheme="minorBidi" w:cstheme="minorBidi"/>
              </w:rPr>
            </w:pPr>
          </w:p>
          <w:p w14:paraId="2286E9CD"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Disagreement</w:t>
            </w:r>
          </w:p>
          <w:p w14:paraId="2CC41AD7" w14:textId="77777777" w:rsidR="00FB6FC4" w:rsidRPr="00EE0D4F" w:rsidRDefault="00FB6FC4" w:rsidP="00EE0D4F">
            <w:pPr>
              <w:jc w:val="both"/>
              <w:rPr>
                <w:rFonts w:asciiTheme="minorBidi" w:eastAsia="Calibri" w:hAnsiTheme="minorBidi" w:cstheme="minorBidi"/>
              </w:rPr>
            </w:pPr>
          </w:p>
          <w:p w14:paraId="7A467AE0" w14:textId="77777777" w:rsidR="00FB6FC4" w:rsidRPr="00EE0D4F" w:rsidRDefault="00FB6FC4" w:rsidP="00EE0D4F">
            <w:pPr>
              <w:jc w:val="both"/>
              <w:rPr>
                <w:rFonts w:asciiTheme="minorBidi" w:eastAsia="Calibri" w:hAnsiTheme="minorBidi" w:cstheme="minorBidi"/>
              </w:rPr>
            </w:pPr>
          </w:p>
        </w:tc>
      </w:tr>
    </w:tbl>
    <w:p w14:paraId="72E1C32F" w14:textId="77777777" w:rsidR="00FB6FC4" w:rsidRPr="00EE0D4F" w:rsidRDefault="00FB6FC4" w:rsidP="00EE0D4F">
      <w:pPr>
        <w:jc w:val="both"/>
        <w:rPr>
          <w:rFonts w:asciiTheme="minorBidi" w:hAnsiTheme="minorBidi" w:cstheme="minorBidi"/>
          <w:b/>
          <w:bCs/>
        </w:rPr>
      </w:pPr>
    </w:p>
    <w:p w14:paraId="206E05BE" w14:textId="59AE552A" w:rsidR="00FB6FC4" w:rsidRPr="00EE0D4F" w:rsidRDefault="00FB6FC4" w:rsidP="00EE0D4F">
      <w:pPr>
        <w:pStyle w:val="Body"/>
        <w:spacing w:after="0"/>
        <w:rPr>
          <w:rFonts w:asciiTheme="minorBidi" w:hAnsiTheme="minorBidi" w:cstheme="minorBidi"/>
          <w:b/>
          <w:bCs/>
        </w:rPr>
      </w:pPr>
      <w:r w:rsidRPr="00EE0D4F">
        <w:rPr>
          <w:rFonts w:asciiTheme="minorBidi" w:hAnsiTheme="minorBidi" w:cstheme="minorBidi"/>
        </w:rPr>
        <w:t xml:space="preserve">4. </w:t>
      </w:r>
      <w:r w:rsidRPr="00EE0D4F">
        <w:rPr>
          <w:rFonts w:asciiTheme="minorBidi" w:hAnsiTheme="minorBidi" w:cstheme="minorBidi"/>
          <w:b/>
          <w:bCs/>
        </w:rPr>
        <w:t>DISCUSSION</w:t>
      </w:r>
    </w:p>
    <w:p w14:paraId="2F60F5D0" w14:textId="77777777" w:rsidR="00FB6FC4" w:rsidRPr="00EE0D4F" w:rsidRDefault="00FB6FC4" w:rsidP="00EE0D4F">
      <w:pPr>
        <w:pStyle w:val="Body"/>
        <w:spacing w:after="0"/>
        <w:rPr>
          <w:rFonts w:asciiTheme="minorBidi" w:hAnsiTheme="minorBidi" w:cstheme="minorBidi"/>
          <w:b/>
          <w:bCs/>
        </w:rPr>
      </w:pPr>
    </w:p>
    <w:p w14:paraId="13BB47E7" w14:textId="56BDC53F" w:rsidR="00FB6FC4" w:rsidRPr="00EE0D4F" w:rsidRDefault="00FB6FC4" w:rsidP="00EE0D4F">
      <w:pPr>
        <w:jc w:val="both"/>
        <w:rPr>
          <w:rFonts w:asciiTheme="minorBidi" w:eastAsia="Calibri" w:hAnsiTheme="minorBidi" w:cstheme="minorBidi"/>
          <w:lang w:val="en-GB"/>
        </w:rPr>
      </w:pPr>
      <w:r w:rsidRPr="00EE0D4F">
        <w:rPr>
          <w:rFonts w:asciiTheme="minorBidi" w:eastAsia="Calibri" w:hAnsiTheme="minorBidi" w:cstheme="minorBidi"/>
          <w:lang w:val="en-GB"/>
        </w:rPr>
        <w:t>This study aimed to assess clinicians' compliance with malaria treatment guidelines during pregnancy, exploring factors influencing compliance and challenges encountered</w:t>
      </w:r>
      <w:r w:rsidRPr="00EE0D4F">
        <w:rPr>
          <w:rFonts w:asciiTheme="minorBidi" w:eastAsia="Calibri" w:hAnsiTheme="minorBidi" w:cstheme="minorBidi"/>
        </w:rPr>
        <w:t xml:space="preserve">. The study showed that the majority (55.2%) were between the ages of 26-35 years. Malaria prevalence was high (45.3%) and the majority were multigravida (62.1%). </w:t>
      </w:r>
      <w:r w:rsidRPr="00EE0D4F">
        <w:rPr>
          <w:rFonts w:asciiTheme="minorBidi" w:eastAsia="Calibri" w:hAnsiTheme="minorBidi" w:cstheme="minorBidi"/>
          <w:lang w:val="en-GB"/>
        </w:rPr>
        <w:t xml:space="preserve">This finding align with previous studies which found that majority of the respondents were in the second trimester of pregnancy </w:t>
      </w:r>
      <w:r w:rsidRPr="00EE0D4F">
        <w:rPr>
          <w:rFonts w:asciiTheme="minorBidi" w:eastAsia="Calibri" w:hAnsiTheme="minorBidi" w:cstheme="minorBidi"/>
          <w:lang w:val="en-GB"/>
        </w:rPr>
        <w:fldChar w:fldCharType="begin" w:fldLock="1"/>
      </w:r>
      <w:r w:rsidR="00C57A48" w:rsidRPr="00EE0D4F">
        <w:rPr>
          <w:rFonts w:asciiTheme="minorBidi" w:eastAsia="Calibri" w:hAnsiTheme="minorBidi" w:cstheme="minorBidi"/>
          <w:lang w:val="en-GB"/>
        </w:rPr>
        <w:instrText>ADDIN CSL_CITATION {"citationItems":[{"id":"ITEM-1","itemData":{"DOI":"10.2147/IDR.S431877","author":[{"dropping-particle":"","family":"Gemechu","given":"Tibeso","non-dropping-particle":"","parse-names":false,"suffix":""},{"dropping-particle":"","family":"Dedecha","given":"Wako","non-dropping-particle":"","parse-names":false,"suffix":""},{"dropping-particle":"","family":"Gelchu","given":"Miesa","non-dropping-particle":"","parse-names":false,"suffix":""},{"dropping-particle":"","family":"Husen","given":"Oliyad","non-dropping-particle":"","parse-names":false,"suffix":""},{"dropping-particle":"","family":"Gemechu","given":"Tibeso","non-dropping-particle":"","parse-names":false,"suffix":""}],"id":"ITEM-1","issued":{"date-parts":[["2023"]]},"title":"Asymptomatic Malaria During Pregnancy : Prevalence , Influence on Anemia and Associated Factors in West Guji Zone , Ethiopia – A Asymptomatic Malaria During Pregnancy : Prevalence , Influence on Anemia and Associated Factors in West Guji Zone , Ethiopia –","type":"article-journal"},"uris":["http://www.mendeley.com/documents/?uuid=ed1f05cf-8058-4815-bd8c-6bf5c6171f7c"]}],"mendeley":{"formattedCitation":"(Gemechu et al., 2023)","plainTextFormattedCitation":"(Gemechu et al., 2023)","previouslyFormattedCitation":"[25]"},"properties":{"noteIndex":0},"schema":"https://github.com/citation-style-language/schema/raw/master/csl-citation.json"}</w:instrText>
      </w:r>
      <w:r w:rsidRPr="00EE0D4F">
        <w:rPr>
          <w:rFonts w:asciiTheme="minorBidi" w:eastAsia="Calibri" w:hAnsiTheme="minorBidi" w:cstheme="minorBidi"/>
          <w:lang w:val="en-GB"/>
        </w:rPr>
        <w:fldChar w:fldCharType="separate"/>
      </w:r>
      <w:r w:rsidR="00C57A48" w:rsidRPr="00EE0D4F">
        <w:rPr>
          <w:rFonts w:asciiTheme="minorBidi" w:eastAsia="Calibri" w:hAnsiTheme="minorBidi" w:cstheme="minorBidi"/>
          <w:noProof/>
          <w:lang w:val="en-GB"/>
        </w:rPr>
        <w:t>(Gemechu et al., 2023)</w:t>
      </w:r>
      <w:r w:rsidRPr="00EE0D4F">
        <w:rPr>
          <w:rFonts w:asciiTheme="minorBidi" w:eastAsia="Calibri" w:hAnsiTheme="minorBidi" w:cstheme="minorBidi"/>
          <w:lang w:val="en-GB"/>
        </w:rPr>
        <w:fldChar w:fldCharType="end"/>
      </w:r>
      <w:r w:rsidRPr="00EE0D4F">
        <w:rPr>
          <w:rFonts w:asciiTheme="minorBidi" w:eastAsia="Calibri" w:hAnsiTheme="minorBidi" w:cstheme="minorBidi"/>
          <w:lang w:val="en-GB"/>
        </w:rPr>
        <w:t xml:space="preserve"> but contradicts its finding that majority of the them were primigravids. This is an unexpected finding since pregnant women in the second trimester are given </w:t>
      </w:r>
      <w:proofErr w:type="spellStart"/>
      <w:r w:rsidRPr="00EE0D4F">
        <w:rPr>
          <w:rFonts w:asciiTheme="minorBidi" w:eastAsia="Calibri" w:hAnsiTheme="minorBidi" w:cstheme="minorBidi"/>
          <w:lang w:val="en-GB"/>
        </w:rPr>
        <w:t>sulfadoxine</w:t>
      </w:r>
      <w:proofErr w:type="spellEnd"/>
      <w:r w:rsidRPr="00EE0D4F">
        <w:rPr>
          <w:rFonts w:asciiTheme="minorBidi" w:eastAsia="Calibri" w:hAnsiTheme="minorBidi" w:cstheme="minorBidi"/>
          <w:lang w:val="en-GB"/>
        </w:rPr>
        <w:t xml:space="preserve"> Pyrimethamine to protect them against malaria </w:t>
      </w:r>
      <w:r w:rsidRPr="00EE0D4F">
        <w:rPr>
          <w:rFonts w:asciiTheme="minorBidi" w:eastAsia="Calibri" w:hAnsiTheme="minorBidi" w:cstheme="minorBidi"/>
          <w:lang w:val="en-GB"/>
        </w:rPr>
        <w:fldChar w:fldCharType="begin" w:fldLock="1"/>
      </w:r>
      <w:r w:rsidR="00C57A48" w:rsidRPr="00EE0D4F">
        <w:rPr>
          <w:rFonts w:asciiTheme="minorBidi" w:eastAsia="Calibri" w:hAnsiTheme="minorBidi" w:cstheme="minorBidi"/>
          <w:lang w:val="en-GB"/>
        </w:rPr>
        <w:instrText>ADDIN CSL_CITATION {"citationItems":[{"id":"ITEM-1","itemData":{"DOI":"10.11604/pamj.2019.33.101.14800","ISSN":"19378688","PMID":"31489079","abstract":"Introduction: despite the effectiveness of intermittent preventive treatment in pregnancy using sulphadoxine-pyrimethamine (IPTp-SP), the uptake and coverage in southwest Nigeria are low. We assessed the factors influencing utilisation of IPTp-SP. Methods: a multistage sampling technique was used to select 400 pregnant women from six primary healthcare centers in Oyo State. Data on socio-demographic characteristics, knowledge, attitude towards IPTp-SP and its utilisation were obtained using a semi-structured questionnaire. Data were analyzed using SPSS software. Focus group discussions (FGD) and key informant interviews (KII) were held for pregnant women and healthcare workers and analysed thematically. Results: mean age of respondents was 27.2 (SD ± 5.5) years. Mean gestational age was 29.5 weeks (SD ± 5.4). Overall, 320 (80.0%) took SP, of which 152 (47.5%) took 2 doses and 112 (35.0%) took under directly observed therapy (DOT). We found that early booking for ANC, more than two visits to ANC (adjusted odds ratio (aOR) = 5.6; 95% CI: 1.2-26.6), good knowledge on IPTp (aOR = 9.3; 95% CI: 5.4-16.0), positive attitude towards IPTp (aOR = 2.1; 95% CI: 1.5-2.9) and being employed (aOR = 1.4; 95% CI: 1.1-1.7) were factors associated with IPTp-SP utilisation. The FGD and KII revealed that IPTp-SP drugs were mostly taken at home due to stock out. Conclusion: late ANC booking with stock out of IPTp-SP drugs was responsible for its low utilisation. There is need to encourage pregnant women to book early for ANC. Adherence to the practice of DOT scheme is recommended to improve IPTp-SP utilisation.","author":[{"dropping-particle":"","family":"Adewole","given":"Adefisoye Oluwaseun","non-dropping-particle":"","parse-names":false,"suffix":""},{"dropping-particle":"","family":"Fawole","given":"Olufunmilayo","non-dropping-particle":"","parse-names":false,"suffix":""},{"dropping-particle":"","family":"Ajayi","given":"Ikeoluwapo","non-dropping-particle":"","parse-names":false,"suffix":""},{"dropping-particle":"","family":"Yusuf","given":"Bidemi","non-dropping-particle":"","parse-names":false,"suffix":""},{"dropping-particle":"","family":"Oladimeji","given":"Abisola","non-dropping-particle":"","parse-names":false,"suffix":""},{"dropping-particle":"","family":"Waziri","given":"Endie","non-dropping-particle":"","parse-names":false,"suffix":""},{"dropping-particle":"","family":"Nguku","given":"Patrick","non-dropping-particle":"","parse-names":false,"suffix":""},{"dropping-particle":"","family":"Ajumobi","given":"Olufemi","non-dropping-particle":"","parse-names":false,"suffix":""}],"container-title":"Pan African Medical Journal","id":"ITEM-1","issued":{"date-parts":[["2019"]]},"page":"1-11","title":"Determinants of intermittent preventive treatment of malaria among women attending antenatal clinics in primary health care centers in ogbomoso, oyo state, nigeria","type":"article-journal","volume":"33"},"uris":["http://www.mendeley.com/documents/?uuid=acee17e7-0af8-4694-bcdf-c53f25379739"]}],"mendeley":{"formattedCitation":"(Adewole et al., 2019)","plainTextFormattedCitation":"(Adewole et al., 2019)","previouslyFormattedCitation":"[26]"},"properties":{"noteIndex":0},"schema":"https://github.com/citation-style-language/schema/raw/master/csl-citation.json"}</w:instrText>
      </w:r>
      <w:r w:rsidRPr="00EE0D4F">
        <w:rPr>
          <w:rFonts w:asciiTheme="minorBidi" w:eastAsia="Calibri" w:hAnsiTheme="minorBidi" w:cstheme="minorBidi"/>
          <w:lang w:val="en-GB"/>
        </w:rPr>
        <w:fldChar w:fldCharType="separate"/>
      </w:r>
      <w:r w:rsidR="00C57A48" w:rsidRPr="00EE0D4F">
        <w:rPr>
          <w:rFonts w:asciiTheme="minorBidi" w:eastAsia="Calibri" w:hAnsiTheme="minorBidi" w:cstheme="minorBidi"/>
          <w:noProof/>
          <w:lang w:val="en-GB"/>
        </w:rPr>
        <w:t>(Adewole et al., 2019)</w:t>
      </w:r>
      <w:r w:rsidRPr="00EE0D4F">
        <w:rPr>
          <w:rFonts w:asciiTheme="minorBidi" w:eastAsia="Calibri" w:hAnsiTheme="minorBidi" w:cstheme="minorBidi"/>
        </w:rPr>
        <w:fldChar w:fldCharType="end"/>
      </w:r>
      <w:r w:rsidRPr="00EE0D4F">
        <w:rPr>
          <w:rFonts w:asciiTheme="minorBidi" w:eastAsia="Calibri" w:hAnsiTheme="minorBidi" w:cstheme="minorBidi"/>
          <w:lang w:val="en-GB"/>
        </w:rPr>
        <w:t>.</w:t>
      </w:r>
      <w:r w:rsidRPr="00EE0D4F">
        <w:rPr>
          <w:rFonts w:asciiTheme="minorBidi" w:eastAsia="Calibri" w:hAnsiTheme="minorBidi" w:cstheme="minorBidi"/>
        </w:rPr>
        <w:t xml:space="preserve"> Most (73.9%) of the malaria cases were diagnosed using thick and thin blood film for microscopy with the majority being uncomplicated malaria (88.7%). </w:t>
      </w:r>
    </w:p>
    <w:p w14:paraId="12C23067" w14:textId="7096E595" w:rsidR="00FB6FC4" w:rsidRPr="00EE0D4F" w:rsidRDefault="00FB6FC4" w:rsidP="00EE0D4F">
      <w:pPr>
        <w:jc w:val="both"/>
        <w:rPr>
          <w:rFonts w:asciiTheme="minorBidi" w:hAnsiTheme="minorBidi" w:cstheme="minorBidi"/>
        </w:rPr>
      </w:pPr>
      <w:r w:rsidRPr="00EE0D4F">
        <w:rPr>
          <w:rFonts w:asciiTheme="minorBidi" w:eastAsia="Calibri" w:hAnsiTheme="minorBidi" w:cstheme="minorBidi"/>
        </w:rPr>
        <w:t>The study revealed that clinicians’ compliance with the protocol was very low in the first trimester (2.8%) and high (83.7%) in the second trimester. Compliance was 100% in the third trimester. Malaria laboratory tests, signs and symptoms, and gestation age of the pregnancy were found to be associated with treatment compliance.</w:t>
      </w:r>
      <w:r w:rsidRPr="00EE0D4F">
        <w:rPr>
          <w:rFonts w:asciiTheme="minorBidi" w:hAnsiTheme="minorBidi" w:cstheme="minorBidi"/>
        </w:rPr>
        <w:t xml:space="preserve"> Clinicians were about two times more unlikely to comply in the first trimester compared to the third trimester. </w:t>
      </w:r>
      <w:r w:rsidRPr="00EE0D4F">
        <w:rPr>
          <w:rFonts w:asciiTheme="minorBidi" w:eastAsia="Calibri" w:hAnsiTheme="minorBidi" w:cstheme="minorBidi"/>
        </w:rPr>
        <w:t xml:space="preserve">This result shows that gestational age was the most important factor when considering prescribing an antimalarial for pregnant women. Prescribing in the first trimester was the most challenging period and clinicians were very careful in selecting antimalarial for pregnant women. Clinicians attributed their noncompliance to the adverse effects of quinine which are heightened in pregnancy. Respondents explained that the decision to treat was based on the signs and symptoms exhibited and the parasite load. Pregnant women with low parasite load and without any signs and symptoms were monitored by some clinicians before deciding to treat or not. This finding is consistent with previous studies which revealed clinicians do not prescribe quinine for pregnant women in the first trimester due to fear of adverse effects such as miscarriage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{"citationItems":[{"id":"ITEM-1","itemData":{"author":[{"dropping-particle":"","family":"Access","given":"Promoting","non-dropping-particle":"","parse-names":false,"suffix":""},{"dropping-particle":"","family":"African","given":"T O","non-dropping-particle":"","parse-names":false,"suffix":""}],"id":"ITEM-1","issued":{"date-parts":[["2011"]]},"page":"4-7","title":"How Many Physicians Prescribe Quinine For The Treatment Of Malaria In The First Trimester Of Pregnancy ?","type":"article-journal"},"uris":["http://www.mendeley.com/documents/?uuid=c71806cf-41ad-47da-aa67-3d6380ab4cac","http://www.mendeley.com/documents/?uuid=dd2e88a4-1ccb-483d-b14d-56815861dcff"]},{"id":"ITEM-2","itemData":{"DOI":"10.11604/pamj.cp.2017.3.36.150","author":[{"dropping-particle":"","family":"Nkrumah","given":"Isaac","non-dropping-particle":"","parse-names":false,"suffix":""},{"dropping-particle":"","family":"Sarpong","given":"Ivy Asantewa","non-dropping-particle":"","parse-names":false,"suffix":""}],"container-title":"Pan African Medical Journal Conference Proceedings","id":"ITEM-2","issued":{"date-parts":[["2018"]]},"title":"Prescribers</w:instrText>
      </w:r>
      <w:r w:rsidR="00C57A48" w:rsidRPr="00EE0D4F">
        <w:rPr>
          <w:rFonts w:ascii="Arial" w:eastAsia="Calibri" w:hAnsi="Arial" w:cs="Arial"/>
        </w:rPr>
        <w:instrText>�</w:instrText>
      </w:r>
      <w:r w:rsidR="00C57A48" w:rsidRPr="00EE0D4F">
        <w:rPr>
          <w:rFonts w:asciiTheme="minorBidi" w:eastAsia="Calibri" w:hAnsiTheme="minorBidi" w:cstheme="minorBidi"/>
        </w:rPr>
        <w:instrText xml:space="preserve"> compliance with quinine use for treating uncomplicated malaria in the first trimester of pregnancy in polyclinics in Accra","type":"article-journal","volume":"1"},"uris":["http://www.mendeley.com/documents/?uuid=8312dd1d-d736-4571-8135-16ce245f08b8"]},{"id":"ITEM-3","itemData":{"DOI":"10.24248/eahrj.v5i2.670","ISSN":"25205277","abstract":"Background: Malaria is a significant cause of morbidity and mortality throughout the world and particularly sub-Saharan Africa. The World Health Organization and many national bodies, including Burundi, recommend artemisinin-based therapy as first-line treatment for uncomplicated and severe malaria. Implementing this recommendation requires healthcare professionals’ acceptance of this treatment as the optimal choice. Methods: A survey was conducted among Burundian healthcare professionals from June to September 2017 to assess prescribing preferences regarding artemisinins versus quinine for treating malaria. Healthcare professionals were surveyed from 32 health facilities in 10 provinces. Respondents included both physicians and nurses who provided responses about their antimalarial treatment preferences for a variety of clinical scenarios. Comparisons among healthcare professionals, their level of training, work setting, and length of work experience were examined using a series of stratified analyses, where the Pearson Chi-square statistic and odds ratios with 95% confidence intervals were calculated. Results: Respondents included 101 doctors and 196 nurses. Seventy-nine percent of respondents worked in hospitals, while 58% had more than 5 years of work experience. Although 94% of respondents correctly identified artemisinin-based treatment as first-line therapy according to the national protocol, 24-40% of respondents preferred the use of quinine in various hypothetical clinical scenarios. Overall, nurses were at greater odds of preferring quinine versus artemisinins compared with physicians. Availability of artemisinins was associated positively with artemisinin preference. These results did not vary by duration of work experience. Conclusions: Though knowledge of artemisinin-based therapy was recognised by the majority of respondents as the recommended antimalarial treatment, a high proportion of Burundian healthcare professionals, especially nurses, prefer using oral and IV quinine in a number of clinical scenarios. These findings identify a significant barrier to the satisfactory implementation of a life-saving treatment in accordance with national and international recommendations.","author":[{"dropping-particle":"","family":"Niyonkuru","given":"Aîné-Ernest","non-dropping-particle":"","parse-names":false,"suffix":""},{"dropping-particle":"","family":"McLaughlina","given":"Eric","non-dropping-particle":"","parse-names":false,"suffix":""},{"dropping-particle":"","family":"Heath","given":"Gregory","non-dropping-particle":"","parse-names":false,"suffix":""},{"dropping-particle":"","family":"Inamuco","given":"Sonia","non-dropping-particle":"","parse-names":false,"suffix":""},{"dropping-particle":"","family":"Topazian","given":"Hillary","non-dropping-particle":"","parse-names":false,"suffix":""},{"dropping-particle":"","family":"Davis","given":"Mike","non-dropping-particle":"","parse-names":false,"suffix":""}],"container-title":"East African Health Research Journal","id":"ITEM-3","issue":"2","issued":{"date-parts":[["2021"]]},"page":"174-181","title":"Healthcare Professional Preferences for Prescribing Artemisinins and Quinine for Malaria in Burundi","type":"article-journal","volume":"5"},"uris":["http://www.mendeley.com/documents/?uuid=4cb746d0-236a-49db-a8a7-7240c82bb03e"]}],"mendeley":{"formattedCitation":"(Access &amp; African, 2011; Niyonkuru et al., 2021; Nkrumah &amp; Sarpong, 2018)","plainTextFormattedCitation":"(Access &amp; African, 2011; Niyonkuru et al., 2021; Nkrumah &amp; Sarpong, 2018)","previouslyFormattedCitation":"[18], [20], [27]"},"properties":{"noteIndex":0},"schema":"https://github.com/citation-style-language/schema/raw/master/csl-citation.json"}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(Access &amp; African, 2011; Niyonkuru et al., 2021; Nkrumah &amp; Sarpong, 2018)</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The results also aligned with previous study which found that the overall health condition of the patient, laboratory test results, and socio-economic status were associated with clinicians’ compliance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{"citationItems":[{"id":"ITEM-1","itemData":{"DOI":"10.1186/s41182-018-0096-7","ISSN":"13494147","PMID":"29713235","abstract":"Background: Despite the World Health Organization and the National Malaria Program of Madagascar recommending that antimalarial drugs only be prescribed for patients with positive results on malaria rapid diagnostic tests, healthcare workers continue to prescribe these drugs for cases with negative test results. We explored why and how primary healthcare workers in Madagascar continue to prescribe antimalarial drugs despite this guidance. Methods: We purposively selected 14 medical doctors and 2 nurses from 11 primary health facilities (6 public, 5 private) in Toliara, Madagascar, and interviewed them regarding their antimalarial prescribing behaviors. Semi-structured interviews were conducted, focusing on why and how antimalarials were prescribed for clients with negative rapid diagnostic test results. Interviews were audio-recorded and transcribed verbatim, and the responses were manually coded until consistent themes emerged. Results: The narrative of healthcare workers regarding their continued prescribing of antimalarials despite negative test results revealed the following: (1) they prescribe antimalarials without positive test results due to their faith to give top priority to clients including the ethical value of beneficence, hope to maintain clinician's independence, and belief in drug effectiveness; (2) they use antimalarials despite negative test results due to the availability of alternative ways to procure antimalarials; and (3) they carefully select cases to prescribe and determine specific antimalarials despite negative test results by considering the client's physical condition, preference, and economic status. Our results indicate that healthcare workers prioritized clinician autonomy to give the best care they believed for each client they received, which led to conflict with policy administrators that urged clinicians to follow the national policy and guidelines. Moreover, healthcare workers had access to multiple sources of antimalarial drugs, and there was a lack of consistency in the program provisions that allowed alternative routes for prescribing outside of official policy. Conclusions: We have shown how a national malarial treatment policy was translated into practice in Madagascar and have highlighted the barriers that may prevent policy success. We must attend to each of these barriers if we are to promote optimal use of antimalarial drugs.","author":[{"dropping-particle":"","family":"Rakotonandrasana","given":"David Harimbola","non-dropping-particle":"","parse-names":false,"suffix":""},{"dropping-particle":"","family":"Tsukahara","given":"Takahiro","non-dropping-particle":"","parse-names":false,"suffix":""},{"dropping-particle":"","family":"Yamamoto-Mitani","given":"Noriko","non-dropping-particle":"","parse-names":false,"suffix":""}],"container-title":"Tropical Medicine and Health","id":"ITEM-1","issue":"1","issued":{"date-parts":[["2018"]]},"page":"1-9","publisher":"Tropical Medicine and Health","title":"Antimalarial drug prescribing by healthcare workers when malaria testing is negative: A qualitative study in Madagascar","type":"article-journal","volume":"46"},"uris":["http://www.mendeley.com/documents/?uuid=208fc11a-6d7c-4dea-b87c-bc9978cc35ee"]}],"mendeley":{"formattedCitation":"(Rakotonandrasana et al., 2018)","plainTextFormattedCitation":"(Rakotonandrasana et al., 2018)","previouslyFormattedCitation":"[28]"},"properties":{"noteIndex":0},"schema":"https://github.com/citation-style-language/schema/raw/master/csl-citation.json"}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(Rakotonandrasana et al., 2018)</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This current study however further found that, because of the fear of adverse effects, some clinicians monitor the woman for worsening disease before acting. Low parasitemia and asymptomatic carriers were monitored or treated depending on the progression of the disease. The exclusion of ACT for first trimester malaria treatment posed controversy to clinicians. Whilst clinicians in this study opined that it is safe, it is not supported by guidelines. This has implication for pregnant women who report to the hospital for malaria management as majority are prescribed drugs based on the clinician discretion or even though were tested positive for malaria were denied treatment. Consequently, untreated peripheral malaria which progresses to placental malaria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{"citationItems":[{"id":"ITEM-1","itemData":{"author":[{"dropping-particle":"","family":"Zakama","given":"Arthurine K","non-dropping-particle":"","parse-names":false,"suffix":""},{"dropping-particle":"","family":"Ozarslan","given":"Nida","non-dropping-particle":"","parse-names":false,"suffix":""},{"dropping-particle":"","family":"Gaw","given":"Stephanie L","non-dropping-particle":"","parse-names":false,"suffix":""}],"id":"ITEM-1","issued":{"date-parts":[["2020"]]},"page":"162-171","publisher":"Current Tropical Medicine Reports","title":"Placental Malaria","type":"article-journal"},"uris":["http://www.mendeley.com/documents/?uuid=cf2884c4-00f4-48c5-8a9e-d10b570e2840"]}],"mendeley":{"formattedCitation":"(Zakama et al., 2020)","plainTextFormattedCitation":"(Zakama et al., 2020)","previouslyFormattedCitation":"[15]"},"properties":{"noteIndex":0},"schema":"https://github.com/citation-style-language/schema/raw/master/csl-citation.json"}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(Zakama et al., 2020)</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may later cause unwanted pregnancy outcomes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10.2147/IDR.S431877","author":[{"dropping-particle":"","family":"Gemechu","given":"Tibeso","non-dropping-particle":"","parse-names":false,"suffix":""},{"dropping-particle":"","family":"Dedecha","given":"Wako","non-dropping-particle":"","parse-names":false,"suffix":""},{"dropping-particle":"","family":"Gelchu","given":"Miesa","non-dropping-particle":"","parse-names":false,"suffix":""},{"dropping-particle":"","family":"Husen","given":"Oliyad","non-dropping-particle":"","parse-names":false,"suffix":""},{"dropping-particle":"","family":"Gemechu","given":"Tibeso","non-dropping-particle":"","parse-names":false,"suffix":""}],"id":"ITEM-1","issued":{"date-parts":[["2023"]]},"title":"Asymptomatic Malaria During Pregnancy : Prevalence , Influence on Anemia and Associated Factors in West Guji Zone , Ethiopia – A Asymptomatic Malaria During Pregnancy : Prevalence , Influence on Anemia and Associated Factors in West Guji Zone , Ethiopia –","type":"article-journal"},"uris":["http://www.mendeley.com/documents/?uuid=ed1f05cf-8058-4815-bd8c-6bf5c6171f7c"]}],"mendeley":{"formattedCitation":"(Gemechu et al., 2023)","plainTextFormattedCitation":"(Gemechu et al., 2023)","previouslyFormattedCitation":"[25]"},"properties":{"noteIndex":0},"schema":"https://github.com/citation-style-language/schema/raw/master/csl-citation.json"}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(Gemechu et al., 2023)</w:t>
      </w:r>
      <w:r w:rsidRPr="00EE0D4F">
        <w:rPr>
          <w:rFonts w:asciiTheme="minorBidi" w:eastAsia="Calibri" w:hAnsiTheme="minorBidi" w:cstheme="minorBidi"/>
        </w:rPr>
        <w:fldChar w:fldCharType="end"/>
      </w:r>
      <w:r w:rsidRPr="00EE0D4F">
        <w:rPr>
          <w:rFonts w:asciiTheme="minorBidi" w:eastAsia="Calibri" w:hAnsiTheme="minorBidi" w:cstheme="minorBidi"/>
        </w:rPr>
        <w:t>.</w:t>
      </w:r>
    </w:p>
    <w:p w14:paraId="3EC79DD5" w14:textId="77777777"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Clinicians enumerated three adverse effects which are of major concern in antimalarial prescription in pregnancy. These inadvertent adverse effects include spotting, miscarriage, and hypoglycemia. Clinicians stated that some pregnant women get hypoglycemia, spotting, and miscarriage when they take either the oral or intravenous quinine. Most clinicians interviewed affirmed that they have consistently experienced one or two of these adverse effects when they gave quinine to pregnant women and that has informed their clinical decisions. </w:t>
      </w:r>
    </w:p>
    <w:p w14:paraId="0AFED9FC" w14:textId="568FF6F2"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These findings deviates from previous research which found that infections such as malaria and bacterial vaginosis during pregnancy leads to pregnancy loss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{"citationItems":[{"id":"ITEM-1","itemData":{"DOI":"10.3909/riog0091","ISSN":"1941-2797","PMID":"19826576","abstract":"Malaria, a parasitic infection transmitted by mosquitoes, is one of the most devastating infectious diseases, killing more than 1 million people annually. Pregnant women, children, and immunocompromised individuals have the highest morbidity and mortality, and Africa bears the heaviest burden. The World Health Organization defines malaria as a disease of poverty caused by poverty. Pregnant women infected with malaria usually have more severe symptoms and outcomes, with higher rates of miscarriage, intrauterine demise, premature delivery, low-birth-weight neonates, and neonatal death. They are also at a higher risk for severe anemia and maternal death. Malaria can be prevented with appropriate drugs, bed nets treated with insecticide, and effective educational outreach programs.","author":[{"dropping-particle":"","family":"Schantz-Dunn","given":"Julianna","non-dropping-particle":"","parse-names":false,"suffix":""},{"dropping-particle":"","family":"Nour","given":"Nawal M","non-dropping-particle":"","parse-names":false,"suffix":""}],"container-title":"Reviews in obstetrics &amp; gynecology","id":"ITEM-1","issue":"3","issued":{"date-parts":[["2009"]]},"page":"186-92","title":"Malaria and pregnancy: a global health perspective.","type":"article-journal","volume":"2"},"uris":["http://www.mendeley.com/documents/?uuid=5a56ea13-163c-451e-a84b-5c19a5fc4ff1","http://www.mendeley.com/documents/?uuid=a4419116-861b-4253-90c8-9024a94c74a7"]}],"mendeley":{"formattedCitation":"(Schantz-Dunn &amp; Nour, 2009)"},"properties":{"noteIndex":0},"schema":"https://github.com/citation-style-language/schema/raw/master/csl-citation.json"}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(Schantz-Dunn &amp; Nour, 2009)</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The results is however consistent with other previous studies which found that clinicians </w:t>
      </w:r>
      <w:r w:rsidRPr="00EE0D4F">
        <w:rPr>
          <w:rFonts w:asciiTheme="minorBidi" w:eastAsia="Calibri" w:hAnsiTheme="minorBidi" w:cstheme="minorBidi"/>
        </w:rPr>
        <w:lastRenderedPageBreak/>
        <w:t xml:space="preserve">do not prescribe quinine for malaria treatment in pregnancy due to adverse effects such as spotting, miscarriage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{"citationItems":[{"id":"ITEM-1","itemData":{"DOI":"10.1371/journal.pmed.1002290","ISBN":"1111111111","ISSN":"15491676","PMID":"28463996","abstract":"Background: Animal embryotoxicity data, and the scarcity of safety data in human pregnancies, have prevented artemisinin derivatives from being recommended for malaria treatment in the first trimester except in lifesaving circumstances. We conducted a meta-analysis of prospective observational studies comparing the risk of miscarriage, stillbirth, and major congenital anomaly (primary outcomes) among first-trimester pregnancies treated with artemisinin derivatives versus quinine or no antimalarial treatment. Methods and findings: Electronic databases including Medline, Embase, and Malaria in Pregnancy Library were searched, and investigators contacted. Five studies involving 30,618 pregnancies were included; four from sub-Saharan Africa (n = 6,666 pregnancies, six sites) and one from Thailand (n = 23,952). Antimalarial exposures were ascertained by self-report or active detection and confirmed by prescriptions, clinic cards, and outpatient registers. Cox proportional hazards models, accounting for time under observation and gestational age at enrollment, were used to calculate hazard ratios. Individual participant data (IPD) meta-analysis was used to combine the African studies, and the results were then combined with those from Thailand using aggregated data meta-analysis with a random effects model. There was no difference in the risk of miscarriage associated with the use of artemisinins anytime during the first trimester (n = 37/671) compared with quinine (n = 96/945; adjusted hazard ratio [aHR] = 0.73 [95% CI 0.44, 1.21], I2= 0%, p = 0.228), in the risk of stillbirth (artemisinins, n = 10/654; quinine, n = 11/615; aHR = 0.29 [95% CI 0.08–1.02], p = 0.053), or in the risk of miscarriage and stillbirth combined (pregnancy loss) (aHR = 0.58 [95% CI 0.36–1.02], p = 0.099). The corresponding risks of miscarriage, stillbirth, and pregnancy loss in a sensitivity analysis restricted to artemisinin exposures during the embryo sensitive period (6–12 wk gestation) were as follows: aHR = 1.04 (95% CI 0.54–2.01), I2= 0%, p = 0.910; aHR = 0.73 (95% CI 0.26–2.06), p = 0.551; and aHR = 0.98 (95% CI 0.52–2.04), p = 0.603. The prevalence of major congenital anomalies was similar for first-trimester artemisinin (1.5% [95% CI 0.6%–3.5%]) and quinine exposures (1.2% [95% CI 0.6%–2.4%]). Key limitations of the study include the inability to control for confounding by indication in the African studies, the paucity of data on potential confounders, the limited statistical…","author":[{"dropping-particle":"","family":"Dellicour","given":"Stephanie","non-dropping-particle":"","parse-names":false,"suffix":""},{"dropping-particle":"","family":"Sevene","given":"Esperança","non-dropping-particle":"","parse-names":false,"suffix":""},{"dropping-particle":"","family":"McGready","given":"Rose","non-dropping-particle":"","parse-names":false,"suffix":""},{"dropping-particle":"","family":"Tinto","given":"Halidou","non-dropping-particle":"","parse-names":false,"suffix":""},{"dropping-particle":"","family":"Mosha","given":"Dominic","non-dropping-particle":"","parse-names":false,"suffix":""},{"dropping-particle":"","family":"Manyando","given":"Christine","non-dropping-particle":"","parse-names":false,"suffix":""},{"dropping-particle":"","family":"Rulisa","given":"Stephen","non-dropping-particle":"","parse-names":false,"suffix":""},{"dropping-particle":"","family":"Desai","given":"Meghna","non-dropping-particle":"","parse-names":false,"suffix":""},{"dropping-particle":"","family":"Ouma","given":"Peter","non-dropping-particle":"","parse-names":false,"suffix":""},{"dropping-particle":"","family":"Oneko","given":"Martina","non-dropping-particle":"","parse-names":false,"suffix":""},{"dropping-particle":"","family":"Vala","given":"Anifa","non-dropping-particle":"","parse-names":false,"suffix":""},{"dropping-particle":"","family":"Rupérez","given":"Maria","non-dropping-particle":"","parse-names":false,"suffix":""},{"dropping-particle":"","family":"Macete","given":"Eusébio","non-dropping-particle":"","parse-names":false,"suffix":""},{"dropping-particle":"","family":"Menéndez","given":"Clara","non-dropping-particle":"","parse-names":false,"suffix":""},{"dropping-particle":"","family":"Nakanabo-Diallo","given":"Seydou","non-dropping-particle":"","parse-names":false,"suffix":""},{"dropping-particle":"","family":"Kazienga","given":"Adama","non-dropping-particle":"","parse-names":false,"suffix":""},{"dropping-particle":"","family":"Valéa","given":"Innocent","non-dropping-particle":"","parse-names":false,"suffix":""},{"dropping-particle":"","family":"Calip","given":"Gregory","non-dropping-particle":"","parse-names":false,"suffix":""},{"dropping-particle":"","family":"Augusto","given":"Orvalho","non-dropping-particle":"","parse-names":false,"suffix":""},{"dropping-particle":"","family":"Genton","given":"Blaise","non-dropping-particle":"","parse-names":false,"suffix":""},{"dropping-particle":"","family":"Njunju","given":"Eric M.","non-dropping-particle":"","parse-names":false,"suffix":""},{"dropping-particle":"","family":"Moore","given":"Kerryn A.","non-dropping-particle":"","parse-names":false,"suffix":""},{"dropping-particle":"","family":"d’Alessandro","given":"Umberto","non-dropping-particle":"","parse-names":false,"suffix":""},{"dropping-particle":"","family":"Nosten","given":"Francois","non-dropping-particle":"","parse-names":false,"suffix":""},{"dropping-particle":"","family":"Kuile","given":"Feiko","non-dropping-particle":"ter","parse-names":false,"suffix":""},{"dropping-particle":"","family":"Stergachis","given":"Andy","non-dropping-particle":"","parse-names":false,"suffix":""}],"container-title":"PLoS Medicine","id":"ITEM-1","issue":"5","issued":{"date-parts":[["2017"]]},"title":"First-trimester artemisinin derivatives and quinine treatments and the risk of adverse pregnancy outcomes in Africa and Asia: A meta-analysis of observational studies","type":"article-journal","volume":"14"},"uris":["http://www.mendeley.com/documents/?uuid=459d7fb9-ac21-42ce-b929-91a8151d0275","http://www.mendeley.com/documents/?uuid=a768e333-7cd0-4a03-bd31-b8dc8d6d216e"]}],"mendeley":{"formattedCitation":"(Dellicour et al., 2017)","plainTextFormattedCitation":"(Dellicour et al., 2017)","previouslyFormattedCitation":"[7]"},"properties":{"noteIndex":0},"schema":"https://github.com/citation-style-language/schema/raw/master/csl-citation.json"}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(Dellicour et al., 2017)</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and hypoglycemia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{"citationItems":[{"id":"ITEM-1","itemData":{"DOI":"10.1016/s0140-6736(85)90056-x","ISSN":"0140-6736 (Print)","PMID":"2861481","abstract":"Quinine dihydrochloride was given intravenously to 12 women with severe  falciparum malaria in the third trimester of pregnancy. The initial dose consisted of 10 or 20 mg salt/kg over 4 h and was followed by 10 mg salt/kg every 8 h until patients were fit to swallow, when quinine sulphate tablets were given. Uterine activity showed little or no change despite rising quinine concentrations. Of 3 patients in labour, 2 proceeded normally while a third had a successful caesarean section for fetal distress. Late (type II) decelerations of the fetal heart rate were recorded in 6 patients before treatment but in most patients signs of fetal distress diminished as the maternal temperature fell. Hypoglycaemia and hyperinsulinaemia developed in 7 patients, in 2 before quinine was started. The important toxic effect of quinine in late pregnancy is not an oxytocic action but rather its capacity to release insulin.","author":[{"dropping-particle":"","family":"Looareesuwan","given":"S","non-dropping-particle":"","parse-names":false,"suffix":""},{"dropping-particle":"","family":"Phillips","given":"R E","non-dropping-particle":"","parse-names":false,"suffix":""},{"dropping-particle":"","family":"White","given":"N J","non-dropping-particle":"","parse-names":false,"suffix":""},{"dropping-particle":"","family":"Kietinun","given":"S","non-dropping-particle":"","parse-names":false,"suffix":""},{"dropping-particle":"","family":"Karbwang","given":"J","non-dropping-particle":"","parse-names":false,"suffix":""},{"dropping-particle":"","family":"Rackow","given":"C","non-dropping-particle":"","parse-names":false,"suffix":""},{"dropping-particle":"","family":"Turner","given":"R C","non-dropping-particle":"","parse-names":false,"suffix":""},{"dropping-particle":"","family":"Warrell","given":"D A","non-dropping-particle":"","parse-names":false,"suffix":""}],"container-title":"Lancet (London, England)","id":"ITEM-1","issue":"8445","issued":{"date-parts":[["1985","7"]]},"language":"eng","page":"4-8","publisher-place":"England","title":"Quinine and severe falciparum malaria in late pregnancy.","type":"article-journal","volume":"2"},"uris":["http://www.mendeley.com/documents/?uuid=82362a2b-901d-44a2-b857-b1c0f5e1ab35","http://www.mendeley.com/documents/?uuid=bcdd004b-46d4-4aa9-9672-f49c3eb24c16"]}],"mendeley":{"formattedCitation":"(Looareesuwan et al., 1985)","plainTextFormattedCitation":"(Looareesuwan et al., 1985)","previouslyFormattedCitation":"[30]"},"properties":{"noteIndex":0},"schema":"https://github.com/citation-style-language/schema/raw/master/csl-citation.json"}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(Looareesuwan et al., 1985)</w:t>
      </w:r>
      <w:r w:rsidRPr="00EE0D4F">
        <w:rPr>
          <w:rFonts w:asciiTheme="minorBidi" w:eastAsia="Calibri" w:hAnsiTheme="minorBidi" w:cstheme="minorBidi"/>
        </w:rPr>
        <w:fldChar w:fldCharType="end"/>
      </w:r>
      <w:r w:rsidRPr="00EE0D4F">
        <w:rPr>
          <w:rFonts w:asciiTheme="minorBidi" w:eastAsia="Calibri" w:hAnsiTheme="minorBidi" w:cstheme="minorBidi"/>
        </w:rPr>
        <w:t>. The study showed that pregnant women are particularly exposed to adverse pregnancy outcomes when quinine is administered to them. As a result, it is necessary to ensure that patients are well monitored when treated with quinine. Additionally, policy makers should address clinicians’ concerns with quinine usage in pregnancy to improve clinical practices.</w:t>
      </w:r>
    </w:p>
    <w:p w14:paraId="6DFD57B5" w14:textId="5FBA8CFE"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In addition, other important experiences of clinicians were patients’ health beliefs and adherence. It was revealed that patients who have heard from colleagues that quinine caused spotting, miscarriage, and hypoglycemia may also refuse to take the drug due to societal influence. Patients’ non-adherence to doctor's prescriptions was stated as one of the main reasons clinicians do not prescribe quinine. Clinicians said they have encountered a lot of instances where quinine was prescribed for pregnant women, and they refused to take the medication because of the side effects and dosing Regimen. This finding is comparable to previous studies that found that dosing regimen affects patients’ compliance to treatment </w:t>
      </w:r>
      <w:r w:rsidRPr="00EE0D4F">
        <w:rPr>
          <w:rFonts w:asciiTheme="minorBidi" w:eastAsia="Calibri" w:hAnsiTheme="minorBidi" w:cstheme="minorBidi"/>
          <w:color w:val="EE0000"/>
        </w:rPr>
        <w:fldChar w:fldCharType="begin" w:fldLock="1"/>
      </w:r>
      <w:r w:rsidR="00C57A48" w:rsidRPr="00EE0D4F">
        <w:rPr>
          <w:rFonts w:asciiTheme="minorBidi" w:eastAsia="Calibri" w:hAnsiTheme="minorBidi" w:cstheme="minorBidi"/>
          <w:color w:val="EE0000"/>
        </w:rPr>
        <w:instrText>ADDIN CSL_CITATION {"citationItems":[{"id":"ITEM-1","itemData":{"DOI":"10.1007/s40200-020-00587-0","ISSN":"2251-6581 (Print)","PMID":"33553017","abstract":"BACKGROUND: Adherence affected by many factors in the patient or in the  treatment. One of these factors is beliefs about medicine, which is modifiable. This study aimed to assess the effect of beliefs about medicines on adherence to medications in diabetic patients. METHODS: It is a cross-sectional descriptive-analytic study, conducted between March 2019 and June 2019, in Family medicine outpatient clinic, Suez Canal University, Egypt. A consecutive sample of diabetic patients presented to the clinic in the period of study was included until fulfilling sample size (82 patients). They filled validated questionnaires of the Morisky Medication Adherence Scale, Beliefs about Medicine, and socio-demographic characteristics. RESULTS: About half of the patients were non-adherent (54.9%). The necessity beliefs mean was 18.6, while the median was 20, concerns beliefs mean was 14.2, while the median was 14, overuse beliefs mean was 12.2, while the median was 13, finally mean and median of harm score was 11.0. There was a statistically significant relationship between age, education, concern, and harm score with adherence (p = 0.04, 0.02, &lt; 0.001, and 0.03). Age was a positive predictor of adherence; and concern beliefs score was a negative predictor of adherence. CONCLUSIONS: Physicians should inquire about their patient medication beliefs and its effect on patient adherence to discover and solve concerns of diabetic patients to improve non-adherence.","author":[{"dropping-particle":"","family":"Salama","given":"Hend Mikhail","non-dropping-particle":"","parse-names":false,"suffix":""},{"dropping-particle":"","family":"Saudi","given":"Rabab Atta","non-dropping-particle":"","parse-names":false,"suffix":""}],"container-title":"Journal of diabetes and metabolic disorders","id":"ITEM-1","issue":"2","issued":{"date-parts":[["2020","12"]]},"language":"eng","page":"951-958","publisher-place":"Switzerland","title":"Effect of patients beliefs about medications on adherence to drugs in diabetic  patients attending family medicine outpatient clinic in Ismailia, Egypt.","type":"article-journal","volume":"19"},"uris":["http://www.mendeley.com/documents/?uuid=582e45e1-6074-4ef4-acf5-e0556a72ca68","http://www.mendeley.com/documents/?uuid=98ae9f4c-6ff1-4e4c-9030-1620ba8e6c5a"]}],"mendeley":{"formattedCitation":"(Salama &amp; Saudi, 2020)"},"properties":{"noteIndex":0},"schema":"https://github.com/citation-style-language/schema/raw/master/csl-citation.json"}</w:instrText>
      </w:r>
      <w:r w:rsidRPr="00EE0D4F">
        <w:rPr>
          <w:rFonts w:asciiTheme="minorBidi" w:eastAsia="Calibri" w:hAnsiTheme="minorBidi" w:cstheme="minorBidi"/>
          <w:color w:val="EE0000"/>
        </w:rPr>
        <w:fldChar w:fldCharType="separate"/>
      </w:r>
      <w:r w:rsidR="00C57A48" w:rsidRPr="00EE0D4F">
        <w:rPr>
          <w:rFonts w:asciiTheme="minorBidi" w:eastAsia="Calibri" w:hAnsiTheme="minorBidi" w:cstheme="minorBidi"/>
          <w:noProof/>
          <w:color w:val="EE0000"/>
        </w:rPr>
        <w:t>(Salama &amp; Saudi, 2020</w:t>
      </w:r>
      <w:r w:rsidR="00EE0D4F" w:rsidRPr="00EE0D4F">
        <w:rPr>
          <w:rFonts w:asciiTheme="minorBidi" w:eastAsia="Calibri" w:hAnsiTheme="minorBidi" w:cstheme="minorBidi"/>
          <w:noProof/>
          <w:color w:val="EE0000"/>
        </w:rPr>
        <w:t>; Nargus et al., 2022</w:t>
      </w:r>
      <w:r w:rsidR="00C57A48" w:rsidRPr="00EE0D4F">
        <w:rPr>
          <w:rFonts w:asciiTheme="minorBidi" w:eastAsia="Calibri" w:hAnsiTheme="minorBidi" w:cstheme="minorBidi"/>
          <w:noProof/>
          <w:color w:val="EE0000"/>
        </w:rPr>
        <w:t>)</w:t>
      </w:r>
      <w:r w:rsidRPr="00EE0D4F">
        <w:rPr>
          <w:rFonts w:asciiTheme="minorBidi" w:eastAsia="Calibri" w:hAnsiTheme="minorBidi" w:cstheme="minorBidi"/>
          <w:color w:val="EE0000"/>
        </w:rPr>
        <w:fldChar w:fldCharType="end"/>
      </w:r>
      <w:r w:rsidRPr="00EE0D4F">
        <w:rPr>
          <w:rFonts w:asciiTheme="minorBidi" w:eastAsia="Calibri" w:hAnsiTheme="minorBidi" w:cstheme="minorBidi"/>
        </w:rPr>
        <w:t xml:space="preserve">.  The study showed that, rationale prescription is based on the thorough medical history of drug allergic reactions and patients’ beliefs. </w:t>
      </w:r>
    </w:p>
    <w:p w14:paraId="2B1ABFAE" w14:textId="048C0D68"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Aside from experience, the other factors that explained clinicians’ antimalarial treatment compliance were professional norms and health staff influence. The study revealed a hierarchy of practice in the medical profession where, aside from academic knowledge, junior colleagues learn through the experiences of their seniors. The prevailing norm or consensus that existed within the professional community discourages the use of quinine, made individual clinicians align their practices accordingly. Some clinicians also explained that even when they prescribe quinine for pregnant women, health staff who have had bad experiences with quinine will normally pollute the minds of patients to avoid it. This is comparative to previous studies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{"citationItems":[{"id":"ITEM-1","itemData":{"DOI":"10.1258/jrsm.2009.090150","ISSN":"01410768","PMID":"19875537","abstract":"Objectives: Prescribing is not always driven by therapeutic motives alone; social and intrinsic factors also play a part in the decision. However, most research into prescribing influences has been conducted in general practice, with very little conducted within hospitals. One potential influence is the hospital multidisciplinary team, yet little attention has been paid to how interactions between teams and team members may influence prescribing. This study investigated the effect that team interaction and structure had upon UK hospital doctors' prescribing decisions, particularly their discomfort felt prescribing. Design and setting: The study used the critical incident technique and in-depth interviews. Prior to an in-depth interview, 48 doctors of varying grades from four hospitals were asked to remember any uncomfortable prescribing decisions that they had recently made. These 'incidents' were discussed in depth. All interviews were tape-recorded and transcribed verbatim. A grounded theory approach to data analysis was taken. Results: There were 193 critical incidents described in the interviews. Over one-third were related to the difficulties of prescribing within a team environment. Discomfort frequently arose because of factors relating to the hierarchical structure; in particular, junior doctors described their discomfort when they were uncertain of seniors' prescribing decisions. Prescribers also adhered to rules of prescribing etiquette, including the maintenance of other doctors'/teams' prescribing decisions and adherence to prescribing norms. Discomfort also arose from a perceived pressure to prescribe from the nursing team. Doctors admitted to prescribing to maintain overall team relationships, sometimes ignoring hospital regulations and best practice to do so. Conclusion: Overall, this study demonstrated that hospital doctors' prescribing decisions were strongly influenced by relationships with other team members, particularly nurses and senior doctors.Ways of reducing this discomfort should be explored and further research is advocated in this area.","author":[{"dropping-particle":"","family":"Lewis","given":"Penny J.","non-dropping-particle":"","parse-names":false,"suffix":""},{"dropping-particle":"","family":"Tully","given":"Mary P.","non-dropping-particle":"","parse-names":false,"suffix":""}],"container-title":"Journal of the Royal Society of Medicine","id":"ITEM-1","issue":"11","issued":{"date-parts":[["2009"]]},"page":"481-488","title":"Uncomfortable prescribing decisions in hospitals: The impact of teamwork","type":"article-journal","volume":"102"},"uris":["http://www.mendeley.com/documents/?uuid=a2801314-8068-45f5-93a9-ec1f397dbbe6","http://www.mendeley.com/documents/?uuid=6117cd6b-6d8f-4841-ad08-080459619d61"]}],"mendeley":{"formattedCitation":"(Lewis &amp; Tully, 2009)","plainTextFormattedCitation":"(Lewis &amp; Tully, 2009)","previouslyFormattedCitation":"[34]"},"properties":{"noteIndex":0},"schema":"https://github.com/citation-style-language/schema/raw/master/csl-citation.json"}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(Lewis &amp; Tully, 2009)</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which demonstrated that clinicians prescribing behavior is strongly influenced by their relationships with other colleagues, particularly senior medical practitioners and nurses. </w:t>
      </w:r>
    </w:p>
    <w:p w14:paraId="3C3832AE" w14:textId="22394F24" w:rsidR="00FB6FC4" w:rsidRPr="00EE0D4F" w:rsidRDefault="00FB6FC4" w:rsidP="00EE0D4F">
      <w:pPr>
        <w:ind w:firstLine="720"/>
        <w:jc w:val="both"/>
        <w:rPr>
          <w:rFonts w:asciiTheme="minorBidi" w:eastAsia="Calibri" w:hAnsiTheme="minorBidi" w:cstheme="minorBidi"/>
        </w:rPr>
      </w:pPr>
      <w:r w:rsidRPr="00EE0D4F">
        <w:rPr>
          <w:rFonts w:asciiTheme="minorBidi" w:eastAsia="Calibri" w:hAnsiTheme="minorBidi" w:cstheme="minorBidi"/>
        </w:rPr>
        <w:t xml:space="preserve">The study revealed that the level/location of health facilities, unavailability of drugs, and insurance issues were some causes of non-compliance. This results contradicts previous studies which found that the unavailability of drugs, fear of stock out of the recommended antimalarial, and cost of medications were reasons clinicians’ do not adherence to treatment guidelines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{"citationItems":[{"id":"ITEM-1","itemData":{"DOI":"10.1186/1475-2875-7-29","ISSN":"14752875","PMID":"18252000","abstract":"Background. Kenya recently changed its antimalarial drug policy to a specific artemisinin-based combination therapy (ACT), artemether-lumefantrine (AL). New national guidelines on the diagnosis, treatment and prevention were developed and disseminated to health workers together with in-service training. Methods. Between January and March 2007, 36 in-depth interviews were conducted in five rural districts with health workers who attended in-service training and were non-adherent to the new guidelines. A further 20 interviews were undertaken with training facilitators and members of District Health Management Teams (DHMTs) to explore reasons underlying health workers' non-adherence. Results. Health workers generally perceived AL as being tolerable and efficacious as compared to amodiaquine and sulphadoxine-pyremethamine. However, a number of key reasons for non-adherence were identified. Insufficient supply of AL was a major issue and hence fears of stock outs and concern about AL costs was an impediment to AL prescription. Training messages that contradicted the recommended guidelines also led to health worker non-adherence, compounded by a lack of follow-up supervision. In addition, the availability of non-recommended antimalarials such as amodiaquine caused prescription confusion. Some health workers and DHMT members maintained that shortage of staff had resulted in increased patient caseload affecting the delivery of the desirable quality of care and adherence to guidelines. Conclusion. The introduction of free efficacious ACTs in the public health sector in Kenya and other countries has major potential public health benefits for Africa. These may not be realized if provider prescription practices do not conform to the recommended treatment guidelines. It is essential that high quality training, drug supply and supervision work synergistically to ensure appropriate case management. © 2008 Wasunna et al; licensee BioMed Central Ltd.","author":[{"dropping-particle":"","family":"Wasunna","given":"Beatrice","non-dropping-particle":"","parse-names":false,"suffix":""},{"dropping-particle":"","family":"Zurovac","given":"Dejan","non-dropping-particle":"","parse-names":false,"suffix":""},{"dropping-particle":"","family":"Goodman","given":"Catherine A.","non-dropping-particle":"","parse-names":false,"suffix":""},{"dropping-particle":"","family":"Snow","given":"Robert W.","non-dropping-particle":"","parse-names":false,"suffix":""}],"container-title":"Malaria Journal","id":"ITEM-1","issued":{"date-parts":[["2008"]]},"page":"1-9","title":"Why don't health workers prescribe ACT? A qualitative study of factors affecting the prescription of artemether-lumefantrine","type":"article-journal","volume":"7"},"uris":["http://www.mendeley.com/documents/?uuid=c1c17492-973d-48b0-a083-78f6b61d89df","http://www.mendeley.com/documents/?uuid=bbb4dacc-15f2-4487-b690-c6be6b233d8c"]}],"mendeley":{"formattedCitation":"(Wasunna et al., 2008)"},"properties":{"noteIndex":0},"schema":"https://github.com/citation-style-language/schema/raw/master/csl-citation.json"}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(Wasunna et al., 2008)</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w:t>
      </w:r>
      <w:bookmarkStart w:id="32" w:name="_Toc148193628"/>
      <w:r w:rsidRPr="00EE0D4F">
        <w:rPr>
          <w:rFonts w:asciiTheme="minorBidi" w:eastAsia="Calibri" w:hAnsiTheme="minorBidi" w:cstheme="minorBidi"/>
        </w:rPr>
        <w:t xml:space="preserve">These results differ from previous studies due to the difference in study setting and the drugs being studied. This current study found that the most important predictor of compliance was the location of the health facility as clinicians elaborated that their prescription practices differ depending on which health facility they were working. The lower-level health facilities such as the health centers complied more than the hospital. The results therefore revealed a gap in practices between primary health facilities and tertiary health facilities. The researchers proposed that this gap could be because primary healthcare providers detain patients for a few hours and discharge and may not experience the side effects of medications as compared to secondary and tertiary health facilities which admit patients and monitor the progress of diseases. As a result, primary healthcare providers could be prescribing quinine that abort pregnancy without knowing. Regular clinical meetings comprising clinicians from different levels of healthcare are necessary for transfer of skills and experience across facilities. </w:t>
      </w:r>
    </w:p>
    <w:bookmarkEnd w:id="32"/>
    <w:p w14:paraId="2AF29C75" w14:textId="77777777" w:rsidR="00EB45D6" w:rsidRPr="00EE0D4F" w:rsidRDefault="00EB45D6" w:rsidP="00EE0D4F">
      <w:pPr>
        <w:jc w:val="both"/>
        <w:rPr>
          <w:rFonts w:asciiTheme="minorBidi" w:eastAsia="DengXian Light" w:hAnsiTheme="minorBidi" w:cstheme="minorBidi"/>
          <w:b/>
        </w:rPr>
      </w:pPr>
    </w:p>
    <w:p w14:paraId="5005DAF1" w14:textId="1ACDA875" w:rsidR="00FB6FC4"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 xml:space="preserve">The issue of anti-malaria prescription in the first trimester of pregnancy can be described as a dilemma where either, both or none seems inappropriate depending on experiences. This has made some clinicians do risk-benefit analyses in the treatment of malaria. Whilst the majority (40.8%) of clinicians were treating with unrecommended drugs (ACTs), a good number of pregnant women with malaria were not treated with any oral antimalarial (47.9%). Clinicians are in a state of dilemma whenever they encounter a pregnant woman in the first trimester with malaria. There were four approaches to malaria management in the first trimester. These include watchful waiting, ACTs, Q/C, and intravenous artesunate. In cases of asymptomatic </w:t>
      </w:r>
      <w:r w:rsidRPr="00EE0D4F">
        <w:rPr>
          <w:rFonts w:asciiTheme="minorBidi" w:eastAsia="Calibri" w:hAnsiTheme="minorBidi" w:cstheme="minorBidi"/>
        </w:rPr>
        <w:lastRenderedPageBreak/>
        <w:t xml:space="preserve">malaria, clinicians said they considered alternative treatment options or opted for an “observed and see" approach. Though other studies have found that clinicians treat malaria in the first trimester with ACTs </w:t>
      </w:r>
      <w:r w:rsidRPr="00EE0D4F">
        <w:rPr>
          <w:rFonts w:asciiTheme="minorBidi" w:eastAsia="Calibri" w:hAnsiTheme="minorBidi" w:cstheme="minorBidi"/>
        </w:rPr>
        <w:fldChar w:fldCharType="begin" w:fldLock="1"/>
      </w:r>
      <w:r w:rsidR="00C57A48" w:rsidRPr="00EE0D4F">
        <w:rPr>
          <w:rFonts w:asciiTheme="minorBidi" w:eastAsia="Calibri" w:hAnsiTheme="minorBidi" w:cstheme="minorBidi"/>
        </w:rPr>
        <w:instrText>ADDIN CSL_CITATION {"citationItems":[{"id":"ITEM-1","itemData":{"DOI":"10.11604/pamj.cp.2017.3.36.150","author":[{"dropping-particle":"","family":"Nkrumah","given":"Isaac","non-dropping-particle":"","parse-names":false,"suffix":""},{"dropping-particle":"","family":"Sarpong","given":"Ivy Asantewa","non-dropping-particle":"","parse-names":false,"suffix":""}],"container-title":"Pan African Medical Journal Conference Proceedings","id":"ITEM-1","issued":{"date-parts":[["2018"]]},"title":"Prescribers</w:instrText>
      </w:r>
      <w:r w:rsidR="00C57A48" w:rsidRPr="00EE0D4F">
        <w:rPr>
          <w:rFonts w:ascii="Arial" w:eastAsia="Calibri" w:hAnsi="Arial" w:cs="Arial"/>
        </w:rPr>
        <w:instrText>�</w:instrText>
      </w:r>
      <w:r w:rsidR="00C57A48" w:rsidRPr="00EE0D4F">
        <w:rPr>
          <w:rFonts w:asciiTheme="minorBidi" w:eastAsia="Calibri" w:hAnsiTheme="minorBidi" w:cstheme="minorBidi"/>
        </w:rPr>
        <w:instrText xml:space="preserve"> compliance with quinine use for treating uncomplicated malaria in the first trimester of pregnancy in polyclinics in Accra","type":"article-journal","volume":"1"},"uris":["http://www.mendeley.com/documents/?uuid=8312dd1d-d736-4571-8135-16ce245f08b8"]},{"id":"ITEM-2","itemData":{"author":[{"dropping-particle":"","family":"Access","given":"Promoting","non-dropping-particle":"","parse-names":false,"suffix":""},{"dropping-particle":"","family":"African","given":"T O","non-dropping-particle":"","parse-names":false,"suffix":""}],"id":"ITEM-2","issued":{"date-parts":[["2011"]]},"page":"4-7","title":"How Many Physicians Prescribe Quinine For The Treatment Of Malaria In The First Trimester Of Pregnancy ?","type":"article-journal"},"uris":["http://www.mendeley.com/documents/?uuid=dd2e88a4-1ccb-483d-b14d-56815861dcff"]},{"id":"ITEM-3","itemData":{"DOI":"10.24248/eahrj.v5i2.670","ISSN":"25205277","abstract":"Background: Malaria is a significant cause of morbidity and mortality throughout the world and particularly sub-Saharan Africa. The World Health Organization and many national bodies, including Burundi, recommend artemisinin-based therapy as first-line treatment for uncomplicated and severe malaria. Implementing this recommendation requires healthcare professionals’ acceptance of this treatment as the optimal choice. Methods: A survey was conducted among Burundian healthcare professionals from June to September 2017 to assess prescribing preferences regarding artemisinins versus quinine for treating malaria. Healthcare professionals were surveyed from 32 health facilities in 10 provinces. Respondents included both physicians and nurses who provided responses about their antimalarial treatment preferences for a variety of clinical scenarios. Comparisons among healthcare professionals, their level of training, work setting, and length of work experience were examined using a series of stratified analyses, where the Pearson Chi-square statistic and odds ratios with 95% confidence intervals were calculated. Results: Respondents included 101 doctors and 196 nurses. Seventy-nine percent of respondents worked in hospitals, while 58% had more than 5 years of work experience. Although 94% of respondents correctly identified artemisinin-based treatment as first-line therapy according to the national protocol, 24-40% of respondents preferred the use of quinine in various hypothetical clinical scenarios. Overall, nurses were at greater odds of preferring quinine versus artemisinins compared with physicians. Availability of artemisinins was associated positively with artemisinin preference. These results did not vary by duration of work experience. Conclusions: Though knowledge of artemisinin-based therapy was recognised by the majority of respondents as the recommended antimalarial treatment, a high proportion of Burundian healthcare professionals, especially nurses, prefer using oral and IV quinine in a number of clinical scenarios. These findings identify a significant barrier to the satisfactory implementation of a life-saving treatment in accordance with national and international recommendations.","author":[{"dropping-particle":"","family":"Niyonkuru","given":"Aîné-Ernest","non-dropping-particle":"","parse-names":false,"suffix":""},{"dropping-particle":"","family":"McLaughlina","given":"Eric","non-dropping-particle":"","parse-names":false,"suffix":""},{"dropping-particle":"","family":"Heath","given":"Gregory","non-dropping-particle":"","parse-names":false,"suffix":""},{"dropping-particle":"","family":"Inamuco","given":"Sonia","non-dropping-particle":"","parse-names":false,"suffix":""},{"dropping-particle":"","family":"Topazian","given":"Hillary","non-dropping-particle":"","parse-names":false,"suffix":""},{"dropping-particle":"","family":"Davis","given":"Mike","non-dropping-particle":"","parse-names":false,"suffix":""}],"container-title":"East African Health Research Journal","id":"ITEM-3","issue":"2","issued":{"date-parts":[["2021"]]},"page":"174-181","title":"Healthcare Professional Preferences for Prescribing Artemisinins and Quinine for Malaria in Burundi","type":"article-journal","volume":"5"},"uris":["http://www.mendeley.com/documents/?uuid=4cb746d0-236a-49db-a8a7-7240c82bb03e"]},{"id":"ITEM-4","itemData":{"DOI":"10.4061/2011/414510","abstract":" Introduction. The aim of this study was to identify the antimalarials prescribed during the pregnancy and to document their timing. Method. From June to September 2009, a survey was conducted on 565 women who gave birth in the Castors maternity in Bangui. The antenatal clinics cards were checked in order to record the types of antimalarials prescribed during pregnancy according to gestational age. Results. A proportion of 28.8% ANC cards contained at least one antimalarial prescription. The commonest categories of antimalarials prescribed were: quinine (56.7%), artemisinin-based combinations (26.8%) and artemisinin monotherapy (14.4%). Among the prescriptions that occurred in the first trimester of pregnancy, artemisinin-based combinations and artemisinin monotherapies represented the proportions of (10.9%) and (13.3%). respectively. Conclusion. This study showed a relatively high rate (&gt;80%) of the recommended antimalarials prescription regarding categories of indicated antimalarials from national guidelines. But, there is a concern about the prescription of the artemisinin derivatives in the first trimester of pregnancy, and the prescription of artemisinin monotherapy. Thus, the reinforcement of awareness activities of health care providers on the national malaria treatment during pregnancy is suggested. ","author":[{"dropping-particle":"","family":"Manirakiza","given":"Alexandre","non-dropping-particle":"","parse-names":false,"suffix":""},{"dropping-particle":"","family":"Soula","given":"Georges","non-dropping-particle":"","parse-names":false,"suffix":""},{"dropping-particle":"","family":"Laganier","given":"Remi","non-dropping-particle":"","parse-names":false,"suffix":""},{"dropping-particle":"","family":"Klement","given":"Elise","non-dropping-particle":"","parse-names":false,"suffix":""},{"dropping-particle":"","family":"Djallé","given":"Djibrine","non-dropping-particle":"","parse-names":false,"suffix":""},{"dropping-particle":"","family":"Methode","given":"Moyen","non-dropping-particle":"","parse-names":false,"suffix":""},{"dropping-particle":"","family":"Madji","given":"Nestor","non-dropping-particle":"","parse-names":false,"suffix":""},{"dropping-particle":"","family":"Heredeïbona","given":"Luc Salva","non-dropping-particle":"","parse-names":false,"suffix":""},{"dropping-particle":"","family":"Faou","given":"Alain","non-dropping-particle":"Le","parse-names":false,"suffix":""},{"dropping-particle":"","family":"Delmont","given":"Jean","non-dropping-particle":"","parse-names":false,"suffix":""}],"container-title":"Malaria Research and Treatment","id":"ITEM-4","issued":{"date-parts":[["2011"]]},"page":"1-4","title":"Pattern of the Antimalarials Prescription during Pregnancy in Bangui, Central African Republic","type":"article-journal","volume":"2011"},"uris":["http://www.mendeley.com/documents/?uuid=bab9f581-f2c5-45f8-9251-45c687b41bd2"]}],"mendeley":{"formattedCitation":"(Access &amp; African, 2011; Manirakiza et al., 2011; Niyonkuru et al., 2021; Nkrumah &amp; Sarpong, 2018)"},"properties":{"noteIndex":0},"schema":"https://github.com/citation-style-language/schema/raw/master/csl-citation.json"}</w:instrText>
      </w:r>
      <w:r w:rsidRPr="00EE0D4F">
        <w:rPr>
          <w:rFonts w:asciiTheme="minorBidi" w:eastAsia="Calibri" w:hAnsiTheme="minorBidi" w:cstheme="minorBidi"/>
        </w:rPr>
        <w:fldChar w:fldCharType="separate"/>
      </w:r>
      <w:r w:rsidR="00C57A48" w:rsidRPr="00EE0D4F">
        <w:rPr>
          <w:rFonts w:asciiTheme="minorBidi" w:eastAsia="Calibri" w:hAnsiTheme="minorBidi" w:cstheme="minorBidi"/>
          <w:noProof/>
        </w:rPr>
        <w:t>(Access &amp; African, 2011; Manirakiza et al., 2011; Niyonkuru et al., 2021; Nkrumah &amp; Sarpong, 2018)</w:t>
      </w:r>
      <w:r w:rsidRPr="00EE0D4F">
        <w:rPr>
          <w:rFonts w:asciiTheme="minorBidi" w:eastAsia="Calibri" w:hAnsiTheme="minorBidi" w:cstheme="minorBidi"/>
        </w:rPr>
        <w:fldChar w:fldCharType="end"/>
      </w:r>
      <w:r w:rsidRPr="00EE0D4F">
        <w:rPr>
          <w:rFonts w:asciiTheme="minorBidi" w:eastAsia="Calibri" w:hAnsiTheme="minorBidi" w:cstheme="minorBidi"/>
        </w:rPr>
        <w:t xml:space="preserve"> the use of only intravenous artesunate to complete malaria treatment without adding oral medication or “observe and see” is novel. The clinicians' dilemma with malaria treatment in the first trimester of pregnancy arises from the need to balance the health risks to both the mother and the developing fetus.</w:t>
      </w:r>
    </w:p>
    <w:p w14:paraId="47207797" w14:textId="77777777" w:rsidR="00F6762E" w:rsidRPr="00EE0D4F" w:rsidRDefault="00FB6FC4" w:rsidP="00EE0D4F">
      <w:pPr>
        <w:jc w:val="both"/>
        <w:rPr>
          <w:rFonts w:asciiTheme="minorBidi" w:eastAsia="Calibri" w:hAnsiTheme="minorBidi" w:cstheme="minorBidi"/>
        </w:rPr>
      </w:pPr>
      <w:r w:rsidRPr="00EE0D4F">
        <w:rPr>
          <w:rFonts w:asciiTheme="minorBidi" w:eastAsia="Calibri" w:hAnsiTheme="minorBidi" w:cstheme="minorBidi"/>
        </w:rPr>
        <w:t>Some clinicians also chose not to treat malaria in the first trimester due to concerns about the potential risks associated with antimalarial medications during early pregnancy. This decision was based on the limited data available on drug safety during this fetus-sensitive period and the desire to avoid any potential harm to the developing fetus. Ultimately, the lack of conclusive data on the safety of ACTs during the first trimester poses significant challenges for clinicians.</w:t>
      </w:r>
    </w:p>
    <w:p w14:paraId="310871A9" w14:textId="77777777" w:rsidR="00F6762E" w:rsidRPr="00EE0D4F" w:rsidRDefault="00F6762E" w:rsidP="00EE0D4F">
      <w:pPr>
        <w:jc w:val="both"/>
        <w:rPr>
          <w:rFonts w:asciiTheme="minorBidi" w:eastAsia="Calibri" w:hAnsiTheme="minorBidi" w:cstheme="minorBidi"/>
          <w:color w:val="EE0000"/>
        </w:rPr>
      </w:pPr>
    </w:p>
    <w:p w14:paraId="0BAD2460" w14:textId="57D56820" w:rsidR="00FB6FC4" w:rsidRPr="00EE0D4F" w:rsidRDefault="00F6762E" w:rsidP="00EE0D4F">
      <w:pPr>
        <w:jc w:val="both"/>
        <w:rPr>
          <w:rFonts w:asciiTheme="minorBidi" w:eastAsia="Calibri" w:hAnsiTheme="minorBidi" w:cstheme="minorBidi"/>
          <w:color w:val="EE0000"/>
        </w:rPr>
      </w:pPr>
      <w:r w:rsidRPr="00EE0D4F">
        <w:rPr>
          <w:rFonts w:asciiTheme="minorBidi" w:eastAsia="Calibri" w:hAnsiTheme="minorBidi" w:cstheme="minorBidi"/>
          <w:color w:val="EE0000"/>
        </w:rPr>
        <w:t xml:space="preserve">5. </w:t>
      </w:r>
      <w:r w:rsidRPr="00EE0D4F">
        <w:rPr>
          <w:rFonts w:asciiTheme="minorBidi" w:eastAsia="Calibri" w:hAnsiTheme="minorBidi" w:cstheme="minorBidi"/>
          <w:b/>
          <w:bCs/>
          <w:color w:val="EE0000"/>
        </w:rPr>
        <w:t>LIMITATIONS</w:t>
      </w:r>
      <w:r w:rsidR="00FB6FC4" w:rsidRPr="00EE0D4F">
        <w:rPr>
          <w:rFonts w:asciiTheme="minorBidi" w:eastAsia="Calibri" w:hAnsiTheme="minorBidi" w:cstheme="minorBidi"/>
          <w:color w:val="EE0000"/>
        </w:rPr>
        <w:t xml:space="preserve"> </w:t>
      </w:r>
    </w:p>
    <w:p w14:paraId="2B8E6034" w14:textId="53978034" w:rsidR="00790ADA" w:rsidRPr="00EE0D4F" w:rsidRDefault="00F6762E" w:rsidP="00EE0D4F">
      <w:pPr>
        <w:pStyle w:val="Body"/>
        <w:spacing w:after="0"/>
        <w:rPr>
          <w:rFonts w:asciiTheme="minorBidi" w:hAnsiTheme="minorBidi" w:cstheme="minorBidi"/>
          <w:color w:val="EE0000"/>
        </w:rPr>
      </w:pPr>
      <w:r w:rsidRPr="00EE0D4F">
        <w:rPr>
          <w:rFonts w:asciiTheme="minorBidi" w:hAnsiTheme="minorBidi" w:cstheme="minorBidi"/>
          <w:color w:val="EE0000"/>
        </w:rPr>
        <w:t>The study cannot draw causality as it is a cross-sectional design. Also, the sample size is small, thus generalizations cannot be drawn from this study. Moreso, there may exist chances of reporting bias. However, this study could inform policy around malaria treatment in early pregnancy in Ghana and improve maternal health outcomes of pregnancy. A more robust epidemiological method with large samples could be employed in future studies to advance knowledge on malaria and drug prescription research.</w:t>
      </w:r>
    </w:p>
    <w:p w14:paraId="7C433950" w14:textId="77777777" w:rsidR="00F6762E" w:rsidRPr="00EE0D4F" w:rsidRDefault="00F6762E" w:rsidP="00EE0D4F">
      <w:pPr>
        <w:pStyle w:val="Body"/>
        <w:spacing w:after="0"/>
        <w:rPr>
          <w:rFonts w:asciiTheme="minorBidi" w:hAnsiTheme="minorBidi" w:cstheme="minorBidi"/>
          <w:color w:val="EE0000"/>
        </w:rPr>
      </w:pPr>
    </w:p>
    <w:p w14:paraId="100D6676" w14:textId="595F5517" w:rsidR="00B01FCD" w:rsidRPr="00EE0D4F" w:rsidRDefault="00F6762E" w:rsidP="00EE0D4F">
      <w:pPr>
        <w:pStyle w:val="ConcHead"/>
        <w:spacing w:after="0"/>
        <w:jc w:val="both"/>
        <w:rPr>
          <w:rFonts w:asciiTheme="minorBidi" w:hAnsiTheme="minorBidi" w:cstheme="minorBidi"/>
          <w:color w:val="EE0000"/>
          <w:sz w:val="20"/>
        </w:rPr>
      </w:pPr>
      <w:r w:rsidRPr="00EE0D4F">
        <w:rPr>
          <w:rFonts w:asciiTheme="minorBidi" w:hAnsiTheme="minorBidi" w:cstheme="minorBidi"/>
          <w:color w:val="EE0000"/>
          <w:sz w:val="20"/>
        </w:rPr>
        <w:t>6</w:t>
      </w:r>
      <w:r w:rsidR="00000F8F" w:rsidRPr="00EE0D4F">
        <w:rPr>
          <w:rFonts w:asciiTheme="minorBidi" w:hAnsiTheme="minorBidi" w:cstheme="minorBidi"/>
          <w:color w:val="EE0000"/>
          <w:sz w:val="20"/>
        </w:rPr>
        <w:t xml:space="preserve">. </w:t>
      </w:r>
      <w:r w:rsidR="00B01FCD" w:rsidRPr="00EE0D4F">
        <w:rPr>
          <w:rFonts w:asciiTheme="minorBidi" w:hAnsiTheme="minorBidi" w:cstheme="minorBidi"/>
          <w:color w:val="EE0000"/>
          <w:sz w:val="20"/>
        </w:rPr>
        <w:t>Conclusion</w:t>
      </w:r>
      <w:r w:rsidR="00EE0D4F">
        <w:rPr>
          <w:rFonts w:asciiTheme="minorBidi" w:hAnsiTheme="minorBidi" w:cstheme="minorBidi"/>
          <w:color w:val="EE0000"/>
          <w:sz w:val="20"/>
        </w:rPr>
        <w:t>S</w:t>
      </w:r>
    </w:p>
    <w:p w14:paraId="6D207FDA" w14:textId="77777777" w:rsidR="00790ADA" w:rsidRPr="00EE0D4F" w:rsidRDefault="00790ADA" w:rsidP="00EE0D4F">
      <w:pPr>
        <w:pStyle w:val="ConcHead"/>
        <w:spacing w:after="0"/>
        <w:jc w:val="both"/>
        <w:rPr>
          <w:rFonts w:asciiTheme="minorBidi" w:hAnsiTheme="minorBidi" w:cstheme="minorBidi"/>
          <w:sz w:val="20"/>
        </w:rPr>
      </w:pPr>
    </w:p>
    <w:p w14:paraId="587C75EC" w14:textId="77777777" w:rsidR="00EB45D6" w:rsidRPr="00EE0D4F" w:rsidRDefault="00EB45D6" w:rsidP="00EE0D4F">
      <w:pPr>
        <w:jc w:val="both"/>
        <w:rPr>
          <w:rFonts w:asciiTheme="minorBidi" w:eastAsia="Calibri" w:hAnsiTheme="minorBidi" w:cstheme="minorBidi"/>
        </w:rPr>
      </w:pPr>
      <w:r w:rsidRPr="00EE0D4F">
        <w:rPr>
          <w:rFonts w:asciiTheme="minorBidi" w:eastAsia="Calibri" w:hAnsiTheme="minorBidi" w:cstheme="minorBidi"/>
        </w:rPr>
        <w:t>The study showed that most respondents were between the ages of 26-35 years. Malaria prevalence was high in the second trimester and the majority were multigravida. Most of the malaria cases were diagnosed using microscopy with the majority being uncomplicated malaria. The study revealed that clinicians’ compliance with the guidelines was very low in the first trimester. Compliance was 100% in the third trimester. Laboratory tests, signs and symptoms, and gestation age of the pregnancy were found to be associated with treatment compliance</w:t>
      </w:r>
      <w:r w:rsidRPr="00EE0D4F">
        <w:rPr>
          <w:rFonts w:asciiTheme="minorBidi" w:hAnsiTheme="minorBidi" w:cstheme="minorBidi"/>
        </w:rPr>
        <w:t xml:space="preserve">. </w:t>
      </w:r>
      <w:r w:rsidRPr="00EE0D4F">
        <w:rPr>
          <w:rFonts w:asciiTheme="minorBidi" w:eastAsia="Calibri" w:hAnsiTheme="minorBidi" w:cstheme="minorBidi"/>
        </w:rPr>
        <w:t>Other factors include clinicians’ experiences such as fear of medication side effects, patient health beliefs and adherence, professional norms, and the location or level of the health facility influenced compliance. The study revealed that clinicians were in a dilemma to treat or monitor for progress of symptoms. There is the need to monitor clinicians’ compliance with the guidelines for malaria treatment in pregnancy and ensure clinicians comply or address challenges in the guideline to protect pregnant women with malaria.</w:t>
      </w:r>
    </w:p>
    <w:p w14:paraId="729C3B98" w14:textId="77777777" w:rsidR="00037767" w:rsidRPr="00EE0D4F" w:rsidRDefault="00037767" w:rsidP="00EE0D4F">
      <w:pPr>
        <w:jc w:val="both"/>
        <w:rPr>
          <w:rFonts w:asciiTheme="minorBidi" w:eastAsia="Calibri" w:hAnsiTheme="minorBidi" w:cstheme="minorBidi"/>
        </w:rPr>
      </w:pPr>
    </w:p>
    <w:p w14:paraId="3965B82F" w14:textId="22D782C8" w:rsidR="00315186" w:rsidRPr="00EE0D4F" w:rsidRDefault="00EE0D4F" w:rsidP="00EE0D4F">
      <w:pPr>
        <w:rPr>
          <w:rFonts w:asciiTheme="minorBidi" w:hAnsiTheme="minorBidi" w:cstheme="minorBidi"/>
          <w:b/>
          <w:bCs/>
        </w:rPr>
      </w:pPr>
      <w:r w:rsidRPr="00EE0D4F">
        <w:rPr>
          <w:rFonts w:asciiTheme="minorBidi" w:hAnsiTheme="minorBidi" w:cstheme="minorBidi"/>
        </w:rPr>
        <w:t xml:space="preserve">7. </w:t>
      </w:r>
      <w:r w:rsidRPr="00EE0D4F">
        <w:rPr>
          <w:rFonts w:asciiTheme="minorBidi" w:hAnsiTheme="minorBidi" w:cstheme="minorBidi"/>
          <w:b/>
          <w:bCs/>
        </w:rPr>
        <w:t>RECOMMENDATIONS</w:t>
      </w:r>
    </w:p>
    <w:p w14:paraId="66644F5F" w14:textId="77777777" w:rsidR="00EE0D4F" w:rsidRPr="00EE0D4F" w:rsidRDefault="00EE0D4F" w:rsidP="00EE0D4F">
      <w:pPr>
        <w:pStyle w:val="ListParagraph"/>
        <w:numPr>
          <w:ilvl w:val="0"/>
          <w:numId w:val="31"/>
        </w:numPr>
        <w:spacing w:after="160"/>
        <w:ind w:left="0" w:firstLine="0"/>
        <w:jc w:val="both"/>
        <w:rPr>
          <w:rFonts w:asciiTheme="minorBidi" w:hAnsiTheme="minorBidi" w:cstheme="minorBidi"/>
          <w:color w:val="EE0000"/>
        </w:rPr>
      </w:pPr>
      <w:r w:rsidRPr="00EE0D4F">
        <w:rPr>
          <w:rFonts w:asciiTheme="minorBidi" w:hAnsiTheme="minorBidi" w:cstheme="minorBidi"/>
          <w:color w:val="EE0000"/>
        </w:rPr>
        <w:t>The Ghana Health Services should be proactive in changing the standard treatment guideline to recommend artemether-lumefantrine for the treatment of malaria in the first trimester of pregnancy following the WHO November 2022 updates to save pregnant women in the first trimester from the disastrous effects of falciparum malaria.</w:t>
      </w:r>
    </w:p>
    <w:p w14:paraId="3145E36D" w14:textId="77777777" w:rsidR="00EE0D4F" w:rsidRPr="00EE0D4F" w:rsidRDefault="00EE0D4F" w:rsidP="00EE0D4F">
      <w:pPr>
        <w:pStyle w:val="ListParagraph"/>
        <w:numPr>
          <w:ilvl w:val="0"/>
          <w:numId w:val="31"/>
        </w:numPr>
        <w:spacing w:after="160"/>
        <w:ind w:left="0" w:firstLine="0"/>
        <w:jc w:val="both"/>
        <w:rPr>
          <w:rFonts w:asciiTheme="minorBidi" w:hAnsiTheme="minorBidi" w:cstheme="minorBidi"/>
          <w:color w:val="EE0000"/>
        </w:rPr>
      </w:pPr>
      <w:r w:rsidRPr="00EE0D4F">
        <w:rPr>
          <w:rFonts w:asciiTheme="minorBidi" w:hAnsiTheme="minorBidi" w:cstheme="minorBidi"/>
          <w:color w:val="EE0000"/>
        </w:rPr>
        <w:t>For the updates to reach end users, Ghana Health Services should use various media of communications such as workshops, clinical meetings, and press releases, to promptly communicate the change of guidelines before the change of the standard guidelines which was last updated in November 2017.</w:t>
      </w:r>
    </w:p>
    <w:p w14:paraId="6132A65C" w14:textId="77777777" w:rsidR="00EE0D4F" w:rsidRPr="00EE0D4F" w:rsidRDefault="00EE0D4F" w:rsidP="00EE0D4F">
      <w:pPr>
        <w:pStyle w:val="ListParagraph"/>
        <w:numPr>
          <w:ilvl w:val="0"/>
          <w:numId w:val="31"/>
        </w:numPr>
        <w:spacing w:after="160"/>
        <w:ind w:left="0" w:firstLine="0"/>
        <w:jc w:val="both"/>
        <w:rPr>
          <w:rFonts w:asciiTheme="minorBidi" w:hAnsiTheme="minorBidi" w:cstheme="minorBidi"/>
          <w:color w:val="EE0000"/>
        </w:rPr>
      </w:pPr>
      <w:r w:rsidRPr="00EE0D4F">
        <w:rPr>
          <w:rFonts w:asciiTheme="minorBidi" w:hAnsiTheme="minorBidi" w:cstheme="minorBidi"/>
          <w:color w:val="EE0000"/>
        </w:rPr>
        <w:t>Malaria treatment with quinine should be expunged from the guidelines to protect pregnant and their babies.</w:t>
      </w:r>
    </w:p>
    <w:p w14:paraId="6F25087C" w14:textId="77777777" w:rsidR="00EE0D4F" w:rsidRPr="00EE0D4F" w:rsidRDefault="00EE0D4F" w:rsidP="00EE0D4F">
      <w:pPr>
        <w:pStyle w:val="ListParagraph"/>
        <w:numPr>
          <w:ilvl w:val="0"/>
          <w:numId w:val="31"/>
        </w:numPr>
        <w:spacing w:after="160"/>
        <w:ind w:left="0" w:firstLine="0"/>
        <w:jc w:val="both"/>
        <w:rPr>
          <w:rFonts w:asciiTheme="minorBidi" w:hAnsiTheme="minorBidi" w:cstheme="minorBidi"/>
          <w:color w:val="EE0000"/>
        </w:rPr>
      </w:pPr>
      <w:r w:rsidRPr="00EE0D4F">
        <w:rPr>
          <w:rFonts w:asciiTheme="minorBidi" w:hAnsiTheme="minorBidi" w:cstheme="minorBidi"/>
          <w:color w:val="EE0000"/>
        </w:rPr>
        <w:t>The World Health Organization should also prioritize clinicians’ experiences in updating treatment guidelines, especially in special groups such as pregnant women with whom clinical trials are not feasible since clinicians’ experiences might represent one count with a hundred cases' experience.</w:t>
      </w:r>
    </w:p>
    <w:p w14:paraId="7AC380EB" w14:textId="77777777" w:rsidR="00EE0D4F" w:rsidRPr="00EE0D4F" w:rsidRDefault="00EE0D4F" w:rsidP="00EE0D4F">
      <w:pPr>
        <w:pStyle w:val="ListParagraph"/>
        <w:numPr>
          <w:ilvl w:val="0"/>
          <w:numId w:val="31"/>
        </w:numPr>
        <w:spacing w:after="160"/>
        <w:ind w:left="0" w:firstLine="0"/>
        <w:jc w:val="both"/>
        <w:rPr>
          <w:rFonts w:asciiTheme="minorBidi" w:hAnsiTheme="minorBidi" w:cstheme="minorBidi"/>
          <w:color w:val="EE0000"/>
        </w:rPr>
      </w:pPr>
      <w:r w:rsidRPr="00EE0D4F">
        <w:rPr>
          <w:rFonts w:asciiTheme="minorBidi" w:hAnsiTheme="minorBidi" w:cstheme="minorBidi"/>
          <w:color w:val="EE0000"/>
        </w:rPr>
        <w:lastRenderedPageBreak/>
        <w:t>The Ghana Health Services should undertake periodic monitoring at health facilities to be abreast with changes in the efficacies of recommended treatment options to inform future policy decisions.</w:t>
      </w:r>
    </w:p>
    <w:p w14:paraId="3935AB96" w14:textId="77777777" w:rsidR="00EE0D4F" w:rsidRPr="00EE0D4F" w:rsidRDefault="00EE0D4F" w:rsidP="00EE0D4F">
      <w:pPr>
        <w:pStyle w:val="ListParagraph"/>
        <w:numPr>
          <w:ilvl w:val="0"/>
          <w:numId w:val="31"/>
        </w:numPr>
        <w:spacing w:after="160"/>
        <w:ind w:left="0" w:firstLine="0"/>
        <w:jc w:val="both"/>
        <w:rPr>
          <w:rFonts w:asciiTheme="minorBidi" w:hAnsiTheme="minorBidi" w:cstheme="minorBidi"/>
          <w:color w:val="EE0000"/>
        </w:rPr>
      </w:pPr>
      <w:r w:rsidRPr="00EE0D4F">
        <w:rPr>
          <w:rFonts w:asciiTheme="minorBidi" w:hAnsiTheme="minorBidi" w:cstheme="minorBidi"/>
          <w:color w:val="EE0000"/>
        </w:rPr>
        <w:t>There should be periodic malaria management workshops by the health directorate and the hospitals to update clinicians on emerging trends in the management of conditions gathered from clinicians’ experiences.</w:t>
      </w:r>
    </w:p>
    <w:p w14:paraId="5B0468D7" w14:textId="77777777" w:rsidR="00EE0D4F" w:rsidRPr="00EE0D4F" w:rsidRDefault="00EE0D4F" w:rsidP="00EE0D4F">
      <w:pPr>
        <w:pStyle w:val="ListParagraph"/>
        <w:numPr>
          <w:ilvl w:val="0"/>
          <w:numId w:val="31"/>
        </w:numPr>
        <w:spacing w:after="160"/>
        <w:ind w:left="0" w:firstLine="0"/>
        <w:jc w:val="both"/>
        <w:rPr>
          <w:rFonts w:asciiTheme="minorBidi" w:hAnsiTheme="minorBidi" w:cstheme="minorBidi"/>
          <w:color w:val="EE0000"/>
        </w:rPr>
      </w:pPr>
      <w:r w:rsidRPr="00EE0D4F">
        <w:rPr>
          <w:rFonts w:asciiTheme="minorBidi" w:hAnsiTheme="minorBidi" w:cstheme="minorBidi"/>
          <w:color w:val="EE0000"/>
        </w:rPr>
        <w:t>Clinicians should share their experiences utilizing social media, clinical forums, and workshops to enhance clinical practices.</w:t>
      </w:r>
    </w:p>
    <w:p w14:paraId="5FAE34A9" w14:textId="50FCCCEA" w:rsidR="002B685A" w:rsidRPr="00EE0D4F" w:rsidRDefault="00EE0D4F" w:rsidP="00EE0D4F">
      <w:pPr>
        <w:pStyle w:val="ListParagraph"/>
        <w:numPr>
          <w:ilvl w:val="0"/>
          <w:numId w:val="31"/>
        </w:numPr>
        <w:spacing w:after="160"/>
        <w:ind w:left="0" w:firstLine="0"/>
        <w:jc w:val="both"/>
        <w:rPr>
          <w:rFonts w:asciiTheme="minorBidi" w:hAnsiTheme="minorBidi" w:cstheme="minorBidi"/>
          <w:color w:val="EE0000"/>
        </w:rPr>
      </w:pPr>
      <w:r w:rsidRPr="00EE0D4F">
        <w:rPr>
          <w:rFonts w:asciiTheme="minorBidi" w:hAnsiTheme="minorBidi" w:cstheme="minorBidi"/>
          <w:color w:val="EE0000"/>
        </w:rPr>
        <w:t>Malaria preventive measures during pregnancy should be enhanced to protect pregnant women from contracting the protozoan parasites that will pose diagnosis and treatment challenges to clinicians and women. More specifically, there is a need to add malaria diagnosis and treatment to preconception care and strengthen the use of the existing malaria prevention measures.</w:t>
      </w:r>
    </w:p>
    <w:p w14:paraId="39273221" w14:textId="66A9BA8A" w:rsidR="002B685A" w:rsidRPr="00EE0D4F" w:rsidRDefault="002B685A" w:rsidP="00EE0D4F">
      <w:pPr>
        <w:pStyle w:val="ReferHead"/>
        <w:spacing w:after="0"/>
        <w:jc w:val="both"/>
        <w:rPr>
          <w:rFonts w:asciiTheme="minorBidi" w:hAnsiTheme="minorBidi" w:cstheme="minorBidi"/>
          <w:bCs/>
          <w:sz w:val="20"/>
        </w:rPr>
      </w:pPr>
      <w:r w:rsidRPr="00EE0D4F">
        <w:rPr>
          <w:rFonts w:asciiTheme="minorBidi" w:hAnsiTheme="minorBidi" w:cstheme="minorBidi"/>
          <w:bCs/>
          <w:sz w:val="20"/>
        </w:rPr>
        <w:t xml:space="preserve">Consent </w:t>
      </w:r>
    </w:p>
    <w:p w14:paraId="2FBAE3B2" w14:textId="77777777" w:rsidR="002B685A" w:rsidRPr="00EE0D4F" w:rsidRDefault="002B685A" w:rsidP="00EE0D4F">
      <w:pPr>
        <w:pStyle w:val="ReferHead"/>
        <w:spacing w:after="0"/>
        <w:jc w:val="both"/>
        <w:rPr>
          <w:rFonts w:asciiTheme="minorBidi" w:hAnsiTheme="minorBidi" w:cstheme="minorBidi"/>
          <w:bCs/>
          <w:sz w:val="20"/>
        </w:rPr>
      </w:pPr>
    </w:p>
    <w:p w14:paraId="4CED03AD" w14:textId="0DBAF57F" w:rsidR="001A29D8" w:rsidRPr="00EE0D4F" w:rsidRDefault="001A29D8" w:rsidP="00EE0D4F">
      <w:pPr>
        <w:pStyle w:val="ReferHead"/>
        <w:spacing w:after="0"/>
        <w:jc w:val="both"/>
        <w:rPr>
          <w:rFonts w:asciiTheme="minorBidi" w:hAnsiTheme="minorBidi" w:cstheme="minorBidi"/>
          <w:b w:val="0"/>
          <w:caps w:val="0"/>
          <w:sz w:val="20"/>
        </w:rPr>
      </w:pPr>
      <w:r w:rsidRPr="00EE0D4F">
        <w:rPr>
          <w:rFonts w:asciiTheme="minorBidi" w:hAnsiTheme="minorBidi" w:cstheme="minorBidi"/>
          <w:b w:val="0"/>
          <w:caps w:val="0"/>
          <w:sz w:val="20"/>
        </w:rPr>
        <w:t>All authors declare that ‘written informed consent was obtained from the patient (or other approved parties)</w:t>
      </w:r>
      <w:r w:rsidR="00037767" w:rsidRPr="00EE0D4F">
        <w:rPr>
          <w:rFonts w:asciiTheme="minorBidi" w:hAnsiTheme="minorBidi" w:cstheme="minorBidi"/>
          <w:b w:val="0"/>
          <w:caps w:val="0"/>
          <w:sz w:val="20"/>
        </w:rPr>
        <w:t xml:space="preserve">. </w:t>
      </w:r>
    </w:p>
    <w:p w14:paraId="3BB2F225" w14:textId="10B27FE1" w:rsidR="001A29D8" w:rsidRPr="00EE0D4F" w:rsidRDefault="00037767" w:rsidP="00EE0D4F">
      <w:pPr>
        <w:pStyle w:val="ReferHead"/>
        <w:spacing w:after="0"/>
        <w:jc w:val="both"/>
        <w:rPr>
          <w:rFonts w:asciiTheme="minorBidi" w:hAnsiTheme="minorBidi" w:cstheme="minorBidi"/>
          <w:b w:val="0"/>
          <w:caps w:val="0"/>
          <w:sz w:val="20"/>
        </w:rPr>
      </w:pPr>
      <w:r w:rsidRPr="00EE0D4F">
        <w:rPr>
          <w:rFonts w:asciiTheme="minorBidi" w:hAnsiTheme="minorBidi" w:cstheme="minorBidi"/>
          <w:b w:val="0"/>
          <w:caps w:val="0"/>
          <w:sz w:val="20"/>
        </w:rPr>
        <w:t>Respondents were given consent forms to read and understand before being interviewed. Those who agreed to take part of the study gave their consent by signing as they we are literate and understand English. Husbands acted as surrogates and consented on behalf of their wives who were under the age of 18 years after explaining the study's rationale, benefits, and potential hazards to them. Anonymity was achieved by them using codes.</w:t>
      </w:r>
    </w:p>
    <w:p w14:paraId="5B00374D" w14:textId="77777777" w:rsidR="005C784C" w:rsidRPr="00EE0D4F" w:rsidRDefault="005C784C" w:rsidP="00EE0D4F">
      <w:pPr>
        <w:pStyle w:val="ReferHead"/>
        <w:spacing w:after="0"/>
        <w:jc w:val="both"/>
        <w:rPr>
          <w:rFonts w:asciiTheme="minorBidi" w:hAnsiTheme="minorBidi" w:cstheme="minorBidi"/>
          <w:b w:val="0"/>
          <w:caps w:val="0"/>
          <w:sz w:val="20"/>
        </w:rPr>
      </w:pPr>
    </w:p>
    <w:p w14:paraId="32567837" w14:textId="68D4E51F" w:rsidR="005C784C" w:rsidRPr="00EE0D4F" w:rsidRDefault="005C784C" w:rsidP="00EE0D4F">
      <w:pPr>
        <w:pStyle w:val="ReferHead"/>
        <w:spacing w:after="0"/>
        <w:jc w:val="both"/>
        <w:rPr>
          <w:rFonts w:asciiTheme="minorBidi" w:hAnsiTheme="minorBidi" w:cstheme="minorBidi"/>
          <w:bCs/>
          <w:sz w:val="20"/>
        </w:rPr>
      </w:pPr>
      <w:r w:rsidRPr="00EE0D4F">
        <w:rPr>
          <w:rFonts w:asciiTheme="minorBidi" w:hAnsiTheme="minorBidi" w:cstheme="minorBidi"/>
          <w:bCs/>
          <w:sz w:val="20"/>
        </w:rPr>
        <w:t xml:space="preserve">Ethical approval </w:t>
      </w:r>
    </w:p>
    <w:p w14:paraId="3A4E9765" w14:textId="77777777" w:rsidR="005C784C" w:rsidRPr="00EE0D4F" w:rsidRDefault="005C784C" w:rsidP="00EE0D4F">
      <w:pPr>
        <w:pStyle w:val="ReferHead"/>
        <w:spacing w:after="0"/>
        <w:jc w:val="both"/>
        <w:rPr>
          <w:rFonts w:asciiTheme="minorBidi" w:hAnsiTheme="minorBidi" w:cstheme="minorBidi"/>
          <w:bCs/>
          <w:sz w:val="20"/>
        </w:rPr>
      </w:pPr>
    </w:p>
    <w:p w14:paraId="0F881CC9" w14:textId="7162ED32" w:rsidR="0041027F" w:rsidRPr="00EE0D4F" w:rsidRDefault="00037767" w:rsidP="00EE0D4F">
      <w:pPr>
        <w:pStyle w:val="ReferHead"/>
        <w:spacing w:after="0"/>
        <w:jc w:val="both"/>
        <w:rPr>
          <w:rFonts w:asciiTheme="minorBidi" w:hAnsiTheme="minorBidi" w:cstheme="minorBidi"/>
          <w:b w:val="0"/>
          <w:bCs/>
          <w:caps w:val="0"/>
          <w:sz w:val="20"/>
        </w:rPr>
      </w:pPr>
      <w:r w:rsidRPr="00EE0D4F">
        <w:rPr>
          <w:rFonts w:asciiTheme="minorBidi" w:eastAsia="Calibri" w:hAnsiTheme="minorBidi" w:cstheme="minorBidi"/>
          <w:b w:val="0"/>
          <w:bCs/>
          <w:caps w:val="0"/>
          <w:sz w:val="20"/>
        </w:rPr>
        <w:t xml:space="preserve">Ethical approval for the study was sought from the institutional review board of the university for development studies with approval number </w:t>
      </w:r>
      <w:r w:rsidRPr="00EE0D4F">
        <w:rPr>
          <w:rFonts w:asciiTheme="minorBidi" w:eastAsia="Calibri" w:hAnsiTheme="minorBidi" w:cstheme="minorBidi"/>
          <w:b w:val="0"/>
          <w:bCs/>
          <w:caps w:val="0"/>
          <w:sz w:val="20"/>
          <w:vertAlign w:val="subscript"/>
        </w:rPr>
        <w:t>UDS/RB</w:t>
      </w:r>
      <w:r w:rsidRPr="00EE0D4F">
        <w:rPr>
          <w:rFonts w:asciiTheme="minorBidi" w:eastAsia="Calibri" w:hAnsiTheme="minorBidi" w:cstheme="minorBidi"/>
          <w:b w:val="0"/>
          <w:bCs/>
          <w:caps w:val="0"/>
          <w:sz w:val="20"/>
        </w:rPr>
        <w:t>/159/23. Written permission to conduct the study was also obtained from the regional health directorate, the tamale metropolitan health directorate, and research and development unit of the tamale teaching hospital before conducting this study. Permission to take data was given by management of tamale reproductive and child health center, universal health clinic, and the tamale teaching hospitals. Verbal and written consent was sorted from all respondents before enrolment in the interview. To guarantee confidentiality, respondents were assigned names rather than their real names.</w:t>
      </w:r>
      <w:r w:rsidRPr="00EE0D4F">
        <w:rPr>
          <w:rFonts w:asciiTheme="minorBidi" w:hAnsiTheme="minorBidi" w:cstheme="minorBidi"/>
          <w:b w:val="0"/>
          <w:bCs/>
          <w:caps w:val="0"/>
          <w:sz w:val="20"/>
        </w:rPr>
        <w:t xml:space="preserve"> All authors hereby declare that a</w:t>
      </w:r>
      <w:r w:rsidR="0041027F" w:rsidRPr="00EE0D4F">
        <w:rPr>
          <w:rFonts w:asciiTheme="minorBidi" w:hAnsiTheme="minorBidi" w:cstheme="minorBidi"/>
          <w:b w:val="0"/>
          <w:bCs/>
          <w:caps w:val="0"/>
          <w:sz w:val="20"/>
        </w:rPr>
        <w:t xml:space="preserve">ll </w:t>
      </w:r>
      <w:r w:rsidR="00F469F0" w:rsidRPr="00EE0D4F">
        <w:rPr>
          <w:rFonts w:asciiTheme="minorBidi" w:hAnsiTheme="minorBidi" w:cstheme="minorBidi"/>
          <w:b w:val="0"/>
          <w:bCs/>
          <w:caps w:val="0"/>
          <w:sz w:val="20"/>
        </w:rPr>
        <w:t>experiments</w:t>
      </w:r>
      <w:r w:rsidR="0041027F" w:rsidRPr="00EE0D4F">
        <w:rPr>
          <w:rFonts w:asciiTheme="minorBidi" w:hAnsiTheme="minorBidi" w:cstheme="minorBidi"/>
          <w:b w:val="0"/>
          <w:bCs/>
          <w:caps w:val="0"/>
          <w:sz w:val="20"/>
        </w:rPr>
        <w:t xml:space="preserve"> have been examined</w:t>
      </w:r>
      <w:r w:rsidR="001A29D8" w:rsidRPr="00EE0D4F">
        <w:rPr>
          <w:rFonts w:asciiTheme="minorBidi" w:hAnsiTheme="minorBidi" w:cstheme="minorBidi"/>
          <w:b w:val="0"/>
          <w:bCs/>
          <w:caps w:val="0"/>
          <w:sz w:val="20"/>
        </w:rPr>
        <w:t xml:space="preserve"> and approved</w:t>
      </w:r>
      <w:r w:rsidRPr="00EE0D4F">
        <w:rPr>
          <w:rFonts w:asciiTheme="minorBidi" w:hAnsiTheme="minorBidi" w:cstheme="minorBidi"/>
          <w:b w:val="0"/>
          <w:bCs/>
          <w:caps w:val="0"/>
          <w:sz w:val="20"/>
        </w:rPr>
        <w:t xml:space="preserve"> by the appropriate ethics committee and have therefore been performed in accordance with the ethical standards laid down in the 1964 declaration of Helsinki.</w:t>
      </w:r>
      <w:r w:rsidRPr="00EE0D4F">
        <w:rPr>
          <w:rFonts w:asciiTheme="minorBidi" w:hAnsiTheme="minorBidi" w:cstheme="minorBidi"/>
          <w:b w:val="0"/>
          <w:bCs/>
          <w:caps w:val="0"/>
          <w:sz w:val="20"/>
          <w:u w:val="single"/>
        </w:rPr>
        <w:t xml:space="preserve"> </w:t>
      </w:r>
    </w:p>
    <w:p w14:paraId="73C4FD4B" w14:textId="36800AEA" w:rsidR="00860000" w:rsidRPr="00EE0D4F" w:rsidRDefault="00860000" w:rsidP="00EE0D4F">
      <w:pPr>
        <w:pStyle w:val="ReferHead"/>
        <w:spacing w:after="0"/>
        <w:jc w:val="both"/>
        <w:rPr>
          <w:rFonts w:asciiTheme="minorBidi" w:hAnsiTheme="minorBidi" w:cstheme="minorBidi"/>
          <w:sz w:val="20"/>
        </w:rPr>
      </w:pPr>
    </w:p>
    <w:p w14:paraId="692F7BFC" w14:textId="5DB46F9A" w:rsidR="00A12743" w:rsidRPr="00EE0D4F" w:rsidRDefault="00A12743" w:rsidP="00EE0D4F">
      <w:pPr>
        <w:pStyle w:val="ReferHead"/>
        <w:spacing w:after="0"/>
        <w:jc w:val="both"/>
        <w:rPr>
          <w:rFonts w:asciiTheme="minorBidi" w:hAnsiTheme="minorBidi" w:cstheme="minorBidi"/>
          <w:sz w:val="20"/>
        </w:rPr>
      </w:pPr>
    </w:p>
    <w:p w14:paraId="2BCEB564" w14:textId="77777777" w:rsidR="00A12743" w:rsidRPr="00EE0D4F" w:rsidRDefault="00A12743" w:rsidP="00EE0D4F">
      <w:pPr>
        <w:spacing w:after="200"/>
        <w:rPr>
          <w:rFonts w:asciiTheme="minorBidi" w:eastAsia="Calibri" w:hAnsiTheme="minorBidi" w:cstheme="minorBidi"/>
          <w:kern w:val="2"/>
          <w:highlight w:val="yellow"/>
          <w14:ligatures w14:val="standardContextual"/>
        </w:rPr>
      </w:pPr>
      <w:r w:rsidRPr="00EE0D4F">
        <w:rPr>
          <w:rFonts w:asciiTheme="minorBidi" w:eastAsia="Calibri" w:hAnsiTheme="minorBidi" w:cstheme="minorBidi"/>
          <w:kern w:val="2"/>
          <w:highlight w:val="yellow"/>
          <w14:ligatures w14:val="standardContextual"/>
        </w:rPr>
        <w:t>Disclaimer (Artificial intelligence)</w:t>
      </w:r>
    </w:p>
    <w:p w14:paraId="341175E6" w14:textId="77777777" w:rsidR="00A12743" w:rsidRPr="00EE0D4F" w:rsidRDefault="00A12743" w:rsidP="00EE0D4F">
      <w:pPr>
        <w:spacing w:after="200"/>
        <w:rPr>
          <w:rFonts w:asciiTheme="minorBidi" w:eastAsia="Calibri" w:hAnsiTheme="minorBidi" w:cstheme="minorBidi"/>
          <w:kern w:val="2"/>
          <w:highlight w:val="yellow"/>
          <w14:ligatures w14:val="standardContextual"/>
        </w:rPr>
      </w:pPr>
      <w:r w:rsidRPr="00EE0D4F">
        <w:rPr>
          <w:rFonts w:asciiTheme="minorBidi" w:eastAsia="Calibri" w:hAnsiTheme="minorBidi" w:cstheme="minorBidi"/>
          <w:kern w:val="2"/>
          <w:highlight w:val="yellow"/>
          <w14:ligatures w14:val="standardContextual"/>
        </w:rPr>
        <w:t xml:space="preserve">Option 1: </w:t>
      </w:r>
    </w:p>
    <w:p w14:paraId="1CE4D7B7" w14:textId="77777777" w:rsidR="00A12743" w:rsidRPr="00EE0D4F" w:rsidRDefault="00A12743" w:rsidP="00EE0D4F">
      <w:pPr>
        <w:spacing w:after="200"/>
        <w:rPr>
          <w:rFonts w:asciiTheme="minorBidi" w:eastAsia="Calibri" w:hAnsiTheme="minorBidi" w:cstheme="minorBidi"/>
          <w:kern w:val="2"/>
          <w:highlight w:val="yellow"/>
          <w14:ligatures w14:val="standardContextual"/>
        </w:rPr>
      </w:pPr>
      <w:r w:rsidRPr="00EE0D4F">
        <w:rPr>
          <w:rFonts w:asciiTheme="minorBidi" w:eastAsia="Calibri" w:hAnsiTheme="minorBidi" w:cstheme="minorBidi"/>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234552F" w14:textId="77777777" w:rsidR="00A12743" w:rsidRPr="00EE0D4F" w:rsidRDefault="00A12743" w:rsidP="00EE0D4F">
      <w:pPr>
        <w:spacing w:after="200"/>
        <w:rPr>
          <w:rFonts w:asciiTheme="minorBidi" w:eastAsia="Calibri" w:hAnsiTheme="minorBidi" w:cstheme="minorBidi"/>
          <w:kern w:val="2"/>
          <w:highlight w:val="yellow"/>
          <w14:ligatures w14:val="standardContextual"/>
        </w:rPr>
      </w:pPr>
      <w:r w:rsidRPr="00EE0D4F">
        <w:rPr>
          <w:rFonts w:asciiTheme="minorBidi" w:eastAsia="Calibri" w:hAnsiTheme="minorBidi" w:cstheme="minorBidi"/>
          <w:kern w:val="2"/>
          <w:highlight w:val="yellow"/>
          <w14:ligatures w14:val="standardContextual"/>
        </w:rPr>
        <w:t xml:space="preserve">Option 2: </w:t>
      </w:r>
    </w:p>
    <w:p w14:paraId="7CB4AD69" w14:textId="77777777" w:rsidR="00A12743" w:rsidRPr="00EE0D4F" w:rsidRDefault="00A12743" w:rsidP="00EE0D4F">
      <w:pPr>
        <w:spacing w:after="200"/>
        <w:rPr>
          <w:rFonts w:asciiTheme="minorBidi" w:eastAsia="Calibri" w:hAnsiTheme="minorBidi" w:cstheme="minorBidi"/>
          <w:kern w:val="2"/>
          <w:highlight w:val="yellow"/>
          <w14:ligatures w14:val="standardContextual"/>
        </w:rPr>
      </w:pPr>
      <w:r w:rsidRPr="00EE0D4F">
        <w:rPr>
          <w:rFonts w:asciiTheme="minorBidi" w:eastAsia="Calibri" w:hAnsiTheme="minorBidi" w:cstheme="minorBidi"/>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6D7DF8" w14:textId="77777777" w:rsidR="00A12743" w:rsidRPr="00EE0D4F" w:rsidRDefault="00A12743" w:rsidP="00EE0D4F">
      <w:pPr>
        <w:spacing w:after="200"/>
        <w:rPr>
          <w:rFonts w:asciiTheme="minorBidi" w:eastAsia="Calibri" w:hAnsiTheme="minorBidi" w:cstheme="minorBidi"/>
          <w:kern w:val="2"/>
          <w:highlight w:val="yellow"/>
          <w14:ligatures w14:val="standardContextual"/>
        </w:rPr>
      </w:pPr>
      <w:r w:rsidRPr="00EE0D4F">
        <w:rPr>
          <w:rFonts w:asciiTheme="minorBidi" w:eastAsia="Calibri" w:hAnsiTheme="minorBidi" w:cstheme="minorBidi"/>
          <w:kern w:val="2"/>
          <w:highlight w:val="yellow"/>
          <w14:ligatures w14:val="standardContextual"/>
        </w:rPr>
        <w:lastRenderedPageBreak/>
        <w:t>Details of the AI usage are given below:</w:t>
      </w:r>
    </w:p>
    <w:p w14:paraId="1586716E" w14:textId="77777777" w:rsidR="00A12743" w:rsidRPr="00EE0D4F" w:rsidRDefault="00A12743" w:rsidP="00EE0D4F">
      <w:pPr>
        <w:spacing w:after="200"/>
        <w:rPr>
          <w:rFonts w:asciiTheme="minorBidi" w:eastAsia="Calibri" w:hAnsiTheme="minorBidi" w:cstheme="minorBidi"/>
          <w:kern w:val="2"/>
          <w:highlight w:val="yellow"/>
          <w14:ligatures w14:val="standardContextual"/>
        </w:rPr>
      </w:pPr>
      <w:r w:rsidRPr="00EE0D4F">
        <w:rPr>
          <w:rFonts w:asciiTheme="minorBidi" w:eastAsia="Calibri" w:hAnsiTheme="minorBidi" w:cstheme="minorBidi"/>
          <w:kern w:val="2"/>
          <w:highlight w:val="yellow"/>
          <w14:ligatures w14:val="standardContextual"/>
        </w:rPr>
        <w:t>1.</w:t>
      </w:r>
    </w:p>
    <w:p w14:paraId="61BA56BC" w14:textId="77777777" w:rsidR="00A12743" w:rsidRPr="00EE0D4F" w:rsidRDefault="00A12743" w:rsidP="00EE0D4F">
      <w:pPr>
        <w:spacing w:after="200"/>
        <w:rPr>
          <w:rFonts w:asciiTheme="minorBidi" w:eastAsia="Calibri" w:hAnsiTheme="minorBidi" w:cstheme="minorBidi"/>
          <w:kern w:val="2"/>
          <w:highlight w:val="yellow"/>
          <w14:ligatures w14:val="standardContextual"/>
        </w:rPr>
      </w:pPr>
      <w:r w:rsidRPr="00EE0D4F">
        <w:rPr>
          <w:rFonts w:asciiTheme="minorBidi" w:eastAsia="Calibri" w:hAnsiTheme="minorBidi" w:cstheme="minorBidi"/>
          <w:kern w:val="2"/>
          <w:highlight w:val="yellow"/>
          <w14:ligatures w14:val="standardContextual"/>
        </w:rPr>
        <w:t>2.</w:t>
      </w:r>
    </w:p>
    <w:p w14:paraId="449E58F7" w14:textId="77777777" w:rsidR="00A12743" w:rsidRPr="00EE0D4F" w:rsidRDefault="00A12743" w:rsidP="00EE0D4F">
      <w:pPr>
        <w:spacing w:after="200"/>
        <w:rPr>
          <w:rFonts w:asciiTheme="minorBidi" w:eastAsia="Calibri" w:hAnsiTheme="minorBidi" w:cstheme="minorBidi"/>
          <w:kern w:val="2"/>
          <w14:ligatures w14:val="standardContextual"/>
        </w:rPr>
      </w:pPr>
      <w:r w:rsidRPr="00EE0D4F">
        <w:rPr>
          <w:rFonts w:asciiTheme="minorBidi" w:eastAsia="Calibri" w:hAnsiTheme="minorBidi" w:cstheme="minorBidi"/>
          <w:kern w:val="2"/>
          <w:highlight w:val="yellow"/>
          <w14:ligatures w14:val="standardContextual"/>
        </w:rPr>
        <w:t>3.</w:t>
      </w:r>
    </w:p>
    <w:p w14:paraId="6E2A46DA" w14:textId="77777777" w:rsidR="00A12743" w:rsidRPr="00EE0D4F" w:rsidRDefault="00A12743" w:rsidP="00EE0D4F">
      <w:pPr>
        <w:pStyle w:val="ReferHead"/>
        <w:spacing w:after="0"/>
        <w:jc w:val="both"/>
        <w:rPr>
          <w:rFonts w:asciiTheme="minorBidi" w:hAnsiTheme="minorBidi" w:cstheme="minorBidi"/>
          <w:sz w:val="20"/>
        </w:rPr>
      </w:pPr>
    </w:p>
    <w:p w14:paraId="673621E0" w14:textId="77777777" w:rsidR="00B01FCD" w:rsidRPr="00EE0D4F" w:rsidRDefault="00B01FCD" w:rsidP="00EE0D4F">
      <w:pPr>
        <w:pStyle w:val="ReferHead"/>
        <w:spacing w:after="0"/>
        <w:jc w:val="both"/>
        <w:rPr>
          <w:rFonts w:asciiTheme="minorBidi" w:hAnsiTheme="minorBidi" w:cstheme="minorBidi"/>
          <w:sz w:val="20"/>
        </w:rPr>
      </w:pPr>
      <w:r w:rsidRPr="00EE0D4F">
        <w:rPr>
          <w:rFonts w:asciiTheme="minorBidi" w:hAnsiTheme="minorBidi" w:cstheme="minorBidi"/>
          <w:sz w:val="20"/>
        </w:rPr>
        <w:t>References</w:t>
      </w:r>
    </w:p>
    <w:p w14:paraId="22BE837D" w14:textId="77777777" w:rsidR="00790ADA" w:rsidRPr="00EE0D4F" w:rsidRDefault="00790ADA" w:rsidP="00EE0D4F">
      <w:pPr>
        <w:pStyle w:val="ReferHead"/>
        <w:spacing w:after="0"/>
        <w:jc w:val="both"/>
        <w:rPr>
          <w:rFonts w:asciiTheme="minorBidi" w:hAnsiTheme="minorBidi" w:cstheme="minorBidi"/>
          <w:sz w:val="20"/>
        </w:rPr>
      </w:pPr>
    </w:p>
    <w:p w14:paraId="079AAEF5" w14:textId="09C690F6" w:rsidR="00C57A48" w:rsidRPr="00EE0D4F" w:rsidRDefault="00037767"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rPr>
        <w:fldChar w:fldCharType="begin" w:fldLock="1"/>
      </w:r>
      <w:r w:rsidRPr="00EE0D4F">
        <w:rPr>
          <w:rFonts w:asciiTheme="minorBidi" w:hAnsiTheme="minorBidi" w:cstheme="minorBidi"/>
        </w:rPr>
        <w:instrText xml:space="preserve">ADDIN Mendeley Bibliography CSL_BIBLIOGRAPHY </w:instrText>
      </w:r>
      <w:r w:rsidRPr="00EE0D4F">
        <w:rPr>
          <w:rFonts w:asciiTheme="minorBidi" w:hAnsiTheme="minorBidi" w:cstheme="minorBidi"/>
        </w:rPr>
        <w:fldChar w:fldCharType="separate"/>
      </w:r>
      <w:r w:rsidR="00C57A48" w:rsidRPr="00EE0D4F">
        <w:rPr>
          <w:rFonts w:asciiTheme="minorBidi" w:hAnsiTheme="minorBidi" w:cstheme="minorBidi"/>
          <w:noProof/>
        </w:rPr>
        <w:t xml:space="preserve">Access, P., &amp; African, T. O. (2011). </w:t>
      </w:r>
      <w:r w:rsidR="00C57A48" w:rsidRPr="00EE0D4F">
        <w:rPr>
          <w:rFonts w:asciiTheme="minorBidi" w:hAnsiTheme="minorBidi" w:cstheme="minorBidi"/>
          <w:i/>
          <w:iCs/>
          <w:noProof/>
        </w:rPr>
        <w:t>How Many Physicians Prescribe Quinine For The Treatment Of Malaria In The First Trimester Of Pregnancy ?</w:t>
      </w:r>
      <w:r w:rsidR="00C57A48" w:rsidRPr="00EE0D4F">
        <w:rPr>
          <w:rFonts w:asciiTheme="minorBidi" w:hAnsiTheme="minorBidi" w:cstheme="minorBidi"/>
          <w:noProof/>
        </w:rPr>
        <w:t xml:space="preserve"> 4–7.</w:t>
      </w:r>
    </w:p>
    <w:p w14:paraId="5436959D"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Adewole, A. O., Fawole, O., Ajayi, I., Yusuf, B., Oladimeji, A., Waziri, E., Nguku, P., &amp; Ajumobi, O. (2019). Determinants of intermittent preventive treatment of malaria among women attending antenatal clinics in primary health care centers in ogbomoso, oyo state, nigeria. </w:t>
      </w:r>
      <w:r w:rsidRPr="00EE0D4F">
        <w:rPr>
          <w:rFonts w:asciiTheme="minorBidi" w:hAnsiTheme="minorBidi" w:cstheme="minorBidi"/>
          <w:i/>
          <w:iCs/>
          <w:noProof/>
        </w:rPr>
        <w:t>Pan African Medical Journal</w:t>
      </w:r>
      <w:r w:rsidRPr="00EE0D4F">
        <w:rPr>
          <w:rFonts w:asciiTheme="minorBidi" w:hAnsiTheme="minorBidi" w:cstheme="minorBidi"/>
          <w:noProof/>
        </w:rPr>
        <w:t xml:space="preserve">, </w:t>
      </w:r>
      <w:r w:rsidRPr="00EE0D4F">
        <w:rPr>
          <w:rFonts w:asciiTheme="minorBidi" w:hAnsiTheme="minorBidi" w:cstheme="minorBidi"/>
          <w:i/>
          <w:iCs/>
          <w:noProof/>
        </w:rPr>
        <w:t>33</w:t>
      </w:r>
      <w:r w:rsidRPr="00EE0D4F">
        <w:rPr>
          <w:rFonts w:asciiTheme="minorBidi" w:hAnsiTheme="minorBidi" w:cstheme="minorBidi"/>
          <w:noProof/>
        </w:rPr>
        <w:t>, 1–11. https://doi.org/10.11604/pamj.2019.33.101.14800</w:t>
      </w:r>
    </w:p>
    <w:p w14:paraId="4D16931B"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Breman, J. G. (2009). Eradicating malaria. </w:t>
      </w:r>
      <w:r w:rsidRPr="00EE0D4F">
        <w:rPr>
          <w:rFonts w:asciiTheme="minorBidi" w:hAnsiTheme="minorBidi" w:cstheme="minorBidi"/>
          <w:i/>
          <w:iCs/>
          <w:noProof/>
        </w:rPr>
        <w:t>Science Progress</w:t>
      </w:r>
      <w:r w:rsidRPr="00EE0D4F">
        <w:rPr>
          <w:rFonts w:asciiTheme="minorBidi" w:hAnsiTheme="minorBidi" w:cstheme="minorBidi"/>
          <w:noProof/>
        </w:rPr>
        <w:t xml:space="preserve">, </w:t>
      </w:r>
      <w:r w:rsidRPr="00EE0D4F">
        <w:rPr>
          <w:rFonts w:asciiTheme="minorBidi" w:hAnsiTheme="minorBidi" w:cstheme="minorBidi"/>
          <w:i/>
          <w:iCs/>
          <w:noProof/>
        </w:rPr>
        <w:t>92</w:t>
      </w:r>
      <w:r w:rsidRPr="00EE0D4F">
        <w:rPr>
          <w:rFonts w:asciiTheme="minorBidi" w:hAnsiTheme="minorBidi" w:cstheme="minorBidi"/>
          <w:noProof/>
        </w:rPr>
        <w:t>(1), 1–38. https://doi.org/10.3184/003685009X440290</w:t>
      </w:r>
    </w:p>
    <w:p w14:paraId="7616624D"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Creswell. (2009). </w:t>
      </w:r>
      <w:r w:rsidRPr="00EE0D4F">
        <w:rPr>
          <w:rFonts w:asciiTheme="minorBidi" w:hAnsiTheme="minorBidi" w:cstheme="minorBidi"/>
          <w:i/>
          <w:iCs/>
          <w:noProof/>
        </w:rPr>
        <w:t>Qualitative, Quantitative, and Mixed Methods Approaches</w:t>
      </w:r>
      <w:r w:rsidRPr="00EE0D4F">
        <w:rPr>
          <w:rFonts w:asciiTheme="minorBidi" w:hAnsiTheme="minorBidi" w:cstheme="minorBidi"/>
          <w:noProof/>
        </w:rPr>
        <w:t xml:space="preserve"> (Third Edit). SAGE.</w:t>
      </w:r>
    </w:p>
    <w:p w14:paraId="53C6089A"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Dellicour, S., Hall, S., Chandramohan, D., &amp; Greenwood, B. (2007). The safety of artemisinins during pregnancy: A pressing question. </w:t>
      </w:r>
      <w:r w:rsidRPr="00EE0D4F">
        <w:rPr>
          <w:rFonts w:asciiTheme="minorBidi" w:hAnsiTheme="minorBidi" w:cstheme="minorBidi"/>
          <w:i/>
          <w:iCs/>
          <w:noProof/>
        </w:rPr>
        <w:t>Malaria Journal</w:t>
      </w:r>
      <w:r w:rsidRPr="00EE0D4F">
        <w:rPr>
          <w:rFonts w:asciiTheme="minorBidi" w:hAnsiTheme="minorBidi" w:cstheme="minorBidi"/>
          <w:noProof/>
        </w:rPr>
        <w:t xml:space="preserve">, </w:t>
      </w:r>
      <w:r w:rsidRPr="00EE0D4F">
        <w:rPr>
          <w:rFonts w:asciiTheme="minorBidi" w:hAnsiTheme="minorBidi" w:cstheme="minorBidi"/>
          <w:i/>
          <w:iCs/>
          <w:noProof/>
        </w:rPr>
        <w:t>6</w:t>
      </w:r>
      <w:r w:rsidRPr="00EE0D4F">
        <w:rPr>
          <w:rFonts w:asciiTheme="minorBidi" w:hAnsiTheme="minorBidi" w:cstheme="minorBidi"/>
          <w:noProof/>
        </w:rPr>
        <w:t>, 1–10. https://doi.org/10.1186/1475-2875-6-15</w:t>
      </w:r>
    </w:p>
    <w:p w14:paraId="6F44D3AF"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Dellicour, S., Sevene, E., McGready, R., Tinto, H., Mosha, D., Manyando, C., Rulisa, S., Desai, M., Ouma, P., Oneko, M., Vala, A., Rupérez, M., Macete, E., Menéndez, C., Nakanabo-Diallo, S., Kazienga, A., Valéa, I., Calip, G., Augusto, O., … Stergachis, A. (2017). First-trimester artemisinin derivatives and quinine treatments and the risk of adverse pregnancy outcomes in Africa and Asia: A meta-analysis of observational studies. </w:t>
      </w:r>
      <w:r w:rsidRPr="00EE0D4F">
        <w:rPr>
          <w:rFonts w:asciiTheme="minorBidi" w:hAnsiTheme="minorBidi" w:cstheme="minorBidi"/>
          <w:i/>
          <w:iCs/>
          <w:noProof/>
        </w:rPr>
        <w:t>PLoS Medicine</w:t>
      </w:r>
      <w:r w:rsidRPr="00EE0D4F">
        <w:rPr>
          <w:rFonts w:asciiTheme="minorBidi" w:hAnsiTheme="minorBidi" w:cstheme="minorBidi"/>
          <w:noProof/>
        </w:rPr>
        <w:t xml:space="preserve">, </w:t>
      </w:r>
      <w:r w:rsidRPr="00EE0D4F">
        <w:rPr>
          <w:rFonts w:asciiTheme="minorBidi" w:hAnsiTheme="minorBidi" w:cstheme="minorBidi"/>
          <w:i/>
          <w:iCs/>
          <w:noProof/>
        </w:rPr>
        <w:t>14</w:t>
      </w:r>
      <w:r w:rsidRPr="00EE0D4F">
        <w:rPr>
          <w:rFonts w:asciiTheme="minorBidi" w:hAnsiTheme="minorBidi" w:cstheme="minorBidi"/>
          <w:noProof/>
        </w:rPr>
        <w:t>(5). https://doi.org/10.1371/journal.pmed.1002290</w:t>
      </w:r>
    </w:p>
    <w:p w14:paraId="3E79D550"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Dimitriadis, E., Menkhorst, E., Saito, S., Kutteh, W. H., &amp; Brosens, J. J. (2020). Recurrent pregnancy loss. </w:t>
      </w:r>
      <w:r w:rsidRPr="00EE0D4F">
        <w:rPr>
          <w:rFonts w:asciiTheme="minorBidi" w:hAnsiTheme="minorBidi" w:cstheme="minorBidi"/>
          <w:i/>
          <w:iCs/>
          <w:noProof/>
        </w:rPr>
        <w:t>National Library of Medicine National Center for Biotechnology Information</w:t>
      </w:r>
      <w:r w:rsidRPr="00EE0D4F">
        <w:rPr>
          <w:rFonts w:asciiTheme="minorBidi" w:hAnsiTheme="minorBidi" w:cstheme="minorBidi"/>
          <w:noProof/>
        </w:rPr>
        <w:t xml:space="preserve">, </w:t>
      </w:r>
      <w:r w:rsidRPr="00EE0D4F">
        <w:rPr>
          <w:rFonts w:asciiTheme="minorBidi" w:hAnsiTheme="minorBidi" w:cstheme="minorBidi"/>
          <w:i/>
          <w:iCs/>
          <w:noProof/>
        </w:rPr>
        <w:t>10</w:t>
      </w:r>
      <w:r w:rsidRPr="00EE0D4F">
        <w:rPr>
          <w:rFonts w:asciiTheme="minorBidi" w:hAnsiTheme="minorBidi" w:cstheme="minorBidi"/>
          <w:noProof/>
        </w:rPr>
        <w:t>, 98. https://doi.org/10.1038/s41572-020-00228-z.</w:t>
      </w:r>
    </w:p>
    <w:p w14:paraId="62F937E6"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Fetters, M. D., Curry, L. A., &amp; Creswell, J. W. (2013). </w:t>
      </w:r>
      <w:r w:rsidRPr="00EE0D4F">
        <w:rPr>
          <w:rFonts w:asciiTheme="minorBidi" w:hAnsiTheme="minorBidi" w:cstheme="minorBidi"/>
          <w:i/>
          <w:iCs/>
          <w:noProof/>
        </w:rPr>
        <w:t>Achieving Integration in Mixed Methods Designs — Principles and Practices</w:t>
      </w:r>
      <w:r w:rsidRPr="00EE0D4F">
        <w:rPr>
          <w:rFonts w:asciiTheme="minorBidi" w:hAnsiTheme="minorBidi" w:cstheme="minorBidi"/>
          <w:noProof/>
        </w:rPr>
        <w:t>. 2134–2156. https://doi.org/10.1111/1475-6773.12117</w:t>
      </w:r>
    </w:p>
    <w:p w14:paraId="0DE26A98"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Gemechu, T., Dedecha, W., Gelchu, M., Husen, O., &amp; Gemechu, T. (2023). </w:t>
      </w:r>
      <w:r w:rsidRPr="00EE0D4F">
        <w:rPr>
          <w:rFonts w:asciiTheme="minorBidi" w:hAnsiTheme="minorBidi" w:cstheme="minorBidi"/>
          <w:i/>
          <w:iCs/>
          <w:noProof/>
        </w:rPr>
        <w:t>Asymptomatic Malaria During Pregnancy : Prevalence , Influence on Anemia and Associated Factors in West Guji Zone , Ethiopia – A Asymptomatic Malaria During Pregnancy : Prevalence , Influence on Anemia and Associated Factors in West Guji Zone , Ethiopia –</w:t>
      </w:r>
      <w:r w:rsidRPr="00EE0D4F">
        <w:rPr>
          <w:rFonts w:asciiTheme="minorBidi" w:hAnsiTheme="minorBidi" w:cstheme="minorBidi"/>
          <w:noProof/>
        </w:rPr>
        <w:t>. https://doi.org/10.2147/IDR.S431877</w:t>
      </w:r>
    </w:p>
    <w:p w14:paraId="421FFC3F"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Godwin, N., Id, A., Armah, P., Id, A., Abdul-karim, A., Abdulai, B., Id, O. Q., Awandare, G. A., &amp; Helegbe, K. (2019). Prevalence of malaria and hepatitis B among pregnant women in Northern Ghana : Comparing RDTs with PCR. </w:t>
      </w:r>
      <w:r w:rsidRPr="00EE0D4F">
        <w:rPr>
          <w:rFonts w:asciiTheme="minorBidi" w:hAnsiTheme="minorBidi" w:cstheme="minorBidi"/>
          <w:i/>
          <w:iCs/>
          <w:noProof/>
        </w:rPr>
        <w:t>PLOS ONE</w:t>
      </w:r>
      <w:r w:rsidRPr="00EE0D4F">
        <w:rPr>
          <w:rFonts w:asciiTheme="minorBidi" w:hAnsiTheme="minorBidi" w:cstheme="minorBidi"/>
          <w:noProof/>
        </w:rPr>
        <w:t>, 1–14. https://doi.org/10.1371/JOURNAL.PONE.0210365</w:t>
      </w:r>
    </w:p>
    <w:p w14:paraId="601CCB1C"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GSS. (2021). </w:t>
      </w:r>
      <w:r w:rsidRPr="00EE0D4F">
        <w:rPr>
          <w:rFonts w:asciiTheme="minorBidi" w:hAnsiTheme="minorBidi" w:cstheme="minorBidi"/>
          <w:i/>
          <w:iCs/>
          <w:noProof/>
        </w:rPr>
        <w:t>Population and Housing Census</w:t>
      </w:r>
      <w:r w:rsidRPr="00EE0D4F">
        <w:rPr>
          <w:rFonts w:asciiTheme="minorBidi" w:hAnsiTheme="minorBidi" w:cstheme="minorBidi"/>
          <w:noProof/>
        </w:rPr>
        <w:t>. https://census2021.statsghana.gov.gh/</w:t>
      </w:r>
    </w:p>
    <w:p w14:paraId="4BA8E34A"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Kovacs, S. D., Van Eijk, A. M., Sevene, E., Dellicour, S., Weiss, N. S., Emerson, S., Steketee, R., Ter Kuile, F. O., &amp; Stergachis, A. (2016). The safety of artemisinin derivatives for the treatment of malaria in the 2nd or 3rd trimester of pregnancy: A systematic review and meta-analysis. </w:t>
      </w:r>
      <w:r w:rsidRPr="00EE0D4F">
        <w:rPr>
          <w:rFonts w:asciiTheme="minorBidi" w:hAnsiTheme="minorBidi" w:cstheme="minorBidi"/>
          <w:i/>
          <w:iCs/>
          <w:noProof/>
        </w:rPr>
        <w:t>PLoS ONE</w:t>
      </w:r>
      <w:r w:rsidRPr="00EE0D4F">
        <w:rPr>
          <w:rFonts w:asciiTheme="minorBidi" w:hAnsiTheme="minorBidi" w:cstheme="minorBidi"/>
          <w:noProof/>
        </w:rPr>
        <w:t xml:space="preserve">, </w:t>
      </w:r>
      <w:r w:rsidRPr="00EE0D4F">
        <w:rPr>
          <w:rFonts w:asciiTheme="minorBidi" w:hAnsiTheme="minorBidi" w:cstheme="minorBidi"/>
          <w:i/>
          <w:iCs/>
          <w:noProof/>
        </w:rPr>
        <w:t>11</w:t>
      </w:r>
      <w:r w:rsidRPr="00EE0D4F">
        <w:rPr>
          <w:rFonts w:asciiTheme="minorBidi" w:hAnsiTheme="minorBidi" w:cstheme="minorBidi"/>
          <w:noProof/>
        </w:rPr>
        <w:t>(11), 1–20. https://doi.org/10.1371/journal.pone.0164963</w:t>
      </w:r>
    </w:p>
    <w:p w14:paraId="292459DD"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Lewis, P. J., &amp; Tully, M. P. (2009). Uncomfortable prescribing decisions in hospitals: The impact of teamwork. </w:t>
      </w:r>
      <w:r w:rsidRPr="00EE0D4F">
        <w:rPr>
          <w:rFonts w:asciiTheme="minorBidi" w:hAnsiTheme="minorBidi" w:cstheme="minorBidi"/>
          <w:i/>
          <w:iCs/>
          <w:noProof/>
        </w:rPr>
        <w:t>Journal of the Royal Society of Medicine</w:t>
      </w:r>
      <w:r w:rsidRPr="00EE0D4F">
        <w:rPr>
          <w:rFonts w:asciiTheme="minorBidi" w:hAnsiTheme="minorBidi" w:cstheme="minorBidi"/>
          <w:noProof/>
        </w:rPr>
        <w:t xml:space="preserve">, </w:t>
      </w:r>
      <w:r w:rsidRPr="00EE0D4F">
        <w:rPr>
          <w:rFonts w:asciiTheme="minorBidi" w:hAnsiTheme="minorBidi" w:cstheme="minorBidi"/>
          <w:i/>
          <w:iCs/>
          <w:noProof/>
        </w:rPr>
        <w:t>102</w:t>
      </w:r>
      <w:r w:rsidRPr="00EE0D4F">
        <w:rPr>
          <w:rFonts w:asciiTheme="minorBidi" w:hAnsiTheme="minorBidi" w:cstheme="minorBidi"/>
          <w:noProof/>
        </w:rPr>
        <w:t xml:space="preserve">(11), 481–488. </w:t>
      </w:r>
      <w:r w:rsidRPr="00EE0D4F">
        <w:rPr>
          <w:rFonts w:asciiTheme="minorBidi" w:hAnsiTheme="minorBidi" w:cstheme="minorBidi"/>
          <w:noProof/>
        </w:rPr>
        <w:lastRenderedPageBreak/>
        <w:t>https://doi.org/10.1258/jrsm.2009.090150</w:t>
      </w:r>
    </w:p>
    <w:p w14:paraId="72982DCD"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Looareesuwan, S., Phillips, R. E., White, N. J., Kietinun, S., Karbwang, J., Rackow, C., Turner, R. C., &amp; Warrell, D. A. (1985). Quinine and severe falciparum malaria in late pregnancy. </w:t>
      </w:r>
      <w:r w:rsidRPr="00EE0D4F">
        <w:rPr>
          <w:rFonts w:asciiTheme="minorBidi" w:hAnsiTheme="minorBidi" w:cstheme="minorBidi"/>
          <w:i/>
          <w:iCs/>
          <w:noProof/>
        </w:rPr>
        <w:t>Lancet (London, England)</w:t>
      </w:r>
      <w:r w:rsidRPr="00EE0D4F">
        <w:rPr>
          <w:rFonts w:asciiTheme="minorBidi" w:hAnsiTheme="minorBidi" w:cstheme="minorBidi"/>
          <w:noProof/>
        </w:rPr>
        <w:t xml:space="preserve">, </w:t>
      </w:r>
      <w:r w:rsidRPr="00EE0D4F">
        <w:rPr>
          <w:rFonts w:asciiTheme="minorBidi" w:hAnsiTheme="minorBidi" w:cstheme="minorBidi"/>
          <w:i/>
          <w:iCs/>
          <w:noProof/>
        </w:rPr>
        <w:t>2</w:t>
      </w:r>
      <w:r w:rsidRPr="00EE0D4F">
        <w:rPr>
          <w:rFonts w:asciiTheme="minorBidi" w:hAnsiTheme="minorBidi" w:cstheme="minorBidi"/>
          <w:noProof/>
        </w:rPr>
        <w:t>(8445), 4–8. https://doi.org/10.1016/s0140-6736(85)90056-x</w:t>
      </w:r>
    </w:p>
    <w:p w14:paraId="53220C5B"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lang w:val="fr-FR"/>
        </w:rPr>
      </w:pPr>
      <w:r w:rsidRPr="00EE0D4F">
        <w:rPr>
          <w:rFonts w:asciiTheme="minorBidi" w:hAnsiTheme="minorBidi" w:cstheme="minorBidi"/>
          <w:noProof/>
        </w:rPr>
        <w:t xml:space="preserve">Magzoub, M.A., Neyaz, Y., Khoja, T., Qureshi, N.A., Haycox, A. et. (2011). </w:t>
      </w:r>
      <w:r w:rsidRPr="00EE0D4F">
        <w:rPr>
          <w:rFonts w:asciiTheme="minorBidi" w:hAnsiTheme="minorBidi" w:cstheme="minorBidi"/>
          <w:i/>
          <w:iCs/>
          <w:noProof/>
        </w:rPr>
        <w:t>Determinants of physicians ’ medication prescribing behaviour in primary care in Riyadh city , Saudi Arabia</w:t>
      </w:r>
      <w:r w:rsidRPr="00EE0D4F">
        <w:rPr>
          <w:rFonts w:asciiTheme="minorBidi" w:hAnsiTheme="minorBidi" w:cstheme="minorBidi"/>
          <w:noProof/>
        </w:rPr>
        <w:t xml:space="preserve">. </w:t>
      </w:r>
      <w:r w:rsidRPr="00EE0D4F">
        <w:rPr>
          <w:rFonts w:asciiTheme="minorBidi" w:hAnsiTheme="minorBidi" w:cstheme="minorBidi"/>
          <w:noProof/>
          <w:lang w:val="fr-FR"/>
        </w:rPr>
        <w:t>21–22.</w:t>
      </w:r>
    </w:p>
    <w:p w14:paraId="5C40D4B3"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sz w:val="22"/>
          <w:szCs w:val="22"/>
        </w:rPr>
      </w:pPr>
      <w:r w:rsidRPr="00EE0D4F">
        <w:rPr>
          <w:rFonts w:asciiTheme="minorBidi" w:hAnsiTheme="minorBidi" w:cstheme="minorBidi"/>
          <w:noProof/>
          <w:sz w:val="22"/>
          <w:szCs w:val="22"/>
          <w:lang w:val="fr-FR"/>
        </w:rPr>
        <w:t xml:space="preserve">Manirakiza, A., Soula, G., Laganier, R., Klement, E., Djallé, D., Methode, M., Madji, N., Heredeïbona, L. S., Le Faou, A., &amp; Delmont, J. (2011). </w:t>
      </w:r>
      <w:r w:rsidRPr="00EE0D4F">
        <w:rPr>
          <w:rFonts w:asciiTheme="minorBidi" w:hAnsiTheme="minorBidi" w:cstheme="minorBidi"/>
          <w:noProof/>
          <w:sz w:val="22"/>
          <w:szCs w:val="22"/>
        </w:rPr>
        <w:t xml:space="preserve">Pattern of the Antimalarials Prescription during Pregnancy in Bangui, Central African Republic. </w:t>
      </w:r>
      <w:r w:rsidRPr="00EE0D4F">
        <w:rPr>
          <w:rFonts w:asciiTheme="minorBidi" w:hAnsiTheme="minorBidi" w:cstheme="minorBidi"/>
          <w:i/>
          <w:iCs/>
          <w:noProof/>
          <w:sz w:val="22"/>
          <w:szCs w:val="22"/>
        </w:rPr>
        <w:t>Malaria Research and Treatment</w:t>
      </w:r>
      <w:r w:rsidRPr="00EE0D4F">
        <w:rPr>
          <w:rFonts w:asciiTheme="minorBidi" w:hAnsiTheme="minorBidi" w:cstheme="minorBidi"/>
          <w:noProof/>
          <w:sz w:val="22"/>
          <w:szCs w:val="22"/>
        </w:rPr>
        <w:t xml:space="preserve">, </w:t>
      </w:r>
      <w:r w:rsidRPr="00EE0D4F">
        <w:rPr>
          <w:rFonts w:asciiTheme="minorBidi" w:hAnsiTheme="minorBidi" w:cstheme="minorBidi"/>
          <w:i/>
          <w:iCs/>
          <w:noProof/>
          <w:sz w:val="22"/>
          <w:szCs w:val="22"/>
        </w:rPr>
        <w:t>2011</w:t>
      </w:r>
      <w:r w:rsidRPr="00EE0D4F">
        <w:rPr>
          <w:rFonts w:asciiTheme="minorBidi" w:hAnsiTheme="minorBidi" w:cstheme="minorBidi"/>
          <w:noProof/>
          <w:sz w:val="22"/>
          <w:szCs w:val="22"/>
        </w:rPr>
        <w:t>, 1–4. https://doi.org/10.4061/2011/414510</w:t>
      </w:r>
    </w:p>
    <w:p w14:paraId="3E2CC878"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sz w:val="22"/>
          <w:szCs w:val="22"/>
        </w:rPr>
      </w:pPr>
      <w:r w:rsidRPr="00EE0D4F">
        <w:rPr>
          <w:rFonts w:asciiTheme="minorBidi" w:hAnsiTheme="minorBidi" w:cstheme="minorBidi"/>
          <w:noProof/>
          <w:sz w:val="22"/>
          <w:szCs w:val="22"/>
        </w:rPr>
        <w:t xml:space="preserve">MoH. (2017). </w:t>
      </w:r>
      <w:r w:rsidRPr="00EE0D4F">
        <w:rPr>
          <w:rFonts w:asciiTheme="minorBidi" w:hAnsiTheme="minorBidi" w:cstheme="minorBidi"/>
          <w:i/>
          <w:iCs/>
          <w:noProof/>
          <w:sz w:val="22"/>
          <w:szCs w:val="22"/>
        </w:rPr>
        <w:t>Standard Treatment Guidelines</w:t>
      </w:r>
      <w:r w:rsidRPr="00EE0D4F">
        <w:rPr>
          <w:rFonts w:asciiTheme="minorBidi" w:hAnsiTheme="minorBidi" w:cstheme="minorBidi"/>
          <w:noProof/>
          <w:sz w:val="22"/>
          <w:szCs w:val="22"/>
        </w:rPr>
        <w:t xml:space="preserve"> (7th ed.). www.ghndp.org</w:t>
      </w:r>
    </w:p>
    <w:p w14:paraId="1C3B55DC" w14:textId="5E94EC21" w:rsidR="00EE0D4F" w:rsidRPr="00EE0D4F" w:rsidRDefault="00EE0D4F" w:rsidP="00EE0D4F">
      <w:pPr>
        <w:ind w:left="426" w:hanging="426"/>
        <w:rPr>
          <w:color w:val="EE0000"/>
          <w:sz w:val="22"/>
          <w:szCs w:val="22"/>
          <w:lang w:val="en-GB"/>
        </w:rPr>
      </w:pPr>
      <w:r w:rsidRPr="00EE0D4F">
        <w:rPr>
          <w:rFonts w:ascii="Arial" w:hAnsi="Arial" w:cs="Arial"/>
          <w:color w:val="EE0000"/>
          <w:sz w:val="22"/>
          <w:szCs w:val="22"/>
          <w:shd w:val="clear" w:color="auto" w:fill="FFFFFF"/>
        </w:rPr>
        <w:t xml:space="preserve">Nargus, S., Kamran, J., Khan, K.M., Rana, S. (2022). Treatment Seeking Behavior of Pregnant Women about Malaria in Muzaffargard. Asian J. Med. Health. [Internet]. 2022 Oct. 17 [cited 2025 Jun. 9];20(11):148-52. Available from: </w:t>
      </w:r>
      <w:hyperlink r:id="rId16" w:history="1">
        <w:r w:rsidRPr="00EE0D4F">
          <w:rPr>
            <w:rStyle w:val="Hyperlink"/>
            <w:rFonts w:ascii="Arial" w:eastAsia="MS Mincho" w:hAnsi="Arial" w:cs="Arial"/>
            <w:color w:val="EE0000"/>
            <w:sz w:val="22"/>
            <w:szCs w:val="22"/>
            <w:shd w:val="clear" w:color="auto" w:fill="FFFFFF"/>
          </w:rPr>
          <w:t>https://journalajmah.com/index.php/AJMAH/article/view/754</w:t>
        </w:r>
      </w:hyperlink>
      <w:r w:rsidRPr="00EE0D4F">
        <w:rPr>
          <w:rFonts w:ascii="Arial" w:hAnsi="Arial" w:cs="Arial"/>
          <w:color w:val="EE0000"/>
          <w:sz w:val="22"/>
          <w:szCs w:val="22"/>
          <w:shd w:val="clear" w:color="auto" w:fill="FFFFFF"/>
        </w:rPr>
        <w:t xml:space="preserve"> </w:t>
      </w:r>
    </w:p>
    <w:p w14:paraId="57137D95"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sz w:val="22"/>
          <w:szCs w:val="22"/>
        </w:rPr>
      </w:pPr>
      <w:r w:rsidRPr="00EE0D4F">
        <w:rPr>
          <w:rFonts w:asciiTheme="minorBidi" w:hAnsiTheme="minorBidi" w:cstheme="minorBidi"/>
          <w:noProof/>
          <w:sz w:val="22"/>
          <w:szCs w:val="22"/>
        </w:rPr>
        <w:t xml:space="preserve">Niyonkuru, A.-E., McLaughlina, E., Heath, G., Inamuco, S., Topazian, H., &amp; Davis, M. (2021). Healthcare Professional Preferences for Prescribing Artemisinins and Quinine for Malaria in Burundi. </w:t>
      </w:r>
      <w:r w:rsidRPr="00EE0D4F">
        <w:rPr>
          <w:rFonts w:asciiTheme="minorBidi" w:hAnsiTheme="minorBidi" w:cstheme="minorBidi"/>
          <w:i/>
          <w:iCs/>
          <w:noProof/>
          <w:sz w:val="22"/>
          <w:szCs w:val="22"/>
        </w:rPr>
        <w:t>East African Health Research Journal</w:t>
      </w:r>
      <w:r w:rsidRPr="00EE0D4F">
        <w:rPr>
          <w:rFonts w:asciiTheme="minorBidi" w:hAnsiTheme="minorBidi" w:cstheme="minorBidi"/>
          <w:noProof/>
          <w:sz w:val="22"/>
          <w:szCs w:val="22"/>
        </w:rPr>
        <w:t xml:space="preserve">, </w:t>
      </w:r>
      <w:r w:rsidRPr="00EE0D4F">
        <w:rPr>
          <w:rFonts w:asciiTheme="minorBidi" w:hAnsiTheme="minorBidi" w:cstheme="minorBidi"/>
          <w:i/>
          <w:iCs/>
          <w:noProof/>
          <w:sz w:val="22"/>
          <w:szCs w:val="22"/>
        </w:rPr>
        <w:t>5</w:t>
      </w:r>
      <w:r w:rsidRPr="00EE0D4F">
        <w:rPr>
          <w:rFonts w:asciiTheme="minorBidi" w:hAnsiTheme="minorBidi" w:cstheme="minorBidi"/>
          <w:noProof/>
          <w:sz w:val="22"/>
          <w:szCs w:val="22"/>
        </w:rPr>
        <w:t>(2), 174–181. https://doi.org/10.24248/eahrj.v5i2.670</w:t>
      </w:r>
    </w:p>
    <w:p w14:paraId="21C59CBD"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Nkrumah, I., &amp; Sarpong, I. A. (2018). Prescribers</w:t>
      </w:r>
      <w:r w:rsidRPr="00EE0D4F">
        <w:rPr>
          <w:rFonts w:ascii="Arial" w:hAnsi="Arial" w:cs="Arial"/>
          <w:noProof/>
        </w:rPr>
        <w:t>�</w:t>
      </w:r>
      <w:r w:rsidRPr="00EE0D4F">
        <w:rPr>
          <w:rFonts w:asciiTheme="minorBidi" w:hAnsiTheme="minorBidi" w:cstheme="minorBidi"/>
          <w:noProof/>
        </w:rPr>
        <w:t xml:space="preserve"> compliance with quinine use for treating uncomplicated malaria in the first trimester of pregnancy in polyclinics in Accra. </w:t>
      </w:r>
      <w:r w:rsidRPr="00EE0D4F">
        <w:rPr>
          <w:rFonts w:asciiTheme="minorBidi" w:hAnsiTheme="minorBidi" w:cstheme="minorBidi"/>
          <w:i/>
          <w:iCs/>
          <w:noProof/>
        </w:rPr>
        <w:t>Pan African Medical Journal Conference Proceedings</w:t>
      </w:r>
      <w:r w:rsidRPr="00EE0D4F">
        <w:rPr>
          <w:rFonts w:asciiTheme="minorBidi" w:hAnsiTheme="minorBidi" w:cstheme="minorBidi"/>
          <w:noProof/>
        </w:rPr>
        <w:t xml:space="preserve">, </w:t>
      </w:r>
      <w:r w:rsidRPr="00EE0D4F">
        <w:rPr>
          <w:rFonts w:asciiTheme="minorBidi" w:hAnsiTheme="minorBidi" w:cstheme="minorBidi"/>
          <w:i/>
          <w:iCs/>
          <w:noProof/>
        </w:rPr>
        <w:t>1</w:t>
      </w:r>
      <w:r w:rsidRPr="00EE0D4F">
        <w:rPr>
          <w:rFonts w:asciiTheme="minorBidi" w:hAnsiTheme="minorBidi" w:cstheme="minorBidi"/>
          <w:noProof/>
        </w:rPr>
        <w:t>. https://doi.org/10.11604/pamj.cp.2017.3.36.150</w:t>
      </w:r>
    </w:p>
    <w:p w14:paraId="351ACFCF"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lang w:val="fr-FR"/>
        </w:rPr>
        <w:t xml:space="preserve">Osarfo, J., Ampofo, G. D., &amp; Tagbor, H. (2022). </w:t>
      </w:r>
      <w:r w:rsidRPr="00EE0D4F">
        <w:rPr>
          <w:rFonts w:asciiTheme="minorBidi" w:hAnsiTheme="minorBidi" w:cstheme="minorBidi"/>
          <w:noProof/>
        </w:rPr>
        <w:t xml:space="preserve">Trends of malaria infection in pregnancy in Ghana over the past two decades: a review. </w:t>
      </w:r>
      <w:r w:rsidRPr="00EE0D4F">
        <w:rPr>
          <w:rFonts w:asciiTheme="minorBidi" w:hAnsiTheme="minorBidi" w:cstheme="minorBidi"/>
          <w:i/>
          <w:iCs/>
          <w:noProof/>
        </w:rPr>
        <w:t>Malaria Journal</w:t>
      </w:r>
      <w:r w:rsidRPr="00EE0D4F">
        <w:rPr>
          <w:rFonts w:asciiTheme="minorBidi" w:hAnsiTheme="minorBidi" w:cstheme="minorBidi"/>
          <w:noProof/>
        </w:rPr>
        <w:t xml:space="preserve">, </w:t>
      </w:r>
      <w:r w:rsidRPr="00EE0D4F">
        <w:rPr>
          <w:rFonts w:asciiTheme="minorBidi" w:hAnsiTheme="minorBidi" w:cstheme="minorBidi"/>
          <w:i/>
          <w:iCs/>
          <w:noProof/>
        </w:rPr>
        <w:t>21</w:t>
      </w:r>
      <w:r w:rsidRPr="00EE0D4F">
        <w:rPr>
          <w:rFonts w:asciiTheme="minorBidi" w:hAnsiTheme="minorBidi" w:cstheme="minorBidi"/>
          <w:noProof/>
        </w:rPr>
        <w:t>(1), 1–40. https://doi.org/10.1186/s12936-021-04031-3</w:t>
      </w:r>
    </w:p>
    <w:p w14:paraId="60A3072C"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Osei-kwakye, K., Asante, K. P., Mahama, E., Apanga, S., Owusu, R., Kwara, E., Adjei, G., Abokyi, L., Yeetey, E., Dosoo, D. K., Punguyire, D., &amp; Owusu-agyei, S. (2013). </w:t>
      </w:r>
      <w:r w:rsidRPr="00EE0D4F">
        <w:rPr>
          <w:rFonts w:asciiTheme="minorBidi" w:hAnsiTheme="minorBidi" w:cstheme="minorBidi"/>
          <w:i/>
          <w:iCs/>
          <w:noProof/>
        </w:rPr>
        <w:t>The Benefits or Otherwise of Managing Malaria Cases with or without Laboratory Diagnosis : The Experience in a District Hospital in Ghana</w:t>
      </w:r>
      <w:r w:rsidRPr="00EE0D4F">
        <w:rPr>
          <w:rFonts w:asciiTheme="minorBidi" w:hAnsiTheme="minorBidi" w:cstheme="minorBidi"/>
          <w:noProof/>
        </w:rPr>
        <w:t xml:space="preserve">. </w:t>
      </w:r>
      <w:r w:rsidRPr="00EE0D4F">
        <w:rPr>
          <w:rFonts w:asciiTheme="minorBidi" w:hAnsiTheme="minorBidi" w:cstheme="minorBidi"/>
          <w:i/>
          <w:iCs/>
          <w:noProof/>
        </w:rPr>
        <w:t>8</w:t>
      </w:r>
      <w:r w:rsidRPr="00EE0D4F">
        <w:rPr>
          <w:rFonts w:asciiTheme="minorBidi" w:hAnsiTheme="minorBidi" w:cstheme="minorBidi"/>
          <w:noProof/>
        </w:rPr>
        <w:t>(3), 1–7. https://doi.org/10.1371/journal.pone.0058107</w:t>
      </w:r>
    </w:p>
    <w:p w14:paraId="69570E0E"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Rakotonandrasana, D. H., Tsukahara, T., &amp; Yamamoto-Mitani, N. (2018). Antimalarial drug prescribing by healthcare workers when malaria testing is negative: A qualitative study in Madagascar. </w:t>
      </w:r>
      <w:r w:rsidRPr="00EE0D4F">
        <w:rPr>
          <w:rFonts w:asciiTheme="minorBidi" w:hAnsiTheme="minorBidi" w:cstheme="minorBidi"/>
          <w:i/>
          <w:iCs/>
          <w:noProof/>
        </w:rPr>
        <w:t>Tropical Medicine and Health</w:t>
      </w:r>
      <w:r w:rsidRPr="00EE0D4F">
        <w:rPr>
          <w:rFonts w:asciiTheme="minorBidi" w:hAnsiTheme="minorBidi" w:cstheme="minorBidi"/>
          <w:noProof/>
        </w:rPr>
        <w:t xml:space="preserve">, </w:t>
      </w:r>
      <w:r w:rsidRPr="00EE0D4F">
        <w:rPr>
          <w:rFonts w:asciiTheme="minorBidi" w:hAnsiTheme="minorBidi" w:cstheme="minorBidi"/>
          <w:i/>
          <w:iCs/>
          <w:noProof/>
        </w:rPr>
        <w:t>46</w:t>
      </w:r>
      <w:r w:rsidRPr="00EE0D4F">
        <w:rPr>
          <w:rFonts w:asciiTheme="minorBidi" w:hAnsiTheme="minorBidi" w:cstheme="minorBidi"/>
          <w:noProof/>
        </w:rPr>
        <w:t>(1), 1–9. https://doi.org/10.1186/s41182-018-0096-7</w:t>
      </w:r>
    </w:p>
    <w:p w14:paraId="4BC31E94"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Riley, C., Dellicour, S., Ouma, P., Kioko, U., Ter Kuile, F. O., Omar, A., Kariuki, S., Buff, A. M., Desai, M., &amp; Gutman, J. (2016). Knowledge and adherence to the national guidelines for malaria case management in pregnancy among healthcare providers and drug outlet dispensers in rural, western Kenya. </w:t>
      </w:r>
      <w:r w:rsidRPr="00EE0D4F">
        <w:rPr>
          <w:rFonts w:asciiTheme="minorBidi" w:hAnsiTheme="minorBidi" w:cstheme="minorBidi"/>
          <w:i/>
          <w:iCs/>
          <w:noProof/>
        </w:rPr>
        <w:t>PLoS ONE</w:t>
      </w:r>
      <w:r w:rsidRPr="00EE0D4F">
        <w:rPr>
          <w:rFonts w:asciiTheme="minorBidi" w:hAnsiTheme="minorBidi" w:cstheme="minorBidi"/>
          <w:noProof/>
        </w:rPr>
        <w:t xml:space="preserve">, </w:t>
      </w:r>
      <w:r w:rsidRPr="00EE0D4F">
        <w:rPr>
          <w:rFonts w:asciiTheme="minorBidi" w:hAnsiTheme="minorBidi" w:cstheme="minorBidi"/>
          <w:i/>
          <w:iCs/>
          <w:noProof/>
        </w:rPr>
        <w:t>11</w:t>
      </w:r>
      <w:r w:rsidRPr="00EE0D4F">
        <w:rPr>
          <w:rFonts w:asciiTheme="minorBidi" w:hAnsiTheme="minorBidi" w:cstheme="minorBidi"/>
          <w:noProof/>
        </w:rPr>
        <w:t>(1), 1–18. https://doi.org/10.1371/journal.pone.0145616</w:t>
      </w:r>
    </w:p>
    <w:p w14:paraId="1778F866"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Salama, H. M., &amp; Saudi, R. A. (2020). Effect of patients beliefs about medications on adherence to drugs in diabetic  patients attending family medicine outpatient clinic in Ismailia, Egypt. </w:t>
      </w:r>
      <w:r w:rsidRPr="00EE0D4F">
        <w:rPr>
          <w:rFonts w:asciiTheme="minorBidi" w:hAnsiTheme="minorBidi" w:cstheme="minorBidi"/>
          <w:i/>
          <w:iCs/>
          <w:noProof/>
        </w:rPr>
        <w:t>Journal of Diabetes and Metabolic Disorders</w:t>
      </w:r>
      <w:r w:rsidRPr="00EE0D4F">
        <w:rPr>
          <w:rFonts w:asciiTheme="minorBidi" w:hAnsiTheme="minorBidi" w:cstheme="minorBidi"/>
          <w:noProof/>
        </w:rPr>
        <w:t xml:space="preserve">, </w:t>
      </w:r>
      <w:r w:rsidRPr="00EE0D4F">
        <w:rPr>
          <w:rFonts w:asciiTheme="minorBidi" w:hAnsiTheme="minorBidi" w:cstheme="minorBidi"/>
          <w:i/>
          <w:iCs/>
          <w:noProof/>
        </w:rPr>
        <w:t>19</w:t>
      </w:r>
      <w:r w:rsidRPr="00EE0D4F">
        <w:rPr>
          <w:rFonts w:asciiTheme="minorBidi" w:hAnsiTheme="minorBidi" w:cstheme="minorBidi"/>
          <w:noProof/>
        </w:rPr>
        <w:t>(2), 951–958. https://doi.org/10.1007/s40200-020-00587-0</w:t>
      </w:r>
    </w:p>
    <w:p w14:paraId="16DE125C"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lang w:val="fr-FR"/>
        </w:rPr>
        <w:t xml:space="preserve">Schantz-Dunn, J., &amp; Nour, N. M. (2009). </w:t>
      </w:r>
      <w:r w:rsidRPr="00EE0D4F">
        <w:rPr>
          <w:rFonts w:asciiTheme="minorBidi" w:hAnsiTheme="minorBidi" w:cstheme="minorBidi"/>
          <w:noProof/>
        </w:rPr>
        <w:t xml:space="preserve">Malaria and pregnancy: a global health perspective. </w:t>
      </w:r>
      <w:r w:rsidRPr="00EE0D4F">
        <w:rPr>
          <w:rFonts w:asciiTheme="minorBidi" w:hAnsiTheme="minorBidi" w:cstheme="minorBidi"/>
          <w:i/>
          <w:iCs/>
          <w:noProof/>
        </w:rPr>
        <w:t>Reviews in Obstetrics &amp; Gynecology</w:t>
      </w:r>
      <w:r w:rsidRPr="00EE0D4F">
        <w:rPr>
          <w:rFonts w:asciiTheme="minorBidi" w:hAnsiTheme="minorBidi" w:cstheme="minorBidi"/>
          <w:noProof/>
        </w:rPr>
        <w:t xml:space="preserve">, </w:t>
      </w:r>
      <w:r w:rsidRPr="00EE0D4F">
        <w:rPr>
          <w:rFonts w:asciiTheme="minorBidi" w:hAnsiTheme="minorBidi" w:cstheme="minorBidi"/>
          <w:i/>
          <w:iCs/>
          <w:noProof/>
        </w:rPr>
        <w:t>2</w:t>
      </w:r>
      <w:r w:rsidRPr="00EE0D4F">
        <w:rPr>
          <w:rFonts w:asciiTheme="minorBidi" w:hAnsiTheme="minorBidi" w:cstheme="minorBidi"/>
          <w:noProof/>
        </w:rPr>
        <w:t>(3), 186–192. https://doi.org/10.3909/riog0091</w:t>
      </w:r>
    </w:p>
    <w:p w14:paraId="60731AD4"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Schlagenhauf, P., &amp; Petersen, E. (2009). Editorial: Antimalaria drug resistance: The mono-combi-counterfeit triangle. </w:t>
      </w:r>
      <w:r w:rsidRPr="00EE0D4F">
        <w:rPr>
          <w:rFonts w:asciiTheme="minorBidi" w:hAnsiTheme="minorBidi" w:cstheme="minorBidi"/>
          <w:i/>
          <w:iCs/>
          <w:noProof/>
        </w:rPr>
        <w:t>Expert Review of Anti-Infective Therapy</w:t>
      </w:r>
      <w:r w:rsidRPr="00EE0D4F">
        <w:rPr>
          <w:rFonts w:asciiTheme="minorBidi" w:hAnsiTheme="minorBidi" w:cstheme="minorBidi"/>
          <w:noProof/>
        </w:rPr>
        <w:t xml:space="preserve">, </w:t>
      </w:r>
      <w:r w:rsidRPr="00EE0D4F">
        <w:rPr>
          <w:rFonts w:asciiTheme="minorBidi" w:hAnsiTheme="minorBidi" w:cstheme="minorBidi"/>
          <w:i/>
          <w:iCs/>
          <w:noProof/>
        </w:rPr>
        <w:t>7</w:t>
      </w:r>
      <w:r w:rsidRPr="00EE0D4F">
        <w:rPr>
          <w:rFonts w:asciiTheme="minorBidi" w:hAnsiTheme="minorBidi" w:cstheme="minorBidi"/>
          <w:noProof/>
        </w:rPr>
        <w:t>(9), 1039–1042. https://doi.org/10.1586/ERI.09.85</w:t>
      </w:r>
    </w:p>
    <w:p w14:paraId="3AD914D4"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lastRenderedPageBreak/>
        <w:t xml:space="preserve">Sevi, G., Wheelhouse, Cuschieri, Kate, N., Gary, E., E.M., S., &amp; Howie5,  and A. W. H. (2016). The role of infection in miscarriage. </w:t>
      </w:r>
      <w:r w:rsidRPr="00EE0D4F">
        <w:rPr>
          <w:rFonts w:asciiTheme="minorBidi" w:hAnsiTheme="minorBidi" w:cstheme="minorBidi"/>
          <w:i/>
          <w:iCs/>
          <w:noProof/>
        </w:rPr>
        <w:t>Human Reproduction Update</w:t>
      </w:r>
      <w:r w:rsidRPr="00EE0D4F">
        <w:rPr>
          <w:rFonts w:asciiTheme="minorBidi" w:hAnsiTheme="minorBidi" w:cstheme="minorBidi"/>
          <w:noProof/>
        </w:rPr>
        <w:t xml:space="preserve">, </w:t>
      </w:r>
      <w:r w:rsidRPr="00EE0D4F">
        <w:rPr>
          <w:rFonts w:asciiTheme="minorBidi" w:hAnsiTheme="minorBidi" w:cstheme="minorBidi"/>
          <w:i/>
          <w:iCs/>
          <w:noProof/>
        </w:rPr>
        <w:t>22</w:t>
      </w:r>
      <w:r w:rsidRPr="00EE0D4F">
        <w:rPr>
          <w:rFonts w:asciiTheme="minorBidi" w:hAnsiTheme="minorBidi" w:cstheme="minorBidi"/>
          <w:noProof/>
        </w:rPr>
        <w:t>(1), 116–133. https://doi.org/10.1093/humupd/dmv041</w:t>
      </w:r>
    </w:p>
    <w:p w14:paraId="3500CC61"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W. Creswell, &amp; V. P. (2018). </w:t>
      </w:r>
      <w:r w:rsidRPr="00EE0D4F">
        <w:rPr>
          <w:rFonts w:asciiTheme="minorBidi" w:hAnsiTheme="minorBidi" w:cstheme="minorBidi"/>
          <w:i/>
          <w:iCs/>
          <w:noProof/>
        </w:rPr>
        <w:t>Designing and conducting mixed methods research</w:t>
      </w:r>
      <w:r w:rsidRPr="00EE0D4F">
        <w:rPr>
          <w:rFonts w:asciiTheme="minorBidi" w:hAnsiTheme="minorBidi" w:cstheme="minorBidi"/>
          <w:noProof/>
        </w:rPr>
        <w:t xml:space="preserve">. </w:t>
      </w:r>
      <w:r w:rsidRPr="00EE0D4F">
        <w:rPr>
          <w:rFonts w:asciiTheme="minorBidi" w:hAnsiTheme="minorBidi" w:cstheme="minorBidi"/>
          <w:i/>
          <w:iCs/>
          <w:noProof/>
        </w:rPr>
        <w:t>3</w:t>
      </w:r>
      <w:r w:rsidRPr="00EE0D4F">
        <w:rPr>
          <w:rFonts w:asciiTheme="minorBidi" w:hAnsiTheme="minorBidi" w:cstheme="minorBidi"/>
          <w:noProof/>
        </w:rPr>
        <w:t>, 832.</w:t>
      </w:r>
    </w:p>
    <w:p w14:paraId="7AAD6406"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Wasunna, B., Zurovac, D., Goodman, C. A., &amp; Snow, R. W. (2008). Why don’t health workers prescribe ACT? A qualitative study of factors affecting the prescription of artemether-lumefantrine. </w:t>
      </w:r>
      <w:r w:rsidRPr="00EE0D4F">
        <w:rPr>
          <w:rFonts w:asciiTheme="minorBidi" w:hAnsiTheme="minorBidi" w:cstheme="minorBidi"/>
          <w:i/>
          <w:iCs/>
          <w:noProof/>
        </w:rPr>
        <w:t>Malaria Journal</w:t>
      </w:r>
      <w:r w:rsidRPr="00EE0D4F">
        <w:rPr>
          <w:rFonts w:asciiTheme="minorBidi" w:hAnsiTheme="minorBidi" w:cstheme="minorBidi"/>
          <w:noProof/>
        </w:rPr>
        <w:t xml:space="preserve">, </w:t>
      </w:r>
      <w:r w:rsidRPr="00EE0D4F">
        <w:rPr>
          <w:rFonts w:asciiTheme="minorBidi" w:hAnsiTheme="minorBidi" w:cstheme="minorBidi"/>
          <w:i/>
          <w:iCs/>
          <w:noProof/>
        </w:rPr>
        <w:t>7</w:t>
      </w:r>
      <w:r w:rsidRPr="00EE0D4F">
        <w:rPr>
          <w:rFonts w:asciiTheme="minorBidi" w:hAnsiTheme="minorBidi" w:cstheme="minorBidi"/>
          <w:noProof/>
        </w:rPr>
        <w:t>, 1–9. https://doi.org/10.1186/1475-2875-7-29</w:t>
      </w:r>
    </w:p>
    <w:p w14:paraId="68E3429F"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WHO. (2014). WHO policy brief for the implementation of intermittent preventive treatment of malaria in pregnancy April 2013 ( revised January 2014 ). </w:t>
      </w:r>
      <w:r w:rsidRPr="00EE0D4F">
        <w:rPr>
          <w:rFonts w:asciiTheme="minorBidi" w:hAnsiTheme="minorBidi" w:cstheme="minorBidi"/>
          <w:i/>
          <w:iCs/>
          <w:noProof/>
        </w:rPr>
        <w:t>WHO Department of Maternal, Newborn, Child and Adolescent Health</w:t>
      </w:r>
      <w:r w:rsidRPr="00EE0D4F">
        <w:rPr>
          <w:rFonts w:asciiTheme="minorBidi" w:hAnsiTheme="minorBidi" w:cstheme="minorBidi"/>
          <w:noProof/>
        </w:rPr>
        <w:t xml:space="preserve">, </w:t>
      </w:r>
      <w:r w:rsidRPr="00EE0D4F">
        <w:rPr>
          <w:rFonts w:asciiTheme="minorBidi" w:hAnsiTheme="minorBidi" w:cstheme="minorBidi"/>
          <w:i/>
          <w:iCs/>
          <w:noProof/>
        </w:rPr>
        <w:t>October 2012</w:t>
      </w:r>
      <w:r w:rsidRPr="00EE0D4F">
        <w:rPr>
          <w:rFonts w:asciiTheme="minorBidi" w:hAnsiTheme="minorBidi" w:cstheme="minorBidi"/>
          <w:noProof/>
        </w:rPr>
        <w:t>, 1–13.</w:t>
      </w:r>
    </w:p>
    <w:p w14:paraId="717FC51F"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WHO. (2023). </w:t>
      </w:r>
      <w:r w:rsidRPr="00EE0D4F">
        <w:rPr>
          <w:rFonts w:asciiTheme="minorBidi" w:hAnsiTheme="minorBidi" w:cstheme="minorBidi"/>
          <w:i/>
          <w:iCs/>
          <w:noProof/>
        </w:rPr>
        <w:t>World malaria World malaria report report</w:t>
      </w:r>
      <w:r w:rsidRPr="00EE0D4F">
        <w:rPr>
          <w:rFonts w:asciiTheme="minorBidi" w:hAnsiTheme="minorBidi" w:cstheme="minorBidi"/>
          <w:noProof/>
        </w:rPr>
        <w:t>. https://www.wipo.int/amc/en/mediation/%0Ahttps://www.who.int/teams/global-malaria-programme/reports/world-malaria-report-2023</w:t>
      </w:r>
    </w:p>
    <w:p w14:paraId="4DBA1DAA"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World Health Organization. (2022). WHO Guidelines for malaria. </w:t>
      </w:r>
      <w:r w:rsidRPr="00EE0D4F">
        <w:rPr>
          <w:rFonts w:asciiTheme="minorBidi" w:hAnsiTheme="minorBidi" w:cstheme="minorBidi"/>
          <w:i/>
          <w:iCs/>
          <w:noProof/>
        </w:rPr>
        <w:t>Who</w:t>
      </w:r>
      <w:r w:rsidRPr="00EE0D4F">
        <w:rPr>
          <w:rFonts w:asciiTheme="minorBidi" w:hAnsiTheme="minorBidi" w:cstheme="minorBidi"/>
          <w:noProof/>
        </w:rPr>
        <w:t xml:space="preserve">, </w:t>
      </w:r>
      <w:r w:rsidRPr="00EE0D4F">
        <w:rPr>
          <w:rFonts w:asciiTheme="minorBidi" w:hAnsiTheme="minorBidi" w:cstheme="minorBidi"/>
          <w:i/>
          <w:iCs/>
          <w:noProof/>
        </w:rPr>
        <w:t>June</w:t>
      </w:r>
      <w:r w:rsidRPr="00EE0D4F">
        <w:rPr>
          <w:rFonts w:asciiTheme="minorBidi" w:hAnsiTheme="minorBidi" w:cstheme="minorBidi"/>
          <w:noProof/>
        </w:rPr>
        <w:t>, 210. http://apps.who.int/bookorders.</w:t>
      </w:r>
    </w:p>
    <w:p w14:paraId="7810CFB5" w14:textId="77777777" w:rsidR="00C57A48" w:rsidRPr="00EE0D4F" w:rsidRDefault="00C57A48" w:rsidP="00EE0D4F">
      <w:pPr>
        <w:widowControl w:val="0"/>
        <w:autoSpaceDE w:val="0"/>
        <w:autoSpaceDN w:val="0"/>
        <w:adjustRightInd w:val="0"/>
        <w:ind w:left="480" w:hanging="480"/>
        <w:rPr>
          <w:rFonts w:asciiTheme="minorBidi" w:hAnsiTheme="minorBidi" w:cstheme="minorBidi"/>
          <w:noProof/>
        </w:rPr>
      </w:pPr>
      <w:r w:rsidRPr="00EE0D4F">
        <w:rPr>
          <w:rFonts w:asciiTheme="minorBidi" w:hAnsiTheme="minorBidi" w:cstheme="minorBidi"/>
          <w:noProof/>
        </w:rPr>
        <w:t xml:space="preserve">Zakama, A. K., Ozarslan, N., &amp; Gaw, S. L. (2020). </w:t>
      </w:r>
      <w:r w:rsidRPr="00EE0D4F">
        <w:rPr>
          <w:rFonts w:asciiTheme="minorBidi" w:hAnsiTheme="minorBidi" w:cstheme="minorBidi"/>
          <w:i/>
          <w:iCs/>
          <w:noProof/>
        </w:rPr>
        <w:t>Placental Malaria</w:t>
      </w:r>
      <w:r w:rsidRPr="00EE0D4F">
        <w:rPr>
          <w:rFonts w:asciiTheme="minorBidi" w:hAnsiTheme="minorBidi" w:cstheme="minorBidi"/>
          <w:noProof/>
        </w:rPr>
        <w:t>. 162–171.</w:t>
      </w:r>
    </w:p>
    <w:p w14:paraId="1644A963" w14:textId="2F9BB88D" w:rsidR="004D4277" w:rsidRPr="00EE0D4F" w:rsidRDefault="00037767" w:rsidP="00EE0D4F">
      <w:pPr>
        <w:pStyle w:val="Body"/>
        <w:spacing w:after="0"/>
        <w:jc w:val="left"/>
        <w:rPr>
          <w:rFonts w:asciiTheme="minorBidi" w:hAnsiTheme="minorBidi" w:cstheme="minorBidi"/>
        </w:rPr>
        <w:sectPr w:rsidR="004D4277" w:rsidRPr="00EE0D4F" w:rsidSect="0049554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EE0D4F">
        <w:rPr>
          <w:rFonts w:asciiTheme="minorBidi" w:hAnsiTheme="minorBidi" w:cstheme="minorBidi"/>
        </w:rPr>
        <w:fldChar w:fldCharType="end"/>
      </w:r>
    </w:p>
    <w:p w14:paraId="6322F5C8" w14:textId="77777777" w:rsidR="00B01FCD" w:rsidRPr="00EE0D4F" w:rsidRDefault="00B01FCD" w:rsidP="00EE0D4F">
      <w:pPr>
        <w:pStyle w:val="Appendix"/>
        <w:spacing w:after="0"/>
        <w:jc w:val="both"/>
        <w:rPr>
          <w:rFonts w:asciiTheme="minorBidi" w:hAnsiTheme="minorBidi" w:cstheme="minorBidi"/>
          <w:b w:val="0"/>
          <w:sz w:val="20"/>
        </w:rPr>
      </w:pPr>
    </w:p>
    <w:sectPr w:rsidR="00B01FCD" w:rsidRPr="00EE0D4F" w:rsidSect="0049554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F814E" w14:textId="77777777" w:rsidR="00242B70" w:rsidRDefault="00242B70" w:rsidP="00C37E61">
      <w:r>
        <w:separator/>
      </w:r>
    </w:p>
  </w:endnote>
  <w:endnote w:type="continuationSeparator" w:id="0">
    <w:p w14:paraId="07AD5029" w14:textId="77777777" w:rsidR="00242B70" w:rsidRDefault="00242B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5F93" w14:textId="77777777" w:rsidR="0049554E" w:rsidRDefault="00495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761E" w14:textId="045C76A1" w:rsidR="00BB48D4" w:rsidRPr="00BB48D4" w:rsidRDefault="00BB48D4" w:rsidP="005F181F">
    <w:pPr>
      <w:pStyle w:val="NormalWeb"/>
      <w:shd w:val="clear" w:color="auto" w:fill="FFFFFF"/>
      <w:bidi/>
      <w:spacing w:before="0" w:beforeAutospacing="0" w:after="0" w:afterAutospacing="0"/>
      <w:jc w:val="right"/>
      <w:rPr>
        <w:rFonts w:asciiTheme="minorBidi" w:hAnsiTheme="minorBidi" w:cstheme="minorBidi"/>
        <w:bCs/>
        <w:sz w:val="14"/>
        <w:szCs w:val="14"/>
        <w:lang w:val="en-MY"/>
      </w:rPr>
    </w:pPr>
    <w:r w:rsidRPr="00BB48D4">
      <w:rPr>
        <w:rFonts w:asciiTheme="minorBidi" w:hAnsiTheme="minorBidi" w:cstheme="minorBidi"/>
        <w:sz w:val="14"/>
        <w:szCs w:val="14"/>
        <w:shd w:val="clear" w:color="auto" w:fill="FFFFFF"/>
        <w:lang w:val="en-GB"/>
      </w:rPr>
      <w:t>*</w:t>
    </w:r>
    <w:bookmarkStart w:id="0" w:name="_Hlk105095012"/>
    <w:r w:rsidRPr="00BB48D4">
      <w:rPr>
        <w:rFonts w:asciiTheme="minorBidi" w:hAnsiTheme="minorBidi" w:cstheme="minorBidi"/>
        <w:b/>
        <w:sz w:val="14"/>
        <w:szCs w:val="14"/>
        <w:lang w:val="en-GB"/>
      </w:rPr>
      <w:t xml:space="preserve"> </w:t>
    </w:r>
  </w:p>
  <w:bookmarkEnd w:id="0"/>
  <w:p w14:paraId="3C0A2CCD" w14:textId="59CA662E" w:rsidR="00C37E61" w:rsidRPr="00BB48D4" w:rsidRDefault="00C37E61" w:rsidP="00BB48D4">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093A" w14:textId="3B3A47E2" w:rsidR="00754C9A" w:rsidRPr="0049554E" w:rsidRDefault="00754C9A" w:rsidP="004955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2F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E9427" w14:textId="77777777" w:rsidR="00242B70" w:rsidRDefault="00242B70" w:rsidP="00C37E61">
      <w:r>
        <w:separator/>
      </w:r>
    </w:p>
  </w:footnote>
  <w:footnote w:type="continuationSeparator" w:id="0">
    <w:p w14:paraId="1BD10BEC" w14:textId="77777777" w:rsidR="00242B70" w:rsidRDefault="00242B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6EC0" w14:textId="01331670" w:rsidR="0049554E" w:rsidRDefault="004E6295">
    <w:pPr>
      <w:pStyle w:val="Header"/>
    </w:pPr>
    <w:r>
      <w:rPr>
        <w:noProof/>
      </w:rPr>
      <w:pict w14:anchorId="56CFE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DD1E7" w14:textId="102775F0" w:rsidR="0049554E" w:rsidRDefault="004E6295">
    <w:pPr>
      <w:pStyle w:val="Header"/>
    </w:pPr>
    <w:r>
      <w:rPr>
        <w:noProof/>
      </w:rPr>
      <w:pict w14:anchorId="4948F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1542E" w14:textId="4156807F" w:rsidR="00296529" w:rsidRPr="00296529" w:rsidRDefault="004E6295" w:rsidP="00296529">
    <w:pPr>
      <w:ind w:left="2160"/>
      <w:jc w:val="center"/>
      <w:rPr>
        <w:rFonts w:ascii="Times New Roman" w:eastAsia="Calibri" w:hAnsi="Times New Roman"/>
        <w:i/>
        <w:sz w:val="18"/>
        <w:szCs w:val="22"/>
      </w:rPr>
    </w:pPr>
    <w:r>
      <w:rPr>
        <w:noProof/>
      </w:rPr>
      <w:pict w14:anchorId="60413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874BD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755C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7B10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43F36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DD17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E5D5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420B" w14:textId="696E380A" w:rsidR="0049554E" w:rsidRDefault="004E6295">
    <w:pPr>
      <w:pStyle w:val="Header"/>
    </w:pPr>
    <w:r>
      <w:rPr>
        <w:noProof/>
      </w:rPr>
      <w:pict w14:anchorId="3C497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28E66" w14:textId="5190CDF6" w:rsidR="0049554E" w:rsidRDefault="004E6295">
    <w:pPr>
      <w:pStyle w:val="Header"/>
    </w:pPr>
    <w:r>
      <w:rPr>
        <w:noProof/>
      </w:rPr>
      <w:pict w14:anchorId="6FBD7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BEDD" w14:textId="04ED8278" w:rsidR="0049554E" w:rsidRDefault="004E6295">
    <w:pPr>
      <w:pStyle w:val="Header"/>
    </w:pPr>
    <w:r>
      <w:rPr>
        <w:noProof/>
      </w:rPr>
      <w:pict w14:anchorId="739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B75FB3"/>
    <w:multiLevelType w:val="hybridMultilevel"/>
    <w:tmpl w:val="292E4FA0"/>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yMjYwNDI1MDQxNDdW0lEKTi0uzszPAykwrAUALTasqywAAAA="/>
  </w:docVars>
  <w:rsids>
    <w:rsidRoot w:val="00AA6219"/>
    <w:rsid w:val="00000F8F"/>
    <w:rsid w:val="00030174"/>
    <w:rsid w:val="00037767"/>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1ABE"/>
    <w:rsid w:val="00192B72"/>
    <w:rsid w:val="001A29D8"/>
    <w:rsid w:val="001A5CAA"/>
    <w:rsid w:val="001B0427"/>
    <w:rsid w:val="001D3A51"/>
    <w:rsid w:val="001E10D2"/>
    <w:rsid w:val="001E25B4"/>
    <w:rsid w:val="001E44FE"/>
    <w:rsid w:val="00200595"/>
    <w:rsid w:val="00204835"/>
    <w:rsid w:val="00231920"/>
    <w:rsid w:val="0023195C"/>
    <w:rsid w:val="0024282C"/>
    <w:rsid w:val="00242B70"/>
    <w:rsid w:val="002460DC"/>
    <w:rsid w:val="00250985"/>
    <w:rsid w:val="00255213"/>
    <w:rsid w:val="002556F6"/>
    <w:rsid w:val="00283105"/>
    <w:rsid w:val="00284C4C"/>
    <w:rsid w:val="00287E68"/>
    <w:rsid w:val="00296529"/>
    <w:rsid w:val="002A3E55"/>
    <w:rsid w:val="002B27FB"/>
    <w:rsid w:val="002B685A"/>
    <w:rsid w:val="002C57D2"/>
    <w:rsid w:val="002E0D56"/>
    <w:rsid w:val="00315186"/>
    <w:rsid w:val="0033343E"/>
    <w:rsid w:val="003512C2"/>
    <w:rsid w:val="00371FB6"/>
    <w:rsid w:val="003763C1"/>
    <w:rsid w:val="00376BBE"/>
    <w:rsid w:val="00386FD0"/>
    <w:rsid w:val="0039224F"/>
    <w:rsid w:val="003A43A4"/>
    <w:rsid w:val="003A7E18"/>
    <w:rsid w:val="003C4C86"/>
    <w:rsid w:val="003C6258"/>
    <w:rsid w:val="003E2904"/>
    <w:rsid w:val="00401927"/>
    <w:rsid w:val="0041027F"/>
    <w:rsid w:val="004121A3"/>
    <w:rsid w:val="00412475"/>
    <w:rsid w:val="00423789"/>
    <w:rsid w:val="00440F43"/>
    <w:rsid w:val="00441B6F"/>
    <w:rsid w:val="00446221"/>
    <w:rsid w:val="004471EA"/>
    <w:rsid w:val="00450E62"/>
    <w:rsid w:val="004539DB"/>
    <w:rsid w:val="00471A80"/>
    <w:rsid w:val="0049554E"/>
    <w:rsid w:val="004D305E"/>
    <w:rsid w:val="004D4277"/>
    <w:rsid w:val="004E6295"/>
    <w:rsid w:val="004F0895"/>
    <w:rsid w:val="00502516"/>
    <w:rsid w:val="00505F06"/>
    <w:rsid w:val="00506828"/>
    <w:rsid w:val="0053056E"/>
    <w:rsid w:val="00554FDA"/>
    <w:rsid w:val="0056080E"/>
    <w:rsid w:val="00593E25"/>
    <w:rsid w:val="005C784C"/>
    <w:rsid w:val="005D17F6"/>
    <w:rsid w:val="005D1EF4"/>
    <w:rsid w:val="005E5539"/>
    <w:rsid w:val="005F181F"/>
    <w:rsid w:val="005F2C3C"/>
    <w:rsid w:val="00602BF5"/>
    <w:rsid w:val="0060539F"/>
    <w:rsid w:val="00617FDD"/>
    <w:rsid w:val="00633614"/>
    <w:rsid w:val="00633F68"/>
    <w:rsid w:val="00636EB2"/>
    <w:rsid w:val="006375B8"/>
    <w:rsid w:val="0066510A"/>
    <w:rsid w:val="00673F9F"/>
    <w:rsid w:val="00686953"/>
    <w:rsid w:val="00687DEA"/>
    <w:rsid w:val="00687E67"/>
    <w:rsid w:val="006967F7"/>
    <w:rsid w:val="006A250C"/>
    <w:rsid w:val="006B21D3"/>
    <w:rsid w:val="006B2D09"/>
    <w:rsid w:val="006B57D0"/>
    <w:rsid w:val="006D30FF"/>
    <w:rsid w:val="006D6940"/>
    <w:rsid w:val="006F11EC"/>
    <w:rsid w:val="0070082C"/>
    <w:rsid w:val="00733C00"/>
    <w:rsid w:val="007369E6"/>
    <w:rsid w:val="00746E59"/>
    <w:rsid w:val="00754C9A"/>
    <w:rsid w:val="0075599A"/>
    <w:rsid w:val="00761D52"/>
    <w:rsid w:val="0077749E"/>
    <w:rsid w:val="00790ADA"/>
    <w:rsid w:val="007D2288"/>
    <w:rsid w:val="007E088F"/>
    <w:rsid w:val="007F7B32"/>
    <w:rsid w:val="00804BC2"/>
    <w:rsid w:val="008117DF"/>
    <w:rsid w:val="0081431A"/>
    <w:rsid w:val="0083216F"/>
    <w:rsid w:val="00860000"/>
    <w:rsid w:val="00863BD3"/>
    <w:rsid w:val="008641ED"/>
    <w:rsid w:val="00866D66"/>
    <w:rsid w:val="008671C6"/>
    <w:rsid w:val="00875803"/>
    <w:rsid w:val="008B459E"/>
    <w:rsid w:val="008C4F95"/>
    <w:rsid w:val="008E13AE"/>
    <w:rsid w:val="008E1506"/>
    <w:rsid w:val="008E710C"/>
    <w:rsid w:val="008F69D6"/>
    <w:rsid w:val="00902823"/>
    <w:rsid w:val="00915CA6"/>
    <w:rsid w:val="00927834"/>
    <w:rsid w:val="009500A6"/>
    <w:rsid w:val="00957C18"/>
    <w:rsid w:val="009659BA"/>
    <w:rsid w:val="00983040"/>
    <w:rsid w:val="009B3FB9"/>
    <w:rsid w:val="009C2465"/>
    <w:rsid w:val="009C2CE9"/>
    <w:rsid w:val="009D35A0"/>
    <w:rsid w:val="009D7EB7"/>
    <w:rsid w:val="009E048A"/>
    <w:rsid w:val="009E08E9"/>
    <w:rsid w:val="009E3CDF"/>
    <w:rsid w:val="009E3DB9"/>
    <w:rsid w:val="009E6E35"/>
    <w:rsid w:val="009F0EDA"/>
    <w:rsid w:val="00A03B96"/>
    <w:rsid w:val="00A05B19"/>
    <w:rsid w:val="00A1134E"/>
    <w:rsid w:val="00A12743"/>
    <w:rsid w:val="00A24E7E"/>
    <w:rsid w:val="00A258C3"/>
    <w:rsid w:val="00A347C0"/>
    <w:rsid w:val="00A51431"/>
    <w:rsid w:val="00A539AD"/>
    <w:rsid w:val="00A91CB2"/>
    <w:rsid w:val="00A94063"/>
    <w:rsid w:val="00AA6219"/>
    <w:rsid w:val="00AA74E0"/>
    <w:rsid w:val="00AB703F"/>
    <w:rsid w:val="00AB77B8"/>
    <w:rsid w:val="00AC5311"/>
    <w:rsid w:val="00AC6BB8"/>
    <w:rsid w:val="00AD015B"/>
    <w:rsid w:val="00AE008F"/>
    <w:rsid w:val="00AE1CE4"/>
    <w:rsid w:val="00B0051E"/>
    <w:rsid w:val="00B01FCD"/>
    <w:rsid w:val="00B1776C"/>
    <w:rsid w:val="00B52583"/>
    <w:rsid w:val="00B52896"/>
    <w:rsid w:val="00B55D1F"/>
    <w:rsid w:val="00B643D8"/>
    <w:rsid w:val="00B95236"/>
    <w:rsid w:val="00B96BD9"/>
    <w:rsid w:val="00BA1B01"/>
    <w:rsid w:val="00BA2641"/>
    <w:rsid w:val="00BB26A5"/>
    <w:rsid w:val="00BB37AA"/>
    <w:rsid w:val="00BB48D4"/>
    <w:rsid w:val="00BC53A0"/>
    <w:rsid w:val="00BE62AD"/>
    <w:rsid w:val="00BF121F"/>
    <w:rsid w:val="00BF1F80"/>
    <w:rsid w:val="00C0695A"/>
    <w:rsid w:val="00C14E69"/>
    <w:rsid w:val="00C166EF"/>
    <w:rsid w:val="00C17EB0"/>
    <w:rsid w:val="00C27F5F"/>
    <w:rsid w:val="00C30A0F"/>
    <w:rsid w:val="00C37E61"/>
    <w:rsid w:val="00C57A48"/>
    <w:rsid w:val="00C70F1B"/>
    <w:rsid w:val="00C71A47"/>
    <w:rsid w:val="00C7464C"/>
    <w:rsid w:val="00C85588"/>
    <w:rsid w:val="00C93926"/>
    <w:rsid w:val="00C94061"/>
    <w:rsid w:val="00CB5368"/>
    <w:rsid w:val="00CC2E97"/>
    <w:rsid w:val="00CC3ADD"/>
    <w:rsid w:val="00CD6755"/>
    <w:rsid w:val="00CD6856"/>
    <w:rsid w:val="00CE0089"/>
    <w:rsid w:val="00CE793C"/>
    <w:rsid w:val="00CF193C"/>
    <w:rsid w:val="00D173F1"/>
    <w:rsid w:val="00D36AAE"/>
    <w:rsid w:val="00D74CB0"/>
    <w:rsid w:val="00D8295D"/>
    <w:rsid w:val="00DC2A65"/>
    <w:rsid w:val="00DE15F0"/>
    <w:rsid w:val="00DE5663"/>
    <w:rsid w:val="00DE78AA"/>
    <w:rsid w:val="00DF45C6"/>
    <w:rsid w:val="00E053D0"/>
    <w:rsid w:val="00E15994"/>
    <w:rsid w:val="00E3114E"/>
    <w:rsid w:val="00E31A70"/>
    <w:rsid w:val="00E35B02"/>
    <w:rsid w:val="00E66496"/>
    <w:rsid w:val="00E66B35"/>
    <w:rsid w:val="00E66E10"/>
    <w:rsid w:val="00E769F6"/>
    <w:rsid w:val="00E8407C"/>
    <w:rsid w:val="00E84F3C"/>
    <w:rsid w:val="00E920A7"/>
    <w:rsid w:val="00E96EDD"/>
    <w:rsid w:val="00EA012C"/>
    <w:rsid w:val="00EB45D6"/>
    <w:rsid w:val="00EC6A55"/>
    <w:rsid w:val="00ED0288"/>
    <w:rsid w:val="00EE0D4F"/>
    <w:rsid w:val="00EE52CB"/>
    <w:rsid w:val="00EF581D"/>
    <w:rsid w:val="00EF7FD8"/>
    <w:rsid w:val="00F06F59"/>
    <w:rsid w:val="00F124B3"/>
    <w:rsid w:val="00F17988"/>
    <w:rsid w:val="00F256D5"/>
    <w:rsid w:val="00F469F0"/>
    <w:rsid w:val="00F53273"/>
    <w:rsid w:val="00F6762E"/>
    <w:rsid w:val="00F74D8D"/>
    <w:rsid w:val="00F755E4"/>
    <w:rsid w:val="00F77D02"/>
    <w:rsid w:val="00FB3A86"/>
    <w:rsid w:val="00FB6FC4"/>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E6B7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rsid w:val="00BB48D4"/>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39"/>
    <w:rsid w:val="00FB6FC4"/>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37767"/>
    <w:rPr>
      <w:rFonts w:ascii="Helvetica" w:hAnsi="Helvetica"/>
    </w:rPr>
  </w:style>
  <w:style w:type="paragraph" w:styleId="ListParagraph">
    <w:name w:val="List Paragraph"/>
    <w:basedOn w:val="Normal"/>
    <w:uiPriority w:val="34"/>
    <w:qFormat/>
    <w:rsid w:val="00AC5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ajmah.com/index.php/AJMAH/article/view/75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76428988043162"/>
          <c:y val="0.14718253968253969"/>
          <c:w val="0.78158756197142021"/>
          <c:h val="0.66998656417947755"/>
        </c:manualLayout>
      </c:layout>
      <c:barChart>
        <c:barDir val="col"/>
        <c:grouping val="clustered"/>
        <c:varyColors val="0"/>
        <c:ser>
          <c:idx val="0"/>
          <c:order val="0"/>
          <c:tx>
            <c:strRef>
              <c:f>Sheet1!$B$1</c:f>
              <c:strCache>
                <c:ptCount val="1"/>
                <c:pt idx="0">
                  <c:v>Good Compliance</c:v>
                </c:pt>
              </c:strCache>
            </c:strRef>
          </c:tx>
          <c:spPr>
            <a:solidFill>
              <a:schemeClr val="accent1"/>
            </a:solidFill>
            <a:ln>
              <a:noFill/>
            </a:ln>
            <a:effectLst/>
          </c:spPr>
          <c:invertIfNegative val="0"/>
          <c:dLbls>
            <c:dLbl>
              <c:idx val="1"/>
              <c:tx>
                <c:rich>
                  <a:bodyPr/>
                  <a:lstStyle/>
                  <a:p>
                    <a:r>
                      <a:rPr lang="en-US"/>
                      <a:t>83.7%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C4-41F5-933D-ADEE090A9850}"/>
                </c:ext>
              </c:extLst>
            </c:dLbl>
            <c:dLbl>
              <c:idx val="2"/>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C4-41F5-933D-ADEE090A98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First Trimester</c:v>
                </c:pt>
                <c:pt idx="1">
                  <c:v>Second Trimester</c:v>
                </c:pt>
                <c:pt idx="2">
                  <c:v>Third Trimester</c:v>
                </c:pt>
                <c:pt idx="3">
                  <c:v>All Trimesters</c:v>
                </c:pt>
              </c:strCache>
            </c:strRef>
          </c:cat>
          <c:val>
            <c:numRef>
              <c:f>Sheet1!$B$2:$B$5</c:f>
              <c:numCache>
                <c:formatCode>0.00%</c:formatCode>
                <c:ptCount val="4"/>
                <c:pt idx="0">
                  <c:v>2.8000000000000001E-2</c:v>
                </c:pt>
                <c:pt idx="1">
                  <c:v>0.83699999999999997</c:v>
                </c:pt>
                <c:pt idx="2">
                  <c:v>1</c:v>
                </c:pt>
                <c:pt idx="3">
                  <c:v>0.58599999999999997</c:v>
                </c:pt>
              </c:numCache>
            </c:numRef>
          </c:val>
          <c:extLst>
            <c:ext xmlns:c16="http://schemas.microsoft.com/office/drawing/2014/chart" uri="{C3380CC4-5D6E-409C-BE32-E72D297353CC}">
              <c16:uniqueId val="{00000002-82C4-41F5-933D-ADEE090A9850}"/>
            </c:ext>
          </c:extLst>
        </c:ser>
        <c:ser>
          <c:idx val="1"/>
          <c:order val="1"/>
          <c:tx>
            <c:strRef>
              <c:f>Sheet1!$C$1</c:f>
              <c:strCache>
                <c:ptCount val="1"/>
                <c:pt idx="0">
                  <c:v>Noncompliance</c:v>
                </c:pt>
              </c:strCache>
            </c:strRef>
          </c:tx>
          <c:spPr>
            <a:solidFill>
              <a:schemeClr val="accent2"/>
            </a:solidFill>
            <a:ln>
              <a:noFill/>
            </a:ln>
            <a:effectLst/>
          </c:spPr>
          <c:invertIfNegative val="0"/>
          <c:dLbls>
            <c:dLbl>
              <c:idx val="1"/>
              <c:tx>
                <c:rich>
                  <a:bodyPr/>
                  <a:lstStyle/>
                  <a:p>
                    <a:r>
                      <a:rPr lang="en-US"/>
                      <a:t>16.3%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C4-41F5-933D-ADEE090A9850}"/>
                </c:ext>
              </c:extLst>
            </c:dLbl>
            <c:dLbl>
              <c:idx val="2"/>
              <c:tx>
                <c:rich>
                  <a:bodyPr/>
                  <a:lstStyle/>
                  <a:p>
                    <a:r>
                      <a:rPr lang="en-US"/>
                      <a:t>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C4-41F5-933D-ADEE090A98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First Trimester</c:v>
                </c:pt>
                <c:pt idx="1">
                  <c:v>Second Trimester</c:v>
                </c:pt>
                <c:pt idx="2">
                  <c:v>Third Trimester</c:v>
                </c:pt>
                <c:pt idx="3">
                  <c:v>All Trimesters</c:v>
                </c:pt>
              </c:strCache>
            </c:strRef>
          </c:cat>
          <c:val>
            <c:numRef>
              <c:f>Sheet1!$C$2:$C$5</c:f>
              <c:numCache>
                <c:formatCode>0.00%</c:formatCode>
                <c:ptCount val="4"/>
                <c:pt idx="0">
                  <c:v>0.97199999999999998</c:v>
                </c:pt>
                <c:pt idx="1">
                  <c:v>0.16300000000000001</c:v>
                </c:pt>
                <c:pt idx="2">
                  <c:v>0</c:v>
                </c:pt>
                <c:pt idx="3">
                  <c:v>0.41399999999999998</c:v>
                </c:pt>
              </c:numCache>
            </c:numRef>
          </c:val>
          <c:extLst>
            <c:ext xmlns:c16="http://schemas.microsoft.com/office/drawing/2014/chart" uri="{C3380CC4-5D6E-409C-BE32-E72D297353CC}">
              <c16:uniqueId val="{00000005-82C4-41F5-933D-ADEE090A9850}"/>
            </c:ext>
          </c:extLst>
        </c:ser>
        <c:dLbls>
          <c:dLblPos val="outEnd"/>
          <c:showLegendKey val="0"/>
          <c:showVal val="1"/>
          <c:showCatName val="0"/>
          <c:showSerName val="0"/>
          <c:showPercent val="0"/>
          <c:showBubbleSize val="0"/>
        </c:dLbls>
        <c:gapWidth val="219"/>
        <c:overlap val="-27"/>
        <c:axId val="1075732399"/>
        <c:axId val="1097302543"/>
      </c:barChart>
      <c:dateAx>
        <c:axId val="107573239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7302543"/>
        <c:crosses val="autoZero"/>
        <c:auto val="0"/>
        <c:lblOffset val="100"/>
        <c:baseTimeUnit val="days"/>
      </c:dateAx>
      <c:valAx>
        <c:axId val="1097302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COMPLIANCE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732399"/>
        <c:crosses val="autoZero"/>
        <c:crossBetween val="between"/>
      </c:valAx>
      <c:spPr>
        <a:noFill/>
        <a:ln>
          <a:noFill/>
        </a:ln>
        <a:effectLst/>
      </c:spPr>
    </c:plotArea>
    <c:legend>
      <c:legendPos val="b"/>
      <c:layout>
        <c:manualLayout>
          <c:xMode val="edge"/>
          <c:yMode val="edge"/>
          <c:x val="0.41874270924467777"/>
          <c:y val="0.89335259643553422"/>
          <c:w val="0.39399606299212597"/>
          <c:h val="6.36436662652695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DIAGNOSIS COMPLIANCE WITH TREATMEN</a:t>
            </a:r>
            <a:r>
              <a:rPr lang="en-US"/>
              <a:t>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Good Compliance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Uncomplicated Malaria</c:v>
                </c:pt>
                <c:pt idx="1">
                  <c:v>Severe Malaria</c:v>
                </c:pt>
              </c:strCache>
            </c:strRef>
          </c:cat>
          <c:val>
            <c:numRef>
              <c:f>Sheet1!$B$2:$B$4</c:f>
              <c:numCache>
                <c:formatCode>General</c:formatCode>
                <c:ptCount val="3"/>
                <c:pt idx="0">
                  <c:v>57.8</c:v>
                </c:pt>
                <c:pt idx="1">
                  <c:v>65.2</c:v>
                </c:pt>
              </c:numCache>
            </c:numRef>
          </c:val>
          <c:extLst>
            <c:ext xmlns:c16="http://schemas.microsoft.com/office/drawing/2014/chart" uri="{C3380CC4-5D6E-409C-BE32-E72D297353CC}">
              <c16:uniqueId val="{00000000-B24C-4AE2-B4DC-F3D74A0F5A34}"/>
            </c:ext>
          </c:extLst>
        </c:ser>
        <c:ser>
          <c:idx val="1"/>
          <c:order val="1"/>
          <c:tx>
            <c:strRef>
              <c:f>Sheet1!$C$1</c:f>
              <c:strCache>
                <c:ptCount val="1"/>
                <c:pt idx="0">
                  <c:v>Noncompliance</c:v>
                </c:pt>
              </c:strCache>
            </c:strRef>
          </c:tx>
          <c:spPr>
            <a:solidFill>
              <a:schemeClr val="accent2"/>
            </a:solidFill>
            <a:ln>
              <a:noFill/>
            </a:ln>
            <a:effectLst/>
            <a:sp3d/>
          </c:spPr>
          <c:invertIfNegative val="0"/>
          <c:dLbls>
            <c:dLbl>
              <c:idx val="0"/>
              <c:layout>
                <c:manualLayout>
                  <c:x val="3.0092592592592591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4C-4AE2-B4DC-F3D74A0F5A34}"/>
                </c:ext>
              </c:extLst>
            </c:dLbl>
            <c:dLbl>
              <c:idx val="1"/>
              <c:layout>
                <c:manualLayout>
                  <c:x val="3.00925925925925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4C-4AE2-B4DC-F3D74A0F5A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Uncomplicated Malaria</c:v>
                </c:pt>
                <c:pt idx="1">
                  <c:v>Severe Malaria</c:v>
                </c:pt>
              </c:strCache>
            </c:strRef>
          </c:cat>
          <c:val>
            <c:numRef>
              <c:f>Sheet1!$C$2:$C$4</c:f>
              <c:numCache>
                <c:formatCode>General</c:formatCode>
                <c:ptCount val="3"/>
                <c:pt idx="0">
                  <c:v>42.2</c:v>
                </c:pt>
                <c:pt idx="1">
                  <c:v>34.799999999999997</c:v>
                </c:pt>
              </c:numCache>
            </c:numRef>
          </c:val>
          <c:extLst>
            <c:ext xmlns:c16="http://schemas.microsoft.com/office/drawing/2014/chart" uri="{C3380CC4-5D6E-409C-BE32-E72D297353CC}">
              <c16:uniqueId val="{00000003-B24C-4AE2-B4DC-F3D74A0F5A34}"/>
            </c:ext>
          </c:extLst>
        </c:ser>
        <c:dLbls>
          <c:showLegendKey val="0"/>
          <c:showVal val="1"/>
          <c:showCatName val="0"/>
          <c:showSerName val="0"/>
          <c:showPercent val="0"/>
          <c:showBubbleSize val="0"/>
        </c:dLbls>
        <c:gapWidth val="150"/>
        <c:shape val="box"/>
        <c:axId val="1423182591"/>
        <c:axId val="1426951999"/>
        <c:axId val="0"/>
      </c:bar3DChart>
      <c:catAx>
        <c:axId val="14231825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951999"/>
        <c:crosses val="autoZero"/>
        <c:auto val="1"/>
        <c:lblAlgn val="ctr"/>
        <c:lblOffset val="100"/>
        <c:noMultiLvlLbl val="0"/>
      </c:catAx>
      <c:valAx>
        <c:axId val="1426951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182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705A-1E51-40D2-9C32-BE42FE11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18</Pages>
  <Words>8633</Words>
  <Characters>160224</Characters>
  <Application>Microsoft Office Word</Application>
  <DocSecurity>0</DocSecurity>
  <Lines>1335</Lines>
  <Paragraphs>337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168520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cp:revision>
  <cp:lastPrinted>1999-07-06T11:00:00Z</cp:lastPrinted>
  <dcterms:created xsi:type="dcterms:W3CDTF">2025-06-08T19:05:00Z</dcterms:created>
  <dcterms:modified xsi:type="dcterms:W3CDTF">2025-06-24T07:20:00Z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3837be48-4209-342f-b7e5-a22e23801780</vt:lpwstr>
  </property>
  <property fmtid="{D5CDD505-2E9C-101B-9397-08002B2CF9AE}" pid="24" name="Mendeley Citation Style_1">
    <vt:lpwstr>http://www.zotero.org/styles/apa</vt:lpwstr>
  </property>
</Properties>
</file>