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2E5A5" w14:textId="77777777" w:rsidR="00754C9A" w:rsidRDefault="00754C9A" w:rsidP="00441B6F">
      <w:pPr>
        <w:pStyle w:val="Title"/>
        <w:spacing w:after="0"/>
        <w:jc w:val="both"/>
        <w:rPr>
          <w:rFonts w:ascii="Arial" w:hAnsi="Arial" w:cs="Arial"/>
        </w:rPr>
      </w:pPr>
    </w:p>
    <w:p w14:paraId="39F4C494" w14:textId="167C7719" w:rsidR="00AD2A2A" w:rsidRPr="00790ADA" w:rsidRDefault="00905405" w:rsidP="00AD2A2A">
      <w:pPr>
        <w:pStyle w:val="Author"/>
        <w:spacing w:line="240" w:lineRule="auto"/>
        <w:jc w:val="both"/>
        <w:rPr>
          <w:rFonts w:ascii="Arial" w:hAnsi="Arial" w:cs="Arial"/>
          <w:sz w:val="36"/>
        </w:rPr>
      </w:pPr>
      <w:r>
        <w:t>The Role of Data Assumptions in Selecting Between Parametric and Nonparametric Tests</w:t>
      </w:r>
    </w:p>
    <w:p w14:paraId="569A531E" w14:textId="77777777" w:rsidR="00790ADA" w:rsidRDefault="00790ADA" w:rsidP="00441B6F">
      <w:pPr>
        <w:pStyle w:val="Affiliation"/>
        <w:spacing w:after="0" w:line="240" w:lineRule="auto"/>
        <w:jc w:val="both"/>
        <w:rPr>
          <w:rFonts w:ascii="Arial" w:hAnsi="Arial" w:cs="Arial"/>
        </w:rPr>
      </w:pPr>
    </w:p>
    <w:p w14:paraId="7973807C" w14:textId="77777777" w:rsidR="002C57D2" w:rsidRPr="00FB3A86" w:rsidRDefault="002C57D2" w:rsidP="00441B6F">
      <w:pPr>
        <w:pStyle w:val="Affiliation"/>
        <w:spacing w:after="0" w:line="240" w:lineRule="auto"/>
        <w:jc w:val="both"/>
        <w:rPr>
          <w:rFonts w:ascii="Arial" w:hAnsi="Arial" w:cs="Arial"/>
        </w:rPr>
      </w:pPr>
    </w:p>
    <w:p w14:paraId="5F15060A" w14:textId="77777777" w:rsidR="00B01FCD" w:rsidRPr="00FB3A86" w:rsidRDefault="00C9575E" w:rsidP="00441B6F">
      <w:pPr>
        <w:pStyle w:val="Copyright"/>
        <w:spacing w:after="0" w:line="240" w:lineRule="auto"/>
        <w:jc w:val="both"/>
        <w:rPr>
          <w:rFonts w:ascii="Arial" w:hAnsi="Arial" w:cs="Arial"/>
        </w:rPr>
        <w:sectPr w:rsidR="00B01FCD" w:rsidRPr="00FB3A86" w:rsidSect="0049703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4B4823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495842D" w14:textId="57517A5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6FC845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720CEDB" w14:textId="77777777" w:rsidTr="001E44FE">
        <w:tc>
          <w:tcPr>
            <w:tcW w:w="9576" w:type="dxa"/>
            <w:shd w:val="clear" w:color="auto" w:fill="F2F2F2"/>
          </w:tcPr>
          <w:p w14:paraId="690F2D38" w14:textId="0C6F247F" w:rsidR="00AD2A2A" w:rsidRPr="001E7938" w:rsidRDefault="00AD2A2A" w:rsidP="00AD2A2A">
            <w:pPr>
              <w:spacing w:before="100" w:beforeAutospacing="1" w:after="100" w:afterAutospacing="1"/>
              <w:jc w:val="both"/>
              <w:rPr>
                <w:rFonts w:ascii="Arial" w:hAnsi="Arial" w:cs="Arial"/>
                <w:lang w:val="en-PH" w:eastAsia="en-PH"/>
              </w:rPr>
            </w:pPr>
            <w:r w:rsidRPr="001E7938">
              <w:rPr>
                <w:rFonts w:ascii="Arial" w:hAnsi="Arial" w:cs="Arial"/>
                <w:b/>
                <w:bCs/>
                <w:lang w:val="en-PH" w:eastAsia="en-PH"/>
              </w:rPr>
              <w:t>Aims:</w:t>
            </w:r>
            <w:r w:rsidRPr="001E7938">
              <w:rPr>
                <w:rFonts w:ascii="Arial" w:hAnsi="Arial" w:cs="Arial"/>
                <w:lang w:val="en-PH" w:eastAsia="en-PH"/>
              </w:rPr>
              <w:br/>
            </w:r>
            <w:r w:rsidR="00EE5FFE" w:rsidRPr="00EE5FFE">
              <w:rPr>
                <w:rFonts w:ascii="Arial" w:hAnsi="Arial" w:cs="Arial"/>
                <w:lang w:eastAsia="en-PH"/>
              </w:rPr>
              <w:t>This study aimed to examine the role of data assumptions</w:t>
            </w:r>
            <w:r w:rsidR="00EE5FFE">
              <w:rPr>
                <w:rFonts w:ascii="Arial" w:hAnsi="Arial" w:cs="Arial"/>
                <w:lang w:eastAsia="en-PH"/>
              </w:rPr>
              <w:t xml:space="preserve"> </w:t>
            </w:r>
            <w:r w:rsidR="00EE5FFE" w:rsidRPr="00EE5FFE">
              <w:rPr>
                <w:rFonts w:ascii="Arial" w:hAnsi="Arial" w:cs="Arial"/>
                <w:lang w:eastAsia="en-PH"/>
              </w:rPr>
              <w:t>particularly normality</w:t>
            </w:r>
            <w:r w:rsidR="00EE5FFE">
              <w:rPr>
                <w:rFonts w:ascii="Arial" w:hAnsi="Arial" w:cs="Arial"/>
                <w:lang w:eastAsia="en-PH"/>
              </w:rPr>
              <w:t xml:space="preserve"> </w:t>
            </w:r>
            <w:r w:rsidR="00EE5FFE" w:rsidRPr="00EE5FFE">
              <w:rPr>
                <w:rFonts w:ascii="Arial" w:hAnsi="Arial" w:cs="Arial"/>
                <w:lang w:eastAsia="en-PH"/>
              </w:rPr>
              <w:t>in determining the appropriate use of parametric and nonparametric statistical tests. Specifically, it compared the robustness, effect size, and performance of the Independent t-test and Mann–Whitney U test, as well as the Paired t-test and Wilcoxon Signed-Rank test, using simulated Likert-scale data under normal and non-normal distributions.</w:t>
            </w:r>
          </w:p>
          <w:p w14:paraId="0646B2C3" w14:textId="77777777" w:rsidR="00AD2A2A" w:rsidRDefault="00AD2A2A" w:rsidP="00AD2A2A">
            <w:pPr>
              <w:spacing w:before="100" w:beforeAutospacing="1" w:after="100" w:afterAutospacing="1"/>
              <w:jc w:val="both"/>
              <w:rPr>
                <w:rFonts w:ascii="Arial" w:hAnsi="Arial" w:cs="Arial"/>
                <w:b/>
                <w:bCs/>
                <w:lang w:val="en-PH" w:eastAsia="en-PH"/>
              </w:rPr>
            </w:pPr>
            <w:r w:rsidRPr="001E7938">
              <w:rPr>
                <w:rFonts w:ascii="Arial" w:hAnsi="Arial" w:cs="Arial"/>
                <w:b/>
                <w:bCs/>
                <w:lang w:val="en-PH" w:eastAsia="en-PH"/>
              </w:rPr>
              <w:t>Study Design:</w:t>
            </w:r>
          </w:p>
          <w:p w14:paraId="685C5815" w14:textId="77777777" w:rsidR="00EE5FFE" w:rsidRDefault="00EE5FFE" w:rsidP="00AD2A2A">
            <w:pPr>
              <w:spacing w:before="100" w:beforeAutospacing="1" w:after="100" w:afterAutospacing="1"/>
              <w:jc w:val="both"/>
              <w:rPr>
                <w:rFonts w:ascii="Arial" w:hAnsi="Arial" w:cs="Arial"/>
                <w:lang w:eastAsia="en-PH"/>
              </w:rPr>
            </w:pPr>
            <w:r w:rsidRPr="00EE5FFE">
              <w:rPr>
                <w:rFonts w:ascii="Arial" w:hAnsi="Arial" w:cs="Arial"/>
                <w:lang w:eastAsia="en-PH"/>
              </w:rPr>
              <w:t>A quantitative, comparative design was employed to analyze the effects of normality violations on the outcomes and effect sizes of selected parametric and nonparametric tests.</w:t>
            </w:r>
          </w:p>
          <w:p w14:paraId="1D282B8B" w14:textId="6C17CE90" w:rsidR="00AD2A2A" w:rsidRDefault="00AD2A2A" w:rsidP="00AD2A2A">
            <w:pPr>
              <w:spacing w:before="100" w:beforeAutospacing="1" w:after="100" w:afterAutospacing="1"/>
              <w:jc w:val="both"/>
              <w:rPr>
                <w:rFonts w:ascii="Arial" w:hAnsi="Arial" w:cs="Arial"/>
                <w:b/>
                <w:bCs/>
                <w:lang w:val="en-PH" w:eastAsia="en-PH"/>
              </w:rPr>
            </w:pPr>
            <w:r w:rsidRPr="001E7938">
              <w:rPr>
                <w:rFonts w:ascii="Arial" w:hAnsi="Arial" w:cs="Arial"/>
                <w:b/>
                <w:bCs/>
                <w:lang w:val="en-PH" w:eastAsia="en-PH"/>
              </w:rPr>
              <w:t>Place and Duration of Study:</w:t>
            </w:r>
          </w:p>
          <w:p w14:paraId="17EB7C10" w14:textId="77777777" w:rsidR="00EE5FFE" w:rsidRDefault="00EE5FFE" w:rsidP="00AD2A2A">
            <w:pPr>
              <w:spacing w:before="100" w:beforeAutospacing="1" w:after="100" w:afterAutospacing="1"/>
              <w:jc w:val="both"/>
              <w:rPr>
                <w:rFonts w:ascii="Arial" w:hAnsi="Arial" w:cs="Arial"/>
                <w:lang w:eastAsia="en-PH"/>
              </w:rPr>
            </w:pPr>
            <w:r w:rsidRPr="00FE065A">
              <w:rPr>
                <w:rFonts w:ascii="Arial" w:hAnsi="Arial" w:cs="Arial"/>
                <w:lang w:eastAsia="en-PH"/>
              </w:rPr>
              <w:t>The study was conducted through simulated datasets developed for instructional and comparative statistical analysis purposes in October 2025.</w:t>
            </w:r>
          </w:p>
          <w:p w14:paraId="0F7A7E5F" w14:textId="77777777" w:rsidR="00EE5FFE" w:rsidRDefault="00AD2A2A" w:rsidP="00AD2A2A">
            <w:pPr>
              <w:spacing w:before="100" w:beforeAutospacing="1" w:after="100" w:afterAutospacing="1"/>
              <w:jc w:val="both"/>
              <w:rPr>
                <w:rFonts w:ascii="Arial" w:hAnsi="Arial" w:cs="Arial"/>
                <w:b/>
                <w:bCs/>
                <w:lang w:val="en-PH" w:eastAsia="en-PH"/>
              </w:rPr>
            </w:pPr>
            <w:r w:rsidRPr="001E7938">
              <w:rPr>
                <w:rFonts w:ascii="Arial" w:hAnsi="Arial" w:cs="Arial"/>
                <w:b/>
                <w:bCs/>
                <w:lang w:val="en-PH" w:eastAsia="en-PH"/>
              </w:rPr>
              <w:t>Methodology:</w:t>
            </w:r>
          </w:p>
          <w:p w14:paraId="2AE04A88" w14:textId="77777777" w:rsidR="00ED775A" w:rsidRDefault="00ED775A" w:rsidP="00ED775A">
            <w:pPr>
              <w:spacing w:before="100" w:beforeAutospacing="1" w:after="100" w:afterAutospacing="1"/>
              <w:jc w:val="both"/>
              <w:rPr>
                <w:rFonts w:ascii="Arial" w:hAnsi="Arial" w:cs="Arial"/>
                <w:lang w:eastAsia="en-PH"/>
              </w:rPr>
            </w:pPr>
            <w:r w:rsidRPr="00E452E8">
              <w:rPr>
                <w:rFonts w:ascii="Arial" w:hAnsi="Arial" w:cs="Arial"/>
                <w:highlight w:val="yellow"/>
                <w:lang w:eastAsia="en-PH"/>
              </w:rPr>
              <w:t>Simulated Likert-scale data (n = 100) were generated using SPSS under both normal and non-normal distributions. Descriptive statistics and the Shapiro–Wilk test assessed normality. Independent and Paired t-tests were applied to normal data, while Mann–Whitney U and Wilcoxon Signed-Rank tests were used for non-normal data. Effect sizes were computed using Cohen’s d and rank-biserial correlation.</w:t>
            </w:r>
          </w:p>
          <w:p w14:paraId="25A1EF1D" w14:textId="7D395E55" w:rsidR="00ED775A" w:rsidRPr="00ED775A" w:rsidRDefault="00AD2A2A" w:rsidP="00ED775A">
            <w:pPr>
              <w:spacing w:before="100" w:beforeAutospacing="1" w:after="100" w:afterAutospacing="1"/>
              <w:jc w:val="both"/>
              <w:rPr>
                <w:rFonts w:ascii="Arial" w:hAnsi="Arial" w:cs="Arial"/>
                <w:b/>
                <w:bCs/>
                <w:lang w:val="en-PH" w:eastAsia="en-PH"/>
              </w:rPr>
            </w:pPr>
            <w:r w:rsidRPr="001E7938">
              <w:rPr>
                <w:rFonts w:ascii="Arial" w:hAnsi="Arial" w:cs="Arial"/>
                <w:b/>
                <w:bCs/>
                <w:lang w:val="en-PH" w:eastAsia="en-PH"/>
              </w:rPr>
              <w:t>Results:</w:t>
            </w:r>
            <w:r w:rsidRPr="001E7938">
              <w:rPr>
                <w:rFonts w:ascii="Arial" w:hAnsi="Arial" w:cs="Arial"/>
                <w:lang w:val="en-PH" w:eastAsia="en-PH"/>
              </w:rPr>
              <w:br/>
            </w:r>
            <w:r w:rsidR="00ED775A" w:rsidRPr="001E7938">
              <w:rPr>
                <w:rFonts w:ascii="Arial" w:hAnsi="Arial" w:cs="Arial"/>
                <w:lang w:val="en-PH" w:eastAsia="en-PH"/>
              </w:rPr>
              <w:br/>
            </w:r>
            <w:r w:rsidR="00ED775A" w:rsidRPr="000819BD">
              <w:rPr>
                <w:rFonts w:ascii="Arial" w:hAnsi="Arial" w:cs="Arial"/>
                <w:highlight w:val="yellow"/>
                <w:lang w:eastAsia="en-PH"/>
              </w:rPr>
              <w:t>Under normal conditions, the Independent t-test produced a larger effect size (d = –3.75) than the Mann–Whitney U test (r = 0.997). In non-normal data, both tests were significant (p = 0.001), but the Mann–Whitney U test remained more stable (r = 0.921). For paired data, the Paired t-test (d = –0.217, p = 0.032) and Wilcoxon test (r = –0.291, p = 0.012) yielded consistent outcomes, though the Wilcoxon test showed greater robustness under non-normality.</w:t>
            </w:r>
          </w:p>
          <w:p w14:paraId="47AE9D16" w14:textId="505EF171" w:rsidR="00AD2A2A" w:rsidRPr="00EE5FFE" w:rsidRDefault="00AD2A2A" w:rsidP="00AD2A2A">
            <w:pPr>
              <w:spacing w:before="100" w:beforeAutospacing="1" w:after="100" w:afterAutospacing="1"/>
              <w:jc w:val="both"/>
              <w:rPr>
                <w:rFonts w:ascii="Arial" w:hAnsi="Arial" w:cs="Arial"/>
                <w:lang w:eastAsia="en-PH"/>
              </w:rPr>
            </w:pPr>
          </w:p>
          <w:p w14:paraId="122D28C5" w14:textId="77777777" w:rsidR="00EE5FFE" w:rsidRPr="00EE5FFE" w:rsidRDefault="00AD2A2A" w:rsidP="00EE5FFE">
            <w:pPr>
              <w:spacing w:before="100" w:beforeAutospacing="1" w:after="100" w:afterAutospacing="1"/>
              <w:jc w:val="both"/>
              <w:rPr>
                <w:rFonts w:ascii="Arial" w:hAnsi="Arial" w:cs="Arial"/>
                <w:lang w:val="en-PH" w:eastAsia="en-PH"/>
              </w:rPr>
            </w:pPr>
            <w:r w:rsidRPr="001E7938">
              <w:rPr>
                <w:rFonts w:ascii="Arial" w:hAnsi="Arial" w:cs="Arial"/>
                <w:b/>
                <w:bCs/>
                <w:lang w:val="en-PH" w:eastAsia="en-PH"/>
              </w:rPr>
              <w:t>Conclusion:</w:t>
            </w:r>
            <w:r w:rsidRPr="001E7938">
              <w:rPr>
                <w:rFonts w:ascii="Arial" w:hAnsi="Arial" w:cs="Arial"/>
                <w:lang w:val="en-PH" w:eastAsia="en-PH"/>
              </w:rPr>
              <w:br/>
            </w:r>
            <w:r w:rsidR="00EE5FFE" w:rsidRPr="00EE5FFE">
              <w:rPr>
                <w:rFonts w:ascii="Arial" w:hAnsi="Arial" w:cs="Arial"/>
                <w:lang w:val="en-PH" w:eastAsia="en-PH"/>
              </w:rPr>
              <w:t xml:space="preserve">The study concludes that statistical test selection must be guided by data assumptions. While parametric tests are efficient for normally distributed data, nonparametric methods demonstrate superior robustness when normality is violated. Using inappropriate tests can lead to inflated Type I errors or misleading interpretations. Therefore, researchers are strongly encouraged to assess distributional assumptions prior to analysis and apply proper </w:t>
            </w:r>
            <w:r w:rsidR="00EE5FFE" w:rsidRPr="00EE5FFE">
              <w:rPr>
                <w:rFonts w:ascii="Arial" w:hAnsi="Arial" w:cs="Arial"/>
                <w:lang w:val="en-PH" w:eastAsia="en-PH"/>
              </w:rPr>
              <w:lastRenderedPageBreak/>
              <w:t>statistical treatments to ensure validity, reliability, and accuracy in data interpretation.</w:t>
            </w:r>
          </w:p>
          <w:p w14:paraId="10CD34AE" w14:textId="6981CA55" w:rsidR="00AD2A2A" w:rsidRPr="001E7938" w:rsidRDefault="00AD2A2A" w:rsidP="00AD2A2A">
            <w:pPr>
              <w:spacing w:before="100" w:beforeAutospacing="1" w:after="100" w:afterAutospacing="1"/>
              <w:jc w:val="both"/>
              <w:rPr>
                <w:rFonts w:ascii="Arial" w:hAnsi="Arial" w:cs="Arial"/>
                <w:lang w:val="en-PH" w:eastAsia="en-PH"/>
              </w:rPr>
            </w:pPr>
          </w:p>
          <w:p w14:paraId="36FD8695" w14:textId="6A9B761D" w:rsidR="00505F06" w:rsidRPr="00BA1B01" w:rsidRDefault="00505F06" w:rsidP="00441B6F">
            <w:pPr>
              <w:pStyle w:val="Body"/>
              <w:spacing w:after="0"/>
              <w:rPr>
                <w:rFonts w:ascii="Arial" w:eastAsia="Calibri" w:hAnsi="Arial" w:cs="Arial"/>
                <w:szCs w:val="22"/>
              </w:rPr>
            </w:pPr>
          </w:p>
        </w:tc>
      </w:tr>
    </w:tbl>
    <w:p w14:paraId="67011AA2" w14:textId="2412A142" w:rsidR="0024282C" w:rsidRDefault="008B3671" w:rsidP="00441B6F">
      <w:pPr>
        <w:pStyle w:val="Body"/>
        <w:spacing w:after="0"/>
        <w:rPr>
          <w:rFonts w:ascii="Arial" w:hAnsi="Arial" w:cs="Arial"/>
          <w:i/>
          <w:sz w:val="18"/>
        </w:rPr>
      </w:pPr>
      <w:r>
        <w:rPr>
          <w:rFonts w:ascii="Arial" w:hAnsi="Arial" w:cs="Arial"/>
          <w:i/>
          <w:sz w:val="18"/>
        </w:rPr>
        <w:lastRenderedPageBreak/>
        <w:t>Keywords: Likert-scale, Parametric, non-parametric, Normality Assumption, Data robustness, Effect Size, Statistical Power, Educational research methods</w:t>
      </w:r>
    </w:p>
    <w:p w14:paraId="3067AAF8" w14:textId="77777777" w:rsidR="00505F06" w:rsidRPr="00A24E7E" w:rsidRDefault="00505F06" w:rsidP="00441B6F">
      <w:pPr>
        <w:pStyle w:val="Body"/>
        <w:spacing w:after="0"/>
        <w:rPr>
          <w:rFonts w:ascii="Arial" w:hAnsi="Arial" w:cs="Arial"/>
          <w:i/>
        </w:rPr>
      </w:pPr>
    </w:p>
    <w:p w14:paraId="1416B813" w14:textId="6C1939E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A06B6C" w14:textId="77777777" w:rsidR="00790ADA" w:rsidRPr="00FB3A86" w:rsidRDefault="00790ADA" w:rsidP="00441B6F">
      <w:pPr>
        <w:pStyle w:val="AbstHead"/>
        <w:spacing w:after="0"/>
        <w:jc w:val="both"/>
        <w:rPr>
          <w:rFonts w:ascii="Arial" w:hAnsi="Arial" w:cs="Arial"/>
        </w:rPr>
      </w:pPr>
    </w:p>
    <w:p w14:paraId="4FA2BD51" w14:textId="77777777" w:rsidR="00ED775A" w:rsidRDefault="005F4404" w:rsidP="00ED775A">
      <w:pPr>
        <w:pStyle w:val="Body"/>
        <w:spacing w:after="0"/>
        <w:rPr>
          <w:rFonts w:ascii="Arial" w:hAnsi="Arial" w:cs="Arial"/>
        </w:rPr>
      </w:pPr>
      <w:r w:rsidRPr="005F4404">
        <w:rPr>
          <w:rFonts w:ascii="Arial" w:hAnsi="Arial" w:cs="Arial"/>
          <w:lang w:val="en-PH"/>
        </w:rPr>
        <w:t>Statistical analysis serves as a cornerstone in research across various disciplines, particularly in the social sciences, education, and psychology, where quantitative evidence informs decision-making and interpretation. Among the most widely employed techniques are parametric and nonparametric tests, both designed to evaluate hypotheses concerning population means or distributions. However, the reliability and validity of these tests are profoundly influenced by the assumptions underlying the data. Assumptions such as normality, homogeneity of variance, and measurement level are crucial for ensuring that results derived from parametric tests like the t-test or ANOVA are statistically sound</w:t>
      </w:r>
      <w:r w:rsidR="00ED775A" w:rsidRPr="00CD58D2">
        <w:rPr>
          <w:rFonts w:ascii="Arial" w:hAnsi="Arial" w:cs="Arial"/>
          <w:highlight w:val="yellow"/>
          <w:lang w:val="en-PH"/>
        </w:rPr>
        <w:t xml:space="preserve">. </w:t>
      </w:r>
      <w:r w:rsidR="00ED775A" w:rsidRPr="00CD58D2">
        <w:rPr>
          <w:rFonts w:ascii="Arial" w:hAnsi="Arial" w:cs="Arial"/>
          <w:highlight w:val="yellow"/>
        </w:rPr>
        <w:t>When these assumptions are violated, using these tests can yield misleading conclusions, prompting the need for nonparametric alternatives such as the Mann–Whitney U or Wilcoxon Signed-Rank test (Ghasemi &amp; Zahediasl, 2012; Aslam, 2024).</w:t>
      </w:r>
    </w:p>
    <w:p w14:paraId="0EC5CD4F" w14:textId="77777777" w:rsidR="00ED775A" w:rsidRDefault="00ED775A" w:rsidP="00ED775A">
      <w:pPr>
        <w:pStyle w:val="Body"/>
        <w:spacing w:after="0"/>
        <w:rPr>
          <w:rFonts w:ascii="Arial" w:hAnsi="Arial" w:cs="Arial"/>
        </w:rPr>
      </w:pPr>
    </w:p>
    <w:p w14:paraId="27790003" w14:textId="1EB4A361" w:rsidR="005F4404" w:rsidRDefault="005F4404" w:rsidP="005F4404">
      <w:pPr>
        <w:pStyle w:val="Body"/>
        <w:spacing w:after="0"/>
        <w:rPr>
          <w:rFonts w:ascii="Arial" w:hAnsi="Arial" w:cs="Arial"/>
          <w:lang w:val="en-PH"/>
        </w:rPr>
      </w:pPr>
      <w:r w:rsidRPr="005F4404">
        <w:rPr>
          <w:rFonts w:ascii="Arial" w:hAnsi="Arial" w:cs="Arial"/>
          <w:lang w:val="en-PH"/>
        </w:rPr>
        <w:t xml:space="preserve">Many researchers in higher education continue to use parametric tests out of tradition or familiarity, often without verifying whether their data meet the underlying assumptions. This practice can compromise the validity of results, particularly when analyzing Likert-scale or ordinal data commonly collected from students to measure perceptions, satisfaction, or performance. Recent studies have emphasized the importance of assumption checking. For example, </w:t>
      </w:r>
      <w:proofErr w:type="spellStart"/>
      <w:r w:rsidRPr="005F4404">
        <w:rPr>
          <w:rFonts w:ascii="Arial" w:hAnsi="Arial" w:cs="Arial"/>
          <w:lang w:val="en-PH"/>
        </w:rPr>
        <w:t>Orcan</w:t>
      </w:r>
      <w:proofErr w:type="spellEnd"/>
      <w:r w:rsidRPr="005F4404">
        <w:rPr>
          <w:rFonts w:ascii="Arial" w:hAnsi="Arial" w:cs="Arial"/>
          <w:lang w:val="en-PH"/>
        </w:rPr>
        <w:t xml:space="preserve"> (2020) highlighted that skewness alone is insufficient for deciding whether parametric tests are appropriate, while Şimşek (2023) demonstrated that Type I error and statistical power differ substantially between parametric and nonparametric tests when applied to Likert-type data. </w:t>
      </w:r>
      <w:r w:rsidR="00ED775A" w:rsidRPr="00CD58D2">
        <w:rPr>
          <w:rFonts w:ascii="Arial" w:hAnsi="Arial" w:cs="Arial"/>
          <w:highlight w:val="yellow"/>
        </w:rPr>
        <w:t>Recent investigations have also explored the continuous-variable interpretation of Likert scales, supporting the cautious use of parametric methods when distributional assumptions are empirically justified (Exploration of Likert scale in terms of continuous variable with parametric statistical methods, 2025).</w:t>
      </w:r>
      <w:r w:rsidR="00ED775A" w:rsidRPr="005F4404">
        <w:rPr>
          <w:rFonts w:ascii="Arial" w:hAnsi="Arial" w:cs="Arial"/>
          <w:lang w:val="en-PH"/>
        </w:rPr>
        <w:t xml:space="preserve"> </w:t>
      </w:r>
      <w:r w:rsidRPr="005F4404">
        <w:rPr>
          <w:rFonts w:ascii="Arial" w:hAnsi="Arial" w:cs="Arial"/>
          <w:lang w:val="en-PH"/>
        </w:rPr>
        <w:t xml:space="preserve">Skene (2016) and </w:t>
      </w:r>
      <w:proofErr w:type="spellStart"/>
      <w:r w:rsidRPr="005F4404">
        <w:rPr>
          <w:rFonts w:ascii="Arial" w:hAnsi="Arial" w:cs="Arial"/>
          <w:lang w:val="en-PH"/>
        </w:rPr>
        <w:t>Mircioiu</w:t>
      </w:r>
      <w:proofErr w:type="spellEnd"/>
      <w:r w:rsidRPr="005F4404">
        <w:rPr>
          <w:rFonts w:ascii="Arial" w:hAnsi="Arial" w:cs="Arial"/>
          <w:lang w:val="en-PH"/>
        </w:rPr>
        <w:t xml:space="preserve"> and Atkinson (2017) further confirmed that misapplication of parametric tests can distort interpretations, emphasizing the need for researchers to align their statistical methods with data characteristics.</w:t>
      </w:r>
    </w:p>
    <w:p w14:paraId="56E58878" w14:textId="77777777" w:rsidR="005F4404" w:rsidRPr="005F4404" w:rsidRDefault="005F4404" w:rsidP="005F4404">
      <w:pPr>
        <w:pStyle w:val="Body"/>
        <w:spacing w:after="0"/>
        <w:rPr>
          <w:rFonts w:ascii="Arial" w:hAnsi="Arial" w:cs="Arial"/>
          <w:lang w:val="en-PH"/>
        </w:rPr>
      </w:pPr>
    </w:p>
    <w:p w14:paraId="68022A9C" w14:textId="77777777" w:rsidR="005F4404" w:rsidRDefault="005F4404" w:rsidP="005F4404">
      <w:pPr>
        <w:pStyle w:val="Body"/>
        <w:spacing w:after="0"/>
        <w:rPr>
          <w:rFonts w:ascii="Arial" w:hAnsi="Arial" w:cs="Arial"/>
          <w:lang w:val="en-PH"/>
        </w:rPr>
      </w:pPr>
      <w:proofErr w:type="spellStart"/>
      <w:r w:rsidRPr="005F4404">
        <w:rPr>
          <w:rFonts w:ascii="Arial" w:hAnsi="Arial" w:cs="Arial"/>
          <w:lang w:val="en-PH"/>
        </w:rPr>
        <w:t>Delacre</w:t>
      </w:r>
      <w:proofErr w:type="spellEnd"/>
      <w:r w:rsidRPr="005F4404">
        <w:rPr>
          <w:rFonts w:ascii="Arial" w:hAnsi="Arial" w:cs="Arial"/>
          <w:lang w:val="en-PH"/>
        </w:rPr>
        <w:t xml:space="preserve">, </w:t>
      </w:r>
      <w:proofErr w:type="spellStart"/>
      <w:r w:rsidRPr="005F4404">
        <w:rPr>
          <w:rFonts w:ascii="Arial" w:hAnsi="Arial" w:cs="Arial"/>
          <w:lang w:val="en-PH"/>
        </w:rPr>
        <w:t>Lakens</w:t>
      </w:r>
      <w:proofErr w:type="spellEnd"/>
      <w:r w:rsidRPr="005F4404">
        <w:rPr>
          <w:rFonts w:ascii="Arial" w:hAnsi="Arial" w:cs="Arial"/>
          <w:lang w:val="en-PH"/>
        </w:rPr>
        <w:t xml:space="preserve">, and Leys (2017) also argued that researchers should adopt more robust parametric techniques such as Welch’s t-test by default, as it performs better when homogeneity of variance is violated. Similarly, de Winter and </w:t>
      </w:r>
      <w:proofErr w:type="spellStart"/>
      <w:r w:rsidRPr="005F4404">
        <w:rPr>
          <w:rFonts w:ascii="Arial" w:hAnsi="Arial" w:cs="Arial"/>
          <w:lang w:val="en-PH"/>
        </w:rPr>
        <w:t>Dodou</w:t>
      </w:r>
      <w:proofErr w:type="spellEnd"/>
      <w:r w:rsidRPr="005F4404">
        <w:rPr>
          <w:rFonts w:ascii="Arial" w:hAnsi="Arial" w:cs="Arial"/>
          <w:lang w:val="en-PH"/>
        </w:rPr>
        <w:t xml:space="preserve"> (2010) demonstrated through simulation that even when using five-point Likert items, the t-test remains relatively robust under mild non-normality; however, they cautioned that the Mann–Whitney U test provides safer inferences for highly skewed data. Meanwhile, Kim (2015) clarified the theoretical basis of t-tests as parametric statistics and reminded researchers that these tests assume interval-level data and normally distributed populations, conditions not always satisfied by educational survey responses.</w:t>
      </w:r>
    </w:p>
    <w:p w14:paraId="2D7D62EF" w14:textId="77777777" w:rsidR="005F4404" w:rsidRPr="005F4404" w:rsidRDefault="005F4404" w:rsidP="005F4404">
      <w:pPr>
        <w:pStyle w:val="Body"/>
        <w:spacing w:after="0"/>
        <w:rPr>
          <w:rFonts w:ascii="Arial" w:hAnsi="Arial" w:cs="Arial"/>
          <w:lang w:val="en-PH"/>
        </w:rPr>
      </w:pPr>
    </w:p>
    <w:p w14:paraId="3629935D" w14:textId="77777777" w:rsidR="005F4404" w:rsidRPr="005F4404" w:rsidRDefault="005F4404" w:rsidP="005F4404">
      <w:pPr>
        <w:pStyle w:val="Body"/>
        <w:spacing w:after="0"/>
        <w:rPr>
          <w:rFonts w:ascii="Arial" w:hAnsi="Arial" w:cs="Arial"/>
          <w:lang w:val="en-PH"/>
        </w:rPr>
      </w:pPr>
      <w:r w:rsidRPr="005F4404">
        <w:rPr>
          <w:rFonts w:ascii="Arial" w:hAnsi="Arial" w:cs="Arial"/>
          <w:lang w:val="en-PH"/>
        </w:rPr>
        <w:t xml:space="preserve">In the context of higher education, the misapplication of statistical tests can have tangible consequences. Educators and administrators rely on research findings to guide interventions, curriculum design, and assessment strategies. Inaccurate conclusions arising from assumption violations may lead to ineffective or misdirected decisions, ultimately impacting student learning outcomes and institutional policies. Therefore, evaluating the role </w:t>
      </w:r>
      <w:r w:rsidRPr="005F4404">
        <w:rPr>
          <w:rFonts w:ascii="Arial" w:hAnsi="Arial" w:cs="Arial"/>
          <w:lang w:val="en-PH"/>
        </w:rPr>
        <w:lastRenderedPageBreak/>
        <w:t>of data assumptions in selecting statistical tests is not only a methodological concern but also a practical necessity for evidence-based decision-making in educational settings.</w:t>
      </w:r>
    </w:p>
    <w:p w14:paraId="740737D0" w14:textId="77777777" w:rsidR="005F4404" w:rsidRDefault="005F4404" w:rsidP="005F4404">
      <w:pPr>
        <w:pStyle w:val="Body"/>
        <w:spacing w:after="0"/>
        <w:rPr>
          <w:rFonts w:ascii="Arial" w:hAnsi="Arial" w:cs="Arial"/>
          <w:lang w:val="en-PH"/>
        </w:rPr>
      </w:pPr>
      <w:r w:rsidRPr="005F4404">
        <w:rPr>
          <w:rFonts w:ascii="Arial" w:hAnsi="Arial" w:cs="Arial"/>
          <w:lang w:val="en-PH"/>
        </w:rPr>
        <w:t>This study addresses this critical issue by simulating Likert-scale datasets representing student responses and comparing the outcomes of paired and independent t-tests against their respective nonparametric equivalents (Wilcoxon Signed-Rank and Mann–Whitney U tests). By systematically examining how violations of normality, skewness, and variance homogeneity affect statistical significance and effect sizes, this research aims to provide evidence-based guidance for researchers and educators. The study’s findings will enhance statistical literacy, improve methodological rigor, and support more accurate interpretation of student survey data.</w:t>
      </w:r>
    </w:p>
    <w:p w14:paraId="585678BF" w14:textId="77777777" w:rsidR="005F4404" w:rsidRPr="005F4404" w:rsidRDefault="005F4404" w:rsidP="005F4404">
      <w:pPr>
        <w:pStyle w:val="Body"/>
        <w:spacing w:after="0"/>
        <w:rPr>
          <w:rFonts w:ascii="Arial" w:hAnsi="Arial" w:cs="Arial"/>
          <w:lang w:val="en-PH"/>
        </w:rPr>
      </w:pPr>
    </w:p>
    <w:p w14:paraId="53F52F61" w14:textId="77777777" w:rsidR="005F4404" w:rsidRPr="005F4404" w:rsidRDefault="005F4404" w:rsidP="005F4404">
      <w:pPr>
        <w:pStyle w:val="Body"/>
        <w:spacing w:after="0"/>
        <w:rPr>
          <w:rFonts w:ascii="Arial" w:hAnsi="Arial" w:cs="Arial"/>
          <w:lang w:val="en-PH"/>
        </w:rPr>
      </w:pPr>
      <w:r w:rsidRPr="005F4404">
        <w:rPr>
          <w:rFonts w:ascii="Arial" w:hAnsi="Arial" w:cs="Arial"/>
          <w:lang w:val="en-PH"/>
        </w:rPr>
        <w:t>Ultimately, the research contributes to a deeper understanding of when parametric methods are appropriate and when nonparametric alternatives should be preferred, bridging the gap between statistical theory and applied research. By integrating these insights into the higher education context, the study informs both practical research design and institutional decision-making, ensuring that analyses of student data lead to reliable, actionable, and meaningful conclusions.</w:t>
      </w:r>
    </w:p>
    <w:p w14:paraId="15585DBA" w14:textId="77777777" w:rsidR="00790ADA" w:rsidRPr="00FB3A86" w:rsidRDefault="00790ADA" w:rsidP="00441B6F">
      <w:pPr>
        <w:pStyle w:val="Body"/>
        <w:spacing w:after="0"/>
        <w:rPr>
          <w:rFonts w:ascii="Arial" w:hAnsi="Arial" w:cs="Arial"/>
        </w:rPr>
      </w:pPr>
    </w:p>
    <w:p w14:paraId="7A106FC0" w14:textId="72E8DBCD"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14D5A1D" w14:textId="77777777" w:rsidR="00AD2A2A" w:rsidRDefault="00AD2A2A" w:rsidP="00441B6F">
      <w:pPr>
        <w:pStyle w:val="AbstHead"/>
        <w:spacing w:after="0"/>
        <w:jc w:val="both"/>
        <w:rPr>
          <w:rFonts w:ascii="Arial" w:hAnsi="Arial" w:cs="Arial"/>
        </w:rPr>
      </w:pPr>
    </w:p>
    <w:p w14:paraId="7C3F0D2D" w14:textId="1D365DA4" w:rsidR="0021141B" w:rsidRPr="005F4404" w:rsidRDefault="0021141B" w:rsidP="0021141B">
      <w:pPr>
        <w:pStyle w:val="Body"/>
        <w:rPr>
          <w:rFonts w:ascii="Arial" w:hAnsi="Arial" w:cs="Arial"/>
          <w:b/>
          <w:bCs/>
        </w:rPr>
      </w:pPr>
      <w:r w:rsidRPr="0021141B">
        <w:rPr>
          <w:rFonts w:ascii="Arial" w:hAnsi="Arial" w:cs="Arial"/>
          <w:b/>
          <w:bCs/>
        </w:rPr>
        <w:t>2.1 Research Design</w:t>
      </w:r>
    </w:p>
    <w:p w14:paraId="19E96F4F" w14:textId="77777777" w:rsidR="0021141B" w:rsidRPr="0021141B" w:rsidRDefault="0021141B" w:rsidP="0021141B">
      <w:pPr>
        <w:pStyle w:val="Body"/>
        <w:rPr>
          <w:rFonts w:ascii="Arial" w:hAnsi="Arial" w:cs="Arial"/>
        </w:rPr>
      </w:pPr>
      <w:r w:rsidRPr="0021141B">
        <w:rPr>
          <w:rFonts w:ascii="Arial" w:hAnsi="Arial" w:cs="Arial"/>
        </w:rPr>
        <w:t>This study employed a quantitative comparative research design to examine the influence of data assumptions on the outcomes of parametric and nonparametric tests. Using a simulated dataset of 100 respondents, the study compared independent and paired t-tests with their nonparametric equivalents, namely the Mann–Whitney U test and the Wilcoxon Signed-Rank test. The simulated data represented student satisfaction scores for independent group comparisons and pre- and post-test scores for paired comparisons.</w:t>
      </w:r>
    </w:p>
    <w:p w14:paraId="1C5AE37B" w14:textId="517F2F5A" w:rsidR="0021141B" w:rsidRPr="0021141B" w:rsidRDefault="0021141B" w:rsidP="0021141B">
      <w:pPr>
        <w:pStyle w:val="Body"/>
        <w:rPr>
          <w:rFonts w:ascii="Arial" w:hAnsi="Arial" w:cs="Arial"/>
        </w:rPr>
      </w:pPr>
      <w:r w:rsidRPr="0021141B">
        <w:rPr>
          <w:rFonts w:ascii="Arial" w:hAnsi="Arial" w:cs="Arial"/>
        </w:rPr>
        <w:t>The analysis was structured to evaluate both normally distributed and non-normally distributed data. First, normality was assessed using the Shapiro-Wilk test</w:t>
      </w:r>
      <w:r w:rsidR="005F4404">
        <w:rPr>
          <w:rFonts w:ascii="Arial" w:hAnsi="Arial" w:cs="Arial"/>
        </w:rPr>
        <w:t xml:space="preserve"> </w:t>
      </w:r>
      <w:r w:rsidR="005F4404" w:rsidRPr="005F4404">
        <w:rPr>
          <w:rFonts w:ascii="Arial" w:hAnsi="Arial" w:cs="Arial"/>
        </w:rPr>
        <w:t>(Ghasemi &amp; Zahediasl, 2012; Field, 2013)</w:t>
      </w:r>
      <w:r w:rsidRPr="0021141B">
        <w:rPr>
          <w:rFonts w:ascii="Arial" w:hAnsi="Arial" w:cs="Arial"/>
        </w:rPr>
        <w:t>. For datasets that met parametric assumptions, both parametric and nonparametric tests were conducted to compare outcomes. Similarly, for datasets that violated assumptions, analyses were performed using both test types. This approach allowed a systematic evaluation of the influence of assumption violations on test performance, effect sizes, and robustness, aligning with the study’s aim to investigate the role of data assumptions in selecting the appropriate statistical test.</w:t>
      </w:r>
    </w:p>
    <w:p w14:paraId="5158696C" w14:textId="067C62A2" w:rsidR="0021141B" w:rsidRPr="0021141B" w:rsidRDefault="0021141B" w:rsidP="0021141B">
      <w:pPr>
        <w:pStyle w:val="Body"/>
        <w:rPr>
          <w:rFonts w:ascii="Arial" w:hAnsi="Arial" w:cs="Arial"/>
          <w:b/>
          <w:bCs/>
        </w:rPr>
      </w:pPr>
      <w:r w:rsidRPr="0021141B">
        <w:rPr>
          <w:rFonts w:ascii="Arial" w:hAnsi="Arial" w:cs="Arial"/>
          <w:b/>
          <w:bCs/>
        </w:rPr>
        <w:t>2.2 Research Respondents</w:t>
      </w:r>
    </w:p>
    <w:p w14:paraId="427EF6EE" w14:textId="77777777" w:rsidR="0021141B" w:rsidRPr="0021141B" w:rsidRDefault="0021141B" w:rsidP="0021141B">
      <w:pPr>
        <w:pStyle w:val="Body"/>
        <w:rPr>
          <w:rFonts w:ascii="Arial" w:hAnsi="Arial" w:cs="Arial"/>
        </w:rPr>
      </w:pPr>
      <w:r w:rsidRPr="0021141B">
        <w:rPr>
          <w:rFonts w:ascii="Arial" w:hAnsi="Arial" w:cs="Arial"/>
        </w:rPr>
        <w:t>The study simulated data for 100 respondents, representing students in a higher education setting. For independent tests, respondents were randomly assigned to two groups based on a categorical variable (e.g., teaching method), and their satisfaction scores were simulated. For paired tests, each respondent had pre- and post-test scores, representing repeated measurements under two related conditions. Simulation ensured controlled and replicable conditions, enabling systematic evaluation of the effects of assumption violations on parametric and nonparametric test outcomes.</w:t>
      </w:r>
    </w:p>
    <w:p w14:paraId="2CE7DB43" w14:textId="610257E7" w:rsidR="0021141B" w:rsidRPr="0021141B" w:rsidRDefault="0021141B" w:rsidP="0021141B">
      <w:pPr>
        <w:pStyle w:val="Body"/>
        <w:rPr>
          <w:rFonts w:ascii="Arial" w:hAnsi="Arial" w:cs="Arial"/>
          <w:b/>
          <w:bCs/>
        </w:rPr>
      </w:pPr>
      <w:r w:rsidRPr="0021141B">
        <w:rPr>
          <w:rFonts w:ascii="Arial" w:hAnsi="Arial" w:cs="Arial"/>
          <w:b/>
          <w:bCs/>
        </w:rPr>
        <w:t>2.</w:t>
      </w:r>
      <w:r>
        <w:rPr>
          <w:rFonts w:ascii="Arial" w:hAnsi="Arial" w:cs="Arial"/>
          <w:b/>
          <w:bCs/>
        </w:rPr>
        <w:t xml:space="preserve">3 </w:t>
      </w:r>
      <w:r w:rsidRPr="0021141B">
        <w:rPr>
          <w:rFonts w:ascii="Arial" w:hAnsi="Arial" w:cs="Arial"/>
          <w:b/>
          <w:bCs/>
        </w:rPr>
        <w:t>Instrument of the Study</w:t>
      </w:r>
    </w:p>
    <w:p w14:paraId="2C63B878" w14:textId="77777777" w:rsidR="0021141B" w:rsidRPr="0021141B" w:rsidRDefault="0021141B" w:rsidP="0021141B">
      <w:pPr>
        <w:pStyle w:val="Body"/>
        <w:rPr>
          <w:rFonts w:ascii="Arial" w:hAnsi="Arial" w:cs="Arial"/>
        </w:rPr>
      </w:pPr>
      <w:r w:rsidRPr="0021141B">
        <w:rPr>
          <w:rFonts w:ascii="Arial" w:hAnsi="Arial" w:cs="Arial"/>
        </w:rPr>
        <w:t xml:space="preserve">Data were simulated using SPSS, generating scores for a 10-item Likert-scale survey for independent comparisons and pre- and post-test scores for paired comparisons. For independent comparisons, a grouping variable was created to simulate student satisfaction </w:t>
      </w:r>
      <w:r w:rsidRPr="0021141B">
        <w:rPr>
          <w:rFonts w:ascii="Arial" w:hAnsi="Arial" w:cs="Arial"/>
        </w:rPr>
        <w:lastRenderedPageBreak/>
        <w:t>under two different conditions. For paired comparisons, repeated measurements were simulated to reflect pre- and post-test performance. The dataset included both normally distributed and non-normally distributed data, allowing assessment of test performance under varying assumption conditions.</w:t>
      </w:r>
    </w:p>
    <w:p w14:paraId="49885334" w14:textId="4DFF6830" w:rsidR="0021141B" w:rsidRPr="0021141B" w:rsidRDefault="0021141B" w:rsidP="0021141B">
      <w:pPr>
        <w:pStyle w:val="Body"/>
        <w:rPr>
          <w:rFonts w:ascii="Arial" w:hAnsi="Arial" w:cs="Arial"/>
          <w:b/>
          <w:bCs/>
        </w:rPr>
      </w:pPr>
      <w:r>
        <w:rPr>
          <w:rFonts w:ascii="Arial" w:hAnsi="Arial" w:cs="Arial"/>
          <w:b/>
          <w:bCs/>
        </w:rPr>
        <w:t xml:space="preserve">2.4 </w:t>
      </w:r>
      <w:r w:rsidRPr="0021141B">
        <w:rPr>
          <w:rFonts w:ascii="Arial" w:hAnsi="Arial" w:cs="Arial"/>
          <w:b/>
          <w:bCs/>
        </w:rPr>
        <w:t>Data Gathering Procedure</w:t>
      </w:r>
    </w:p>
    <w:p w14:paraId="51254D09" w14:textId="4A06D88A" w:rsidR="0021141B" w:rsidRPr="0021141B" w:rsidRDefault="0021141B" w:rsidP="0021141B">
      <w:pPr>
        <w:pStyle w:val="Body"/>
        <w:rPr>
          <w:rFonts w:ascii="Arial" w:hAnsi="Arial" w:cs="Arial"/>
        </w:rPr>
      </w:pPr>
      <w:r w:rsidRPr="0021141B">
        <w:rPr>
          <w:rFonts w:ascii="Arial" w:hAnsi="Arial" w:cs="Arial"/>
        </w:rPr>
        <w:t>Data were generated directly in SPSS using random number and distribution functions. For independent tests, respondents were assigned to groups, and student satisfaction scores were simulated realistically. For paired tests, pre- and post-test scores were generated for each respondent. Descriptive statistics, including mean, median, and standard deviation, along with Shapiro-Wilk tests, were computed to assess adherence to parametric assumptions</w:t>
      </w:r>
      <w:r w:rsidR="005F4404">
        <w:rPr>
          <w:rFonts w:ascii="Arial" w:hAnsi="Arial" w:cs="Arial"/>
        </w:rPr>
        <w:t xml:space="preserve"> </w:t>
      </w:r>
      <w:r w:rsidR="005F4404" w:rsidRPr="005F4404">
        <w:rPr>
          <w:rFonts w:ascii="Arial" w:hAnsi="Arial" w:cs="Arial"/>
        </w:rPr>
        <w:t>(Field, 2013; Ghasemi &amp; Zahediasl, 2012)</w:t>
      </w:r>
      <w:r w:rsidRPr="0021141B">
        <w:rPr>
          <w:rFonts w:ascii="Arial" w:hAnsi="Arial" w:cs="Arial"/>
        </w:rPr>
        <w:t>. The dataset was structured to allow controlled comparisons between parametric and nonparametric tests for both normal and non-normal data, providing a clear framework for evaluating the role of data assumptions.</w:t>
      </w:r>
    </w:p>
    <w:p w14:paraId="3E277D42" w14:textId="0DD46649" w:rsidR="0021141B" w:rsidRPr="0021141B" w:rsidRDefault="0021141B" w:rsidP="0021141B">
      <w:pPr>
        <w:pStyle w:val="Body"/>
        <w:rPr>
          <w:rFonts w:ascii="Arial" w:hAnsi="Arial" w:cs="Arial"/>
          <w:b/>
          <w:bCs/>
        </w:rPr>
      </w:pPr>
      <w:r>
        <w:rPr>
          <w:rFonts w:ascii="Arial" w:hAnsi="Arial" w:cs="Arial"/>
          <w:b/>
          <w:bCs/>
        </w:rPr>
        <w:t xml:space="preserve">2.5 </w:t>
      </w:r>
      <w:r w:rsidRPr="0021141B">
        <w:rPr>
          <w:rFonts w:ascii="Arial" w:hAnsi="Arial" w:cs="Arial"/>
          <w:b/>
          <w:bCs/>
        </w:rPr>
        <w:t>Statistical Treatment of Data</w:t>
      </w:r>
    </w:p>
    <w:p w14:paraId="0BFD20AD" w14:textId="77777777" w:rsidR="0021141B" w:rsidRPr="0021141B" w:rsidRDefault="0021141B" w:rsidP="0021141B">
      <w:pPr>
        <w:pStyle w:val="Body"/>
        <w:rPr>
          <w:rFonts w:ascii="Arial" w:hAnsi="Arial" w:cs="Arial"/>
        </w:rPr>
      </w:pPr>
    </w:p>
    <w:p w14:paraId="08DB3C35" w14:textId="77777777" w:rsidR="0021141B" w:rsidRPr="0021141B" w:rsidRDefault="0021141B" w:rsidP="0021141B">
      <w:pPr>
        <w:pStyle w:val="Body"/>
        <w:rPr>
          <w:rFonts w:ascii="Arial" w:hAnsi="Arial" w:cs="Arial"/>
        </w:rPr>
      </w:pPr>
      <w:r w:rsidRPr="0021141B">
        <w:rPr>
          <w:rFonts w:ascii="Arial" w:hAnsi="Arial" w:cs="Arial"/>
        </w:rPr>
        <w:t>Comparative statistical analyses were conducted using parametric and nonparametric tests.</w:t>
      </w:r>
    </w:p>
    <w:p w14:paraId="06D7F705" w14:textId="77777777" w:rsidR="0021141B" w:rsidRDefault="0021141B" w:rsidP="0021141B">
      <w:pPr>
        <w:pStyle w:val="Body"/>
        <w:numPr>
          <w:ilvl w:val="0"/>
          <w:numId w:val="31"/>
        </w:numPr>
        <w:rPr>
          <w:rFonts w:ascii="Arial" w:hAnsi="Arial" w:cs="Arial"/>
        </w:rPr>
      </w:pPr>
      <w:r w:rsidRPr="0021141B">
        <w:rPr>
          <w:rFonts w:ascii="Arial" w:hAnsi="Arial" w:cs="Arial"/>
        </w:rPr>
        <w:t>Independent comparisons: Independent t-test versus Mann–Whitney U test using student satisfaction scores.</w:t>
      </w:r>
    </w:p>
    <w:p w14:paraId="2186F22B" w14:textId="7C37E1A2" w:rsidR="0021141B" w:rsidRPr="0021141B" w:rsidRDefault="0021141B" w:rsidP="0021141B">
      <w:pPr>
        <w:pStyle w:val="Body"/>
        <w:numPr>
          <w:ilvl w:val="0"/>
          <w:numId w:val="31"/>
        </w:numPr>
        <w:rPr>
          <w:rFonts w:ascii="Arial" w:hAnsi="Arial" w:cs="Arial"/>
        </w:rPr>
      </w:pPr>
      <w:r w:rsidRPr="0021141B">
        <w:rPr>
          <w:rFonts w:ascii="Arial" w:hAnsi="Arial" w:cs="Arial"/>
        </w:rPr>
        <w:t>Paired comparisons: Paired t-test versus Wilcoxon Signed-Rank test using pre- and post-test scores.</w:t>
      </w:r>
    </w:p>
    <w:p w14:paraId="4B2977DB" w14:textId="657FB682" w:rsidR="0021141B" w:rsidRPr="0021141B" w:rsidRDefault="0021141B" w:rsidP="0021141B">
      <w:pPr>
        <w:pStyle w:val="Body"/>
        <w:rPr>
          <w:rFonts w:ascii="Arial" w:hAnsi="Arial" w:cs="Arial"/>
        </w:rPr>
      </w:pPr>
      <w:r w:rsidRPr="0021141B">
        <w:rPr>
          <w:rFonts w:ascii="Arial" w:hAnsi="Arial" w:cs="Arial"/>
        </w:rPr>
        <w:t>To evaluate which test is more effective, multiple parameters were considered</w:t>
      </w:r>
      <w:r w:rsidR="005F4404">
        <w:rPr>
          <w:rFonts w:ascii="Arial" w:hAnsi="Arial" w:cs="Arial"/>
        </w:rPr>
        <w:t xml:space="preserve"> </w:t>
      </w:r>
      <w:r w:rsidR="005F4404" w:rsidRPr="005F4404">
        <w:rPr>
          <w:rFonts w:ascii="Arial" w:hAnsi="Arial" w:cs="Arial"/>
        </w:rPr>
        <w:t>(Cohen, 1988; Tomczak &amp; Tomczak, 2014; Faul et al., 2009)</w:t>
      </w:r>
      <w:r w:rsidRPr="0021141B">
        <w:rPr>
          <w:rFonts w:ascii="Arial" w:hAnsi="Arial" w:cs="Arial"/>
        </w:rPr>
        <w:t>:</w:t>
      </w:r>
    </w:p>
    <w:p w14:paraId="0CEE8F5D" w14:textId="77777777" w:rsidR="0021141B" w:rsidRDefault="0021141B" w:rsidP="0021141B">
      <w:pPr>
        <w:pStyle w:val="Body"/>
        <w:numPr>
          <w:ilvl w:val="0"/>
          <w:numId w:val="32"/>
        </w:numPr>
        <w:rPr>
          <w:rFonts w:ascii="Arial" w:hAnsi="Arial" w:cs="Arial"/>
        </w:rPr>
      </w:pPr>
      <w:r w:rsidRPr="0021141B">
        <w:rPr>
          <w:rFonts w:ascii="Arial" w:hAnsi="Arial" w:cs="Arial"/>
        </w:rPr>
        <w:t>Effect size: Cohen’s d for parametric tests, r (rank-biserial correlation) for nonparametric tests.</w:t>
      </w:r>
    </w:p>
    <w:p w14:paraId="1E7F2DDA" w14:textId="77777777" w:rsidR="0021141B" w:rsidRDefault="0021141B" w:rsidP="0021141B">
      <w:pPr>
        <w:pStyle w:val="Body"/>
        <w:numPr>
          <w:ilvl w:val="0"/>
          <w:numId w:val="32"/>
        </w:numPr>
        <w:rPr>
          <w:rFonts w:ascii="Arial" w:hAnsi="Arial" w:cs="Arial"/>
        </w:rPr>
      </w:pPr>
      <w:r w:rsidRPr="0021141B">
        <w:rPr>
          <w:rFonts w:ascii="Arial" w:hAnsi="Arial" w:cs="Arial"/>
        </w:rPr>
        <w:t>Type I error rate: the proportion of false positives observed under repeated simulations.</w:t>
      </w:r>
    </w:p>
    <w:p w14:paraId="3968D8ED" w14:textId="77777777" w:rsidR="0021141B" w:rsidRDefault="0021141B" w:rsidP="0021141B">
      <w:pPr>
        <w:pStyle w:val="Body"/>
        <w:numPr>
          <w:ilvl w:val="0"/>
          <w:numId w:val="32"/>
        </w:numPr>
        <w:rPr>
          <w:rFonts w:ascii="Arial" w:hAnsi="Arial" w:cs="Arial"/>
        </w:rPr>
      </w:pPr>
      <w:r w:rsidRPr="0021141B">
        <w:rPr>
          <w:rFonts w:ascii="Arial" w:hAnsi="Arial" w:cs="Arial"/>
        </w:rPr>
        <w:t>Statistical power: the probability of correctly detecting true differences.</w:t>
      </w:r>
    </w:p>
    <w:p w14:paraId="0BBD3809" w14:textId="77777777" w:rsidR="0021141B" w:rsidRDefault="0021141B" w:rsidP="0021141B">
      <w:pPr>
        <w:pStyle w:val="Body"/>
        <w:numPr>
          <w:ilvl w:val="0"/>
          <w:numId w:val="32"/>
        </w:numPr>
        <w:rPr>
          <w:rFonts w:ascii="Arial" w:hAnsi="Arial" w:cs="Arial"/>
        </w:rPr>
      </w:pPr>
      <w:r w:rsidRPr="0021141B">
        <w:rPr>
          <w:rFonts w:ascii="Arial" w:hAnsi="Arial" w:cs="Arial"/>
        </w:rPr>
        <w:t>Robustness to assumption violations: sensitivity to deviations from normality or homogeneity of variance.</w:t>
      </w:r>
    </w:p>
    <w:p w14:paraId="2A320BF8" w14:textId="0F1DF7EF" w:rsidR="0021141B" w:rsidRPr="0021141B" w:rsidRDefault="0021141B" w:rsidP="0021141B">
      <w:pPr>
        <w:pStyle w:val="Body"/>
        <w:rPr>
          <w:rFonts w:ascii="Arial" w:hAnsi="Arial" w:cs="Arial"/>
        </w:rPr>
      </w:pPr>
      <w:r w:rsidRPr="0021141B">
        <w:rPr>
          <w:rFonts w:ascii="Arial" w:hAnsi="Arial" w:cs="Arial"/>
        </w:rPr>
        <w:t>The study analyzed normal and non-normal datasets separately, allowing a systematic comparison of parametric and nonparametric tests under each condition. This approach highlights the importance of checking assumptions, demonstrates when each test is appropriate, and provides evidence-based guidance for selecting the most suitable statistical test in educational research.</w:t>
      </w:r>
    </w:p>
    <w:p w14:paraId="5D01E350" w14:textId="77777777" w:rsidR="0021141B" w:rsidRPr="0021141B" w:rsidRDefault="0021141B" w:rsidP="0021141B">
      <w:pPr>
        <w:pStyle w:val="Body"/>
        <w:rPr>
          <w:rFonts w:ascii="Arial" w:hAnsi="Arial" w:cs="Arial"/>
        </w:rPr>
      </w:pPr>
    </w:p>
    <w:p w14:paraId="5DFBC7E9" w14:textId="3AE24E6F" w:rsidR="00AD2A2A" w:rsidRDefault="0021141B" w:rsidP="0021141B">
      <w:pPr>
        <w:pStyle w:val="Body"/>
        <w:spacing w:after="0"/>
        <w:rPr>
          <w:rFonts w:ascii="Arial" w:hAnsi="Arial" w:cs="Arial"/>
        </w:rPr>
      </w:pPr>
      <w:r w:rsidRPr="0021141B">
        <w:rPr>
          <w:rFonts w:ascii="Arial" w:hAnsi="Arial" w:cs="Arial"/>
        </w:rPr>
        <w:lastRenderedPageBreak/>
        <w:t xml:space="preserve">All analyses, including descriptive statistics, normality tests, significance tests, and effect sizes, were computed using SPSS and </w:t>
      </w:r>
      <w:proofErr w:type="spellStart"/>
      <w:r w:rsidRPr="0021141B">
        <w:rPr>
          <w:rFonts w:ascii="Arial" w:hAnsi="Arial" w:cs="Arial"/>
        </w:rPr>
        <w:t>Jamovi</w:t>
      </w:r>
      <w:proofErr w:type="spellEnd"/>
      <w:r w:rsidRPr="0021141B">
        <w:rPr>
          <w:rFonts w:ascii="Arial" w:hAnsi="Arial" w:cs="Arial"/>
        </w:rPr>
        <w:t>, ensuring reproducibility and transparency</w:t>
      </w:r>
      <w:r w:rsidR="005F4404">
        <w:rPr>
          <w:rFonts w:ascii="Arial" w:hAnsi="Arial" w:cs="Arial"/>
        </w:rPr>
        <w:t xml:space="preserve"> </w:t>
      </w:r>
      <w:r w:rsidR="005F4404" w:rsidRPr="005F4404">
        <w:rPr>
          <w:rFonts w:ascii="Arial" w:hAnsi="Arial" w:cs="Arial"/>
        </w:rPr>
        <w:t xml:space="preserve">(The </w:t>
      </w:r>
      <w:proofErr w:type="spellStart"/>
      <w:r w:rsidR="005F4404" w:rsidRPr="005F4404">
        <w:rPr>
          <w:rFonts w:ascii="Arial" w:hAnsi="Arial" w:cs="Arial"/>
        </w:rPr>
        <w:t>Jamovi</w:t>
      </w:r>
      <w:proofErr w:type="spellEnd"/>
      <w:r w:rsidR="005F4404" w:rsidRPr="005F4404">
        <w:rPr>
          <w:rFonts w:ascii="Arial" w:hAnsi="Arial" w:cs="Arial"/>
        </w:rPr>
        <w:t xml:space="preserve"> Project, 2024; Field, 2013)</w:t>
      </w:r>
      <w:r w:rsidRPr="0021141B">
        <w:rPr>
          <w:rFonts w:ascii="Arial" w:hAnsi="Arial" w:cs="Arial"/>
        </w:rPr>
        <w:t>.</w:t>
      </w:r>
    </w:p>
    <w:p w14:paraId="5736F72A" w14:textId="77777777" w:rsidR="0021141B" w:rsidRPr="0021141B" w:rsidRDefault="0021141B" w:rsidP="0021141B">
      <w:pPr>
        <w:pStyle w:val="Body"/>
        <w:spacing w:after="0"/>
        <w:rPr>
          <w:rFonts w:ascii="Arial" w:hAnsi="Arial" w:cs="Arial"/>
        </w:rPr>
      </w:pPr>
    </w:p>
    <w:p w14:paraId="1F3127B0" w14:textId="77777777" w:rsidR="00AD2A2A" w:rsidRDefault="00AD2A2A" w:rsidP="00AD2A2A">
      <w:pPr>
        <w:pStyle w:val="Head1"/>
        <w:spacing w:after="0"/>
        <w:jc w:val="both"/>
        <w:rPr>
          <w:rFonts w:ascii="Arial" w:hAnsi="Arial" w:cs="Arial"/>
        </w:rPr>
      </w:pPr>
      <w:r>
        <w:rPr>
          <w:rFonts w:ascii="Arial" w:hAnsi="Arial" w:cs="Arial"/>
        </w:rPr>
        <w:t>3. results and discussion</w:t>
      </w:r>
    </w:p>
    <w:p w14:paraId="6D400E56" w14:textId="77777777" w:rsidR="00FC655B" w:rsidRDefault="00FC655B" w:rsidP="00AD2A2A">
      <w:pPr>
        <w:pStyle w:val="Head1"/>
        <w:spacing w:after="0"/>
        <w:jc w:val="both"/>
        <w:rPr>
          <w:rFonts w:ascii="Arial" w:hAnsi="Arial" w:cs="Arial"/>
        </w:rPr>
      </w:pPr>
    </w:p>
    <w:p w14:paraId="173A83EE" w14:textId="3E6E0C19" w:rsidR="00FC655B" w:rsidRDefault="00FC655B" w:rsidP="00015518">
      <w:pPr>
        <w:pStyle w:val="Body"/>
        <w:spacing w:after="0"/>
      </w:pPr>
      <w:r>
        <w:t xml:space="preserve">This section compares the robustness of the Independent t-test and Mann–Whitney U test based on data normality and effect size. </w:t>
      </w:r>
      <w:r w:rsidR="001F2EC4" w:rsidRPr="001F2EC4">
        <w:t>Statistical test selection depends on data characteristics, where normality guides whether to use parametric or non-parametric approaches (Field, 2013; Zimmerman, 2004</w:t>
      </w:r>
      <w:proofErr w:type="gramStart"/>
      <w:r w:rsidR="001F2EC4" w:rsidRPr="001F2EC4">
        <w:t>).</w:t>
      </w:r>
      <w:r>
        <w:t>Studies</w:t>
      </w:r>
      <w:proofErr w:type="gramEnd"/>
      <w:r>
        <w:t xml:space="preserve"> highlight that Mann–Whitney U is more reliable for non-normal data (Ghasemi &amp; Zahediasl, 2012; Kim, 2015; </w:t>
      </w:r>
      <w:proofErr w:type="spellStart"/>
      <w:r>
        <w:t>Delacre</w:t>
      </w:r>
      <w:proofErr w:type="spellEnd"/>
      <w:r>
        <w:t xml:space="preserve"> et al., 2021).</w:t>
      </w:r>
    </w:p>
    <w:p w14:paraId="71CBDCE5" w14:textId="77777777" w:rsidR="00FC655B" w:rsidRDefault="00FC655B" w:rsidP="00015518">
      <w:pPr>
        <w:pStyle w:val="Body"/>
        <w:spacing w:after="0"/>
      </w:pPr>
    </w:p>
    <w:p w14:paraId="2AA74E42" w14:textId="77777777" w:rsidR="00FC655B" w:rsidRPr="00FB3A86" w:rsidRDefault="00FC655B" w:rsidP="00FC655B">
      <w:pPr>
        <w:pStyle w:val="Head1"/>
        <w:spacing w:after="0"/>
        <w:jc w:val="both"/>
        <w:rPr>
          <w:rFonts w:ascii="Arial" w:hAnsi="Arial" w:cs="Arial"/>
        </w:rPr>
      </w:pPr>
    </w:p>
    <w:p w14:paraId="6F721456" w14:textId="77777777" w:rsidR="00FC655B" w:rsidRPr="00015518" w:rsidRDefault="00FC655B" w:rsidP="00FC655B">
      <w:pPr>
        <w:pStyle w:val="Body"/>
        <w:rPr>
          <w:rFonts w:ascii="Arial" w:hAnsi="Arial" w:cs="Arial"/>
          <w:b/>
          <w:bCs/>
          <w:lang w:val="en-PH"/>
        </w:rPr>
      </w:pPr>
      <w:r w:rsidRPr="001D624D">
        <w:rPr>
          <w:rFonts w:ascii="Arial" w:hAnsi="Arial" w:cs="Arial"/>
          <w:b/>
          <w:bCs/>
        </w:rPr>
        <w:t>3.</w:t>
      </w:r>
      <w:r>
        <w:rPr>
          <w:rFonts w:ascii="Arial" w:hAnsi="Arial" w:cs="Arial"/>
          <w:b/>
          <w:bCs/>
        </w:rPr>
        <w:t xml:space="preserve">1 </w:t>
      </w:r>
      <w:r w:rsidRPr="00015518">
        <w:rPr>
          <w:rFonts w:ascii="Arial" w:hAnsi="Arial" w:cs="Arial"/>
          <w:b/>
          <w:bCs/>
          <w:lang w:val="en-PH"/>
        </w:rPr>
        <w:t>Descriptive Statistics and Normality Analysis</w:t>
      </w:r>
    </w:p>
    <w:p w14:paraId="7A110E96" w14:textId="77777777" w:rsidR="00FC655B" w:rsidRDefault="00FC655B" w:rsidP="00015518">
      <w:pPr>
        <w:pStyle w:val="Body"/>
        <w:spacing w:after="0"/>
        <w:rPr>
          <w:rFonts w:ascii="Arial" w:hAnsi="Arial" w:cs="Arial"/>
          <w:lang w:val="en-PH"/>
        </w:rPr>
      </w:pPr>
    </w:p>
    <w:p w14:paraId="66BDF519" w14:textId="3E2B1E69" w:rsidR="00015518" w:rsidRPr="00015518" w:rsidRDefault="00015518" w:rsidP="00015518">
      <w:pPr>
        <w:pStyle w:val="Body"/>
        <w:spacing w:after="0"/>
        <w:rPr>
          <w:rFonts w:ascii="Arial" w:hAnsi="Arial" w:cs="Arial"/>
          <w:lang w:val="en-PH"/>
        </w:rPr>
      </w:pPr>
      <w:r w:rsidRPr="00015518">
        <w:rPr>
          <w:rFonts w:ascii="Arial" w:hAnsi="Arial" w:cs="Arial"/>
          <w:lang w:val="en-PH"/>
        </w:rPr>
        <w:t>The simulated data were analyzed to summarize central tendencies and assess their distributional characteristics before conducting comparative tests. Table 1 presents the descriptive statistics and Shapiro</w:t>
      </w:r>
      <w:r>
        <w:rPr>
          <w:rFonts w:ascii="Arial" w:hAnsi="Arial" w:cs="Arial"/>
          <w:lang w:val="en-PH"/>
        </w:rPr>
        <w:t xml:space="preserve"> </w:t>
      </w:r>
      <w:r w:rsidRPr="00015518">
        <w:rPr>
          <w:rFonts w:ascii="Arial" w:hAnsi="Arial" w:cs="Arial"/>
          <w:lang w:val="en-PH"/>
        </w:rPr>
        <w:t>Wilk test results for the independent groups (Traditional and Interactive), while Table 2 shows the same information for the paired data (Pre-test and Post-test). The means and standard deviations provide an overview of group performance or satisfaction levels, whereas the Shapiro</w:t>
      </w:r>
      <w:r>
        <w:rPr>
          <w:rFonts w:ascii="Arial" w:hAnsi="Arial" w:cs="Arial"/>
          <w:lang w:val="en-PH"/>
        </w:rPr>
        <w:t xml:space="preserve"> </w:t>
      </w:r>
      <w:r w:rsidRPr="00015518">
        <w:rPr>
          <w:rFonts w:ascii="Arial" w:hAnsi="Arial" w:cs="Arial"/>
          <w:lang w:val="en-PH"/>
        </w:rPr>
        <w:t>Wilk p-values indicate whether the data met the assumption of normality. Datasets with p-values greater than 0.05 were considered normally distributed, while those below this threshold were treated as non-normal. These preliminary analyses established the foundation for selecting appropriate parametric or nonparametric statistical tests in the succeeding sections.</w:t>
      </w:r>
    </w:p>
    <w:p w14:paraId="4FB3E8B1" w14:textId="2070A816" w:rsidR="00015518" w:rsidRDefault="00015518" w:rsidP="00AD2A2A">
      <w:pPr>
        <w:pStyle w:val="Body"/>
        <w:spacing w:after="0"/>
        <w:rPr>
          <w:rFonts w:ascii="Arial" w:hAnsi="Arial" w:cs="Arial"/>
          <w:b/>
          <w:bCs/>
        </w:rPr>
      </w:pPr>
    </w:p>
    <w:p w14:paraId="05C6B23A" w14:textId="50DDC1BC" w:rsidR="00015518" w:rsidRDefault="00015518" w:rsidP="00015518">
      <w:pPr>
        <w:pStyle w:val="Body"/>
        <w:spacing w:after="0"/>
        <w:rPr>
          <w:rFonts w:ascii="Arial" w:hAnsi="Arial" w:cs="Arial"/>
          <w:lang w:val="en-PH"/>
        </w:rPr>
      </w:pPr>
      <w:r w:rsidRPr="00015518">
        <w:rPr>
          <w:rFonts w:ascii="Arial" w:hAnsi="Arial" w:cs="Arial"/>
          <w:lang w:val="en-PH"/>
        </w:rPr>
        <w:t>The simulated data aimed to illustrate how the assumption of normality affects the interpretation of student satisfaction under two instructional approaches</w:t>
      </w:r>
      <w:r>
        <w:rPr>
          <w:rFonts w:ascii="Arial" w:hAnsi="Arial" w:cs="Arial"/>
          <w:lang w:val="en-PH"/>
        </w:rPr>
        <w:t xml:space="preserve"> </w:t>
      </w:r>
      <w:r w:rsidRPr="00015518">
        <w:rPr>
          <w:rFonts w:ascii="Arial" w:hAnsi="Arial" w:cs="Arial"/>
          <w:lang w:val="en-PH"/>
        </w:rPr>
        <w:t>Traditional and Interactive.</w:t>
      </w:r>
    </w:p>
    <w:p w14:paraId="3F49E1F0" w14:textId="79993657" w:rsidR="00015518" w:rsidRDefault="00015518" w:rsidP="00015518">
      <w:pPr>
        <w:pStyle w:val="Body"/>
        <w:spacing w:after="0"/>
        <w:rPr>
          <w:rFonts w:ascii="Arial" w:hAnsi="Arial" w:cs="Arial"/>
          <w:lang w:val="en-PH"/>
        </w:rPr>
      </w:pPr>
      <w:r w:rsidRPr="00015518">
        <w:rPr>
          <w:rFonts w:ascii="Arial" w:hAnsi="Arial" w:cs="Arial"/>
          <w:lang w:val="en-PH"/>
        </w:rPr>
        <w:br/>
        <w:t>Overall, the results show that students under the Interactive approach reported higher satisfaction levels compared to those in the Traditional approach. The difference is observed in both datasets (normal and non-normal), suggesting that the Interactive method generally promotes more positive learning experiences.</w:t>
      </w:r>
    </w:p>
    <w:p w14:paraId="7A29644D" w14:textId="77777777" w:rsidR="00015518" w:rsidRPr="00015518" w:rsidRDefault="00015518" w:rsidP="00015518">
      <w:pPr>
        <w:pStyle w:val="Body"/>
        <w:spacing w:after="0"/>
        <w:rPr>
          <w:rFonts w:ascii="Arial" w:hAnsi="Arial" w:cs="Arial"/>
          <w:lang w:val="en-PH"/>
        </w:rPr>
      </w:pPr>
    </w:p>
    <w:p w14:paraId="106D78C0" w14:textId="77777777" w:rsidR="00015518" w:rsidRDefault="00015518" w:rsidP="00015518">
      <w:pPr>
        <w:pStyle w:val="Body"/>
        <w:spacing w:after="0"/>
        <w:rPr>
          <w:rFonts w:ascii="Arial" w:hAnsi="Arial" w:cs="Arial"/>
          <w:lang w:val="en-PH"/>
        </w:rPr>
      </w:pPr>
      <w:r w:rsidRPr="00015518">
        <w:rPr>
          <w:rFonts w:ascii="Arial" w:hAnsi="Arial" w:cs="Arial"/>
          <w:lang w:val="en-PH"/>
        </w:rPr>
        <w:t>For the normal dataset, the Shapiro–Wilk test values (p &gt; 0.05) indicate that both groups follow a normal distribution. This means that the data meet the assumption required for applying parametric tests such as the independent t-test. In this case, the data are relatively consistent, as reflected by their smaller standard deviations.</w:t>
      </w:r>
    </w:p>
    <w:p w14:paraId="282473D4" w14:textId="77777777" w:rsidR="00015518" w:rsidRPr="00015518" w:rsidRDefault="00015518" w:rsidP="00015518">
      <w:pPr>
        <w:pStyle w:val="Body"/>
        <w:spacing w:after="0"/>
        <w:rPr>
          <w:rFonts w:ascii="Arial" w:hAnsi="Arial" w:cs="Arial"/>
          <w:lang w:val="en-PH"/>
        </w:rPr>
      </w:pPr>
    </w:p>
    <w:p w14:paraId="52BE18F1" w14:textId="77777777" w:rsidR="00015518" w:rsidRDefault="00015518" w:rsidP="00015518">
      <w:pPr>
        <w:pStyle w:val="Body"/>
        <w:spacing w:after="0"/>
        <w:rPr>
          <w:rFonts w:ascii="Arial" w:hAnsi="Arial" w:cs="Arial"/>
          <w:lang w:val="en-PH"/>
        </w:rPr>
      </w:pPr>
      <w:r w:rsidRPr="00015518">
        <w:rPr>
          <w:rFonts w:ascii="Arial" w:hAnsi="Arial" w:cs="Arial"/>
          <w:lang w:val="en-PH"/>
        </w:rPr>
        <w:t>On the other hand, the non-normal dataset shows p-values below 0.05, indicating deviation from normality. These results suggest that nonparametric tests such as the Mann–Whitney U test are more suitable. Interestingly, the mean satisfaction scores in the non-normal data show a larger difference between the two methods, with the Interactive approach still producing higher scores but with greater variability.</w:t>
      </w:r>
    </w:p>
    <w:p w14:paraId="434FBD39" w14:textId="77777777" w:rsidR="00015518" w:rsidRPr="00015518" w:rsidRDefault="00015518" w:rsidP="00015518">
      <w:pPr>
        <w:pStyle w:val="Body"/>
        <w:spacing w:after="0"/>
        <w:rPr>
          <w:rFonts w:ascii="Arial" w:hAnsi="Arial" w:cs="Arial"/>
          <w:lang w:val="en-PH"/>
        </w:rPr>
      </w:pPr>
    </w:p>
    <w:p w14:paraId="61CFC26B" w14:textId="77777777" w:rsidR="00015518" w:rsidRPr="00015518" w:rsidRDefault="00015518" w:rsidP="00015518">
      <w:pPr>
        <w:pStyle w:val="Body"/>
        <w:spacing w:after="0"/>
        <w:rPr>
          <w:rFonts w:ascii="Arial" w:hAnsi="Arial" w:cs="Arial"/>
          <w:lang w:val="en-PH"/>
        </w:rPr>
      </w:pPr>
      <w:r w:rsidRPr="00015518">
        <w:rPr>
          <w:rFonts w:ascii="Arial" w:hAnsi="Arial" w:cs="Arial"/>
          <w:lang w:val="en-PH"/>
        </w:rPr>
        <w:t>These findings highlight the importance of evaluating data assumptions before statistical analysis. While both datasets show the same direction of difference (Interactive &gt; Traditional), the shape and spread of the data influence which statistical test provides a more reliable conclusion. The simulation thus emphasizes that correct test selection depends on whether the data meet the assumptions of normality and homogeneity.</w:t>
      </w:r>
    </w:p>
    <w:p w14:paraId="5C4968FB" w14:textId="77777777" w:rsidR="00015518" w:rsidRPr="001D624D" w:rsidRDefault="00015518" w:rsidP="00AD2A2A">
      <w:pPr>
        <w:pStyle w:val="Body"/>
        <w:spacing w:after="0"/>
        <w:rPr>
          <w:rFonts w:ascii="Arial" w:hAnsi="Arial" w:cs="Arial"/>
          <w:b/>
          <w:bCs/>
        </w:rPr>
      </w:pPr>
    </w:p>
    <w:p w14:paraId="40EF58F5" w14:textId="77777777" w:rsidR="00AD2A2A" w:rsidRDefault="00AD2A2A" w:rsidP="00AD2A2A">
      <w:pPr>
        <w:pStyle w:val="Body"/>
        <w:spacing w:after="0"/>
        <w:rPr>
          <w:rFonts w:ascii="Arial" w:hAnsi="Arial" w:cs="Arial"/>
        </w:rPr>
      </w:pPr>
    </w:p>
    <w:p w14:paraId="51997727" w14:textId="596510B4" w:rsidR="00AD2A2A" w:rsidRPr="00183AD9" w:rsidRDefault="00015518" w:rsidP="00AD2A2A">
      <w:pPr>
        <w:pStyle w:val="Body"/>
        <w:rPr>
          <w:rFonts w:ascii="Arial" w:hAnsi="Arial" w:cs="Arial"/>
          <w:b/>
          <w:bCs/>
          <w:lang w:val="en-PH"/>
        </w:rPr>
      </w:pPr>
      <w:r w:rsidRPr="00015518">
        <w:rPr>
          <w:rFonts w:ascii="Arial" w:hAnsi="Arial" w:cs="Arial"/>
          <w:b/>
          <w:bCs/>
        </w:rPr>
        <w:t>Table 1. Descriptive Statistics and Normality Test for Simulated Satisfaction Scores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646"/>
        <w:gridCol w:w="1614"/>
        <w:gridCol w:w="1933"/>
        <w:gridCol w:w="1563"/>
      </w:tblGrid>
      <w:tr w:rsidR="00ED775A" w14:paraId="2D4CCB17" w14:textId="77777777" w:rsidTr="00CD34D6">
        <w:tc>
          <w:tcPr>
            <w:tcW w:w="1668" w:type="dxa"/>
            <w:tcBorders>
              <w:top w:val="single" w:sz="4" w:space="0" w:color="auto"/>
              <w:bottom w:val="single" w:sz="4" w:space="0" w:color="auto"/>
            </w:tcBorders>
          </w:tcPr>
          <w:p w14:paraId="786821E3" w14:textId="77777777" w:rsidR="00ED775A" w:rsidRPr="00774C6B" w:rsidRDefault="00ED775A" w:rsidP="00CD34D6">
            <w:pPr>
              <w:pStyle w:val="Body"/>
              <w:spacing w:after="0"/>
              <w:jc w:val="center"/>
              <w:rPr>
                <w:rFonts w:ascii="Arial" w:hAnsi="Arial" w:cs="Arial"/>
                <w:b/>
                <w:bCs/>
              </w:rPr>
            </w:pPr>
            <w:bookmarkStart w:id="0" w:name="_Hlk211868383"/>
            <w:r>
              <w:rPr>
                <w:rFonts w:ascii="Arial" w:hAnsi="Arial" w:cs="Arial"/>
                <w:b/>
                <w:bCs/>
              </w:rPr>
              <w:t>Data Type</w:t>
            </w:r>
          </w:p>
        </w:tc>
        <w:tc>
          <w:tcPr>
            <w:tcW w:w="1646" w:type="dxa"/>
            <w:tcBorders>
              <w:top w:val="single" w:sz="4" w:space="0" w:color="auto"/>
              <w:bottom w:val="single" w:sz="4" w:space="0" w:color="auto"/>
            </w:tcBorders>
          </w:tcPr>
          <w:p w14:paraId="4DE901F7" w14:textId="77777777" w:rsidR="00ED775A" w:rsidRPr="00774C6B" w:rsidRDefault="00ED775A" w:rsidP="00CD34D6">
            <w:pPr>
              <w:pStyle w:val="Body"/>
              <w:spacing w:after="0"/>
              <w:jc w:val="center"/>
              <w:rPr>
                <w:rFonts w:ascii="Arial" w:hAnsi="Arial" w:cs="Arial"/>
                <w:b/>
                <w:bCs/>
              </w:rPr>
            </w:pPr>
            <w:r w:rsidRPr="00774C6B">
              <w:rPr>
                <w:rFonts w:ascii="Arial" w:hAnsi="Arial" w:cs="Arial"/>
                <w:b/>
                <w:bCs/>
              </w:rPr>
              <w:t>Variable</w:t>
            </w:r>
          </w:p>
        </w:tc>
        <w:tc>
          <w:tcPr>
            <w:tcW w:w="1614" w:type="dxa"/>
            <w:tcBorders>
              <w:top w:val="single" w:sz="4" w:space="0" w:color="auto"/>
              <w:bottom w:val="single" w:sz="4" w:space="0" w:color="auto"/>
            </w:tcBorders>
          </w:tcPr>
          <w:p w14:paraId="7EFD4E59" w14:textId="77777777" w:rsidR="00ED775A" w:rsidRPr="00774C6B" w:rsidRDefault="00ED775A" w:rsidP="00CD34D6">
            <w:pPr>
              <w:pStyle w:val="Body"/>
              <w:spacing w:after="0"/>
              <w:jc w:val="center"/>
              <w:rPr>
                <w:rFonts w:ascii="Arial" w:hAnsi="Arial" w:cs="Arial"/>
                <w:b/>
                <w:bCs/>
              </w:rPr>
            </w:pPr>
            <w:r w:rsidRPr="00774C6B">
              <w:rPr>
                <w:rFonts w:ascii="Arial" w:hAnsi="Arial" w:cs="Arial"/>
                <w:b/>
                <w:bCs/>
              </w:rPr>
              <w:t>Mean</w:t>
            </w:r>
          </w:p>
        </w:tc>
        <w:tc>
          <w:tcPr>
            <w:tcW w:w="1933" w:type="dxa"/>
            <w:tcBorders>
              <w:top w:val="single" w:sz="4" w:space="0" w:color="auto"/>
              <w:bottom w:val="single" w:sz="4" w:space="0" w:color="auto"/>
            </w:tcBorders>
          </w:tcPr>
          <w:p w14:paraId="56B3A291" w14:textId="77777777" w:rsidR="00ED775A" w:rsidRPr="00774C6B" w:rsidRDefault="00ED775A" w:rsidP="00CD34D6">
            <w:pPr>
              <w:pStyle w:val="Body"/>
              <w:spacing w:after="0"/>
              <w:jc w:val="center"/>
              <w:rPr>
                <w:rFonts w:ascii="Arial" w:hAnsi="Arial" w:cs="Arial"/>
                <w:b/>
                <w:bCs/>
              </w:rPr>
            </w:pPr>
            <w:r>
              <w:rPr>
                <w:rFonts w:ascii="Arial" w:hAnsi="Arial" w:cs="Arial"/>
                <w:b/>
                <w:bCs/>
              </w:rPr>
              <w:t>Standard Deviation</w:t>
            </w:r>
          </w:p>
        </w:tc>
        <w:tc>
          <w:tcPr>
            <w:tcW w:w="1563" w:type="dxa"/>
            <w:tcBorders>
              <w:top w:val="single" w:sz="4" w:space="0" w:color="auto"/>
              <w:bottom w:val="single" w:sz="4" w:space="0" w:color="auto"/>
            </w:tcBorders>
          </w:tcPr>
          <w:p w14:paraId="447086CB" w14:textId="77777777" w:rsidR="00ED775A" w:rsidRDefault="00ED775A" w:rsidP="00CD34D6">
            <w:pPr>
              <w:pStyle w:val="Body"/>
              <w:spacing w:after="0"/>
              <w:jc w:val="center"/>
              <w:rPr>
                <w:rFonts w:ascii="Arial" w:hAnsi="Arial" w:cs="Arial"/>
                <w:b/>
                <w:bCs/>
              </w:rPr>
            </w:pPr>
            <w:r>
              <w:rPr>
                <w:rFonts w:ascii="Arial" w:hAnsi="Arial" w:cs="Arial"/>
                <w:b/>
                <w:bCs/>
              </w:rPr>
              <w:t>Shapiro Wilk Test</w:t>
            </w:r>
          </w:p>
          <w:p w14:paraId="2BEFE5BA" w14:textId="77777777" w:rsidR="00ED775A" w:rsidRDefault="00ED775A" w:rsidP="00CD34D6">
            <w:pPr>
              <w:pStyle w:val="Body"/>
              <w:spacing w:after="0"/>
              <w:jc w:val="center"/>
              <w:rPr>
                <w:rFonts w:ascii="Arial" w:hAnsi="Arial" w:cs="Arial"/>
                <w:b/>
                <w:bCs/>
              </w:rPr>
            </w:pPr>
            <w:r>
              <w:rPr>
                <w:rFonts w:ascii="Arial" w:hAnsi="Arial" w:cs="Arial"/>
                <w:b/>
                <w:bCs/>
              </w:rPr>
              <w:t>(p-value)</w:t>
            </w:r>
          </w:p>
        </w:tc>
      </w:tr>
      <w:tr w:rsidR="00ED775A" w14:paraId="16C2CC24" w14:textId="77777777" w:rsidTr="00CD34D6">
        <w:tc>
          <w:tcPr>
            <w:tcW w:w="1668" w:type="dxa"/>
            <w:vMerge w:val="restart"/>
            <w:tcBorders>
              <w:top w:val="single" w:sz="4" w:space="0" w:color="auto"/>
            </w:tcBorders>
          </w:tcPr>
          <w:p w14:paraId="761805DF" w14:textId="77777777" w:rsidR="00ED775A" w:rsidRDefault="00ED775A" w:rsidP="00CD34D6">
            <w:pPr>
              <w:pStyle w:val="Body"/>
              <w:spacing w:after="0"/>
              <w:jc w:val="center"/>
              <w:rPr>
                <w:rFonts w:ascii="Arial" w:hAnsi="Arial" w:cs="Arial"/>
              </w:rPr>
            </w:pPr>
            <w:r>
              <w:rPr>
                <w:rFonts w:ascii="Arial" w:hAnsi="Arial" w:cs="Arial"/>
              </w:rPr>
              <w:t>Normal</w:t>
            </w:r>
          </w:p>
        </w:tc>
        <w:tc>
          <w:tcPr>
            <w:tcW w:w="1646" w:type="dxa"/>
            <w:tcBorders>
              <w:top w:val="single" w:sz="4" w:space="0" w:color="auto"/>
            </w:tcBorders>
          </w:tcPr>
          <w:p w14:paraId="12A63805" w14:textId="77777777" w:rsidR="00ED775A" w:rsidRDefault="00ED775A" w:rsidP="00CD34D6">
            <w:pPr>
              <w:pStyle w:val="Body"/>
              <w:spacing w:after="0"/>
              <w:jc w:val="center"/>
              <w:rPr>
                <w:rFonts w:ascii="Arial" w:hAnsi="Arial" w:cs="Arial"/>
              </w:rPr>
            </w:pPr>
            <w:r>
              <w:rPr>
                <w:rFonts w:ascii="Arial" w:hAnsi="Arial" w:cs="Arial"/>
              </w:rPr>
              <w:t>Traditional</w:t>
            </w:r>
          </w:p>
        </w:tc>
        <w:tc>
          <w:tcPr>
            <w:tcW w:w="1614" w:type="dxa"/>
            <w:tcBorders>
              <w:top w:val="single" w:sz="4" w:space="0" w:color="auto"/>
            </w:tcBorders>
          </w:tcPr>
          <w:p w14:paraId="0DBFE2F9" w14:textId="77777777" w:rsidR="00ED775A" w:rsidRDefault="00ED775A" w:rsidP="00CD34D6">
            <w:pPr>
              <w:pStyle w:val="Body"/>
              <w:spacing w:after="0"/>
              <w:jc w:val="center"/>
              <w:rPr>
                <w:rFonts w:ascii="Arial" w:hAnsi="Arial" w:cs="Arial"/>
              </w:rPr>
            </w:pPr>
            <w:r>
              <w:rPr>
                <w:rFonts w:ascii="Arial" w:hAnsi="Arial" w:cs="Arial"/>
              </w:rPr>
              <w:t>2.57</w:t>
            </w:r>
          </w:p>
        </w:tc>
        <w:tc>
          <w:tcPr>
            <w:tcW w:w="1933" w:type="dxa"/>
            <w:tcBorders>
              <w:top w:val="single" w:sz="4" w:space="0" w:color="auto"/>
            </w:tcBorders>
          </w:tcPr>
          <w:p w14:paraId="1573250E" w14:textId="77777777" w:rsidR="00ED775A" w:rsidRDefault="00ED775A" w:rsidP="00CD34D6">
            <w:pPr>
              <w:pStyle w:val="Body"/>
              <w:spacing w:after="0"/>
              <w:jc w:val="center"/>
              <w:rPr>
                <w:rFonts w:ascii="Arial" w:hAnsi="Arial" w:cs="Arial"/>
              </w:rPr>
            </w:pPr>
            <w:r>
              <w:rPr>
                <w:rFonts w:ascii="Arial" w:hAnsi="Arial" w:cs="Arial"/>
              </w:rPr>
              <w:t>0.229</w:t>
            </w:r>
          </w:p>
        </w:tc>
        <w:tc>
          <w:tcPr>
            <w:tcW w:w="1563" w:type="dxa"/>
            <w:tcBorders>
              <w:top w:val="single" w:sz="4" w:space="0" w:color="auto"/>
            </w:tcBorders>
          </w:tcPr>
          <w:p w14:paraId="7D613F35" w14:textId="77777777" w:rsidR="00ED775A" w:rsidRDefault="00ED775A" w:rsidP="00CD34D6">
            <w:pPr>
              <w:pStyle w:val="Body"/>
              <w:spacing w:after="0"/>
              <w:jc w:val="center"/>
              <w:rPr>
                <w:rFonts w:ascii="Arial" w:hAnsi="Arial" w:cs="Arial"/>
              </w:rPr>
            </w:pPr>
            <w:r>
              <w:rPr>
                <w:rFonts w:ascii="Arial" w:hAnsi="Arial" w:cs="Arial"/>
              </w:rPr>
              <w:t>0.155</w:t>
            </w:r>
          </w:p>
        </w:tc>
      </w:tr>
      <w:tr w:rsidR="00ED775A" w14:paraId="70428699" w14:textId="77777777" w:rsidTr="00CD34D6">
        <w:tc>
          <w:tcPr>
            <w:tcW w:w="1668" w:type="dxa"/>
            <w:vMerge/>
          </w:tcPr>
          <w:p w14:paraId="4A1E4C88" w14:textId="77777777" w:rsidR="00ED775A" w:rsidRDefault="00ED775A" w:rsidP="00CD34D6">
            <w:pPr>
              <w:pStyle w:val="Body"/>
              <w:spacing w:after="0"/>
              <w:jc w:val="center"/>
              <w:rPr>
                <w:rFonts w:ascii="Arial" w:hAnsi="Arial" w:cs="Arial"/>
              </w:rPr>
            </w:pPr>
          </w:p>
        </w:tc>
        <w:tc>
          <w:tcPr>
            <w:tcW w:w="1646" w:type="dxa"/>
          </w:tcPr>
          <w:p w14:paraId="076AD3E1" w14:textId="77777777" w:rsidR="00ED775A" w:rsidRDefault="00ED775A" w:rsidP="00CD34D6">
            <w:pPr>
              <w:pStyle w:val="Body"/>
              <w:spacing w:after="0"/>
              <w:jc w:val="center"/>
              <w:rPr>
                <w:rFonts w:ascii="Arial" w:hAnsi="Arial" w:cs="Arial"/>
              </w:rPr>
            </w:pPr>
            <w:r>
              <w:rPr>
                <w:rFonts w:ascii="Arial" w:hAnsi="Arial" w:cs="Arial"/>
              </w:rPr>
              <w:t>Interactive</w:t>
            </w:r>
          </w:p>
        </w:tc>
        <w:tc>
          <w:tcPr>
            <w:tcW w:w="1614" w:type="dxa"/>
          </w:tcPr>
          <w:p w14:paraId="284F0361" w14:textId="77777777" w:rsidR="00ED775A" w:rsidRDefault="00ED775A" w:rsidP="00CD34D6">
            <w:pPr>
              <w:pStyle w:val="Body"/>
              <w:spacing w:after="0"/>
              <w:jc w:val="center"/>
              <w:rPr>
                <w:rFonts w:ascii="Arial" w:hAnsi="Arial" w:cs="Arial"/>
              </w:rPr>
            </w:pPr>
            <w:r>
              <w:rPr>
                <w:rFonts w:ascii="Arial" w:hAnsi="Arial" w:cs="Arial"/>
              </w:rPr>
              <w:t>3.46</w:t>
            </w:r>
          </w:p>
        </w:tc>
        <w:tc>
          <w:tcPr>
            <w:tcW w:w="1933" w:type="dxa"/>
          </w:tcPr>
          <w:p w14:paraId="7A417341" w14:textId="77777777" w:rsidR="00ED775A" w:rsidRDefault="00ED775A" w:rsidP="00CD34D6">
            <w:pPr>
              <w:pStyle w:val="Body"/>
              <w:spacing w:after="0"/>
              <w:jc w:val="center"/>
              <w:rPr>
                <w:rFonts w:ascii="Arial" w:hAnsi="Arial" w:cs="Arial"/>
              </w:rPr>
            </w:pPr>
            <w:r>
              <w:rPr>
                <w:rFonts w:ascii="Arial" w:hAnsi="Arial" w:cs="Arial"/>
              </w:rPr>
              <w:t>0.247</w:t>
            </w:r>
          </w:p>
        </w:tc>
        <w:tc>
          <w:tcPr>
            <w:tcW w:w="1563" w:type="dxa"/>
          </w:tcPr>
          <w:p w14:paraId="3BEF8EB5" w14:textId="77777777" w:rsidR="00ED775A" w:rsidRDefault="00ED775A" w:rsidP="00CD34D6">
            <w:pPr>
              <w:pStyle w:val="Body"/>
              <w:spacing w:after="0"/>
              <w:jc w:val="center"/>
              <w:rPr>
                <w:rFonts w:ascii="Arial" w:hAnsi="Arial" w:cs="Arial"/>
              </w:rPr>
            </w:pPr>
            <w:r>
              <w:rPr>
                <w:rFonts w:ascii="Arial" w:hAnsi="Arial" w:cs="Arial"/>
              </w:rPr>
              <w:t>0.429</w:t>
            </w:r>
          </w:p>
        </w:tc>
      </w:tr>
      <w:tr w:rsidR="00ED775A" w14:paraId="4C810A2A" w14:textId="77777777" w:rsidTr="00CD34D6">
        <w:tc>
          <w:tcPr>
            <w:tcW w:w="1668" w:type="dxa"/>
            <w:vMerge w:val="restart"/>
          </w:tcPr>
          <w:p w14:paraId="43329B69" w14:textId="77777777" w:rsidR="00ED775A" w:rsidRDefault="00ED775A" w:rsidP="00CD34D6">
            <w:pPr>
              <w:pStyle w:val="Body"/>
              <w:spacing w:after="0"/>
              <w:jc w:val="center"/>
              <w:rPr>
                <w:rFonts w:ascii="Arial" w:hAnsi="Arial" w:cs="Arial"/>
              </w:rPr>
            </w:pPr>
            <w:r>
              <w:rPr>
                <w:rFonts w:ascii="Arial" w:hAnsi="Arial" w:cs="Arial"/>
              </w:rPr>
              <w:t>Non-Normal</w:t>
            </w:r>
          </w:p>
        </w:tc>
        <w:tc>
          <w:tcPr>
            <w:tcW w:w="1646" w:type="dxa"/>
          </w:tcPr>
          <w:p w14:paraId="0780E07E" w14:textId="77777777" w:rsidR="00ED775A" w:rsidRDefault="00ED775A" w:rsidP="00CD34D6">
            <w:pPr>
              <w:pStyle w:val="Body"/>
              <w:spacing w:after="0"/>
              <w:jc w:val="center"/>
              <w:rPr>
                <w:rFonts w:ascii="Arial" w:hAnsi="Arial" w:cs="Arial"/>
              </w:rPr>
            </w:pPr>
            <w:r>
              <w:rPr>
                <w:rFonts w:ascii="Arial" w:hAnsi="Arial" w:cs="Arial"/>
              </w:rPr>
              <w:t>Traditional</w:t>
            </w:r>
          </w:p>
        </w:tc>
        <w:tc>
          <w:tcPr>
            <w:tcW w:w="1614" w:type="dxa"/>
          </w:tcPr>
          <w:p w14:paraId="7630F0FA" w14:textId="77777777" w:rsidR="00ED775A" w:rsidRDefault="00ED775A" w:rsidP="00CD34D6">
            <w:pPr>
              <w:pStyle w:val="Body"/>
              <w:spacing w:after="0"/>
              <w:jc w:val="center"/>
              <w:rPr>
                <w:rFonts w:ascii="Arial" w:hAnsi="Arial" w:cs="Arial"/>
              </w:rPr>
            </w:pPr>
            <w:r>
              <w:rPr>
                <w:rFonts w:ascii="Arial" w:hAnsi="Arial" w:cs="Arial"/>
              </w:rPr>
              <w:t>2.08</w:t>
            </w:r>
          </w:p>
        </w:tc>
        <w:tc>
          <w:tcPr>
            <w:tcW w:w="1933" w:type="dxa"/>
          </w:tcPr>
          <w:p w14:paraId="4E99914B" w14:textId="77777777" w:rsidR="00ED775A" w:rsidRDefault="00ED775A" w:rsidP="00CD34D6">
            <w:pPr>
              <w:pStyle w:val="Body"/>
              <w:spacing w:after="0"/>
              <w:jc w:val="center"/>
              <w:rPr>
                <w:rFonts w:ascii="Arial" w:hAnsi="Arial" w:cs="Arial"/>
              </w:rPr>
            </w:pPr>
            <w:r>
              <w:rPr>
                <w:rFonts w:ascii="Arial" w:hAnsi="Arial" w:cs="Arial"/>
              </w:rPr>
              <w:t>0.627</w:t>
            </w:r>
          </w:p>
        </w:tc>
        <w:tc>
          <w:tcPr>
            <w:tcW w:w="1563" w:type="dxa"/>
          </w:tcPr>
          <w:p w14:paraId="7467C86E" w14:textId="77777777" w:rsidR="00ED775A" w:rsidRDefault="00ED775A" w:rsidP="00CD34D6">
            <w:pPr>
              <w:pStyle w:val="Body"/>
              <w:spacing w:after="0"/>
              <w:jc w:val="center"/>
              <w:rPr>
                <w:rFonts w:ascii="Arial" w:hAnsi="Arial" w:cs="Arial"/>
              </w:rPr>
            </w:pPr>
            <w:r>
              <w:rPr>
                <w:rFonts w:ascii="Arial" w:hAnsi="Arial" w:cs="Arial"/>
              </w:rPr>
              <w:t>0.048</w:t>
            </w:r>
          </w:p>
        </w:tc>
      </w:tr>
      <w:tr w:rsidR="00ED775A" w14:paraId="7E833ABF" w14:textId="77777777" w:rsidTr="00CD34D6">
        <w:tc>
          <w:tcPr>
            <w:tcW w:w="1668" w:type="dxa"/>
            <w:vMerge/>
            <w:tcBorders>
              <w:bottom w:val="single" w:sz="4" w:space="0" w:color="auto"/>
            </w:tcBorders>
          </w:tcPr>
          <w:p w14:paraId="0D6FBDCF" w14:textId="77777777" w:rsidR="00ED775A" w:rsidRDefault="00ED775A" w:rsidP="00CD34D6">
            <w:pPr>
              <w:pStyle w:val="Body"/>
              <w:spacing w:after="0"/>
              <w:jc w:val="center"/>
              <w:rPr>
                <w:rFonts w:ascii="Arial" w:hAnsi="Arial" w:cs="Arial"/>
              </w:rPr>
            </w:pPr>
          </w:p>
        </w:tc>
        <w:tc>
          <w:tcPr>
            <w:tcW w:w="1646" w:type="dxa"/>
            <w:tcBorders>
              <w:bottom w:val="single" w:sz="4" w:space="0" w:color="auto"/>
            </w:tcBorders>
          </w:tcPr>
          <w:p w14:paraId="12D16BCB" w14:textId="77777777" w:rsidR="00ED775A" w:rsidRDefault="00ED775A" w:rsidP="00CD34D6">
            <w:pPr>
              <w:pStyle w:val="Body"/>
              <w:spacing w:after="0"/>
              <w:jc w:val="center"/>
              <w:rPr>
                <w:rFonts w:ascii="Arial" w:hAnsi="Arial" w:cs="Arial"/>
              </w:rPr>
            </w:pPr>
            <w:r>
              <w:rPr>
                <w:rFonts w:ascii="Arial" w:hAnsi="Arial" w:cs="Arial"/>
              </w:rPr>
              <w:t>Interactive</w:t>
            </w:r>
          </w:p>
        </w:tc>
        <w:tc>
          <w:tcPr>
            <w:tcW w:w="1614" w:type="dxa"/>
            <w:tcBorders>
              <w:bottom w:val="single" w:sz="4" w:space="0" w:color="auto"/>
            </w:tcBorders>
          </w:tcPr>
          <w:p w14:paraId="07210A10" w14:textId="77777777" w:rsidR="00ED775A" w:rsidRDefault="00ED775A" w:rsidP="00CD34D6">
            <w:pPr>
              <w:pStyle w:val="Body"/>
              <w:spacing w:after="0"/>
              <w:jc w:val="center"/>
              <w:rPr>
                <w:rFonts w:ascii="Arial" w:hAnsi="Arial" w:cs="Arial"/>
              </w:rPr>
            </w:pPr>
            <w:r>
              <w:rPr>
                <w:rFonts w:ascii="Arial" w:hAnsi="Arial" w:cs="Arial"/>
              </w:rPr>
              <w:t>3.85</w:t>
            </w:r>
          </w:p>
        </w:tc>
        <w:tc>
          <w:tcPr>
            <w:tcW w:w="1933" w:type="dxa"/>
            <w:tcBorders>
              <w:bottom w:val="single" w:sz="4" w:space="0" w:color="auto"/>
            </w:tcBorders>
          </w:tcPr>
          <w:p w14:paraId="198BCDF3" w14:textId="77777777" w:rsidR="00ED775A" w:rsidRDefault="00ED775A" w:rsidP="00CD34D6">
            <w:pPr>
              <w:pStyle w:val="Body"/>
              <w:spacing w:after="0"/>
              <w:jc w:val="center"/>
              <w:rPr>
                <w:rFonts w:ascii="Arial" w:hAnsi="Arial" w:cs="Arial"/>
              </w:rPr>
            </w:pPr>
            <w:r>
              <w:rPr>
                <w:rFonts w:ascii="Arial" w:hAnsi="Arial" w:cs="Arial"/>
              </w:rPr>
              <w:t>0.684</w:t>
            </w:r>
          </w:p>
        </w:tc>
        <w:tc>
          <w:tcPr>
            <w:tcW w:w="1563" w:type="dxa"/>
            <w:tcBorders>
              <w:bottom w:val="single" w:sz="4" w:space="0" w:color="auto"/>
            </w:tcBorders>
          </w:tcPr>
          <w:p w14:paraId="2368975B" w14:textId="77777777" w:rsidR="00ED775A" w:rsidRDefault="00ED775A" w:rsidP="00CD34D6">
            <w:pPr>
              <w:pStyle w:val="Body"/>
              <w:spacing w:after="0"/>
              <w:jc w:val="center"/>
              <w:rPr>
                <w:rFonts w:ascii="Arial" w:hAnsi="Arial" w:cs="Arial"/>
              </w:rPr>
            </w:pPr>
            <w:r>
              <w:rPr>
                <w:rFonts w:ascii="Arial" w:hAnsi="Arial" w:cs="Arial"/>
              </w:rPr>
              <w:t>0.048</w:t>
            </w:r>
          </w:p>
        </w:tc>
      </w:tr>
      <w:bookmarkEnd w:id="0"/>
    </w:tbl>
    <w:p w14:paraId="04EA1467" w14:textId="77777777" w:rsidR="003D3AD7" w:rsidRDefault="003D3AD7" w:rsidP="005F3236">
      <w:pPr>
        <w:pStyle w:val="Body"/>
        <w:rPr>
          <w:rFonts w:ascii="Arial" w:hAnsi="Arial" w:cs="Arial"/>
          <w:b/>
          <w:bCs/>
        </w:rPr>
      </w:pPr>
    </w:p>
    <w:p w14:paraId="42699769" w14:textId="77777777" w:rsidR="00015518" w:rsidRPr="00015518" w:rsidRDefault="00015518" w:rsidP="00015518">
      <w:pPr>
        <w:pStyle w:val="Body"/>
        <w:rPr>
          <w:rFonts w:ascii="Arial" w:hAnsi="Arial" w:cs="Arial"/>
          <w:lang w:val="en-PH"/>
        </w:rPr>
      </w:pPr>
      <w:r w:rsidRPr="00015518">
        <w:rPr>
          <w:rFonts w:ascii="Arial" w:hAnsi="Arial" w:cs="Arial"/>
          <w:lang w:val="en-PH"/>
        </w:rPr>
        <w:t>Table 2 presents the descriptive statistics and normality test results for the simulated pre-test and post-test data, representing student performance before and after an instructional intervention. The data were designed to explore how parametric and nonparametric tests behave under both normal and non-normal conditions.</w:t>
      </w:r>
    </w:p>
    <w:p w14:paraId="67E262E5" w14:textId="77777777" w:rsidR="00015518" w:rsidRPr="00015518" w:rsidRDefault="00015518" w:rsidP="00015518">
      <w:pPr>
        <w:pStyle w:val="Body"/>
        <w:rPr>
          <w:rFonts w:ascii="Arial" w:hAnsi="Arial" w:cs="Arial"/>
          <w:lang w:val="en-PH"/>
        </w:rPr>
      </w:pPr>
      <w:r w:rsidRPr="00015518">
        <w:rPr>
          <w:rFonts w:ascii="Arial" w:hAnsi="Arial" w:cs="Arial"/>
          <w:lang w:val="en-PH"/>
        </w:rPr>
        <w:t>For the normally distributed dataset, the mean score increased slightly from 3.10 (SD = 0.456) in the pre-test to 3.25 (SD = 0.532) in the post-test, indicating a modest improvement in student performance after the intervention. The Shapiro–Wilk test results (p = 0.744 and p = 0.108, respectively) suggest that both pre-test and post-test scores met the assumption of normality. This validates the appropriateness of using the paired t-test to assess whether the observed increase is statistically significant.</w:t>
      </w:r>
    </w:p>
    <w:p w14:paraId="72F8DD87" w14:textId="77777777" w:rsidR="00015518" w:rsidRPr="00015518" w:rsidRDefault="00015518" w:rsidP="00015518">
      <w:pPr>
        <w:pStyle w:val="Body"/>
        <w:rPr>
          <w:rFonts w:ascii="Arial" w:hAnsi="Arial" w:cs="Arial"/>
          <w:lang w:val="en-PH"/>
        </w:rPr>
      </w:pPr>
      <w:r w:rsidRPr="00015518">
        <w:rPr>
          <w:rFonts w:ascii="Arial" w:hAnsi="Arial" w:cs="Arial"/>
          <w:lang w:val="en-PH"/>
        </w:rPr>
        <w:t>In contrast, the non-normally distributed dataset shows a more pronounced increase from 2.20 (SD = 0.644) to 2.92 (SD = 0.667). However, the Shapiro–Wilk test values (p = 0.017 and p = 0.013) indicate significant deviation from normality. This violation of the normality assumption implies that a nonparametric test, specifically the Wilcoxon Signed-Rank test, would be more appropriate to evaluate changes between pre-test and post-test scores in this dataset.</w:t>
      </w:r>
    </w:p>
    <w:p w14:paraId="50578B4A" w14:textId="77777777" w:rsidR="00015518" w:rsidRPr="00015518" w:rsidRDefault="00015518" w:rsidP="00015518">
      <w:pPr>
        <w:pStyle w:val="Body"/>
        <w:rPr>
          <w:rFonts w:ascii="Arial" w:hAnsi="Arial" w:cs="Arial"/>
          <w:lang w:val="en-PH"/>
        </w:rPr>
      </w:pPr>
      <w:r w:rsidRPr="00015518">
        <w:rPr>
          <w:rFonts w:ascii="Arial" w:hAnsi="Arial" w:cs="Arial"/>
          <w:lang w:val="en-PH"/>
        </w:rPr>
        <w:t>Overall, these results demonstrate how data distribution directly influences the selection of statistical procedures. When normality is satisfied, parametric tests like the paired t-test provide reliable results. However, when normality is violated, nonparametric methods such as the Wilcoxon test ensure robustness and accuracy.</w:t>
      </w:r>
    </w:p>
    <w:p w14:paraId="607236A2" w14:textId="77777777" w:rsidR="00015518" w:rsidRDefault="00015518" w:rsidP="005F3236">
      <w:pPr>
        <w:pStyle w:val="Body"/>
        <w:rPr>
          <w:rFonts w:ascii="Arial" w:hAnsi="Arial" w:cs="Arial"/>
          <w:b/>
          <w:bCs/>
        </w:rPr>
      </w:pPr>
    </w:p>
    <w:p w14:paraId="01D5E3B7" w14:textId="64BFCD5F" w:rsidR="005F3236" w:rsidRPr="00183AD9" w:rsidRDefault="005F3236" w:rsidP="005F3236">
      <w:pPr>
        <w:pStyle w:val="Body"/>
        <w:rPr>
          <w:rFonts w:ascii="Arial" w:hAnsi="Arial" w:cs="Arial"/>
          <w:b/>
          <w:bCs/>
          <w:lang w:val="en-PH"/>
        </w:rPr>
      </w:pPr>
      <w:r w:rsidRPr="00183AD9">
        <w:rPr>
          <w:rFonts w:ascii="Arial" w:hAnsi="Arial" w:cs="Arial"/>
          <w:b/>
          <w:bCs/>
        </w:rPr>
        <w:t xml:space="preserve">Table </w:t>
      </w:r>
      <w:r>
        <w:rPr>
          <w:rFonts w:ascii="Arial" w:hAnsi="Arial" w:cs="Arial"/>
          <w:b/>
          <w:bCs/>
        </w:rPr>
        <w:t>2</w:t>
      </w:r>
      <w:r w:rsidRPr="00183AD9">
        <w:rPr>
          <w:rFonts w:ascii="Arial" w:hAnsi="Arial" w:cs="Arial"/>
          <w:b/>
          <w:bCs/>
        </w:rPr>
        <w:t xml:space="preserve">. </w:t>
      </w:r>
      <w:r w:rsidR="00015518" w:rsidRPr="00015518">
        <w:rPr>
          <w:rFonts w:ascii="Arial" w:hAnsi="Arial" w:cs="Arial"/>
          <w:b/>
          <w:bCs/>
        </w:rPr>
        <w:t xml:space="preserve">Descriptive Statistics and Normality Test Results for Simulated Pre-Test and Post-Test Scores </w:t>
      </w:r>
    </w:p>
    <w:tbl>
      <w:tblPr>
        <w:tblStyle w:val="TableGrid"/>
        <w:tblW w:w="0" w:type="auto"/>
        <w:tblLook w:val="04A0" w:firstRow="1" w:lastRow="0" w:firstColumn="1" w:lastColumn="0" w:noHBand="0" w:noVBand="1"/>
      </w:tblPr>
      <w:tblGrid>
        <w:gridCol w:w="1668"/>
        <w:gridCol w:w="1646"/>
        <w:gridCol w:w="1614"/>
        <w:gridCol w:w="1933"/>
        <w:gridCol w:w="1563"/>
      </w:tblGrid>
      <w:tr w:rsidR="00ED775A" w14:paraId="5B07ED47" w14:textId="77777777" w:rsidTr="00CD34D6">
        <w:tc>
          <w:tcPr>
            <w:tcW w:w="1668" w:type="dxa"/>
            <w:tcBorders>
              <w:top w:val="nil"/>
              <w:left w:val="nil"/>
              <w:bottom w:val="single" w:sz="4" w:space="0" w:color="auto"/>
              <w:right w:val="nil"/>
            </w:tcBorders>
          </w:tcPr>
          <w:p w14:paraId="268D0F3B" w14:textId="77777777" w:rsidR="00ED775A" w:rsidRPr="00774C6B" w:rsidRDefault="00ED775A" w:rsidP="00CD34D6">
            <w:pPr>
              <w:pStyle w:val="Body"/>
              <w:spacing w:after="0"/>
              <w:jc w:val="center"/>
              <w:rPr>
                <w:rFonts w:ascii="Arial" w:hAnsi="Arial" w:cs="Arial"/>
                <w:b/>
                <w:bCs/>
              </w:rPr>
            </w:pPr>
            <w:r>
              <w:rPr>
                <w:rFonts w:ascii="Arial" w:hAnsi="Arial" w:cs="Arial"/>
                <w:b/>
                <w:bCs/>
              </w:rPr>
              <w:t>Data Type</w:t>
            </w:r>
          </w:p>
        </w:tc>
        <w:tc>
          <w:tcPr>
            <w:tcW w:w="1646" w:type="dxa"/>
            <w:tcBorders>
              <w:top w:val="nil"/>
              <w:left w:val="nil"/>
              <w:bottom w:val="single" w:sz="4" w:space="0" w:color="auto"/>
              <w:right w:val="nil"/>
            </w:tcBorders>
          </w:tcPr>
          <w:p w14:paraId="0C8DFFDC" w14:textId="77777777" w:rsidR="00ED775A" w:rsidRPr="00774C6B" w:rsidRDefault="00ED775A" w:rsidP="00CD34D6">
            <w:pPr>
              <w:pStyle w:val="Body"/>
              <w:spacing w:after="0"/>
              <w:jc w:val="center"/>
              <w:rPr>
                <w:rFonts w:ascii="Arial" w:hAnsi="Arial" w:cs="Arial"/>
                <w:b/>
                <w:bCs/>
              </w:rPr>
            </w:pPr>
            <w:r w:rsidRPr="00774C6B">
              <w:rPr>
                <w:rFonts w:ascii="Arial" w:hAnsi="Arial" w:cs="Arial"/>
                <w:b/>
                <w:bCs/>
              </w:rPr>
              <w:t>Variable</w:t>
            </w:r>
          </w:p>
        </w:tc>
        <w:tc>
          <w:tcPr>
            <w:tcW w:w="1614" w:type="dxa"/>
            <w:tcBorders>
              <w:top w:val="nil"/>
              <w:left w:val="nil"/>
              <w:bottom w:val="single" w:sz="4" w:space="0" w:color="auto"/>
              <w:right w:val="nil"/>
            </w:tcBorders>
          </w:tcPr>
          <w:p w14:paraId="3E9D61F4" w14:textId="77777777" w:rsidR="00ED775A" w:rsidRPr="00774C6B" w:rsidRDefault="00ED775A" w:rsidP="00CD34D6">
            <w:pPr>
              <w:pStyle w:val="Body"/>
              <w:spacing w:after="0"/>
              <w:jc w:val="center"/>
              <w:rPr>
                <w:rFonts w:ascii="Arial" w:hAnsi="Arial" w:cs="Arial"/>
                <w:b/>
                <w:bCs/>
              </w:rPr>
            </w:pPr>
            <w:r w:rsidRPr="00774C6B">
              <w:rPr>
                <w:rFonts w:ascii="Arial" w:hAnsi="Arial" w:cs="Arial"/>
                <w:b/>
                <w:bCs/>
              </w:rPr>
              <w:t>Mean</w:t>
            </w:r>
          </w:p>
        </w:tc>
        <w:tc>
          <w:tcPr>
            <w:tcW w:w="1933" w:type="dxa"/>
            <w:tcBorders>
              <w:top w:val="nil"/>
              <w:left w:val="nil"/>
              <w:bottom w:val="single" w:sz="4" w:space="0" w:color="auto"/>
              <w:right w:val="nil"/>
            </w:tcBorders>
          </w:tcPr>
          <w:p w14:paraId="36C3AEF9" w14:textId="77777777" w:rsidR="00ED775A" w:rsidRPr="00774C6B" w:rsidRDefault="00ED775A" w:rsidP="00CD34D6">
            <w:pPr>
              <w:pStyle w:val="Body"/>
              <w:spacing w:after="0"/>
              <w:jc w:val="center"/>
              <w:rPr>
                <w:rFonts w:ascii="Arial" w:hAnsi="Arial" w:cs="Arial"/>
                <w:b/>
                <w:bCs/>
              </w:rPr>
            </w:pPr>
            <w:r>
              <w:rPr>
                <w:rFonts w:ascii="Arial" w:hAnsi="Arial" w:cs="Arial"/>
                <w:b/>
                <w:bCs/>
              </w:rPr>
              <w:t>Standard Deviation</w:t>
            </w:r>
          </w:p>
        </w:tc>
        <w:tc>
          <w:tcPr>
            <w:tcW w:w="1563" w:type="dxa"/>
            <w:tcBorders>
              <w:top w:val="nil"/>
              <w:left w:val="nil"/>
              <w:bottom w:val="single" w:sz="4" w:space="0" w:color="auto"/>
              <w:right w:val="nil"/>
            </w:tcBorders>
          </w:tcPr>
          <w:p w14:paraId="0C1C5E6D" w14:textId="77777777" w:rsidR="00ED775A" w:rsidRDefault="00ED775A" w:rsidP="00CD34D6">
            <w:pPr>
              <w:pStyle w:val="Body"/>
              <w:spacing w:after="0"/>
              <w:jc w:val="center"/>
              <w:rPr>
                <w:rFonts w:ascii="Arial" w:hAnsi="Arial" w:cs="Arial"/>
                <w:b/>
                <w:bCs/>
              </w:rPr>
            </w:pPr>
            <w:r>
              <w:rPr>
                <w:rFonts w:ascii="Arial" w:hAnsi="Arial" w:cs="Arial"/>
                <w:b/>
                <w:bCs/>
              </w:rPr>
              <w:t xml:space="preserve">Shapiro Wilk Test </w:t>
            </w:r>
          </w:p>
          <w:p w14:paraId="375F3884" w14:textId="77777777" w:rsidR="00ED775A" w:rsidRDefault="00ED775A" w:rsidP="00CD34D6">
            <w:pPr>
              <w:pStyle w:val="Body"/>
              <w:spacing w:after="0"/>
              <w:jc w:val="center"/>
              <w:rPr>
                <w:rFonts w:ascii="Arial" w:hAnsi="Arial" w:cs="Arial"/>
                <w:b/>
                <w:bCs/>
              </w:rPr>
            </w:pPr>
            <w:r>
              <w:rPr>
                <w:rFonts w:ascii="Arial" w:hAnsi="Arial" w:cs="Arial"/>
                <w:b/>
                <w:bCs/>
              </w:rPr>
              <w:t>(p-value)</w:t>
            </w:r>
          </w:p>
        </w:tc>
      </w:tr>
      <w:tr w:rsidR="00ED775A" w14:paraId="4A7D035A" w14:textId="77777777" w:rsidTr="00CD34D6">
        <w:tc>
          <w:tcPr>
            <w:tcW w:w="1668" w:type="dxa"/>
            <w:vMerge w:val="restart"/>
            <w:tcBorders>
              <w:top w:val="single" w:sz="4" w:space="0" w:color="auto"/>
              <w:left w:val="nil"/>
              <w:right w:val="nil"/>
            </w:tcBorders>
          </w:tcPr>
          <w:p w14:paraId="5A26A804" w14:textId="77777777" w:rsidR="00ED775A" w:rsidRDefault="00ED775A" w:rsidP="00CD34D6">
            <w:pPr>
              <w:pStyle w:val="Body"/>
              <w:spacing w:after="0"/>
              <w:jc w:val="center"/>
              <w:rPr>
                <w:rFonts w:ascii="Arial" w:hAnsi="Arial" w:cs="Arial"/>
              </w:rPr>
            </w:pPr>
            <w:r>
              <w:rPr>
                <w:rFonts w:ascii="Arial" w:hAnsi="Arial" w:cs="Arial"/>
              </w:rPr>
              <w:t>Normal</w:t>
            </w:r>
          </w:p>
        </w:tc>
        <w:tc>
          <w:tcPr>
            <w:tcW w:w="1646" w:type="dxa"/>
            <w:tcBorders>
              <w:top w:val="single" w:sz="4" w:space="0" w:color="auto"/>
              <w:left w:val="nil"/>
              <w:bottom w:val="nil"/>
              <w:right w:val="nil"/>
            </w:tcBorders>
          </w:tcPr>
          <w:p w14:paraId="18087886" w14:textId="77777777" w:rsidR="00ED775A" w:rsidRDefault="00ED775A" w:rsidP="00CD34D6">
            <w:pPr>
              <w:pStyle w:val="Body"/>
              <w:spacing w:after="0"/>
              <w:jc w:val="center"/>
              <w:rPr>
                <w:rFonts w:ascii="Arial" w:hAnsi="Arial" w:cs="Arial"/>
              </w:rPr>
            </w:pPr>
            <w:r>
              <w:rPr>
                <w:rFonts w:ascii="Arial" w:hAnsi="Arial" w:cs="Arial"/>
              </w:rPr>
              <w:t>Pre-Test</w:t>
            </w:r>
          </w:p>
        </w:tc>
        <w:tc>
          <w:tcPr>
            <w:tcW w:w="1614" w:type="dxa"/>
            <w:tcBorders>
              <w:top w:val="single" w:sz="4" w:space="0" w:color="auto"/>
              <w:left w:val="nil"/>
              <w:bottom w:val="nil"/>
              <w:right w:val="nil"/>
            </w:tcBorders>
          </w:tcPr>
          <w:p w14:paraId="180462B5" w14:textId="77777777" w:rsidR="00ED775A" w:rsidRDefault="00ED775A" w:rsidP="00CD34D6">
            <w:pPr>
              <w:pStyle w:val="Body"/>
              <w:spacing w:after="0"/>
              <w:jc w:val="center"/>
              <w:rPr>
                <w:rFonts w:ascii="Arial" w:hAnsi="Arial" w:cs="Arial"/>
              </w:rPr>
            </w:pPr>
            <w:r>
              <w:rPr>
                <w:rFonts w:ascii="Arial" w:hAnsi="Arial" w:cs="Arial"/>
              </w:rPr>
              <w:t>3.10</w:t>
            </w:r>
          </w:p>
        </w:tc>
        <w:tc>
          <w:tcPr>
            <w:tcW w:w="1933" w:type="dxa"/>
            <w:tcBorders>
              <w:top w:val="single" w:sz="4" w:space="0" w:color="auto"/>
              <w:left w:val="nil"/>
              <w:bottom w:val="nil"/>
              <w:right w:val="nil"/>
            </w:tcBorders>
          </w:tcPr>
          <w:p w14:paraId="7B4B6BCD" w14:textId="77777777" w:rsidR="00ED775A" w:rsidRDefault="00ED775A" w:rsidP="00CD34D6">
            <w:pPr>
              <w:pStyle w:val="Body"/>
              <w:spacing w:after="0"/>
              <w:jc w:val="center"/>
              <w:rPr>
                <w:rFonts w:ascii="Arial" w:hAnsi="Arial" w:cs="Arial"/>
              </w:rPr>
            </w:pPr>
            <w:r>
              <w:rPr>
                <w:rFonts w:ascii="Arial" w:hAnsi="Arial" w:cs="Arial"/>
              </w:rPr>
              <w:t>0.456</w:t>
            </w:r>
          </w:p>
        </w:tc>
        <w:tc>
          <w:tcPr>
            <w:tcW w:w="1563" w:type="dxa"/>
            <w:tcBorders>
              <w:top w:val="single" w:sz="4" w:space="0" w:color="auto"/>
              <w:left w:val="nil"/>
              <w:bottom w:val="nil"/>
              <w:right w:val="nil"/>
            </w:tcBorders>
          </w:tcPr>
          <w:p w14:paraId="1773A491" w14:textId="77777777" w:rsidR="00ED775A" w:rsidRDefault="00ED775A" w:rsidP="00CD34D6">
            <w:pPr>
              <w:pStyle w:val="Body"/>
              <w:spacing w:after="0"/>
              <w:jc w:val="center"/>
              <w:rPr>
                <w:rFonts w:ascii="Arial" w:hAnsi="Arial" w:cs="Arial"/>
              </w:rPr>
            </w:pPr>
            <w:r>
              <w:rPr>
                <w:rFonts w:ascii="Arial" w:hAnsi="Arial" w:cs="Arial"/>
              </w:rPr>
              <w:t>0.744</w:t>
            </w:r>
          </w:p>
        </w:tc>
      </w:tr>
      <w:tr w:rsidR="00ED775A" w14:paraId="6756F086" w14:textId="77777777" w:rsidTr="00CD34D6">
        <w:tc>
          <w:tcPr>
            <w:tcW w:w="1668" w:type="dxa"/>
            <w:vMerge/>
            <w:tcBorders>
              <w:left w:val="nil"/>
              <w:bottom w:val="single" w:sz="4" w:space="0" w:color="auto"/>
              <w:right w:val="nil"/>
            </w:tcBorders>
          </w:tcPr>
          <w:p w14:paraId="38F661C5" w14:textId="77777777" w:rsidR="00ED775A" w:rsidRDefault="00ED775A" w:rsidP="00CD34D6">
            <w:pPr>
              <w:pStyle w:val="Body"/>
              <w:spacing w:after="0"/>
              <w:jc w:val="center"/>
              <w:rPr>
                <w:rFonts w:ascii="Arial" w:hAnsi="Arial" w:cs="Arial"/>
              </w:rPr>
            </w:pPr>
          </w:p>
        </w:tc>
        <w:tc>
          <w:tcPr>
            <w:tcW w:w="1646" w:type="dxa"/>
            <w:tcBorders>
              <w:top w:val="nil"/>
              <w:left w:val="nil"/>
              <w:bottom w:val="single" w:sz="4" w:space="0" w:color="auto"/>
              <w:right w:val="nil"/>
            </w:tcBorders>
          </w:tcPr>
          <w:p w14:paraId="5F11A6BE" w14:textId="77777777" w:rsidR="00ED775A" w:rsidRDefault="00ED775A" w:rsidP="00CD34D6">
            <w:pPr>
              <w:pStyle w:val="Body"/>
              <w:spacing w:after="0"/>
              <w:jc w:val="center"/>
              <w:rPr>
                <w:rFonts w:ascii="Arial" w:hAnsi="Arial" w:cs="Arial"/>
              </w:rPr>
            </w:pPr>
            <w:r>
              <w:rPr>
                <w:rFonts w:ascii="Arial" w:hAnsi="Arial" w:cs="Arial"/>
              </w:rPr>
              <w:t>Post-Test</w:t>
            </w:r>
          </w:p>
        </w:tc>
        <w:tc>
          <w:tcPr>
            <w:tcW w:w="1614" w:type="dxa"/>
            <w:tcBorders>
              <w:top w:val="nil"/>
              <w:left w:val="nil"/>
              <w:bottom w:val="single" w:sz="4" w:space="0" w:color="auto"/>
              <w:right w:val="nil"/>
            </w:tcBorders>
          </w:tcPr>
          <w:p w14:paraId="4336C19B" w14:textId="77777777" w:rsidR="00ED775A" w:rsidRDefault="00ED775A" w:rsidP="00CD34D6">
            <w:pPr>
              <w:pStyle w:val="Body"/>
              <w:spacing w:after="0"/>
              <w:jc w:val="center"/>
              <w:rPr>
                <w:rFonts w:ascii="Arial" w:hAnsi="Arial" w:cs="Arial"/>
              </w:rPr>
            </w:pPr>
            <w:r>
              <w:rPr>
                <w:rFonts w:ascii="Arial" w:hAnsi="Arial" w:cs="Arial"/>
              </w:rPr>
              <w:t>3.25</w:t>
            </w:r>
          </w:p>
        </w:tc>
        <w:tc>
          <w:tcPr>
            <w:tcW w:w="1933" w:type="dxa"/>
            <w:tcBorders>
              <w:top w:val="nil"/>
              <w:left w:val="nil"/>
              <w:bottom w:val="single" w:sz="4" w:space="0" w:color="auto"/>
              <w:right w:val="nil"/>
            </w:tcBorders>
          </w:tcPr>
          <w:p w14:paraId="26AE3772" w14:textId="77777777" w:rsidR="00ED775A" w:rsidRDefault="00ED775A" w:rsidP="00CD34D6">
            <w:pPr>
              <w:pStyle w:val="Body"/>
              <w:spacing w:after="0"/>
              <w:jc w:val="center"/>
              <w:rPr>
                <w:rFonts w:ascii="Arial" w:hAnsi="Arial" w:cs="Arial"/>
              </w:rPr>
            </w:pPr>
            <w:r>
              <w:rPr>
                <w:rFonts w:ascii="Arial" w:hAnsi="Arial" w:cs="Arial"/>
              </w:rPr>
              <w:t>0.532</w:t>
            </w:r>
          </w:p>
        </w:tc>
        <w:tc>
          <w:tcPr>
            <w:tcW w:w="1563" w:type="dxa"/>
            <w:tcBorders>
              <w:top w:val="nil"/>
              <w:left w:val="nil"/>
              <w:bottom w:val="single" w:sz="4" w:space="0" w:color="auto"/>
              <w:right w:val="nil"/>
            </w:tcBorders>
          </w:tcPr>
          <w:p w14:paraId="0491C59E" w14:textId="77777777" w:rsidR="00ED775A" w:rsidRDefault="00ED775A" w:rsidP="00CD34D6">
            <w:pPr>
              <w:pStyle w:val="Body"/>
              <w:spacing w:after="0"/>
              <w:jc w:val="center"/>
              <w:rPr>
                <w:rFonts w:ascii="Arial" w:hAnsi="Arial" w:cs="Arial"/>
              </w:rPr>
            </w:pPr>
            <w:r>
              <w:rPr>
                <w:rFonts w:ascii="Arial" w:hAnsi="Arial" w:cs="Arial"/>
              </w:rPr>
              <w:t>0.108</w:t>
            </w:r>
          </w:p>
        </w:tc>
      </w:tr>
      <w:tr w:rsidR="00ED775A" w14:paraId="69C12457" w14:textId="77777777" w:rsidTr="00CD34D6">
        <w:tc>
          <w:tcPr>
            <w:tcW w:w="1668" w:type="dxa"/>
            <w:vMerge w:val="restart"/>
            <w:tcBorders>
              <w:top w:val="single" w:sz="4" w:space="0" w:color="auto"/>
              <w:left w:val="nil"/>
              <w:right w:val="nil"/>
            </w:tcBorders>
          </w:tcPr>
          <w:p w14:paraId="0D563261" w14:textId="77777777" w:rsidR="00ED775A" w:rsidRDefault="00ED775A" w:rsidP="00CD34D6">
            <w:pPr>
              <w:pStyle w:val="Body"/>
              <w:spacing w:after="0"/>
              <w:jc w:val="center"/>
              <w:rPr>
                <w:rFonts w:ascii="Arial" w:hAnsi="Arial" w:cs="Arial"/>
              </w:rPr>
            </w:pPr>
            <w:r>
              <w:rPr>
                <w:rFonts w:ascii="Arial" w:hAnsi="Arial" w:cs="Arial"/>
              </w:rPr>
              <w:t>Non-Normal</w:t>
            </w:r>
          </w:p>
        </w:tc>
        <w:tc>
          <w:tcPr>
            <w:tcW w:w="1646" w:type="dxa"/>
            <w:tcBorders>
              <w:top w:val="single" w:sz="4" w:space="0" w:color="auto"/>
              <w:left w:val="nil"/>
              <w:bottom w:val="nil"/>
              <w:right w:val="nil"/>
            </w:tcBorders>
          </w:tcPr>
          <w:p w14:paraId="3ED763B8" w14:textId="77777777" w:rsidR="00ED775A" w:rsidRDefault="00ED775A" w:rsidP="00CD34D6">
            <w:pPr>
              <w:pStyle w:val="Body"/>
              <w:spacing w:after="0"/>
              <w:jc w:val="center"/>
              <w:rPr>
                <w:rFonts w:ascii="Arial" w:hAnsi="Arial" w:cs="Arial"/>
              </w:rPr>
            </w:pPr>
            <w:r>
              <w:rPr>
                <w:rFonts w:ascii="Arial" w:hAnsi="Arial" w:cs="Arial"/>
              </w:rPr>
              <w:t>Pre-Test</w:t>
            </w:r>
          </w:p>
        </w:tc>
        <w:tc>
          <w:tcPr>
            <w:tcW w:w="1614" w:type="dxa"/>
            <w:tcBorders>
              <w:top w:val="single" w:sz="4" w:space="0" w:color="auto"/>
              <w:left w:val="nil"/>
              <w:bottom w:val="nil"/>
              <w:right w:val="nil"/>
            </w:tcBorders>
          </w:tcPr>
          <w:p w14:paraId="68195153" w14:textId="77777777" w:rsidR="00ED775A" w:rsidRDefault="00ED775A" w:rsidP="00CD34D6">
            <w:pPr>
              <w:pStyle w:val="Body"/>
              <w:spacing w:after="0"/>
              <w:jc w:val="center"/>
              <w:rPr>
                <w:rFonts w:ascii="Arial" w:hAnsi="Arial" w:cs="Arial"/>
              </w:rPr>
            </w:pPr>
            <w:r>
              <w:rPr>
                <w:rFonts w:ascii="Arial" w:hAnsi="Arial" w:cs="Arial"/>
              </w:rPr>
              <w:t>2.20</w:t>
            </w:r>
          </w:p>
        </w:tc>
        <w:tc>
          <w:tcPr>
            <w:tcW w:w="1933" w:type="dxa"/>
            <w:tcBorders>
              <w:top w:val="single" w:sz="4" w:space="0" w:color="auto"/>
              <w:left w:val="nil"/>
              <w:bottom w:val="nil"/>
              <w:right w:val="nil"/>
            </w:tcBorders>
          </w:tcPr>
          <w:p w14:paraId="2E51C1EF" w14:textId="77777777" w:rsidR="00ED775A" w:rsidRDefault="00ED775A" w:rsidP="00CD34D6">
            <w:pPr>
              <w:pStyle w:val="Body"/>
              <w:spacing w:after="0"/>
              <w:jc w:val="center"/>
              <w:rPr>
                <w:rFonts w:ascii="Arial" w:hAnsi="Arial" w:cs="Arial"/>
              </w:rPr>
            </w:pPr>
            <w:r>
              <w:rPr>
                <w:rFonts w:ascii="Arial" w:hAnsi="Arial" w:cs="Arial"/>
              </w:rPr>
              <w:t>0.644</w:t>
            </w:r>
          </w:p>
        </w:tc>
        <w:tc>
          <w:tcPr>
            <w:tcW w:w="1563" w:type="dxa"/>
            <w:tcBorders>
              <w:top w:val="single" w:sz="4" w:space="0" w:color="auto"/>
              <w:left w:val="nil"/>
              <w:bottom w:val="nil"/>
              <w:right w:val="nil"/>
            </w:tcBorders>
          </w:tcPr>
          <w:p w14:paraId="1189AD11" w14:textId="77777777" w:rsidR="00ED775A" w:rsidRDefault="00ED775A" w:rsidP="00CD34D6">
            <w:pPr>
              <w:pStyle w:val="Body"/>
              <w:spacing w:after="0"/>
              <w:jc w:val="center"/>
              <w:rPr>
                <w:rFonts w:ascii="Arial" w:hAnsi="Arial" w:cs="Arial"/>
              </w:rPr>
            </w:pPr>
            <w:r>
              <w:rPr>
                <w:rFonts w:ascii="Arial" w:hAnsi="Arial" w:cs="Arial"/>
              </w:rPr>
              <w:t>0.017</w:t>
            </w:r>
          </w:p>
        </w:tc>
      </w:tr>
      <w:tr w:rsidR="00ED775A" w14:paraId="471E38A6" w14:textId="77777777" w:rsidTr="00CD34D6">
        <w:tc>
          <w:tcPr>
            <w:tcW w:w="1668" w:type="dxa"/>
            <w:vMerge/>
            <w:tcBorders>
              <w:left w:val="nil"/>
              <w:bottom w:val="single" w:sz="4" w:space="0" w:color="auto"/>
              <w:right w:val="nil"/>
            </w:tcBorders>
          </w:tcPr>
          <w:p w14:paraId="319BFC2B" w14:textId="77777777" w:rsidR="00ED775A" w:rsidRDefault="00ED775A" w:rsidP="00CD34D6">
            <w:pPr>
              <w:pStyle w:val="Body"/>
              <w:spacing w:after="0"/>
              <w:jc w:val="center"/>
              <w:rPr>
                <w:rFonts w:ascii="Arial" w:hAnsi="Arial" w:cs="Arial"/>
              </w:rPr>
            </w:pPr>
          </w:p>
        </w:tc>
        <w:tc>
          <w:tcPr>
            <w:tcW w:w="1646" w:type="dxa"/>
            <w:tcBorders>
              <w:top w:val="nil"/>
              <w:left w:val="nil"/>
              <w:bottom w:val="single" w:sz="4" w:space="0" w:color="auto"/>
              <w:right w:val="nil"/>
            </w:tcBorders>
          </w:tcPr>
          <w:p w14:paraId="4825B9F0" w14:textId="77777777" w:rsidR="00ED775A" w:rsidRDefault="00ED775A" w:rsidP="00CD34D6">
            <w:pPr>
              <w:pStyle w:val="Body"/>
              <w:spacing w:after="0"/>
              <w:jc w:val="center"/>
              <w:rPr>
                <w:rFonts w:ascii="Arial" w:hAnsi="Arial" w:cs="Arial"/>
              </w:rPr>
            </w:pPr>
            <w:r>
              <w:rPr>
                <w:rFonts w:ascii="Arial" w:hAnsi="Arial" w:cs="Arial"/>
              </w:rPr>
              <w:t>Post-Test</w:t>
            </w:r>
          </w:p>
        </w:tc>
        <w:tc>
          <w:tcPr>
            <w:tcW w:w="1614" w:type="dxa"/>
            <w:tcBorders>
              <w:top w:val="nil"/>
              <w:left w:val="nil"/>
              <w:bottom w:val="single" w:sz="4" w:space="0" w:color="auto"/>
              <w:right w:val="nil"/>
            </w:tcBorders>
          </w:tcPr>
          <w:p w14:paraId="6A5B0E7E" w14:textId="77777777" w:rsidR="00ED775A" w:rsidRDefault="00ED775A" w:rsidP="00CD34D6">
            <w:pPr>
              <w:pStyle w:val="Body"/>
              <w:spacing w:after="0"/>
              <w:jc w:val="center"/>
              <w:rPr>
                <w:rFonts w:ascii="Arial" w:hAnsi="Arial" w:cs="Arial"/>
              </w:rPr>
            </w:pPr>
            <w:r>
              <w:rPr>
                <w:rFonts w:ascii="Arial" w:hAnsi="Arial" w:cs="Arial"/>
              </w:rPr>
              <w:t>2.92</w:t>
            </w:r>
          </w:p>
        </w:tc>
        <w:tc>
          <w:tcPr>
            <w:tcW w:w="1933" w:type="dxa"/>
            <w:tcBorders>
              <w:top w:val="nil"/>
              <w:left w:val="nil"/>
              <w:bottom w:val="single" w:sz="4" w:space="0" w:color="auto"/>
              <w:right w:val="nil"/>
            </w:tcBorders>
          </w:tcPr>
          <w:p w14:paraId="4247DD9A" w14:textId="77777777" w:rsidR="00ED775A" w:rsidRDefault="00ED775A" w:rsidP="00CD34D6">
            <w:pPr>
              <w:pStyle w:val="Body"/>
              <w:spacing w:after="0"/>
              <w:jc w:val="center"/>
              <w:rPr>
                <w:rFonts w:ascii="Arial" w:hAnsi="Arial" w:cs="Arial"/>
              </w:rPr>
            </w:pPr>
            <w:r>
              <w:rPr>
                <w:rFonts w:ascii="Arial" w:hAnsi="Arial" w:cs="Arial"/>
              </w:rPr>
              <w:t>0.667</w:t>
            </w:r>
          </w:p>
        </w:tc>
        <w:tc>
          <w:tcPr>
            <w:tcW w:w="1563" w:type="dxa"/>
            <w:tcBorders>
              <w:top w:val="nil"/>
              <w:left w:val="nil"/>
              <w:bottom w:val="single" w:sz="4" w:space="0" w:color="auto"/>
              <w:right w:val="nil"/>
            </w:tcBorders>
          </w:tcPr>
          <w:p w14:paraId="5A0D3103" w14:textId="77777777" w:rsidR="00ED775A" w:rsidRDefault="00ED775A" w:rsidP="00CD34D6">
            <w:pPr>
              <w:pStyle w:val="Body"/>
              <w:spacing w:after="0"/>
              <w:jc w:val="center"/>
              <w:rPr>
                <w:rFonts w:ascii="Arial" w:hAnsi="Arial" w:cs="Arial"/>
              </w:rPr>
            </w:pPr>
            <w:r>
              <w:rPr>
                <w:rFonts w:ascii="Arial" w:hAnsi="Arial" w:cs="Arial"/>
              </w:rPr>
              <w:t>0.013</w:t>
            </w:r>
          </w:p>
        </w:tc>
      </w:tr>
    </w:tbl>
    <w:p w14:paraId="42DC410F" w14:textId="77777777" w:rsidR="005F3236" w:rsidRDefault="005F3236" w:rsidP="00AD2A2A">
      <w:pPr>
        <w:pStyle w:val="Body"/>
        <w:rPr>
          <w:rFonts w:ascii="Arial" w:hAnsi="Arial" w:cs="Arial"/>
          <w:b/>
          <w:bCs/>
          <w:lang w:val="en-PH"/>
        </w:rPr>
      </w:pPr>
    </w:p>
    <w:p w14:paraId="7C5F1DB5" w14:textId="28072B37" w:rsidR="00AD2A2A" w:rsidRDefault="00AD2A2A" w:rsidP="00AD2A2A">
      <w:pPr>
        <w:pStyle w:val="Body"/>
        <w:rPr>
          <w:rFonts w:ascii="Arial" w:hAnsi="Arial" w:cs="Arial"/>
          <w:b/>
          <w:bCs/>
        </w:rPr>
      </w:pPr>
      <w:r w:rsidRPr="000E6994">
        <w:rPr>
          <w:rFonts w:ascii="Arial" w:hAnsi="Arial" w:cs="Arial"/>
          <w:b/>
          <w:bCs/>
          <w:lang w:val="en-PH"/>
        </w:rPr>
        <w:t>3.</w:t>
      </w:r>
      <w:r w:rsidR="00520134">
        <w:rPr>
          <w:rFonts w:ascii="Arial" w:hAnsi="Arial" w:cs="Arial"/>
          <w:b/>
          <w:bCs/>
          <w:lang w:val="en-PH"/>
        </w:rPr>
        <w:t xml:space="preserve">2 </w:t>
      </w:r>
      <w:r w:rsidR="005F3236" w:rsidRPr="005F3236">
        <w:rPr>
          <w:rFonts w:ascii="Arial" w:hAnsi="Arial" w:cs="Arial"/>
          <w:b/>
          <w:bCs/>
        </w:rPr>
        <w:t>Comparative Statistical Analyses</w:t>
      </w:r>
    </w:p>
    <w:p w14:paraId="39BBE266" w14:textId="23C5054F" w:rsidR="006D5CD5" w:rsidRPr="006D5CD5" w:rsidRDefault="006D5CD5" w:rsidP="006D5CD5">
      <w:pPr>
        <w:pStyle w:val="Body"/>
        <w:rPr>
          <w:rFonts w:ascii="Arial" w:hAnsi="Arial" w:cs="Arial"/>
          <w:lang w:val="en-PH"/>
        </w:rPr>
      </w:pPr>
      <w:r w:rsidRPr="006D5CD5">
        <w:rPr>
          <w:rFonts w:ascii="Arial" w:hAnsi="Arial" w:cs="Arial"/>
          <w:lang w:val="en-PH"/>
        </w:rPr>
        <w:lastRenderedPageBreak/>
        <w:t>Table 3 presents the results of the Independent t-test and Mann–Whitney U test for both normal and non-normal data types. For the normal data, both tests obtained a p-value of 0.001, indicating statistically significant results. The effect size for the Independent t-test was -3.75, while the Mann–Whitney U test showed an effect size of 0.997.</w:t>
      </w:r>
    </w:p>
    <w:p w14:paraId="77E94894" w14:textId="77777777" w:rsidR="006D5CD5" w:rsidRDefault="006D5CD5" w:rsidP="006D5CD5">
      <w:pPr>
        <w:pStyle w:val="Body"/>
        <w:rPr>
          <w:rFonts w:ascii="Arial" w:hAnsi="Arial" w:cs="Arial"/>
          <w:lang w:val="en-PH"/>
        </w:rPr>
      </w:pPr>
      <w:r w:rsidRPr="006D5CD5">
        <w:rPr>
          <w:rFonts w:ascii="Arial" w:hAnsi="Arial" w:cs="Arial"/>
          <w:lang w:val="en-PH"/>
        </w:rPr>
        <w:t>For the non-normal data, both tests likewise produced a p-value of 0.001. The corresponding effect sizes were -2.66 for the Independent t-test and 0.921 for the Mann–Whitney U test. These results summarize the comparative outputs of the two statistical methods under varying data conditions.</w:t>
      </w:r>
    </w:p>
    <w:p w14:paraId="50DA1701" w14:textId="27338E79" w:rsidR="00FC655B" w:rsidRDefault="001F2EC4" w:rsidP="006D5CD5">
      <w:pPr>
        <w:pStyle w:val="Body"/>
        <w:rPr>
          <w:rFonts w:ascii="Arial" w:hAnsi="Arial" w:cs="Arial"/>
          <w:lang w:val="en-PH"/>
        </w:rPr>
      </w:pPr>
      <w:r w:rsidRPr="001F2EC4">
        <w:rPr>
          <w:rFonts w:ascii="Arial" w:hAnsi="Arial" w:cs="Arial"/>
        </w:rPr>
        <w:t xml:space="preserve">Given the non-normal distribution, the Mann–Whitney U test demonstrates a more suitable and stable performance, indicating its robustness compared to the Independent t-test. The results align with prior findings that the Mann–Whitney U test maintains robustness under non-normal conditions, whereas the Independent t-test performs reliably under normality (de Winter &amp; </w:t>
      </w:r>
      <w:proofErr w:type="spellStart"/>
      <w:r w:rsidRPr="001F2EC4">
        <w:rPr>
          <w:rFonts w:ascii="Arial" w:hAnsi="Arial" w:cs="Arial"/>
        </w:rPr>
        <w:t>Dodou</w:t>
      </w:r>
      <w:proofErr w:type="spellEnd"/>
      <w:r w:rsidRPr="001F2EC4">
        <w:rPr>
          <w:rFonts w:ascii="Arial" w:hAnsi="Arial" w:cs="Arial"/>
        </w:rPr>
        <w:t>, 2010; Howard et al., 2022).</w:t>
      </w:r>
    </w:p>
    <w:p w14:paraId="12B14983" w14:textId="77777777" w:rsidR="00FC655B" w:rsidRDefault="00FC655B" w:rsidP="006D5CD5">
      <w:pPr>
        <w:pStyle w:val="Body"/>
        <w:rPr>
          <w:rFonts w:ascii="Arial" w:hAnsi="Arial" w:cs="Arial"/>
          <w:lang w:val="en-PH"/>
        </w:rPr>
      </w:pPr>
    </w:p>
    <w:p w14:paraId="20570C35" w14:textId="77777777" w:rsidR="00FC655B" w:rsidRPr="006D5CD5" w:rsidRDefault="00FC655B" w:rsidP="006D5CD5">
      <w:pPr>
        <w:pStyle w:val="Body"/>
        <w:rPr>
          <w:rFonts w:ascii="Arial" w:hAnsi="Arial" w:cs="Arial"/>
          <w:lang w:val="en-PH"/>
        </w:rPr>
      </w:pPr>
    </w:p>
    <w:p w14:paraId="1C6F5903" w14:textId="613AAE17" w:rsidR="006D5CD5" w:rsidRDefault="006D5CD5" w:rsidP="00AD2A2A">
      <w:pPr>
        <w:pStyle w:val="Body"/>
        <w:rPr>
          <w:rFonts w:ascii="Arial" w:hAnsi="Arial" w:cs="Arial"/>
          <w:b/>
          <w:bCs/>
        </w:rPr>
      </w:pPr>
      <w:r w:rsidRPr="006D5CD5">
        <w:rPr>
          <w:rFonts w:ascii="Arial" w:hAnsi="Arial" w:cs="Arial"/>
          <w:b/>
          <w:bCs/>
        </w:rPr>
        <w:t>Table 3. Comparative Statistical Analyses of Independent t-test and Mann–Whitney U Test for Normal and Non-Normal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551"/>
        <w:gridCol w:w="1276"/>
        <w:gridCol w:w="1366"/>
      </w:tblGrid>
      <w:tr w:rsidR="00ED775A" w:rsidRPr="001F6DDB" w14:paraId="53004F48" w14:textId="77777777" w:rsidTr="00CD34D6">
        <w:tc>
          <w:tcPr>
            <w:tcW w:w="1668" w:type="dxa"/>
            <w:tcBorders>
              <w:top w:val="single" w:sz="4" w:space="0" w:color="auto"/>
              <w:bottom w:val="single" w:sz="4" w:space="0" w:color="auto"/>
            </w:tcBorders>
          </w:tcPr>
          <w:p w14:paraId="4247A7C6" w14:textId="77777777" w:rsidR="00ED775A" w:rsidRPr="001F6DDB" w:rsidRDefault="00ED775A" w:rsidP="00CD34D6">
            <w:pPr>
              <w:pStyle w:val="Body"/>
              <w:rPr>
                <w:rFonts w:ascii="Arial" w:eastAsia="Times New Roman" w:hAnsi="Arial" w:cs="Arial"/>
                <w:b/>
                <w:bCs/>
                <w:sz w:val="20"/>
                <w:szCs w:val="20"/>
              </w:rPr>
            </w:pPr>
            <w:bookmarkStart w:id="1" w:name="_Hlk211869403"/>
            <w:r w:rsidRPr="001F6DDB">
              <w:rPr>
                <w:rFonts w:ascii="Arial" w:eastAsia="Times New Roman" w:hAnsi="Arial" w:cs="Arial"/>
                <w:b/>
                <w:bCs/>
                <w:sz w:val="20"/>
                <w:szCs w:val="20"/>
              </w:rPr>
              <w:t>Data Type</w:t>
            </w:r>
          </w:p>
        </w:tc>
        <w:tc>
          <w:tcPr>
            <w:tcW w:w="2551" w:type="dxa"/>
            <w:tcBorders>
              <w:top w:val="single" w:sz="4" w:space="0" w:color="auto"/>
              <w:bottom w:val="single" w:sz="4" w:space="0" w:color="auto"/>
            </w:tcBorders>
          </w:tcPr>
          <w:p w14:paraId="51FC1C03" w14:textId="77777777" w:rsidR="00ED775A" w:rsidRPr="001F6DDB" w:rsidRDefault="00ED775A" w:rsidP="00CD34D6">
            <w:pPr>
              <w:pStyle w:val="Body"/>
              <w:rPr>
                <w:rFonts w:ascii="Arial" w:eastAsia="Times New Roman" w:hAnsi="Arial" w:cs="Arial"/>
                <w:b/>
                <w:bCs/>
                <w:sz w:val="20"/>
                <w:szCs w:val="20"/>
              </w:rPr>
            </w:pPr>
            <w:r w:rsidRPr="001F6DDB">
              <w:rPr>
                <w:rFonts w:ascii="Arial" w:eastAsia="Times New Roman" w:hAnsi="Arial" w:cs="Arial"/>
                <w:b/>
                <w:bCs/>
                <w:sz w:val="20"/>
                <w:szCs w:val="20"/>
              </w:rPr>
              <w:t>Variable</w:t>
            </w:r>
          </w:p>
        </w:tc>
        <w:tc>
          <w:tcPr>
            <w:tcW w:w="1276" w:type="dxa"/>
            <w:tcBorders>
              <w:top w:val="single" w:sz="4" w:space="0" w:color="auto"/>
              <w:bottom w:val="single" w:sz="4" w:space="0" w:color="auto"/>
            </w:tcBorders>
          </w:tcPr>
          <w:p w14:paraId="4FCB8B10" w14:textId="77777777" w:rsidR="00ED775A" w:rsidRPr="001F6DDB" w:rsidRDefault="00ED775A" w:rsidP="00CD34D6">
            <w:pPr>
              <w:pStyle w:val="Body"/>
              <w:rPr>
                <w:rFonts w:ascii="Arial" w:eastAsia="Times New Roman" w:hAnsi="Arial" w:cs="Arial"/>
                <w:b/>
                <w:bCs/>
                <w:sz w:val="20"/>
                <w:szCs w:val="20"/>
              </w:rPr>
            </w:pPr>
            <w:r>
              <w:rPr>
                <w:rFonts w:ascii="Arial" w:eastAsia="Times New Roman" w:hAnsi="Arial" w:cs="Arial"/>
                <w:b/>
                <w:bCs/>
                <w:sz w:val="20"/>
                <w:szCs w:val="20"/>
              </w:rPr>
              <w:t>p-value</w:t>
            </w:r>
          </w:p>
        </w:tc>
        <w:tc>
          <w:tcPr>
            <w:tcW w:w="1366" w:type="dxa"/>
            <w:tcBorders>
              <w:top w:val="single" w:sz="4" w:space="0" w:color="auto"/>
              <w:bottom w:val="single" w:sz="4" w:space="0" w:color="auto"/>
            </w:tcBorders>
          </w:tcPr>
          <w:p w14:paraId="4EA2B4D6" w14:textId="77777777" w:rsidR="00ED775A" w:rsidRPr="001F6DDB" w:rsidRDefault="00ED775A" w:rsidP="00CD34D6">
            <w:pPr>
              <w:pStyle w:val="Body"/>
              <w:rPr>
                <w:rFonts w:ascii="Arial" w:eastAsia="Times New Roman" w:hAnsi="Arial" w:cs="Arial"/>
                <w:b/>
                <w:bCs/>
                <w:sz w:val="20"/>
                <w:szCs w:val="20"/>
              </w:rPr>
            </w:pPr>
            <w:r>
              <w:rPr>
                <w:rFonts w:ascii="Arial" w:eastAsia="Times New Roman" w:hAnsi="Arial" w:cs="Arial"/>
                <w:b/>
                <w:bCs/>
                <w:sz w:val="20"/>
                <w:szCs w:val="20"/>
              </w:rPr>
              <w:t>Effect size</w:t>
            </w:r>
          </w:p>
        </w:tc>
      </w:tr>
      <w:tr w:rsidR="00ED775A" w:rsidRPr="001F6DDB" w14:paraId="39C40252" w14:textId="77777777" w:rsidTr="00CD34D6">
        <w:tc>
          <w:tcPr>
            <w:tcW w:w="1668" w:type="dxa"/>
            <w:vMerge w:val="restart"/>
            <w:tcBorders>
              <w:top w:val="single" w:sz="4" w:space="0" w:color="auto"/>
            </w:tcBorders>
          </w:tcPr>
          <w:p w14:paraId="4DEE5951" w14:textId="77777777" w:rsidR="00ED775A" w:rsidRPr="001F6DDB" w:rsidRDefault="00ED775A" w:rsidP="00CD34D6">
            <w:pPr>
              <w:pStyle w:val="Body"/>
              <w:rPr>
                <w:rFonts w:ascii="Arial" w:eastAsia="Times New Roman" w:hAnsi="Arial" w:cs="Arial"/>
                <w:sz w:val="20"/>
                <w:szCs w:val="20"/>
              </w:rPr>
            </w:pPr>
            <w:r w:rsidRPr="001F6DDB">
              <w:rPr>
                <w:rFonts w:ascii="Arial" w:eastAsia="Times New Roman" w:hAnsi="Arial" w:cs="Arial"/>
                <w:sz w:val="20"/>
                <w:szCs w:val="20"/>
              </w:rPr>
              <w:t>Normal</w:t>
            </w:r>
          </w:p>
        </w:tc>
        <w:tc>
          <w:tcPr>
            <w:tcW w:w="2551" w:type="dxa"/>
            <w:tcBorders>
              <w:top w:val="single" w:sz="4" w:space="0" w:color="auto"/>
            </w:tcBorders>
          </w:tcPr>
          <w:p w14:paraId="4BE5624D" w14:textId="77777777" w:rsidR="00ED775A" w:rsidRPr="001F6DDB" w:rsidRDefault="00ED775A" w:rsidP="00CD34D6">
            <w:pPr>
              <w:pStyle w:val="Body"/>
              <w:rPr>
                <w:rFonts w:ascii="Arial" w:eastAsia="Times New Roman" w:hAnsi="Arial" w:cs="Arial"/>
                <w:sz w:val="20"/>
                <w:szCs w:val="20"/>
              </w:rPr>
            </w:pPr>
            <w:r>
              <w:rPr>
                <w:rFonts w:ascii="Arial" w:eastAsia="Times New Roman" w:hAnsi="Arial" w:cs="Arial"/>
                <w:sz w:val="20"/>
                <w:szCs w:val="20"/>
              </w:rPr>
              <w:t xml:space="preserve">Independent t-test </w:t>
            </w:r>
          </w:p>
        </w:tc>
        <w:tc>
          <w:tcPr>
            <w:tcW w:w="1276" w:type="dxa"/>
            <w:tcBorders>
              <w:top w:val="single" w:sz="4" w:space="0" w:color="auto"/>
            </w:tcBorders>
          </w:tcPr>
          <w:p w14:paraId="39F8F0B3" w14:textId="77777777" w:rsidR="00ED775A" w:rsidRPr="001F6DDB" w:rsidRDefault="00ED775A" w:rsidP="00CD34D6">
            <w:pPr>
              <w:pStyle w:val="Body"/>
              <w:rPr>
                <w:rFonts w:ascii="Arial" w:eastAsia="Times New Roman" w:hAnsi="Arial" w:cs="Arial"/>
                <w:sz w:val="20"/>
                <w:szCs w:val="20"/>
              </w:rPr>
            </w:pPr>
            <w:r>
              <w:rPr>
                <w:rFonts w:ascii="Arial" w:eastAsia="Times New Roman" w:hAnsi="Arial" w:cs="Arial"/>
                <w:sz w:val="20"/>
                <w:szCs w:val="20"/>
              </w:rPr>
              <w:t>0.001</w:t>
            </w:r>
          </w:p>
        </w:tc>
        <w:tc>
          <w:tcPr>
            <w:tcW w:w="1366" w:type="dxa"/>
            <w:tcBorders>
              <w:top w:val="single" w:sz="4" w:space="0" w:color="auto"/>
            </w:tcBorders>
          </w:tcPr>
          <w:p w14:paraId="1E36DCDE" w14:textId="77777777" w:rsidR="00ED775A" w:rsidRPr="001F6DDB" w:rsidRDefault="00ED775A" w:rsidP="00CD34D6">
            <w:pPr>
              <w:pStyle w:val="Body"/>
              <w:rPr>
                <w:rFonts w:ascii="Arial" w:eastAsia="Times New Roman" w:hAnsi="Arial" w:cs="Arial"/>
                <w:sz w:val="20"/>
                <w:szCs w:val="20"/>
              </w:rPr>
            </w:pPr>
            <w:r>
              <w:rPr>
                <w:rFonts w:ascii="Arial" w:eastAsia="Times New Roman" w:hAnsi="Arial" w:cs="Arial"/>
                <w:sz w:val="20"/>
                <w:szCs w:val="20"/>
              </w:rPr>
              <w:t>-3.75</w:t>
            </w:r>
          </w:p>
        </w:tc>
      </w:tr>
      <w:tr w:rsidR="00ED775A" w:rsidRPr="001F6DDB" w14:paraId="59F8F9ED" w14:textId="77777777" w:rsidTr="00CD34D6">
        <w:tc>
          <w:tcPr>
            <w:tcW w:w="1668" w:type="dxa"/>
            <w:vMerge/>
          </w:tcPr>
          <w:p w14:paraId="2F99DD2E" w14:textId="77777777" w:rsidR="00ED775A" w:rsidRPr="001F6DDB" w:rsidRDefault="00ED775A" w:rsidP="00CD34D6">
            <w:pPr>
              <w:pStyle w:val="Body"/>
              <w:rPr>
                <w:rFonts w:ascii="Arial" w:eastAsia="Times New Roman" w:hAnsi="Arial" w:cs="Arial"/>
                <w:sz w:val="20"/>
                <w:szCs w:val="20"/>
              </w:rPr>
            </w:pPr>
          </w:p>
        </w:tc>
        <w:tc>
          <w:tcPr>
            <w:tcW w:w="2551" w:type="dxa"/>
          </w:tcPr>
          <w:p w14:paraId="3CC6FBF0" w14:textId="77777777" w:rsidR="00ED775A" w:rsidRPr="001F6DDB" w:rsidRDefault="00ED775A" w:rsidP="00CD34D6">
            <w:pPr>
              <w:pStyle w:val="Body"/>
              <w:rPr>
                <w:rFonts w:ascii="Arial" w:eastAsia="Times New Roman" w:hAnsi="Arial" w:cs="Arial"/>
                <w:sz w:val="20"/>
                <w:szCs w:val="20"/>
              </w:rPr>
            </w:pPr>
            <w:r>
              <w:rPr>
                <w:rFonts w:ascii="Arial" w:eastAsia="Times New Roman" w:hAnsi="Arial" w:cs="Arial"/>
                <w:sz w:val="20"/>
                <w:szCs w:val="20"/>
              </w:rPr>
              <w:t xml:space="preserve">Mann-Whitney U test </w:t>
            </w:r>
          </w:p>
        </w:tc>
        <w:tc>
          <w:tcPr>
            <w:tcW w:w="1276" w:type="dxa"/>
          </w:tcPr>
          <w:p w14:paraId="38BBF1F1" w14:textId="77777777" w:rsidR="00ED775A" w:rsidRPr="001F6DDB" w:rsidRDefault="00ED775A" w:rsidP="00CD34D6">
            <w:pPr>
              <w:pStyle w:val="Body"/>
              <w:rPr>
                <w:rFonts w:ascii="Arial" w:eastAsia="Times New Roman" w:hAnsi="Arial" w:cs="Arial"/>
                <w:sz w:val="20"/>
                <w:szCs w:val="20"/>
              </w:rPr>
            </w:pPr>
            <w:r>
              <w:rPr>
                <w:rFonts w:ascii="Arial" w:eastAsia="Times New Roman" w:hAnsi="Arial" w:cs="Arial"/>
                <w:sz w:val="20"/>
                <w:szCs w:val="20"/>
              </w:rPr>
              <w:t>0.001</w:t>
            </w:r>
          </w:p>
        </w:tc>
        <w:tc>
          <w:tcPr>
            <w:tcW w:w="1366" w:type="dxa"/>
          </w:tcPr>
          <w:p w14:paraId="1D3D7688" w14:textId="77777777" w:rsidR="00ED775A" w:rsidRPr="001F6DDB" w:rsidRDefault="00ED775A" w:rsidP="00CD34D6">
            <w:pPr>
              <w:pStyle w:val="Body"/>
              <w:rPr>
                <w:rFonts w:ascii="Arial" w:eastAsia="Times New Roman" w:hAnsi="Arial" w:cs="Arial"/>
                <w:sz w:val="20"/>
                <w:szCs w:val="20"/>
              </w:rPr>
            </w:pPr>
            <w:r>
              <w:rPr>
                <w:rFonts w:ascii="Arial" w:eastAsia="Times New Roman" w:hAnsi="Arial" w:cs="Arial"/>
                <w:sz w:val="20"/>
                <w:szCs w:val="20"/>
              </w:rPr>
              <w:t>0.997</w:t>
            </w:r>
          </w:p>
        </w:tc>
      </w:tr>
      <w:tr w:rsidR="00ED775A" w:rsidRPr="001F6DDB" w14:paraId="085B5971" w14:textId="77777777" w:rsidTr="00CD34D6">
        <w:tc>
          <w:tcPr>
            <w:tcW w:w="1668" w:type="dxa"/>
            <w:vMerge w:val="restart"/>
          </w:tcPr>
          <w:p w14:paraId="3F98CD9E" w14:textId="77777777" w:rsidR="00ED775A" w:rsidRPr="001F6DDB" w:rsidRDefault="00ED775A" w:rsidP="00CD34D6">
            <w:pPr>
              <w:pStyle w:val="Body"/>
              <w:rPr>
                <w:rFonts w:ascii="Arial" w:eastAsia="Times New Roman" w:hAnsi="Arial" w:cs="Arial"/>
                <w:sz w:val="20"/>
                <w:szCs w:val="20"/>
              </w:rPr>
            </w:pPr>
            <w:r w:rsidRPr="001F6DDB">
              <w:rPr>
                <w:rFonts w:ascii="Arial" w:eastAsia="Times New Roman" w:hAnsi="Arial" w:cs="Arial"/>
                <w:sz w:val="20"/>
                <w:szCs w:val="20"/>
              </w:rPr>
              <w:t>Non</w:t>
            </w:r>
            <w:r>
              <w:rPr>
                <w:rFonts w:ascii="Arial" w:eastAsia="Times New Roman" w:hAnsi="Arial" w:cs="Arial"/>
                <w:sz w:val="20"/>
                <w:szCs w:val="20"/>
              </w:rPr>
              <w:t>-</w:t>
            </w:r>
            <w:r w:rsidRPr="001F6DDB">
              <w:rPr>
                <w:rFonts w:ascii="Arial" w:eastAsia="Times New Roman" w:hAnsi="Arial" w:cs="Arial"/>
                <w:sz w:val="20"/>
                <w:szCs w:val="20"/>
              </w:rPr>
              <w:t>Normal</w:t>
            </w:r>
          </w:p>
        </w:tc>
        <w:tc>
          <w:tcPr>
            <w:tcW w:w="2551" w:type="dxa"/>
          </w:tcPr>
          <w:p w14:paraId="6414FC0A" w14:textId="77777777" w:rsidR="00ED775A" w:rsidRPr="001F6DDB" w:rsidRDefault="00ED775A" w:rsidP="00CD34D6">
            <w:pPr>
              <w:pStyle w:val="Body"/>
              <w:rPr>
                <w:rFonts w:ascii="Arial" w:eastAsia="Times New Roman" w:hAnsi="Arial" w:cs="Arial"/>
                <w:sz w:val="20"/>
                <w:szCs w:val="20"/>
              </w:rPr>
            </w:pPr>
            <w:r>
              <w:rPr>
                <w:rFonts w:ascii="Arial" w:eastAsia="Times New Roman" w:hAnsi="Arial" w:cs="Arial"/>
                <w:sz w:val="20"/>
                <w:szCs w:val="20"/>
              </w:rPr>
              <w:t xml:space="preserve">Independent t-test </w:t>
            </w:r>
          </w:p>
        </w:tc>
        <w:tc>
          <w:tcPr>
            <w:tcW w:w="1276" w:type="dxa"/>
          </w:tcPr>
          <w:p w14:paraId="1415FD14" w14:textId="77777777" w:rsidR="00ED775A" w:rsidRPr="001F6DDB" w:rsidRDefault="00ED775A" w:rsidP="00CD34D6">
            <w:pPr>
              <w:pStyle w:val="Body"/>
              <w:rPr>
                <w:rFonts w:ascii="Arial" w:eastAsia="Times New Roman" w:hAnsi="Arial" w:cs="Arial"/>
                <w:sz w:val="20"/>
                <w:szCs w:val="20"/>
              </w:rPr>
            </w:pPr>
            <w:r>
              <w:rPr>
                <w:rFonts w:ascii="Arial" w:eastAsia="Times New Roman" w:hAnsi="Arial" w:cs="Arial"/>
                <w:sz w:val="20"/>
                <w:szCs w:val="20"/>
              </w:rPr>
              <w:t>0.001</w:t>
            </w:r>
          </w:p>
        </w:tc>
        <w:tc>
          <w:tcPr>
            <w:tcW w:w="1366" w:type="dxa"/>
          </w:tcPr>
          <w:p w14:paraId="2A9A9BE5" w14:textId="77777777" w:rsidR="00ED775A" w:rsidRPr="001F6DDB" w:rsidRDefault="00ED775A" w:rsidP="00CD34D6">
            <w:pPr>
              <w:pStyle w:val="Body"/>
              <w:rPr>
                <w:rFonts w:ascii="Arial" w:eastAsia="Times New Roman" w:hAnsi="Arial" w:cs="Arial"/>
                <w:sz w:val="20"/>
                <w:szCs w:val="20"/>
              </w:rPr>
            </w:pPr>
            <w:r>
              <w:rPr>
                <w:rFonts w:ascii="Arial" w:eastAsia="Times New Roman" w:hAnsi="Arial" w:cs="Arial"/>
                <w:sz w:val="20"/>
                <w:szCs w:val="20"/>
              </w:rPr>
              <w:t>-2.66</w:t>
            </w:r>
          </w:p>
        </w:tc>
      </w:tr>
      <w:tr w:rsidR="00ED775A" w:rsidRPr="001F6DDB" w14:paraId="3B561E1C" w14:textId="77777777" w:rsidTr="00CD34D6">
        <w:tc>
          <w:tcPr>
            <w:tcW w:w="1668" w:type="dxa"/>
            <w:vMerge/>
            <w:tcBorders>
              <w:bottom w:val="single" w:sz="4" w:space="0" w:color="auto"/>
            </w:tcBorders>
          </w:tcPr>
          <w:p w14:paraId="3382EED6" w14:textId="77777777" w:rsidR="00ED775A" w:rsidRPr="001F6DDB" w:rsidRDefault="00ED775A" w:rsidP="00CD34D6">
            <w:pPr>
              <w:pStyle w:val="Body"/>
              <w:rPr>
                <w:rFonts w:ascii="Arial" w:eastAsia="Times New Roman" w:hAnsi="Arial" w:cs="Arial"/>
                <w:sz w:val="20"/>
                <w:szCs w:val="20"/>
              </w:rPr>
            </w:pPr>
          </w:p>
        </w:tc>
        <w:tc>
          <w:tcPr>
            <w:tcW w:w="2551" w:type="dxa"/>
            <w:tcBorders>
              <w:bottom w:val="single" w:sz="4" w:space="0" w:color="auto"/>
            </w:tcBorders>
          </w:tcPr>
          <w:p w14:paraId="411156B8" w14:textId="77777777" w:rsidR="00ED775A" w:rsidRPr="001F6DDB" w:rsidRDefault="00ED775A" w:rsidP="00CD34D6">
            <w:pPr>
              <w:pStyle w:val="Body"/>
              <w:rPr>
                <w:rFonts w:ascii="Arial" w:eastAsia="Times New Roman" w:hAnsi="Arial" w:cs="Arial"/>
                <w:sz w:val="20"/>
                <w:szCs w:val="20"/>
              </w:rPr>
            </w:pPr>
            <w:r>
              <w:rPr>
                <w:rFonts w:ascii="Arial" w:eastAsia="Times New Roman" w:hAnsi="Arial" w:cs="Arial"/>
                <w:sz w:val="20"/>
                <w:szCs w:val="20"/>
              </w:rPr>
              <w:t xml:space="preserve">Mann- Whitney U test </w:t>
            </w:r>
          </w:p>
        </w:tc>
        <w:tc>
          <w:tcPr>
            <w:tcW w:w="1276" w:type="dxa"/>
            <w:tcBorders>
              <w:bottom w:val="single" w:sz="4" w:space="0" w:color="auto"/>
            </w:tcBorders>
          </w:tcPr>
          <w:p w14:paraId="5138958D" w14:textId="77777777" w:rsidR="00ED775A" w:rsidRPr="001F6DDB" w:rsidRDefault="00ED775A" w:rsidP="00CD34D6">
            <w:pPr>
              <w:pStyle w:val="Body"/>
              <w:rPr>
                <w:rFonts w:ascii="Arial" w:eastAsia="Times New Roman" w:hAnsi="Arial" w:cs="Arial"/>
                <w:sz w:val="20"/>
                <w:szCs w:val="20"/>
              </w:rPr>
            </w:pPr>
            <w:r>
              <w:rPr>
                <w:rFonts w:ascii="Arial" w:eastAsia="Times New Roman" w:hAnsi="Arial" w:cs="Arial"/>
                <w:sz w:val="20"/>
                <w:szCs w:val="20"/>
              </w:rPr>
              <w:t>0.001</w:t>
            </w:r>
          </w:p>
        </w:tc>
        <w:tc>
          <w:tcPr>
            <w:tcW w:w="1366" w:type="dxa"/>
            <w:tcBorders>
              <w:bottom w:val="single" w:sz="4" w:space="0" w:color="auto"/>
            </w:tcBorders>
          </w:tcPr>
          <w:p w14:paraId="02CE31B8" w14:textId="77777777" w:rsidR="00ED775A" w:rsidRPr="001F6DDB" w:rsidRDefault="00ED775A" w:rsidP="00CD34D6">
            <w:pPr>
              <w:pStyle w:val="Body"/>
              <w:rPr>
                <w:rFonts w:ascii="Arial" w:eastAsia="Times New Roman" w:hAnsi="Arial" w:cs="Arial"/>
                <w:sz w:val="20"/>
                <w:szCs w:val="20"/>
              </w:rPr>
            </w:pPr>
            <w:r>
              <w:rPr>
                <w:rFonts w:ascii="Arial" w:eastAsia="Times New Roman" w:hAnsi="Arial" w:cs="Arial"/>
                <w:sz w:val="20"/>
                <w:szCs w:val="20"/>
              </w:rPr>
              <w:t>0.921</w:t>
            </w:r>
          </w:p>
        </w:tc>
      </w:tr>
    </w:tbl>
    <w:bookmarkEnd w:id="1"/>
    <w:p w14:paraId="0FE22880" w14:textId="77777777" w:rsidR="006D5CD5" w:rsidRPr="006D5CD5" w:rsidRDefault="006D5CD5" w:rsidP="006D5CD5">
      <w:pPr>
        <w:pStyle w:val="Body"/>
        <w:rPr>
          <w:rFonts w:ascii="Arial" w:hAnsi="Arial" w:cs="Arial"/>
          <w:lang w:val="en-PH"/>
        </w:rPr>
      </w:pPr>
      <w:r w:rsidRPr="006D5CD5">
        <w:rPr>
          <w:rFonts w:ascii="Arial" w:hAnsi="Arial" w:cs="Arial"/>
          <w:lang w:val="en-PH"/>
        </w:rPr>
        <w:t>Table 4 presents the results of the Paired t-test and Wilcoxon W test for both normal and non-normal data types. For the normal data, the Paired t-test yielded a p-value of 0.032 with an effect size of -0.217, while the Wilcoxon W test produced a p-value of 0.012 with an effect size of -0.291.</w:t>
      </w:r>
    </w:p>
    <w:p w14:paraId="72386075" w14:textId="77777777" w:rsidR="006D5CD5" w:rsidRDefault="006D5CD5" w:rsidP="006D5CD5">
      <w:pPr>
        <w:pStyle w:val="Body"/>
        <w:rPr>
          <w:rFonts w:ascii="Arial" w:hAnsi="Arial" w:cs="Arial"/>
          <w:lang w:val="en-PH"/>
        </w:rPr>
      </w:pPr>
      <w:r w:rsidRPr="006D5CD5">
        <w:rPr>
          <w:rFonts w:ascii="Arial" w:hAnsi="Arial" w:cs="Arial"/>
          <w:lang w:val="en-PH"/>
        </w:rPr>
        <w:t>For the non-normal data, both tests showed a p-value of 0.001, indicating statistically significant results. The effect sizes were -4.40 for the Paired t-test and -1.00 for the Wilcoxon W test. These values summarize the comparative outcomes of the two paired-sample statistical methods under varying data conditions.</w:t>
      </w:r>
    </w:p>
    <w:p w14:paraId="67B3EBE5" w14:textId="77777777" w:rsidR="00ED775A" w:rsidRDefault="00ED775A" w:rsidP="006D5CD5">
      <w:pPr>
        <w:pStyle w:val="Body"/>
        <w:rPr>
          <w:rFonts w:ascii="Arial" w:hAnsi="Arial" w:cs="Arial"/>
          <w:lang w:val="en-PH"/>
        </w:rPr>
      </w:pPr>
    </w:p>
    <w:p w14:paraId="15A7D4CA" w14:textId="77777777" w:rsidR="00ED775A" w:rsidRDefault="00ED775A" w:rsidP="006D5CD5">
      <w:pPr>
        <w:pStyle w:val="Body"/>
        <w:rPr>
          <w:rFonts w:ascii="Arial" w:hAnsi="Arial" w:cs="Arial"/>
          <w:lang w:val="en-PH"/>
        </w:rPr>
      </w:pPr>
    </w:p>
    <w:p w14:paraId="7286ABB0" w14:textId="77777777" w:rsidR="00ED775A" w:rsidRDefault="00ED775A" w:rsidP="006D5CD5">
      <w:pPr>
        <w:pStyle w:val="Body"/>
        <w:rPr>
          <w:rFonts w:ascii="Arial" w:hAnsi="Arial" w:cs="Arial"/>
          <w:lang w:val="en-PH"/>
        </w:rPr>
      </w:pPr>
    </w:p>
    <w:p w14:paraId="3EA98DAB" w14:textId="77777777" w:rsidR="00ED775A" w:rsidRPr="006D5CD5" w:rsidRDefault="00ED775A" w:rsidP="006D5CD5">
      <w:pPr>
        <w:pStyle w:val="Body"/>
        <w:rPr>
          <w:rFonts w:ascii="Arial" w:hAnsi="Arial" w:cs="Arial"/>
          <w:lang w:val="en-PH"/>
        </w:rPr>
      </w:pPr>
    </w:p>
    <w:p w14:paraId="273BC39B" w14:textId="7F224BE7" w:rsidR="00EF4047" w:rsidRDefault="006D5CD5" w:rsidP="00AD2A2A">
      <w:pPr>
        <w:pStyle w:val="Body"/>
        <w:rPr>
          <w:rFonts w:ascii="Arial" w:hAnsi="Arial" w:cs="Arial"/>
          <w:b/>
          <w:bCs/>
          <w:lang w:val="en-PH"/>
        </w:rPr>
      </w:pPr>
      <w:r w:rsidRPr="006D5CD5">
        <w:rPr>
          <w:rFonts w:ascii="Arial" w:hAnsi="Arial" w:cs="Arial"/>
          <w:b/>
          <w:bCs/>
        </w:rPr>
        <w:lastRenderedPageBreak/>
        <w:t>Table 4. Comparative Statistical Analyses of Paired t-test and Wilcoxon W Test for Normal and Non-Normal Data</w:t>
      </w:r>
    </w:p>
    <w:tbl>
      <w:tblPr>
        <w:tblStyle w:val="TableGrid"/>
        <w:tblW w:w="0" w:type="auto"/>
        <w:tblLook w:val="04A0" w:firstRow="1" w:lastRow="0" w:firstColumn="1" w:lastColumn="0" w:noHBand="0" w:noVBand="1"/>
      </w:tblPr>
      <w:tblGrid>
        <w:gridCol w:w="1668"/>
        <w:gridCol w:w="1646"/>
        <w:gridCol w:w="1614"/>
        <w:gridCol w:w="1933"/>
      </w:tblGrid>
      <w:tr w:rsidR="00EF4047" w:rsidRPr="001F6DDB" w14:paraId="679F0611" w14:textId="77777777" w:rsidTr="00A956E1">
        <w:tc>
          <w:tcPr>
            <w:tcW w:w="1668" w:type="dxa"/>
            <w:tcBorders>
              <w:top w:val="nil"/>
              <w:left w:val="nil"/>
              <w:bottom w:val="single" w:sz="4" w:space="0" w:color="auto"/>
              <w:right w:val="nil"/>
            </w:tcBorders>
          </w:tcPr>
          <w:p w14:paraId="1DFD5812" w14:textId="77777777" w:rsidR="00EF4047" w:rsidRPr="001F6DDB" w:rsidRDefault="00EF4047" w:rsidP="00A956E1">
            <w:pPr>
              <w:pStyle w:val="Body"/>
              <w:rPr>
                <w:rFonts w:ascii="Arial" w:eastAsia="Times New Roman" w:hAnsi="Arial" w:cs="Arial"/>
                <w:b/>
                <w:bCs/>
                <w:sz w:val="20"/>
                <w:szCs w:val="20"/>
              </w:rPr>
            </w:pPr>
            <w:r w:rsidRPr="001F6DDB">
              <w:rPr>
                <w:rFonts w:ascii="Arial" w:eastAsia="Times New Roman" w:hAnsi="Arial" w:cs="Arial"/>
                <w:b/>
                <w:bCs/>
                <w:sz w:val="20"/>
                <w:szCs w:val="20"/>
              </w:rPr>
              <w:t>Data Type</w:t>
            </w:r>
          </w:p>
        </w:tc>
        <w:tc>
          <w:tcPr>
            <w:tcW w:w="1646" w:type="dxa"/>
            <w:tcBorders>
              <w:top w:val="nil"/>
              <w:left w:val="nil"/>
              <w:bottom w:val="single" w:sz="4" w:space="0" w:color="auto"/>
              <w:right w:val="nil"/>
            </w:tcBorders>
          </w:tcPr>
          <w:p w14:paraId="1B287159" w14:textId="77777777" w:rsidR="00EF4047" w:rsidRPr="001F6DDB" w:rsidRDefault="00EF4047" w:rsidP="00A956E1">
            <w:pPr>
              <w:pStyle w:val="Body"/>
              <w:rPr>
                <w:rFonts w:ascii="Arial" w:eastAsia="Times New Roman" w:hAnsi="Arial" w:cs="Arial"/>
                <w:b/>
                <w:bCs/>
                <w:sz w:val="20"/>
                <w:szCs w:val="20"/>
              </w:rPr>
            </w:pPr>
            <w:r w:rsidRPr="001F6DDB">
              <w:rPr>
                <w:rFonts w:ascii="Arial" w:eastAsia="Times New Roman" w:hAnsi="Arial" w:cs="Arial"/>
                <w:b/>
                <w:bCs/>
                <w:sz w:val="20"/>
                <w:szCs w:val="20"/>
              </w:rPr>
              <w:t>Variable</w:t>
            </w:r>
          </w:p>
        </w:tc>
        <w:tc>
          <w:tcPr>
            <w:tcW w:w="1614" w:type="dxa"/>
            <w:tcBorders>
              <w:top w:val="nil"/>
              <w:left w:val="nil"/>
              <w:bottom w:val="single" w:sz="4" w:space="0" w:color="auto"/>
              <w:right w:val="nil"/>
            </w:tcBorders>
          </w:tcPr>
          <w:p w14:paraId="79912FC1" w14:textId="77777777" w:rsidR="00EF4047" w:rsidRPr="001F6DDB" w:rsidRDefault="00EF4047" w:rsidP="00A956E1">
            <w:pPr>
              <w:pStyle w:val="Body"/>
              <w:rPr>
                <w:rFonts w:ascii="Arial" w:eastAsia="Times New Roman" w:hAnsi="Arial" w:cs="Arial"/>
                <w:b/>
                <w:bCs/>
                <w:sz w:val="20"/>
                <w:szCs w:val="20"/>
              </w:rPr>
            </w:pPr>
            <w:r>
              <w:rPr>
                <w:rFonts w:ascii="Arial" w:eastAsia="Times New Roman" w:hAnsi="Arial" w:cs="Arial"/>
                <w:b/>
                <w:bCs/>
                <w:sz w:val="20"/>
                <w:szCs w:val="20"/>
              </w:rPr>
              <w:t>p-value</w:t>
            </w:r>
          </w:p>
        </w:tc>
        <w:tc>
          <w:tcPr>
            <w:tcW w:w="1933" w:type="dxa"/>
            <w:tcBorders>
              <w:top w:val="nil"/>
              <w:left w:val="nil"/>
              <w:bottom w:val="single" w:sz="4" w:space="0" w:color="auto"/>
              <w:right w:val="nil"/>
            </w:tcBorders>
          </w:tcPr>
          <w:p w14:paraId="51E209CE" w14:textId="77777777" w:rsidR="00EF4047" w:rsidRPr="001F6DDB" w:rsidRDefault="00EF4047" w:rsidP="00A956E1">
            <w:pPr>
              <w:pStyle w:val="Body"/>
              <w:rPr>
                <w:rFonts w:ascii="Arial" w:eastAsia="Times New Roman" w:hAnsi="Arial" w:cs="Arial"/>
                <w:b/>
                <w:bCs/>
                <w:sz w:val="20"/>
                <w:szCs w:val="20"/>
              </w:rPr>
            </w:pPr>
            <w:r>
              <w:rPr>
                <w:rFonts w:ascii="Arial" w:eastAsia="Times New Roman" w:hAnsi="Arial" w:cs="Arial"/>
                <w:b/>
                <w:bCs/>
                <w:sz w:val="20"/>
                <w:szCs w:val="20"/>
              </w:rPr>
              <w:t>Effect size</w:t>
            </w:r>
          </w:p>
        </w:tc>
      </w:tr>
      <w:tr w:rsidR="00EF4047" w:rsidRPr="001F6DDB" w14:paraId="132B1FB0" w14:textId="77777777" w:rsidTr="00A956E1">
        <w:tc>
          <w:tcPr>
            <w:tcW w:w="1668" w:type="dxa"/>
            <w:vMerge w:val="restart"/>
            <w:tcBorders>
              <w:top w:val="single" w:sz="4" w:space="0" w:color="auto"/>
              <w:left w:val="nil"/>
              <w:right w:val="nil"/>
            </w:tcBorders>
          </w:tcPr>
          <w:p w14:paraId="5AB89909" w14:textId="77777777" w:rsidR="00EF4047" w:rsidRPr="001F6DDB" w:rsidRDefault="00EF4047" w:rsidP="00A956E1">
            <w:pPr>
              <w:pStyle w:val="Body"/>
              <w:rPr>
                <w:rFonts w:ascii="Arial" w:eastAsia="Times New Roman" w:hAnsi="Arial" w:cs="Arial"/>
                <w:sz w:val="20"/>
                <w:szCs w:val="20"/>
              </w:rPr>
            </w:pPr>
            <w:r w:rsidRPr="001F6DDB">
              <w:rPr>
                <w:rFonts w:ascii="Arial" w:eastAsia="Times New Roman" w:hAnsi="Arial" w:cs="Arial"/>
                <w:sz w:val="20"/>
                <w:szCs w:val="20"/>
              </w:rPr>
              <w:t>Normal</w:t>
            </w:r>
          </w:p>
        </w:tc>
        <w:tc>
          <w:tcPr>
            <w:tcW w:w="1646" w:type="dxa"/>
            <w:tcBorders>
              <w:top w:val="single" w:sz="4" w:space="0" w:color="auto"/>
              <w:left w:val="nil"/>
              <w:bottom w:val="nil"/>
              <w:right w:val="nil"/>
            </w:tcBorders>
          </w:tcPr>
          <w:p w14:paraId="76D3C675" w14:textId="4FCA0215" w:rsidR="00EF4047" w:rsidRPr="001F6DDB" w:rsidRDefault="006C3419" w:rsidP="00A956E1">
            <w:pPr>
              <w:pStyle w:val="Body"/>
              <w:rPr>
                <w:rFonts w:ascii="Arial" w:eastAsia="Times New Roman" w:hAnsi="Arial" w:cs="Arial"/>
                <w:sz w:val="20"/>
                <w:szCs w:val="20"/>
              </w:rPr>
            </w:pPr>
            <w:r>
              <w:rPr>
                <w:rFonts w:ascii="Arial" w:eastAsia="Times New Roman" w:hAnsi="Arial" w:cs="Arial"/>
                <w:sz w:val="20"/>
                <w:szCs w:val="20"/>
              </w:rPr>
              <w:t xml:space="preserve">Paired T- test </w:t>
            </w:r>
          </w:p>
        </w:tc>
        <w:tc>
          <w:tcPr>
            <w:tcW w:w="1614" w:type="dxa"/>
            <w:tcBorders>
              <w:top w:val="single" w:sz="4" w:space="0" w:color="auto"/>
              <w:left w:val="nil"/>
              <w:bottom w:val="nil"/>
              <w:right w:val="nil"/>
            </w:tcBorders>
          </w:tcPr>
          <w:p w14:paraId="35716EB1" w14:textId="14CC0253" w:rsidR="00EF4047" w:rsidRPr="001F6DDB" w:rsidRDefault="00EF4047" w:rsidP="00A956E1">
            <w:pPr>
              <w:pStyle w:val="Body"/>
              <w:rPr>
                <w:rFonts w:ascii="Arial" w:eastAsia="Times New Roman" w:hAnsi="Arial" w:cs="Arial"/>
                <w:sz w:val="20"/>
                <w:szCs w:val="20"/>
              </w:rPr>
            </w:pPr>
            <w:r>
              <w:rPr>
                <w:rFonts w:ascii="Arial" w:eastAsia="Times New Roman" w:hAnsi="Arial" w:cs="Arial"/>
                <w:sz w:val="20"/>
                <w:szCs w:val="20"/>
              </w:rPr>
              <w:t>0</w:t>
            </w:r>
            <w:r w:rsidR="006C3419">
              <w:rPr>
                <w:rFonts w:ascii="Arial" w:eastAsia="Times New Roman" w:hAnsi="Arial" w:cs="Arial"/>
                <w:sz w:val="20"/>
                <w:szCs w:val="20"/>
              </w:rPr>
              <w:t>.032</w:t>
            </w:r>
          </w:p>
        </w:tc>
        <w:tc>
          <w:tcPr>
            <w:tcW w:w="1933" w:type="dxa"/>
            <w:tcBorders>
              <w:top w:val="single" w:sz="4" w:space="0" w:color="auto"/>
              <w:left w:val="nil"/>
              <w:bottom w:val="nil"/>
              <w:right w:val="nil"/>
            </w:tcBorders>
          </w:tcPr>
          <w:p w14:paraId="5BB03D43" w14:textId="15EA5C98" w:rsidR="00EF4047" w:rsidRPr="001F6DDB" w:rsidRDefault="00EF4047" w:rsidP="00A956E1">
            <w:pPr>
              <w:pStyle w:val="Body"/>
              <w:rPr>
                <w:rFonts w:ascii="Arial" w:eastAsia="Times New Roman" w:hAnsi="Arial" w:cs="Arial"/>
                <w:sz w:val="20"/>
                <w:szCs w:val="20"/>
              </w:rPr>
            </w:pPr>
            <w:r>
              <w:rPr>
                <w:rFonts w:ascii="Arial" w:eastAsia="Times New Roman" w:hAnsi="Arial" w:cs="Arial"/>
                <w:sz w:val="20"/>
                <w:szCs w:val="20"/>
              </w:rPr>
              <w:t>-</w:t>
            </w:r>
            <w:r w:rsidR="006C3419">
              <w:rPr>
                <w:rFonts w:ascii="Arial" w:eastAsia="Times New Roman" w:hAnsi="Arial" w:cs="Arial"/>
                <w:sz w:val="20"/>
                <w:szCs w:val="20"/>
              </w:rPr>
              <w:t>0.217</w:t>
            </w:r>
          </w:p>
        </w:tc>
      </w:tr>
      <w:tr w:rsidR="00EF4047" w:rsidRPr="001F6DDB" w14:paraId="37D37E7B" w14:textId="77777777" w:rsidTr="00A956E1">
        <w:tc>
          <w:tcPr>
            <w:tcW w:w="1668" w:type="dxa"/>
            <w:vMerge/>
            <w:tcBorders>
              <w:left w:val="nil"/>
              <w:bottom w:val="single" w:sz="4" w:space="0" w:color="auto"/>
              <w:right w:val="nil"/>
            </w:tcBorders>
          </w:tcPr>
          <w:p w14:paraId="786B6F70" w14:textId="77777777" w:rsidR="00EF4047" w:rsidRPr="001F6DDB" w:rsidRDefault="00EF4047" w:rsidP="00A956E1">
            <w:pPr>
              <w:pStyle w:val="Body"/>
              <w:rPr>
                <w:rFonts w:ascii="Arial" w:eastAsia="Times New Roman" w:hAnsi="Arial" w:cs="Arial"/>
                <w:sz w:val="20"/>
                <w:szCs w:val="20"/>
              </w:rPr>
            </w:pPr>
          </w:p>
        </w:tc>
        <w:tc>
          <w:tcPr>
            <w:tcW w:w="1646" w:type="dxa"/>
            <w:tcBorders>
              <w:top w:val="nil"/>
              <w:left w:val="nil"/>
              <w:bottom w:val="single" w:sz="4" w:space="0" w:color="auto"/>
              <w:right w:val="nil"/>
            </w:tcBorders>
          </w:tcPr>
          <w:p w14:paraId="4C9F06FC" w14:textId="1575BCC8" w:rsidR="00EF4047" w:rsidRPr="001F6DDB" w:rsidRDefault="006C3419" w:rsidP="00A956E1">
            <w:pPr>
              <w:pStyle w:val="Body"/>
              <w:rPr>
                <w:rFonts w:ascii="Arial" w:eastAsia="Times New Roman" w:hAnsi="Arial" w:cs="Arial"/>
                <w:sz w:val="20"/>
                <w:szCs w:val="20"/>
              </w:rPr>
            </w:pPr>
            <w:r>
              <w:rPr>
                <w:rFonts w:ascii="Arial" w:eastAsia="Times New Roman" w:hAnsi="Arial" w:cs="Arial"/>
                <w:sz w:val="20"/>
                <w:szCs w:val="20"/>
              </w:rPr>
              <w:t>Wilcoxon W</w:t>
            </w:r>
          </w:p>
        </w:tc>
        <w:tc>
          <w:tcPr>
            <w:tcW w:w="1614" w:type="dxa"/>
            <w:tcBorders>
              <w:top w:val="nil"/>
              <w:left w:val="nil"/>
              <w:bottom w:val="single" w:sz="4" w:space="0" w:color="auto"/>
              <w:right w:val="nil"/>
            </w:tcBorders>
          </w:tcPr>
          <w:p w14:paraId="0BDBCF96" w14:textId="7B91D26F" w:rsidR="00EF4047" w:rsidRPr="001F6DDB" w:rsidRDefault="00EF4047" w:rsidP="00A956E1">
            <w:pPr>
              <w:pStyle w:val="Body"/>
              <w:rPr>
                <w:rFonts w:ascii="Arial" w:eastAsia="Times New Roman" w:hAnsi="Arial" w:cs="Arial"/>
                <w:sz w:val="20"/>
                <w:szCs w:val="20"/>
              </w:rPr>
            </w:pPr>
            <w:r>
              <w:rPr>
                <w:rFonts w:ascii="Arial" w:eastAsia="Times New Roman" w:hAnsi="Arial" w:cs="Arial"/>
                <w:sz w:val="20"/>
                <w:szCs w:val="20"/>
              </w:rPr>
              <w:t>0.0</w:t>
            </w:r>
            <w:r w:rsidR="006C3419">
              <w:rPr>
                <w:rFonts w:ascii="Arial" w:eastAsia="Times New Roman" w:hAnsi="Arial" w:cs="Arial"/>
                <w:sz w:val="20"/>
                <w:szCs w:val="20"/>
              </w:rPr>
              <w:t>12</w:t>
            </w:r>
          </w:p>
        </w:tc>
        <w:tc>
          <w:tcPr>
            <w:tcW w:w="1933" w:type="dxa"/>
            <w:tcBorders>
              <w:top w:val="nil"/>
              <w:left w:val="nil"/>
              <w:bottom w:val="single" w:sz="4" w:space="0" w:color="auto"/>
              <w:right w:val="nil"/>
            </w:tcBorders>
          </w:tcPr>
          <w:p w14:paraId="0AB75F66" w14:textId="087D7BD3" w:rsidR="00EF4047" w:rsidRPr="001F6DDB" w:rsidRDefault="006C3419" w:rsidP="00A956E1">
            <w:pPr>
              <w:pStyle w:val="Body"/>
              <w:rPr>
                <w:rFonts w:ascii="Arial" w:eastAsia="Times New Roman" w:hAnsi="Arial" w:cs="Arial"/>
                <w:sz w:val="20"/>
                <w:szCs w:val="20"/>
              </w:rPr>
            </w:pPr>
            <w:r>
              <w:rPr>
                <w:rFonts w:ascii="Arial" w:eastAsia="Times New Roman" w:hAnsi="Arial" w:cs="Arial"/>
                <w:sz w:val="20"/>
                <w:szCs w:val="20"/>
              </w:rPr>
              <w:t>-0.291</w:t>
            </w:r>
          </w:p>
        </w:tc>
      </w:tr>
      <w:tr w:rsidR="006C3419" w:rsidRPr="001F6DDB" w14:paraId="1EA93D4C" w14:textId="77777777" w:rsidTr="00A956E1">
        <w:tc>
          <w:tcPr>
            <w:tcW w:w="1668" w:type="dxa"/>
            <w:vMerge w:val="restart"/>
            <w:tcBorders>
              <w:top w:val="single" w:sz="4" w:space="0" w:color="auto"/>
              <w:left w:val="nil"/>
              <w:right w:val="nil"/>
            </w:tcBorders>
          </w:tcPr>
          <w:p w14:paraId="47A817E3" w14:textId="77777777" w:rsidR="006C3419" w:rsidRPr="001F6DDB" w:rsidRDefault="006C3419" w:rsidP="006C3419">
            <w:pPr>
              <w:pStyle w:val="Body"/>
              <w:rPr>
                <w:rFonts w:ascii="Arial" w:eastAsia="Times New Roman" w:hAnsi="Arial" w:cs="Arial"/>
                <w:sz w:val="20"/>
                <w:szCs w:val="20"/>
              </w:rPr>
            </w:pPr>
            <w:r w:rsidRPr="001F6DDB">
              <w:rPr>
                <w:rFonts w:ascii="Arial" w:eastAsia="Times New Roman" w:hAnsi="Arial" w:cs="Arial"/>
                <w:sz w:val="20"/>
                <w:szCs w:val="20"/>
              </w:rPr>
              <w:t>Non - Normal</w:t>
            </w:r>
          </w:p>
        </w:tc>
        <w:tc>
          <w:tcPr>
            <w:tcW w:w="1646" w:type="dxa"/>
            <w:tcBorders>
              <w:top w:val="single" w:sz="4" w:space="0" w:color="auto"/>
              <w:left w:val="nil"/>
              <w:bottom w:val="nil"/>
              <w:right w:val="nil"/>
            </w:tcBorders>
          </w:tcPr>
          <w:p w14:paraId="16A94C30" w14:textId="251671D6" w:rsidR="006C3419" w:rsidRPr="001F6DDB" w:rsidRDefault="006C3419" w:rsidP="006C3419">
            <w:pPr>
              <w:pStyle w:val="Body"/>
              <w:rPr>
                <w:rFonts w:ascii="Arial" w:eastAsia="Times New Roman" w:hAnsi="Arial" w:cs="Arial"/>
                <w:sz w:val="20"/>
                <w:szCs w:val="20"/>
              </w:rPr>
            </w:pPr>
            <w:r>
              <w:rPr>
                <w:rFonts w:ascii="Arial" w:eastAsia="Times New Roman" w:hAnsi="Arial" w:cs="Arial"/>
                <w:sz w:val="20"/>
                <w:szCs w:val="20"/>
              </w:rPr>
              <w:t xml:space="preserve">Paired T- test </w:t>
            </w:r>
          </w:p>
        </w:tc>
        <w:tc>
          <w:tcPr>
            <w:tcW w:w="1614" w:type="dxa"/>
            <w:tcBorders>
              <w:top w:val="single" w:sz="4" w:space="0" w:color="auto"/>
              <w:left w:val="nil"/>
              <w:bottom w:val="nil"/>
              <w:right w:val="nil"/>
            </w:tcBorders>
          </w:tcPr>
          <w:p w14:paraId="77DC966A" w14:textId="4D8A496F" w:rsidR="006C3419" w:rsidRPr="001F6DDB" w:rsidRDefault="006C3419" w:rsidP="006C3419">
            <w:pPr>
              <w:pStyle w:val="Body"/>
              <w:rPr>
                <w:rFonts w:ascii="Arial" w:eastAsia="Times New Roman" w:hAnsi="Arial" w:cs="Arial"/>
                <w:sz w:val="20"/>
                <w:szCs w:val="20"/>
              </w:rPr>
            </w:pPr>
            <w:r>
              <w:rPr>
                <w:rFonts w:ascii="Arial" w:eastAsia="Times New Roman" w:hAnsi="Arial" w:cs="Arial"/>
                <w:sz w:val="20"/>
                <w:szCs w:val="20"/>
              </w:rPr>
              <w:t>0.001</w:t>
            </w:r>
          </w:p>
        </w:tc>
        <w:tc>
          <w:tcPr>
            <w:tcW w:w="1933" w:type="dxa"/>
            <w:tcBorders>
              <w:top w:val="single" w:sz="4" w:space="0" w:color="auto"/>
              <w:left w:val="nil"/>
              <w:bottom w:val="nil"/>
              <w:right w:val="nil"/>
            </w:tcBorders>
          </w:tcPr>
          <w:p w14:paraId="64835D90" w14:textId="6E36BFE0" w:rsidR="006C3419" w:rsidRPr="001F6DDB" w:rsidRDefault="006C3419" w:rsidP="006C3419">
            <w:pPr>
              <w:pStyle w:val="Body"/>
              <w:rPr>
                <w:rFonts w:ascii="Arial" w:eastAsia="Times New Roman" w:hAnsi="Arial" w:cs="Arial"/>
                <w:sz w:val="20"/>
                <w:szCs w:val="20"/>
              </w:rPr>
            </w:pPr>
            <w:r>
              <w:rPr>
                <w:rFonts w:ascii="Arial" w:eastAsia="Times New Roman" w:hAnsi="Arial" w:cs="Arial"/>
                <w:sz w:val="20"/>
                <w:szCs w:val="20"/>
              </w:rPr>
              <w:t>-4.40</w:t>
            </w:r>
          </w:p>
        </w:tc>
      </w:tr>
      <w:tr w:rsidR="006C3419" w:rsidRPr="001F6DDB" w14:paraId="18C81684" w14:textId="77777777" w:rsidTr="00A956E1">
        <w:tc>
          <w:tcPr>
            <w:tcW w:w="1668" w:type="dxa"/>
            <w:vMerge/>
            <w:tcBorders>
              <w:left w:val="nil"/>
              <w:bottom w:val="single" w:sz="4" w:space="0" w:color="auto"/>
              <w:right w:val="nil"/>
            </w:tcBorders>
          </w:tcPr>
          <w:p w14:paraId="5DA15A3C" w14:textId="77777777" w:rsidR="006C3419" w:rsidRPr="001F6DDB" w:rsidRDefault="006C3419" w:rsidP="006C3419">
            <w:pPr>
              <w:pStyle w:val="Body"/>
              <w:rPr>
                <w:rFonts w:ascii="Arial" w:eastAsia="Times New Roman" w:hAnsi="Arial" w:cs="Arial"/>
                <w:sz w:val="20"/>
                <w:szCs w:val="20"/>
              </w:rPr>
            </w:pPr>
          </w:p>
        </w:tc>
        <w:tc>
          <w:tcPr>
            <w:tcW w:w="1646" w:type="dxa"/>
            <w:tcBorders>
              <w:top w:val="nil"/>
              <w:left w:val="nil"/>
              <w:bottom w:val="single" w:sz="4" w:space="0" w:color="auto"/>
              <w:right w:val="nil"/>
            </w:tcBorders>
          </w:tcPr>
          <w:p w14:paraId="120F9088" w14:textId="24316000" w:rsidR="006C3419" w:rsidRPr="001F6DDB" w:rsidRDefault="006C3419" w:rsidP="006C3419">
            <w:pPr>
              <w:pStyle w:val="Body"/>
              <w:rPr>
                <w:rFonts w:ascii="Arial" w:eastAsia="Times New Roman" w:hAnsi="Arial" w:cs="Arial"/>
                <w:sz w:val="20"/>
                <w:szCs w:val="20"/>
              </w:rPr>
            </w:pPr>
            <w:r>
              <w:rPr>
                <w:rFonts w:ascii="Arial" w:eastAsia="Times New Roman" w:hAnsi="Arial" w:cs="Arial"/>
                <w:sz w:val="20"/>
                <w:szCs w:val="20"/>
              </w:rPr>
              <w:t>Wilcoxon W</w:t>
            </w:r>
          </w:p>
        </w:tc>
        <w:tc>
          <w:tcPr>
            <w:tcW w:w="1614" w:type="dxa"/>
            <w:tcBorders>
              <w:top w:val="nil"/>
              <w:left w:val="nil"/>
              <w:bottom w:val="single" w:sz="4" w:space="0" w:color="auto"/>
              <w:right w:val="nil"/>
            </w:tcBorders>
          </w:tcPr>
          <w:p w14:paraId="7A2877FC" w14:textId="5AC27753" w:rsidR="006C3419" w:rsidRPr="001F6DDB" w:rsidRDefault="006C3419" w:rsidP="006C3419">
            <w:pPr>
              <w:pStyle w:val="Body"/>
              <w:rPr>
                <w:rFonts w:ascii="Arial" w:eastAsia="Times New Roman" w:hAnsi="Arial" w:cs="Arial"/>
                <w:sz w:val="20"/>
                <w:szCs w:val="20"/>
              </w:rPr>
            </w:pPr>
            <w:r>
              <w:rPr>
                <w:rFonts w:ascii="Arial" w:eastAsia="Times New Roman" w:hAnsi="Arial" w:cs="Arial"/>
                <w:sz w:val="20"/>
                <w:szCs w:val="20"/>
              </w:rPr>
              <w:t>0.001</w:t>
            </w:r>
          </w:p>
        </w:tc>
        <w:tc>
          <w:tcPr>
            <w:tcW w:w="1933" w:type="dxa"/>
            <w:tcBorders>
              <w:top w:val="nil"/>
              <w:left w:val="nil"/>
              <w:bottom w:val="single" w:sz="4" w:space="0" w:color="auto"/>
              <w:right w:val="nil"/>
            </w:tcBorders>
          </w:tcPr>
          <w:p w14:paraId="7D9002CB" w14:textId="0D5BDA7F" w:rsidR="006C3419" w:rsidRPr="001F6DDB" w:rsidRDefault="006C3419" w:rsidP="006C3419">
            <w:pPr>
              <w:pStyle w:val="Body"/>
              <w:rPr>
                <w:rFonts w:ascii="Arial" w:eastAsia="Times New Roman" w:hAnsi="Arial" w:cs="Arial"/>
                <w:sz w:val="20"/>
                <w:szCs w:val="20"/>
              </w:rPr>
            </w:pPr>
            <w:r>
              <w:rPr>
                <w:rFonts w:ascii="Arial" w:eastAsia="Times New Roman" w:hAnsi="Arial" w:cs="Arial"/>
                <w:sz w:val="20"/>
                <w:szCs w:val="20"/>
              </w:rPr>
              <w:t>-1.00</w:t>
            </w:r>
          </w:p>
        </w:tc>
      </w:tr>
    </w:tbl>
    <w:p w14:paraId="5D9F8356" w14:textId="77777777" w:rsidR="0047109D" w:rsidRDefault="0047109D" w:rsidP="006D5CD5">
      <w:pPr>
        <w:pStyle w:val="Body"/>
        <w:rPr>
          <w:rFonts w:ascii="Arial" w:hAnsi="Arial" w:cs="Arial"/>
          <w:b/>
          <w:bCs/>
          <w:lang w:val="en-PH"/>
        </w:rPr>
      </w:pPr>
    </w:p>
    <w:p w14:paraId="1954623F" w14:textId="08A92FE8" w:rsidR="006D5CD5" w:rsidRPr="006D5CD5" w:rsidRDefault="006D5CD5" w:rsidP="006D5CD5">
      <w:pPr>
        <w:pStyle w:val="Body"/>
        <w:rPr>
          <w:rFonts w:ascii="Arial" w:hAnsi="Arial" w:cs="Arial"/>
          <w:b/>
          <w:bCs/>
          <w:lang w:val="en-PH"/>
        </w:rPr>
      </w:pPr>
      <w:r>
        <w:rPr>
          <w:rFonts w:ascii="Arial" w:hAnsi="Arial" w:cs="Arial"/>
          <w:b/>
          <w:bCs/>
          <w:lang w:val="en-PH"/>
        </w:rPr>
        <w:t xml:space="preserve">3.3 </w:t>
      </w:r>
      <w:r w:rsidRPr="006D5CD5">
        <w:rPr>
          <w:rFonts w:ascii="Arial" w:hAnsi="Arial" w:cs="Arial"/>
          <w:b/>
          <w:bCs/>
          <w:lang w:val="en-PH"/>
        </w:rPr>
        <w:t>Comparative Effectiveness</w:t>
      </w:r>
    </w:p>
    <w:p w14:paraId="5549CDB9" w14:textId="77777777" w:rsidR="006D5CD5" w:rsidRPr="006D5CD5" w:rsidRDefault="006D5CD5" w:rsidP="006D5CD5">
      <w:pPr>
        <w:pStyle w:val="Body"/>
        <w:rPr>
          <w:rFonts w:ascii="Arial" w:hAnsi="Arial" w:cs="Arial"/>
          <w:lang w:val="en-PH"/>
        </w:rPr>
      </w:pPr>
      <w:r w:rsidRPr="006D5CD5">
        <w:rPr>
          <w:rFonts w:ascii="Arial" w:hAnsi="Arial" w:cs="Arial"/>
          <w:lang w:val="en-PH"/>
        </w:rPr>
        <w:t>Based on the results presented in Tables 3 and 4, both the Independent t-test and Mann–Whitney U test yielded significant results (p = 0.001) for normal and non-normal data. Under normal distribution, the Independent t-test produced a larger effect size (–3.75) than the Mann–Whitney U test (0.997). However, for the non-normal data, both tests again showed significant results, though the Mann–Whitney U test exhibited consistent performance (effect size = 0.921), suggesting its stability when normality is not satisfied.</w:t>
      </w:r>
    </w:p>
    <w:p w14:paraId="0B660CF3" w14:textId="77777777" w:rsidR="006D5CD5" w:rsidRPr="006D5CD5" w:rsidRDefault="006D5CD5" w:rsidP="006D5CD5">
      <w:pPr>
        <w:pStyle w:val="Body"/>
        <w:rPr>
          <w:rFonts w:ascii="Arial" w:hAnsi="Arial" w:cs="Arial"/>
          <w:lang w:val="en-PH"/>
        </w:rPr>
      </w:pPr>
      <w:r w:rsidRPr="006D5CD5">
        <w:rPr>
          <w:rFonts w:ascii="Arial" w:hAnsi="Arial" w:cs="Arial"/>
          <w:lang w:val="en-PH"/>
        </w:rPr>
        <w:t xml:space="preserve">According to Zimmerman (1998) and </w:t>
      </w:r>
      <w:proofErr w:type="spellStart"/>
      <w:r w:rsidRPr="006D5CD5">
        <w:rPr>
          <w:rFonts w:ascii="Arial" w:hAnsi="Arial" w:cs="Arial"/>
          <w:lang w:val="en-PH"/>
        </w:rPr>
        <w:t>Ghasemi</w:t>
      </w:r>
      <w:proofErr w:type="spellEnd"/>
      <w:r w:rsidRPr="006D5CD5">
        <w:rPr>
          <w:rFonts w:ascii="Arial" w:hAnsi="Arial" w:cs="Arial"/>
          <w:lang w:val="en-PH"/>
        </w:rPr>
        <w:t xml:space="preserve"> &amp; </w:t>
      </w:r>
      <w:proofErr w:type="spellStart"/>
      <w:r w:rsidRPr="006D5CD5">
        <w:rPr>
          <w:rFonts w:ascii="Arial" w:hAnsi="Arial" w:cs="Arial"/>
          <w:lang w:val="en-PH"/>
        </w:rPr>
        <w:t>Zahediasl</w:t>
      </w:r>
      <w:proofErr w:type="spellEnd"/>
      <w:r w:rsidRPr="006D5CD5">
        <w:rPr>
          <w:rFonts w:ascii="Arial" w:hAnsi="Arial" w:cs="Arial"/>
          <w:lang w:val="en-PH"/>
        </w:rPr>
        <w:t xml:space="preserve"> (2012), the Independent t-test remains fairly robust when sample sizes are large and the data do not severely violate normality. However, when distributions are skewed or contain outliers, the Mann–Whitney U test is recommended because it does not assume normality and is less affected by extreme values. Similarly, de Winter and </w:t>
      </w:r>
      <w:proofErr w:type="spellStart"/>
      <w:r w:rsidRPr="006D5CD5">
        <w:rPr>
          <w:rFonts w:ascii="Arial" w:hAnsi="Arial" w:cs="Arial"/>
          <w:lang w:val="en-PH"/>
        </w:rPr>
        <w:t>Dodou</w:t>
      </w:r>
      <w:proofErr w:type="spellEnd"/>
      <w:r w:rsidRPr="006D5CD5">
        <w:rPr>
          <w:rFonts w:ascii="Arial" w:hAnsi="Arial" w:cs="Arial"/>
          <w:lang w:val="en-PH"/>
        </w:rPr>
        <w:t xml:space="preserve"> (2010) emphasized that the Mann–Whitney U test performs comparably to the t-test for normal data but becomes more reliable under non-normal conditions. Therefore, while the t-test is appropriate for normally distributed data, the Mann–Whitney U test demonstrates greater robustness under non-normal conditions.</w:t>
      </w:r>
    </w:p>
    <w:p w14:paraId="650B787A" w14:textId="77777777" w:rsidR="006D5CD5" w:rsidRPr="006D5CD5" w:rsidRDefault="006D5CD5" w:rsidP="006D5CD5">
      <w:pPr>
        <w:pStyle w:val="Body"/>
        <w:rPr>
          <w:rFonts w:ascii="Arial" w:hAnsi="Arial" w:cs="Arial"/>
          <w:lang w:val="en-PH"/>
        </w:rPr>
      </w:pPr>
      <w:r w:rsidRPr="006D5CD5">
        <w:rPr>
          <w:rFonts w:ascii="Arial" w:hAnsi="Arial" w:cs="Arial"/>
          <w:lang w:val="en-PH"/>
        </w:rPr>
        <w:t>For the paired-sample tests (Table 4), both the Paired t-test and Wilcoxon W test produced significant p-values across normal and non-normal datasets. Under normal distribution, the Paired t-test yielded a p-value = 0.032 and effect size = –0.217, while the Wilcoxon W test resulted in p = 0.012 and effect size = –0.291. For non-normal data, both tests yielded p = 0.001, with effect sizes of –4.40 and –1.00 respectively.</w:t>
      </w:r>
    </w:p>
    <w:p w14:paraId="6BECC735" w14:textId="13A48B5B" w:rsidR="00AD2A2A" w:rsidRPr="00FC655B" w:rsidRDefault="006D5CD5" w:rsidP="00FC655B">
      <w:pPr>
        <w:pStyle w:val="Body"/>
        <w:rPr>
          <w:rFonts w:ascii="Arial" w:hAnsi="Arial" w:cs="Arial"/>
          <w:lang w:val="en-PH"/>
        </w:rPr>
      </w:pPr>
      <w:r w:rsidRPr="006D5CD5">
        <w:rPr>
          <w:rFonts w:ascii="Arial" w:hAnsi="Arial" w:cs="Arial"/>
          <w:lang w:val="en-PH"/>
        </w:rPr>
        <w:t xml:space="preserve">Consistent with prior research, Field (2013) and </w:t>
      </w:r>
      <w:proofErr w:type="spellStart"/>
      <w:r w:rsidRPr="006D5CD5">
        <w:rPr>
          <w:rFonts w:ascii="Arial" w:hAnsi="Arial" w:cs="Arial"/>
          <w:lang w:val="en-PH"/>
        </w:rPr>
        <w:t>Laerd</w:t>
      </w:r>
      <w:proofErr w:type="spellEnd"/>
      <w:r w:rsidRPr="006D5CD5">
        <w:rPr>
          <w:rFonts w:ascii="Arial" w:hAnsi="Arial" w:cs="Arial"/>
          <w:lang w:val="en-PH"/>
        </w:rPr>
        <w:t xml:space="preserve"> Statistics (2018) note that the Paired t-test assumes normally distributed differences and is powerful under that condition, whereas the Wilcoxon Signed-Rank test is more suitable when the normality assumption is violated. Razali and Wah (2011) also found that the Wilcoxon test maintains Type I error rates more effectively than the t-test when distributions deviate from normality. Thus, in this study, the Wilcoxon W test appears to be the more robust choice under non-normal data conditions.</w:t>
      </w:r>
    </w:p>
    <w:p w14:paraId="75A3375C" w14:textId="77777777" w:rsidR="00AD2A2A" w:rsidRDefault="00AD2A2A" w:rsidP="00AD2A2A">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118FAF0C" w14:textId="77777777" w:rsidR="00AD2A2A" w:rsidRPr="00FB3A86" w:rsidRDefault="00AD2A2A" w:rsidP="00AD2A2A">
      <w:pPr>
        <w:pStyle w:val="ConcHead"/>
        <w:spacing w:after="0"/>
        <w:jc w:val="both"/>
        <w:rPr>
          <w:rFonts w:ascii="Arial" w:hAnsi="Arial" w:cs="Arial"/>
        </w:rPr>
      </w:pPr>
    </w:p>
    <w:p w14:paraId="080BCDDD" w14:textId="77777777" w:rsidR="00AD2A2A" w:rsidRPr="00FB3A86" w:rsidRDefault="00AD2A2A" w:rsidP="00AD2A2A">
      <w:pPr>
        <w:pStyle w:val="Body"/>
        <w:spacing w:after="0"/>
        <w:rPr>
          <w:rFonts w:ascii="Arial" w:hAnsi="Arial" w:cs="Arial"/>
        </w:rPr>
      </w:pPr>
    </w:p>
    <w:p w14:paraId="79A59ABF" w14:textId="77777777" w:rsidR="005B6E71" w:rsidRPr="005B6E71" w:rsidRDefault="005B6E71" w:rsidP="005B6E71">
      <w:pPr>
        <w:jc w:val="both"/>
        <w:rPr>
          <w:rFonts w:ascii="Arial" w:hAnsi="Arial" w:cs="Arial"/>
          <w:lang w:val="en-PH"/>
        </w:rPr>
      </w:pPr>
      <w:r w:rsidRPr="005B6E71">
        <w:rPr>
          <w:rFonts w:ascii="Arial" w:hAnsi="Arial" w:cs="Arial"/>
          <w:lang w:val="en-PH"/>
        </w:rPr>
        <w:t xml:space="preserve">The results reinforce the principle that the choice of statistical test must align with the underlying data distribution. For normally distributed data, parametric tests such as the Independent and Paired t-tests are appropriate due to their higher statistical power and </w:t>
      </w:r>
      <w:r w:rsidRPr="005B6E71">
        <w:rPr>
          <w:rFonts w:ascii="Arial" w:hAnsi="Arial" w:cs="Arial"/>
          <w:lang w:val="en-PH"/>
        </w:rPr>
        <w:lastRenderedPageBreak/>
        <w:t>efficiency (Field, 2013). However, when data violate the assumption of normality—as commonly observed in simulated or Likert-type scales—the nonparametric alternatives, Mann–Whitney U and Wilcoxon Signed-Rank tests, demonstrate greater robustness and yield more stable effect sizes (Ghasemi &amp; Zahediasl, 2012; Kim, 2015; Zimmerman, 2004). These findings highlight that while both test types can detect significant differences, their reliability depends on data characteristics. Using a parametric test on non-normal data may inflate Type I error or misrepresent the true effect. Therefore, researchers should always evaluate normality first and apply tests consistent with data behavior to ensure valid and interpretable results.</w:t>
      </w:r>
    </w:p>
    <w:p w14:paraId="7B261153" w14:textId="3593705B" w:rsidR="00ED775A" w:rsidRPr="005B6E71" w:rsidRDefault="005B6E71" w:rsidP="00ED775A">
      <w:pPr>
        <w:jc w:val="both"/>
        <w:rPr>
          <w:rFonts w:ascii="Arial" w:hAnsi="Arial" w:cs="Arial"/>
          <w:lang w:val="en-PH"/>
        </w:rPr>
      </w:pPr>
      <w:r w:rsidRPr="005B6E71">
        <w:rPr>
          <w:rFonts w:ascii="Arial" w:hAnsi="Arial" w:cs="Arial"/>
          <w:lang w:val="en-PH"/>
        </w:rPr>
        <w:t>In the context of educational research, this study underscores the importance of methodological rigor in analyzing student data, particularly when using Likert-scale instruments. By reinforcing appropriate test-selection practices, the findings contribute to more reliable interpretations of student perceptions, performance, and satisfaction. Ultimately, this enhances the credibility of evidence-based decision-making in higher education and promotes more accurate, data-informed strategies for teaching and learning improvement.</w:t>
      </w:r>
      <w:r w:rsidR="00ED775A" w:rsidRPr="00ED775A">
        <w:rPr>
          <w:rFonts w:ascii="Arial" w:hAnsi="Arial" w:cs="Arial"/>
          <w:highlight w:val="yellow"/>
        </w:rPr>
        <w:t xml:space="preserve"> </w:t>
      </w:r>
      <w:r w:rsidR="00ED775A" w:rsidRPr="000819BD">
        <w:rPr>
          <w:rFonts w:ascii="Arial" w:hAnsi="Arial" w:cs="Arial"/>
          <w:highlight w:val="yellow"/>
        </w:rPr>
        <w:t>However, this study has certain limitations. Since the analysis was based on simulated Likert-scale datasets, the results may not fully capture the variability found in actual, real-world data. The restricted data type and sample size may influence the generalizability of findings. Future research could expand the simulation to include larger and more diverse datasets to validate the robustness of the tests under practical conditions.</w:t>
      </w:r>
    </w:p>
    <w:p w14:paraId="612E9004" w14:textId="7E73A525" w:rsidR="005B6E71" w:rsidRPr="005B6E71" w:rsidRDefault="005B6E71" w:rsidP="005B6E71">
      <w:pPr>
        <w:jc w:val="both"/>
        <w:rPr>
          <w:rFonts w:ascii="Arial" w:hAnsi="Arial" w:cs="Arial"/>
          <w:lang w:val="en-PH"/>
        </w:rPr>
      </w:pPr>
    </w:p>
    <w:p w14:paraId="3484BBF1" w14:textId="77777777" w:rsidR="00902F0A" w:rsidRPr="00505D5A" w:rsidRDefault="00902F0A" w:rsidP="00902F0A">
      <w:pPr>
        <w:jc w:val="both"/>
        <w:rPr>
          <w:rFonts w:ascii="Arial" w:hAnsi="Arial" w:cs="Arial"/>
          <w:b/>
          <w:lang w:val="en-PH"/>
        </w:rPr>
      </w:pPr>
      <w:r w:rsidRPr="00505D5A">
        <w:rPr>
          <w:rFonts w:ascii="Arial" w:hAnsi="Arial" w:cs="Arial"/>
          <w:b/>
          <w:lang w:val="en-PH"/>
        </w:rPr>
        <w:t xml:space="preserve">Consent </w:t>
      </w:r>
    </w:p>
    <w:p w14:paraId="5C44991C" w14:textId="632AD228" w:rsidR="008B3671" w:rsidRDefault="00902F0A" w:rsidP="00902F0A">
      <w:pPr>
        <w:jc w:val="both"/>
        <w:rPr>
          <w:rFonts w:ascii="Arial" w:hAnsi="Arial" w:cs="Arial"/>
          <w:lang w:val="en-PH"/>
        </w:rPr>
      </w:pPr>
      <w:r w:rsidRPr="00902F0A">
        <w:rPr>
          <w:rFonts w:ascii="Arial" w:hAnsi="Arial" w:cs="Arial"/>
          <w:lang w:val="en-PH"/>
        </w:rPr>
        <w:t>As per international standards or university standards, respondents’ written consent has been collected and preserved by the author(</w:t>
      </w:r>
      <w:bookmarkStart w:id="2" w:name="_GoBack"/>
      <w:bookmarkEnd w:id="2"/>
      <w:r w:rsidRPr="00902F0A">
        <w:rPr>
          <w:rFonts w:ascii="Arial" w:hAnsi="Arial" w:cs="Arial"/>
          <w:lang w:val="en-PH"/>
        </w:rPr>
        <w:t>s).</w:t>
      </w:r>
    </w:p>
    <w:p w14:paraId="38764EAF" w14:textId="77777777" w:rsidR="008B3671" w:rsidRDefault="008B3671" w:rsidP="008B3671">
      <w:pPr>
        <w:jc w:val="both"/>
        <w:rPr>
          <w:rFonts w:ascii="Arial" w:hAnsi="Arial" w:cs="Arial"/>
          <w:lang w:val="en-PH"/>
        </w:rPr>
      </w:pPr>
    </w:p>
    <w:p w14:paraId="4C538B0C" w14:textId="77777777" w:rsidR="008B3671" w:rsidRPr="008B3671" w:rsidRDefault="008B3671" w:rsidP="008B3671">
      <w:pPr>
        <w:jc w:val="both"/>
        <w:rPr>
          <w:rFonts w:ascii="Arial" w:hAnsi="Arial" w:cs="Arial"/>
          <w:lang w:val="en-PH"/>
        </w:rPr>
      </w:pPr>
    </w:p>
    <w:p w14:paraId="1A675C8B" w14:textId="692B362E" w:rsidR="00EA75C2" w:rsidRPr="0058549A" w:rsidRDefault="00EA75C2" w:rsidP="00EA75C2">
      <w:pPr>
        <w:rPr>
          <w:b/>
        </w:rPr>
      </w:pPr>
      <w:r w:rsidRPr="0058549A">
        <w:rPr>
          <w:b/>
        </w:rPr>
        <w:t>Disclaimer (Artificial intelligence)</w:t>
      </w:r>
      <w:r w:rsidR="0058549A">
        <w:rPr>
          <w:b/>
        </w:rPr>
        <w:t>.</w:t>
      </w:r>
    </w:p>
    <w:p w14:paraId="02AF053D" w14:textId="77777777" w:rsidR="00EA75C2" w:rsidRPr="00EA75C2" w:rsidRDefault="00EA75C2" w:rsidP="00EA75C2"/>
    <w:p w14:paraId="0F68B00F" w14:textId="119D53BC" w:rsidR="00EA75C2" w:rsidRPr="00EA75C2" w:rsidRDefault="00EA75C2" w:rsidP="00EA75C2">
      <w:r w:rsidRPr="00EA75C2">
        <w:t xml:space="preserve">Author(s) hereby declare that generative AI technologies such as Large Language Models (ChatGPT, COPILOT, etc.) and text-to-image generators have been used during the writing or editing of this manuscript. </w:t>
      </w:r>
    </w:p>
    <w:p w14:paraId="47E54238" w14:textId="77777777" w:rsidR="00AD2A2A" w:rsidRDefault="00AD2A2A" w:rsidP="00AD2A2A">
      <w:pPr>
        <w:pStyle w:val="ReferHead"/>
        <w:spacing w:after="0"/>
        <w:jc w:val="both"/>
        <w:rPr>
          <w:rFonts w:ascii="Arial" w:hAnsi="Arial" w:cs="Arial"/>
        </w:rPr>
      </w:pPr>
    </w:p>
    <w:p w14:paraId="4E6F2578" w14:textId="77777777" w:rsidR="00EA75C2" w:rsidRDefault="00EA75C2" w:rsidP="00AD2A2A">
      <w:pPr>
        <w:pStyle w:val="ReferHead"/>
        <w:spacing w:after="0"/>
        <w:jc w:val="both"/>
        <w:rPr>
          <w:rFonts w:ascii="Arial" w:hAnsi="Arial" w:cs="Arial"/>
        </w:rPr>
      </w:pPr>
    </w:p>
    <w:p w14:paraId="412A3B41" w14:textId="0C45021F" w:rsidR="00AD2A2A" w:rsidRDefault="00AD2A2A" w:rsidP="00AD2A2A">
      <w:pPr>
        <w:pStyle w:val="ReferHead"/>
        <w:spacing w:after="0"/>
        <w:jc w:val="both"/>
        <w:rPr>
          <w:rFonts w:ascii="Arial" w:hAnsi="Arial" w:cs="Arial"/>
        </w:rPr>
      </w:pPr>
      <w:r w:rsidRPr="00FB3A86">
        <w:rPr>
          <w:rFonts w:ascii="Arial" w:hAnsi="Arial" w:cs="Arial"/>
        </w:rPr>
        <w:t>References</w:t>
      </w:r>
    </w:p>
    <w:p w14:paraId="0C300F72" w14:textId="77777777" w:rsidR="00AD2A2A" w:rsidRDefault="00AD2A2A" w:rsidP="00AD2A2A">
      <w:pPr>
        <w:pStyle w:val="ReferHead"/>
        <w:spacing w:after="0"/>
        <w:jc w:val="both"/>
        <w:rPr>
          <w:rFonts w:ascii="Arial" w:hAnsi="Arial" w:cs="Arial"/>
        </w:rPr>
      </w:pPr>
    </w:p>
    <w:p w14:paraId="61531AA7"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r w:rsidRPr="005B6E71">
        <w:rPr>
          <w:rFonts w:ascii="Arial" w:hAnsi="Arial" w:cs="Arial"/>
          <w:color w:val="000000"/>
          <w:shd w:val="clear" w:color="auto" w:fill="FFFFFF"/>
          <w:lang w:val="en-PH"/>
        </w:rPr>
        <w:t xml:space="preserve">Cohen, J. (1988). </w:t>
      </w:r>
      <w:r w:rsidRPr="005B6E71">
        <w:rPr>
          <w:rFonts w:ascii="Arial" w:hAnsi="Arial" w:cs="Arial"/>
          <w:i/>
          <w:iCs/>
          <w:color w:val="000000"/>
          <w:shd w:val="clear" w:color="auto" w:fill="FFFFFF"/>
          <w:lang w:val="en-PH"/>
        </w:rPr>
        <w:t>Statistical power analysis for the behavioral sciences</w:t>
      </w:r>
      <w:r w:rsidRPr="005B6E71">
        <w:rPr>
          <w:rFonts w:ascii="Arial" w:hAnsi="Arial" w:cs="Arial"/>
          <w:color w:val="000000"/>
          <w:shd w:val="clear" w:color="auto" w:fill="FFFFFF"/>
          <w:lang w:val="en-PH"/>
        </w:rPr>
        <w:t xml:space="preserve"> (2nd ed.). Lawrence Erlbaum Associates.</w:t>
      </w:r>
    </w:p>
    <w:p w14:paraId="4C325FD8"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proofErr w:type="spellStart"/>
      <w:r w:rsidRPr="005B6E71">
        <w:rPr>
          <w:rFonts w:ascii="Arial" w:hAnsi="Arial" w:cs="Arial"/>
          <w:color w:val="000000"/>
          <w:shd w:val="clear" w:color="auto" w:fill="FFFFFF"/>
          <w:lang w:val="en-PH"/>
        </w:rPr>
        <w:t>Delacre</w:t>
      </w:r>
      <w:proofErr w:type="spellEnd"/>
      <w:r w:rsidRPr="005B6E71">
        <w:rPr>
          <w:rFonts w:ascii="Arial" w:hAnsi="Arial" w:cs="Arial"/>
          <w:color w:val="000000"/>
          <w:shd w:val="clear" w:color="auto" w:fill="FFFFFF"/>
          <w:lang w:val="en-PH"/>
        </w:rPr>
        <w:t xml:space="preserve">, M., </w:t>
      </w:r>
      <w:proofErr w:type="spellStart"/>
      <w:r w:rsidRPr="005B6E71">
        <w:rPr>
          <w:rFonts w:ascii="Arial" w:hAnsi="Arial" w:cs="Arial"/>
          <w:color w:val="000000"/>
          <w:shd w:val="clear" w:color="auto" w:fill="FFFFFF"/>
          <w:lang w:val="en-PH"/>
        </w:rPr>
        <w:t>Lakens</w:t>
      </w:r>
      <w:proofErr w:type="spellEnd"/>
      <w:r w:rsidRPr="005B6E71">
        <w:rPr>
          <w:rFonts w:ascii="Arial" w:hAnsi="Arial" w:cs="Arial"/>
          <w:color w:val="000000"/>
          <w:shd w:val="clear" w:color="auto" w:fill="FFFFFF"/>
          <w:lang w:val="en-PH"/>
        </w:rPr>
        <w:t xml:space="preserve">, D., &amp; Leys, C. (2017). Why psychologists should by default use Welch’s t-test instead of Student’s t-test. </w:t>
      </w:r>
      <w:r w:rsidRPr="005B6E71">
        <w:rPr>
          <w:rFonts w:ascii="Arial" w:hAnsi="Arial" w:cs="Arial"/>
          <w:i/>
          <w:iCs/>
          <w:color w:val="000000"/>
          <w:shd w:val="clear" w:color="auto" w:fill="FFFFFF"/>
          <w:lang w:val="en-PH"/>
        </w:rPr>
        <w:t>International Review of Social Psychology, 30</w:t>
      </w:r>
      <w:r w:rsidRPr="005B6E71">
        <w:rPr>
          <w:rFonts w:ascii="Arial" w:hAnsi="Arial" w:cs="Arial"/>
          <w:color w:val="000000"/>
          <w:shd w:val="clear" w:color="auto" w:fill="FFFFFF"/>
          <w:lang w:val="en-PH"/>
        </w:rPr>
        <w:t xml:space="preserve">(1), 92–101. </w:t>
      </w:r>
      <w:hyperlink r:id="rId14" w:tgtFrame="_new" w:history="1">
        <w:r w:rsidRPr="005B6E71">
          <w:rPr>
            <w:rStyle w:val="Hyperlink"/>
            <w:rFonts w:ascii="Arial" w:hAnsi="Arial" w:cs="Arial"/>
            <w:shd w:val="clear" w:color="auto" w:fill="FFFFFF"/>
            <w:lang w:val="en-PH"/>
          </w:rPr>
          <w:t>https://doi.org/10.5334/irsp.82</w:t>
        </w:r>
      </w:hyperlink>
    </w:p>
    <w:p w14:paraId="4393BFE1"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r w:rsidRPr="005B6E71">
        <w:rPr>
          <w:rFonts w:ascii="Arial" w:hAnsi="Arial" w:cs="Arial"/>
          <w:color w:val="000000"/>
          <w:shd w:val="clear" w:color="auto" w:fill="FFFFFF"/>
          <w:lang w:val="en-PH"/>
        </w:rPr>
        <w:t xml:space="preserve">de Winter, J. C. F., &amp; </w:t>
      </w:r>
      <w:proofErr w:type="spellStart"/>
      <w:r w:rsidRPr="005B6E71">
        <w:rPr>
          <w:rFonts w:ascii="Arial" w:hAnsi="Arial" w:cs="Arial"/>
          <w:color w:val="000000"/>
          <w:shd w:val="clear" w:color="auto" w:fill="FFFFFF"/>
          <w:lang w:val="en-PH"/>
        </w:rPr>
        <w:t>Dodou</w:t>
      </w:r>
      <w:proofErr w:type="spellEnd"/>
      <w:r w:rsidRPr="005B6E71">
        <w:rPr>
          <w:rFonts w:ascii="Arial" w:hAnsi="Arial" w:cs="Arial"/>
          <w:color w:val="000000"/>
          <w:shd w:val="clear" w:color="auto" w:fill="FFFFFF"/>
          <w:lang w:val="en-PH"/>
        </w:rPr>
        <w:t xml:space="preserve">, D. (2010). Five-point Likert items: t test versus Mann–Whitney–Wilcoxon (Addendum added October 2012). </w:t>
      </w:r>
      <w:r w:rsidRPr="005B6E71">
        <w:rPr>
          <w:rFonts w:ascii="Arial" w:hAnsi="Arial" w:cs="Arial"/>
          <w:i/>
          <w:iCs/>
          <w:color w:val="000000"/>
          <w:shd w:val="clear" w:color="auto" w:fill="FFFFFF"/>
          <w:lang w:val="en-PH"/>
        </w:rPr>
        <w:t>Practical Assessment, Research &amp; Evaluation, 15</w:t>
      </w:r>
      <w:r w:rsidRPr="005B6E71">
        <w:rPr>
          <w:rFonts w:ascii="Arial" w:hAnsi="Arial" w:cs="Arial"/>
          <w:color w:val="000000"/>
          <w:shd w:val="clear" w:color="auto" w:fill="FFFFFF"/>
          <w:lang w:val="en-PH"/>
        </w:rPr>
        <w:t xml:space="preserve">(11), 1–16. </w:t>
      </w:r>
      <w:hyperlink r:id="rId15" w:tgtFrame="_new" w:history="1">
        <w:r w:rsidRPr="005B6E71">
          <w:rPr>
            <w:rStyle w:val="Hyperlink"/>
            <w:rFonts w:ascii="Arial" w:hAnsi="Arial" w:cs="Arial"/>
            <w:shd w:val="clear" w:color="auto" w:fill="FFFFFF"/>
            <w:lang w:val="en-PH"/>
          </w:rPr>
          <w:t>https://pareonline.net/getvn.asp?v=15&amp;n=11</w:t>
        </w:r>
      </w:hyperlink>
    </w:p>
    <w:p w14:paraId="1634EF7C"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r w:rsidRPr="005B6E71">
        <w:rPr>
          <w:rFonts w:ascii="Arial" w:hAnsi="Arial" w:cs="Arial"/>
          <w:color w:val="000000"/>
          <w:shd w:val="clear" w:color="auto" w:fill="FFFFFF"/>
          <w:lang w:val="en-PH"/>
        </w:rPr>
        <w:t xml:space="preserve">Faul, F., </w:t>
      </w:r>
      <w:proofErr w:type="spellStart"/>
      <w:r w:rsidRPr="005B6E71">
        <w:rPr>
          <w:rFonts w:ascii="Arial" w:hAnsi="Arial" w:cs="Arial"/>
          <w:color w:val="000000"/>
          <w:shd w:val="clear" w:color="auto" w:fill="FFFFFF"/>
          <w:lang w:val="en-PH"/>
        </w:rPr>
        <w:t>Erdfelder</w:t>
      </w:r>
      <w:proofErr w:type="spellEnd"/>
      <w:r w:rsidRPr="005B6E71">
        <w:rPr>
          <w:rFonts w:ascii="Arial" w:hAnsi="Arial" w:cs="Arial"/>
          <w:color w:val="000000"/>
          <w:shd w:val="clear" w:color="auto" w:fill="FFFFFF"/>
          <w:lang w:val="en-PH"/>
        </w:rPr>
        <w:t xml:space="preserve">, E., Buchner, A., &amp; Lang, A.-G. (2009). Statistical power analyses using G*Power 3.1: Tests for correlation and regression analyses. </w:t>
      </w:r>
      <w:r w:rsidRPr="005B6E71">
        <w:rPr>
          <w:rFonts w:ascii="Arial" w:hAnsi="Arial" w:cs="Arial"/>
          <w:i/>
          <w:iCs/>
          <w:color w:val="000000"/>
          <w:shd w:val="clear" w:color="auto" w:fill="FFFFFF"/>
          <w:lang w:val="en-PH"/>
        </w:rPr>
        <w:t>Behavior Research Methods, 41</w:t>
      </w:r>
      <w:r w:rsidRPr="005B6E71">
        <w:rPr>
          <w:rFonts w:ascii="Arial" w:hAnsi="Arial" w:cs="Arial"/>
          <w:color w:val="000000"/>
          <w:shd w:val="clear" w:color="auto" w:fill="FFFFFF"/>
          <w:lang w:val="en-PH"/>
        </w:rPr>
        <w:t xml:space="preserve">(4), 1149–1160. </w:t>
      </w:r>
      <w:hyperlink r:id="rId16" w:tgtFrame="_new" w:history="1">
        <w:r w:rsidRPr="005B6E71">
          <w:rPr>
            <w:rStyle w:val="Hyperlink"/>
            <w:rFonts w:ascii="Arial" w:hAnsi="Arial" w:cs="Arial"/>
            <w:shd w:val="clear" w:color="auto" w:fill="FFFFFF"/>
            <w:lang w:val="en-PH"/>
          </w:rPr>
          <w:t>https://doi.org/10.3758/BRM.41.4.1149</w:t>
        </w:r>
      </w:hyperlink>
    </w:p>
    <w:p w14:paraId="281972CA" w14:textId="77777777" w:rsidR="00ED775A" w:rsidRDefault="005B6E71" w:rsidP="005B6E71">
      <w:pPr>
        <w:tabs>
          <w:tab w:val="left" w:pos="720"/>
        </w:tabs>
        <w:spacing w:line="276" w:lineRule="auto"/>
        <w:ind w:left="720" w:hanging="720"/>
        <w:jc w:val="both"/>
        <w:rPr>
          <w:rFonts w:ascii="Arial" w:hAnsi="Arial" w:cs="Arial"/>
          <w:color w:val="000000"/>
          <w:shd w:val="clear" w:color="auto" w:fill="FFFFFF"/>
          <w:lang w:val="en-PH"/>
        </w:rPr>
      </w:pPr>
      <w:r w:rsidRPr="005B6E71">
        <w:rPr>
          <w:rFonts w:ascii="Arial" w:hAnsi="Arial" w:cs="Arial"/>
          <w:color w:val="000000"/>
          <w:shd w:val="clear" w:color="auto" w:fill="FFFFFF"/>
          <w:lang w:val="en-PH"/>
        </w:rPr>
        <w:t xml:space="preserve">Field, A. (2013). </w:t>
      </w:r>
      <w:r w:rsidRPr="005B6E71">
        <w:rPr>
          <w:rFonts w:ascii="Arial" w:hAnsi="Arial" w:cs="Arial"/>
          <w:i/>
          <w:iCs/>
          <w:color w:val="000000"/>
          <w:shd w:val="clear" w:color="auto" w:fill="FFFFFF"/>
          <w:lang w:val="en-PH"/>
        </w:rPr>
        <w:t>Discovering statistics using IBM SPSS Statistics</w:t>
      </w:r>
      <w:r w:rsidRPr="005B6E71">
        <w:rPr>
          <w:rFonts w:ascii="Arial" w:hAnsi="Arial" w:cs="Arial"/>
          <w:color w:val="000000"/>
          <w:shd w:val="clear" w:color="auto" w:fill="FFFFFF"/>
          <w:lang w:val="en-PH"/>
        </w:rPr>
        <w:t xml:space="preserve"> (4th ed.). Sage Publications.</w:t>
      </w:r>
    </w:p>
    <w:p w14:paraId="65AB8E44" w14:textId="77777777" w:rsidR="00ED775A" w:rsidRPr="005B6E71" w:rsidRDefault="00ED775A" w:rsidP="00ED775A">
      <w:pPr>
        <w:tabs>
          <w:tab w:val="left" w:pos="720"/>
        </w:tabs>
        <w:spacing w:line="276" w:lineRule="auto"/>
        <w:ind w:left="720" w:hanging="720"/>
        <w:jc w:val="both"/>
        <w:rPr>
          <w:rFonts w:ascii="Arial" w:hAnsi="Arial" w:cs="Arial"/>
          <w:color w:val="000000"/>
          <w:shd w:val="clear" w:color="auto" w:fill="FFFFFF"/>
          <w:lang w:val="en-PH"/>
        </w:rPr>
      </w:pPr>
      <w:proofErr w:type="spellStart"/>
      <w:r w:rsidRPr="00CD58D2">
        <w:rPr>
          <w:rFonts w:ascii="Arial" w:hAnsi="Arial" w:cs="Arial"/>
          <w:color w:val="000000"/>
          <w:shd w:val="clear" w:color="auto" w:fill="FFFFFF"/>
        </w:rPr>
        <w:t>Funato</w:t>
      </w:r>
      <w:proofErr w:type="spellEnd"/>
      <w:r w:rsidRPr="00CD58D2">
        <w:rPr>
          <w:rFonts w:ascii="Arial" w:hAnsi="Arial" w:cs="Arial"/>
          <w:color w:val="000000"/>
          <w:shd w:val="clear" w:color="auto" w:fill="FFFFFF"/>
        </w:rPr>
        <w:t xml:space="preserve">, M., Murakami, H., Kössler, W., &amp; Mukherjee, A. (2024). </w:t>
      </w:r>
      <w:r w:rsidRPr="00CD58D2">
        <w:rPr>
          <w:rFonts w:ascii="Arial" w:hAnsi="Arial" w:cs="Arial"/>
          <w:i/>
          <w:iCs/>
          <w:color w:val="000000"/>
          <w:shd w:val="clear" w:color="auto" w:fill="FFFFFF"/>
        </w:rPr>
        <w:t xml:space="preserve">Nonparametric tests for combined location-scale and Lehmann alternatives using adaptive approach and </w:t>
      </w:r>
      <w:r w:rsidRPr="00CD58D2">
        <w:rPr>
          <w:rFonts w:ascii="Arial" w:hAnsi="Arial" w:cs="Arial"/>
          <w:i/>
          <w:iCs/>
          <w:color w:val="000000"/>
          <w:shd w:val="clear" w:color="auto" w:fill="FFFFFF"/>
        </w:rPr>
        <w:lastRenderedPageBreak/>
        <w:t>max-type metric.</w:t>
      </w:r>
      <w:r w:rsidRPr="00CD58D2">
        <w:rPr>
          <w:rFonts w:ascii="Arial" w:hAnsi="Arial" w:cs="Arial"/>
          <w:color w:val="000000"/>
          <w:shd w:val="clear" w:color="auto" w:fill="FFFFFF"/>
        </w:rPr>
        <w:t xml:space="preserve"> </w:t>
      </w:r>
      <w:r w:rsidRPr="00CD58D2">
        <w:rPr>
          <w:rFonts w:ascii="Arial" w:hAnsi="Arial" w:cs="Arial"/>
          <w:i/>
          <w:iCs/>
          <w:color w:val="000000"/>
          <w:shd w:val="clear" w:color="auto" w:fill="FFFFFF"/>
        </w:rPr>
        <w:t>Journal of the Korean Statistical Society, 53,</w:t>
      </w:r>
      <w:r w:rsidRPr="00CD58D2">
        <w:rPr>
          <w:rFonts w:ascii="Arial" w:hAnsi="Arial" w:cs="Arial"/>
          <w:color w:val="000000"/>
          <w:shd w:val="clear" w:color="auto" w:fill="FFFFFF"/>
        </w:rPr>
        <w:t xml:space="preserve"> 666–703. https://doi.org/10.1007/s42952-024-00262-7</w:t>
      </w:r>
    </w:p>
    <w:p w14:paraId="192FB661" w14:textId="77777777" w:rsidR="00ED775A" w:rsidRDefault="00ED775A" w:rsidP="005B6E71">
      <w:pPr>
        <w:tabs>
          <w:tab w:val="left" w:pos="720"/>
        </w:tabs>
        <w:spacing w:line="276" w:lineRule="auto"/>
        <w:ind w:left="720" w:hanging="720"/>
        <w:jc w:val="both"/>
        <w:rPr>
          <w:rFonts w:ascii="Arial" w:hAnsi="Arial" w:cs="Arial"/>
          <w:color w:val="000000"/>
          <w:shd w:val="clear" w:color="auto" w:fill="FFFFFF"/>
          <w:lang w:val="en-PH"/>
        </w:rPr>
      </w:pPr>
    </w:p>
    <w:p w14:paraId="71B1B882" w14:textId="1DE2FD3B"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r w:rsidRPr="005B6E71">
        <w:rPr>
          <w:rFonts w:ascii="Arial" w:hAnsi="Arial" w:cs="Arial"/>
          <w:color w:val="000000"/>
          <w:shd w:val="clear" w:color="auto" w:fill="FFFFFF"/>
          <w:lang w:val="en-PH"/>
        </w:rPr>
        <w:t xml:space="preserve">Ghasemi, A., &amp; Zahediasl, S. (2012). Normality tests for statistical analysis: A guide for non-statisticians. </w:t>
      </w:r>
      <w:r w:rsidRPr="005B6E71">
        <w:rPr>
          <w:rFonts w:ascii="Arial" w:hAnsi="Arial" w:cs="Arial"/>
          <w:i/>
          <w:iCs/>
          <w:color w:val="000000"/>
          <w:shd w:val="clear" w:color="auto" w:fill="FFFFFF"/>
          <w:lang w:val="en-PH"/>
        </w:rPr>
        <w:t>International Journal of Endocrinology and Metabolism, 10</w:t>
      </w:r>
      <w:r w:rsidRPr="005B6E71">
        <w:rPr>
          <w:rFonts w:ascii="Arial" w:hAnsi="Arial" w:cs="Arial"/>
          <w:color w:val="000000"/>
          <w:shd w:val="clear" w:color="auto" w:fill="FFFFFF"/>
          <w:lang w:val="en-PH"/>
        </w:rPr>
        <w:t xml:space="preserve">(2), 486–489. </w:t>
      </w:r>
      <w:hyperlink r:id="rId17" w:tgtFrame="_new" w:history="1">
        <w:r w:rsidRPr="005B6E71">
          <w:rPr>
            <w:rStyle w:val="Hyperlink"/>
            <w:rFonts w:ascii="Arial" w:hAnsi="Arial" w:cs="Arial"/>
            <w:shd w:val="clear" w:color="auto" w:fill="FFFFFF"/>
            <w:lang w:val="en-PH"/>
          </w:rPr>
          <w:t>https://doi.org/10.5812/ijem.3505</w:t>
        </w:r>
      </w:hyperlink>
    </w:p>
    <w:p w14:paraId="4A0054B4" w14:textId="77777777" w:rsidR="005B6E71" w:rsidRDefault="005B6E71" w:rsidP="005B6E71">
      <w:pPr>
        <w:tabs>
          <w:tab w:val="left" w:pos="720"/>
        </w:tabs>
        <w:spacing w:line="276" w:lineRule="auto"/>
        <w:ind w:left="720" w:hanging="720"/>
        <w:jc w:val="both"/>
      </w:pPr>
      <w:r w:rsidRPr="005B6E71">
        <w:rPr>
          <w:rFonts w:ascii="Arial" w:hAnsi="Arial" w:cs="Arial"/>
          <w:color w:val="000000"/>
          <w:shd w:val="clear" w:color="auto" w:fill="FFFFFF"/>
          <w:lang w:val="en-PH"/>
        </w:rPr>
        <w:t xml:space="preserve">Howard, C. W., Johnson, A. J., &amp; Switzer, B. R. (2022). The Wilcoxon–Mann–Whitney odds ratio: An assumption-free effect size measure. </w:t>
      </w:r>
      <w:r w:rsidRPr="005B6E71">
        <w:rPr>
          <w:rFonts w:ascii="Arial" w:hAnsi="Arial" w:cs="Arial"/>
          <w:i/>
          <w:iCs/>
          <w:color w:val="000000"/>
          <w:shd w:val="clear" w:color="auto" w:fill="FFFFFF"/>
          <w:lang w:val="en-PH"/>
        </w:rPr>
        <w:t>Journal of Neuroimmunology, 367</w:t>
      </w:r>
      <w:r w:rsidRPr="005B6E71">
        <w:rPr>
          <w:rFonts w:ascii="Arial" w:hAnsi="Arial" w:cs="Arial"/>
          <w:color w:val="000000"/>
          <w:shd w:val="clear" w:color="auto" w:fill="FFFFFF"/>
          <w:lang w:val="en-PH"/>
        </w:rPr>
        <w:t xml:space="preserve">, 577892. </w:t>
      </w:r>
      <w:hyperlink r:id="rId18" w:tgtFrame="_new" w:history="1">
        <w:r w:rsidRPr="005B6E71">
          <w:rPr>
            <w:rStyle w:val="Hyperlink"/>
            <w:rFonts w:ascii="Arial" w:hAnsi="Arial" w:cs="Arial"/>
            <w:shd w:val="clear" w:color="auto" w:fill="FFFFFF"/>
            <w:lang w:val="en-PH"/>
          </w:rPr>
          <w:t>https://doi.org/10.1016/j.jneuroim.2022.577892</w:t>
        </w:r>
      </w:hyperlink>
    </w:p>
    <w:p w14:paraId="7FA385E2" w14:textId="29000112" w:rsidR="00ED775A" w:rsidRDefault="00ED775A" w:rsidP="00ED775A">
      <w:pPr>
        <w:tabs>
          <w:tab w:val="left" w:pos="720"/>
        </w:tabs>
        <w:spacing w:line="276" w:lineRule="auto"/>
        <w:ind w:left="720" w:hanging="720"/>
        <w:jc w:val="both"/>
        <w:rPr>
          <w:rFonts w:ascii="Arial" w:hAnsi="Arial" w:cs="Arial"/>
          <w:color w:val="000000"/>
          <w:shd w:val="clear" w:color="auto" w:fill="FFFFFF"/>
          <w:lang w:val="en-PH"/>
        </w:rPr>
      </w:pPr>
      <w:r w:rsidRPr="00CD58D2">
        <w:rPr>
          <w:rFonts w:ascii="Arial" w:hAnsi="Arial" w:cs="Arial"/>
          <w:color w:val="000000"/>
          <w:shd w:val="clear" w:color="auto" w:fill="FFFFFF"/>
        </w:rPr>
        <w:t xml:space="preserve">Huh, I., &amp; Gim, J. (2025). </w:t>
      </w:r>
      <w:r w:rsidRPr="00CD58D2">
        <w:rPr>
          <w:rFonts w:ascii="Arial" w:hAnsi="Arial" w:cs="Arial"/>
          <w:i/>
          <w:iCs/>
          <w:color w:val="000000"/>
          <w:shd w:val="clear" w:color="auto" w:fill="FFFFFF"/>
        </w:rPr>
        <w:t>Exploration of Likert scale in terms of continuous variable with parametric statistical methods.</w:t>
      </w:r>
      <w:r w:rsidRPr="00CD58D2">
        <w:rPr>
          <w:rFonts w:ascii="Arial" w:hAnsi="Arial" w:cs="Arial"/>
          <w:color w:val="000000"/>
          <w:shd w:val="clear" w:color="auto" w:fill="FFFFFF"/>
        </w:rPr>
        <w:t xml:space="preserve"> </w:t>
      </w:r>
      <w:r w:rsidRPr="00CD58D2">
        <w:rPr>
          <w:rFonts w:ascii="Arial" w:hAnsi="Arial" w:cs="Arial"/>
          <w:i/>
          <w:iCs/>
          <w:color w:val="000000"/>
          <w:shd w:val="clear" w:color="auto" w:fill="FFFFFF"/>
        </w:rPr>
        <w:t>BMC Medical Research Methodology, 25,</w:t>
      </w:r>
      <w:r w:rsidRPr="00CD58D2">
        <w:rPr>
          <w:rFonts w:ascii="Arial" w:hAnsi="Arial" w:cs="Arial"/>
          <w:color w:val="000000"/>
          <w:shd w:val="clear" w:color="auto" w:fill="FFFFFF"/>
        </w:rPr>
        <w:t xml:space="preserve"> Article 218. </w:t>
      </w:r>
      <w:hyperlink r:id="rId19" w:history="1">
        <w:r w:rsidRPr="00FB232C">
          <w:rPr>
            <w:rStyle w:val="Hyperlink"/>
            <w:rFonts w:ascii="Arial" w:hAnsi="Arial" w:cs="Arial"/>
            <w:shd w:val="clear" w:color="auto" w:fill="FFFFFF"/>
          </w:rPr>
          <w:t>https://doi.org/10.1186/s12874-025-02668-1</w:t>
        </w:r>
      </w:hyperlink>
    </w:p>
    <w:p w14:paraId="09BE5270"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r w:rsidRPr="005B6E71">
        <w:rPr>
          <w:rFonts w:ascii="Arial" w:hAnsi="Arial" w:cs="Arial"/>
          <w:color w:val="000000"/>
          <w:shd w:val="clear" w:color="auto" w:fill="FFFFFF"/>
          <w:lang w:val="en-PH"/>
        </w:rPr>
        <w:t xml:space="preserve">Keselman, J. C., Wilcox, R. R., Lix, L. M., Algina, J., &amp; Fradette, L. (2002). A generally robust approach to hypothesis testing in independent and correlated groups designs. </w:t>
      </w:r>
      <w:r w:rsidRPr="005B6E71">
        <w:rPr>
          <w:rFonts w:ascii="Arial" w:hAnsi="Arial" w:cs="Arial"/>
          <w:i/>
          <w:iCs/>
          <w:color w:val="000000"/>
          <w:shd w:val="clear" w:color="auto" w:fill="FFFFFF"/>
          <w:lang w:val="en-PH"/>
        </w:rPr>
        <w:t>Psychophysiology, 39</w:t>
      </w:r>
      <w:r w:rsidRPr="005B6E71">
        <w:rPr>
          <w:rFonts w:ascii="Arial" w:hAnsi="Arial" w:cs="Arial"/>
          <w:color w:val="000000"/>
          <w:shd w:val="clear" w:color="auto" w:fill="FFFFFF"/>
          <w:lang w:val="en-PH"/>
        </w:rPr>
        <w:t xml:space="preserve">(4), 633–646. </w:t>
      </w:r>
      <w:hyperlink r:id="rId20" w:tgtFrame="_new" w:history="1">
        <w:r w:rsidRPr="005B6E71">
          <w:rPr>
            <w:rStyle w:val="Hyperlink"/>
            <w:rFonts w:ascii="Arial" w:hAnsi="Arial" w:cs="Arial"/>
            <w:shd w:val="clear" w:color="auto" w:fill="FFFFFF"/>
            <w:lang w:val="en-PH"/>
          </w:rPr>
          <w:t>https://doi.org/10.1111/1469-8986.3940633</w:t>
        </w:r>
      </w:hyperlink>
    </w:p>
    <w:p w14:paraId="656D4C61"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r w:rsidRPr="005B6E71">
        <w:rPr>
          <w:rFonts w:ascii="Arial" w:hAnsi="Arial" w:cs="Arial"/>
          <w:color w:val="000000"/>
          <w:shd w:val="clear" w:color="auto" w:fill="FFFFFF"/>
          <w:lang w:val="en-PH"/>
        </w:rPr>
        <w:t xml:space="preserve">Kim, T. K. (2015). T-test as a parametric statistic. </w:t>
      </w:r>
      <w:r w:rsidRPr="005B6E71">
        <w:rPr>
          <w:rFonts w:ascii="Arial" w:hAnsi="Arial" w:cs="Arial"/>
          <w:i/>
          <w:iCs/>
          <w:color w:val="000000"/>
          <w:shd w:val="clear" w:color="auto" w:fill="FFFFFF"/>
          <w:lang w:val="en-PH"/>
        </w:rPr>
        <w:t>Korean Journal of Anesthesiology, 68</w:t>
      </w:r>
      <w:r w:rsidRPr="005B6E71">
        <w:rPr>
          <w:rFonts w:ascii="Arial" w:hAnsi="Arial" w:cs="Arial"/>
          <w:color w:val="000000"/>
          <w:shd w:val="clear" w:color="auto" w:fill="FFFFFF"/>
          <w:lang w:val="en-PH"/>
        </w:rPr>
        <w:t xml:space="preserve">(6), 540–546. </w:t>
      </w:r>
      <w:hyperlink r:id="rId21" w:tgtFrame="_new" w:history="1">
        <w:r w:rsidRPr="005B6E71">
          <w:rPr>
            <w:rStyle w:val="Hyperlink"/>
            <w:rFonts w:ascii="Arial" w:hAnsi="Arial" w:cs="Arial"/>
            <w:shd w:val="clear" w:color="auto" w:fill="FFFFFF"/>
            <w:lang w:val="en-PH"/>
          </w:rPr>
          <w:t>https://doi.org/10.4097/kjae.2015.68.6.540</w:t>
        </w:r>
      </w:hyperlink>
    </w:p>
    <w:p w14:paraId="2D182032"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proofErr w:type="spellStart"/>
      <w:r w:rsidRPr="005B6E71">
        <w:rPr>
          <w:rFonts w:ascii="Arial" w:hAnsi="Arial" w:cs="Arial"/>
          <w:color w:val="000000"/>
          <w:shd w:val="clear" w:color="auto" w:fill="FFFFFF"/>
          <w:lang w:val="en-PH"/>
        </w:rPr>
        <w:t>Mircioiu</w:t>
      </w:r>
      <w:proofErr w:type="spellEnd"/>
      <w:r w:rsidRPr="005B6E71">
        <w:rPr>
          <w:rFonts w:ascii="Arial" w:hAnsi="Arial" w:cs="Arial"/>
          <w:color w:val="000000"/>
          <w:shd w:val="clear" w:color="auto" w:fill="FFFFFF"/>
          <w:lang w:val="en-PH"/>
        </w:rPr>
        <w:t xml:space="preserve">, C., &amp; Atkinson, J. (2017). A comparison of parametric and non-parametric methods applied to a Likert scale. </w:t>
      </w:r>
      <w:r w:rsidRPr="005B6E71">
        <w:rPr>
          <w:rFonts w:ascii="Arial" w:hAnsi="Arial" w:cs="Arial"/>
          <w:i/>
          <w:iCs/>
          <w:color w:val="000000"/>
          <w:shd w:val="clear" w:color="auto" w:fill="FFFFFF"/>
          <w:lang w:val="en-PH"/>
        </w:rPr>
        <w:t>Pharmacy, 5</w:t>
      </w:r>
      <w:r w:rsidRPr="005B6E71">
        <w:rPr>
          <w:rFonts w:ascii="Arial" w:hAnsi="Arial" w:cs="Arial"/>
          <w:color w:val="000000"/>
          <w:shd w:val="clear" w:color="auto" w:fill="FFFFFF"/>
          <w:lang w:val="en-PH"/>
        </w:rPr>
        <w:t xml:space="preserve">(2), Article 26. </w:t>
      </w:r>
      <w:hyperlink r:id="rId22" w:tgtFrame="_new" w:history="1">
        <w:r w:rsidRPr="005B6E71">
          <w:rPr>
            <w:rStyle w:val="Hyperlink"/>
            <w:rFonts w:ascii="Arial" w:hAnsi="Arial" w:cs="Arial"/>
            <w:shd w:val="clear" w:color="auto" w:fill="FFFFFF"/>
            <w:lang w:val="en-PH"/>
          </w:rPr>
          <w:t>https://doi.org/10.3390/pharmacy5020026</w:t>
        </w:r>
      </w:hyperlink>
    </w:p>
    <w:p w14:paraId="1197FAC7"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proofErr w:type="spellStart"/>
      <w:r w:rsidRPr="005B6E71">
        <w:rPr>
          <w:rFonts w:ascii="Arial" w:hAnsi="Arial" w:cs="Arial"/>
          <w:color w:val="000000"/>
          <w:shd w:val="clear" w:color="auto" w:fill="FFFFFF"/>
          <w:lang w:val="en-PH"/>
        </w:rPr>
        <w:t>Orcan</w:t>
      </w:r>
      <w:proofErr w:type="spellEnd"/>
      <w:r w:rsidRPr="005B6E71">
        <w:rPr>
          <w:rFonts w:ascii="Arial" w:hAnsi="Arial" w:cs="Arial"/>
          <w:color w:val="000000"/>
          <w:shd w:val="clear" w:color="auto" w:fill="FFFFFF"/>
          <w:lang w:val="en-PH"/>
        </w:rPr>
        <w:t xml:space="preserve">, F. (2020). Parametric or non-parametric: Skewness to test normality for mean comparison. </w:t>
      </w:r>
      <w:r w:rsidRPr="005B6E71">
        <w:rPr>
          <w:rFonts w:ascii="Arial" w:hAnsi="Arial" w:cs="Arial"/>
          <w:i/>
          <w:iCs/>
          <w:color w:val="000000"/>
          <w:shd w:val="clear" w:color="auto" w:fill="FFFFFF"/>
          <w:lang w:val="en-PH"/>
        </w:rPr>
        <w:t>International Journal of Assessment Tools in Education, 7</w:t>
      </w:r>
      <w:r w:rsidRPr="005B6E71">
        <w:rPr>
          <w:rFonts w:ascii="Arial" w:hAnsi="Arial" w:cs="Arial"/>
          <w:color w:val="000000"/>
          <w:shd w:val="clear" w:color="auto" w:fill="FFFFFF"/>
          <w:lang w:val="en-PH"/>
        </w:rPr>
        <w:t xml:space="preserve">(2), 255–265. </w:t>
      </w:r>
      <w:hyperlink r:id="rId23" w:tgtFrame="_new" w:history="1">
        <w:r w:rsidRPr="005B6E71">
          <w:rPr>
            <w:rStyle w:val="Hyperlink"/>
            <w:rFonts w:ascii="Arial" w:hAnsi="Arial" w:cs="Arial"/>
            <w:shd w:val="clear" w:color="auto" w:fill="FFFFFF"/>
            <w:lang w:val="en-PH"/>
          </w:rPr>
          <w:t>https://doi.org/10.21449/ijate.656077</w:t>
        </w:r>
      </w:hyperlink>
    </w:p>
    <w:p w14:paraId="0E7C6B41"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r w:rsidRPr="005B6E71">
        <w:rPr>
          <w:rFonts w:ascii="Arial" w:hAnsi="Arial" w:cs="Arial"/>
          <w:color w:val="000000"/>
          <w:shd w:val="clear" w:color="auto" w:fill="FFFFFF"/>
          <w:lang w:val="en-PH"/>
        </w:rPr>
        <w:t xml:space="preserve">Şimşek, A. S. (2023). The power and Type I error of Wilcoxon–Mann–Whitney, Welch’s t, and Student’s t tests for Likert-type data. </w:t>
      </w:r>
      <w:r w:rsidRPr="005B6E71">
        <w:rPr>
          <w:rFonts w:ascii="Arial" w:hAnsi="Arial" w:cs="Arial"/>
          <w:i/>
          <w:iCs/>
          <w:color w:val="000000"/>
          <w:shd w:val="clear" w:color="auto" w:fill="FFFFFF"/>
          <w:lang w:val="en-PH"/>
        </w:rPr>
        <w:t>International Journal of Assessment Tools in Education, 10</w:t>
      </w:r>
      <w:r w:rsidRPr="005B6E71">
        <w:rPr>
          <w:rFonts w:ascii="Arial" w:hAnsi="Arial" w:cs="Arial"/>
          <w:color w:val="000000"/>
          <w:shd w:val="clear" w:color="auto" w:fill="FFFFFF"/>
          <w:lang w:val="en-PH"/>
        </w:rPr>
        <w:t xml:space="preserve">(1), 114–128. </w:t>
      </w:r>
      <w:hyperlink r:id="rId24" w:tgtFrame="_new" w:history="1">
        <w:r w:rsidRPr="005B6E71">
          <w:rPr>
            <w:rStyle w:val="Hyperlink"/>
            <w:rFonts w:ascii="Arial" w:hAnsi="Arial" w:cs="Arial"/>
            <w:shd w:val="clear" w:color="auto" w:fill="FFFFFF"/>
            <w:lang w:val="en-PH"/>
          </w:rPr>
          <w:t>https://doi.org/10.21449/ijate.1183622</w:t>
        </w:r>
      </w:hyperlink>
    </w:p>
    <w:p w14:paraId="562B509D"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r w:rsidRPr="005B6E71">
        <w:rPr>
          <w:rFonts w:ascii="Arial" w:hAnsi="Arial" w:cs="Arial"/>
          <w:color w:val="000000"/>
          <w:shd w:val="clear" w:color="auto" w:fill="FFFFFF"/>
          <w:lang w:val="en-PH"/>
        </w:rPr>
        <w:t xml:space="preserve">Skene, S. S., Bunce, C., Freemantle, N., Doré, C. J., &amp; Ophthalmic Statistics Group. (2016). Ophthalmic statistics note 9: Parametric versus non-parametric methods for data analysis. </w:t>
      </w:r>
      <w:r w:rsidRPr="005B6E71">
        <w:rPr>
          <w:rFonts w:ascii="Arial" w:hAnsi="Arial" w:cs="Arial"/>
          <w:i/>
          <w:iCs/>
          <w:color w:val="000000"/>
          <w:shd w:val="clear" w:color="auto" w:fill="FFFFFF"/>
          <w:lang w:val="en-PH"/>
        </w:rPr>
        <w:t>The British Journal of Ophthalmology, 100</w:t>
      </w:r>
      <w:r w:rsidRPr="005B6E71">
        <w:rPr>
          <w:rFonts w:ascii="Arial" w:hAnsi="Arial" w:cs="Arial"/>
          <w:color w:val="000000"/>
          <w:shd w:val="clear" w:color="auto" w:fill="FFFFFF"/>
          <w:lang w:val="en-PH"/>
        </w:rPr>
        <w:t xml:space="preserve">(7), 877–878. </w:t>
      </w:r>
      <w:hyperlink r:id="rId25" w:tgtFrame="_new" w:history="1">
        <w:r w:rsidRPr="005B6E71">
          <w:rPr>
            <w:rStyle w:val="Hyperlink"/>
            <w:rFonts w:ascii="Arial" w:hAnsi="Arial" w:cs="Arial"/>
            <w:shd w:val="clear" w:color="auto" w:fill="FFFFFF"/>
            <w:lang w:val="en-PH"/>
          </w:rPr>
          <w:t>https://doi.org/10.1136/bjophthalmol-2015-308252</w:t>
        </w:r>
      </w:hyperlink>
    </w:p>
    <w:p w14:paraId="56C0731F"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r w:rsidRPr="005B6E71">
        <w:rPr>
          <w:rFonts w:ascii="Arial" w:hAnsi="Arial" w:cs="Arial"/>
          <w:color w:val="000000"/>
          <w:shd w:val="clear" w:color="auto" w:fill="FFFFFF"/>
          <w:lang w:val="en-PH"/>
        </w:rPr>
        <w:t xml:space="preserve">Zimmerman, D. W. (2004). A Monte Carlo study of the robustness of the t test to moderate departures from normality. </w:t>
      </w:r>
      <w:r w:rsidRPr="005B6E71">
        <w:rPr>
          <w:rFonts w:ascii="Arial" w:hAnsi="Arial" w:cs="Arial"/>
          <w:i/>
          <w:iCs/>
          <w:color w:val="000000"/>
          <w:shd w:val="clear" w:color="auto" w:fill="FFFFFF"/>
          <w:lang w:val="en-PH"/>
        </w:rPr>
        <w:t>Canadian Journal of Experimental Psychology, 58</w:t>
      </w:r>
      <w:r w:rsidRPr="005B6E71">
        <w:rPr>
          <w:rFonts w:ascii="Arial" w:hAnsi="Arial" w:cs="Arial"/>
          <w:color w:val="000000"/>
          <w:shd w:val="clear" w:color="auto" w:fill="FFFFFF"/>
          <w:lang w:val="en-PH"/>
        </w:rPr>
        <w:t xml:space="preserve">(3), 176–189. </w:t>
      </w:r>
      <w:hyperlink r:id="rId26" w:tgtFrame="_new" w:history="1">
        <w:r w:rsidRPr="005B6E71">
          <w:rPr>
            <w:rStyle w:val="Hyperlink"/>
            <w:rFonts w:ascii="Arial" w:hAnsi="Arial" w:cs="Arial"/>
            <w:shd w:val="clear" w:color="auto" w:fill="FFFFFF"/>
            <w:lang w:val="en-PH"/>
          </w:rPr>
          <w:t>https://doi.org/10.1037/h0087440</w:t>
        </w:r>
      </w:hyperlink>
    </w:p>
    <w:p w14:paraId="300D4F2B"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r w:rsidRPr="005B6E71">
        <w:rPr>
          <w:rFonts w:ascii="Arial" w:hAnsi="Arial" w:cs="Arial"/>
          <w:color w:val="000000"/>
          <w:shd w:val="clear" w:color="auto" w:fill="FFFFFF"/>
          <w:lang w:val="en-PH"/>
        </w:rPr>
        <w:t xml:space="preserve">The </w:t>
      </w:r>
      <w:proofErr w:type="spellStart"/>
      <w:r w:rsidRPr="005B6E71">
        <w:rPr>
          <w:rFonts w:ascii="Arial" w:hAnsi="Arial" w:cs="Arial"/>
          <w:color w:val="000000"/>
          <w:shd w:val="clear" w:color="auto" w:fill="FFFFFF"/>
          <w:lang w:val="en-PH"/>
        </w:rPr>
        <w:t>Jamovi</w:t>
      </w:r>
      <w:proofErr w:type="spellEnd"/>
      <w:r w:rsidRPr="005B6E71">
        <w:rPr>
          <w:rFonts w:ascii="Arial" w:hAnsi="Arial" w:cs="Arial"/>
          <w:color w:val="000000"/>
          <w:shd w:val="clear" w:color="auto" w:fill="FFFFFF"/>
          <w:lang w:val="en-PH"/>
        </w:rPr>
        <w:t xml:space="preserve"> Project. (2024). </w:t>
      </w:r>
      <w:proofErr w:type="spellStart"/>
      <w:r w:rsidRPr="005B6E71">
        <w:rPr>
          <w:rFonts w:ascii="Arial" w:hAnsi="Arial" w:cs="Arial"/>
          <w:i/>
          <w:iCs/>
          <w:color w:val="000000"/>
          <w:shd w:val="clear" w:color="auto" w:fill="FFFFFF"/>
          <w:lang w:val="en-PH"/>
        </w:rPr>
        <w:t>Jamovi</w:t>
      </w:r>
      <w:proofErr w:type="spellEnd"/>
      <w:r w:rsidRPr="005B6E71">
        <w:rPr>
          <w:rFonts w:ascii="Arial" w:hAnsi="Arial" w:cs="Arial"/>
          <w:color w:val="000000"/>
          <w:shd w:val="clear" w:color="auto" w:fill="FFFFFF"/>
          <w:lang w:val="en-PH"/>
        </w:rPr>
        <w:t xml:space="preserve"> (Version 2.6) [Computer software]. </w:t>
      </w:r>
      <w:hyperlink r:id="rId27" w:tgtFrame="_new" w:history="1">
        <w:r w:rsidRPr="005B6E71">
          <w:rPr>
            <w:rStyle w:val="Hyperlink"/>
            <w:rFonts w:ascii="Arial" w:hAnsi="Arial" w:cs="Arial"/>
            <w:shd w:val="clear" w:color="auto" w:fill="FFFFFF"/>
            <w:lang w:val="en-PH"/>
          </w:rPr>
          <w:t>https://www.jamovi.org</w:t>
        </w:r>
      </w:hyperlink>
    </w:p>
    <w:p w14:paraId="2ACD524C" w14:textId="77777777" w:rsidR="00AD2A2A" w:rsidRPr="00FB3A86" w:rsidRDefault="00AD2A2A" w:rsidP="00AD2A2A">
      <w:pPr>
        <w:pStyle w:val="Appendix"/>
        <w:spacing w:after="0"/>
        <w:jc w:val="both"/>
        <w:rPr>
          <w:rFonts w:ascii="Arial" w:hAnsi="Arial" w:cs="Arial"/>
          <w:b w:val="0"/>
        </w:rPr>
      </w:pPr>
    </w:p>
    <w:sectPr w:rsidR="00AD2A2A" w:rsidRPr="00FB3A86" w:rsidSect="0049703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C97DB" w14:textId="77777777" w:rsidR="00C9575E" w:rsidRDefault="00C9575E" w:rsidP="00C37E61">
      <w:r>
        <w:separator/>
      </w:r>
    </w:p>
  </w:endnote>
  <w:endnote w:type="continuationSeparator" w:id="0">
    <w:p w14:paraId="0727197C" w14:textId="77777777" w:rsidR="00C9575E" w:rsidRDefault="00C957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1BEB5" w14:textId="77777777" w:rsidR="00497031" w:rsidRDefault="00497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2F12B" w14:textId="77777777" w:rsidR="00497031" w:rsidRDefault="004970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79EA6" w14:textId="77777777" w:rsidR="009E048A" w:rsidRDefault="009E048A">
    <w:pPr>
      <w:pStyle w:val="Footer"/>
      <w:rPr>
        <w:rFonts w:ascii="Arial" w:hAnsi="Arial" w:cs="Arial"/>
        <w:sz w:val="16"/>
      </w:rPr>
    </w:pPr>
  </w:p>
  <w:p w14:paraId="195E0AD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7D3A1D7" w14:textId="77777777" w:rsidR="009E048A" w:rsidRDefault="009E048A">
    <w:pPr>
      <w:pStyle w:val="Footer"/>
      <w:rPr>
        <w:rFonts w:ascii="Arial" w:hAnsi="Arial" w:cs="Arial"/>
        <w:sz w:val="16"/>
      </w:rPr>
    </w:pPr>
  </w:p>
  <w:p w14:paraId="1CF4A1F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26A36" w14:textId="77777777" w:rsidR="00C9575E" w:rsidRDefault="00C9575E" w:rsidP="00C37E61">
      <w:r>
        <w:separator/>
      </w:r>
    </w:p>
  </w:footnote>
  <w:footnote w:type="continuationSeparator" w:id="0">
    <w:p w14:paraId="7AB5E819" w14:textId="77777777" w:rsidR="00C9575E" w:rsidRDefault="00C957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28C6D" w14:textId="305573F6" w:rsidR="00497031" w:rsidRDefault="00C9575E">
    <w:pPr>
      <w:pStyle w:val="Header"/>
    </w:pPr>
    <w:r>
      <w:rPr>
        <w:noProof/>
      </w:rPr>
      <w:pict w14:anchorId="64EB4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622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DE5FA" w14:textId="7B9C811B" w:rsidR="00497031" w:rsidRDefault="00C9575E">
    <w:pPr>
      <w:pStyle w:val="Header"/>
    </w:pPr>
    <w:r>
      <w:rPr>
        <w:noProof/>
      </w:rPr>
      <w:pict w14:anchorId="30850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622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6A739" w14:textId="476E52C3" w:rsidR="00296529" w:rsidRPr="00296529" w:rsidRDefault="00C9575E" w:rsidP="00296529">
    <w:pPr>
      <w:ind w:left="2160"/>
      <w:jc w:val="center"/>
      <w:rPr>
        <w:rFonts w:ascii="Times New Roman" w:eastAsia="Calibri" w:hAnsi="Times New Roman"/>
        <w:i/>
        <w:sz w:val="18"/>
        <w:szCs w:val="22"/>
      </w:rPr>
    </w:pPr>
    <w:r>
      <w:rPr>
        <w:noProof/>
      </w:rPr>
      <w:pict w14:anchorId="77D52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622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2EA17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999B1A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40A9E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C408F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99E9F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5B08B1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94973"/>
    <w:multiLevelType w:val="multilevel"/>
    <w:tmpl w:val="24F4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1478B0"/>
    <w:multiLevelType w:val="hybridMultilevel"/>
    <w:tmpl w:val="335A626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7C2ACF"/>
    <w:multiLevelType w:val="hybridMultilevel"/>
    <w:tmpl w:val="E34A4C7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28"/>
  </w:num>
  <w:num w:numId="10">
    <w:abstractNumId w:val="3"/>
  </w:num>
  <w:num w:numId="11">
    <w:abstractNumId w:val="21"/>
  </w:num>
  <w:num w:numId="12">
    <w:abstractNumId w:val="4"/>
  </w:num>
  <w:num w:numId="13">
    <w:abstractNumId w:val="20"/>
  </w:num>
  <w:num w:numId="14">
    <w:abstractNumId w:val="9"/>
  </w:num>
  <w:num w:numId="15">
    <w:abstractNumId w:val="24"/>
  </w:num>
  <w:num w:numId="16">
    <w:abstractNumId w:val="6"/>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5"/>
  </w:num>
  <w:num w:numId="26">
    <w:abstractNumId w:val="18"/>
  </w:num>
  <w:num w:numId="27">
    <w:abstractNumId w:val="23"/>
  </w:num>
  <w:num w:numId="28">
    <w:abstractNumId w:val="30"/>
  </w:num>
  <w:num w:numId="29">
    <w:abstractNumId w:val="27"/>
  </w:num>
  <w:num w:numId="30">
    <w:abstractNumId w:val="12"/>
  </w:num>
  <w:num w:numId="31">
    <w:abstractNumId w:val="10"/>
  </w:num>
  <w:num w:numId="32">
    <w:abstractNumId w:val="1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xtTQxNLSwtLQ0NTZR0lEKTi0uzszPAykwqgUA2+MZmSwAAAA="/>
  </w:docVars>
  <w:rsids>
    <w:rsidRoot w:val="00AA6219"/>
    <w:rsid w:val="00000F8F"/>
    <w:rsid w:val="00015518"/>
    <w:rsid w:val="00030174"/>
    <w:rsid w:val="0004579C"/>
    <w:rsid w:val="000626A0"/>
    <w:rsid w:val="000A47FA"/>
    <w:rsid w:val="000A65D3"/>
    <w:rsid w:val="000B1E33"/>
    <w:rsid w:val="000D689F"/>
    <w:rsid w:val="000E7B7B"/>
    <w:rsid w:val="000E7D62"/>
    <w:rsid w:val="00103357"/>
    <w:rsid w:val="00123C9F"/>
    <w:rsid w:val="00126190"/>
    <w:rsid w:val="00130F17"/>
    <w:rsid w:val="001320BF"/>
    <w:rsid w:val="00163BC4"/>
    <w:rsid w:val="00183AD9"/>
    <w:rsid w:val="00186688"/>
    <w:rsid w:val="00191062"/>
    <w:rsid w:val="00192B72"/>
    <w:rsid w:val="001A29D8"/>
    <w:rsid w:val="001A5CAA"/>
    <w:rsid w:val="001B0427"/>
    <w:rsid w:val="001D3A51"/>
    <w:rsid w:val="001E10D2"/>
    <w:rsid w:val="001E25B4"/>
    <w:rsid w:val="001E44FE"/>
    <w:rsid w:val="001F2EC4"/>
    <w:rsid w:val="001F546B"/>
    <w:rsid w:val="001F6DDB"/>
    <w:rsid w:val="00200595"/>
    <w:rsid w:val="00204835"/>
    <w:rsid w:val="0021141B"/>
    <w:rsid w:val="00231920"/>
    <w:rsid w:val="0023195C"/>
    <w:rsid w:val="0024282C"/>
    <w:rsid w:val="002460DC"/>
    <w:rsid w:val="00250985"/>
    <w:rsid w:val="002556F6"/>
    <w:rsid w:val="002668B4"/>
    <w:rsid w:val="00283105"/>
    <w:rsid w:val="00284C4C"/>
    <w:rsid w:val="00287E68"/>
    <w:rsid w:val="00293620"/>
    <w:rsid w:val="00296529"/>
    <w:rsid w:val="002A220F"/>
    <w:rsid w:val="002B27FB"/>
    <w:rsid w:val="002B685A"/>
    <w:rsid w:val="002C57D2"/>
    <w:rsid w:val="002E0D56"/>
    <w:rsid w:val="00312DCB"/>
    <w:rsid w:val="00315186"/>
    <w:rsid w:val="0033343E"/>
    <w:rsid w:val="003512C2"/>
    <w:rsid w:val="00371FB6"/>
    <w:rsid w:val="003763C1"/>
    <w:rsid w:val="00376BBE"/>
    <w:rsid w:val="0039224F"/>
    <w:rsid w:val="003A43A4"/>
    <w:rsid w:val="003A7E18"/>
    <w:rsid w:val="003C4C86"/>
    <w:rsid w:val="003C6258"/>
    <w:rsid w:val="003D3AD7"/>
    <w:rsid w:val="003E2904"/>
    <w:rsid w:val="003F3A31"/>
    <w:rsid w:val="00401927"/>
    <w:rsid w:val="0041027F"/>
    <w:rsid w:val="00412475"/>
    <w:rsid w:val="00423789"/>
    <w:rsid w:val="00440F43"/>
    <w:rsid w:val="00441B6F"/>
    <w:rsid w:val="00446221"/>
    <w:rsid w:val="00447F9A"/>
    <w:rsid w:val="00450E62"/>
    <w:rsid w:val="004539DB"/>
    <w:rsid w:val="0047109D"/>
    <w:rsid w:val="00471A80"/>
    <w:rsid w:val="00497031"/>
    <w:rsid w:val="004D305E"/>
    <w:rsid w:val="004D4277"/>
    <w:rsid w:val="00502516"/>
    <w:rsid w:val="00503885"/>
    <w:rsid w:val="00505D5A"/>
    <w:rsid w:val="00505F06"/>
    <w:rsid w:val="00506828"/>
    <w:rsid w:val="00520134"/>
    <w:rsid w:val="0053056E"/>
    <w:rsid w:val="00554FDA"/>
    <w:rsid w:val="00565ABD"/>
    <w:rsid w:val="0058549A"/>
    <w:rsid w:val="005B6E71"/>
    <w:rsid w:val="005C784C"/>
    <w:rsid w:val="005D17F6"/>
    <w:rsid w:val="005E5539"/>
    <w:rsid w:val="005F3236"/>
    <w:rsid w:val="005F4404"/>
    <w:rsid w:val="00602BF5"/>
    <w:rsid w:val="00617FDD"/>
    <w:rsid w:val="00633614"/>
    <w:rsid w:val="00633F68"/>
    <w:rsid w:val="00636EB2"/>
    <w:rsid w:val="006375B8"/>
    <w:rsid w:val="0066510A"/>
    <w:rsid w:val="00673F9F"/>
    <w:rsid w:val="00686953"/>
    <w:rsid w:val="00687DEA"/>
    <w:rsid w:val="00687E67"/>
    <w:rsid w:val="006902FF"/>
    <w:rsid w:val="006967F7"/>
    <w:rsid w:val="006A250C"/>
    <w:rsid w:val="006A58B1"/>
    <w:rsid w:val="006B21D3"/>
    <w:rsid w:val="006B57D0"/>
    <w:rsid w:val="006C3419"/>
    <w:rsid w:val="006D30FF"/>
    <w:rsid w:val="006D5CD5"/>
    <w:rsid w:val="006D6940"/>
    <w:rsid w:val="006F11EC"/>
    <w:rsid w:val="006F18B8"/>
    <w:rsid w:val="0070082C"/>
    <w:rsid w:val="007369E6"/>
    <w:rsid w:val="0074694F"/>
    <w:rsid w:val="00746E59"/>
    <w:rsid w:val="00754B79"/>
    <w:rsid w:val="00754C9A"/>
    <w:rsid w:val="0075599A"/>
    <w:rsid w:val="00761D52"/>
    <w:rsid w:val="0077749E"/>
    <w:rsid w:val="00782915"/>
    <w:rsid w:val="00790ADA"/>
    <w:rsid w:val="007D2288"/>
    <w:rsid w:val="007E088F"/>
    <w:rsid w:val="007F7B32"/>
    <w:rsid w:val="00804BC2"/>
    <w:rsid w:val="00812731"/>
    <w:rsid w:val="00813220"/>
    <w:rsid w:val="0081431A"/>
    <w:rsid w:val="00827AA6"/>
    <w:rsid w:val="0083216F"/>
    <w:rsid w:val="00860000"/>
    <w:rsid w:val="00863BD3"/>
    <w:rsid w:val="008641ED"/>
    <w:rsid w:val="00866D66"/>
    <w:rsid w:val="008671C6"/>
    <w:rsid w:val="00875803"/>
    <w:rsid w:val="008B3671"/>
    <w:rsid w:val="008B459E"/>
    <w:rsid w:val="008C38F3"/>
    <w:rsid w:val="008E0862"/>
    <w:rsid w:val="008E13AE"/>
    <w:rsid w:val="008E1506"/>
    <w:rsid w:val="008E5351"/>
    <w:rsid w:val="008E710C"/>
    <w:rsid w:val="008F69D6"/>
    <w:rsid w:val="00902823"/>
    <w:rsid w:val="00902F0A"/>
    <w:rsid w:val="00905405"/>
    <w:rsid w:val="00915CA6"/>
    <w:rsid w:val="00927834"/>
    <w:rsid w:val="00935275"/>
    <w:rsid w:val="009500A6"/>
    <w:rsid w:val="0095300A"/>
    <w:rsid w:val="00957C18"/>
    <w:rsid w:val="009659BA"/>
    <w:rsid w:val="00983040"/>
    <w:rsid w:val="009B3FB9"/>
    <w:rsid w:val="009C2465"/>
    <w:rsid w:val="009C615C"/>
    <w:rsid w:val="009D35A0"/>
    <w:rsid w:val="009D7EB7"/>
    <w:rsid w:val="009E048A"/>
    <w:rsid w:val="009E08E9"/>
    <w:rsid w:val="009E3DB9"/>
    <w:rsid w:val="009E6E35"/>
    <w:rsid w:val="009F0EDA"/>
    <w:rsid w:val="009F65FD"/>
    <w:rsid w:val="00A03B96"/>
    <w:rsid w:val="00A05B19"/>
    <w:rsid w:val="00A1134E"/>
    <w:rsid w:val="00A24E7E"/>
    <w:rsid w:val="00A258C3"/>
    <w:rsid w:val="00A347C0"/>
    <w:rsid w:val="00A51431"/>
    <w:rsid w:val="00A539AD"/>
    <w:rsid w:val="00A808FE"/>
    <w:rsid w:val="00A94063"/>
    <w:rsid w:val="00AA58F6"/>
    <w:rsid w:val="00AA6219"/>
    <w:rsid w:val="00AA74E0"/>
    <w:rsid w:val="00AB703F"/>
    <w:rsid w:val="00AC6BB8"/>
    <w:rsid w:val="00AD2A2A"/>
    <w:rsid w:val="00AE008F"/>
    <w:rsid w:val="00B01FCD"/>
    <w:rsid w:val="00B1776C"/>
    <w:rsid w:val="00B52583"/>
    <w:rsid w:val="00B52896"/>
    <w:rsid w:val="00B6372B"/>
    <w:rsid w:val="00B7118D"/>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6361"/>
    <w:rsid w:val="00C70F1B"/>
    <w:rsid w:val="00C71A47"/>
    <w:rsid w:val="00C7464C"/>
    <w:rsid w:val="00C85588"/>
    <w:rsid w:val="00C9575E"/>
    <w:rsid w:val="00CD6755"/>
    <w:rsid w:val="00CD6856"/>
    <w:rsid w:val="00CE0089"/>
    <w:rsid w:val="00CE5074"/>
    <w:rsid w:val="00CE793C"/>
    <w:rsid w:val="00CF193C"/>
    <w:rsid w:val="00D173F1"/>
    <w:rsid w:val="00D74CB0"/>
    <w:rsid w:val="00D8295D"/>
    <w:rsid w:val="00DC092B"/>
    <w:rsid w:val="00DC2A65"/>
    <w:rsid w:val="00DC7006"/>
    <w:rsid w:val="00DE15F0"/>
    <w:rsid w:val="00DE5663"/>
    <w:rsid w:val="00DE78AA"/>
    <w:rsid w:val="00E01185"/>
    <w:rsid w:val="00E053D0"/>
    <w:rsid w:val="00E06491"/>
    <w:rsid w:val="00E15994"/>
    <w:rsid w:val="00E3114E"/>
    <w:rsid w:val="00E31A70"/>
    <w:rsid w:val="00E35B02"/>
    <w:rsid w:val="00E3697D"/>
    <w:rsid w:val="00E66496"/>
    <w:rsid w:val="00E66B35"/>
    <w:rsid w:val="00E66E10"/>
    <w:rsid w:val="00E769F6"/>
    <w:rsid w:val="00E83C29"/>
    <w:rsid w:val="00E8407C"/>
    <w:rsid w:val="00E84F3C"/>
    <w:rsid w:val="00EA012C"/>
    <w:rsid w:val="00EA75C2"/>
    <w:rsid w:val="00EC6A55"/>
    <w:rsid w:val="00ED0288"/>
    <w:rsid w:val="00ED775A"/>
    <w:rsid w:val="00EE49D1"/>
    <w:rsid w:val="00EE52CB"/>
    <w:rsid w:val="00EE5FFE"/>
    <w:rsid w:val="00EF4047"/>
    <w:rsid w:val="00EF581D"/>
    <w:rsid w:val="00EF7FD8"/>
    <w:rsid w:val="00F06F59"/>
    <w:rsid w:val="00F17988"/>
    <w:rsid w:val="00F469F0"/>
    <w:rsid w:val="00F53273"/>
    <w:rsid w:val="00F755E4"/>
    <w:rsid w:val="00F77D02"/>
    <w:rsid w:val="00F83056"/>
    <w:rsid w:val="00FA25EF"/>
    <w:rsid w:val="00FB3A86"/>
    <w:rsid w:val="00FC655B"/>
    <w:rsid w:val="00FD36C8"/>
    <w:rsid w:val="00FD75DE"/>
    <w:rsid w:val="00FE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17695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155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AD2A2A"/>
    <w:rPr>
      <w:b/>
      <w:bCs/>
    </w:rPr>
  </w:style>
  <w:style w:type="table" w:styleId="PlainTable2">
    <w:name w:val="Plain Table 2"/>
    <w:basedOn w:val="TableNormal"/>
    <w:uiPriority w:val="42"/>
    <w:rsid w:val="00AD2A2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015518"/>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EE5FFE"/>
    <w:rPr>
      <w:rFonts w:ascii="Times New Roman" w:hAnsi="Times New Roman"/>
      <w:sz w:val="24"/>
      <w:szCs w:val="24"/>
    </w:rPr>
  </w:style>
  <w:style w:type="character" w:styleId="UnresolvedMention">
    <w:name w:val="Unresolved Mention"/>
    <w:basedOn w:val="DefaultParagraphFont"/>
    <w:uiPriority w:val="99"/>
    <w:semiHidden/>
    <w:unhideWhenUsed/>
    <w:rsid w:val="00ED7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017211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9526261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4373562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364824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jneuroim.2022.577892" TargetMode="External"/><Relationship Id="rId26" Type="http://schemas.openxmlformats.org/officeDocument/2006/relationships/hyperlink" Target="https://doi.org/10.1037/h0087440" TargetMode="External"/><Relationship Id="rId3" Type="http://schemas.openxmlformats.org/officeDocument/2006/relationships/styles" Target="styles.xml"/><Relationship Id="rId21" Type="http://schemas.openxmlformats.org/officeDocument/2006/relationships/hyperlink" Target="https://doi.org/10.4097/kjae.2015.68.6.54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812/ijem.3505" TargetMode="External"/><Relationship Id="rId25" Type="http://schemas.openxmlformats.org/officeDocument/2006/relationships/hyperlink" Target="https://doi.org/10.1136/bjophthalmol-2015-308252" TargetMode="External"/><Relationship Id="rId2" Type="http://schemas.openxmlformats.org/officeDocument/2006/relationships/numbering" Target="numbering.xml"/><Relationship Id="rId16" Type="http://schemas.openxmlformats.org/officeDocument/2006/relationships/hyperlink" Target="https://doi.org/10.3758/BRM.41.4.1149" TargetMode="External"/><Relationship Id="rId20" Type="http://schemas.openxmlformats.org/officeDocument/2006/relationships/hyperlink" Target="https://doi.org/10.1111/1469-8986.394063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1449/ijate.1183622" TargetMode="External"/><Relationship Id="rId5" Type="http://schemas.openxmlformats.org/officeDocument/2006/relationships/webSettings" Target="webSettings.xml"/><Relationship Id="rId15" Type="http://schemas.openxmlformats.org/officeDocument/2006/relationships/hyperlink" Target="https://pareonline.net/getvn.asp?v=15&amp;n=11" TargetMode="External"/><Relationship Id="rId23" Type="http://schemas.openxmlformats.org/officeDocument/2006/relationships/hyperlink" Target="https://doi.org/10.21449/ijate.656077"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186/s12874-025-02668-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334/irsp.82" TargetMode="External"/><Relationship Id="rId22" Type="http://schemas.openxmlformats.org/officeDocument/2006/relationships/hyperlink" Target="https://doi.org/10.3390/pharmacy5020026" TargetMode="External"/><Relationship Id="rId27" Type="http://schemas.openxmlformats.org/officeDocument/2006/relationships/hyperlink" Target="https://www.jamov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56C0D-E81C-46D8-AC87-0C9BF521C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506</TotalTime>
  <Pages>10</Pages>
  <Words>4240</Words>
  <Characters>24170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28354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27</cp:revision>
  <cp:lastPrinted>1999-07-06T11:00:00Z</cp:lastPrinted>
  <dcterms:created xsi:type="dcterms:W3CDTF">2025-04-29T12:33:00Z</dcterms:created>
  <dcterms:modified xsi:type="dcterms:W3CDTF">2025-11-01T08:38:00Z</dcterms:modified>
</cp:coreProperties>
</file>