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7D9D" w14:textId="77777777" w:rsidR="00CB6535" w:rsidRDefault="008665FD">
      <w:pPr>
        <w:spacing w:before="100" w:beforeAutospacing="1" w:after="100" w:afterAutospacing="1" w:line="240" w:lineRule="auto"/>
        <w:jc w:val="center"/>
        <w:outlineLvl w:val="0"/>
        <w:rPr>
          <w:rFonts w:eastAsia="Times New Roman" w:cs="Times New Roman"/>
          <w:b/>
          <w:bCs/>
          <w:kern w:val="36"/>
          <w:sz w:val="28"/>
          <w:szCs w:val="28"/>
        </w:rPr>
      </w:pPr>
      <w:r>
        <w:rPr>
          <w:rFonts w:eastAsia="Times New Roman" w:cs="Times New Roman"/>
          <w:b/>
          <w:bCs/>
          <w:kern w:val="36"/>
          <w:sz w:val="28"/>
          <w:szCs w:val="28"/>
        </w:rPr>
        <w:t>Application of Okra Seed Extract as Natural Coagulant for Clay Suspension Treatment in Alluvial Mining Wastewater</w:t>
      </w:r>
    </w:p>
    <w:p w14:paraId="10B27C7E" w14:textId="7C046BD3" w:rsidR="00DE4817" w:rsidRDefault="00DE4817">
      <w:pPr>
        <w:spacing w:after="0" w:line="240" w:lineRule="auto"/>
        <w:rPr>
          <w:rFonts w:eastAsia="Times New Roman" w:cs="Times New Roman"/>
          <w:szCs w:val="24"/>
        </w:rPr>
      </w:pPr>
      <w:r>
        <w:rPr>
          <w:rFonts w:eastAsia="Times New Roman" w:cs="Times New Roman"/>
          <w:szCs w:val="24"/>
        </w:rPr>
        <w:t xml:space="preserve"> </w:t>
      </w:r>
    </w:p>
    <w:p w14:paraId="2A5EB362"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ABSTRACT</w:t>
      </w:r>
    </w:p>
    <w:p w14:paraId="2615896A" w14:textId="4D742863" w:rsidR="00AB5103" w:rsidRDefault="00AB5103" w:rsidP="001D7D95">
      <w:pPr>
        <w:spacing w:before="100" w:beforeAutospacing="1" w:after="100" w:afterAutospacing="1" w:line="240" w:lineRule="auto"/>
        <w:jc w:val="both"/>
        <w:rPr>
          <w:rFonts w:eastAsia="Times New Roman" w:cs="Times New Roman"/>
          <w:szCs w:val="24"/>
        </w:rPr>
      </w:pPr>
      <w:r w:rsidRPr="00AB5103">
        <w:rPr>
          <w:rFonts w:eastAsia="Times New Roman" w:cs="Times New Roman"/>
          <w:szCs w:val="24"/>
        </w:rPr>
        <w:t>Smaller-scale alluvial mining is a big source of water pollution in developing nations specifically Ghana, whereby the suspension clay minerals contribute in adding a lot of turbidity to water bodies. This work examines how the okra (Abelmoschus esculentus) seed extract is useful in the settlement of clay-filled mining wastewater by use of the raw extract as a natural coagulant. Three samples of clay (A, B and C) were made to 45 percent pulp density performance, and then natural settling and okra aided coagulation were performed under conditions pH-adjusted. The findings indicate that okra seed extract enhanced the settling rates by approximately three times in that the settling rates rose to 0.056 -0.102 m/s compared to initial rates of 0.019-0.036 m / s. The turbidity was reduced significantly, and it was found that it was reduced to 8.67-16.07NTU compared to 78.83221.17NTU. Altogether, the results prove the fact that okra seed extract is a promising treatment method of alluvial mining wastewater, a powerful, ecologically friendly, and inexpensive alternative to commercial chemical coagulants, and it can have a significant impact in terms of its use in resource-restrained settings.</w:t>
      </w:r>
    </w:p>
    <w:p w14:paraId="447D81AA" w14:textId="0C9AB4C4" w:rsidR="00CB6535" w:rsidRDefault="008665FD">
      <w:pPr>
        <w:spacing w:before="100" w:beforeAutospacing="1" w:after="100" w:afterAutospacing="1" w:line="240" w:lineRule="auto"/>
        <w:rPr>
          <w:rFonts w:eastAsia="Times New Roman" w:cs="Times New Roman"/>
          <w:szCs w:val="24"/>
        </w:rPr>
      </w:pPr>
      <w:r>
        <w:rPr>
          <w:rFonts w:eastAsia="Times New Roman" w:cs="Times New Roman"/>
          <w:b/>
          <w:bCs/>
          <w:szCs w:val="24"/>
        </w:rPr>
        <w:t>Keywords:</w:t>
      </w:r>
      <w:r>
        <w:rPr>
          <w:rFonts w:eastAsia="Times New Roman" w:cs="Times New Roman"/>
          <w:szCs w:val="24"/>
        </w:rPr>
        <w:t xml:space="preserve"> Natural coagulant, okra seed, clay suspension, alluvial mining, water treatment, turbidity reduction</w:t>
      </w:r>
    </w:p>
    <w:p w14:paraId="1DE432EC" w14:textId="77777777" w:rsidR="00CB6535" w:rsidRDefault="00CB6535">
      <w:pPr>
        <w:spacing w:before="100" w:beforeAutospacing="1" w:after="100" w:afterAutospacing="1" w:line="240" w:lineRule="auto"/>
        <w:outlineLvl w:val="1"/>
        <w:rPr>
          <w:rFonts w:eastAsia="Times New Roman" w:cs="Times New Roman"/>
          <w:b/>
          <w:bCs/>
          <w:szCs w:val="24"/>
        </w:rPr>
      </w:pPr>
    </w:p>
    <w:p w14:paraId="56824B3E" w14:textId="77777777" w:rsidR="00CB6535" w:rsidRDefault="00CB6535">
      <w:pPr>
        <w:spacing w:before="100" w:beforeAutospacing="1" w:after="100" w:afterAutospacing="1" w:line="240" w:lineRule="auto"/>
        <w:outlineLvl w:val="1"/>
        <w:rPr>
          <w:rFonts w:eastAsia="Times New Roman" w:cs="Times New Roman"/>
          <w:b/>
          <w:bCs/>
          <w:szCs w:val="24"/>
        </w:rPr>
      </w:pPr>
    </w:p>
    <w:p w14:paraId="5F8D7C9D" w14:textId="77777777" w:rsidR="00CB6535" w:rsidRDefault="00CB6535">
      <w:pPr>
        <w:spacing w:before="100" w:beforeAutospacing="1" w:after="100" w:afterAutospacing="1" w:line="240" w:lineRule="auto"/>
        <w:outlineLvl w:val="1"/>
        <w:rPr>
          <w:rFonts w:eastAsia="Times New Roman" w:cs="Times New Roman"/>
          <w:b/>
          <w:bCs/>
          <w:szCs w:val="24"/>
        </w:rPr>
      </w:pPr>
    </w:p>
    <w:p w14:paraId="51F26CE0" w14:textId="77777777" w:rsidR="00CB6535" w:rsidRDefault="00CB6535">
      <w:pPr>
        <w:spacing w:before="100" w:beforeAutospacing="1" w:after="100" w:afterAutospacing="1" w:line="240" w:lineRule="auto"/>
        <w:outlineLvl w:val="1"/>
        <w:rPr>
          <w:rFonts w:eastAsia="Times New Roman" w:cs="Times New Roman"/>
          <w:b/>
          <w:bCs/>
          <w:szCs w:val="24"/>
        </w:rPr>
      </w:pPr>
    </w:p>
    <w:p w14:paraId="5C479F0C" w14:textId="77777777" w:rsidR="00CB6535" w:rsidRDefault="00CB6535">
      <w:pPr>
        <w:spacing w:before="100" w:beforeAutospacing="1" w:after="100" w:afterAutospacing="1" w:line="240" w:lineRule="auto"/>
        <w:outlineLvl w:val="1"/>
        <w:rPr>
          <w:rFonts w:eastAsia="Times New Roman" w:cs="Times New Roman"/>
          <w:b/>
          <w:bCs/>
          <w:szCs w:val="24"/>
        </w:rPr>
      </w:pPr>
    </w:p>
    <w:p w14:paraId="42AD68C0" w14:textId="77777777" w:rsidR="00CB6535" w:rsidRDefault="00CB6535">
      <w:pPr>
        <w:spacing w:before="100" w:beforeAutospacing="1" w:after="100" w:afterAutospacing="1" w:line="240" w:lineRule="auto"/>
        <w:outlineLvl w:val="1"/>
        <w:rPr>
          <w:rFonts w:eastAsia="Times New Roman" w:cs="Times New Roman"/>
          <w:b/>
          <w:bCs/>
          <w:szCs w:val="24"/>
        </w:rPr>
      </w:pPr>
    </w:p>
    <w:p w14:paraId="11985BFA" w14:textId="77777777" w:rsidR="00CB6535" w:rsidRDefault="00CB6535">
      <w:pPr>
        <w:spacing w:before="100" w:beforeAutospacing="1" w:after="100" w:afterAutospacing="1" w:line="240" w:lineRule="auto"/>
        <w:outlineLvl w:val="1"/>
        <w:rPr>
          <w:rFonts w:eastAsia="Times New Roman" w:cs="Times New Roman"/>
          <w:b/>
          <w:bCs/>
          <w:szCs w:val="24"/>
        </w:rPr>
      </w:pPr>
    </w:p>
    <w:p w14:paraId="1D0D5193" w14:textId="77777777" w:rsidR="00CB6535" w:rsidRDefault="00CB6535">
      <w:pPr>
        <w:spacing w:before="100" w:beforeAutospacing="1" w:after="100" w:afterAutospacing="1" w:line="240" w:lineRule="auto"/>
        <w:outlineLvl w:val="1"/>
        <w:rPr>
          <w:rFonts w:eastAsia="Times New Roman" w:cs="Times New Roman"/>
          <w:b/>
          <w:bCs/>
          <w:szCs w:val="24"/>
        </w:rPr>
      </w:pPr>
    </w:p>
    <w:p w14:paraId="22FF4062" w14:textId="77777777" w:rsidR="00CB6535" w:rsidRDefault="00CB6535">
      <w:pPr>
        <w:spacing w:before="100" w:beforeAutospacing="1" w:after="100" w:afterAutospacing="1" w:line="240" w:lineRule="auto"/>
        <w:outlineLvl w:val="1"/>
        <w:rPr>
          <w:rFonts w:eastAsia="Times New Roman" w:cs="Times New Roman"/>
          <w:b/>
          <w:bCs/>
          <w:szCs w:val="24"/>
        </w:rPr>
      </w:pPr>
    </w:p>
    <w:p w14:paraId="3555AA1F" w14:textId="77777777" w:rsidR="00CB6535" w:rsidRDefault="00CB6535">
      <w:pPr>
        <w:spacing w:before="100" w:beforeAutospacing="1" w:after="100" w:afterAutospacing="1" w:line="240" w:lineRule="auto"/>
        <w:outlineLvl w:val="1"/>
        <w:rPr>
          <w:rFonts w:eastAsia="Times New Roman" w:cs="Times New Roman"/>
          <w:b/>
          <w:bCs/>
          <w:szCs w:val="24"/>
        </w:rPr>
      </w:pPr>
    </w:p>
    <w:p w14:paraId="326C3BC8" w14:textId="77777777" w:rsidR="00CB6535" w:rsidRDefault="00CB6535">
      <w:pPr>
        <w:spacing w:before="100" w:beforeAutospacing="1" w:after="100" w:afterAutospacing="1" w:line="240" w:lineRule="auto"/>
        <w:outlineLvl w:val="1"/>
        <w:rPr>
          <w:rFonts w:eastAsia="Times New Roman" w:cs="Times New Roman"/>
          <w:b/>
          <w:bCs/>
          <w:szCs w:val="24"/>
        </w:rPr>
      </w:pPr>
    </w:p>
    <w:p w14:paraId="7D3E3D4C"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lastRenderedPageBreak/>
        <w:t>1. INTRODUCTION</w:t>
      </w:r>
    </w:p>
    <w:p w14:paraId="57C27E0D"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1.1 Background</w:t>
      </w:r>
    </w:p>
    <w:p w14:paraId="5B6A92DC" w14:textId="7170ECB3"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Availability of clean drinking water is a very serious problem in the developing countries especially in places that are impacted by the activities of the small-scale mining </w:t>
      </w:r>
      <w:r w:rsidR="00FE33A6">
        <w:rPr>
          <w:rFonts w:eastAsia="Times New Roman" w:cs="Times New Roman"/>
          <w:szCs w:val="24"/>
        </w:rPr>
        <w:fldChar w:fldCharType="begin"/>
      </w:r>
      <w:r w:rsidR="00FE33A6">
        <w:rPr>
          <w:rFonts w:eastAsia="Times New Roman" w:cs="Times New Roman"/>
          <w:szCs w:val="24"/>
        </w:rPr>
        <w:instrText xml:space="preserve"> ADDIN ZOTERO_ITEM CSL_CITATION {"citationID":"ZOWrT1Q0","properties":{"formattedCitation":"(Aryee et al., 2003)","plainCitation":"(Aryee et al., 2003)","noteIndex":0},"citationItems":[{"id":1036,"uris":["http://zotero.org/users/16863775/items/VLSP8385"],"itemData":{"id":1036,"type":"article-journal","container-title":"Journal of Cleaner Production","DOI":"10.1016/S0959-6526(02)00043-4","ISSN":"09596526","issue":"2","journalAbbreviation":"Journal of Cleaner Production","language":"en","license":"https://www.elsevier.com/tdm/userlicense/1.0/","page":"131-140","source":"DOI.org (Crossref)","title":"Trends in the small-scale mining of precious minerals in Ghana: a perspective on its environmental impact","title-short":"Trends in the small-scale mining of precious minerals in Ghana","URL":"https://linkinghub.elsevier.com/retrieve/pii/S0959652602000434","volume":"11","author":[{"family":"Aryee","given":"Benjamin N.A"},{"family":"Ntibery","given":"Bernard K"},{"family":"Atorkui","given":"Evans"}],"accessed":{"date-parts":[["2025",11,21]]},"issued":{"date-parts":[["2003",3]]}}}],"schema":"https://github.com/citation-style-language/schema/raw/master/csl-citation.json"} </w:instrText>
      </w:r>
      <w:r w:rsidR="00FE33A6">
        <w:rPr>
          <w:rFonts w:eastAsia="Times New Roman" w:cs="Times New Roman"/>
          <w:szCs w:val="24"/>
        </w:rPr>
        <w:fldChar w:fldCharType="separate"/>
      </w:r>
      <w:r w:rsidR="00FE33A6" w:rsidRPr="00FE33A6">
        <w:rPr>
          <w:rFonts w:cs="Times New Roman"/>
        </w:rPr>
        <w:t>(Aryee et al., 2003)</w:t>
      </w:r>
      <w:r w:rsidR="00FE33A6">
        <w:rPr>
          <w:rFonts w:eastAsia="Times New Roman" w:cs="Times New Roman"/>
          <w:szCs w:val="24"/>
        </w:rPr>
        <w:fldChar w:fldCharType="end"/>
      </w:r>
      <w:r>
        <w:rPr>
          <w:rFonts w:eastAsia="Times New Roman" w:cs="Times New Roman"/>
          <w:szCs w:val="24"/>
        </w:rPr>
        <w:t xml:space="preserve">. Alluvial mining activities that take place at the banks of rivers in Ghana and other West African nations have played a major role in the degradation of water quality by the release of the clay-loaded tailings into the water bodies. They are suspended clay particles, generally less than 0.004 mm diameter making colloidal suspensions which are hard to settle by natural means because of the electrostatic charge and the low specific gravity </w:t>
      </w:r>
      <w:r w:rsidR="00FE33A6">
        <w:rPr>
          <w:rFonts w:eastAsia="Times New Roman" w:cs="Times New Roman"/>
          <w:szCs w:val="24"/>
        </w:rPr>
        <w:fldChar w:fldCharType="begin"/>
      </w:r>
      <w:r w:rsidR="00FE33A6">
        <w:rPr>
          <w:rFonts w:eastAsia="Times New Roman" w:cs="Times New Roman"/>
          <w:szCs w:val="24"/>
        </w:rPr>
        <w:instrText xml:space="preserve"> ADDIN ZOTERO_ITEM CSL_CITATION {"citationID":"1PlzbWcW","properties":{"formattedCitation":"(Adetuyi &amp; Osagie, 2011)","plainCitation":"(Adetuyi &amp; Osagie, 2011)","noteIndex":0},"citationItems":[{"id":1034,"uris":["http://zotero.org/users/16863775/items/PC6F7DEE"],"itemData":{"id":1034,"type":"article-journal","container-title":"American Journal of Food and Nutrition","DOI":"10.5251/ajfn.2011.1.2.49.54","ISSN":"21571317","issue":"2","journalAbbreviation":"AJFN","page":"49-54","source":"DOI.org (Crossref)","title":"Nutrient, antinutrient, mineral and zinc bioavailability of okra Abelmoschus esculentus (L) Moench Variety","URL":"http://www.scihub.org/AJFN/PDF/2011/2/AJFN-1-2-49-54.pdf","volume":"1","author":[{"family":"Adetuyi","given":"F."},{"family":"Osagie","given":"A."}],"accessed":{"date-parts":[["2025",11,21]]},"issued":{"date-parts":[["2011",4]]}}}],"schema":"https://github.com/citation-style-language/schema/raw/master/csl-citation.json"} </w:instrText>
      </w:r>
      <w:r w:rsidR="00FE33A6">
        <w:rPr>
          <w:rFonts w:eastAsia="Times New Roman" w:cs="Times New Roman"/>
          <w:szCs w:val="24"/>
        </w:rPr>
        <w:fldChar w:fldCharType="separate"/>
      </w:r>
      <w:r w:rsidR="00FE33A6" w:rsidRPr="00FE33A6">
        <w:rPr>
          <w:rFonts w:cs="Times New Roman"/>
        </w:rPr>
        <w:t>(Adetuyi &amp; Osagie, 2011)</w:t>
      </w:r>
      <w:r w:rsidR="00FE33A6">
        <w:rPr>
          <w:rFonts w:eastAsia="Times New Roman" w:cs="Times New Roman"/>
          <w:szCs w:val="24"/>
        </w:rPr>
        <w:fldChar w:fldCharType="end"/>
      </w:r>
      <w:r w:rsidR="00421F72">
        <w:rPr>
          <w:rFonts w:eastAsia="Times New Roman" w:cs="Times New Roman"/>
          <w:szCs w:val="24"/>
        </w:rPr>
        <w:t xml:space="preserve"> </w:t>
      </w:r>
      <w:r w:rsidR="00421F72" w:rsidRPr="00421F72">
        <w:rPr>
          <w:rFonts w:eastAsia="Times New Roman" w:cs="Times New Roman"/>
          <w:szCs w:val="24"/>
        </w:rPr>
        <w:t>which renders the usual process of settling to be inefficient unless under the action of a chemical.</w:t>
      </w:r>
    </w:p>
    <w:p w14:paraId="2290EF78" w14:textId="2A1E6B7B"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Alluvial mining, whereby minerals are mined in the sedimentary deposits in the rivers and streams has grown at an alarming rate over the past few decades. Although this activity offers economy to the local communities, it has left a devastating impact on the environment (especially water contamination). Ghana has also witnessed significant degradation of rivers like the </w:t>
      </w:r>
      <w:proofErr w:type="spellStart"/>
      <w:r>
        <w:rPr>
          <w:rFonts w:eastAsia="Times New Roman" w:cs="Times New Roman"/>
          <w:szCs w:val="24"/>
        </w:rPr>
        <w:t>Pra</w:t>
      </w:r>
      <w:proofErr w:type="spellEnd"/>
      <w:r>
        <w:rPr>
          <w:rFonts w:eastAsia="Times New Roman" w:cs="Times New Roman"/>
          <w:szCs w:val="24"/>
        </w:rPr>
        <w:t xml:space="preserve">, </w:t>
      </w:r>
      <w:proofErr w:type="spellStart"/>
      <w:r>
        <w:rPr>
          <w:rFonts w:eastAsia="Times New Roman" w:cs="Times New Roman"/>
          <w:szCs w:val="24"/>
        </w:rPr>
        <w:t>Densu</w:t>
      </w:r>
      <w:proofErr w:type="spellEnd"/>
      <w:r>
        <w:rPr>
          <w:rFonts w:eastAsia="Times New Roman" w:cs="Times New Roman"/>
          <w:szCs w:val="24"/>
        </w:rPr>
        <w:t xml:space="preserve"> and </w:t>
      </w:r>
      <w:proofErr w:type="spellStart"/>
      <w:r>
        <w:rPr>
          <w:rFonts w:eastAsia="Times New Roman" w:cs="Times New Roman"/>
          <w:szCs w:val="24"/>
        </w:rPr>
        <w:t>Ankobra</w:t>
      </w:r>
      <w:proofErr w:type="spellEnd"/>
      <w:r>
        <w:rPr>
          <w:rFonts w:eastAsia="Times New Roman" w:cs="Times New Roman"/>
          <w:szCs w:val="24"/>
        </w:rPr>
        <w:t xml:space="preserve"> which not only impacted on aquatic biodiversity in the rivers but also had implication on human beings who used the rivers as their sources of water.</w:t>
      </w:r>
      <w:r w:rsidR="00507B38">
        <w:rPr>
          <w:rFonts w:eastAsia="Times New Roman" w:cs="Times New Roman"/>
          <w:szCs w:val="24"/>
        </w:rPr>
        <w:t xml:space="preserve"> </w:t>
      </w:r>
      <w:r w:rsidR="00507B38" w:rsidRPr="00507B38">
        <w:rPr>
          <w:rFonts w:eastAsia="Times New Roman" w:cs="Times New Roman"/>
          <w:szCs w:val="24"/>
        </w:rPr>
        <w:t>The issues presented demonstrate that it is necessary to find safe, inexpensive and ecologically-friendly methods of treatment that can be adopted in communities affected by mining.</w:t>
      </w:r>
    </w:p>
    <w:p w14:paraId="2D3F9780"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1.2 Problem Statement</w:t>
      </w:r>
    </w:p>
    <w:p w14:paraId="7BA3D938" w14:textId="6C0E14F0"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 traditional method of treatment of turbid water is the use of chemical coagulants like </w:t>
      </w:r>
      <w:proofErr w:type="spellStart"/>
      <w:r>
        <w:rPr>
          <w:rFonts w:eastAsia="Times New Roman" w:cs="Times New Roman"/>
          <w:szCs w:val="24"/>
        </w:rPr>
        <w:t>polyaluminum</w:t>
      </w:r>
      <w:proofErr w:type="spellEnd"/>
      <w:r>
        <w:rPr>
          <w:rFonts w:eastAsia="Times New Roman" w:cs="Times New Roman"/>
          <w:szCs w:val="24"/>
        </w:rPr>
        <w:t xml:space="preserve"> chloride and aluminum sulfate (alum). There are, however, a number of disadvantages associated with the synthetic coagulants: they are costly to those communities that are resource constrained and they produce a sludge that is dangerous due to the presence of the residual aluminum, and may lower water pH, especially in low temperatures.</w:t>
      </w:r>
      <w:r w:rsidR="00935962">
        <w:rPr>
          <w:rFonts w:eastAsia="Times New Roman" w:cs="Times New Roman"/>
          <w:szCs w:val="24"/>
        </w:rPr>
        <w:t xml:space="preserve"> </w:t>
      </w:r>
      <w:r w:rsidR="00935962" w:rsidRPr="00935962">
        <w:rPr>
          <w:rFonts w:eastAsia="Times New Roman" w:cs="Times New Roman"/>
          <w:szCs w:val="24"/>
        </w:rPr>
        <w:t>Further, the long-term environmental costs of the aluminum-based coagulants have cast doubt on their applicability in water management of the 21st century in a sustainable manner.</w:t>
      </w:r>
    </w:p>
    <w:p w14:paraId="57D143BC"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Dialysis encephalopathy and other health conditions are one of the problems that concern people about the possible correlations to the accumulation of aluminum in the treated water. Moreover, there is a problem of disposing aluminum rich sludge, which pose environmental problems, as the substances may accumulate in the ecosystem, and they may find their way into food chains. Such restrictions demand the search of other more sustainable coagulation technologies.</w:t>
      </w:r>
    </w:p>
    <w:p w14:paraId="12207005"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1.3 Rationale for Natural Coagulants</w:t>
      </w:r>
    </w:p>
    <w:p w14:paraId="017638CD" w14:textId="3D1D6325"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Plant coagulants have shown good potentials as alternatives to chemical coagulants. In order to lower toxic sludge generation, minimal toxic content, most of these bio-based materials are biodegradable, locally sourced and inexpensive, and do not have negatively affecting environmental impacts. Okra (</w:t>
      </w:r>
      <w:r>
        <w:rPr>
          <w:rFonts w:eastAsia="Times New Roman" w:cs="Times New Roman"/>
          <w:i/>
          <w:iCs/>
          <w:szCs w:val="24"/>
        </w:rPr>
        <w:t>Abelmoschus esculentus</w:t>
      </w:r>
      <w:r>
        <w:rPr>
          <w:rFonts w:eastAsia="Times New Roman" w:cs="Times New Roman"/>
          <w:szCs w:val="24"/>
        </w:rPr>
        <w:t xml:space="preserve">) is among other natural coagulants being studied in the world because it </w:t>
      </w:r>
      <w:r w:rsidR="00935962" w:rsidRPr="00935962">
        <w:rPr>
          <w:rFonts w:eastAsia="Times New Roman" w:cs="Times New Roman"/>
          <w:szCs w:val="24"/>
        </w:rPr>
        <w:t xml:space="preserve">is a </w:t>
      </w:r>
      <w:proofErr w:type="gramStart"/>
      <w:r w:rsidR="00935962" w:rsidRPr="00935962">
        <w:rPr>
          <w:rFonts w:eastAsia="Times New Roman" w:cs="Times New Roman"/>
          <w:szCs w:val="24"/>
        </w:rPr>
        <w:t>polysaccharides</w:t>
      </w:r>
      <w:proofErr w:type="gramEnd"/>
      <w:r w:rsidR="00935962" w:rsidRPr="00935962">
        <w:rPr>
          <w:rFonts w:eastAsia="Times New Roman" w:cs="Times New Roman"/>
          <w:szCs w:val="24"/>
        </w:rPr>
        <w:t xml:space="preserve"> and a polymers of similar nature formed by sticky gel which is a polysaccharide and also natural polymers facilitating the binding of particles</w:t>
      </w:r>
      <w:r>
        <w:rPr>
          <w:rFonts w:eastAsia="Times New Roman" w:cs="Times New Roman"/>
          <w:szCs w:val="24"/>
        </w:rPr>
        <w:t>.</w:t>
      </w:r>
    </w:p>
    <w:p w14:paraId="2F6DC0CE"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lastRenderedPageBreak/>
        <w:t>1.4 Research Objectives</w:t>
      </w:r>
    </w:p>
    <w:p w14:paraId="208A5862"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This paper has attempted to determine the success rate of okra seed extract as a natural coagulant to settle suspended clay vested in alluvial mining waste water. Certain goals encompassed: numerically testing improvements in settling rate resulting with okra seed treatment, efficiency to reduce turbidity, a determination of optimal pH conditions to coagulant, and individual compositions of clay samples.</w:t>
      </w:r>
    </w:p>
    <w:p w14:paraId="766D79C2"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2. MATERIALS AND METHODS</w:t>
      </w:r>
    </w:p>
    <w:p w14:paraId="60E4FAFA"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2.1 Sample Collection and Preparation</w:t>
      </w:r>
    </w:p>
    <w:p w14:paraId="4B7D35D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Three clay samples were obtained at various small-scale alluvial mines in Ghana referring to the following sample names; Sample A (AKY site), Sample B (KOLAK site), and Sample C (BSDT site). The areas were chosen to symbolize the common mines that have an impact on the available sources of water.</w:t>
      </w:r>
    </w:p>
    <w:p w14:paraId="1D875DF6" w14:textId="025BBA18"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Each site had a representative 20 kg bulk sample collected according to the conventional sampling procedures. The samples were sieved to obtain </w:t>
      </w:r>
      <w:r w:rsidR="007F3520" w:rsidRPr="007F3520">
        <w:rPr>
          <w:rFonts w:eastAsia="Times New Roman" w:cs="Times New Roman"/>
          <w:szCs w:val="24"/>
        </w:rPr>
        <w:t>80% passing 38 µm sieve size</w:t>
      </w:r>
      <w:r>
        <w:rPr>
          <w:rFonts w:eastAsia="Times New Roman" w:cs="Times New Roman"/>
          <w:szCs w:val="24"/>
        </w:rPr>
        <w:t>, which was consistent across all the experimental trials in terms of the distribution of the particle size. Experimental procedures were made on 1 kg representative portions of each bulk sample by means of standard quartering.</w:t>
      </w:r>
    </w:p>
    <w:p w14:paraId="6D2C6C93"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2.2 Coagulant Preparation</w:t>
      </w:r>
    </w:p>
    <w:p w14:paraId="5C4E24CF" w14:textId="62A7AAFD"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Seeds of fresh okra were obtained in Tarkwa local markets in Ghana. The preparation procedure consisted of: full washing to eliminate impurities and debris, sun drying over 24 hours </w:t>
      </w:r>
      <w:r w:rsidR="00935962" w:rsidRPr="00935962">
        <w:rPr>
          <w:rFonts w:eastAsia="Times New Roman" w:cs="Times New Roman"/>
          <w:szCs w:val="24"/>
        </w:rPr>
        <w:t>at ambient temperatures of between 28</w:t>
      </w:r>
      <w:r w:rsidR="00935962">
        <w:rPr>
          <w:rFonts w:eastAsia="Times New Roman" w:cs="Times New Roman"/>
          <w:szCs w:val="24"/>
        </w:rPr>
        <w:t>-</w:t>
      </w:r>
      <w:r w:rsidR="00935962" w:rsidRPr="00935962">
        <w:rPr>
          <w:rFonts w:eastAsia="Times New Roman" w:cs="Times New Roman"/>
          <w:szCs w:val="24"/>
        </w:rPr>
        <w:t>32</w:t>
      </w:r>
      <w:r w:rsidR="00935962" w:rsidRPr="00935962">
        <w:rPr>
          <w:rFonts w:eastAsia="Times New Roman" w:cs="Times New Roman"/>
          <w:szCs w:val="24"/>
          <w:vertAlign w:val="superscript"/>
        </w:rPr>
        <w:t>o</w:t>
      </w:r>
      <w:r w:rsidR="00935962" w:rsidRPr="00935962">
        <w:rPr>
          <w:rFonts w:eastAsia="Times New Roman" w:cs="Times New Roman"/>
          <w:szCs w:val="24"/>
        </w:rPr>
        <w:t>C</w:t>
      </w:r>
      <w:r>
        <w:rPr>
          <w:rFonts w:eastAsia="Times New Roman" w:cs="Times New Roman"/>
          <w:szCs w:val="24"/>
        </w:rPr>
        <w:t>, mortar and pestle grinding to obtain fine powder and sieving to eliminate bigger particles to achieve homogeneity.</w:t>
      </w:r>
    </w:p>
    <w:p w14:paraId="3CE6F822"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powder which resulted was kept in sealed containers at room temperature. Each run of the experiment used 1g of the stock sample of okra seed powder.</w:t>
      </w:r>
    </w:p>
    <w:p w14:paraId="03CA0F84"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2.3 Experimental Design</w:t>
      </w:r>
    </w:p>
    <w:p w14:paraId="79C1E24A"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2.3.1 Pulp Preparation</w:t>
      </w:r>
    </w:p>
    <w:p w14:paraId="1E13189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All settling tests were conducted at 45% solid concentration, calculated as follows:</w:t>
      </w:r>
    </w:p>
    <w:p w14:paraId="5DA2F4F4"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For total volume of 250 mL:</w:t>
      </w:r>
    </w:p>
    <w:p w14:paraId="4F9C12E6"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Mass of solid = ρ × (250 - X) mL</w:t>
      </w:r>
    </w:p>
    <w:p w14:paraId="318DEEBA"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Where X = volume of water</w:t>
      </w:r>
    </w:p>
    <w:p w14:paraId="2D0C2200" w14:textId="77777777" w:rsidR="00CB6535" w:rsidRDefault="008665FD">
      <w:pPr>
        <w:numPr>
          <w:ilvl w:val="0"/>
          <w:numId w:val="1"/>
        </w:numPr>
        <w:spacing w:before="100" w:beforeAutospacing="1" w:after="100" w:afterAutospacing="1" w:line="240" w:lineRule="auto"/>
        <w:jc w:val="both"/>
        <w:rPr>
          <w:rFonts w:eastAsia="Times New Roman" w:cs="Times New Roman"/>
          <w:szCs w:val="24"/>
        </w:rPr>
      </w:pPr>
      <w:r>
        <w:rPr>
          <w:rFonts w:eastAsia="Times New Roman" w:cs="Times New Roman"/>
          <w:szCs w:val="24"/>
        </w:rPr>
        <w:t>Percent solid = 45%</w:t>
      </w:r>
    </w:p>
    <w:p w14:paraId="458117F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This concentration was selected to simulate typical tailings densities encountered in small-scale mining operations while ensuring reproducible results.</w:t>
      </w:r>
    </w:p>
    <w:p w14:paraId="048140E4"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2.3.2 Natural Settling Tests</w:t>
      </w:r>
    </w:p>
    <w:p w14:paraId="6DA31C5A" w14:textId="77777777" w:rsidR="00CB6535" w:rsidRDefault="008665FD">
      <w:p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Early settlement condition was defined in natural conditions:</w:t>
      </w:r>
    </w:p>
    <w:p w14:paraId="2583AB5F"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80 g of the samples each were added to 220 mL of fresh water.</w:t>
      </w:r>
    </w:p>
    <w:p w14:paraId="47522CF5"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Mixes were pipetted (2 times) into graduated cylinders (250 mL).</w:t>
      </w:r>
    </w:p>
    <w:p w14:paraId="36939DDA"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Natural pH was taken with the help of a calibrated pH meter.</w:t>
      </w:r>
    </w:p>
    <w:p w14:paraId="581B8EC8" w14:textId="77777777" w:rsidR="00CB6535" w:rsidRDefault="008665FD">
      <w:pPr>
        <w:pStyle w:val="ListParagraph"/>
        <w:numPr>
          <w:ilvl w:val="0"/>
          <w:numId w:val="2"/>
        </w:num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Settling interface height was measured at time intervals that included 0, 2, 4, 6 and 8, 10, 15, 20, 25, 30, 40, 50, 70 and 90 minutes.</w:t>
      </w:r>
    </w:p>
    <w:p w14:paraId="34417FA6" w14:textId="77777777" w:rsidR="00CB6535" w:rsidRDefault="008665FD">
      <w:pPr>
        <w:spacing w:before="100" w:beforeAutospacing="1" w:after="100" w:afterAutospacing="1" w:line="240" w:lineRule="auto"/>
        <w:jc w:val="both"/>
        <w:outlineLvl w:val="3"/>
        <w:rPr>
          <w:rFonts w:eastAsia="Times New Roman" w:cs="Times New Roman"/>
          <w:szCs w:val="24"/>
        </w:rPr>
      </w:pPr>
      <w:r>
        <w:rPr>
          <w:rFonts w:eastAsia="Times New Roman" w:cs="Times New Roman"/>
          <w:szCs w:val="24"/>
        </w:rPr>
        <w:t>Initial turbidity was measured with the help of turbidity meter.</w:t>
      </w:r>
    </w:p>
    <w:p w14:paraId="4FCAD9D9" w14:textId="77777777" w:rsidR="00CB6535" w:rsidRDefault="008665FD">
      <w:pPr>
        <w:spacing w:before="100" w:beforeAutospacing="1" w:after="100" w:afterAutospacing="1" w:line="240" w:lineRule="auto"/>
        <w:jc w:val="both"/>
        <w:outlineLvl w:val="3"/>
        <w:rPr>
          <w:rFonts w:eastAsia="Times New Roman" w:cs="Times New Roman"/>
          <w:b/>
          <w:bCs/>
          <w:szCs w:val="24"/>
        </w:rPr>
      </w:pPr>
      <w:r>
        <w:rPr>
          <w:rFonts w:eastAsia="Times New Roman" w:cs="Times New Roman"/>
          <w:b/>
          <w:bCs/>
          <w:szCs w:val="24"/>
        </w:rPr>
        <w:t>2.3.3 Coagulation Tests</w:t>
      </w:r>
    </w:p>
    <w:p w14:paraId="34142BCE"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To assist the settling by coagulant:</w:t>
      </w:r>
    </w:p>
    <w:p w14:paraId="04E14CBD"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Fresh samples were made at a solid concentration of 45% fresh.</w:t>
      </w:r>
    </w:p>
    <w:p w14:paraId="5249AC66"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pH was then brought to a value of around 10.7 by adding 0.85 g lime (</w:t>
      </w:r>
      <w:proofErr w:type="spellStart"/>
      <w:r>
        <w:rPr>
          <w:rFonts w:eastAsia="Times New Roman" w:cs="Times New Roman"/>
          <w:szCs w:val="24"/>
        </w:rPr>
        <w:t>CaO</w:t>
      </w:r>
      <w:proofErr w:type="spellEnd"/>
      <w:r>
        <w:rPr>
          <w:rFonts w:eastAsia="Times New Roman" w:cs="Times New Roman"/>
          <w:szCs w:val="24"/>
        </w:rPr>
        <w:t>).</w:t>
      </w:r>
    </w:p>
    <w:p w14:paraId="6F67B8AB"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Ascent: 1 g okra seed powder was put in each sample.</w:t>
      </w:r>
    </w:p>
    <w:p w14:paraId="79245C5F"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Mixtures were stirred by hand during 30 seconds in order to have homogeneous distribution.</w:t>
      </w:r>
    </w:p>
    <w:p w14:paraId="02F8AA37"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Settling interface was observed in identical intervals.</w:t>
      </w:r>
    </w:p>
    <w:p w14:paraId="18A6C3A5" w14:textId="77777777" w:rsidR="00CB6535" w:rsidRDefault="008665FD">
      <w:pPr>
        <w:pStyle w:val="ListParagraph"/>
        <w:numPr>
          <w:ilvl w:val="0"/>
          <w:numId w:val="3"/>
        </w:num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Final turbidity was determined after 90 minutes.</w:t>
      </w:r>
    </w:p>
    <w:p w14:paraId="50AC453E"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2.4 Analytical Methods</w:t>
      </w:r>
    </w:p>
    <w:p w14:paraId="7BE9441F" w14:textId="77777777"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pH Measurement:</w:t>
      </w:r>
      <w:r>
        <w:rPr>
          <w:rFonts w:eastAsia="Times New Roman" w:cs="Times New Roman"/>
          <w:szCs w:val="24"/>
        </w:rPr>
        <w:t xml:space="preserve"> In this case, the measurement was performed with the help of a calibrated digital pH meter (precision within spotted potassium deficiencies = -++) right after pulp preparation or after the lime was treated.</w:t>
      </w:r>
    </w:p>
    <w:p w14:paraId="3EE748FB" w14:textId="77777777"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Turbidity Analysis:</w:t>
      </w:r>
      <w:r>
        <w:rPr>
          <w:rFonts w:eastAsia="Times New Roman" w:cs="Times New Roman"/>
          <w:szCs w:val="24"/>
        </w:rPr>
        <w:t xml:space="preserve"> Turbidity and clarity were determined by use of nephelometric turbidity meter using the </w:t>
      </w:r>
      <w:proofErr w:type="spellStart"/>
      <w:r>
        <w:rPr>
          <w:rFonts w:eastAsia="Times New Roman" w:cs="Times New Roman"/>
          <w:szCs w:val="24"/>
        </w:rPr>
        <w:t>formazin</w:t>
      </w:r>
      <w:proofErr w:type="spellEnd"/>
      <w:r>
        <w:rPr>
          <w:rFonts w:eastAsia="Times New Roman" w:cs="Times New Roman"/>
          <w:szCs w:val="24"/>
        </w:rPr>
        <w:t xml:space="preserve"> standards in Nephelometric Turbidity Unit (NTU).</w:t>
      </w:r>
    </w:p>
    <w:p w14:paraId="49E7986E" w14:textId="13FEEE4F" w:rsidR="00CB6535" w:rsidRDefault="008665FD">
      <w:pPr>
        <w:spacing w:before="100" w:beforeAutospacing="1" w:after="100" w:afterAutospacing="1" w:line="240" w:lineRule="auto"/>
        <w:outlineLvl w:val="1"/>
        <w:rPr>
          <w:rFonts w:eastAsia="Times New Roman" w:cs="Times New Roman"/>
          <w:szCs w:val="24"/>
        </w:rPr>
      </w:pPr>
      <w:r>
        <w:rPr>
          <w:rFonts w:eastAsia="Times New Roman" w:cs="Times New Roman"/>
          <w:b/>
          <w:bCs/>
          <w:szCs w:val="24"/>
        </w:rPr>
        <w:t>Calculation of Settling rate:</w:t>
      </w:r>
      <w:r>
        <w:rPr>
          <w:rFonts w:eastAsia="Times New Roman" w:cs="Times New Roman"/>
          <w:szCs w:val="24"/>
        </w:rPr>
        <w:t xml:space="preserve"> It was calculated by observing the slope of the height versus time plots in the first linear settling period, which is in meters per second (m/s).</w:t>
      </w:r>
    </w:p>
    <w:p w14:paraId="14EC5E4B" w14:textId="77777777" w:rsidR="007F3520" w:rsidRDefault="007F3520">
      <w:pPr>
        <w:spacing w:before="100" w:beforeAutospacing="1" w:after="100" w:afterAutospacing="1" w:line="240" w:lineRule="auto"/>
        <w:outlineLvl w:val="1"/>
        <w:rPr>
          <w:rFonts w:eastAsia="Times New Roman" w:cs="Times New Roman"/>
          <w:szCs w:val="24"/>
        </w:rPr>
      </w:pPr>
      <w:r w:rsidRPr="007F3520">
        <w:rPr>
          <w:rFonts w:eastAsia="Times New Roman" w:cs="Times New Roman"/>
          <w:szCs w:val="24"/>
        </w:rPr>
        <w:t>The possible disadvantage of this arrangement is that large scale industrial flows might not be completely recreated in the laboratory settling conditions and additional pilot scale studies are suggested.</w:t>
      </w:r>
    </w:p>
    <w:p w14:paraId="54CF863B" w14:textId="33BA80CF"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3. RESULTS</w:t>
      </w:r>
    </w:p>
    <w:p w14:paraId="385D7035"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3.1 Initial Sample Characterization</w:t>
      </w:r>
    </w:p>
    <w:p w14:paraId="73A674DF"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lastRenderedPageBreak/>
        <w:t>3.1.1 Natural pH</w:t>
      </w:r>
    </w:p>
    <w:p w14:paraId="53DE8420" w14:textId="6368F5E2"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pH of the natural samples of clay was found to be between 6.</w:t>
      </w:r>
      <w:r w:rsidR="00E07BE5">
        <w:rPr>
          <w:rFonts w:eastAsia="Times New Roman" w:cs="Times New Roman"/>
          <w:szCs w:val="24"/>
        </w:rPr>
        <w:t>7</w:t>
      </w:r>
      <w:r>
        <w:rPr>
          <w:rFonts w:eastAsia="Times New Roman" w:cs="Times New Roman"/>
          <w:szCs w:val="24"/>
        </w:rPr>
        <w:t xml:space="preserve"> and 6.</w:t>
      </w:r>
      <w:r w:rsidR="00E07BE5">
        <w:rPr>
          <w:rFonts w:eastAsia="Times New Roman" w:cs="Times New Roman"/>
          <w:szCs w:val="24"/>
        </w:rPr>
        <w:t>9</w:t>
      </w:r>
      <w:r>
        <w:rPr>
          <w:rFonts w:eastAsia="Times New Roman" w:cs="Times New Roman"/>
          <w:szCs w:val="24"/>
        </w:rPr>
        <w:t xml:space="preserve"> that is to say slightly acidic and near-neutral conditions:</w:t>
      </w:r>
    </w:p>
    <w:p w14:paraId="1A7F95DF"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Natural pH of the Various Samples</w:t>
      </w:r>
    </w:p>
    <w:tbl>
      <w:tblPr>
        <w:tblStyle w:val="TableGrid"/>
        <w:tblW w:w="0" w:type="auto"/>
        <w:tblLook w:val="04A0" w:firstRow="1" w:lastRow="0" w:firstColumn="1" w:lastColumn="0" w:noHBand="0" w:noVBand="1"/>
      </w:tblPr>
      <w:tblGrid>
        <w:gridCol w:w="977"/>
        <w:gridCol w:w="1397"/>
      </w:tblGrid>
      <w:tr w:rsidR="00CB6535" w14:paraId="7D562930" w14:textId="77777777">
        <w:tc>
          <w:tcPr>
            <w:tcW w:w="0" w:type="auto"/>
          </w:tcPr>
          <w:p w14:paraId="2BA5421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7DE60B8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Natural pH</w:t>
            </w:r>
          </w:p>
        </w:tc>
      </w:tr>
      <w:tr w:rsidR="00CB6535" w14:paraId="69EB8D65" w14:textId="77777777">
        <w:tc>
          <w:tcPr>
            <w:tcW w:w="0" w:type="auto"/>
          </w:tcPr>
          <w:p w14:paraId="6D771823"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0CE5E0BE" w14:textId="57B08FB3" w:rsidR="00CB6535" w:rsidRDefault="008665FD">
            <w:pPr>
              <w:spacing w:after="0" w:line="240" w:lineRule="auto"/>
              <w:rPr>
                <w:rFonts w:eastAsia="Times New Roman" w:cs="Times New Roman"/>
                <w:szCs w:val="24"/>
              </w:rPr>
            </w:pPr>
            <w:r>
              <w:rPr>
                <w:rFonts w:eastAsia="Times New Roman" w:cs="Times New Roman"/>
                <w:szCs w:val="24"/>
              </w:rPr>
              <w:t>6.8</w:t>
            </w:r>
          </w:p>
        </w:tc>
      </w:tr>
      <w:tr w:rsidR="00CB6535" w14:paraId="629EBC88" w14:textId="77777777">
        <w:tc>
          <w:tcPr>
            <w:tcW w:w="0" w:type="auto"/>
          </w:tcPr>
          <w:p w14:paraId="0C9C5AA0"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654D540F" w14:textId="318943CB" w:rsidR="00CB6535" w:rsidRDefault="008665FD">
            <w:pPr>
              <w:spacing w:after="0" w:line="240" w:lineRule="auto"/>
              <w:rPr>
                <w:rFonts w:eastAsia="Times New Roman" w:cs="Times New Roman"/>
                <w:szCs w:val="24"/>
              </w:rPr>
            </w:pPr>
            <w:r>
              <w:rPr>
                <w:rFonts w:eastAsia="Times New Roman" w:cs="Times New Roman"/>
                <w:szCs w:val="24"/>
              </w:rPr>
              <w:t>6.</w:t>
            </w:r>
            <w:r w:rsidR="00E07BE5">
              <w:rPr>
                <w:rFonts w:eastAsia="Times New Roman" w:cs="Times New Roman"/>
                <w:szCs w:val="24"/>
              </w:rPr>
              <w:t>7</w:t>
            </w:r>
          </w:p>
        </w:tc>
      </w:tr>
      <w:tr w:rsidR="00CB6535" w14:paraId="2974C2C0" w14:textId="77777777">
        <w:tc>
          <w:tcPr>
            <w:tcW w:w="0" w:type="auto"/>
          </w:tcPr>
          <w:p w14:paraId="7EB39B9F"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4B662A62" w14:textId="2E4ED1CB" w:rsidR="00CB6535" w:rsidRDefault="008665FD">
            <w:pPr>
              <w:spacing w:after="0" w:line="240" w:lineRule="auto"/>
              <w:rPr>
                <w:rFonts w:eastAsia="Times New Roman" w:cs="Times New Roman"/>
                <w:szCs w:val="24"/>
              </w:rPr>
            </w:pPr>
            <w:r>
              <w:rPr>
                <w:rFonts w:eastAsia="Times New Roman" w:cs="Times New Roman"/>
                <w:szCs w:val="24"/>
              </w:rPr>
              <w:t>6.</w:t>
            </w:r>
            <w:r w:rsidR="00E07BE5">
              <w:rPr>
                <w:rFonts w:eastAsia="Times New Roman" w:cs="Times New Roman"/>
                <w:szCs w:val="24"/>
              </w:rPr>
              <w:t>9</w:t>
            </w:r>
          </w:p>
        </w:tc>
      </w:tr>
    </w:tbl>
    <w:p w14:paraId="7F600EB9" w14:textId="4AEA1599"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pH values are typical of a clay mineral which contains silica and other metal oxides and the chemical composition of the sedimentary minerals are reflected in the natural chemical composition.</w:t>
      </w:r>
    </w:p>
    <w:p w14:paraId="114B6AD2" w14:textId="5BBB49E0" w:rsidR="007F3520" w:rsidRDefault="007F3520">
      <w:pPr>
        <w:spacing w:before="100" w:beforeAutospacing="1" w:after="100" w:afterAutospacing="1" w:line="240" w:lineRule="auto"/>
        <w:jc w:val="both"/>
        <w:rPr>
          <w:rFonts w:eastAsia="Times New Roman" w:cs="Times New Roman"/>
          <w:szCs w:val="24"/>
        </w:rPr>
      </w:pPr>
      <w:r w:rsidRPr="007F3520">
        <w:rPr>
          <w:rFonts w:eastAsia="Times New Roman" w:cs="Times New Roman"/>
          <w:szCs w:val="24"/>
        </w:rPr>
        <w:t>The knowledge of natural pH can also be used to know the degree of conditioning that should be achieved in order to maximize the performance of the natural coagulants.</w:t>
      </w:r>
    </w:p>
    <w:p w14:paraId="2321BA48"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3.1.2 Initial Turbidity</w:t>
      </w:r>
    </w:p>
    <w:p w14:paraId="5FF4255C"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Significant variation in initial turbidity was observed across samples:</w:t>
      </w:r>
    </w:p>
    <w:p w14:paraId="344A2605"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2</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Turbidity before Coagulation.</w:t>
      </w:r>
    </w:p>
    <w:tbl>
      <w:tblPr>
        <w:tblStyle w:val="TableGrid"/>
        <w:tblW w:w="0" w:type="auto"/>
        <w:tblLook w:val="04A0" w:firstRow="1" w:lastRow="0" w:firstColumn="1" w:lastColumn="0" w:noHBand="0" w:noVBand="1"/>
      </w:tblPr>
      <w:tblGrid>
        <w:gridCol w:w="977"/>
        <w:gridCol w:w="2630"/>
      </w:tblGrid>
      <w:tr w:rsidR="00CB6535" w14:paraId="205338F7" w14:textId="77777777">
        <w:tc>
          <w:tcPr>
            <w:tcW w:w="0" w:type="auto"/>
          </w:tcPr>
          <w:p w14:paraId="1BA1615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1920F492"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Initial Turbidity (NTU)</w:t>
            </w:r>
          </w:p>
        </w:tc>
      </w:tr>
      <w:tr w:rsidR="00CB6535" w14:paraId="548A5765" w14:textId="77777777">
        <w:tc>
          <w:tcPr>
            <w:tcW w:w="0" w:type="auto"/>
          </w:tcPr>
          <w:p w14:paraId="33BD30DA"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7C07DBDB" w14:textId="77777777" w:rsidR="00CB6535" w:rsidRDefault="008665FD">
            <w:pPr>
              <w:spacing w:after="0" w:line="240" w:lineRule="auto"/>
              <w:rPr>
                <w:rFonts w:eastAsia="Times New Roman" w:cs="Times New Roman"/>
                <w:szCs w:val="24"/>
              </w:rPr>
            </w:pPr>
            <w:r>
              <w:rPr>
                <w:rFonts w:eastAsia="Times New Roman" w:cs="Times New Roman"/>
                <w:szCs w:val="24"/>
              </w:rPr>
              <w:t>78.83</w:t>
            </w:r>
          </w:p>
        </w:tc>
      </w:tr>
      <w:tr w:rsidR="00CB6535" w14:paraId="3D7C21D8" w14:textId="77777777">
        <w:tc>
          <w:tcPr>
            <w:tcW w:w="0" w:type="auto"/>
          </w:tcPr>
          <w:p w14:paraId="5A479AD3"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080B8864" w14:textId="77777777" w:rsidR="00CB6535" w:rsidRDefault="008665FD">
            <w:pPr>
              <w:spacing w:after="0" w:line="240" w:lineRule="auto"/>
              <w:rPr>
                <w:rFonts w:eastAsia="Times New Roman" w:cs="Times New Roman"/>
                <w:szCs w:val="24"/>
              </w:rPr>
            </w:pPr>
            <w:r>
              <w:rPr>
                <w:rFonts w:eastAsia="Times New Roman" w:cs="Times New Roman"/>
                <w:szCs w:val="24"/>
              </w:rPr>
              <w:t>99.17</w:t>
            </w:r>
          </w:p>
        </w:tc>
      </w:tr>
      <w:tr w:rsidR="00CB6535" w14:paraId="7CEE9DCA" w14:textId="77777777">
        <w:tc>
          <w:tcPr>
            <w:tcW w:w="0" w:type="auto"/>
          </w:tcPr>
          <w:p w14:paraId="5E2B3A2D"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B63C0F7" w14:textId="77777777" w:rsidR="00CB6535" w:rsidRDefault="008665FD">
            <w:pPr>
              <w:spacing w:after="0" w:line="240" w:lineRule="auto"/>
              <w:rPr>
                <w:rFonts w:eastAsia="Times New Roman" w:cs="Times New Roman"/>
                <w:szCs w:val="24"/>
              </w:rPr>
            </w:pPr>
            <w:r>
              <w:rPr>
                <w:rFonts w:eastAsia="Times New Roman" w:cs="Times New Roman"/>
                <w:szCs w:val="24"/>
              </w:rPr>
              <w:t>221.17</w:t>
            </w:r>
          </w:p>
        </w:tc>
      </w:tr>
    </w:tbl>
    <w:p w14:paraId="69285B52" w14:textId="0AE3ED9E" w:rsidR="00CB6535" w:rsidRDefault="008665FD">
      <w:pPr>
        <w:spacing w:before="100" w:beforeAutospacing="1" w:after="100" w:afterAutospacing="1" w:line="240" w:lineRule="auto"/>
        <w:outlineLvl w:val="2"/>
        <w:rPr>
          <w:rFonts w:eastAsia="Times New Roman" w:cs="Times New Roman"/>
          <w:szCs w:val="24"/>
        </w:rPr>
      </w:pPr>
      <w:r>
        <w:rPr>
          <w:rFonts w:eastAsia="Times New Roman" w:cs="Times New Roman"/>
          <w:szCs w:val="24"/>
        </w:rPr>
        <w:t>Sample C had almost triple the turbidity of Sample A, which indicates that there are variations in the composition of clay mineral and particle size distribution or surface chemistry.</w:t>
      </w:r>
      <w:r w:rsidR="007F3520">
        <w:rPr>
          <w:rFonts w:eastAsia="Times New Roman" w:cs="Times New Roman"/>
          <w:szCs w:val="24"/>
        </w:rPr>
        <w:t xml:space="preserve"> </w:t>
      </w:r>
      <w:r w:rsidR="009850DC" w:rsidRPr="009850DC">
        <w:rPr>
          <w:rFonts w:eastAsia="Times New Roman" w:cs="Times New Roman"/>
          <w:szCs w:val="24"/>
        </w:rPr>
        <w:t>Initial turbidity has a great effect on coagulant requirement as well as settling efficiency.</w:t>
      </w:r>
      <w:r w:rsidR="009850DC">
        <w:rPr>
          <w:rFonts w:eastAsia="Times New Roman" w:cs="Times New Roman"/>
          <w:szCs w:val="24"/>
        </w:rPr>
        <w:t xml:space="preserve"> </w:t>
      </w:r>
    </w:p>
    <w:p w14:paraId="4C444C41"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3.2 Natural Settling Behavior</w:t>
      </w:r>
    </w:p>
    <w:p w14:paraId="732E2FE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Under natural conditions without coagulant, all samples demonstrated slow settling rates characteristic of fine clay suspensions:</w:t>
      </w:r>
    </w:p>
    <w:p w14:paraId="4DF1A0E4" w14:textId="10D8FD5A" w:rsidR="008D6A46" w:rsidRDefault="008D6A46">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Chart 1: </w:t>
      </w:r>
      <w:r w:rsidR="00FF369F" w:rsidRPr="00FF369F">
        <w:rPr>
          <w:rFonts w:eastAsia="Times New Roman" w:cs="Times New Roman"/>
          <w:szCs w:val="24"/>
        </w:rPr>
        <w:t>Comparison of Settling Behavior of Suspended Particulate Samples</w:t>
      </w:r>
    </w:p>
    <w:tbl>
      <w:tblPr>
        <w:tblStyle w:val="TableGrid"/>
        <w:tblW w:w="0" w:type="auto"/>
        <w:tblLook w:val="04A0" w:firstRow="1" w:lastRow="0" w:firstColumn="1" w:lastColumn="0" w:noHBand="0" w:noVBand="1"/>
      </w:tblPr>
      <w:tblGrid>
        <w:gridCol w:w="977"/>
        <w:gridCol w:w="2123"/>
        <w:gridCol w:w="3123"/>
      </w:tblGrid>
      <w:tr w:rsidR="00CB6535" w14:paraId="1248CF13" w14:textId="77777777">
        <w:tc>
          <w:tcPr>
            <w:tcW w:w="0" w:type="auto"/>
          </w:tcPr>
          <w:p w14:paraId="49B6262A"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6BE3033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Settling Rate (m/s)</w:t>
            </w:r>
          </w:p>
        </w:tc>
        <w:tc>
          <w:tcPr>
            <w:tcW w:w="0" w:type="auto"/>
          </w:tcPr>
          <w:p w14:paraId="7EFEDBF2"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Time for 50% Settling (min)</w:t>
            </w:r>
          </w:p>
        </w:tc>
      </w:tr>
      <w:tr w:rsidR="00CB6535" w14:paraId="3AD89E78" w14:textId="77777777">
        <w:tc>
          <w:tcPr>
            <w:tcW w:w="0" w:type="auto"/>
          </w:tcPr>
          <w:p w14:paraId="0E3CBEA2"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4B69FF34" w14:textId="77777777" w:rsidR="00CB6535" w:rsidRDefault="008665FD">
            <w:pPr>
              <w:spacing w:after="0" w:line="240" w:lineRule="auto"/>
              <w:rPr>
                <w:rFonts w:eastAsia="Times New Roman" w:cs="Times New Roman"/>
                <w:szCs w:val="24"/>
              </w:rPr>
            </w:pPr>
            <w:r>
              <w:rPr>
                <w:rFonts w:eastAsia="Times New Roman" w:cs="Times New Roman"/>
                <w:szCs w:val="24"/>
              </w:rPr>
              <w:t>0.019</w:t>
            </w:r>
          </w:p>
        </w:tc>
        <w:tc>
          <w:tcPr>
            <w:tcW w:w="0" w:type="auto"/>
          </w:tcPr>
          <w:p w14:paraId="3C704A21" w14:textId="77777777" w:rsidR="00CB6535" w:rsidRDefault="008665FD">
            <w:pPr>
              <w:spacing w:after="0" w:line="240" w:lineRule="auto"/>
              <w:rPr>
                <w:rFonts w:eastAsia="Times New Roman" w:cs="Times New Roman"/>
                <w:szCs w:val="24"/>
              </w:rPr>
            </w:pPr>
            <w:r>
              <w:rPr>
                <w:rFonts w:eastAsia="Times New Roman" w:cs="Times New Roman"/>
                <w:szCs w:val="24"/>
              </w:rPr>
              <w:t>&gt;50</w:t>
            </w:r>
          </w:p>
        </w:tc>
      </w:tr>
      <w:tr w:rsidR="00CB6535" w14:paraId="0EDE0E23" w14:textId="77777777">
        <w:tc>
          <w:tcPr>
            <w:tcW w:w="0" w:type="auto"/>
          </w:tcPr>
          <w:p w14:paraId="23442A34"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0913C0BF" w14:textId="77777777" w:rsidR="00CB6535" w:rsidRDefault="008665FD">
            <w:pPr>
              <w:spacing w:after="0" w:line="240" w:lineRule="auto"/>
              <w:rPr>
                <w:rFonts w:eastAsia="Times New Roman" w:cs="Times New Roman"/>
                <w:szCs w:val="24"/>
              </w:rPr>
            </w:pPr>
            <w:r>
              <w:rPr>
                <w:rFonts w:eastAsia="Times New Roman" w:cs="Times New Roman"/>
                <w:szCs w:val="24"/>
              </w:rPr>
              <w:t>0.021</w:t>
            </w:r>
          </w:p>
        </w:tc>
        <w:tc>
          <w:tcPr>
            <w:tcW w:w="0" w:type="auto"/>
          </w:tcPr>
          <w:p w14:paraId="55D6072C" w14:textId="77777777" w:rsidR="00CB6535" w:rsidRDefault="008665FD">
            <w:pPr>
              <w:spacing w:after="0" w:line="240" w:lineRule="auto"/>
              <w:rPr>
                <w:rFonts w:eastAsia="Times New Roman" w:cs="Times New Roman"/>
                <w:szCs w:val="24"/>
              </w:rPr>
            </w:pPr>
            <w:r>
              <w:rPr>
                <w:rFonts w:eastAsia="Times New Roman" w:cs="Times New Roman"/>
                <w:szCs w:val="24"/>
              </w:rPr>
              <w:t>&gt;50</w:t>
            </w:r>
          </w:p>
        </w:tc>
      </w:tr>
      <w:tr w:rsidR="00CB6535" w14:paraId="5B4AF232" w14:textId="77777777">
        <w:tc>
          <w:tcPr>
            <w:tcW w:w="0" w:type="auto"/>
          </w:tcPr>
          <w:p w14:paraId="77D0FE72"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27BE6249" w14:textId="77777777" w:rsidR="00CB6535" w:rsidRDefault="008665FD">
            <w:pPr>
              <w:spacing w:after="0" w:line="240" w:lineRule="auto"/>
              <w:rPr>
                <w:rFonts w:eastAsia="Times New Roman" w:cs="Times New Roman"/>
                <w:szCs w:val="24"/>
              </w:rPr>
            </w:pPr>
            <w:r>
              <w:rPr>
                <w:rFonts w:eastAsia="Times New Roman" w:cs="Times New Roman"/>
                <w:szCs w:val="24"/>
              </w:rPr>
              <w:t>0.036</w:t>
            </w:r>
          </w:p>
        </w:tc>
        <w:tc>
          <w:tcPr>
            <w:tcW w:w="0" w:type="auto"/>
          </w:tcPr>
          <w:p w14:paraId="4DCD628F" w14:textId="77777777" w:rsidR="00CB6535" w:rsidRDefault="008665FD">
            <w:pPr>
              <w:spacing w:after="0" w:line="240" w:lineRule="auto"/>
              <w:rPr>
                <w:rFonts w:eastAsia="Times New Roman" w:cs="Times New Roman"/>
                <w:szCs w:val="24"/>
              </w:rPr>
            </w:pPr>
            <w:r>
              <w:rPr>
                <w:rFonts w:eastAsia="Times New Roman" w:cs="Times New Roman"/>
                <w:szCs w:val="24"/>
              </w:rPr>
              <w:t>~40</w:t>
            </w:r>
          </w:p>
        </w:tc>
      </w:tr>
    </w:tbl>
    <w:p w14:paraId="653A57BB" w14:textId="0D4B1AFD"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The 20 minute initially steep, then much slower settling rates were observed in the patterns. Sample C showed the fastest natural growth rate, although it had the greatest turbidity, which could be attributed to a bigger aggregate particle size or a dissimilar composition of clay mineral.</w:t>
      </w:r>
      <w:r w:rsidR="009850DC">
        <w:rPr>
          <w:rFonts w:eastAsia="Times New Roman" w:cs="Times New Roman"/>
          <w:szCs w:val="24"/>
        </w:rPr>
        <w:t xml:space="preserve"> </w:t>
      </w:r>
      <w:r w:rsidR="009850DC" w:rsidRPr="009850DC">
        <w:rPr>
          <w:rFonts w:eastAsia="Times New Roman" w:cs="Times New Roman"/>
          <w:szCs w:val="24"/>
        </w:rPr>
        <w:t>The accelerated natural setting of Sample C can be explained by a larger value of the particulate concentration, which enhances aggregation.</w:t>
      </w:r>
    </w:p>
    <w:p w14:paraId="0A448C89"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3.3 pH Conditioning Effect</w:t>
      </w:r>
    </w:p>
    <w:p w14:paraId="02D010F5"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Addition of 0.85 g lime increased pH to optimal alkaline conditions:</w:t>
      </w:r>
    </w:p>
    <w:p w14:paraId="0327286D"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3</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pH After Conditioning</w:t>
      </w:r>
    </w:p>
    <w:tbl>
      <w:tblPr>
        <w:tblStyle w:val="TableGrid"/>
        <w:tblW w:w="0" w:type="auto"/>
        <w:tblLook w:val="04A0" w:firstRow="1" w:lastRow="0" w:firstColumn="1" w:lastColumn="0" w:noHBand="0" w:noVBand="1"/>
      </w:tblPr>
      <w:tblGrid>
        <w:gridCol w:w="977"/>
        <w:gridCol w:w="2550"/>
      </w:tblGrid>
      <w:tr w:rsidR="00CB6535" w14:paraId="6B9D4171" w14:textId="77777777">
        <w:tc>
          <w:tcPr>
            <w:tcW w:w="0" w:type="auto"/>
          </w:tcPr>
          <w:p w14:paraId="10469187"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7E49ADCB"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pH After Conditioning</w:t>
            </w:r>
          </w:p>
        </w:tc>
      </w:tr>
      <w:tr w:rsidR="00CB6535" w14:paraId="5EEE7627" w14:textId="77777777">
        <w:tc>
          <w:tcPr>
            <w:tcW w:w="0" w:type="auto"/>
          </w:tcPr>
          <w:p w14:paraId="0AE48E0E"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7D2A6841" w14:textId="77777777" w:rsidR="00CB6535" w:rsidRDefault="008665FD">
            <w:pPr>
              <w:spacing w:after="0" w:line="240" w:lineRule="auto"/>
              <w:rPr>
                <w:rFonts w:eastAsia="Times New Roman" w:cs="Times New Roman"/>
                <w:szCs w:val="24"/>
              </w:rPr>
            </w:pPr>
            <w:r>
              <w:rPr>
                <w:rFonts w:eastAsia="Times New Roman" w:cs="Times New Roman"/>
                <w:szCs w:val="24"/>
              </w:rPr>
              <w:t>10.77</w:t>
            </w:r>
          </w:p>
        </w:tc>
      </w:tr>
      <w:tr w:rsidR="00CB6535" w14:paraId="4BE37A3C" w14:textId="77777777">
        <w:tc>
          <w:tcPr>
            <w:tcW w:w="0" w:type="auto"/>
          </w:tcPr>
          <w:p w14:paraId="7D37AFC6"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5C5F3790" w14:textId="77777777" w:rsidR="00CB6535" w:rsidRDefault="008665FD">
            <w:pPr>
              <w:spacing w:after="0" w:line="240" w:lineRule="auto"/>
              <w:rPr>
                <w:rFonts w:eastAsia="Times New Roman" w:cs="Times New Roman"/>
                <w:szCs w:val="24"/>
              </w:rPr>
            </w:pPr>
            <w:r>
              <w:rPr>
                <w:rFonts w:eastAsia="Times New Roman" w:cs="Times New Roman"/>
                <w:szCs w:val="24"/>
              </w:rPr>
              <w:t>10.70</w:t>
            </w:r>
          </w:p>
        </w:tc>
      </w:tr>
      <w:tr w:rsidR="00CB6535" w14:paraId="6AE12FAA" w14:textId="77777777">
        <w:tc>
          <w:tcPr>
            <w:tcW w:w="0" w:type="auto"/>
          </w:tcPr>
          <w:p w14:paraId="70D5315A"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DD33691" w14:textId="77777777" w:rsidR="00CB6535" w:rsidRDefault="008665FD">
            <w:pPr>
              <w:spacing w:after="0" w:line="240" w:lineRule="auto"/>
              <w:rPr>
                <w:rFonts w:eastAsia="Times New Roman" w:cs="Times New Roman"/>
                <w:szCs w:val="24"/>
              </w:rPr>
            </w:pPr>
            <w:r>
              <w:rPr>
                <w:rFonts w:eastAsia="Times New Roman" w:cs="Times New Roman"/>
                <w:szCs w:val="24"/>
              </w:rPr>
              <w:t>10.65</w:t>
            </w:r>
          </w:p>
        </w:tc>
      </w:tr>
    </w:tbl>
    <w:p w14:paraId="5BEE888A" w14:textId="77777777" w:rsidR="00CB6535" w:rsidRDefault="008665FD">
      <w:pPr>
        <w:spacing w:before="100" w:beforeAutospacing="1" w:after="100" w:afterAutospacing="1" w:line="240" w:lineRule="auto"/>
        <w:outlineLvl w:val="2"/>
        <w:rPr>
          <w:rFonts w:eastAsia="Times New Roman" w:cs="Times New Roman"/>
          <w:szCs w:val="24"/>
        </w:rPr>
      </w:pPr>
      <w:r>
        <w:rPr>
          <w:rFonts w:eastAsia="Times New Roman" w:cs="Times New Roman"/>
          <w:szCs w:val="24"/>
        </w:rPr>
        <w:t>The raised pH is essential in okra seed coagulants because higher pH favorable ionization of active polymeric substances as well as neutralizing clay particle charges.</w:t>
      </w:r>
    </w:p>
    <w:p w14:paraId="68F8F2AB"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3.4 Coagulation Performance</w:t>
      </w:r>
    </w:p>
    <w:p w14:paraId="31827079"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3.4.1 Settling Rate Enhancement</w:t>
      </w:r>
    </w:p>
    <w:p w14:paraId="7421B070"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Addition of okra seed coagulant dramatically improved settling rates:</w:t>
      </w:r>
    </w:p>
    <w:p w14:paraId="4B7ABAC3" w14:textId="77777777" w:rsidR="00CB6535" w:rsidRDefault="008665FD">
      <w:pPr>
        <w:pStyle w:val="Caption"/>
        <w:keepNext/>
        <w:rPr>
          <w:i w:val="0"/>
          <w:iCs w:val="0"/>
          <w:color w:val="000000" w:themeColor="text1"/>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4</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Setting rate before and after coagulation</w:t>
      </w:r>
    </w:p>
    <w:tbl>
      <w:tblPr>
        <w:tblStyle w:val="TableGrid"/>
        <w:tblW w:w="0" w:type="auto"/>
        <w:tblLook w:val="04A0" w:firstRow="1" w:lastRow="0" w:firstColumn="1" w:lastColumn="0" w:noHBand="0" w:noVBand="1"/>
      </w:tblPr>
      <w:tblGrid>
        <w:gridCol w:w="977"/>
        <w:gridCol w:w="2789"/>
        <w:gridCol w:w="2656"/>
        <w:gridCol w:w="2369"/>
      </w:tblGrid>
      <w:tr w:rsidR="00CB6535" w14:paraId="7EB518BE" w14:textId="77777777">
        <w:tc>
          <w:tcPr>
            <w:tcW w:w="0" w:type="auto"/>
          </w:tcPr>
          <w:p w14:paraId="3E5BB14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5EAC6328"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Before Coagulation (m/s)</w:t>
            </w:r>
          </w:p>
        </w:tc>
        <w:tc>
          <w:tcPr>
            <w:tcW w:w="0" w:type="auto"/>
          </w:tcPr>
          <w:p w14:paraId="1664CD20"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After Coagulation (m/s)</w:t>
            </w:r>
          </w:p>
        </w:tc>
        <w:tc>
          <w:tcPr>
            <w:tcW w:w="0" w:type="auto"/>
          </w:tcPr>
          <w:p w14:paraId="341E0510"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Enhancement Factor</w:t>
            </w:r>
          </w:p>
        </w:tc>
      </w:tr>
      <w:tr w:rsidR="00CB6535" w14:paraId="6D75DDE9" w14:textId="77777777">
        <w:tc>
          <w:tcPr>
            <w:tcW w:w="0" w:type="auto"/>
          </w:tcPr>
          <w:p w14:paraId="04831A60"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34979756" w14:textId="77777777" w:rsidR="00CB6535" w:rsidRDefault="008665FD">
            <w:pPr>
              <w:spacing w:after="0" w:line="240" w:lineRule="auto"/>
              <w:rPr>
                <w:rFonts w:eastAsia="Times New Roman" w:cs="Times New Roman"/>
                <w:szCs w:val="24"/>
              </w:rPr>
            </w:pPr>
            <w:r>
              <w:rPr>
                <w:rFonts w:eastAsia="Times New Roman" w:cs="Times New Roman"/>
                <w:szCs w:val="24"/>
              </w:rPr>
              <w:t>0.019</w:t>
            </w:r>
          </w:p>
        </w:tc>
        <w:tc>
          <w:tcPr>
            <w:tcW w:w="0" w:type="auto"/>
          </w:tcPr>
          <w:p w14:paraId="36959C81" w14:textId="77777777" w:rsidR="00CB6535" w:rsidRDefault="008665FD">
            <w:pPr>
              <w:spacing w:after="0" w:line="240" w:lineRule="auto"/>
              <w:rPr>
                <w:rFonts w:eastAsia="Times New Roman" w:cs="Times New Roman"/>
                <w:szCs w:val="24"/>
              </w:rPr>
            </w:pPr>
            <w:r>
              <w:rPr>
                <w:rFonts w:eastAsia="Times New Roman" w:cs="Times New Roman"/>
                <w:szCs w:val="24"/>
              </w:rPr>
              <w:t>0.059</w:t>
            </w:r>
          </w:p>
        </w:tc>
        <w:tc>
          <w:tcPr>
            <w:tcW w:w="0" w:type="auto"/>
          </w:tcPr>
          <w:p w14:paraId="24A1C7AC" w14:textId="77777777" w:rsidR="00CB6535" w:rsidRDefault="008665FD">
            <w:pPr>
              <w:spacing w:after="0" w:line="240" w:lineRule="auto"/>
              <w:rPr>
                <w:rFonts w:eastAsia="Times New Roman" w:cs="Times New Roman"/>
                <w:szCs w:val="24"/>
              </w:rPr>
            </w:pPr>
            <w:r>
              <w:rPr>
                <w:rFonts w:eastAsia="Times New Roman" w:cs="Times New Roman"/>
                <w:szCs w:val="24"/>
              </w:rPr>
              <w:t>3.1×</w:t>
            </w:r>
          </w:p>
        </w:tc>
      </w:tr>
      <w:tr w:rsidR="00CB6535" w14:paraId="35930C89" w14:textId="77777777">
        <w:tc>
          <w:tcPr>
            <w:tcW w:w="0" w:type="auto"/>
          </w:tcPr>
          <w:p w14:paraId="5DCF17F9"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6CD78DB0" w14:textId="77777777" w:rsidR="00CB6535" w:rsidRDefault="008665FD">
            <w:pPr>
              <w:spacing w:after="0" w:line="240" w:lineRule="auto"/>
              <w:rPr>
                <w:rFonts w:eastAsia="Times New Roman" w:cs="Times New Roman"/>
                <w:szCs w:val="24"/>
              </w:rPr>
            </w:pPr>
            <w:r>
              <w:rPr>
                <w:rFonts w:eastAsia="Times New Roman" w:cs="Times New Roman"/>
                <w:szCs w:val="24"/>
              </w:rPr>
              <w:t>0.021</w:t>
            </w:r>
          </w:p>
        </w:tc>
        <w:tc>
          <w:tcPr>
            <w:tcW w:w="0" w:type="auto"/>
          </w:tcPr>
          <w:p w14:paraId="246377CC" w14:textId="77777777" w:rsidR="00CB6535" w:rsidRDefault="008665FD">
            <w:pPr>
              <w:spacing w:after="0" w:line="240" w:lineRule="auto"/>
              <w:rPr>
                <w:rFonts w:eastAsia="Times New Roman" w:cs="Times New Roman"/>
                <w:szCs w:val="24"/>
              </w:rPr>
            </w:pPr>
            <w:r>
              <w:rPr>
                <w:rFonts w:eastAsia="Times New Roman" w:cs="Times New Roman"/>
                <w:szCs w:val="24"/>
              </w:rPr>
              <w:t>0.056</w:t>
            </w:r>
          </w:p>
        </w:tc>
        <w:tc>
          <w:tcPr>
            <w:tcW w:w="0" w:type="auto"/>
          </w:tcPr>
          <w:p w14:paraId="16F7A574" w14:textId="77777777" w:rsidR="00CB6535" w:rsidRDefault="008665FD">
            <w:pPr>
              <w:spacing w:after="0" w:line="240" w:lineRule="auto"/>
              <w:rPr>
                <w:rFonts w:eastAsia="Times New Roman" w:cs="Times New Roman"/>
                <w:szCs w:val="24"/>
              </w:rPr>
            </w:pPr>
            <w:r>
              <w:rPr>
                <w:rFonts w:eastAsia="Times New Roman" w:cs="Times New Roman"/>
                <w:szCs w:val="24"/>
              </w:rPr>
              <w:t>2.7×</w:t>
            </w:r>
          </w:p>
        </w:tc>
      </w:tr>
      <w:tr w:rsidR="00CB6535" w14:paraId="644AA2C1" w14:textId="77777777">
        <w:tc>
          <w:tcPr>
            <w:tcW w:w="0" w:type="auto"/>
          </w:tcPr>
          <w:p w14:paraId="6554C2DA"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7FC4124A" w14:textId="77777777" w:rsidR="00CB6535" w:rsidRDefault="008665FD">
            <w:pPr>
              <w:spacing w:after="0" w:line="240" w:lineRule="auto"/>
              <w:rPr>
                <w:rFonts w:eastAsia="Times New Roman" w:cs="Times New Roman"/>
                <w:szCs w:val="24"/>
              </w:rPr>
            </w:pPr>
            <w:r>
              <w:rPr>
                <w:rFonts w:eastAsia="Times New Roman" w:cs="Times New Roman"/>
                <w:szCs w:val="24"/>
              </w:rPr>
              <w:t>0.036</w:t>
            </w:r>
          </w:p>
        </w:tc>
        <w:tc>
          <w:tcPr>
            <w:tcW w:w="0" w:type="auto"/>
          </w:tcPr>
          <w:p w14:paraId="1FFE8CB5" w14:textId="77777777" w:rsidR="00CB6535" w:rsidRDefault="008665FD">
            <w:pPr>
              <w:spacing w:after="0" w:line="240" w:lineRule="auto"/>
              <w:rPr>
                <w:rFonts w:eastAsia="Times New Roman" w:cs="Times New Roman"/>
                <w:szCs w:val="24"/>
              </w:rPr>
            </w:pPr>
            <w:r>
              <w:rPr>
                <w:rFonts w:eastAsia="Times New Roman" w:cs="Times New Roman"/>
                <w:szCs w:val="24"/>
              </w:rPr>
              <w:t>0.102</w:t>
            </w:r>
          </w:p>
        </w:tc>
        <w:tc>
          <w:tcPr>
            <w:tcW w:w="0" w:type="auto"/>
          </w:tcPr>
          <w:p w14:paraId="0368BDEB" w14:textId="77777777" w:rsidR="00CB6535" w:rsidRDefault="008665FD">
            <w:pPr>
              <w:spacing w:after="0" w:line="240" w:lineRule="auto"/>
              <w:rPr>
                <w:rFonts w:eastAsia="Times New Roman" w:cs="Times New Roman"/>
                <w:szCs w:val="24"/>
              </w:rPr>
            </w:pPr>
            <w:r>
              <w:rPr>
                <w:rFonts w:eastAsia="Times New Roman" w:cs="Times New Roman"/>
                <w:szCs w:val="24"/>
              </w:rPr>
              <w:t>2.8×</w:t>
            </w:r>
          </w:p>
        </w:tc>
      </w:tr>
    </w:tbl>
    <w:p w14:paraId="1E52C3C5"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greatest impact was experienced in the initial 15 minutes following the agitation of coagulant, at which point the rate of settling was found to increase significantly. A period later, the settling rate became stable, which means that the primary process of the coagulation-flocculation process was finished.</w:t>
      </w:r>
    </w:p>
    <w:p w14:paraId="682D277E" w14:textId="77777777" w:rsidR="00CB6535" w:rsidRDefault="00CB6535">
      <w:pPr>
        <w:spacing w:line="360" w:lineRule="auto"/>
        <w:rPr>
          <w:rFonts w:cs="Times New Roman"/>
          <w:szCs w:val="24"/>
        </w:rPr>
      </w:pPr>
    </w:p>
    <w:p w14:paraId="2750FF31" w14:textId="77777777" w:rsidR="00CB6535" w:rsidRDefault="008665FD">
      <w:pPr>
        <w:keepNext/>
        <w:spacing w:line="360" w:lineRule="auto"/>
        <w:jc w:val="center"/>
      </w:pPr>
      <w:r>
        <w:rPr>
          <w:rFonts w:cs="Times New Roman"/>
          <w:noProof/>
          <w:szCs w:val="24"/>
        </w:rPr>
        <w:lastRenderedPageBreak/>
        <w:drawing>
          <wp:inline distT="0" distB="0" distL="0" distR="0" wp14:anchorId="3A1FF5D5" wp14:editId="7726D041">
            <wp:extent cx="54864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5ABC49" w14:textId="77777777" w:rsidR="00CB6535" w:rsidRDefault="008665FD">
      <w:pPr>
        <w:pStyle w:val="Caption"/>
        <w:jc w:val="center"/>
        <w:rPr>
          <w:rFonts w:cs="Times New Roman"/>
          <w:i w:val="0"/>
          <w:iCs w:val="0"/>
          <w:color w:val="000000" w:themeColor="text1"/>
          <w:sz w:val="24"/>
          <w:szCs w:val="36"/>
        </w:rPr>
      </w:pPr>
      <w:r>
        <w:rPr>
          <w:b/>
          <w:bCs/>
          <w:i w:val="0"/>
          <w:iCs w:val="0"/>
          <w:color w:val="000000" w:themeColor="text1"/>
          <w:sz w:val="24"/>
          <w:szCs w:val="24"/>
        </w:rPr>
        <w:t xml:space="preserve">Figure </w:t>
      </w:r>
      <w:r>
        <w:rPr>
          <w:b/>
          <w:bCs/>
          <w:i w:val="0"/>
          <w:iCs w:val="0"/>
          <w:color w:val="000000" w:themeColor="text1"/>
          <w:sz w:val="24"/>
          <w:szCs w:val="24"/>
        </w:rPr>
        <w:fldChar w:fldCharType="begin"/>
      </w:r>
      <w:r>
        <w:rPr>
          <w:b/>
          <w:bCs/>
          <w:i w:val="0"/>
          <w:iCs w:val="0"/>
          <w:color w:val="000000" w:themeColor="text1"/>
          <w:sz w:val="24"/>
          <w:szCs w:val="24"/>
        </w:rPr>
        <w:instrText xml:space="preserve"> SEQ Figure \* ARABIC </w:instrText>
      </w:r>
      <w:r>
        <w:rPr>
          <w:b/>
          <w:bCs/>
          <w:i w:val="0"/>
          <w:iCs w:val="0"/>
          <w:color w:val="000000" w:themeColor="text1"/>
          <w:sz w:val="24"/>
          <w:szCs w:val="24"/>
        </w:rPr>
        <w:fldChar w:fldCharType="separate"/>
      </w:r>
      <w:r>
        <w:rPr>
          <w:b/>
          <w:bCs/>
          <w:i w:val="0"/>
          <w:iCs w:val="0"/>
          <w:color w:val="000000" w:themeColor="text1"/>
          <w:sz w:val="24"/>
          <w:szCs w:val="24"/>
        </w:rPr>
        <w:t>1</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Showing the Settling Rates Before and After Coagulation</w:t>
      </w:r>
    </w:p>
    <w:p w14:paraId="58F63348" w14:textId="77777777" w:rsidR="00CB6535" w:rsidRDefault="00CB6535">
      <w:pPr>
        <w:spacing w:before="100" w:beforeAutospacing="1" w:after="100" w:afterAutospacing="1" w:line="240" w:lineRule="auto"/>
        <w:jc w:val="both"/>
        <w:rPr>
          <w:rFonts w:eastAsia="Times New Roman" w:cs="Times New Roman"/>
          <w:szCs w:val="24"/>
        </w:rPr>
      </w:pPr>
    </w:p>
    <w:p w14:paraId="781A272C" w14:textId="77777777" w:rsidR="00CB6535" w:rsidRDefault="008665FD">
      <w:pPr>
        <w:spacing w:before="100" w:beforeAutospacing="1" w:after="100" w:afterAutospacing="1" w:line="240" w:lineRule="auto"/>
        <w:outlineLvl w:val="3"/>
        <w:rPr>
          <w:rFonts w:eastAsia="Times New Roman" w:cs="Times New Roman"/>
          <w:b/>
          <w:bCs/>
          <w:szCs w:val="24"/>
        </w:rPr>
      </w:pPr>
      <w:r>
        <w:rPr>
          <w:rFonts w:eastAsia="Times New Roman" w:cs="Times New Roman"/>
          <w:b/>
          <w:bCs/>
          <w:szCs w:val="24"/>
        </w:rPr>
        <w:t>3.4.2 Turbidity Reduction</w:t>
      </w:r>
    </w:p>
    <w:p w14:paraId="1E5DB0E8" w14:textId="77777777" w:rsidR="00CB6535" w:rsidRDefault="008665FD">
      <w:pPr>
        <w:spacing w:before="100" w:beforeAutospacing="1" w:after="100" w:afterAutospacing="1" w:line="240" w:lineRule="auto"/>
        <w:rPr>
          <w:rFonts w:eastAsia="Times New Roman" w:cs="Times New Roman"/>
          <w:szCs w:val="24"/>
        </w:rPr>
      </w:pPr>
      <w:r>
        <w:rPr>
          <w:rFonts w:eastAsia="Times New Roman" w:cs="Times New Roman"/>
          <w:szCs w:val="24"/>
        </w:rPr>
        <w:t>Turbidity decreased dramatically following okra seed treatment:</w:t>
      </w:r>
    </w:p>
    <w:p w14:paraId="0B5879BE" w14:textId="77777777" w:rsidR="00CB6535" w:rsidRDefault="008665FD">
      <w:pPr>
        <w:pStyle w:val="Caption"/>
        <w:keepNext/>
        <w:rPr>
          <w:i w:val="0"/>
          <w:iCs w:val="0"/>
          <w:color w:val="000000" w:themeColor="text1"/>
          <w:sz w:val="24"/>
          <w:szCs w:val="24"/>
        </w:rPr>
      </w:pPr>
      <w:r>
        <w:rPr>
          <w:b/>
          <w:bCs/>
          <w:i w:val="0"/>
          <w:iCs w:val="0"/>
          <w:color w:val="000000" w:themeColor="text1"/>
          <w:sz w:val="24"/>
          <w:szCs w:val="24"/>
        </w:rPr>
        <w:t xml:space="preserve">Table </w:t>
      </w:r>
      <w:r>
        <w:rPr>
          <w:b/>
          <w:bCs/>
          <w:i w:val="0"/>
          <w:iCs w:val="0"/>
          <w:color w:val="000000" w:themeColor="text1"/>
          <w:sz w:val="24"/>
          <w:szCs w:val="24"/>
        </w:rPr>
        <w:fldChar w:fldCharType="begin"/>
      </w:r>
      <w:r>
        <w:rPr>
          <w:b/>
          <w:bCs/>
          <w:i w:val="0"/>
          <w:iCs w:val="0"/>
          <w:color w:val="000000" w:themeColor="text1"/>
          <w:sz w:val="24"/>
          <w:szCs w:val="24"/>
        </w:rPr>
        <w:instrText xml:space="preserve"> SEQ Table \* ARABIC </w:instrText>
      </w:r>
      <w:r>
        <w:rPr>
          <w:b/>
          <w:bCs/>
          <w:i w:val="0"/>
          <w:iCs w:val="0"/>
          <w:color w:val="000000" w:themeColor="text1"/>
          <w:sz w:val="24"/>
          <w:szCs w:val="24"/>
        </w:rPr>
        <w:fldChar w:fldCharType="separate"/>
      </w:r>
      <w:r>
        <w:rPr>
          <w:b/>
          <w:bCs/>
          <w:i w:val="0"/>
          <w:iCs w:val="0"/>
          <w:color w:val="000000" w:themeColor="text1"/>
          <w:sz w:val="24"/>
          <w:szCs w:val="24"/>
        </w:rPr>
        <w:t>5</w:t>
      </w:r>
      <w:r>
        <w:rPr>
          <w:b/>
          <w:bCs/>
          <w:i w:val="0"/>
          <w:iCs w:val="0"/>
          <w:color w:val="000000" w:themeColor="text1"/>
          <w:sz w:val="24"/>
          <w:szCs w:val="24"/>
        </w:rPr>
        <w:fldChar w:fldCharType="end"/>
      </w:r>
      <w:r>
        <w:rPr>
          <w:b/>
          <w:bCs/>
          <w:i w:val="0"/>
          <w:iCs w:val="0"/>
          <w:color w:val="000000" w:themeColor="text1"/>
          <w:sz w:val="24"/>
          <w:szCs w:val="24"/>
        </w:rPr>
        <w:t>:</w:t>
      </w:r>
      <w:r>
        <w:rPr>
          <w:i w:val="0"/>
          <w:iCs w:val="0"/>
          <w:color w:val="000000" w:themeColor="text1"/>
          <w:sz w:val="24"/>
          <w:szCs w:val="24"/>
        </w:rPr>
        <w:t xml:space="preserve"> Turbidity before and after coagulation</w:t>
      </w:r>
    </w:p>
    <w:tbl>
      <w:tblPr>
        <w:tblStyle w:val="TableGrid"/>
        <w:tblW w:w="0" w:type="auto"/>
        <w:tblLook w:val="04A0" w:firstRow="1" w:lastRow="0" w:firstColumn="1" w:lastColumn="0" w:noHBand="0" w:noVBand="1"/>
      </w:tblPr>
      <w:tblGrid>
        <w:gridCol w:w="977"/>
        <w:gridCol w:w="1623"/>
        <w:gridCol w:w="1489"/>
        <w:gridCol w:w="1730"/>
      </w:tblGrid>
      <w:tr w:rsidR="00CB6535" w14:paraId="72213526" w14:textId="77777777">
        <w:tc>
          <w:tcPr>
            <w:tcW w:w="0" w:type="auto"/>
          </w:tcPr>
          <w:p w14:paraId="5C43301C"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Sample</w:t>
            </w:r>
          </w:p>
        </w:tc>
        <w:tc>
          <w:tcPr>
            <w:tcW w:w="0" w:type="auto"/>
          </w:tcPr>
          <w:p w14:paraId="189983F5"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Before (NTU)</w:t>
            </w:r>
          </w:p>
        </w:tc>
        <w:tc>
          <w:tcPr>
            <w:tcW w:w="0" w:type="auto"/>
          </w:tcPr>
          <w:p w14:paraId="5468030D"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After (NTU)</w:t>
            </w:r>
          </w:p>
        </w:tc>
        <w:tc>
          <w:tcPr>
            <w:tcW w:w="0" w:type="auto"/>
          </w:tcPr>
          <w:p w14:paraId="3549FAA4" w14:textId="77777777" w:rsidR="00CB6535" w:rsidRDefault="008665FD">
            <w:pPr>
              <w:spacing w:after="0" w:line="240" w:lineRule="auto"/>
              <w:jc w:val="center"/>
              <w:rPr>
                <w:rFonts w:eastAsia="Times New Roman" w:cs="Times New Roman"/>
                <w:b/>
                <w:bCs/>
                <w:szCs w:val="24"/>
              </w:rPr>
            </w:pPr>
            <w:r>
              <w:rPr>
                <w:rFonts w:eastAsia="Times New Roman" w:cs="Times New Roman"/>
                <w:b/>
                <w:bCs/>
                <w:szCs w:val="24"/>
              </w:rPr>
              <w:t>Reduction (%)</w:t>
            </w:r>
          </w:p>
        </w:tc>
      </w:tr>
      <w:tr w:rsidR="00CB6535" w14:paraId="69492AF9" w14:textId="77777777">
        <w:tc>
          <w:tcPr>
            <w:tcW w:w="0" w:type="auto"/>
          </w:tcPr>
          <w:p w14:paraId="7F00EF42" w14:textId="77777777" w:rsidR="00CB6535" w:rsidRDefault="008665FD">
            <w:pPr>
              <w:spacing w:after="0" w:line="240" w:lineRule="auto"/>
              <w:rPr>
                <w:rFonts w:eastAsia="Times New Roman" w:cs="Times New Roman"/>
                <w:szCs w:val="24"/>
              </w:rPr>
            </w:pPr>
            <w:r>
              <w:rPr>
                <w:rFonts w:eastAsia="Times New Roman" w:cs="Times New Roman"/>
                <w:szCs w:val="24"/>
              </w:rPr>
              <w:t>A</w:t>
            </w:r>
          </w:p>
        </w:tc>
        <w:tc>
          <w:tcPr>
            <w:tcW w:w="0" w:type="auto"/>
          </w:tcPr>
          <w:p w14:paraId="61E7ABF0" w14:textId="77777777" w:rsidR="00CB6535" w:rsidRDefault="008665FD">
            <w:pPr>
              <w:spacing w:after="0" w:line="240" w:lineRule="auto"/>
              <w:rPr>
                <w:rFonts w:eastAsia="Times New Roman" w:cs="Times New Roman"/>
                <w:szCs w:val="24"/>
              </w:rPr>
            </w:pPr>
            <w:r>
              <w:rPr>
                <w:rFonts w:eastAsia="Times New Roman" w:cs="Times New Roman"/>
                <w:szCs w:val="24"/>
              </w:rPr>
              <w:t>78.83</w:t>
            </w:r>
          </w:p>
        </w:tc>
        <w:tc>
          <w:tcPr>
            <w:tcW w:w="0" w:type="auto"/>
          </w:tcPr>
          <w:p w14:paraId="0FBC04DC" w14:textId="77777777" w:rsidR="00CB6535" w:rsidRDefault="008665FD">
            <w:pPr>
              <w:spacing w:after="0" w:line="240" w:lineRule="auto"/>
              <w:rPr>
                <w:rFonts w:eastAsia="Times New Roman" w:cs="Times New Roman"/>
                <w:szCs w:val="24"/>
              </w:rPr>
            </w:pPr>
            <w:r>
              <w:rPr>
                <w:rFonts w:eastAsia="Times New Roman" w:cs="Times New Roman"/>
                <w:szCs w:val="24"/>
              </w:rPr>
              <w:t>11.57</w:t>
            </w:r>
          </w:p>
        </w:tc>
        <w:tc>
          <w:tcPr>
            <w:tcW w:w="0" w:type="auto"/>
          </w:tcPr>
          <w:p w14:paraId="3B132A43" w14:textId="77777777" w:rsidR="00CB6535" w:rsidRDefault="008665FD">
            <w:pPr>
              <w:spacing w:after="0" w:line="240" w:lineRule="auto"/>
              <w:rPr>
                <w:rFonts w:eastAsia="Times New Roman" w:cs="Times New Roman"/>
                <w:szCs w:val="24"/>
              </w:rPr>
            </w:pPr>
            <w:r>
              <w:rPr>
                <w:rFonts w:eastAsia="Times New Roman" w:cs="Times New Roman"/>
                <w:szCs w:val="24"/>
              </w:rPr>
              <w:t>85.3%</w:t>
            </w:r>
          </w:p>
        </w:tc>
      </w:tr>
      <w:tr w:rsidR="00CB6535" w14:paraId="48F2CFAD" w14:textId="77777777">
        <w:tc>
          <w:tcPr>
            <w:tcW w:w="0" w:type="auto"/>
          </w:tcPr>
          <w:p w14:paraId="37027C1B" w14:textId="77777777" w:rsidR="00CB6535" w:rsidRDefault="008665FD">
            <w:pPr>
              <w:spacing w:after="0" w:line="240" w:lineRule="auto"/>
              <w:rPr>
                <w:rFonts w:eastAsia="Times New Roman" w:cs="Times New Roman"/>
                <w:szCs w:val="24"/>
              </w:rPr>
            </w:pPr>
            <w:r>
              <w:rPr>
                <w:rFonts w:eastAsia="Times New Roman" w:cs="Times New Roman"/>
                <w:szCs w:val="24"/>
              </w:rPr>
              <w:t>B</w:t>
            </w:r>
          </w:p>
        </w:tc>
        <w:tc>
          <w:tcPr>
            <w:tcW w:w="0" w:type="auto"/>
          </w:tcPr>
          <w:p w14:paraId="755FF5FE" w14:textId="77777777" w:rsidR="00CB6535" w:rsidRDefault="008665FD">
            <w:pPr>
              <w:spacing w:after="0" w:line="240" w:lineRule="auto"/>
              <w:rPr>
                <w:rFonts w:eastAsia="Times New Roman" w:cs="Times New Roman"/>
                <w:szCs w:val="24"/>
              </w:rPr>
            </w:pPr>
            <w:r>
              <w:rPr>
                <w:rFonts w:eastAsia="Times New Roman" w:cs="Times New Roman"/>
                <w:szCs w:val="24"/>
              </w:rPr>
              <w:t>99.17</w:t>
            </w:r>
          </w:p>
        </w:tc>
        <w:tc>
          <w:tcPr>
            <w:tcW w:w="0" w:type="auto"/>
          </w:tcPr>
          <w:p w14:paraId="7D6CF779" w14:textId="77777777" w:rsidR="00CB6535" w:rsidRDefault="008665FD">
            <w:pPr>
              <w:spacing w:after="0" w:line="240" w:lineRule="auto"/>
              <w:rPr>
                <w:rFonts w:eastAsia="Times New Roman" w:cs="Times New Roman"/>
                <w:szCs w:val="24"/>
              </w:rPr>
            </w:pPr>
            <w:r>
              <w:rPr>
                <w:rFonts w:eastAsia="Times New Roman" w:cs="Times New Roman"/>
                <w:szCs w:val="24"/>
              </w:rPr>
              <w:t>16.07</w:t>
            </w:r>
          </w:p>
        </w:tc>
        <w:tc>
          <w:tcPr>
            <w:tcW w:w="0" w:type="auto"/>
          </w:tcPr>
          <w:p w14:paraId="585ED3DE" w14:textId="77777777" w:rsidR="00CB6535" w:rsidRDefault="008665FD">
            <w:pPr>
              <w:spacing w:after="0" w:line="240" w:lineRule="auto"/>
              <w:rPr>
                <w:rFonts w:eastAsia="Times New Roman" w:cs="Times New Roman"/>
                <w:szCs w:val="24"/>
              </w:rPr>
            </w:pPr>
            <w:r>
              <w:rPr>
                <w:rFonts w:eastAsia="Times New Roman" w:cs="Times New Roman"/>
                <w:szCs w:val="24"/>
              </w:rPr>
              <w:t>83.8%</w:t>
            </w:r>
          </w:p>
        </w:tc>
      </w:tr>
      <w:tr w:rsidR="00CB6535" w14:paraId="1D6E2101" w14:textId="77777777">
        <w:tc>
          <w:tcPr>
            <w:tcW w:w="0" w:type="auto"/>
          </w:tcPr>
          <w:p w14:paraId="26160C7F" w14:textId="77777777" w:rsidR="00CB6535" w:rsidRDefault="008665FD">
            <w:pPr>
              <w:spacing w:after="0" w:line="240" w:lineRule="auto"/>
              <w:rPr>
                <w:rFonts w:eastAsia="Times New Roman" w:cs="Times New Roman"/>
                <w:szCs w:val="24"/>
              </w:rPr>
            </w:pPr>
            <w:r>
              <w:rPr>
                <w:rFonts w:eastAsia="Times New Roman" w:cs="Times New Roman"/>
                <w:szCs w:val="24"/>
              </w:rPr>
              <w:t>C</w:t>
            </w:r>
          </w:p>
        </w:tc>
        <w:tc>
          <w:tcPr>
            <w:tcW w:w="0" w:type="auto"/>
          </w:tcPr>
          <w:p w14:paraId="36EA2626" w14:textId="77777777" w:rsidR="00CB6535" w:rsidRDefault="008665FD">
            <w:pPr>
              <w:spacing w:after="0" w:line="240" w:lineRule="auto"/>
              <w:rPr>
                <w:rFonts w:eastAsia="Times New Roman" w:cs="Times New Roman"/>
                <w:szCs w:val="24"/>
              </w:rPr>
            </w:pPr>
            <w:r>
              <w:rPr>
                <w:rFonts w:eastAsia="Times New Roman" w:cs="Times New Roman"/>
                <w:szCs w:val="24"/>
              </w:rPr>
              <w:t>221.17</w:t>
            </w:r>
          </w:p>
        </w:tc>
        <w:tc>
          <w:tcPr>
            <w:tcW w:w="0" w:type="auto"/>
          </w:tcPr>
          <w:p w14:paraId="4FC65A9E" w14:textId="77777777" w:rsidR="00CB6535" w:rsidRDefault="008665FD">
            <w:pPr>
              <w:spacing w:after="0" w:line="240" w:lineRule="auto"/>
              <w:rPr>
                <w:rFonts w:eastAsia="Times New Roman" w:cs="Times New Roman"/>
                <w:szCs w:val="24"/>
              </w:rPr>
            </w:pPr>
            <w:r>
              <w:rPr>
                <w:rFonts w:eastAsia="Times New Roman" w:cs="Times New Roman"/>
                <w:szCs w:val="24"/>
              </w:rPr>
              <w:t>8.67</w:t>
            </w:r>
          </w:p>
        </w:tc>
        <w:tc>
          <w:tcPr>
            <w:tcW w:w="0" w:type="auto"/>
          </w:tcPr>
          <w:p w14:paraId="078F3EF0" w14:textId="77777777" w:rsidR="00CB6535" w:rsidRDefault="008665FD">
            <w:pPr>
              <w:spacing w:after="0" w:line="240" w:lineRule="auto"/>
              <w:rPr>
                <w:rFonts w:eastAsia="Times New Roman" w:cs="Times New Roman"/>
                <w:szCs w:val="24"/>
              </w:rPr>
            </w:pPr>
            <w:r>
              <w:rPr>
                <w:rFonts w:eastAsia="Times New Roman" w:cs="Times New Roman"/>
                <w:szCs w:val="24"/>
              </w:rPr>
              <w:t>96.1%</w:t>
            </w:r>
          </w:p>
        </w:tc>
      </w:tr>
    </w:tbl>
    <w:p w14:paraId="24F4F676"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Sample C that had the highest turbidity initially recorded the highest absolute and relative turbidity reduction. This implies that okra seed coagulant is specifically used on highly turbid waters, where the concentration of the suspended particles enhances bridging of the particles.</w:t>
      </w:r>
    </w:p>
    <w:p w14:paraId="649FD133"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t>4. DISCUSSION</w:t>
      </w:r>
    </w:p>
    <w:p w14:paraId="6229848A" w14:textId="77777777" w:rsidR="00CB6535" w:rsidRDefault="008665FD">
      <w:pPr>
        <w:spacing w:before="100" w:beforeAutospacing="1" w:after="100" w:afterAutospacing="1" w:line="240" w:lineRule="auto"/>
        <w:outlineLvl w:val="2"/>
        <w:rPr>
          <w:rFonts w:eastAsia="Times New Roman" w:cs="Times New Roman"/>
          <w:b/>
          <w:bCs/>
          <w:szCs w:val="24"/>
        </w:rPr>
      </w:pPr>
      <w:r>
        <w:rPr>
          <w:rFonts w:eastAsia="Times New Roman" w:cs="Times New Roman"/>
          <w:b/>
          <w:bCs/>
          <w:szCs w:val="24"/>
        </w:rPr>
        <w:t>4.1 Mechanisms of Coagulation</w:t>
      </w:r>
    </w:p>
    <w:p w14:paraId="6DCE9B5D"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mechanism of coagulation of okra seed extract may be explained by a number of processes:</w:t>
      </w:r>
    </w:p>
    <w:p w14:paraId="2A2B3AF1"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Charge Neutralization:</w:t>
      </w:r>
      <w:r>
        <w:rPr>
          <w:rFonts w:eastAsia="Times New Roman" w:cs="Times New Roman"/>
          <w:szCs w:val="24"/>
        </w:rPr>
        <w:t xml:space="preserve"> Cationic proteins and polysaccharides which occur in okra seeds neutralize the negative surface charges on clay particles. Clay minerals are normally negative charged because of an isomorphic replacement of the mineral structure, and ionization of the hydroxyl groups that are attached to the surface.</w:t>
      </w:r>
    </w:p>
    <w:p w14:paraId="578108A4"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lastRenderedPageBreak/>
        <w:t>Polymer Bridging:</w:t>
      </w:r>
      <w:r>
        <w:rPr>
          <w:rFonts w:eastAsia="Times New Roman" w:cs="Times New Roman"/>
          <w:szCs w:val="24"/>
        </w:rPr>
        <w:t xml:space="preserve"> The polymers in the mucilaginous coats of okra seeds are long-chain polymers that simultaneously bind to various clay particle creating bridges to form bigger and more quickly settling flocs.</w:t>
      </w:r>
    </w:p>
    <w:p w14:paraId="0C35544C"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pH-Dependent Activity:</w:t>
      </w:r>
      <w:r>
        <w:rPr>
          <w:rFonts w:eastAsia="Times New Roman" w:cs="Times New Roman"/>
          <w:szCs w:val="24"/>
        </w:rPr>
        <w:t xml:space="preserve"> Alkalinity produced by the lime addition increases the solubility and activity of the active compounds of okra to enhance their reaction towards clay surfaces.</w:t>
      </w:r>
    </w:p>
    <w:p w14:paraId="74EF9D7B"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4.2 Comparison with Conventional Coagulants</w:t>
      </w:r>
    </w:p>
    <w:p w14:paraId="27796887"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Although, no direct comparisons to aluminum-based coagulants were done in this study, literature indicates that natural coagulants such as okra can perform similarly under favorable circumstances. This increase in settling rate of 3 times and over 80 percent removal of turbidity improvement is also in line with or even greater performance of some traditional coagulants at the same dosage.</w:t>
      </w:r>
    </w:p>
    <w:p w14:paraId="0F9C9B5C" w14:textId="27E23345" w:rsidR="009850DC" w:rsidRDefault="009850DC">
      <w:pPr>
        <w:spacing w:before="100" w:beforeAutospacing="1" w:after="100" w:afterAutospacing="1" w:line="240" w:lineRule="auto"/>
        <w:jc w:val="both"/>
        <w:outlineLvl w:val="2"/>
        <w:rPr>
          <w:rFonts w:eastAsia="Times New Roman" w:cs="Times New Roman"/>
          <w:szCs w:val="24"/>
        </w:rPr>
      </w:pPr>
      <w:r w:rsidRPr="009850DC">
        <w:rPr>
          <w:rFonts w:eastAsia="Times New Roman" w:cs="Times New Roman"/>
          <w:szCs w:val="24"/>
        </w:rPr>
        <w:t>Other comparable achievements have been reported with the use of moringa oleifera and cactus mucilage in water treatment systems of community scales.</w:t>
      </w:r>
    </w:p>
    <w:p w14:paraId="77ABCBCC" w14:textId="1DCABACD"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major benefits of okra seed coagulant are:</w:t>
      </w:r>
    </w:p>
    <w:p w14:paraId="14B63943"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Safety:</w:t>
      </w:r>
      <w:r>
        <w:rPr>
          <w:rFonts w:eastAsia="Times New Roman" w:cs="Times New Roman"/>
          <w:szCs w:val="24"/>
        </w:rPr>
        <w:t xml:space="preserve"> No residues of toxic metals in treated water and sludge.</w:t>
      </w:r>
    </w:p>
    <w:p w14:paraId="2DBF8566"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Biodegradability:</w:t>
      </w:r>
      <w:r>
        <w:rPr>
          <w:rFonts w:eastAsia="Times New Roman" w:cs="Times New Roman"/>
          <w:szCs w:val="24"/>
        </w:rPr>
        <w:t xml:space="preserve"> Organic sludge is able to occur naturally.</w:t>
      </w:r>
    </w:p>
    <w:p w14:paraId="276D6D87"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Local availability:</w:t>
      </w:r>
      <w:r>
        <w:rPr>
          <w:rFonts w:eastAsia="Times New Roman" w:cs="Times New Roman"/>
          <w:szCs w:val="24"/>
        </w:rPr>
        <w:t xml:space="preserve"> The okra is widely grown in the tropical areas.</w:t>
      </w:r>
    </w:p>
    <w:p w14:paraId="2C0F94DC" w14:textId="77777777"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Cost effectiveness:</w:t>
      </w:r>
      <w:r>
        <w:rPr>
          <w:rFonts w:eastAsia="Times New Roman" w:cs="Times New Roman"/>
          <w:szCs w:val="24"/>
        </w:rPr>
        <w:t xml:space="preserve"> Completely inexpensive compared to foreign chemical coagulants.</w:t>
      </w:r>
    </w:p>
    <w:p w14:paraId="6CCE73F7" w14:textId="64C5BDAD" w:rsidR="00CB6535" w:rsidRDefault="008665FD">
      <w:pPr>
        <w:pStyle w:val="ListParagraph"/>
        <w:numPr>
          <w:ilvl w:val="0"/>
          <w:numId w:val="4"/>
        </w:num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Features:</w:t>
      </w:r>
      <w:r>
        <w:rPr>
          <w:rFonts w:eastAsia="Times New Roman" w:cs="Times New Roman"/>
          <w:szCs w:val="24"/>
        </w:rPr>
        <w:t xml:space="preserve"> Does not need a lot of processing machinery.</w:t>
      </w:r>
    </w:p>
    <w:p w14:paraId="02966B29" w14:textId="0B585D79" w:rsidR="009850DC" w:rsidRPr="009850DC" w:rsidRDefault="009850DC" w:rsidP="009850DC">
      <w:pPr>
        <w:spacing w:before="100" w:beforeAutospacing="1" w:after="100" w:afterAutospacing="1" w:line="240" w:lineRule="auto"/>
        <w:jc w:val="both"/>
        <w:outlineLvl w:val="2"/>
        <w:rPr>
          <w:rFonts w:eastAsia="Times New Roman" w:cs="Times New Roman"/>
          <w:szCs w:val="24"/>
        </w:rPr>
      </w:pPr>
      <w:r w:rsidRPr="009850DC">
        <w:rPr>
          <w:rFonts w:eastAsia="Times New Roman" w:cs="Times New Roman"/>
          <w:szCs w:val="24"/>
        </w:rPr>
        <w:t xml:space="preserve">But the okra extract unlike coagulants made out of aluminum does not leave behind traces of metals such as aluminum and hence it is less unsafe over the </w:t>
      </w:r>
      <w:r w:rsidR="0035364F" w:rsidRPr="009850DC">
        <w:rPr>
          <w:rFonts w:eastAsia="Times New Roman" w:cs="Times New Roman"/>
          <w:szCs w:val="24"/>
        </w:rPr>
        <w:t>long-term</w:t>
      </w:r>
      <w:r w:rsidRPr="009850DC">
        <w:rPr>
          <w:rFonts w:eastAsia="Times New Roman" w:cs="Times New Roman"/>
          <w:szCs w:val="24"/>
        </w:rPr>
        <w:t xml:space="preserve"> application in the environment.</w:t>
      </w:r>
    </w:p>
    <w:p w14:paraId="4743C5D6"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4.3 Sample Variability and Implications</w:t>
      </w:r>
    </w:p>
    <w:p w14:paraId="0E098D5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The varying reactions of the three clay samples stress on the relevancy of mineralogical composition in the coagulation efficiency. The better response of Sample C can be because of:</w:t>
      </w:r>
    </w:p>
    <w:p w14:paraId="1F8114D6"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Diversity: types of clay mineral (</w:t>
      </w:r>
      <w:proofErr w:type="gramStart"/>
      <w:r>
        <w:rPr>
          <w:rFonts w:eastAsia="Times New Roman" w:cs="Times New Roman"/>
          <w:szCs w:val="24"/>
        </w:rPr>
        <w:t>e.g.</w:t>
      </w:r>
      <w:proofErr w:type="gramEnd"/>
      <w:r>
        <w:rPr>
          <w:rFonts w:eastAsia="Times New Roman" w:cs="Times New Roman"/>
          <w:szCs w:val="24"/>
        </w:rPr>
        <w:t xml:space="preserve"> more smectite)</w:t>
      </w:r>
    </w:p>
    <w:p w14:paraId="3609065F"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Disagreements in particle size distribution.</w:t>
      </w:r>
    </w:p>
    <w:p w14:paraId="13463FEF"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The dissimilarity of organic matter concentrations.</w:t>
      </w:r>
    </w:p>
    <w:p w14:paraId="090F6A00" w14:textId="77777777" w:rsidR="00CB6535" w:rsidRDefault="008665FD">
      <w:pPr>
        <w:pStyle w:val="ListParagraph"/>
        <w:numPr>
          <w:ilvl w:val="0"/>
          <w:numId w:val="5"/>
        </w:numPr>
        <w:spacing w:before="100" w:beforeAutospacing="1" w:after="100" w:afterAutospacing="1" w:line="240" w:lineRule="auto"/>
        <w:jc w:val="both"/>
        <w:rPr>
          <w:rFonts w:eastAsia="Times New Roman" w:cs="Times New Roman"/>
          <w:szCs w:val="24"/>
        </w:rPr>
      </w:pPr>
      <w:r>
        <w:rPr>
          <w:rFonts w:eastAsia="Times New Roman" w:cs="Times New Roman"/>
          <w:szCs w:val="24"/>
        </w:rPr>
        <w:t>Various binding capacities of cation exchanges.</w:t>
      </w:r>
    </w:p>
    <w:p w14:paraId="46EAC6AA" w14:textId="37D440C6" w:rsidR="009850DC"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This inconsistency implies that the best dosage levels of the coagulant can be determined by site-specific calibration, but the overall performance in all samples is promising in feasibility to be used in the field.</w:t>
      </w:r>
    </w:p>
    <w:p w14:paraId="678A6565"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4.4 Practical Applications</w:t>
      </w:r>
    </w:p>
    <w:p w14:paraId="4360AF6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 implications of the findings are important to the small-scale mining operations:</w:t>
      </w:r>
    </w:p>
    <w:p w14:paraId="6F35E8D8"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lastRenderedPageBreak/>
        <w:t>Water Recycling:</w:t>
      </w:r>
      <w:r>
        <w:rPr>
          <w:rFonts w:eastAsia="Times New Roman" w:cs="Times New Roman"/>
          <w:szCs w:val="24"/>
        </w:rPr>
        <w:t xml:space="preserve"> Treated water would have a chance to be recycled to be used in mining operations, and it would decrease the amount of fresh water and environmental emissions.</w:t>
      </w:r>
    </w:p>
    <w:p w14:paraId="02328BED"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Community Water Treatment:</w:t>
      </w:r>
      <w:r>
        <w:rPr>
          <w:rFonts w:eastAsia="Times New Roman" w:cs="Times New Roman"/>
          <w:szCs w:val="24"/>
        </w:rPr>
        <w:t xml:space="preserve"> Community level water treatment might also be introduced using simple okra-based treatment systems to treat the affected water sources.</w:t>
      </w:r>
    </w:p>
    <w:p w14:paraId="682EB479"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Regulatory Compliance:</w:t>
      </w:r>
      <w:r>
        <w:rPr>
          <w:rFonts w:eastAsia="Times New Roman" w:cs="Times New Roman"/>
          <w:szCs w:val="24"/>
        </w:rPr>
        <w:t xml:space="preserve"> Natural coagulation would potentially assist the mining industry to comply with the environmental standards akin to water discharge.</w:t>
      </w:r>
    </w:p>
    <w:p w14:paraId="62CE7AB2"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Scalability:</w:t>
      </w:r>
      <w:r>
        <w:rPr>
          <w:rFonts w:eastAsia="Times New Roman" w:cs="Times New Roman"/>
          <w:szCs w:val="24"/>
        </w:rPr>
        <w:t xml:space="preserve"> This approach is simple to prepare and apply and therefore it can be used in operations of any scale.</w:t>
      </w:r>
    </w:p>
    <w:p w14:paraId="2645EF5C"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4.5 Limitations and Challenges</w:t>
      </w:r>
    </w:p>
    <w:p w14:paraId="63FC571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szCs w:val="24"/>
        </w:rPr>
        <w:t>There are a number of issues that have to be hurdled to adopt them on a large scale:</w:t>
      </w:r>
    </w:p>
    <w:p w14:paraId="62A5EFCF"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Seasonal Availability:</w:t>
      </w:r>
      <w:r>
        <w:rPr>
          <w:rFonts w:eastAsia="Times New Roman" w:cs="Times New Roman"/>
          <w:szCs w:val="24"/>
        </w:rPr>
        <w:t xml:space="preserve"> Okra supply could be seasonal and therefore needs storage policies.</w:t>
      </w:r>
    </w:p>
    <w:p w14:paraId="12EDCBF7"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Dosage Optimization:</w:t>
      </w:r>
      <w:r>
        <w:rPr>
          <w:rFonts w:eastAsia="Times New Roman" w:cs="Times New Roman"/>
          <w:szCs w:val="24"/>
        </w:rPr>
        <w:t xml:space="preserve"> It requires further research, which can determine optimum dosing protocols to operate with different qualities of water.</w:t>
      </w:r>
    </w:p>
    <w:p w14:paraId="47B68E8F"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Microbial Growth:</w:t>
      </w:r>
      <w:r>
        <w:rPr>
          <w:rFonts w:eastAsia="Times New Roman" w:cs="Times New Roman"/>
          <w:szCs w:val="24"/>
        </w:rPr>
        <w:t xml:space="preserve"> Organic coagulants can promote bacteria growth; timely or corresponding care should be subjected to treated water.</w:t>
      </w:r>
    </w:p>
    <w:p w14:paraId="4187D6E5" w14:textId="77777777" w:rsidR="00CB6535" w:rsidRDefault="008665FD">
      <w:pPr>
        <w:spacing w:before="100" w:beforeAutospacing="1" w:after="100" w:afterAutospacing="1" w:line="240" w:lineRule="auto"/>
        <w:jc w:val="both"/>
        <w:outlineLvl w:val="2"/>
        <w:rPr>
          <w:rFonts w:eastAsia="Times New Roman" w:cs="Times New Roman"/>
          <w:szCs w:val="24"/>
        </w:rPr>
      </w:pPr>
      <w:r>
        <w:rPr>
          <w:rFonts w:eastAsia="Times New Roman" w:cs="Times New Roman"/>
          <w:b/>
          <w:bCs/>
          <w:szCs w:val="24"/>
        </w:rPr>
        <w:t>Mechanism Understanding:</w:t>
      </w:r>
      <w:r>
        <w:rPr>
          <w:rFonts w:eastAsia="Times New Roman" w:cs="Times New Roman"/>
          <w:szCs w:val="24"/>
        </w:rPr>
        <w:t xml:space="preserve"> Greater efforts to get molecular interactions optimized would be aided by more careful research.</w:t>
      </w:r>
    </w:p>
    <w:p w14:paraId="134BEBF5" w14:textId="77777777" w:rsidR="00CB6535" w:rsidRDefault="008665FD">
      <w:pPr>
        <w:spacing w:before="100" w:beforeAutospacing="1" w:after="100" w:afterAutospacing="1" w:line="240" w:lineRule="auto"/>
        <w:jc w:val="both"/>
        <w:outlineLvl w:val="2"/>
        <w:rPr>
          <w:rFonts w:eastAsia="Times New Roman" w:cs="Times New Roman"/>
          <w:b/>
          <w:bCs/>
          <w:szCs w:val="24"/>
        </w:rPr>
      </w:pPr>
      <w:r>
        <w:rPr>
          <w:rFonts w:eastAsia="Times New Roman" w:cs="Times New Roman"/>
          <w:b/>
          <w:bCs/>
          <w:szCs w:val="24"/>
        </w:rPr>
        <w:t>4.6 Economic and Environmental Considerations</w:t>
      </w:r>
    </w:p>
    <w:p w14:paraId="62A7C488"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Okra seed coagulant is economically viable and this quality is compelling to resource-constrained environments. Local farming of okra offers a source of employment and farm production and solves the environmental issues. The biodegradation of the treatment residue also removes expensive sludge disposal facilities that are involved in the aluminum-based systems.</w:t>
      </w:r>
    </w:p>
    <w:p w14:paraId="592B8DE4"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As far as environmental benefits are concerned, they are not limited to waste reduction. Okra coagulation can minimize the impact of the mining industry on the natural water bodies by catalyzing the effective on-site treatment of the water that can help in the restoration of the ecosystems.</w:t>
      </w:r>
    </w:p>
    <w:p w14:paraId="76EF40A9" w14:textId="77777777" w:rsidR="00CB6535" w:rsidRDefault="008665FD">
      <w:pPr>
        <w:spacing w:before="100" w:beforeAutospacing="1" w:after="100" w:afterAutospacing="1" w:line="240" w:lineRule="auto"/>
        <w:jc w:val="both"/>
        <w:outlineLvl w:val="1"/>
        <w:rPr>
          <w:rFonts w:eastAsia="Times New Roman" w:cs="Times New Roman"/>
          <w:b/>
          <w:bCs/>
          <w:szCs w:val="24"/>
        </w:rPr>
      </w:pPr>
      <w:r>
        <w:rPr>
          <w:rFonts w:eastAsia="Times New Roman" w:cs="Times New Roman"/>
          <w:b/>
          <w:bCs/>
          <w:szCs w:val="24"/>
        </w:rPr>
        <w:t>5. CONCLUSIONS</w:t>
      </w:r>
    </w:p>
    <w:p w14:paraId="5390959E" w14:textId="77777777"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In this study, the authors were able to prove that okra seed extract can be used as a natural coagulant to blindly treat clay-contaminated wastewater in alluvial mining processes. Key findings include:</w:t>
      </w:r>
    </w:p>
    <w:p w14:paraId="6CC8C2E9"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In all samples that were tested, okra seed powder enhanced the rate of clay settling 2.7-3.1 times.</w:t>
      </w:r>
    </w:p>
    <w:p w14:paraId="6CEA4FCA"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lastRenderedPageBreak/>
        <w:t>In all cases, turbidity reductions of over 83 percent were obtained and in others, reductions of up to 96 percent were obtained.</w:t>
      </w:r>
    </w:p>
    <w:p w14:paraId="7403EEFE"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conditioning to high PH (pH =10.7) improved the coagulant performance.</w:t>
      </w:r>
    </w:p>
    <w:p w14:paraId="55F474CB"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The coagulant was more effective within the initial 15 minutes of treatment.</w:t>
      </w:r>
    </w:p>
    <w:p w14:paraId="1E316697" w14:textId="77777777" w:rsidR="00CB6535" w:rsidRDefault="008665FD">
      <w:pPr>
        <w:pStyle w:val="ListParagraph"/>
        <w:numPr>
          <w:ilvl w:val="0"/>
          <w:numId w:val="6"/>
        </w:numPr>
        <w:spacing w:before="100" w:beforeAutospacing="1" w:after="100" w:afterAutospacing="1" w:line="240" w:lineRule="auto"/>
        <w:jc w:val="both"/>
        <w:rPr>
          <w:rFonts w:eastAsia="Times New Roman" w:cs="Times New Roman"/>
          <w:szCs w:val="24"/>
        </w:rPr>
      </w:pPr>
      <w:r>
        <w:rPr>
          <w:rFonts w:eastAsia="Times New Roman" w:cs="Times New Roman"/>
          <w:szCs w:val="24"/>
        </w:rPr>
        <w:t>Best relative improvement was achieved with sample of high initial turbidity.</w:t>
      </w:r>
    </w:p>
    <w:p w14:paraId="68397656" w14:textId="3C7E5361" w:rsidR="00CB6535" w:rsidRDefault="008665FD">
      <w:pPr>
        <w:spacing w:before="100" w:beforeAutospacing="1" w:after="100" w:afterAutospacing="1" w:line="240" w:lineRule="auto"/>
        <w:jc w:val="both"/>
        <w:rPr>
          <w:rFonts w:eastAsia="Times New Roman" w:cs="Times New Roman"/>
          <w:szCs w:val="24"/>
        </w:rPr>
      </w:pPr>
      <w:r>
        <w:rPr>
          <w:rFonts w:eastAsia="Times New Roman" w:cs="Times New Roman"/>
          <w:szCs w:val="24"/>
        </w:rPr>
        <w:t xml:space="preserve">These findings prove okra seed extract as an alternative coagulant that is viable and sustainable, and can be widely used in developing areas where mining is observed to compromise the quality of water. </w:t>
      </w:r>
      <w:r w:rsidR="009850DC" w:rsidRPr="009850DC">
        <w:rPr>
          <w:rFonts w:eastAsia="Times New Roman" w:cs="Times New Roman"/>
          <w:szCs w:val="24"/>
        </w:rPr>
        <w:t>This renders okra seed extract an effective target to the decentralized or community-based water treatment systems in mines-affected areas.</w:t>
      </w:r>
      <w:r w:rsidR="009850DC">
        <w:rPr>
          <w:rFonts w:eastAsia="Times New Roman" w:cs="Times New Roman"/>
          <w:szCs w:val="24"/>
        </w:rPr>
        <w:t xml:space="preserve"> </w:t>
      </w:r>
      <w:r>
        <w:rPr>
          <w:rFonts w:eastAsia="Times New Roman" w:cs="Times New Roman"/>
          <w:szCs w:val="24"/>
        </w:rPr>
        <w:t>The treatment is both environmentally, economically, and health-beneficial when compared to the aluminum-based treatments, and is also employing the locally available renewable resources.</w:t>
      </w:r>
      <w:r w:rsidR="007A5434">
        <w:rPr>
          <w:rFonts w:eastAsia="Times New Roman" w:cs="Times New Roman"/>
          <w:szCs w:val="24"/>
        </w:rPr>
        <w:t xml:space="preserve"> </w:t>
      </w:r>
      <w:r w:rsidR="007A5434" w:rsidRPr="007A5434">
        <w:rPr>
          <w:rFonts w:eastAsia="Times New Roman" w:cs="Times New Roman"/>
          <w:szCs w:val="24"/>
        </w:rPr>
        <w:t>To ensure its performance in other environment and operating conditions, future field tests are necessary to confirm the validity of its performance.</w:t>
      </w:r>
    </w:p>
    <w:p w14:paraId="7F7DA604" w14:textId="77777777" w:rsidR="00CB6535" w:rsidRDefault="008665FD">
      <w:pPr>
        <w:spacing w:before="100" w:beforeAutospacing="1" w:after="100" w:afterAutospacing="1" w:line="240" w:lineRule="auto"/>
        <w:jc w:val="both"/>
        <w:outlineLvl w:val="1"/>
        <w:rPr>
          <w:rFonts w:eastAsia="Times New Roman" w:cs="Times New Roman"/>
          <w:b/>
          <w:bCs/>
          <w:szCs w:val="24"/>
        </w:rPr>
      </w:pPr>
      <w:r>
        <w:rPr>
          <w:rFonts w:eastAsia="Times New Roman" w:cs="Times New Roman"/>
          <w:b/>
          <w:bCs/>
          <w:szCs w:val="24"/>
        </w:rPr>
        <w:t>6. RECOMMENDATIONS</w:t>
      </w:r>
    </w:p>
    <w:p w14:paraId="00A87F35" w14:textId="2B575665" w:rsidR="00F41181" w:rsidRDefault="00F41181" w:rsidP="00F41181">
      <w:pPr>
        <w:jc w:val="both"/>
        <w:rPr>
          <w:rFonts w:eastAsia="Times New Roman" w:cs="Times New Roman"/>
          <w:szCs w:val="24"/>
        </w:rPr>
      </w:pPr>
      <w:r w:rsidRPr="00F41181">
        <w:rPr>
          <w:rFonts w:eastAsia="Times New Roman" w:cs="Times New Roman"/>
          <w:szCs w:val="24"/>
        </w:rPr>
        <w:t>Future studies are required to coherently examine the dosage of okra seeds used in the dosage of 0.5-2.0 g per 250 mL of pulp on coagulator power and also the impact of pH within the alkaline pH range 8-12. Special attention should be paid to the best time of coagulant application, the stirring strength and period of dispersion and extraction of active components with 0.1 M NaCl solution or dry powder of the solution, as these parameters will likely influence the process of floc development and settling characteristics. SEM analysis of the flocs would help as an effective way to see a visual evidence of charge neutralization and polymer-bridging. Simultaneously, a close description of the flocculating polysaccharides and proteins in okra seeds, along with mineralogical modification of the clay samples (especially in smectite content and cations exchange capacity), would make it clearer that coagulation efficiency varied at sites. It should also be quantified whether the stored okra seed powder is stable or subject to seasonal changes to make certain it is reliable all year round.</w:t>
      </w:r>
    </w:p>
    <w:p w14:paraId="2BBADC51" w14:textId="2FC8E1DA" w:rsidR="00F41181" w:rsidRDefault="00F41181" w:rsidP="00F41181">
      <w:pPr>
        <w:jc w:val="both"/>
        <w:rPr>
          <w:rFonts w:eastAsia="Times New Roman" w:cs="Times New Roman"/>
          <w:szCs w:val="24"/>
        </w:rPr>
      </w:pPr>
      <w:r w:rsidRPr="00F41181">
        <w:rPr>
          <w:rFonts w:eastAsia="Times New Roman" w:cs="Times New Roman"/>
          <w:szCs w:val="24"/>
        </w:rPr>
        <w:t xml:space="preserve">To be practically applied in the field, standard operating practices, i.e., the use and preparation of okra seeds equip with clear and illustrated procedures should be crafted and spread. The small-scale miners training programmes must be increased and the processing </w:t>
      </w:r>
      <w:proofErr w:type="spellStart"/>
      <w:r w:rsidRPr="00F41181">
        <w:rPr>
          <w:rFonts w:eastAsia="Times New Roman" w:cs="Times New Roman"/>
          <w:szCs w:val="24"/>
        </w:rPr>
        <w:t>centres</w:t>
      </w:r>
      <w:proofErr w:type="spellEnd"/>
      <w:r w:rsidRPr="00F41181">
        <w:rPr>
          <w:rFonts w:eastAsia="Times New Roman" w:cs="Times New Roman"/>
          <w:szCs w:val="24"/>
        </w:rPr>
        <w:t xml:space="preserve"> set up at community levels in order to ensure quality coagulant supply at all times. Low cost, simple settling units to suit remote mining must be designed and proved out at pilot scale in an active alluvial mining project to prove they are practical in greater throughput. Setting quality standards on the preparation of okra seed powder will lead to more adoption and trust of the operators.</w:t>
      </w:r>
    </w:p>
    <w:p w14:paraId="090729D0" w14:textId="564166EE" w:rsidR="00F41181" w:rsidRDefault="00F41181" w:rsidP="00F41181">
      <w:pPr>
        <w:jc w:val="both"/>
        <w:rPr>
          <w:rFonts w:eastAsia="Times New Roman" w:cs="Times New Roman"/>
          <w:szCs w:val="24"/>
        </w:rPr>
      </w:pPr>
      <w:r w:rsidRPr="00F41181">
        <w:rPr>
          <w:rFonts w:eastAsia="Times New Roman" w:cs="Times New Roman"/>
          <w:szCs w:val="24"/>
        </w:rPr>
        <w:t xml:space="preserve">Governments at policy level ought to establish incentives and regulations that support sustainable practices in water-treatment such as the official acknowledgement of natural coagulants in environmental policies. Uptake will be enhanced by supporting the local research and extending service provision along with incorporating of indigenous plant-based technologies into national water policies and mining policies. Further encouragement of okra as a food crop and water-treatment resource in the mining-impacted areas, should be seen as an effective approach to </w:t>
      </w:r>
      <w:r w:rsidRPr="00F41181">
        <w:rPr>
          <w:rFonts w:eastAsia="Times New Roman" w:cs="Times New Roman"/>
          <w:szCs w:val="24"/>
        </w:rPr>
        <w:lastRenderedPageBreak/>
        <w:t>ensuring that agricultural development and environmental protection missions in those areas do not conflict.</w:t>
      </w:r>
    </w:p>
    <w:p w14:paraId="14360A29" w14:textId="77797194" w:rsidR="00EE5682" w:rsidRPr="00740879" w:rsidRDefault="00EE5682" w:rsidP="00F41181">
      <w:pPr>
        <w:rPr>
          <w:highlight w:val="yellow"/>
        </w:rPr>
      </w:pPr>
      <w:r w:rsidRPr="00740879">
        <w:rPr>
          <w:highlight w:val="yellow"/>
        </w:rPr>
        <w:t>Disclaimer (Artificial intelligence)</w:t>
      </w:r>
    </w:p>
    <w:p w14:paraId="783072F3" w14:textId="77777777" w:rsidR="00EE5682" w:rsidRPr="00740879" w:rsidRDefault="00EE5682" w:rsidP="00EE5682">
      <w:pPr>
        <w:rPr>
          <w:highlight w:val="yellow"/>
        </w:rPr>
      </w:pPr>
      <w:r w:rsidRPr="00740879">
        <w:rPr>
          <w:highlight w:val="yellow"/>
        </w:rPr>
        <w:t xml:space="preserve">Option 1: </w:t>
      </w:r>
    </w:p>
    <w:p w14:paraId="75B6CCFC" w14:textId="77777777" w:rsidR="00EE5682" w:rsidRPr="00740879" w:rsidRDefault="00EE5682" w:rsidP="00EE5682">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0E2D15E" w14:textId="77777777" w:rsidR="00EE5682" w:rsidRPr="00740879" w:rsidRDefault="00EE5682" w:rsidP="00EE5682">
      <w:pPr>
        <w:rPr>
          <w:highlight w:val="yellow"/>
        </w:rPr>
      </w:pPr>
      <w:r w:rsidRPr="00740879">
        <w:rPr>
          <w:highlight w:val="yellow"/>
        </w:rPr>
        <w:t xml:space="preserve">Option 2: </w:t>
      </w:r>
    </w:p>
    <w:p w14:paraId="1886B354" w14:textId="77777777" w:rsidR="00EE5682" w:rsidRPr="00740879" w:rsidRDefault="00EE5682" w:rsidP="00EE5682">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A6F7E" w14:textId="77777777" w:rsidR="00EE5682" w:rsidRPr="00740879" w:rsidRDefault="00EE5682" w:rsidP="00EE5682">
      <w:pPr>
        <w:rPr>
          <w:highlight w:val="yellow"/>
        </w:rPr>
      </w:pPr>
      <w:r w:rsidRPr="00740879">
        <w:rPr>
          <w:highlight w:val="yellow"/>
        </w:rPr>
        <w:t>Details of the AI usage are given below:</w:t>
      </w:r>
    </w:p>
    <w:p w14:paraId="79B3E8CF" w14:textId="77777777" w:rsidR="00EE5682" w:rsidRPr="00740879" w:rsidRDefault="00EE5682" w:rsidP="00EE5682">
      <w:pPr>
        <w:rPr>
          <w:highlight w:val="yellow"/>
        </w:rPr>
      </w:pPr>
      <w:r w:rsidRPr="00740879">
        <w:rPr>
          <w:highlight w:val="yellow"/>
        </w:rPr>
        <w:t>1.</w:t>
      </w:r>
    </w:p>
    <w:p w14:paraId="05F73FF5" w14:textId="77777777" w:rsidR="00EE5682" w:rsidRPr="00740879" w:rsidRDefault="00EE5682" w:rsidP="00EE5682">
      <w:pPr>
        <w:rPr>
          <w:highlight w:val="yellow"/>
        </w:rPr>
      </w:pPr>
      <w:r w:rsidRPr="00740879">
        <w:rPr>
          <w:highlight w:val="yellow"/>
        </w:rPr>
        <w:t>2.</w:t>
      </w:r>
    </w:p>
    <w:p w14:paraId="795D586A" w14:textId="77777777" w:rsidR="00EE5682" w:rsidRPr="00D047BB" w:rsidRDefault="00EE5682" w:rsidP="00EE5682">
      <w:r w:rsidRPr="00740879">
        <w:rPr>
          <w:highlight w:val="yellow"/>
        </w:rPr>
        <w:t>3.</w:t>
      </w:r>
    </w:p>
    <w:p w14:paraId="198DC9FF" w14:textId="6BCE251A" w:rsidR="00CB6535" w:rsidRDefault="00CB6535">
      <w:pPr>
        <w:spacing w:before="100" w:beforeAutospacing="1" w:after="100" w:afterAutospacing="1" w:line="240" w:lineRule="auto"/>
        <w:outlineLvl w:val="1"/>
        <w:rPr>
          <w:rFonts w:eastAsia="Times New Roman" w:cs="Times New Roman"/>
          <w:b/>
          <w:bCs/>
          <w:szCs w:val="24"/>
        </w:rPr>
      </w:pPr>
    </w:p>
    <w:p w14:paraId="5E724FC1" w14:textId="626A7BF3" w:rsidR="0011318E" w:rsidRDefault="0011318E">
      <w:pPr>
        <w:spacing w:before="100" w:beforeAutospacing="1" w:after="100" w:afterAutospacing="1" w:line="240" w:lineRule="auto"/>
        <w:outlineLvl w:val="1"/>
        <w:rPr>
          <w:rFonts w:eastAsia="Times New Roman" w:cs="Times New Roman"/>
          <w:b/>
          <w:bCs/>
          <w:szCs w:val="24"/>
        </w:rPr>
      </w:pPr>
    </w:p>
    <w:p w14:paraId="2A21F524" w14:textId="73C63413" w:rsidR="0011318E" w:rsidRDefault="0011318E">
      <w:pPr>
        <w:spacing w:before="100" w:beforeAutospacing="1" w:after="100" w:afterAutospacing="1" w:line="240" w:lineRule="auto"/>
        <w:outlineLvl w:val="1"/>
        <w:rPr>
          <w:rFonts w:eastAsia="Times New Roman" w:cs="Times New Roman"/>
          <w:b/>
          <w:bCs/>
          <w:szCs w:val="24"/>
        </w:rPr>
      </w:pPr>
    </w:p>
    <w:p w14:paraId="15C8C07B" w14:textId="518CE0A9" w:rsidR="0011318E" w:rsidRDefault="0011318E">
      <w:pPr>
        <w:spacing w:before="100" w:beforeAutospacing="1" w:after="100" w:afterAutospacing="1" w:line="240" w:lineRule="auto"/>
        <w:outlineLvl w:val="1"/>
        <w:rPr>
          <w:rFonts w:eastAsia="Times New Roman" w:cs="Times New Roman"/>
          <w:b/>
          <w:bCs/>
          <w:szCs w:val="24"/>
        </w:rPr>
      </w:pPr>
    </w:p>
    <w:p w14:paraId="24939328" w14:textId="667471DD" w:rsidR="0011318E" w:rsidRDefault="0011318E">
      <w:pPr>
        <w:spacing w:before="100" w:beforeAutospacing="1" w:after="100" w:afterAutospacing="1" w:line="240" w:lineRule="auto"/>
        <w:outlineLvl w:val="1"/>
        <w:rPr>
          <w:rFonts w:eastAsia="Times New Roman" w:cs="Times New Roman"/>
          <w:b/>
          <w:bCs/>
          <w:szCs w:val="24"/>
        </w:rPr>
      </w:pPr>
    </w:p>
    <w:p w14:paraId="1C411A8E" w14:textId="08A48950" w:rsidR="00FE33A6" w:rsidRDefault="00FE33A6">
      <w:pPr>
        <w:spacing w:before="100" w:beforeAutospacing="1" w:after="100" w:afterAutospacing="1" w:line="240" w:lineRule="auto"/>
        <w:outlineLvl w:val="1"/>
        <w:rPr>
          <w:rFonts w:eastAsia="Times New Roman" w:cs="Times New Roman"/>
          <w:b/>
          <w:bCs/>
          <w:szCs w:val="24"/>
        </w:rPr>
      </w:pPr>
    </w:p>
    <w:p w14:paraId="2B347FBB" w14:textId="1814EF38" w:rsidR="00FE33A6" w:rsidRDefault="00FE33A6">
      <w:pPr>
        <w:spacing w:before="100" w:beforeAutospacing="1" w:after="100" w:afterAutospacing="1" w:line="240" w:lineRule="auto"/>
        <w:outlineLvl w:val="1"/>
        <w:rPr>
          <w:rFonts w:eastAsia="Times New Roman" w:cs="Times New Roman"/>
          <w:b/>
          <w:bCs/>
          <w:szCs w:val="24"/>
        </w:rPr>
      </w:pPr>
    </w:p>
    <w:p w14:paraId="7629F95A" w14:textId="434FF2DF" w:rsidR="00FE33A6" w:rsidRDefault="00FE33A6">
      <w:pPr>
        <w:spacing w:before="100" w:beforeAutospacing="1" w:after="100" w:afterAutospacing="1" w:line="240" w:lineRule="auto"/>
        <w:outlineLvl w:val="1"/>
        <w:rPr>
          <w:rFonts w:eastAsia="Times New Roman" w:cs="Times New Roman"/>
          <w:b/>
          <w:bCs/>
          <w:szCs w:val="24"/>
        </w:rPr>
      </w:pPr>
    </w:p>
    <w:p w14:paraId="6D25348B" w14:textId="475DA90A" w:rsidR="00FE33A6" w:rsidRDefault="00FE33A6">
      <w:pPr>
        <w:spacing w:before="100" w:beforeAutospacing="1" w:after="100" w:afterAutospacing="1" w:line="240" w:lineRule="auto"/>
        <w:outlineLvl w:val="1"/>
        <w:rPr>
          <w:rFonts w:eastAsia="Times New Roman" w:cs="Times New Roman"/>
          <w:b/>
          <w:bCs/>
          <w:szCs w:val="24"/>
        </w:rPr>
      </w:pPr>
    </w:p>
    <w:p w14:paraId="6F2AB7E0" w14:textId="54DD0502" w:rsidR="00FE33A6" w:rsidRDefault="00FE33A6">
      <w:pPr>
        <w:spacing w:before="100" w:beforeAutospacing="1" w:after="100" w:afterAutospacing="1" w:line="240" w:lineRule="auto"/>
        <w:outlineLvl w:val="1"/>
        <w:rPr>
          <w:rFonts w:eastAsia="Times New Roman" w:cs="Times New Roman"/>
          <w:b/>
          <w:bCs/>
          <w:szCs w:val="24"/>
        </w:rPr>
      </w:pPr>
    </w:p>
    <w:p w14:paraId="3E1608A6" w14:textId="6E56A9DC" w:rsidR="00FE33A6" w:rsidRDefault="00FE33A6">
      <w:pPr>
        <w:spacing w:before="100" w:beforeAutospacing="1" w:after="100" w:afterAutospacing="1" w:line="240" w:lineRule="auto"/>
        <w:outlineLvl w:val="1"/>
        <w:rPr>
          <w:rFonts w:eastAsia="Times New Roman" w:cs="Times New Roman"/>
          <w:b/>
          <w:bCs/>
          <w:szCs w:val="24"/>
        </w:rPr>
      </w:pPr>
    </w:p>
    <w:p w14:paraId="0DBF49CC" w14:textId="77777777" w:rsidR="00FE33A6" w:rsidRDefault="00FE33A6">
      <w:pPr>
        <w:spacing w:before="100" w:beforeAutospacing="1" w:after="100" w:afterAutospacing="1" w:line="240" w:lineRule="auto"/>
        <w:outlineLvl w:val="1"/>
        <w:rPr>
          <w:rFonts w:eastAsia="Times New Roman" w:cs="Times New Roman"/>
          <w:b/>
          <w:bCs/>
          <w:szCs w:val="24"/>
        </w:rPr>
      </w:pPr>
    </w:p>
    <w:p w14:paraId="6F8AEDFD" w14:textId="77777777" w:rsidR="00CB6535" w:rsidRDefault="008665FD">
      <w:pPr>
        <w:spacing w:before="100" w:beforeAutospacing="1" w:after="100" w:afterAutospacing="1" w:line="240" w:lineRule="auto"/>
        <w:outlineLvl w:val="1"/>
        <w:rPr>
          <w:rFonts w:eastAsia="Times New Roman" w:cs="Times New Roman"/>
          <w:b/>
          <w:bCs/>
          <w:szCs w:val="24"/>
        </w:rPr>
      </w:pPr>
      <w:r>
        <w:rPr>
          <w:rFonts w:eastAsia="Times New Roman" w:cs="Times New Roman"/>
          <w:b/>
          <w:bCs/>
          <w:szCs w:val="24"/>
        </w:rPr>
        <w:lastRenderedPageBreak/>
        <w:t>REFERENCES</w:t>
      </w:r>
    </w:p>
    <w:p w14:paraId="235B298B" w14:textId="77777777" w:rsidR="00FE33A6" w:rsidRPr="00FE33A6" w:rsidRDefault="00FE33A6" w:rsidP="00FE33A6">
      <w:pPr>
        <w:pStyle w:val="Bibliography"/>
        <w:rPr>
          <w:rFonts w:cs="Times New Roman"/>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Pr="00FE33A6">
        <w:rPr>
          <w:rFonts w:cs="Times New Roman"/>
        </w:rPr>
        <w:t xml:space="preserve">Adetuyi, F., &amp; Osagie, A. (2011). Nutrient, antinutrient, mineral and zinc bioavailability of okra Abelmoschus esculentus (L) Moench Variety. </w:t>
      </w:r>
      <w:r w:rsidRPr="00FE33A6">
        <w:rPr>
          <w:rFonts w:cs="Times New Roman"/>
          <w:i/>
          <w:iCs/>
        </w:rPr>
        <w:t>American Journal of Food and Nutrition</w:t>
      </w:r>
      <w:r w:rsidRPr="00FE33A6">
        <w:rPr>
          <w:rFonts w:cs="Times New Roman"/>
        </w:rPr>
        <w:t xml:space="preserve">, </w:t>
      </w:r>
      <w:r w:rsidRPr="00FE33A6">
        <w:rPr>
          <w:rFonts w:cs="Times New Roman"/>
          <w:i/>
          <w:iCs/>
        </w:rPr>
        <w:t>1</w:t>
      </w:r>
      <w:r w:rsidRPr="00FE33A6">
        <w:rPr>
          <w:rFonts w:cs="Times New Roman"/>
        </w:rPr>
        <w:t>(2), 49–54. https://doi.org/10.5251/ajfn.2011.1.2.49.54</w:t>
      </w:r>
    </w:p>
    <w:p w14:paraId="7B5586F8" w14:textId="77777777" w:rsidR="00FE33A6" w:rsidRPr="00FE33A6" w:rsidRDefault="00FE33A6" w:rsidP="00FE33A6">
      <w:pPr>
        <w:pStyle w:val="Bibliography"/>
        <w:rPr>
          <w:rFonts w:cs="Times New Roman"/>
        </w:rPr>
      </w:pPr>
      <w:r w:rsidRPr="00FE33A6">
        <w:rPr>
          <w:rFonts w:cs="Times New Roman"/>
        </w:rPr>
        <w:t xml:space="preserve">Aryee, B. N. A., Ntibery, B. K., &amp; Atorkui, E. (2003). Trends in the small-scale mining of precious minerals in Ghana: A perspective on its environmental impact. </w:t>
      </w:r>
      <w:r w:rsidRPr="00FE33A6">
        <w:rPr>
          <w:rFonts w:cs="Times New Roman"/>
          <w:i/>
          <w:iCs/>
        </w:rPr>
        <w:t>Journal of Cleaner Production</w:t>
      </w:r>
      <w:r w:rsidRPr="00FE33A6">
        <w:rPr>
          <w:rFonts w:cs="Times New Roman"/>
        </w:rPr>
        <w:t xml:space="preserve">, </w:t>
      </w:r>
      <w:r w:rsidRPr="00FE33A6">
        <w:rPr>
          <w:rFonts w:cs="Times New Roman"/>
          <w:i/>
          <w:iCs/>
        </w:rPr>
        <w:t>11</w:t>
      </w:r>
      <w:r w:rsidRPr="00FE33A6">
        <w:rPr>
          <w:rFonts w:cs="Times New Roman"/>
        </w:rPr>
        <w:t>(2), 131–140. https://doi.org/10.1016/S0959-6526(02)00043-4</w:t>
      </w:r>
    </w:p>
    <w:p w14:paraId="1B27D141" w14:textId="77777777" w:rsidR="00FE33A6" w:rsidRPr="00FE33A6" w:rsidRDefault="00FE33A6" w:rsidP="00FE33A6">
      <w:pPr>
        <w:pStyle w:val="Bibliography"/>
        <w:rPr>
          <w:rFonts w:cs="Times New Roman"/>
        </w:rPr>
      </w:pPr>
      <w:r w:rsidRPr="00FE33A6">
        <w:rPr>
          <w:rFonts w:cs="Times New Roman"/>
        </w:rPr>
        <w:t xml:space="preserve">Carneiro-Marra, L., Sad, L., &amp; Da Silva-Batista, M. (2019). Evaluation of mucilage and powder of Okra as bio-flocculant in water treatment. </w:t>
      </w:r>
      <w:r w:rsidRPr="00FE33A6">
        <w:rPr>
          <w:rFonts w:cs="Times New Roman"/>
          <w:i/>
          <w:iCs/>
        </w:rPr>
        <w:t>Revista ION</w:t>
      </w:r>
      <w:r w:rsidRPr="00FE33A6">
        <w:rPr>
          <w:rFonts w:cs="Times New Roman"/>
        </w:rPr>
        <w:t xml:space="preserve">, </w:t>
      </w:r>
      <w:r w:rsidRPr="00FE33A6">
        <w:rPr>
          <w:rFonts w:cs="Times New Roman"/>
          <w:i/>
          <w:iCs/>
        </w:rPr>
        <w:t>32</w:t>
      </w:r>
      <w:r w:rsidRPr="00FE33A6">
        <w:rPr>
          <w:rFonts w:cs="Times New Roman"/>
        </w:rPr>
        <w:t>(2), 53–58. https://doi.org/10.18273/revion.v32n2-2019005</w:t>
      </w:r>
    </w:p>
    <w:p w14:paraId="61937983" w14:textId="77777777" w:rsidR="00FE33A6" w:rsidRPr="00FE33A6" w:rsidRDefault="00FE33A6" w:rsidP="00FE33A6">
      <w:pPr>
        <w:pStyle w:val="Bibliography"/>
        <w:rPr>
          <w:rFonts w:cs="Times New Roman"/>
        </w:rPr>
      </w:pPr>
      <w:r w:rsidRPr="00FE33A6">
        <w:rPr>
          <w:rFonts w:cs="Times New Roman"/>
        </w:rPr>
        <w:t xml:space="preserve">De Jesus, E., Victor Cruz, P., Adair Pacífico, J., &amp; Santos Silva, A. (2014). Removal of Turbidity, Suspended Solids and Ions of Fe from Aqueous Solution using Okra Powder by Coagulation-Flocculation Process. </w:t>
      </w:r>
      <w:r w:rsidRPr="00FE33A6">
        <w:rPr>
          <w:rFonts w:cs="Times New Roman"/>
          <w:i/>
          <w:iCs/>
        </w:rPr>
        <w:t>American Journal of Water Resources</w:t>
      </w:r>
      <w:r w:rsidRPr="00FE33A6">
        <w:rPr>
          <w:rFonts w:cs="Times New Roman"/>
        </w:rPr>
        <w:t xml:space="preserve">, </w:t>
      </w:r>
      <w:r w:rsidRPr="00FE33A6">
        <w:rPr>
          <w:rFonts w:cs="Times New Roman"/>
          <w:i/>
          <w:iCs/>
        </w:rPr>
        <w:t>1</w:t>
      </w:r>
      <w:r w:rsidRPr="00FE33A6">
        <w:rPr>
          <w:rFonts w:cs="Times New Roman"/>
        </w:rPr>
        <w:t>(3), 20–24. https://doi.org/10.12691/ajwr-1-3-1</w:t>
      </w:r>
    </w:p>
    <w:p w14:paraId="71A97AB1" w14:textId="77777777" w:rsidR="00FE33A6" w:rsidRPr="00FE33A6" w:rsidRDefault="00FE33A6" w:rsidP="00FE33A6">
      <w:pPr>
        <w:pStyle w:val="Bibliography"/>
        <w:rPr>
          <w:rFonts w:cs="Times New Roman"/>
        </w:rPr>
      </w:pPr>
      <w:r w:rsidRPr="00FE33A6">
        <w:rPr>
          <w:rFonts w:cs="Times New Roman"/>
        </w:rPr>
        <w:t xml:space="preserve">Deng, X., Yang, H., Liu, Y., Cheng, J., Yang, C., &amp; Liu, J. (2025). </w:t>
      </w:r>
      <w:r w:rsidRPr="00FE33A6">
        <w:rPr>
          <w:rFonts w:cs="Times New Roman"/>
          <w:i/>
          <w:iCs/>
        </w:rPr>
        <w:t>Exploring the dynamics of Southern Hemisphere westerlies using abrupt warming and cooling experiments</w:t>
      </w:r>
      <w:r w:rsidRPr="00FE33A6">
        <w:rPr>
          <w:rFonts w:cs="Times New Roman"/>
        </w:rPr>
        <w:t>. In Review. https://doi.org/10.21203/rs.3.rs-7873277/v1</w:t>
      </w:r>
    </w:p>
    <w:p w14:paraId="0DD4CBEB" w14:textId="77777777" w:rsidR="00FE33A6" w:rsidRPr="00FE33A6" w:rsidRDefault="00FE33A6" w:rsidP="00FE33A6">
      <w:pPr>
        <w:pStyle w:val="Bibliography"/>
        <w:rPr>
          <w:rFonts w:cs="Times New Roman"/>
        </w:rPr>
      </w:pPr>
      <w:r w:rsidRPr="00FE33A6">
        <w:rPr>
          <w:rFonts w:cs="Times New Roman"/>
        </w:rPr>
        <w:t xml:space="preserve">Kaur, A., Sangha, M. K., Devi, V., Pathak, M., &amp; Kaur, N. (2025). Nutritional and mineral profiling of wild okra (Abelmoschus esculentus) seeds accessions: Insights into seed composition. </w:t>
      </w:r>
      <w:r w:rsidRPr="00FE33A6">
        <w:rPr>
          <w:rFonts w:cs="Times New Roman"/>
          <w:i/>
          <w:iCs/>
        </w:rPr>
        <w:t>Heliyon</w:t>
      </w:r>
      <w:r w:rsidRPr="00FE33A6">
        <w:rPr>
          <w:rFonts w:cs="Times New Roman"/>
        </w:rPr>
        <w:t xml:space="preserve">, </w:t>
      </w:r>
      <w:r w:rsidRPr="00FE33A6">
        <w:rPr>
          <w:rFonts w:cs="Times New Roman"/>
          <w:i/>
          <w:iCs/>
        </w:rPr>
        <w:t>11</w:t>
      </w:r>
      <w:r w:rsidRPr="00FE33A6">
        <w:rPr>
          <w:rFonts w:cs="Times New Roman"/>
        </w:rPr>
        <w:t>(13), e43759. https://doi.org/10.1016/j.heliyon.2025.e43759</w:t>
      </w:r>
    </w:p>
    <w:p w14:paraId="379FB456" w14:textId="77777777" w:rsidR="00FE33A6" w:rsidRPr="00FE33A6" w:rsidRDefault="00FE33A6" w:rsidP="00FE33A6">
      <w:pPr>
        <w:pStyle w:val="Bibliography"/>
        <w:rPr>
          <w:rFonts w:cs="Times New Roman"/>
        </w:rPr>
      </w:pPr>
      <w:r w:rsidRPr="00FE33A6">
        <w:rPr>
          <w:rFonts w:cs="Times New Roman"/>
        </w:rPr>
        <w:t xml:space="preserve">Massrie, K. D. (2025). Constraints and opportunities on okra (Abelmoschus esculentus) production in Ethiopia: A review. </w:t>
      </w:r>
      <w:r w:rsidRPr="00FE33A6">
        <w:rPr>
          <w:rFonts w:cs="Times New Roman"/>
          <w:i/>
          <w:iCs/>
        </w:rPr>
        <w:t>Frontiers in Sustainable Food Systems</w:t>
      </w:r>
      <w:r w:rsidRPr="00FE33A6">
        <w:rPr>
          <w:rFonts w:cs="Times New Roman"/>
        </w:rPr>
        <w:t xml:space="preserve">, </w:t>
      </w:r>
      <w:r w:rsidRPr="00FE33A6">
        <w:rPr>
          <w:rFonts w:cs="Times New Roman"/>
          <w:i/>
          <w:iCs/>
        </w:rPr>
        <w:t>9</w:t>
      </w:r>
      <w:r w:rsidRPr="00FE33A6">
        <w:rPr>
          <w:rFonts w:cs="Times New Roman"/>
        </w:rPr>
        <w:t>, 1546995. https://doi.org/10.3389/fsufs.2025.1546995</w:t>
      </w:r>
    </w:p>
    <w:p w14:paraId="04D62967" w14:textId="77777777" w:rsidR="00FE33A6" w:rsidRPr="00FE33A6" w:rsidRDefault="00FE33A6" w:rsidP="00FE33A6">
      <w:pPr>
        <w:pStyle w:val="Bibliography"/>
        <w:rPr>
          <w:rFonts w:cs="Times New Roman"/>
        </w:rPr>
      </w:pPr>
      <w:r w:rsidRPr="00FE33A6">
        <w:rPr>
          <w:rFonts w:cs="Times New Roman"/>
        </w:rPr>
        <w:lastRenderedPageBreak/>
        <w:t xml:space="preserve">Maycock, A. L., Abeles, R. H., Salach, J. I., &amp; Singer, T. P. (1976). The structure of the covalent adduct formed by the interaction of 3-dimethylamino-1-propyne and the flavine of mitochondrial amine oxidase. </w:t>
      </w:r>
      <w:r w:rsidRPr="00FE33A6">
        <w:rPr>
          <w:rFonts w:cs="Times New Roman"/>
          <w:i/>
          <w:iCs/>
        </w:rPr>
        <w:t>Biochemistry</w:t>
      </w:r>
      <w:r w:rsidRPr="00FE33A6">
        <w:rPr>
          <w:rFonts w:cs="Times New Roman"/>
        </w:rPr>
        <w:t xml:space="preserve">, </w:t>
      </w:r>
      <w:r w:rsidRPr="00FE33A6">
        <w:rPr>
          <w:rFonts w:cs="Times New Roman"/>
          <w:i/>
          <w:iCs/>
        </w:rPr>
        <w:t>15</w:t>
      </w:r>
      <w:r w:rsidRPr="00FE33A6">
        <w:rPr>
          <w:rFonts w:cs="Times New Roman"/>
        </w:rPr>
        <w:t>(1), 114–125. https://doi.org/10.1021/bi00646a018</w:t>
      </w:r>
    </w:p>
    <w:p w14:paraId="26FF05F3" w14:textId="77777777" w:rsidR="00FE33A6" w:rsidRPr="00FE33A6" w:rsidRDefault="00FE33A6" w:rsidP="00FE33A6">
      <w:pPr>
        <w:pStyle w:val="Bibliography"/>
        <w:rPr>
          <w:rFonts w:cs="Times New Roman"/>
        </w:rPr>
      </w:pPr>
      <w:r w:rsidRPr="00FE33A6">
        <w:rPr>
          <w:rFonts w:cs="Times New Roman"/>
        </w:rPr>
        <w:t xml:space="preserve">Muthuraman, G., &amp; Sasikala, S. (2014). Removal of turbidity from drinking water using natural coagulants. </w:t>
      </w:r>
      <w:r w:rsidRPr="00FE33A6">
        <w:rPr>
          <w:rFonts w:cs="Times New Roman"/>
          <w:i/>
          <w:iCs/>
        </w:rPr>
        <w:t>Journal of Industrial and Engineering Chemistry</w:t>
      </w:r>
      <w:r w:rsidRPr="00FE33A6">
        <w:rPr>
          <w:rFonts w:cs="Times New Roman"/>
        </w:rPr>
        <w:t xml:space="preserve">, </w:t>
      </w:r>
      <w:r w:rsidRPr="00FE33A6">
        <w:rPr>
          <w:rFonts w:cs="Times New Roman"/>
          <w:i/>
          <w:iCs/>
        </w:rPr>
        <w:t>20</w:t>
      </w:r>
      <w:r w:rsidRPr="00FE33A6">
        <w:rPr>
          <w:rFonts w:cs="Times New Roman"/>
        </w:rPr>
        <w:t>(4), 1727–1731. https://doi.org/10.1016/j.jiec.2013.08.023</w:t>
      </w:r>
    </w:p>
    <w:p w14:paraId="2093F13A" w14:textId="77777777" w:rsidR="00FE33A6" w:rsidRPr="00FE33A6" w:rsidRDefault="00FE33A6" w:rsidP="00FE33A6">
      <w:pPr>
        <w:pStyle w:val="Bibliography"/>
        <w:rPr>
          <w:rFonts w:cs="Times New Roman"/>
        </w:rPr>
      </w:pPr>
      <w:r w:rsidRPr="00FE33A6">
        <w:rPr>
          <w:rFonts w:cs="Times New Roman"/>
        </w:rPr>
        <w:t xml:space="preserve">Parra, A., Morales, N., Vallejos, J., &amp; Nguyen, P. M. V. (2018). Open pit mine planning considering geomechanical fundamentals. </w:t>
      </w:r>
      <w:r w:rsidRPr="00FE33A6">
        <w:rPr>
          <w:rFonts w:cs="Times New Roman"/>
          <w:i/>
          <w:iCs/>
        </w:rPr>
        <w:t>International Journal of Mining, Reclamation and Environment</w:t>
      </w:r>
      <w:r w:rsidRPr="00FE33A6">
        <w:rPr>
          <w:rFonts w:cs="Times New Roman"/>
        </w:rPr>
        <w:t xml:space="preserve">, </w:t>
      </w:r>
      <w:r w:rsidRPr="00FE33A6">
        <w:rPr>
          <w:rFonts w:cs="Times New Roman"/>
          <w:i/>
          <w:iCs/>
        </w:rPr>
        <w:t>32</w:t>
      </w:r>
      <w:r w:rsidRPr="00FE33A6">
        <w:rPr>
          <w:rFonts w:cs="Times New Roman"/>
        </w:rPr>
        <w:t>(4), 221–238. https://doi.org/10.1080/17480930.2017.1278579</w:t>
      </w:r>
    </w:p>
    <w:p w14:paraId="3FD4C351" w14:textId="6055D7EF" w:rsidR="00C602A8" w:rsidRDefault="00C602A8" w:rsidP="00FE33A6">
      <w:pPr>
        <w:pStyle w:val="Bibliography"/>
        <w:rPr>
          <w:rFonts w:cs="Times New Roman"/>
        </w:rPr>
      </w:pPr>
      <w:proofErr w:type="spellStart"/>
      <w:r w:rsidRPr="00C602A8">
        <w:rPr>
          <w:rFonts w:cs="Times New Roman"/>
        </w:rPr>
        <w:t>Shristee</w:t>
      </w:r>
      <w:proofErr w:type="spellEnd"/>
      <w:r w:rsidRPr="00C602A8">
        <w:rPr>
          <w:rFonts w:cs="Times New Roman"/>
        </w:rPr>
        <w:t xml:space="preserve"> Mishra, Singh, S., &amp; </w:t>
      </w:r>
      <w:proofErr w:type="spellStart"/>
      <w:r w:rsidRPr="00C602A8">
        <w:rPr>
          <w:rFonts w:cs="Times New Roman"/>
        </w:rPr>
        <w:t>Ruchira</w:t>
      </w:r>
      <w:proofErr w:type="spellEnd"/>
      <w:r w:rsidRPr="00C602A8">
        <w:rPr>
          <w:rFonts w:cs="Times New Roman"/>
        </w:rPr>
        <w:t xml:space="preserve"> Srivastava. (2019). </w:t>
      </w:r>
      <w:r w:rsidRPr="00C602A8">
        <w:rPr>
          <w:rFonts w:cs="Times New Roman"/>
          <w:i/>
          <w:iCs/>
        </w:rPr>
        <w:t>Okra Seeds: An Efficient Coagulant</w:t>
      </w:r>
      <w:r w:rsidRPr="00C602A8">
        <w:rPr>
          <w:rFonts w:cs="Times New Roman"/>
        </w:rPr>
        <w:t>. Unpublished. https://doi.org/10.13140/RG.2.2.30299.92967</w:t>
      </w:r>
    </w:p>
    <w:p w14:paraId="3F5225CD" w14:textId="77777777" w:rsidR="00FE33A6" w:rsidRPr="00FE33A6" w:rsidRDefault="00FE33A6" w:rsidP="00FE33A6">
      <w:pPr>
        <w:pStyle w:val="Bibliography"/>
        <w:rPr>
          <w:rFonts w:cs="Times New Roman"/>
        </w:rPr>
      </w:pPr>
      <w:proofErr w:type="spellStart"/>
      <w:r w:rsidRPr="00FE33A6">
        <w:rPr>
          <w:rFonts w:cs="Times New Roman"/>
        </w:rPr>
        <w:t>Szynkarczuk</w:t>
      </w:r>
      <w:proofErr w:type="spellEnd"/>
      <w:r w:rsidRPr="00FE33A6">
        <w:rPr>
          <w:rFonts w:cs="Times New Roman"/>
        </w:rPr>
        <w:t xml:space="preserve">, J., Kan, J., Hassan, T. A. T., &amp; Donini, J. C. (1994). Electrochemical Coagulation of Clay Suspensions. </w:t>
      </w:r>
      <w:r w:rsidRPr="00FE33A6">
        <w:rPr>
          <w:rFonts w:cs="Times New Roman"/>
          <w:i/>
          <w:iCs/>
        </w:rPr>
        <w:t>Clays and Clay Minerals</w:t>
      </w:r>
      <w:r w:rsidRPr="00FE33A6">
        <w:rPr>
          <w:rFonts w:cs="Times New Roman"/>
        </w:rPr>
        <w:t xml:space="preserve">, </w:t>
      </w:r>
      <w:r w:rsidRPr="00FE33A6">
        <w:rPr>
          <w:rFonts w:cs="Times New Roman"/>
          <w:i/>
          <w:iCs/>
        </w:rPr>
        <w:t>42</w:t>
      </w:r>
      <w:r w:rsidRPr="00FE33A6">
        <w:rPr>
          <w:rFonts w:cs="Times New Roman"/>
        </w:rPr>
        <w:t>(6), 667–673. https://doi.org/10.1346/CCMN.1994.0420602</w:t>
      </w:r>
    </w:p>
    <w:p w14:paraId="7DD5B360" w14:textId="47025998" w:rsidR="003328AD" w:rsidRDefault="00FE33A6">
      <w:pPr>
        <w:spacing w:before="100" w:beforeAutospacing="1" w:after="100" w:afterAutospacing="1" w:line="240" w:lineRule="auto"/>
        <w:rPr>
          <w:rFonts w:eastAsia="Times New Roman" w:cs="Times New Roman"/>
          <w:szCs w:val="24"/>
        </w:rPr>
      </w:pPr>
      <w:r>
        <w:rPr>
          <w:rFonts w:eastAsia="Times New Roman" w:cs="Times New Roman"/>
          <w:szCs w:val="24"/>
        </w:rPr>
        <w:fldChar w:fldCharType="end"/>
      </w:r>
    </w:p>
    <w:sectPr w:rsidR="003328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781F" w14:textId="77777777" w:rsidR="00955DE3" w:rsidRDefault="00955DE3">
      <w:pPr>
        <w:spacing w:line="240" w:lineRule="auto"/>
      </w:pPr>
      <w:r>
        <w:separator/>
      </w:r>
    </w:p>
  </w:endnote>
  <w:endnote w:type="continuationSeparator" w:id="0">
    <w:p w14:paraId="386EF41D" w14:textId="77777777" w:rsidR="00955DE3" w:rsidRDefault="00955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EE2" w14:textId="77777777" w:rsidR="00D91FA8" w:rsidRDefault="00D91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66F8" w14:textId="77777777" w:rsidR="00D91FA8" w:rsidRDefault="00D91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3D87" w14:textId="77777777" w:rsidR="00D91FA8" w:rsidRDefault="00D91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BFD7" w14:textId="77777777" w:rsidR="00955DE3" w:rsidRDefault="00955DE3">
      <w:pPr>
        <w:spacing w:after="0"/>
      </w:pPr>
      <w:r>
        <w:separator/>
      </w:r>
    </w:p>
  </w:footnote>
  <w:footnote w:type="continuationSeparator" w:id="0">
    <w:p w14:paraId="379D1E84" w14:textId="77777777" w:rsidR="00955DE3" w:rsidRDefault="00955D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B2D4" w14:textId="3E258171" w:rsidR="00D91FA8" w:rsidRDefault="00955DE3">
    <w:pPr>
      <w:pStyle w:val="Header"/>
    </w:pPr>
    <w:r>
      <w:rPr>
        <w:noProof/>
      </w:rPr>
      <w:pict w14:anchorId="0F294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A2E2" w14:textId="4EBDE0CB" w:rsidR="00D91FA8" w:rsidRDefault="00955DE3">
    <w:pPr>
      <w:pStyle w:val="Header"/>
    </w:pPr>
    <w:r>
      <w:rPr>
        <w:noProof/>
      </w:rPr>
      <w:pict w14:anchorId="6A62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0232" w14:textId="32E0162D" w:rsidR="00D91FA8" w:rsidRDefault="00955DE3">
    <w:pPr>
      <w:pStyle w:val="Header"/>
    </w:pPr>
    <w:r>
      <w:rPr>
        <w:noProof/>
      </w:rPr>
      <w:pict w14:anchorId="0A993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17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2DE6"/>
    <w:multiLevelType w:val="multilevel"/>
    <w:tmpl w:val="0C472D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4623A"/>
    <w:multiLevelType w:val="multilevel"/>
    <w:tmpl w:val="1AE462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4B3331"/>
    <w:multiLevelType w:val="multilevel"/>
    <w:tmpl w:val="1F4B333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996948"/>
    <w:multiLevelType w:val="multilevel"/>
    <w:tmpl w:val="1F99694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415AC"/>
    <w:multiLevelType w:val="multilevel"/>
    <w:tmpl w:val="414415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9A43C06"/>
    <w:multiLevelType w:val="multilevel"/>
    <w:tmpl w:val="59A43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sTAyMzA1NjQ1MDRR0lEKTi0uzszPAykwrAUArhS4wSwAAAA="/>
  </w:docVars>
  <w:rsids>
    <w:rsidRoot w:val="00345166"/>
    <w:rsid w:val="00037AE4"/>
    <w:rsid w:val="000809C7"/>
    <w:rsid w:val="0011318E"/>
    <w:rsid w:val="00130536"/>
    <w:rsid w:val="001D7D95"/>
    <w:rsid w:val="00215529"/>
    <w:rsid w:val="00226577"/>
    <w:rsid w:val="0026456B"/>
    <w:rsid w:val="002F7068"/>
    <w:rsid w:val="00317C89"/>
    <w:rsid w:val="003328AD"/>
    <w:rsid w:val="00345166"/>
    <w:rsid w:val="0035364F"/>
    <w:rsid w:val="00374382"/>
    <w:rsid w:val="003A231D"/>
    <w:rsid w:val="00421F72"/>
    <w:rsid w:val="004655C7"/>
    <w:rsid w:val="004A0BAA"/>
    <w:rsid w:val="00507B38"/>
    <w:rsid w:val="00754E14"/>
    <w:rsid w:val="00765DA4"/>
    <w:rsid w:val="007A5434"/>
    <w:rsid w:val="007F3520"/>
    <w:rsid w:val="0081348B"/>
    <w:rsid w:val="00825413"/>
    <w:rsid w:val="008665FD"/>
    <w:rsid w:val="00873855"/>
    <w:rsid w:val="008D6A46"/>
    <w:rsid w:val="008E4B9F"/>
    <w:rsid w:val="00901ADA"/>
    <w:rsid w:val="00935962"/>
    <w:rsid w:val="00955DE3"/>
    <w:rsid w:val="009850DC"/>
    <w:rsid w:val="00A75156"/>
    <w:rsid w:val="00AB5103"/>
    <w:rsid w:val="00B1448B"/>
    <w:rsid w:val="00B439E0"/>
    <w:rsid w:val="00C602A8"/>
    <w:rsid w:val="00CB6535"/>
    <w:rsid w:val="00CF1FE5"/>
    <w:rsid w:val="00CF570E"/>
    <w:rsid w:val="00D171C3"/>
    <w:rsid w:val="00D257F1"/>
    <w:rsid w:val="00D91FA8"/>
    <w:rsid w:val="00DE4817"/>
    <w:rsid w:val="00E07BE5"/>
    <w:rsid w:val="00EE3528"/>
    <w:rsid w:val="00EE5682"/>
    <w:rsid w:val="00F270FE"/>
    <w:rsid w:val="00F41181"/>
    <w:rsid w:val="00FE33A6"/>
    <w:rsid w:val="00FF369F"/>
    <w:rsid w:val="21305DB3"/>
    <w:rsid w:val="49220BFF"/>
    <w:rsid w:val="528D14FE"/>
    <w:rsid w:val="5824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F6BA0B"/>
  <w15:docId w15:val="{70803FF6-D347-4FF3-AD5B-A853910A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4"/>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E4817"/>
    <w:rPr>
      <w:color w:val="0563C1" w:themeColor="hyperlink"/>
      <w:u w:val="single"/>
    </w:rPr>
  </w:style>
  <w:style w:type="character" w:styleId="UnresolvedMention">
    <w:name w:val="Unresolved Mention"/>
    <w:basedOn w:val="DefaultParagraphFont"/>
    <w:uiPriority w:val="99"/>
    <w:semiHidden/>
    <w:unhideWhenUsed/>
    <w:rsid w:val="00DE4817"/>
    <w:rPr>
      <w:color w:val="605E5C"/>
      <w:shd w:val="clear" w:color="auto" w:fill="E1DFDD"/>
    </w:rPr>
  </w:style>
  <w:style w:type="paragraph" w:styleId="Header">
    <w:name w:val="header"/>
    <w:basedOn w:val="Normal"/>
    <w:link w:val="HeaderChar"/>
    <w:uiPriority w:val="99"/>
    <w:unhideWhenUsed/>
    <w:rsid w:val="00D91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FA8"/>
    <w:rPr>
      <w:rFonts w:ascii="Times New Roman" w:hAnsi="Times New Roman"/>
      <w:sz w:val="24"/>
      <w:szCs w:val="22"/>
      <w:lang w:val="en-US" w:eastAsia="en-US"/>
    </w:rPr>
  </w:style>
  <w:style w:type="paragraph" w:styleId="Footer">
    <w:name w:val="footer"/>
    <w:basedOn w:val="Normal"/>
    <w:link w:val="FooterChar"/>
    <w:uiPriority w:val="99"/>
    <w:unhideWhenUsed/>
    <w:rsid w:val="00D91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FA8"/>
    <w:rPr>
      <w:rFonts w:ascii="Times New Roman" w:hAnsi="Times New Roman"/>
      <w:sz w:val="24"/>
      <w:szCs w:val="22"/>
      <w:lang w:val="en-US" w:eastAsia="en-US"/>
    </w:rPr>
  </w:style>
  <w:style w:type="paragraph" w:styleId="Bibliography">
    <w:name w:val="Bibliography"/>
    <w:basedOn w:val="Normal"/>
    <w:next w:val="Normal"/>
    <w:uiPriority w:val="37"/>
    <w:unhideWhenUsed/>
    <w:rsid w:val="00901ADA"/>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US" sz="1200" b="1"/>
              <a:t>SETTLING RATE</a:t>
            </a:r>
          </a:p>
        </c:rich>
      </c:tx>
      <c:layout>
        <c:manualLayout>
          <c:xMode val="edge"/>
          <c:yMode val="edge"/>
          <c:x val="0.36760990813648298"/>
          <c:y val="1.38888888888889E-2"/>
        </c:manualLayout>
      </c:layout>
      <c:overlay val="0"/>
      <c:spPr>
        <a:noFill/>
        <a:ln>
          <a:noFill/>
        </a:ln>
        <a:effectLst/>
      </c:spPr>
      <c:txPr>
        <a:bodyPr rot="0" spcFirstLastPara="1" vertOverflow="ellipsis" vert="horz" wrap="square" anchor="ctr" anchorCtr="1"/>
        <a:lstStyle/>
        <a:p>
          <a:pPr>
            <a:defRPr lang="en-US" sz="144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8.6902041808295097E-2"/>
          <c:y val="0.101669456208608"/>
          <c:w val="0.66034868037328698"/>
          <c:h val="0.76028163333200804"/>
        </c:manualLayout>
      </c:layout>
      <c:barChart>
        <c:barDir val="col"/>
        <c:grouping val="clustered"/>
        <c:varyColors val="0"/>
        <c:ser>
          <c:idx val="0"/>
          <c:order val="0"/>
          <c:tx>
            <c:strRef>
              <c:f>NO COAGULANT</c:f>
              <c:strCache>
                <c:ptCount val="1"/>
                <c:pt idx="0">
                  <c:v>NO COAGULANT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Sheet3!$B$43:$B$45</c:f>
              <c:strCache>
                <c:ptCount val="3"/>
                <c:pt idx="0">
                  <c:v>Sample A</c:v>
                </c:pt>
                <c:pt idx="1">
                  <c:v>Sample B</c:v>
                </c:pt>
                <c:pt idx="2">
                  <c:v>Sample C</c:v>
                </c:pt>
              </c:strCache>
            </c:strRef>
          </c:cat>
          <c:val>
            <c:numRef>
              <c:f>Sheet3!$C$43:$C$45</c:f>
              <c:numCache>
                <c:formatCode>General</c:formatCode>
                <c:ptCount val="3"/>
                <c:pt idx="0">
                  <c:v>1.7110000000000001</c:v>
                </c:pt>
                <c:pt idx="1">
                  <c:v>1.871</c:v>
                </c:pt>
                <c:pt idx="2">
                  <c:v>3.16</c:v>
                </c:pt>
              </c:numCache>
            </c:numRef>
          </c:val>
          <c:extLst>
            <c:ext xmlns:c16="http://schemas.microsoft.com/office/drawing/2014/chart" uri="{C3380CC4-5D6E-409C-BE32-E72D297353CC}">
              <c16:uniqueId val="{00000000-E165-4908-84CC-3DE2787C0733}"/>
            </c:ext>
          </c:extLst>
        </c:ser>
        <c:ser>
          <c:idx val="1"/>
          <c:order val="1"/>
          <c:tx>
            <c:strRef>
              <c:f>COAGULANT ADDED</c:f>
              <c:strCache>
                <c:ptCount val="1"/>
                <c:pt idx="0">
                  <c:v>COAGULANT ADDED</c:v>
                </c:pt>
              </c:strCache>
            </c:strRef>
          </c:tx>
          <c:spPr>
            <a:solidFill>
              <a:schemeClr val="accent2"/>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Sheet3!$B$43:$B$45</c:f>
              <c:strCache>
                <c:ptCount val="3"/>
                <c:pt idx="0">
                  <c:v>Sample A</c:v>
                </c:pt>
                <c:pt idx="1">
                  <c:v>Sample B</c:v>
                </c:pt>
                <c:pt idx="2">
                  <c:v>Sample C</c:v>
                </c:pt>
              </c:strCache>
            </c:strRef>
          </c:cat>
          <c:val>
            <c:numRef>
              <c:f>Sheet3!$D$43:$D$45</c:f>
              <c:numCache>
                <c:formatCode>0</c:formatCode>
                <c:ptCount val="3"/>
                <c:pt idx="0" formatCode="General">
                  <c:v>5.2</c:v>
                </c:pt>
                <c:pt idx="1">
                  <c:v>5</c:v>
                </c:pt>
                <c:pt idx="2" formatCode="General">
                  <c:v>9.1</c:v>
                </c:pt>
              </c:numCache>
            </c:numRef>
          </c:val>
          <c:extLst>
            <c:ext xmlns:c16="http://schemas.microsoft.com/office/drawing/2014/chart" uri="{C3380CC4-5D6E-409C-BE32-E72D297353CC}">
              <c16:uniqueId val="{00000001-E165-4908-84CC-3DE2787C0733}"/>
            </c:ext>
          </c:extLst>
        </c:ser>
        <c:dLbls>
          <c:showLegendKey val="0"/>
          <c:showVal val="1"/>
          <c:showCatName val="0"/>
          <c:showSerName val="0"/>
          <c:showPercent val="0"/>
          <c:showBubbleSize val="0"/>
        </c:dLbls>
        <c:gapWidth val="219"/>
        <c:overlap val="-27"/>
        <c:axId val="241585360"/>
        <c:axId val="241586448"/>
      </c:barChart>
      <c:catAx>
        <c:axId val="24158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1586448"/>
        <c:crosses val="autoZero"/>
        <c:auto val="1"/>
        <c:lblAlgn val="ctr"/>
        <c:lblOffset val="100"/>
        <c:noMultiLvlLbl val="0"/>
      </c:catAx>
      <c:valAx>
        <c:axId val="24158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1"/>
                  <a:t>Slope(m/s)</a:t>
                </a:r>
              </a:p>
            </c:rich>
          </c:tx>
          <c:overlay val="0"/>
          <c:spPr>
            <a:noFill/>
            <a:ln>
              <a:noFill/>
            </a:ln>
            <a:effectLst/>
          </c:spPr>
          <c:txPr>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41585360"/>
        <c:crosses val="autoZero"/>
        <c:crossBetween val="between"/>
      </c:valAx>
      <c:spPr>
        <a:noFill/>
        <a:ln>
          <a:noFill/>
        </a:ln>
        <a:effectLst/>
      </c:spPr>
    </c:plotArea>
    <c:legend>
      <c:legendPos val="r"/>
      <c:layout>
        <c:manualLayout>
          <c:xMode val="edge"/>
          <c:yMode val="edge"/>
          <c:x val="0.71474901574803196"/>
          <c:y val="0.31594233012540102"/>
          <c:w val="0.27310750218722701"/>
          <c:h val="0.279568387284923"/>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748e0b2-5d4a-4fd8-b30d-2862bfefc9d3}"/>
      </c:ext>
    </c:extLst>
  </c:chart>
  <c:spPr>
    <a:solidFill>
      <a:schemeClr val="bg1"/>
    </a:solidFill>
    <a:ln w="9525" cap="flat" cmpd="sng" algn="ctr">
      <a:noFill/>
      <a:round/>
    </a:ln>
    <a:effectLst/>
  </c:spPr>
  <c:txPr>
    <a:bodyPr/>
    <a:lstStyle/>
    <a:p>
      <a:pPr>
        <a:defRPr lang="en-US" sz="12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7491-136F-44AD-A402-9751CD62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13</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Aisosa Osabuohien</dc:creator>
  <cp:lastModifiedBy>Aisosa Osabuohien</cp:lastModifiedBy>
  <cp:revision>20</cp:revision>
  <dcterms:created xsi:type="dcterms:W3CDTF">2025-11-02T21:05:00Z</dcterms:created>
  <dcterms:modified xsi:type="dcterms:W3CDTF">2025-11-21T13:15:00Z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FF7FAEE717034097B79BCCD52F1FB318_12</vt:lpwstr>
  </property>
  <property fmtid="{D5CDD505-2E9C-101B-9397-08002B2CF9AE}" pid="4" name="GrammarlyDocumentId">
    <vt:lpwstr>630720ee-2653-4ce3-b2ae-b9336712a6ea</vt:lpwstr>
  </property>
  <property fmtid="{D5CDD505-2E9C-101B-9397-08002B2CF9AE}" pid="5" name="ZOTERO_PREF_1">
    <vt:lpwstr>&lt;data data-version="3" zotero-version="7.0.27"&gt;&lt;session id="53LRhwRI"/&gt;&lt;style id="http://www.zotero.org/styles/apa" locale="en-US" hasBibliography="1" bibliographyStyleHasBeenSet="1"/&gt;&lt;prefs&gt;&lt;pref name="fieldType" value="Field"/&gt;&lt;/prefs&gt;&lt;/data&gt;</vt:lpwstr>
  </property>
</Properties>
</file>