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81071" w14:textId="77777777" w:rsidR="004344DF" w:rsidRPr="004344DF" w:rsidRDefault="004344DF" w:rsidP="004344DF">
      <w:pPr>
        <w:pStyle w:val="Title"/>
        <w:jc w:val="both"/>
        <w:rPr>
          <w:rFonts w:ascii="Arial" w:hAnsi="Arial" w:cs="Arial"/>
          <w:bCs/>
          <w:i/>
          <w:iCs/>
          <w:u w:val="single"/>
        </w:rPr>
      </w:pPr>
      <w:r w:rsidRPr="004344DF">
        <w:rPr>
          <w:rFonts w:ascii="Arial" w:hAnsi="Arial" w:cs="Arial"/>
          <w:bCs/>
          <w:i/>
          <w:iCs/>
          <w:u w:val="single"/>
        </w:rPr>
        <w:t>Review Article</w:t>
      </w:r>
    </w:p>
    <w:p w14:paraId="3274A95F" w14:textId="77777777" w:rsidR="00754C9A" w:rsidRDefault="00754C9A" w:rsidP="00441B6F">
      <w:pPr>
        <w:pStyle w:val="Title"/>
        <w:spacing w:after="0"/>
        <w:jc w:val="both"/>
        <w:rPr>
          <w:rFonts w:ascii="Arial" w:hAnsi="Arial" w:cs="Arial"/>
        </w:rPr>
      </w:pPr>
    </w:p>
    <w:p w14:paraId="409275BB" w14:textId="01AFC05D" w:rsidR="00A258C3" w:rsidRPr="00790ADA" w:rsidRDefault="009C4BA7" w:rsidP="009C4BA7">
      <w:pPr>
        <w:pStyle w:val="Author"/>
        <w:spacing w:line="240" w:lineRule="auto"/>
        <w:rPr>
          <w:rFonts w:ascii="Arial" w:hAnsi="Arial" w:cs="Arial"/>
          <w:sz w:val="36"/>
        </w:rPr>
      </w:pPr>
      <w:r w:rsidRPr="009C4BA7">
        <w:rPr>
          <w:rFonts w:ascii="Arial" w:hAnsi="Arial" w:cs="Arial"/>
          <w:bCs/>
          <w:iCs/>
          <w:kern w:val="28"/>
          <w:sz w:val="36"/>
        </w:rPr>
        <w:t>PHARMACOLOGICAL MODULATION AND INTEGRATIVE THERAP</w:t>
      </w:r>
      <w:r w:rsidR="00E24C8E">
        <w:rPr>
          <w:rFonts w:ascii="Arial" w:hAnsi="Arial" w:cs="Arial"/>
          <w:bCs/>
          <w:iCs/>
          <w:kern w:val="28"/>
          <w:sz w:val="36"/>
        </w:rPr>
        <w:t xml:space="preserve">EUTIC STRATEGIES </w:t>
      </w:r>
      <w:r w:rsidRPr="009C4BA7">
        <w:rPr>
          <w:rFonts w:ascii="Arial" w:hAnsi="Arial" w:cs="Arial"/>
          <w:bCs/>
          <w:iCs/>
          <w:kern w:val="28"/>
          <w:sz w:val="36"/>
        </w:rPr>
        <w:t>IN</w:t>
      </w:r>
      <w:r w:rsidR="00E24C8E">
        <w:rPr>
          <w:rFonts w:ascii="Arial" w:hAnsi="Arial" w:cs="Arial"/>
          <w:bCs/>
          <w:iCs/>
          <w:kern w:val="28"/>
          <w:sz w:val="36"/>
        </w:rPr>
        <w:t xml:space="preserve"> THE MANAGEMENT OF </w:t>
      </w:r>
      <w:r w:rsidRPr="009C4BA7">
        <w:rPr>
          <w:rFonts w:ascii="Arial" w:hAnsi="Arial" w:cs="Arial"/>
          <w:bCs/>
          <w:iCs/>
          <w:kern w:val="28"/>
          <w:sz w:val="36"/>
        </w:rPr>
        <w:t>TYPE 2 DIABETES M</w:t>
      </w:r>
      <w:r w:rsidR="00E24C8E">
        <w:rPr>
          <w:rFonts w:ascii="Arial" w:hAnsi="Arial" w:cs="Arial"/>
          <w:bCs/>
          <w:iCs/>
          <w:kern w:val="28"/>
          <w:sz w:val="36"/>
        </w:rPr>
        <w:t>E</w:t>
      </w:r>
      <w:r w:rsidRPr="009C4BA7">
        <w:rPr>
          <w:rFonts w:ascii="Arial" w:hAnsi="Arial" w:cs="Arial"/>
          <w:bCs/>
          <w:iCs/>
          <w:kern w:val="28"/>
          <w:sz w:val="36"/>
        </w:rPr>
        <w:t>LL</w:t>
      </w:r>
      <w:r w:rsidR="00E24C8E">
        <w:rPr>
          <w:rFonts w:ascii="Arial" w:hAnsi="Arial" w:cs="Arial"/>
          <w:bCs/>
          <w:iCs/>
          <w:kern w:val="28"/>
          <w:sz w:val="36"/>
        </w:rPr>
        <w:t>I</w:t>
      </w:r>
      <w:r w:rsidRPr="009C4BA7">
        <w:rPr>
          <w:rFonts w:ascii="Arial" w:hAnsi="Arial" w:cs="Arial"/>
          <w:bCs/>
          <w:iCs/>
          <w:kern w:val="28"/>
          <w:sz w:val="36"/>
        </w:rPr>
        <w:t>TUS</w:t>
      </w:r>
      <w:r>
        <w:rPr>
          <w:rFonts w:ascii="Arial" w:hAnsi="Arial" w:cs="Arial"/>
          <w:bCs/>
          <w:iCs/>
          <w:kern w:val="28"/>
          <w:sz w:val="36"/>
        </w:rPr>
        <w:t xml:space="preserve">: A </w:t>
      </w:r>
      <w:r w:rsidR="00E24C8E">
        <w:rPr>
          <w:rFonts w:ascii="Arial" w:hAnsi="Arial" w:cs="Arial"/>
          <w:bCs/>
          <w:iCs/>
          <w:kern w:val="28"/>
          <w:sz w:val="36"/>
        </w:rPr>
        <w:t xml:space="preserve">COMPREHENSIVE </w:t>
      </w:r>
      <w:r>
        <w:rPr>
          <w:rFonts w:ascii="Arial" w:hAnsi="Arial" w:cs="Arial"/>
          <w:bCs/>
          <w:iCs/>
          <w:kern w:val="28"/>
          <w:sz w:val="36"/>
        </w:rPr>
        <w:t>REVIEW</w:t>
      </w:r>
    </w:p>
    <w:p w14:paraId="54B3EA62" w14:textId="77777777" w:rsidR="00960957" w:rsidRPr="009C4BA7" w:rsidRDefault="00960957" w:rsidP="00441B6F">
      <w:pPr>
        <w:pStyle w:val="Affiliation"/>
        <w:spacing w:after="0" w:line="240" w:lineRule="auto"/>
        <w:jc w:val="both"/>
        <w:rPr>
          <w:rFonts w:ascii="Arial" w:hAnsi="Arial" w:cs="Arial"/>
        </w:rPr>
      </w:pPr>
    </w:p>
    <w:p w14:paraId="4750F530" w14:textId="77777777" w:rsidR="002C57D2" w:rsidRPr="00FB3A86" w:rsidRDefault="002C57D2" w:rsidP="00441B6F">
      <w:pPr>
        <w:pStyle w:val="Affiliation"/>
        <w:spacing w:after="0" w:line="240" w:lineRule="auto"/>
        <w:jc w:val="both"/>
        <w:rPr>
          <w:rFonts w:ascii="Arial" w:hAnsi="Arial" w:cs="Arial"/>
        </w:rPr>
      </w:pPr>
    </w:p>
    <w:p w14:paraId="07DB17F8" w14:textId="77777777" w:rsidR="00B01FCD" w:rsidRPr="00FB3A86" w:rsidRDefault="00A33418" w:rsidP="00441B6F">
      <w:pPr>
        <w:pStyle w:val="Copyright"/>
        <w:spacing w:after="0" w:line="240" w:lineRule="auto"/>
        <w:jc w:val="both"/>
        <w:rPr>
          <w:rFonts w:ascii="Arial" w:hAnsi="Arial" w:cs="Arial"/>
        </w:rPr>
        <w:sectPr w:rsidR="00B01FCD" w:rsidRPr="00FB3A86" w:rsidSect="000D5C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8C825F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B333D4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C0685E6" w14:textId="77777777" w:rsidTr="001E44FE">
        <w:tc>
          <w:tcPr>
            <w:tcW w:w="9576" w:type="dxa"/>
            <w:shd w:val="clear" w:color="auto" w:fill="F2F2F2"/>
          </w:tcPr>
          <w:p w14:paraId="0ABC2F81" w14:textId="77777777" w:rsidR="00A675F6" w:rsidRDefault="00636A87" w:rsidP="00636A87">
            <w:pPr>
              <w:pStyle w:val="Body"/>
              <w:rPr>
                <w:rFonts w:ascii="Arial" w:eastAsia="Calibri" w:hAnsi="Arial" w:cs="Arial"/>
                <w:szCs w:val="22"/>
              </w:rPr>
            </w:pPr>
            <w:r w:rsidRPr="00636A87">
              <w:rPr>
                <w:rFonts w:ascii="Arial" w:eastAsia="Calibri" w:hAnsi="Arial" w:cs="Arial"/>
                <w:szCs w:val="22"/>
              </w:rPr>
              <w:t>Background: Type 2 Diabetes Mellitus (T2DM) is a chronic metabolic disorder characterized by insulin resistance, impaired insulin secretion, and persistent hyperglycemia. It affects over 500 million adults globally and accounts for a major share of non-communicable disease–related morbidity, mortality, and healthcare costs. The rising prevalence is driven by sedentary lifestyles, unhealthy diets, and genetic predisposition.</w:t>
            </w:r>
          </w:p>
          <w:p w14:paraId="6F68C5E7" w14:textId="70772899" w:rsidR="00636A87" w:rsidRPr="00636A87" w:rsidRDefault="00636A87" w:rsidP="00636A87">
            <w:pPr>
              <w:pStyle w:val="Body"/>
              <w:rPr>
                <w:rFonts w:ascii="Arial" w:eastAsia="Calibri" w:hAnsi="Arial" w:cs="Arial"/>
                <w:szCs w:val="22"/>
              </w:rPr>
            </w:pPr>
            <w:r w:rsidRPr="00636A87">
              <w:rPr>
                <w:rFonts w:ascii="Arial" w:eastAsia="Calibri" w:hAnsi="Arial" w:cs="Arial"/>
                <w:szCs w:val="22"/>
              </w:rPr>
              <w:t>Aim: This paper aims to elucidate the pathophysiological mechanisms of T2DM and review recent therapeutic advances, including both conventional and integrative management approaches.</w:t>
            </w:r>
          </w:p>
          <w:p w14:paraId="577A8CFB" w14:textId="265D7363" w:rsidR="00636A87" w:rsidRPr="00636A87" w:rsidRDefault="00636A87" w:rsidP="00636A87">
            <w:pPr>
              <w:pStyle w:val="Body"/>
              <w:rPr>
                <w:rFonts w:ascii="Arial" w:eastAsia="Calibri" w:hAnsi="Arial" w:cs="Arial"/>
                <w:szCs w:val="22"/>
              </w:rPr>
            </w:pPr>
            <w:r w:rsidRPr="00636A87">
              <w:rPr>
                <w:rFonts w:ascii="Arial" w:eastAsia="Calibri" w:hAnsi="Arial" w:cs="Arial"/>
                <w:szCs w:val="22"/>
              </w:rPr>
              <w:t>Methods: A narrative review of recent literature was conducted to summarize data on pharmacological innovations, lifestyle interventions, and complementary therapies with clinically relevant outcomes in glycemic control.</w:t>
            </w:r>
          </w:p>
          <w:p w14:paraId="0C2880BC" w14:textId="77777777" w:rsidR="00A675F6" w:rsidRDefault="00636A87" w:rsidP="00A675F6">
            <w:pPr>
              <w:pStyle w:val="Body"/>
              <w:rPr>
                <w:rFonts w:ascii="Arial" w:eastAsia="Calibri" w:hAnsi="Arial" w:cs="Arial"/>
                <w:szCs w:val="22"/>
              </w:rPr>
            </w:pPr>
            <w:r w:rsidRPr="00636A87">
              <w:rPr>
                <w:rFonts w:ascii="Arial" w:eastAsia="Calibri" w:hAnsi="Arial" w:cs="Arial"/>
                <w:szCs w:val="22"/>
              </w:rPr>
              <w:t xml:space="preserve">Results: Conventional drugs such as metformin, sulfonylureas, thiazolidinediones, DPP-4 inhibitors, and insulin remain the backbone of therapy; however, adverse effects and poor adherence limit their long-term efficacy. Recent therapeutic innovations—such as SGLT2 inhibitors and GLP-1 receptor agonists—have demonstrated not only improved glycemic control but also cardiovascular and renal benefits in clinical trials. Moreover, herbal adjuvants with anti-hyperglycemic and antioxidant properties (e.g., </w:t>
            </w:r>
            <w:r w:rsidRPr="00A675F6">
              <w:rPr>
                <w:rFonts w:ascii="Arial" w:eastAsia="Calibri" w:hAnsi="Arial" w:cs="Arial"/>
                <w:i/>
                <w:szCs w:val="22"/>
              </w:rPr>
              <w:t xml:space="preserve">Momordica </w:t>
            </w:r>
            <w:proofErr w:type="spellStart"/>
            <w:r w:rsidRPr="00A675F6">
              <w:rPr>
                <w:rFonts w:ascii="Arial" w:eastAsia="Calibri" w:hAnsi="Arial" w:cs="Arial"/>
                <w:i/>
                <w:szCs w:val="22"/>
              </w:rPr>
              <w:t>charantia</w:t>
            </w:r>
            <w:proofErr w:type="spellEnd"/>
            <w:r w:rsidRPr="00636A87">
              <w:rPr>
                <w:rFonts w:ascii="Arial" w:eastAsia="Calibri" w:hAnsi="Arial" w:cs="Arial"/>
                <w:szCs w:val="22"/>
              </w:rPr>
              <w:t xml:space="preserve">, </w:t>
            </w:r>
            <w:proofErr w:type="spellStart"/>
            <w:r w:rsidRPr="00A675F6">
              <w:rPr>
                <w:rFonts w:ascii="Arial" w:eastAsia="Calibri" w:hAnsi="Arial" w:cs="Arial"/>
                <w:i/>
                <w:szCs w:val="22"/>
              </w:rPr>
              <w:t>Gymnema</w:t>
            </w:r>
            <w:proofErr w:type="spellEnd"/>
            <w:r w:rsidRPr="00A675F6">
              <w:rPr>
                <w:rFonts w:ascii="Arial" w:eastAsia="Calibri" w:hAnsi="Arial" w:cs="Arial"/>
                <w:i/>
                <w:szCs w:val="22"/>
              </w:rPr>
              <w:t xml:space="preserve"> </w:t>
            </w:r>
            <w:proofErr w:type="spellStart"/>
            <w:r w:rsidRPr="00A675F6">
              <w:rPr>
                <w:rFonts w:ascii="Arial" w:eastAsia="Calibri" w:hAnsi="Arial" w:cs="Arial"/>
                <w:i/>
                <w:szCs w:val="22"/>
              </w:rPr>
              <w:t>sylvestre</w:t>
            </w:r>
            <w:proofErr w:type="spellEnd"/>
            <w:r w:rsidRPr="00636A87">
              <w:rPr>
                <w:rFonts w:ascii="Arial" w:eastAsia="Calibri" w:hAnsi="Arial" w:cs="Arial"/>
                <w:szCs w:val="22"/>
              </w:rPr>
              <w:t xml:space="preserve">, </w:t>
            </w:r>
            <w:proofErr w:type="spellStart"/>
            <w:r w:rsidRPr="00A675F6">
              <w:rPr>
                <w:rFonts w:ascii="Arial" w:eastAsia="Calibri" w:hAnsi="Arial" w:cs="Arial"/>
                <w:i/>
                <w:szCs w:val="22"/>
              </w:rPr>
              <w:t>Cinnamomum</w:t>
            </w:r>
            <w:proofErr w:type="spellEnd"/>
            <w:r w:rsidRPr="00A675F6">
              <w:rPr>
                <w:rFonts w:ascii="Arial" w:eastAsia="Calibri" w:hAnsi="Arial" w:cs="Arial"/>
                <w:i/>
                <w:szCs w:val="22"/>
              </w:rPr>
              <w:t xml:space="preserve"> </w:t>
            </w:r>
            <w:proofErr w:type="spellStart"/>
            <w:r w:rsidRPr="00A675F6">
              <w:rPr>
                <w:rFonts w:ascii="Arial" w:eastAsia="Calibri" w:hAnsi="Arial" w:cs="Arial"/>
                <w:i/>
                <w:szCs w:val="22"/>
              </w:rPr>
              <w:t>verum</w:t>
            </w:r>
            <w:proofErr w:type="spellEnd"/>
            <w:r w:rsidRPr="00636A87">
              <w:rPr>
                <w:rFonts w:ascii="Arial" w:eastAsia="Calibri" w:hAnsi="Arial" w:cs="Arial"/>
                <w:szCs w:val="22"/>
              </w:rPr>
              <w:t>) are gaining scientific attention as complementary strategies</w:t>
            </w:r>
            <w:r w:rsidR="00A675F6">
              <w:rPr>
                <w:rFonts w:ascii="Arial" w:eastAsia="Calibri" w:hAnsi="Arial" w:cs="Arial"/>
                <w:szCs w:val="22"/>
              </w:rPr>
              <w:t>.</w:t>
            </w:r>
          </w:p>
          <w:p w14:paraId="21637C7A" w14:textId="77777777" w:rsidR="00A675F6" w:rsidRDefault="00636A87" w:rsidP="009C4BA7">
            <w:pPr>
              <w:pStyle w:val="Body"/>
              <w:spacing w:after="0"/>
              <w:rPr>
                <w:rFonts w:ascii="Arial" w:eastAsia="Calibri" w:hAnsi="Arial" w:cs="Arial"/>
                <w:szCs w:val="22"/>
              </w:rPr>
            </w:pPr>
            <w:r w:rsidRPr="00636A87">
              <w:rPr>
                <w:rFonts w:ascii="Arial" w:eastAsia="Calibri" w:hAnsi="Arial" w:cs="Arial"/>
                <w:szCs w:val="22"/>
              </w:rPr>
              <w:t xml:space="preserve">Conclusion: </w:t>
            </w:r>
            <w:r w:rsidR="00A675F6" w:rsidRPr="00A675F6">
              <w:rPr>
                <w:rFonts w:ascii="Arial" w:eastAsia="Calibri" w:hAnsi="Arial" w:cs="Arial"/>
                <w:szCs w:val="22"/>
              </w:rPr>
              <w:t>A comprehensive understanding of both conventional and integrative modalities is essential to developing a more patient-centered, sustainable, and effective approach to diabetes care.</w:t>
            </w:r>
          </w:p>
          <w:p w14:paraId="1411D0B2" w14:textId="4E86B891" w:rsidR="009C4BA7" w:rsidRPr="009C4BA7" w:rsidRDefault="009C4BA7" w:rsidP="009C4BA7">
            <w:pPr>
              <w:pStyle w:val="Body"/>
              <w:spacing w:after="0"/>
              <w:rPr>
                <w:rFonts w:ascii="Arial" w:eastAsia="Calibri" w:hAnsi="Arial" w:cs="Arial"/>
                <w:szCs w:val="22"/>
              </w:rPr>
            </w:pPr>
            <w:r w:rsidRPr="009C4BA7">
              <w:rPr>
                <w:rFonts w:ascii="Arial" w:eastAsia="Calibri" w:hAnsi="Arial" w:cs="Arial"/>
                <w:szCs w:val="22"/>
              </w:rPr>
              <w:t xml:space="preserve">Keywords: </w:t>
            </w:r>
            <w:r w:rsidRPr="009C4BA7">
              <w:rPr>
                <w:rFonts w:ascii="Arial" w:eastAsia="Calibri" w:hAnsi="Arial" w:cs="Arial"/>
                <w:i/>
                <w:szCs w:val="22"/>
              </w:rPr>
              <w:t>Type 2 Diabetes Mellitus, insulin resistance, pharmacological therapy, integrative medicine, herbal therapy, glycemic control</w:t>
            </w:r>
          </w:p>
          <w:p w14:paraId="0A80032D" w14:textId="77777777" w:rsidR="00505F06" w:rsidRPr="00BA1B01" w:rsidRDefault="00505F06" w:rsidP="00441B6F">
            <w:pPr>
              <w:pStyle w:val="Body"/>
              <w:spacing w:after="0"/>
              <w:rPr>
                <w:rFonts w:ascii="Arial" w:eastAsia="Calibri" w:hAnsi="Arial" w:cs="Arial"/>
                <w:szCs w:val="22"/>
              </w:rPr>
            </w:pPr>
          </w:p>
        </w:tc>
      </w:tr>
    </w:tbl>
    <w:p w14:paraId="514BBD5E" w14:textId="77777777" w:rsidR="00636EB2" w:rsidRDefault="00636EB2" w:rsidP="00441B6F">
      <w:pPr>
        <w:pStyle w:val="Body"/>
        <w:spacing w:after="0"/>
        <w:rPr>
          <w:rFonts w:ascii="Arial" w:hAnsi="Arial" w:cs="Arial"/>
          <w:i/>
        </w:rPr>
      </w:pPr>
    </w:p>
    <w:p w14:paraId="61AC9FE1" w14:textId="77777777" w:rsidR="00505F06" w:rsidRPr="00A24E7E" w:rsidRDefault="00505F06" w:rsidP="00441B6F">
      <w:pPr>
        <w:pStyle w:val="Body"/>
        <w:spacing w:after="0"/>
        <w:rPr>
          <w:rFonts w:ascii="Arial" w:hAnsi="Arial" w:cs="Arial"/>
          <w:i/>
        </w:rPr>
      </w:pPr>
    </w:p>
    <w:p w14:paraId="367E67AF"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A5C8276" w14:textId="77777777" w:rsidR="00790ADA" w:rsidRDefault="00790ADA" w:rsidP="00441B6F">
      <w:pPr>
        <w:pStyle w:val="AbstHead"/>
        <w:spacing w:after="0"/>
        <w:jc w:val="both"/>
        <w:rPr>
          <w:rFonts w:ascii="Arial" w:hAnsi="Arial" w:cs="Arial"/>
        </w:rPr>
      </w:pPr>
    </w:p>
    <w:p w14:paraId="3A05B332" w14:textId="00BFC011"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Type 2 diabetes mellitus (T2DM) is a chronic condition characterized by the body's inability to effectively use insulin, leading to increased blood glucose levels. This is a serious global public health concern, profoundly impacting human existence, quality of life, and healthcare expenditures. Type 2 diabetes mellitus (T2DM) is often associated with obesity, physical inactivity, and hereditary susceptibility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{"citationID":"QYOfrRUy","properties":{"formattedCitation":"(Zheng et al., 2018)","plainCitation":"(Zheng et al., 2018)","noteIndex":0},"citationItems":[{"id":264,"uris":["http://zotero.org/users/local/9dBn5Ahe/items/CV27XH94"],"itemData":{"id":264,"type":"article-journal","container-title":"Nature Reviews Endocrinology","language":"en","title":"Global Aetiology and Epidemiology of Type 2 Diabetes Mellitus and Its Complications","volume":"8;14(2):88–98","author":[{"family":"Zheng","given":"Y."},{"family":"Ley","given":"S.H."},{"family":"Hu","given":"F.B."}],"issued":{"date-parts":[["2018",12]]}}}],"schema":"https://github.com/citation-style-language/schema/raw/master/csl-citation.json"}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(Zheng et al., 2018)</w:t>
      </w:r>
      <w:r w:rsidRPr="00C122BB">
        <w:rPr>
          <w:rFonts w:ascii="Arial" w:hAnsi="Arial" w:cs="Arial"/>
          <w:sz w:val="22"/>
          <w:szCs w:val="22"/>
        </w:rPr>
        <w:fldChar w:fldCharType="end"/>
      </w:r>
      <w:r w:rsidRPr="00C122BB">
        <w:rPr>
          <w:rFonts w:ascii="Arial" w:hAnsi="Arial" w:cs="Arial"/>
          <w:sz w:val="22"/>
          <w:szCs w:val="22"/>
        </w:rPr>
        <w:t xml:space="preserve">. The prevalence of T2DM is rising, affecting roughly 462 million individuals globally, or 6.28% of the world's population. The present prevalence rate is 6,059 cases per 100,000, anticipated to increase to 7,079 individuals per 100,000 by 2030. Diabetes ranks as the tenth leading cause of death, accounting for nearly 1 million deaths annually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{"citationID":"7TKfIjm2","properties":{"formattedCitation":"(G.B.D., 2021; Khan et al., 2020; Sun et al., 2021)","plainCitation":"(G.B.D., 2021; Khan et al., 2020; Sun et al., 2021)","noteIndex":0},"citationItems":[{"id":265,"uris":["http://zotero.org/users/local/9dBn5Ahe/items/8RQLFQ9P"],"itemData":{"id":265,"type":"article-journal","container-title":"The Lancet [Internet","language":"en","title":"Diabetes Collaborators. Global, regional, and national burden of diabetes from 1990 to 2021, with projections of prevalence to 2050: a systematic analysis for the Global Burden of Disease Study 2021","URL":"https://www.thelancet.com/journals/lancet/article/PIIS0140-6736(23)01301-6/fulltext","author":[{"literal":"G.B.D."}],"issued":{"date-parts":[["2021"]]}}},{"id":447,"uris":["http://zotero.org/users/local/9dBn5Ahe/items/CSFZRBTM"],"itemData":{"id":447,"type":"article-journal","container-title":"Journal of Epidemiology and Global Health","language":"en","title":"Epidemiology of Type 2 Diabetes – Global Burden of Disease and Forecasted Trends","volume":"10;10(1):107–11","author":[{"family":"Khan","given":"M.A."},{"family":"Hashim","given":"M.J."},{"family":"King","given":"J."},{"family":"Govender","given":"R.D."},{"family":"Mustafa","given":"H."},{"family":"Al Kaabi","given":"J."}],"issued":{"date-parts":[["2020",3]]}}},{"id":268,"uris":["http://zotero.org/users/local/9dBn5Ahe/items/N56HSULJ"],"itemData":{"id":268,"type":"article-journal","container-title":"Diabetes Research and Clinical Practice","issue":"109119","language":"en","title":"IDF diabetes Atlas: Global, regional and country-level diabetes prevalence estimates for 2021 and projections for 2045","volume":"183","author":[{"family":"Sun","given":"H."},{"family":"Saeedi","given":"P."},{"family":"Karuranga","given":"S."},{"family":"Pinkepank","given":"M."},{"family":"Ogurtsova","given":"K."},{"family":"Duncan","given":"B.B."}],"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(G.B.D., 2021; Khan et al., 2020; Sun et al., 2021)</w:t>
      </w:r>
      <w:r w:rsidRPr="00C122BB">
        <w:rPr>
          <w:rFonts w:ascii="Arial" w:hAnsi="Arial" w:cs="Arial"/>
          <w:sz w:val="22"/>
          <w:szCs w:val="22"/>
        </w:rPr>
        <w:fldChar w:fldCharType="end"/>
      </w:r>
      <w:r w:rsidRPr="00C122BB">
        <w:rPr>
          <w:rFonts w:ascii="Arial" w:hAnsi="Arial" w:cs="Arial"/>
          <w:sz w:val="22"/>
          <w:szCs w:val="22"/>
        </w:rPr>
        <w:t>.</w:t>
      </w:r>
      <w:r w:rsidRPr="00C122BB">
        <w:rPr>
          <w:rFonts w:ascii="Arial" w:hAnsi="Arial" w:cs="Arial"/>
          <w:sz w:val="22"/>
          <w:szCs w:val="22"/>
          <w:vertAlign w:val="superscript"/>
        </w:rPr>
        <w:t xml:space="preserve"> </w:t>
      </w:r>
      <w:r w:rsidRPr="00C122BB">
        <w:rPr>
          <w:rFonts w:ascii="Arial" w:hAnsi="Arial" w:cs="Arial"/>
          <w:sz w:val="22"/>
          <w:szCs w:val="22"/>
        </w:rPr>
        <w:t xml:space="preserve">The worldwide prevalence of Type 2 Diabetes Mellitus (T2DM) is associated with socio-economic development, with developed regions such as Western Europe displaying higher prevalence rates. An alarming rise in frequency in low-income nations requires urgent public health measures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{"citationID":"eL0MDmlM","properties":{"formattedCitation":"(Murray et al., 2020)","plainCitation":"(Murray et al., 2020)","noteIndex":0},"citationItems":[{"id":269,"uris":["http://zotero.org/users/local/9dBn5Ahe/items/X4SVS5LB"],"itemData":{"id":269,"type":"article-journal","container-title":"The Lancet [Internet","language":"en","title":"Global Burden of 87 Risk Factors in 204 Countries and territories, 1990–2019: a Systematic Analysis for the Global Burden of Disease Study 2019","URL":"https://www.thelancet.com/journals/lancet/article/PIIS0140-6736(20)30752-2/fulltext","volume":"Oct;396(10258):1223–49","author":[{"family":"Murray","given":"C.J.L."},{"family":"Aravkin","given":"A.Y."},{"family":"Zheng","given":"P."},{"family":"Abbafati","given":"C."},{"family":"Abbas","given":"K.M."},{"family":"Abbasi-Kangevari","given":"M."}],"issued":{"date-parts":[["2020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(Murray et al., 2020)</w:t>
      </w:r>
      <w:r w:rsidRPr="00C122BB">
        <w:rPr>
          <w:rFonts w:ascii="Arial" w:hAnsi="Arial" w:cs="Arial"/>
          <w:sz w:val="22"/>
          <w:szCs w:val="22"/>
        </w:rPr>
        <w:fldChar w:fldCharType="end"/>
      </w:r>
      <w:r w:rsidRPr="00C122BB">
        <w:rPr>
          <w:rFonts w:ascii="Arial" w:hAnsi="Arial" w:cs="Arial"/>
          <w:sz w:val="22"/>
          <w:szCs w:val="22"/>
        </w:rPr>
        <w:t>.</w:t>
      </w:r>
      <w:r w:rsidR="003460D2" w:rsidRPr="003460D2">
        <w:t xml:space="preserve"> </w:t>
      </w:r>
      <w:r w:rsidR="003460D2" w:rsidRPr="003460D2">
        <w:rPr>
          <w:rFonts w:ascii="Arial" w:hAnsi="Arial" w:cs="Arial"/>
          <w:sz w:val="22"/>
          <w:szCs w:val="22"/>
        </w:rPr>
        <w:t>According to the latest International Diabetes Federation (IDF), the global prevalence of T2DM in adults was 536.6 million people (10.5%) in 2021, and that there would be 783.2 million people (12.2%) living with diabetes worldwide by 2045</w:t>
      </w:r>
      <w:r w:rsidR="00835322">
        <w:rPr>
          <w:rFonts w:ascii="Arial" w:hAnsi="Arial" w:cs="Arial"/>
          <w:sz w:val="22"/>
          <w:szCs w:val="22"/>
        </w:rPr>
        <w:t xml:space="preserve"> (Sun et al., 2021).</w:t>
      </w:r>
      <w:r w:rsidR="00835322" w:rsidRPr="00835322">
        <w:t xml:space="preserve"> </w:t>
      </w:r>
      <w:r w:rsidR="00835322" w:rsidRPr="00835322">
        <w:rPr>
          <w:rFonts w:ascii="Arial" w:hAnsi="Arial" w:cs="Arial"/>
          <w:sz w:val="22"/>
          <w:szCs w:val="22"/>
        </w:rPr>
        <w:t>In Nigeria, 3.9 million individuals had diabetes in 2019, with projections indicating an increase to over 6.0 million by 2045. Studies, including a national survey, a systematic review and meta-analysis, community-based and other epidemiological reports, showed that the prevalence of diabetes among adults had increased substantially in Nigeria, from ~ 2.2% in 1992 to ~ 10.5% in 2022</w:t>
      </w:r>
      <w:r w:rsidR="001C36AB" w:rsidRPr="001C36AB">
        <w:t xml:space="preserve"> </w:t>
      </w:r>
      <w:r w:rsidR="001C36AB" w:rsidRPr="001C36AB">
        <w:rPr>
          <w:rFonts w:ascii="Arial" w:hAnsi="Arial" w:cs="Arial"/>
          <w:sz w:val="22"/>
          <w:szCs w:val="22"/>
        </w:rPr>
        <w:t>(</w:t>
      </w:r>
      <w:proofErr w:type="spellStart"/>
      <w:r w:rsidR="001C36AB" w:rsidRPr="001C36AB">
        <w:rPr>
          <w:rFonts w:ascii="Arial" w:hAnsi="Arial" w:cs="Arial"/>
          <w:sz w:val="22"/>
          <w:szCs w:val="22"/>
        </w:rPr>
        <w:t>Olamoyegun</w:t>
      </w:r>
      <w:proofErr w:type="spellEnd"/>
      <w:r w:rsidR="001C36AB" w:rsidRPr="001C36AB">
        <w:rPr>
          <w:rFonts w:ascii="Arial" w:hAnsi="Arial" w:cs="Arial"/>
          <w:sz w:val="22"/>
          <w:szCs w:val="22"/>
        </w:rPr>
        <w:t xml:space="preserve"> et al., 2024)</w:t>
      </w:r>
      <w:r w:rsidR="00835322" w:rsidRPr="00835322">
        <w:rPr>
          <w:rFonts w:ascii="Arial" w:hAnsi="Arial" w:cs="Arial"/>
          <w:sz w:val="22"/>
          <w:szCs w:val="22"/>
        </w:rPr>
        <w:t>.</w:t>
      </w:r>
      <w:r w:rsidR="001C36AB">
        <w:rPr>
          <w:rFonts w:ascii="Arial" w:hAnsi="Arial" w:cs="Arial"/>
          <w:sz w:val="22"/>
          <w:szCs w:val="22"/>
        </w:rPr>
        <w:t xml:space="preserve"> This increase could be attributed to the nation’s rapid urbanization, which promotes more sedentary lives and poor eating habits. It is further worsened by the move </w:t>
      </w:r>
      <w:proofErr w:type="spellStart"/>
      <w:r w:rsidR="001C36AB">
        <w:rPr>
          <w:rFonts w:ascii="Arial" w:hAnsi="Arial" w:cs="Arial"/>
          <w:sz w:val="22"/>
          <w:szCs w:val="22"/>
        </w:rPr>
        <w:t>fro</w:t>
      </w:r>
      <w:proofErr w:type="spellEnd"/>
      <w:r w:rsidR="001C36AB">
        <w:rPr>
          <w:rFonts w:ascii="Arial" w:hAnsi="Arial" w:cs="Arial"/>
          <w:sz w:val="22"/>
          <w:szCs w:val="22"/>
        </w:rPr>
        <w:t xml:space="preserve">, traditional diets rich in fruits, vegetable and whole grain to more processed food that are low in nutrients </w:t>
      </w:r>
      <w:r w:rsidR="001C36AB" w:rsidRPr="001C36AB">
        <w:rPr>
          <w:rFonts w:ascii="Arial" w:hAnsi="Arial" w:cs="Arial"/>
          <w:sz w:val="22"/>
          <w:szCs w:val="22"/>
        </w:rPr>
        <w:t>(</w:t>
      </w:r>
      <w:proofErr w:type="spellStart"/>
      <w:r w:rsidR="001C36AB" w:rsidRPr="001C36AB">
        <w:rPr>
          <w:rFonts w:ascii="Arial" w:hAnsi="Arial" w:cs="Arial"/>
          <w:sz w:val="22"/>
          <w:szCs w:val="22"/>
        </w:rPr>
        <w:t>Olamoyegun</w:t>
      </w:r>
      <w:proofErr w:type="spellEnd"/>
      <w:r w:rsidR="001C36AB" w:rsidRPr="001C36AB">
        <w:rPr>
          <w:rFonts w:ascii="Arial" w:hAnsi="Arial" w:cs="Arial"/>
          <w:sz w:val="22"/>
          <w:szCs w:val="22"/>
        </w:rPr>
        <w:t xml:space="preserve"> et al., 2024)</w:t>
      </w:r>
      <w:r w:rsidR="001C36AB">
        <w:rPr>
          <w:rFonts w:ascii="Arial" w:hAnsi="Arial" w:cs="Arial"/>
          <w:sz w:val="22"/>
          <w:szCs w:val="22"/>
        </w:rPr>
        <w:t>.</w:t>
      </w:r>
    </w:p>
    <w:p w14:paraId="07B8663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pathophysiology of Type 2 Diabetes Mellitus may encompass insulin resistance and β-cell dysfunction. Insulin resistance is characterized by compromised insulin-facilitated glucose uptake in muscular and adipose tissues, as well as reduced insulin suppression of hepatic glucose synthesis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{"citationID":"qWpKFUqv","properties":{"formattedCitation":"(M. Li et al., 2022)","plainCitation":"(M. Li et al., 2022)","noteIndex":0},"citationItems":[{"id":271,"uris":["http://zotero.org/users/local/9dBn5Ahe/items/SJLRDAA5"],"itemData":{"id":271,"type":"article-journal","container-title":"Signal Transduction and Targeted Therapy","language":"en","title":"Trends in Insulin resistance: Insights into Mechanisms and Therapeutic Strategy","volume":"6;7(1):1–25","author":[{"family":"Li","given":"M."},{"family":"Chi","given":"X."},{"family":"Wang","given":"Y."},{"family":"Setrerrahmane","given":"S."},{"family":"Xie","given":"W."},{"family":"Xu","given":"H."}],"issued":{"date-parts":[["2022",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 Li et al., 2022)</w:t>
      </w:r>
      <w:r w:rsidRPr="00C122BB">
        <w:rPr>
          <w:rFonts w:ascii="Arial" w:hAnsi="Arial" w:cs="Arial"/>
          <w:sz w:val="22"/>
          <w:szCs w:val="22"/>
        </w:rPr>
        <w:fldChar w:fldCharType="end"/>
      </w:r>
      <w:r w:rsidRPr="00C122BB">
        <w:rPr>
          <w:rFonts w:ascii="Arial" w:hAnsi="Arial" w:cs="Arial"/>
          <w:sz w:val="22"/>
          <w:szCs w:val="22"/>
        </w:rPr>
        <w:t xml:space="preserve">. The degree to which insulin deficiency results from impaired β cell functionality (i.e., the secretion capacity of individual β cells), reduced β cell mass (i.e., the total number of β cells in the pancreas), or a combination of both continues to be a topic of active discussion regarding diabetes pathogenesis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{"citationID":"9JOPmiQE","properties":{"formattedCitation":"(L. Li et al., 2019; R. Taylor et al., 2019; Weir, 2019)","plainCitation":"(L. Li et al., 2019; R. Taylor et al., 2019; Weir, 2019)","noteIndex":0},"citationItems":[{"id":272,"uris":["http://zotero.org/users/local/9dBn5Ahe/items/GJQLWGSY"],"itemData":{"id":272,"type":"article-journal","container-title":"Diabetes","language":"en","title":"Metabolomics Identifies a Biomarker Revealing In Vivo Loss of Functional β-Cell Mass Before Diabetes Onset","volume":"19;68(12):2272–86","author":[{"family":"Li","given":"L."},{"family":"Krznar","given":"P."},{"family":"Erban","given":"A."},{"family":"Agazzi","given":"A."},{"family":"Martin-Levilain","given":"J."},{"family":"Supale","given":"S."}],"issued":{"date-parts":[["2019",9]]}}},{"id":273,"uris":["http://zotero.org/users/local/9dBn5Ahe/items/UJ3J3WIW"],"itemData":{"id":273,"type":"article-journal","container-title":"The Lancet Diabetes &amp; Endocrinology","language":"en","title":"Understanding the mechanisms of reversal of type 2 diabetes","volume":"Sep;7(9):726–36","author":[{"family":"Taylor","given":"R."},{"family":"Al-Mrabeh","given":"A."},{"family":"Sattar","given":"N."}],"issued":{"date-parts":[["2019"]]}}},{"id":274,"uris":["http://zotero.org/users/local/9dBn5Ahe/items/AW8JYKPC"],"itemData":{"id":274,"type":"article-journal","container-title":"Diabetes","language":"gl","title":"Glucolipotoxicity, β-Cells, and Diabetes: The Emperor Has No Clothes","volume":"13;69(3):db190138","author":[{"family":"Weir","given":"G.C."}],"issued":{"date-parts":[["2019",9]]}}}],"schema":"https://github.com/citation-style-language/schema/raw/master/csl-citation.json"}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 Li et al., 2019; R. Taylor et al., 2019; Weir, 2019)</w:t>
      </w:r>
      <w:r w:rsidRPr="00C122BB">
        <w:rPr>
          <w:rFonts w:ascii="Arial" w:hAnsi="Arial" w:cs="Arial"/>
          <w:sz w:val="22"/>
          <w:szCs w:val="22"/>
        </w:rPr>
        <w:fldChar w:fldCharType="end"/>
      </w:r>
      <w:r w:rsidRPr="00C122BB">
        <w:rPr>
          <w:rFonts w:ascii="Arial" w:hAnsi="Arial" w:cs="Arial"/>
          <w:sz w:val="22"/>
          <w:szCs w:val="22"/>
        </w:rPr>
        <w:t xml:space="preserve">. The reduction of β cell mass is suggested to begin in the early phases of diabetes before functional deterioration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{"citationID":"vpdfsIbB","properties":{"formattedCitation":"(Weir, 2019)","plainCitation":"(Weir, 2019)","noteIndex":0},"citationItems":[{"id":274,"uris":["http://zotero.org/users/local/9dBn5Ahe/items/AW8JYKPC"],"itemData":{"id":274,"type":"article-journal","container-title":"Diabetes","language":"gl","title":"Glucolipotoxicity, β-Cells, and Diabetes: The Emperor Has No Clothes","volume":"13;69(3):db190138","author":[{"family":"Weir","given":"G.C."}],"issued":{"date-parts":[["2019",9]]}}}],"schema":"https://github.com/citation-style-language/schema/raw/master/csl-citation.json"}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(Weir, 2019)</w:t>
      </w:r>
      <w:r w:rsidRPr="00C122BB">
        <w:rPr>
          <w:rFonts w:ascii="Arial" w:hAnsi="Arial" w:cs="Arial"/>
          <w:sz w:val="22"/>
          <w:szCs w:val="22"/>
        </w:rPr>
        <w:fldChar w:fldCharType="end"/>
      </w:r>
      <w:r w:rsidRPr="00C122BB">
        <w:rPr>
          <w:rFonts w:ascii="Arial" w:hAnsi="Arial" w:cs="Arial"/>
          <w:sz w:val="22"/>
          <w:szCs w:val="22"/>
        </w:rPr>
        <w:t xml:space="preserve">, and a deficiency in β cell mass predisposes an organism to impaired glucose homeostasis in diabetes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{"citationID":"neVGhbWb","properties":{"formattedCitation":"(Costes et al., 2013; Du et al., 2022; Leahy, 2005)","plainCitation":"(Costes et al., 2013; Du et al., 2022; Leahy, 2005)","noteIndex":0},"citationItems":[{"id":275,"uris":["http://zotero.org/users/local/9dBn5Ahe/items/PUNI8MNS"],"itemData":{"id":275,"type":"article-journal","container-title":"Diabetes","language":"en","title":"Cell Failure in Type 2 Diabetes: A Case of Asking Too Much of Too Few?","volume":"24;62(2):327–35","author":[{"family":"Costes","given":"S."},{"family":"Langen","given":"R."},{"family":"Gurlo","given":"T."},{"family":"Matveyenko","given":"A.V."},{"family":"Butler","given":"P.C."}],"issued":{"date-parts":[["2013",1]]}}},{"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id":276,"uris":["http://zotero.org/users/local/9dBn5Ahe/items/FLETQZH2"],"itemData":{"id":276,"type":"article-journal","container-title":"Archives of Medical Research","language":"en","title":"Pathogenesis of Type 2 Diabetes Mellitus","volume":"May;36(3):197–209","author":[{"family":"Leahy","given":"J.L."}],"issued":{"date-parts":[["2005"]]}}}],"schema":"https://github.com/citation-style-language/schema/raw/master/csl-citation.json"}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(Costes et al., 2013; Du et al., 2022; Leahy, 2005)</w:t>
      </w:r>
      <w:r w:rsidRPr="00C122BB">
        <w:rPr>
          <w:rFonts w:ascii="Arial" w:hAnsi="Arial" w:cs="Arial"/>
          <w:sz w:val="22"/>
          <w:szCs w:val="22"/>
        </w:rPr>
        <w:fldChar w:fldCharType="end"/>
      </w:r>
      <w:r w:rsidRPr="00C122BB">
        <w:rPr>
          <w:rFonts w:ascii="Arial" w:hAnsi="Arial" w:cs="Arial"/>
          <w:sz w:val="22"/>
          <w:szCs w:val="22"/>
        </w:rPr>
        <w:t xml:space="preserve">. In cases of β-cell failure, insulin synthesis is reduced, limiting the body's capacity to maintain physiological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{"citationID":"OGOQfyhX","properties":{"formattedCitation":"(Galicia-Garcia et al., 2020)","plainCitation":"(Galicia-Garcia et al., 2020)","noteIndex":0},"citationItems":[{"id":277,"uris":["http://zotero.org/users/local/9dBn5Ahe/items/9M9NM8X2"],"itemData":{"id":277,"type":"article-journal","container-title":"International Journal of Molecular Sciences [Internet","language":"en","title":"Pathophysiology of type 2 diabetes mellitus","URL":"https://pmc.ncbi.nlm.nih.gov/articles/PMC7503727/","volume":"30;21(17):1–34","author":[{"family":"Galicia-Garcia","given":"U."},{"family":"Benito-Vicente","given":"A."},{"family":"Jebari","given":"S."},{"family":"Larrea-Sebal","given":"A."},{"family":"Siddiqi","given":"H."},{"family":"Uribe","given":"K.B."}],"issued":{"date-parts":[["2020",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(Galicia-Garcia et al., 2020)</w:t>
      </w:r>
      <w:r w:rsidRPr="00C122BB">
        <w:rPr>
          <w:rFonts w:ascii="Arial" w:hAnsi="Arial" w:cs="Arial"/>
          <w:sz w:val="22"/>
          <w:szCs w:val="22"/>
        </w:rPr>
        <w:fldChar w:fldCharType="end"/>
      </w:r>
      <w:r w:rsidRPr="00C122BB">
        <w:rPr>
          <w:rFonts w:ascii="Arial" w:hAnsi="Arial" w:cs="Arial"/>
          <w:sz w:val="22"/>
          <w:szCs w:val="22"/>
        </w:rPr>
        <w:t>.</w:t>
      </w:r>
    </w:p>
    <w:p w14:paraId="48356E9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rationale for integrating pharmacological and integrative approaches in the management of type 2 diabetes mellitus (T2DM) arises from the condition's complex nature, which includes insulin resistance, β-cell dysfunction, dysregulated hepatic glucose production, and chronic inflammation. Pharmacological interventions, such as metformin, GLP-1 receptor agonists, and SGLT2 inhibitors, target distinct pathophysiological processes. Conversely, integrative therapy such as dietary </w:t>
      </w:r>
      <w:r w:rsidRPr="00C122BB">
        <w:rPr>
          <w:rFonts w:ascii="Arial" w:hAnsi="Arial" w:cs="Arial"/>
          <w:sz w:val="22"/>
          <w:szCs w:val="22"/>
        </w:rPr>
        <w:lastRenderedPageBreak/>
        <w:t xml:space="preserve">modifications, increased physical activity, stress management, and nutraceutical supplements targets the disease's underlying metabolic and lifestyle factors. This approach enhances glucose management, reduces cardiovascular risk, mitigates medication-related side effects, and fosters long-term sustainability through patient empowerment and adherence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{"citationID":"qtB5vLex","properties":{"formattedCitation":"(Association, 2021; Davies et al., 2018; DeFronzo, 2009)","plainCitation":"(Association, 2021; Davies et al., 2018; DeFronzo, 2009)","noteIndex":0},"citationItems":[{"id":312,"uris":["http://zotero.org/users/local/9dBn5Ahe/items/3BDCTTN7"],"itemData":{"id":312,"type":"document","language":"en","note":"volume: 16;45(Supplement_1):S125–43","title":"Pharmacologic Approaches to Glycemic Treatment: Standards of Medical Care in Diabetes—2022","URL":"https://diabetesjournals.org/care/article/45/Supplement_1/S125/138908/9-Pharmacologic-Approaches-to-Glycemic-Treatment","author":[{"family":"Association","given":"American Diabetes"}],"issued":{"date-parts":[["2021",12]]}}},{"id":282,"uris":["http://zotero.org/users/local/9dBn5Ahe/items/8QFKM4GV"],"itemData":{"id":282,"type":"article-journal","container-title":"Diabetes Care [Internet","issue":"12","language":"en","page":"2669–701","title":"Management of Hyperglycemia in Type 2 Diabetes, 2018. a Consensus Report by the American Diabetes Association (ADA) and the European Association for the Study of Diabetes (EASD","volume":"41","author":[{"family":"Davies","given":"M.J."},{"family":"D’Alessio","given":"D.A."},{"family":"Fradkin","given":"J."},{"family":"Kernan","given":"W.N."},{"family":"Mathieu","given":"C."},{"family":"Mingrone","given":"G."}],"issued":{"date-parts":[["2018"]]}}},{"id":279,"uris":["http://zotero.org/users/local/9dBn5Ahe/items/6CNBGTQE"],"itemData":{"id":279,"type":"article-journal","container-title":"Diabetes [Internet","language":"en","title":"From the Triumvirate to the Ominous Octet: A New Paradigm for the Treatment of Type 2 Diabetes Mellitus","URL":"https://diabetesjournals.org/diabetes/article/58/4/773/117/From-the-Triumvirate-to-the-Ominous-Octet-A-New","volume":"31;58(4):773–95","author":[{"family":"DeFronzo","given":"R.A."}],"issued":{"date-parts":[["2009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(Association, 2021; Davies et al., 2018; DeFronzo, 2009)</w:t>
      </w:r>
      <w:r w:rsidRPr="00C122BB">
        <w:rPr>
          <w:rFonts w:ascii="Arial" w:hAnsi="Arial" w:cs="Arial"/>
          <w:sz w:val="22"/>
          <w:szCs w:val="22"/>
        </w:rPr>
        <w:fldChar w:fldCharType="end"/>
      </w:r>
      <w:r w:rsidRPr="00C122BB">
        <w:rPr>
          <w:rFonts w:ascii="Arial" w:hAnsi="Arial" w:cs="Arial"/>
          <w:sz w:val="22"/>
          <w:szCs w:val="22"/>
        </w:rPr>
        <w:t xml:space="preserve">. Thus, the integration of pharmacological and lifestyle interventions constitutes a comprehensive approach to improving outcomes in Type 2 Diabetes Mellitus (T2DM). </w:t>
      </w:r>
    </w:p>
    <w:p w14:paraId="44E1972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In type 2 diabetes mellitus (T2DM), the maintenance of glucose homeostasis relies on sufficient insulin secretion and tissue sensitivity. The interaction between insulin and hyperglycemia promotes glucose absorption by suppressing hepatic glucose production and increasing glucose uptake in splanchnic and peripheral tissues, particularly in muscle. In healthy individuals, the liver produces glucose at a controlled rate during fasting to meet energy demands, but cerebral glucose uptake remains constant regardless of insulin levels. Nevertheless, T2DM has elevated endogenous glucose production (EGP) despite the presence of insulin, due to hepatic insulin resistance, resulting in hyperglycemia. Studies indicate that in fasting individuals with type 2 diabetes mellitus, hepatic glucose production is increased, closely associated with the degree of fasting hyperglycemia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{"citationID":"4ehj9erj","properties":{"formattedCitation":"(Cersosimo et al., 2021)","plainCitation":"(Cersosimo et al., 2021)","noteIndex":0},"citationItems":[{"id":284,"uris":["http://zotero.org/users/local/9dBn5Ahe/items/H4UUZVXJ"],"itemData":{"id":284,"type":"article-journal","container-title":"Nih.gov. MDText.com, Inc","language":"en","title":"Pathogenesis of Type 2 Diabetes Mellitus [Internet","URL":"https://www.ncbi.nlm.nih.gov/books/NBK279115/","author":[{"family":"Cersosimo","given":"E."},{"family":"Triplitt","given":"C."},{"family":"Solis-Herrera","given":"C."},{"family":"Mandarino","given":"L.J."},{"family":"DeFronzo","given":"R.A."}],"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(Cersosimo et al., 2021)</w:t>
      </w:r>
      <w:r w:rsidRPr="00C122BB">
        <w:rPr>
          <w:rFonts w:ascii="Arial" w:hAnsi="Arial" w:cs="Arial"/>
          <w:sz w:val="22"/>
          <w:szCs w:val="22"/>
        </w:rPr>
        <w:fldChar w:fldCharType="end"/>
      </w:r>
      <w:r w:rsidRPr="00C122BB">
        <w:rPr>
          <w:rFonts w:ascii="Arial" w:hAnsi="Arial" w:cs="Arial"/>
          <w:sz w:val="22"/>
          <w:szCs w:val="22"/>
        </w:rPr>
        <w:t xml:space="preserve">. The correlation between fasting plasma glucose levels and endogenous glucose production indicates that impaired insulin signaling leads to uncontrolled glucose synthesis. Moreover, the liver acquires tolerance to the suppressive effects of hyperglycemia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{"citationID":"vOah7dXC","properties":{"formattedCitation":"(Cersosimo et al., 2021)","plainCitation":"(Cersosimo et al., 2021)","noteIndex":0},"citationItems":[{"id":284,"uris":["http://zotero.org/users/local/9dBn5Ahe/items/H4UUZVXJ"],"itemData":{"id":284,"type":"article-journal","container-title":"Nih.gov. MDText.com, Inc","language":"en","title":"Pathogenesis of Type 2 Diabetes Mellitus [Internet","URL":"https://www.ncbi.nlm.nih.gov/books/NBK279115/","author":[{"family":"Cersosimo","given":"E."},{"family":"Triplitt","given":"C."},{"family":"Solis-Herrera","given":"C."},{"family":"Mandarino","given":"L.J."},{"family":"DeFronzo","given":"R.A."}],"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(Cersosimo et al., 2021)</w:t>
      </w:r>
      <w:r w:rsidRPr="00C122BB">
        <w:rPr>
          <w:rFonts w:ascii="Arial" w:hAnsi="Arial" w:cs="Arial"/>
          <w:sz w:val="22"/>
          <w:szCs w:val="22"/>
        </w:rPr>
        <w:fldChar w:fldCharType="end"/>
      </w:r>
      <w:r w:rsidRPr="00C122BB">
        <w:rPr>
          <w:rFonts w:ascii="Arial" w:hAnsi="Arial" w:cs="Arial"/>
          <w:sz w:val="22"/>
          <w:szCs w:val="22"/>
        </w:rPr>
        <w:t xml:space="preserve">. Gluconeogenesis and glycogenolysis facilitate endogenous glucose generation in type 2 diabetes mellitus; elevated gluconeogenesis is often attributed to factors such as higher glucagon levels and concentrations of gluconeogenic precursors. Furthermore, hypothalamic regulation of glucose production and renal gluconeogenesis plays a role in glucose dysregulation; however, the kidney's involvement is inconsistent and influenced by hyperglycemia. The oral glucose tolerance test (OGTT) indicates that reduced muscle glucose uptake and insufficient suppression of endogenous glucose production (EGP) significantly affect glucose metabolism, leading to elevated blood glucose levels post-consumption. Insulin resistance in type 2 diabetes mellitus primarily involves hepatic glucose overproduction and diminished muscle glucose clearance, complicating effective glucose regulation through the interplay of these factors. </w:t>
      </w:r>
    </w:p>
    <w:p w14:paraId="1D70F216"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2.0</w:t>
      </w:r>
      <w:r w:rsidRPr="00C122BB">
        <w:rPr>
          <w:rFonts w:ascii="Arial" w:hAnsi="Arial" w:cs="Arial"/>
          <w:b/>
          <w:sz w:val="22"/>
          <w:szCs w:val="22"/>
        </w:rPr>
        <w:tab/>
        <w:t xml:space="preserve">PHARMACOLOGICAL ALTERATION </w:t>
      </w:r>
    </w:p>
    <w:p w14:paraId="110408F1" w14:textId="532E9B05" w:rsidR="00C122BB" w:rsidRDefault="00F65681" w:rsidP="00C122BB">
      <w:pPr>
        <w:jc w:val="both"/>
        <w:rPr>
          <w:rFonts w:ascii="Arial" w:hAnsi="Arial" w:cs="Arial"/>
          <w:b/>
          <w:sz w:val="22"/>
          <w:szCs w:val="22"/>
        </w:rPr>
      </w:pPr>
      <w:r w:rsidRPr="00C122BB">
        <w:rPr>
          <w:rFonts w:ascii="Arial" w:hAnsi="Arial" w:cs="Arial"/>
          <w:b/>
          <w:sz w:val="22"/>
          <w:szCs w:val="22"/>
        </w:rPr>
        <w:t>2.1</w:t>
      </w:r>
      <w:r w:rsidRPr="00C122BB">
        <w:rPr>
          <w:rFonts w:ascii="Arial" w:hAnsi="Arial" w:cs="Arial"/>
          <w:b/>
          <w:sz w:val="22"/>
          <w:szCs w:val="22"/>
        </w:rPr>
        <w:tab/>
        <w:t>FIRST-LINE THERAPY</w:t>
      </w:r>
      <w:r w:rsidR="0085348A">
        <w:rPr>
          <w:rFonts w:ascii="Arial" w:hAnsi="Arial" w:cs="Arial"/>
          <w:b/>
          <w:sz w:val="22"/>
          <w:szCs w:val="22"/>
        </w:rPr>
        <w:t xml:space="preserve"> (Metformin)</w:t>
      </w:r>
    </w:p>
    <w:p w14:paraId="62D7BBF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Metformin, a biguanide, is the most commonly given first-line therapy for type 2 diabetes mellitus due to its remarkable glucose-lowering effectiveness. Metformin is a medicine that affects several organ systems and demonstrates a range of effects; its mechanism of action is complex and dependent on its specific indications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{"citationID":"ZKdYB2wh","properties":{"formattedCitation":"(C. J. Bailey, 2024)","plainCitation":"(C. J. Bailey, 2024)","noteIndex":0},"citationItems":[{"id":286,"uris":["http://zotero.org/users/local/9dBn5Ahe/items/UIDHDSIG"],"itemData":{"id":286,"type":"article-journal","container-title":"Diabetes,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w:t>
      </w:r>
      <w:r w:rsidRPr="00C122BB">
        <w:rPr>
          <w:rFonts w:ascii="Arial" w:hAnsi="Arial" w:cs="Arial"/>
          <w:sz w:val="22"/>
          <w:szCs w:val="22"/>
        </w:rPr>
        <w:fldChar w:fldCharType="end"/>
      </w:r>
      <w:r w:rsidRPr="00C122BB">
        <w:rPr>
          <w:rFonts w:ascii="Arial" w:hAnsi="Arial" w:cs="Arial"/>
          <w:sz w:val="22"/>
          <w:szCs w:val="22"/>
        </w:rPr>
        <w:t xml:space="preserve">. This drug operates via multiple molecular routes, chiefly by suppressing hepatic gluconeogenesis through redox-dependent processes at clinically relevant dosages. Beyond its established efficacy in diabetes management, emerging data suggests its promise in prediabetes prevention, polycystic ovary syndrome (PCOS) management, and many research applications, including cancer therapy and age-related diseases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{"citationID":"MkwuOgT5","properties":{"formattedCitation":"(Du et al., 2022)","plainCitation":"(Du et al., 2022)","noteIndex":0},"citationItems":[{"id":288,"uris":["http://zotero.org/users/local/9dBn5Ahe/items/A9DAIP28"],"itemData":{"id":288,"type":"article-journal","container-title":"Molecular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w:t>
      </w:r>
      <w:r w:rsidRPr="00C122BB">
        <w:rPr>
          <w:rFonts w:ascii="Arial" w:hAnsi="Arial" w:cs="Arial"/>
          <w:sz w:val="22"/>
          <w:szCs w:val="22"/>
        </w:rPr>
        <w:fldChar w:fldCharType="end"/>
      </w:r>
      <w:r w:rsidRPr="00C122BB">
        <w:rPr>
          <w:rFonts w:ascii="Arial" w:hAnsi="Arial" w:cs="Arial"/>
          <w:sz w:val="22"/>
          <w:szCs w:val="22"/>
        </w:rPr>
        <w:t>.</w:t>
      </w:r>
    </w:p>
    <w:p w14:paraId="09522E2D" w14:textId="77777777" w:rsidR="00C122BB" w:rsidRPr="0085348A" w:rsidRDefault="00C122BB" w:rsidP="00C122BB">
      <w:pPr>
        <w:jc w:val="both"/>
        <w:rPr>
          <w:rFonts w:ascii="Arial" w:hAnsi="Arial" w:cs="Arial"/>
          <w:b/>
          <w:sz w:val="22"/>
          <w:szCs w:val="22"/>
        </w:rPr>
      </w:pPr>
      <w:r w:rsidRPr="0085348A">
        <w:rPr>
          <w:rFonts w:ascii="Arial" w:hAnsi="Arial" w:cs="Arial"/>
          <w:b/>
          <w:sz w:val="22"/>
          <w:szCs w:val="22"/>
        </w:rPr>
        <w:t xml:space="preserve">Mechanisms of Action </w:t>
      </w:r>
    </w:p>
    <w:p w14:paraId="30C2201B" w14:textId="77777777" w:rsidR="00C122BB" w:rsidRPr="0085348A" w:rsidRDefault="00C122BB" w:rsidP="00C122BB">
      <w:pPr>
        <w:jc w:val="both"/>
        <w:rPr>
          <w:rFonts w:ascii="Arial" w:hAnsi="Arial" w:cs="Arial"/>
          <w:b/>
          <w:i/>
          <w:sz w:val="22"/>
          <w:szCs w:val="22"/>
        </w:rPr>
      </w:pPr>
      <w:r w:rsidRPr="0085348A">
        <w:rPr>
          <w:rFonts w:ascii="Arial" w:hAnsi="Arial" w:cs="Arial"/>
          <w:b/>
          <w:i/>
          <w:sz w:val="22"/>
          <w:szCs w:val="22"/>
        </w:rPr>
        <w:lastRenderedPageBreak/>
        <w:t xml:space="preserve">Primary Molecular Targets </w:t>
      </w:r>
    </w:p>
    <w:p w14:paraId="225688A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therapeutic effects of metformin result from complex interactions within several cellular pathways, with processes varying by tissue type and medication concentration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{"citationID":"yKvvz0on","properties":{"formattedCitation":"(LaMoia &amp; Shulman, 2020)","plainCitation":"(LaMoia &amp; Shulman, 2020)","noteIndex":0},"citationItems":[{"id":290,"uris":["http://zotero.org/users/local/9dBn5Ahe/items/CF94Q447"],"itemData":{"id":290,"type":"article-journal","container-title":"Endocrine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(LaMoia &amp; Shulman, 2020)</w:t>
      </w:r>
      <w:r w:rsidRPr="00C122BB">
        <w:rPr>
          <w:rFonts w:ascii="Arial" w:hAnsi="Arial" w:cs="Arial"/>
          <w:sz w:val="22"/>
          <w:szCs w:val="22"/>
        </w:rPr>
        <w:fldChar w:fldCharType="end"/>
      </w:r>
      <w:r w:rsidRPr="00C122BB">
        <w:rPr>
          <w:rFonts w:ascii="Arial" w:hAnsi="Arial" w:cs="Arial"/>
          <w:sz w:val="22"/>
          <w:szCs w:val="22"/>
        </w:rPr>
        <w:t xml:space="preserve">. Metformin elicits substrate-selective inhibition of gluconeogenesis at clinically relevant plasma concentrations (50-100 </w:t>
      </w:r>
      <w:proofErr w:type="spellStart"/>
      <w:r w:rsidRPr="00C122BB">
        <w:rPr>
          <w:rFonts w:ascii="Arial" w:hAnsi="Arial" w:cs="Arial"/>
          <w:sz w:val="22"/>
          <w:szCs w:val="22"/>
        </w:rPr>
        <w:t>μM</w:t>
      </w:r>
      <w:proofErr w:type="spellEnd"/>
      <w:r w:rsidRPr="00C122BB">
        <w:rPr>
          <w:rFonts w:ascii="Arial" w:hAnsi="Arial" w:cs="Arial"/>
          <w:sz w:val="22"/>
          <w:szCs w:val="22"/>
        </w:rPr>
        <w:t xml:space="preserve">). The key aims include the production of glucose from lactate and glycerol. This effect appears to be influenced by alterations in the hepatic redox status rather than total energy depletion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{"citationID":"ncPZ8uDi","properties":{"formattedCitation":"(LaMoia &amp; Shulman, 2020)","plainCitation":"(LaMoia &amp; Shulman, 2020)","noteIndex":0},"citationItems":[{"id":290,"uris":["http://zotero.org/users/local/9dBn5Ahe/items/CF94Q447"],"itemData":{"id":290,"type":"article-journal","container-title":"Endocrine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(LaMoia &amp; Shulman, 2020)</w:t>
      </w:r>
      <w:r w:rsidRPr="00C122BB">
        <w:rPr>
          <w:rFonts w:ascii="Arial" w:hAnsi="Arial" w:cs="Arial"/>
          <w:sz w:val="22"/>
          <w:szCs w:val="22"/>
        </w:rPr>
        <w:fldChar w:fldCharType="end"/>
      </w:r>
      <w:r w:rsidRPr="00C122BB">
        <w:rPr>
          <w:rFonts w:ascii="Arial" w:hAnsi="Arial" w:cs="Arial"/>
          <w:sz w:val="22"/>
          <w:szCs w:val="22"/>
        </w:rPr>
        <w:t>.</w:t>
      </w:r>
    </w:p>
    <w:p w14:paraId="6CC4FDC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Mitochondrial respiratory complex I is directly inhibited at millimolar concentrations in vitro. </w:t>
      </w:r>
      <w:r w:rsidRPr="00C122BB">
        <w:rPr>
          <w:rFonts w:ascii="Arial" w:hAnsi="Arial" w:cs="Arial"/>
          <w:sz w:val="22"/>
          <w:szCs w:val="22"/>
        </w:rPr>
        <w:br/>
        <w:t xml:space="preserve">These concentrations exceed typical human plasma levels, suggesting that complex I inhibition is not required for the primary therapeutic glucose-lowering effects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{"citationID":"t5PKdXlR","properties":{"formattedCitation":"(LaMoia &amp; Shulman, 2020)","plainCitation":"(LaMoia &amp; Shulman, 2020)","noteIndex":0},"citationItems":[{"id":290,"uris":["http://zotero.org/users/local/9dBn5Ahe/items/CF94Q447"],"itemData":{"id":290,"type":"article-journal","container-title":"Endocrine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(LaMoia &amp; Shulman, 2020)</w:t>
      </w:r>
      <w:r w:rsidRPr="00C122BB">
        <w:rPr>
          <w:rFonts w:ascii="Arial" w:hAnsi="Arial" w:cs="Arial"/>
          <w:sz w:val="22"/>
          <w:szCs w:val="22"/>
        </w:rPr>
        <w:fldChar w:fldCharType="end"/>
      </w:r>
      <w:r w:rsidRPr="00C122BB">
        <w:rPr>
          <w:rFonts w:ascii="Arial" w:hAnsi="Arial" w:cs="Arial"/>
          <w:sz w:val="22"/>
          <w:szCs w:val="22"/>
        </w:rPr>
        <w:t>.</w:t>
      </w:r>
    </w:p>
    <w:p w14:paraId="5C4995D6" w14:textId="77777777" w:rsidR="00F65681" w:rsidRDefault="00C122BB" w:rsidP="00C122BB">
      <w:pPr>
        <w:jc w:val="both"/>
        <w:rPr>
          <w:rFonts w:ascii="Arial" w:hAnsi="Arial" w:cs="Arial"/>
          <w:sz w:val="22"/>
          <w:szCs w:val="22"/>
        </w:rPr>
      </w:pPr>
      <w:r w:rsidRPr="00C122BB">
        <w:rPr>
          <w:rFonts w:ascii="Arial" w:hAnsi="Arial" w:cs="Arial"/>
          <w:sz w:val="22"/>
          <w:szCs w:val="22"/>
        </w:rPr>
        <w:t xml:space="preserve">The relationship between mitochondrial effects and treatment outcomes is presently being rigorous examination. </w:t>
      </w:r>
    </w:p>
    <w:p w14:paraId="19A1BBDB" w14:textId="77777777" w:rsidR="00C122BB" w:rsidRPr="0085348A" w:rsidRDefault="00C122BB" w:rsidP="00C122BB">
      <w:pPr>
        <w:jc w:val="both"/>
        <w:rPr>
          <w:rFonts w:ascii="Arial" w:hAnsi="Arial" w:cs="Arial"/>
          <w:b/>
          <w:i/>
          <w:sz w:val="22"/>
          <w:szCs w:val="22"/>
        </w:rPr>
      </w:pPr>
      <w:r w:rsidRPr="0085348A">
        <w:rPr>
          <w:rFonts w:ascii="Arial" w:hAnsi="Arial" w:cs="Arial"/>
          <w:b/>
          <w:i/>
          <w:sz w:val="22"/>
          <w:szCs w:val="22"/>
        </w:rPr>
        <w:t xml:space="preserve">Cellular Signaling Pathways </w:t>
      </w:r>
    </w:p>
    <w:p w14:paraId="6CB075D5" w14:textId="77777777" w:rsidR="00C122BB" w:rsidRPr="0085348A" w:rsidRDefault="00C122BB" w:rsidP="00C122BB">
      <w:pPr>
        <w:jc w:val="both"/>
        <w:rPr>
          <w:rFonts w:ascii="Arial" w:hAnsi="Arial" w:cs="Arial"/>
          <w:b/>
          <w:i/>
          <w:sz w:val="22"/>
          <w:szCs w:val="22"/>
        </w:rPr>
      </w:pPr>
      <w:r w:rsidRPr="0085348A">
        <w:rPr>
          <w:rFonts w:ascii="Arial" w:hAnsi="Arial" w:cs="Arial"/>
          <w:b/>
          <w:i/>
          <w:sz w:val="22"/>
          <w:szCs w:val="22"/>
        </w:rPr>
        <w:t xml:space="preserve">AMPK and Its Subsequent Mediators </w:t>
      </w:r>
    </w:p>
    <w:p w14:paraId="48A54BD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activation of AMP-activated protein kinase (AMPK) is often reported, but typically in an indirect manner. The activation of AMPK may be superfluous for the suppression of gluconeogenesis at therapeutic dosages. Supplementary pathways include the control of mTOR, SIRT1, FGF21, PP2A, and FBP1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{"citationID":"vIrFoKsy","properties":{"formattedCitation":"(Du et al., 2022)","plainCitation":"(Du et al., 2022)","noteIndex":0},"citationItems":[{"id":288,"uris":["http://zotero.org/users/local/9dBn5Ahe/items/A9DAIP28"],"itemData":{"id":288,"type":"article-journal","container-title":"Molecular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w:t>
      </w:r>
      <w:r w:rsidRPr="00C122BB">
        <w:rPr>
          <w:rFonts w:ascii="Arial" w:hAnsi="Arial" w:cs="Arial"/>
          <w:sz w:val="22"/>
          <w:szCs w:val="22"/>
        </w:rPr>
        <w:fldChar w:fldCharType="end"/>
      </w:r>
      <w:r w:rsidRPr="00C122BB">
        <w:rPr>
          <w:rFonts w:ascii="Arial" w:hAnsi="Arial" w:cs="Arial"/>
          <w:sz w:val="22"/>
          <w:szCs w:val="22"/>
        </w:rPr>
        <w:t xml:space="preserve">. </w:t>
      </w:r>
    </w:p>
    <w:p w14:paraId="085B3A78" w14:textId="77777777" w:rsidR="00C122BB" w:rsidRPr="00C122BB" w:rsidRDefault="00C122BB" w:rsidP="00C122BB">
      <w:pPr>
        <w:jc w:val="both"/>
        <w:rPr>
          <w:rFonts w:ascii="Arial" w:hAnsi="Arial" w:cs="Arial"/>
          <w:sz w:val="22"/>
          <w:szCs w:val="22"/>
        </w:rPr>
      </w:pPr>
      <w:r w:rsidRPr="00C122BB">
        <w:rPr>
          <w:rFonts w:ascii="Arial" w:hAnsi="Arial" w:cs="Arial"/>
          <w:b/>
          <w:bCs/>
          <w:sz w:val="22"/>
          <w:szCs w:val="22"/>
        </w:rPr>
        <w:t>Gut-Liver Axis</w:t>
      </w:r>
      <w:r w:rsidRPr="00C122BB">
        <w:rPr>
          <w:rFonts w:ascii="Arial" w:hAnsi="Arial" w:cs="Arial"/>
          <w:sz w:val="22"/>
          <w:szCs w:val="22"/>
        </w:rPr>
        <w:t xml:space="preserve">: Evidence increasingly supports gastrointestinal processes, including: Altered bile acid metabolism, Enhanced GLP-1 secretion, Mucosal hyperplasia and barrier integrity, Modifications in microbiota composition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{"citationID":"rMYKcs7J","properties":{"formattedCitation":"(Du et al., 2022; Foretz et al., 2023; LaMoia &amp; Shulman, 2020)","plainCitation":"(Du et al., 2022; Foretz et al., 2023; LaMoia &amp; Shulman, 2020)","noteIndex":0},"citationItems":[{"id":288,"uris":["http://zotero.org/users/local/9dBn5Ahe/items/A9DAIP28"],"itemData":{"id":288,"type":"article-journal","container-title":"Molecular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id":292,"uris":["http://zotero.org/users/local/9dBn5Ahe/items/DS6P28QH"],"itemData":{"id":292,"type":"article-journal","container-title":"Nature Reviews Endocrinology [Internet","language":"en","title":"Metformin: update on mechanisms of action and repurposing potential","URL":"https://www.nature.com/articles/s41574-023-00833-4","volume":"2;19(19):1–17","author":[{"family":"Foretz","given":"M."},{"family":"Guigas","given":"B."},{"family":"Viollet","given":"B."}],"issued":{"date-parts":[["2023",5]]}}},{"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 Foretz et al., 2023; LaMoia &amp; Shulman, 2020)</w:t>
      </w:r>
      <w:r w:rsidRPr="00C122BB">
        <w:rPr>
          <w:rFonts w:ascii="Arial" w:hAnsi="Arial" w:cs="Arial"/>
          <w:sz w:val="22"/>
          <w:szCs w:val="22"/>
        </w:rPr>
        <w:fldChar w:fldCharType="end"/>
      </w:r>
      <w:r w:rsidRPr="00C122BB">
        <w:rPr>
          <w:rFonts w:ascii="Arial" w:hAnsi="Arial" w:cs="Arial"/>
          <w:sz w:val="22"/>
          <w:szCs w:val="22"/>
        </w:rPr>
        <w:t xml:space="preserve">. </w:t>
      </w:r>
    </w:p>
    <w:p w14:paraId="5FD4BBCE" w14:textId="77777777" w:rsidR="0085348A" w:rsidRDefault="00C122BB" w:rsidP="00C122BB">
      <w:pPr>
        <w:jc w:val="both"/>
        <w:rPr>
          <w:rFonts w:ascii="Arial" w:hAnsi="Arial" w:cs="Arial"/>
          <w:sz w:val="22"/>
          <w:szCs w:val="22"/>
        </w:rPr>
      </w:pPr>
      <w:r w:rsidRPr="00C122BB">
        <w:rPr>
          <w:rFonts w:ascii="Arial" w:hAnsi="Arial" w:cs="Arial"/>
          <w:b/>
          <w:sz w:val="22"/>
          <w:szCs w:val="22"/>
        </w:rPr>
        <w:t>Pharmacokinetics and Tissue Distribution</w:t>
      </w:r>
      <w:r w:rsidRPr="00C122BB">
        <w:rPr>
          <w:rFonts w:ascii="Arial" w:hAnsi="Arial" w:cs="Arial"/>
          <w:sz w:val="22"/>
          <w:szCs w:val="22"/>
        </w:rPr>
        <w:t xml:space="preserve">: </w:t>
      </w:r>
    </w:p>
    <w:p w14:paraId="2EDECC63" w14:textId="0AC26CCD"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Peak plasma concentration: approximately 20-30 </w:t>
      </w:r>
      <w:proofErr w:type="spellStart"/>
      <w:r w:rsidRPr="00C122BB">
        <w:rPr>
          <w:rFonts w:ascii="Arial" w:hAnsi="Arial" w:cs="Arial"/>
          <w:sz w:val="22"/>
          <w:szCs w:val="22"/>
        </w:rPr>
        <w:t>μM</w:t>
      </w:r>
      <w:proofErr w:type="spellEnd"/>
      <w:r w:rsidRPr="00C122BB">
        <w:rPr>
          <w:rFonts w:ascii="Arial" w:hAnsi="Arial" w:cs="Arial"/>
          <w:sz w:val="22"/>
          <w:szCs w:val="22"/>
        </w:rPr>
        <w:t xml:space="preserve"> (approximately 3 hours post-administration). Targeted accumulation in gastrointestinal, hepatic, and renal tissues. This distribution pattern highlights the importance of gut-liver interactions in therapy effectiveness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{"citationID":"sgfbK0I5","properties":{"formattedCitation":"(Du et al., 2022)","plainCitation":"(Du et al., 2022)","noteIndex":0},"citationItems":[{"id":288,"uris":["http://zotero.org/users/local/9dBn5Ahe/items/A9DAIP28"],"itemData":{"id":288,"type":"article-journal","container-title":"Molecular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w:t>
      </w:r>
      <w:r w:rsidRPr="00C122BB">
        <w:rPr>
          <w:rFonts w:ascii="Arial" w:hAnsi="Arial" w:cs="Arial"/>
          <w:sz w:val="22"/>
          <w:szCs w:val="22"/>
        </w:rPr>
        <w:fldChar w:fldCharType="end"/>
      </w:r>
      <w:r w:rsidRPr="00C122BB">
        <w:rPr>
          <w:rFonts w:ascii="Arial" w:hAnsi="Arial" w:cs="Arial"/>
          <w:sz w:val="22"/>
          <w:szCs w:val="22"/>
        </w:rPr>
        <w:t>.</w:t>
      </w:r>
    </w:p>
    <w:p w14:paraId="3453ADA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Clinical Efficacy: Metformin is acknowledged as the principal therapy in leading international guidelines. The medicine exhibits dose-dependent glycemic effects within a daily dosage range of 500-3,000 mg, leading to substantial reductions in HbA1c, as well as favorable weight and hypoglycemia profiles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{"citationID":"29lCL3Yt","properties":{"formattedCitation":"(C. J. Bailey, 2024; Vieira et al., 2021)","plainCitation":"(C. J. Bailey, 2024; Vieira et al., 2021)","noteIndex":0},"citationItems":[{"id":286,"uris":["http://zotero.org/users/local/9dBn5Ahe/items/UIDHDSIG"],"itemData":{"id":286,"type":"article-journal","container-title":"Diabetes,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id":294,"uris":["http://zotero.org/users/local/9dBn5Ahe/items/5JTVWWJM"],"itemData":{"id":294,"type":"article-journal","container-title":"Clinical Diabetes [Internet","language":"en","title":"Recommendations for Practical Use of Metformin, a Central Pharmacological Therapy in Type 2 Diabetes","URL":"https://diabetesjournals.org/clinical/article/40/1/97/138890/Recommendations-for-Practical-Use-of-Metformin-a","volume":"16;40(1):cd210043","author":[{"family":"Vieira","given":"I.H."},{"family":"Barros","given":"L.M."},{"family":"Baptista","given":"C.F."},{"family":"Rodrigues","given":"D.M."},{"family":"Paiva","given":"I.M."}],"issued":{"date-parts":[["2021",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 Vieira et al., 2021)</w:t>
      </w:r>
      <w:r w:rsidRPr="00C122BB">
        <w:rPr>
          <w:rFonts w:ascii="Arial" w:hAnsi="Arial" w:cs="Arial"/>
          <w:sz w:val="22"/>
          <w:szCs w:val="22"/>
        </w:rPr>
        <w:fldChar w:fldCharType="end"/>
      </w:r>
      <w:r w:rsidRPr="00C122BB">
        <w:rPr>
          <w:rFonts w:ascii="Arial" w:hAnsi="Arial" w:cs="Arial"/>
          <w:sz w:val="22"/>
          <w:szCs w:val="22"/>
        </w:rPr>
        <w:t xml:space="preserve">. Metformin 850 mg taken bi-daily has been effective in reducing diabetes progression in high-risk groups, with benefits sustained over prolonged follow-up periods. It is particularly effective in younger patients and those with a high baseline BMI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{"citationID":"z3FzBqYX","properties":{"formattedCitation":"(Vieira et al., 2021)","plainCitation":"(Vieira et al., 2021)","noteIndex":0},"citationItems":[{"id":294,"uris":["http://zotero.org/users/local/9dBn5Ahe/items/5JTVWWJM"],"itemData":{"id":294,"type":"article-journal","container-title":"Clinical Diabetes [Internet","language":"en","title":"Recommendations for Practical Use of Metformin, a Central Pharmacological Therapy in Type 2 Diabetes","URL":"https://diabetesjournals.org/clinical/article/40/1/97/138890/Recommendations-for-Practical-Use-of-Metformin-a","volume":"16;40(1):cd210043","author":[{"family":"Vieira","given":"I.H."},{"family":"Barros","given":"L.M."},{"family":"Baptista","given":"C.F."},{"family":"Rodrigues","given":"D.M."},{"family":"Paiva","given":"I.M."}],"issued":{"date-parts":[["2021",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(Vieira et al., 2021)</w:t>
      </w:r>
      <w:r w:rsidRPr="00C122BB">
        <w:rPr>
          <w:rFonts w:ascii="Arial" w:hAnsi="Arial" w:cs="Arial"/>
          <w:sz w:val="22"/>
          <w:szCs w:val="22"/>
        </w:rPr>
        <w:fldChar w:fldCharType="end"/>
      </w:r>
      <w:r w:rsidRPr="00C122BB">
        <w:rPr>
          <w:rFonts w:ascii="Arial" w:hAnsi="Arial" w:cs="Arial"/>
          <w:sz w:val="22"/>
          <w:szCs w:val="22"/>
        </w:rPr>
        <w:t>.</w:t>
      </w:r>
    </w:p>
    <w:p w14:paraId="093AE380"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Adverse Effects</w:t>
      </w:r>
    </w:p>
    <w:p w14:paraId="33365F9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Gastrointestinal Effects: The primary adverse effects encompass nausea, diarrhea, and abdominal discomfort. These typically present early in treatment and often resolve with continued administration; they can be alleviated with moderate dose adjustment and simultaneous consumption with meals. Extended-release versions may alleviate gastric sensitivity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{"citationID":"iTIf7WnI","properties":{"formattedCitation":"(C. J. Bailey, 2024; Varghese et al., 2021)","plainCitation":"(C. J. Bailey, 2024; Varghese et al., 2021)","noteIndex":0},"citationItems":[{"id":286,"uris":["http://zotero.org/users/local/9dBn5Ahe/items/UIDHDSIG"],"itemData":{"id":286,"type":"article-journal","container-title":"Diabetes,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id":296,"uris":["http://zotero.org/users/local/9dBn5Ahe/items/2ZITLE9Q"],"itemData":{"id":296,"type":"chapter","container-title":"Hobman TC","language":"la","title":"Diabetes and coronavirus (SARS-CoV-2): Molecular mechanism of Metformin intervention and the scientific basis of drug repurposing","volume":"22;17(6):e1009634","author":[{"family":"Varghese","given":"E."},{"family":"Samuel","given":"S.M."},{"family":"Liskova","given":"A."},{"family":"Kubatka","given":"P."},{"family":"Büsselberg","given":"D."}],"editor":[{"literal":"editor."}],"issued":{"date-parts":[["2021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 Varghese et al., 2021)</w:t>
      </w:r>
      <w:r w:rsidRPr="00C122BB">
        <w:rPr>
          <w:rFonts w:ascii="Arial" w:hAnsi="Arial" w:cs="Arial"/>
          <w:sz w:val="22"/>
          <w:szCs w:val="22"/>
        </w:rPr>
        <w:fldChar w:fldCharType="end"/>
      </w:r>
      <w:r w:rsidRPr="00C122BB">
        <w:rPr>
          <w:rFonts w:ascii="Arial" w:hAnsi="Arial" w:cs="Arial"/>
          <w:sz w:val="22"/>
          <w:szCs w:val="22"/>
        </w:rPr>
        <w:t>.</w:t>
      </w:r>
    </w:p>
    <w:p w14:paraId="47FD351C" w14:textId="5983D020" w:rsidR="00C122BB" w:rsidRDefault="00C122BB" w:rsidP="00C122BB">
      <w:pPr>
        <w:jc w:val="both"/>
        <w:rPr>
          <w:rFonts w:ascii="Arial" w:hAnsi="Arial" w:cs="Arial"/>
          <w:sz w:val="22"/>
          <w:szCs w:val="22"/>
        </w:rPr>
      </w:pPr>
      <w:r w:rsidRPr="00C122BB">
        <w:rPr>
          <w:rFonts w:ascii="Arial" w:hAnsi="Arial" w:cs="Arial"/>
          <w:sz w:val="22"/>
          <w:szCs w:val="22"/>
        </w:rPr>
        <w:t xml:space="preserve">Prolonged use may lead to vitamin B12 deficiency, requiring careful monitoring of B12 levels, particularly in high-risk individuals, due to possible impacts on folate absorption. </w:t>
      </w:r>
      <w:r w:rsidRPr="00C122BB">
        <w:rPr>
          <w:rFonts w:ascii="Arial" w:hAnsi="Arial" w:cs="Arial"/>
          <w:sz w:val="22"/>
          <w:szCs w:val="22"/>
        </w:rPr>
        <w:br/>
        <w:t xml:space="preserve">Severe detrimental effects include lactic acidosis. It is a rare but potentially lethal </w:t>
      </w:r>
      <w:r w:rsidRPr="00C122BB">
        <w:rPr>
          <w:rFonts w:ascii="Arial" w:hAnsi="Arial" w:cs="Arial"/>
          <w:sz w:val="22"/>
          <w:szCs w:val="22"/>
        </w:rPr>
        <w:lastRenderedPageBreak/>
        <w:t>outcome. The incidence is approximately 0.03 to 0.06 cases per 1,000 patient-years. Risk factors including renal failure, hepatic dysfunction, and critical illness</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{"citationID":"UXaKUDzP","properties":{"formattedCitation":"(C. J. Bailey, 2024; Varghese et al., 2021)","plainCitation":"(C. J. Bailey, 2024; Varghese et al., 2021)","noteIndex":0},"citationItems":[{"id":286,"uris":["http://zotero.org/users/local/9dBn5Ahe/items/UIDHDSIG"],"itemData":{"id":286,"type":"article-journal","container-title":"Diabetes,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id":296,"uris":["http://zotero.org/users/local/9dBn5Ahe/items/2ZITLE9Q"],"itemData":{"id":296,"type":"chapter","container-title":"Hobman TC","language":"la","title":"Diabetes and coronavirus (SARS-CoV-2): Molecular mechanism of Metformin intervention and the scientific basis of drug repurposing","volume":"22;17(6):e1009634","author":[{"family":"Varghese","given":"E."},{"family":"Samuel","given":"S.M."},{"family":"Liskova","given":"A."},{"family":"Kubatka","given":"P."},{"family":"Büsselberg","given":"D."}],"editor":[{"literal":"editor."}],"issued":{"date-parts":[["2021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 Varghese et al., 2021)</w:t>
      </w:r>
      <w:r w:rsidRPr="00C122BB">
        <w:rPr>
          <w:rFonts w:ascii="Arial" w:hAnsi="Arial" w:cs="Arial"/>
          <w:sz w:val="22"/>
          <w:szCs w:val="22"/>
        </w:rPr>
        <w:fldChar w:fldCharType="end"/>
      </w:r>
      <w:r w:rsidRPr="00C122BB">
        <w:rPr>
          <w:rFonts w:ascii="Arial" w:hAnsi="Arial" w:cs="Arial"/>
          <w:sz w:val="22"/>
          <w:szCs w:val="22"/>
        </w:rPr>
        <w:t>.</w:t>
      </w:r>
    </w:p>
    <w:p w14:paraId="29963043" w14:textId="77777777" w:rsidR="00ED5F7B" w:rsidRDefault="00ED5F7B" w:rsidP="00C122BB">
      <w:pPr>
        <w:jc w:val="both"/>
        <w:rPr>
          <w:rFonts w:ascii="Arial" w:hAnsi="Arial" w:cs="Arial"/>
          <w:sz w:val="22"/>
          <w:szCs w:val="22"/>
        </w:rPr>
      </w:pPr>
      <w:r>
        <w:rPr>
          <w:rFonts w:ascii="Arial" w:hAnsi="Arial" w:cs="Arial"/>
          <w:sz w:val="22"/>
          <w:szCs w:val="22"/>
        </w:rPr>
        <w:t>Fi</w:t>
      </w:r>
    </w:p>
    <w:p w14:paraId="2B3D1813" w14:textId="77777777" w:rsidR="00ED5F7B" w:rsidRDefault="00ED5F7B" w:rsidP="00C122BB">
      <w:pPr>
        <w:jc w:val="both"/>
        <w:rPr>
          <w:rFonts w:ascii="Arial" w:hAnsi="Arial" w:cs="Arial"/>
          <w:sz w:val="22"/>
          <w:szCs w:val="22"/>
        </w:rPr>
      </w:pPr>
    </w:p>
    <w:p w14:paraId="30D4414E" w14:textId="01C63071" w:rsidR="00ED5F7B" w:rsidRPr="00C122BB" w:rsidRDefault="00ED5F7B" w:rsidP="00C122BB">
      <w:pPr>
        <w:jc w:val="both"/>
        <w:rPr>
          <w:rFonts w:ascii="Arial" w:hAnsi="Arial" w:cs="Arial"/>
          <w:sz w:val="22"/>
          <w:szCs w:val="22"/>
        </w:rPr>
      </w:pPr>
      <w:r>
        <w:rPr>
          <w:rFonts w:ascii="Arial" w:hAnsi="Arial" w:cs="Arial"/>
          <w:noProof/>
          <w:sz w:val="22"/>
          <w:szCs w:val="22"/>
        </w:rPr>
        <w:drawing>
          <wp:inline distT="0" distB="0" distL="0" distR="0" wp14:anchorId="7564834E" wp14:editId="5C5C7441">
            <wp:extent cx="4864100" cy="36445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3127" cy="3658827"/>
                    </a:xfrm>
                    <a:prstGeom prst="rect">
                      <a:avLst/>
                    </a:prstGeom>
                    <a:noFill/>
                  </pic:spPr>
                </pic:pic>
              </a:graphicData>
            </a:graphic>
          </wp:inline>
        </w:drawing>
      </w:r>
    </w:p>
    <w:p w14:paraId="0217C5C1" w14:textId="039B529C" w:rsidR="00ED5F7B" w:rsidRDefault="00ED5F7B" w:rsidP="00C122BB">
      <w:pPr>
        <w:jc w:val="both"/>
        <w:rPr>
          <w:rFonts w:ascii="Arial" w:hAnsi="Arial" w:cs="Arial"/>
          <w:b/>
          <w:sz w:val="22"/>
          <w:szCs w:val="22"/>
        </w:rPr>
      </w:pPr>
      <w:r>
        <w:rPr>
          <w:rFonts w:ascii="Arial" w:hAnsi="Arial" w:cs="Arial"/>
          <w:b/>
          <w:sz w:val="22"/>
          <w:szCs w:val="22"/>
        </w:rPr>
        <w:t xml:space="preserve">Figure 1: </w:t>
      </w:r>
      <w:r w:rsidRPr="00ED5F7B">
        <w:rPr>
          <w:rFonts w:ascii="Arial" w:hAnsi="Arial" w:cs="Arial"/>
          <w:sz w:val="22"/>
          <w:szCs w:val="22"/>
        </w:rPr>
        <w:t>Mechanisms of action for drugs approved for glycemic control in patients with T2DM</w:t>
      </w:r>
      <w:r w:rsidR="00F67FE9">
        <w:rPr>
          <w:rFonts w:ascii="Arial" w:hAnsi="Arial" w:cs="Arial"/>
          <w:sz w:val="22"/>
          <w:szCs w:val="22"/>
        </w:rPr>
        <w:t xml:space="preserve"> </w:t>
      </w:r>
      <w:r w:rsidR="00F67FE9" w:rsidRPr="00F67FE9">
        <w:rPr>
          <w:rFonts w:ascii="Arial" w:hAnsi="Arial" w:cs="Arial"/>
          <w:sz w:val="22"/>
          <w:szCs w:val="22"/>
        </w:rPr>
        <w:t>(Taylor et al., 2021)</w:t>
      </w:r>
    </w:p>
    <w:p w14:paraId="54725175" w14:textId="77777777" w:rsidR="00ED5F7B" w:rsidRDefault="00ED5F7B" w:rsidP="00C122BB">
      <w:pPr>
        <w:jc w:val="both"/>
        <w:rPr>
          <w:rFonts w:ascii="Arial" w:hAnsi="Arial" w:cs="Arial"/>
          <w:b/>
          <w:sz w:val="22"/>
          <w:szCs w:val="22"/>
        </w:rPr>
      </w:pPr>
    </w:p>
    <w:p w14:paraId="57EB618A" w14:textId="650A3A7A" w:rsidR="00C122BB" w:rsidRPr="00C122BB" w:rsidRDefault="00F65681" w:rsidP="00C122BB">
      <w:pPr>
        <w:jc w:val="both"/>
        <w:rPr>
          <w:rFonts w:ascii="Arial" w:hAnsi="Arial" w:cs="Arial"/>
          <w:b/>
          <w:sz w:val="22"/>
          <w:szCs w:val="22"/>
        </w:rPr>
      </w:pPr>
      <w:r w:rsidRPr="00C122BB">
        <w:rPr>
          <w:rFonts w:ascii="Arial" w:hAnsi="Arial" w:cs="Arial"/>
          <w:b/>
          <w:sz w:val="22"/>
          <w:szCs w:val="22"/>
        </w:rPr>
        <w:t>2.2</w:t>
      </w:r>
      <w:r w:rsidRPr="00C122BB">
        <w:rPr>
          <w:rFonts w:ascii="Arial" w:hAnsi="Arial" w:cs="Arial"/>
          <w:b/>
          <w:sz w:val="22"/>
          <w:szCs w:val="22"/>
        </w:rPr>
        <w:tab/>
        <w:t>SECOND-LINE AND ADJUNCT AGENTS</w:t>
      </w:r>
    </w:p>
    <w:p w14:paraId="51D03B52" w14:textId="0305C84A" w:rsidR="0085348A" w:rsidRPr="0085348A" w:rsidRDefault="0085348A" w:rsidP="00C122BB">
      <w:pPr>
        <w:jc w:val="both"/>
        <w:rPr>
          <w:rFonts w:ascii="Arial" w:hAnsi="Arial" w:cs="Arial"/>
          <w:b/>
          <w:sz w:val="22"/>
          <w:szCs w:val="22"/>
        </w:rPr>
      </w:pPr>
      <w:r>
        <w:rPr>
          <w:rFonts w:ascii="Arial" w:hAnsi="Arial" w:cs="Arial"/>
          <w:b/>
          <w:sz w:val="22"/>
          <w:szCs w:val="22"/>
        </w:rPr>
        <w:t>2.2.1</w:t>
      </w:r>
      <w:r>
        <w:rPr>
          <w:rFonts w:ascii="Arial" w:hAnsi="Arial" w:cs="Arial"/>
          <w:b/>
          <w:sz w:val="22"/>
          <w:szCs w:val="22"/>
        </w:rPr>
        <w:tab/>
      </w:r>
      <w:r w:rsidRPr="0085348A">
        <w:rPr>
          <w:rFonts w:ascii="Arial" w:hAnsi="Arial" w:cs="Arial"/>
          <w:b/>
          <w:sz w:val="22"/>
          <w:szCs w:val="22"/>
        </w:rPr>
        <w:t>Sulfonylureas</w:t>
      </w:r>
    </w:p>
    <w:p w14:paraId="7C09DA53" w14:textId="3DFDEF40"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Sulfonylureas (SUs) were discovered in the 1940s when patients treated with sulfonamides for typhoid fever displayed notable hypoglycemia. First-generation sulfonylureas, such as tolbutamide and chlorpropamide, are rarely employed in modern medical practice. Second and third generation sulfonylureas, such as glyburide (or </w:t>
      </w:r>
      <w:proofErr w:type="spellStart"/>
      <w:r w:rsidRPr="00C122BB">
        <w:rPr>
          <w:rFonts w:ascii="Arial" w:hAnsi="Arial" w:cs="Arial"/>
          <w:sz w:val="22"/>
          <w:szCs w:val="22"/>
        </w:rPr>
        <w:t>glibenclamide</w:t>
      </w:r>
      <w:proofErr w:type="spellEnd"/>
      <w:r w:rsidRPr="00C122BB">
        <w:rPr>
          <w:rFonts w:ascii="Arial" w:hAnsi="Arial" w:cs="Arial"/>
          <w:sz w:val="22"/>
          <w:szCs w:val="22"/>
        </w:rPr>
        <w:t xml:space="preserve">), glipizide, gliclazide, and glimepiride, remain in use in clinical practice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{"citationID":"OYB3wOdT","properties":{"formattedCitation":"(DeMarsilis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w:t>
      </w:r>
    </w:p>
    <w:p w14:paraId="21099146" w14:textId="77777777" w:rsidR="00C122BB" w:rsidRPr="0085348A" w:rsidRDefault="00C122BB" w:rsidP="00C122BB">
      <w:pPr>
        <w:jc w:val="both"/>
        <w:rPr>
          <w:rFonts w:ascii="Arial" w:hAnsi="Arial" w:cs="Arial"/>
          <w:b/>
          <w:i/>
          <w:sz w:val="22"/>
          <w:szCs w:val="22"/>
        </w:rPr>
      </w:pPr>
      <w:r w:rsidRPr="0085348A">
        <w:rPr>
          <w:rFonts w:ascii="Arial" w:hAnsi="Arial" w:cs="Arial"/>
          <w:b/>
          <w:i/>
          <w:sz w:val="22"/>
          <w:szCs w:val="22"/>
        </w:rPr>
        <w:t xml:space="preserve">Mechanism of action </w:t>
      </w:r>
    </w:p>
    <w:p w14:paraId="0716EC4C"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Sulfonylureas are insulin secretagogues that operate by binding to the sulfonylurea receptor 1 (SUR-1) subunit of ATP-sensitive potassium (K-ATP) channels, leading to channel closure, membrane depolarization, intracellular calcium influx, and, eventually, insulin secretion. This occurs irrespective of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{"citationID":"8XnYdKNu","properties":{"formattedCitation":"(Inagaki et al., 1995)","plainCitation":"(Inagaki et al., 1995)","noteIndex":0},"citationItems":[{"id":298,"uris":["http://zotero.org/users/local/9dBn5Ahe/items/BVX7PKLC"],"itemData":{"id":298,"type":"article-journal","container-title":"Science","language":"en","title":"Reconstitution of I KATP : An Inward Rectifier Subunit Plus the Sulfonylurea Receptor","volume":"17;270(5239):1166–70","author":[{"family":"Inagaki","given":"N."},{"family":"Gonoi","given":"T."},{"family":"Clement","given":"J.P."},{"family":"Namba","given":"N."},{"family":"Inazawa","given":"J."},{"family":"Gonzalez","given":"G."}],"issued":{"date-parts":[["1995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(Inagaki et al., 1995)</w:t>
      </w:r>
      <w:r w:rsidRPr="00C122BB">
        <w:rPr>
          <w:rFonts w:ascii="Arial" w:hAnsi="Arial" w:cs="Arial"/>
          <w:sz w:val="22"/>
          <w:szCs w:val="22"/>
        </w:rPr>
        <w:fldChar w:fldCharType="end"/>
      </w:r>
      <w:r w:rsidRPr="00C122BB">
        <w:rPr>
          <w:rFonts w:ascii="Arial" w:hAnsi="Arial" w:cs="Arial"/>
          <w:sz w:val="22"/>
          <w:szCs w:val="22"/>
        </w:rPr>
        <w:t xml:space="preserve">. SUR-1, found in pancreatic beta cells, contains two separate binding sites: the SU site and the meglitinide site. Diverse sulfonylureas demonstrate varying binding affinities for these two locations and for other SUR isoforms (SUR-2A and SUR-2B) in different tissues, including neurons, myocardium, and vascular smooth muscle cells, hence affecting the efficacy and side effects of each </w:t>
      </w:r>
      <w:r w:rsidRPr="00C122BB">
        <w:rPr>
          <w:rFonts w:ascii="Arial" w:hAnsi="Arial" w:cs="Arial"/>
          <w:sz w:val="22"/>
          <w:szCs w:val="22"/>
        </w:rPr>
        <w:lastRenderedPageBreak/>
        <w:t xml:space="preserve">medication in this family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{"citationID":"CX28ZuzI","properties":{"formattedCitation":"(Gribble et al., 1998)","plainCitation":"(Gribble et al., 1998)","noteIndex":0},"citationItems":[{"id":299,"uris":["http://zotero.org/users/local/9dBn5Ahe/items/GFKQ5ZNT"],"itemData":{"id":299,"type":"article-journal","container-title":"Diabetes","language":"en","title":"Tissue specificity of sulfonylureas: studies on cloned cardiac and beta-cell K(ATP) channels","volume":"1;47(9):1412–8","author":[{"family":"Gribble","given":"F.M."},{"family":"Tucker","given":"S.J."},{"family":"Seino","given":"S."},{"family":"Ashcroft","given":"F.M."}],"issued":{"date-parts":[["1998",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(Gribble et al., 1998)</w:t>
      </w:r>
      <w:r w:rsidRPr="00C122BB">
        <w:rPr>
          <w:rFonts w:ascii="Arial" w:hAnsi="Arial" w:cs="Arial"/>
          <w:sz w:val="22"/>
          <w:szCs w:val="22"/>
        </w:rPr>
        <w:fldChar w:fldCharType="end"/>
      </w:r>
      <w:r w:rsidRPr="00C122BB">
        <w:rPr>
          <w:rFonts w:ascii="Arial" w:hAnsi="Arial" w:cs="Arial"/>
          <w:sz w:val="22"/>
          <w:szCs w:val="22"/>
        </w:rPr>
        <w:t xml:space="preserve">. As a result, members of the sulfonylurea medication class exhibit substantial variations in their pharmacodynamic and pharmacokinetic properties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{"citationID":"q0C6MrPe","properties":{"formattedCitation":"(Lebovitz &amp; Melander, 2015)","plainCitation":"(Lebovitz &amp; Melander, 2015)","noteIndex":0},"citationItems":[{"id":300,"uris":["http://zotero.org/users/local/9dBn5Ahe/items/UL3BYJCN"],"itemData":{"id":300,"type":"article-journal","container-title":"International Textbook of Diabetes Mellitus","language":"en","title":"Sulfonylureas and meglitinides: insights into physiology and translational clinical utility","author":[{"family":"Lebovitz","given":"H.E."},{"family":"Melander","given":"A."}],"issued":{"date-parts":[["2015",3,6]]}}}],"schema":"https://github.com/citation-style-language/schema/raw/master/csl-citation.json"}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(Lebovitz &amp; Melander, 2015)</w:t>
      </w:r>
      <w:r w:rsidRPr="00C122BB">
        <w:rPr>
          <w:rFonts w:ascii="Arial" w:hAnsi="Arial" w:cs="Arial"/>
          <w:sz w:val="22"/>
          <w:szCs w:val="22"/>
        </w:rPr>
        <w:fldChar w:fldCharType="end"/>
      </w:r>
      <w:r w:rsidRPr="00C122BB">
        <w:rPr>
          <w:rFonts w:ascii="Arial" w:hAnsi="Arial" w:cs="Arial"/>
          <w:sz w:val="22"/>
          <w:szCs w:val="22"/>
        </w:rPr>
        <w:t>.</w:t>
      </w:r>
    </w:p>
    <w:p w14:paraId="1573C620" w14:textId="64DB7071" w:rsidR="00C122BB" w:rsidRPr="0085348A" w:rsidRDefault="001A150E" w:rsidP="00C122BB">
      <w:pPr>
        <w:jc w:val="both"/>
        <w:rPr>
          <w:rFonts w:ascii="Arial" w:hAnsi="Arial" w:cs="Arial"/>
          <w:b/>
          <w:i/>
          <w:sz w:val="22"/>
          <w:szCs w:val="22"/>
        </w:rPr>
      </w:pPr>
      <w:r>
        <w:rPr>
          <w:rFonts w:ascii="Arial" w:hAnsi="Arial" w:cs="Arial"/>
          <w:b/>
          <w:i/>
          <w:sz w:val="22"/>
          <w:szCs w:val="22"/>
        </w:rPr>
        <w:t xml:space="preserve">Pharmacokinetics, </w:t>
      </w:r>
      <w:r w:rsidR="00C122BB" w:rsidRPr="0085348A">
        <w:rPr>
          <w:rFonts w:ascii="Arial" w:hAnsi="Arial" w:cs="Arial"/>
          <w:b/>
          <w:i/>
          <w:sz w:val="22"/>
          <w:szCs w:val="22"/>
        </w:rPr>
        <w:t>Dosage</w:t>
      </w:r>
      <w:r w:rsidR="0085348A">
        <w:rPr>
          <w:rFonts w:ascii="Arial" w:hAnsi="Arial" w:cs="Arial"/>
          <w:b/>
          <w:i/>
          <w:sz w:val="22"/>
          <w:szCs w:val="22"/>
        </w:rPr>
        <w:t xml:space="preserve"> and </w:t>
      </w:r>
      <w:r w:rsidR="00C122BB" w:rsidRPr="0085348A">
        <w:rPr>
          <w:rFonts w:ascii="Arial" w:hAnsi="Arial" w:cs="Arial"/>
          <w:b/>
          <w:i/>
          <w:sz w:val="22"/>
          <w:szCs w:val="22"/>
        </w:rPr>
        <w:t xml:space="preserve">indications </w:t>
      </w:r>
    </w:p>
    <w:p w14:paraId="23AC7D01" w14:textId="77777777" w:rsidR="0085348A" w:rsidRDefault="00C122BB" w:rsidP="00C122BB">
      <w:pPr>
        <w:jc w:val="both"/>
        <w:rPr>
          <w:rFonts w:ascii="Arial" w:hAnsi="Arial" w:cs="Arial"/>
          <w:sz w:val="22"/>
          <w:szCs w:val="22"/>
        </w:rPr>
      </w:pPr>
      <w:r w:rsidRPr="0085348A">
        <w:rPr>
          <w:rFonts w:ascii="Arial" w:hAnsi="Arial" w:cs="Arial"/>
          <w:sz w:val="22"/>
          <w:szCs w:val="22"/>
        </w:rPr>
        <w:t>Sulfonylureas (SUs)</w:t>
      </w:r>
      <w:r w:rsidRPr="00C122BB">
        <w:rPr>
          <w:rFonts w:ascii="Arial" w:hAnsi="Arial" w:cs="Arial"/>
          <w:sz w:val="22"/>
          <w:szCs w:val="22"/>
        </w:rPr>
        <w:t xml:space="preserve"> promote insulin secretion independently of blood glucose concentrations; consequently, specific medications must be taken with meals (glyburide, glimepiride, glipizide extended release, gliclazide modified release), whereas others, whose absorption is impeded by food, should be ingested approximately 30 minutes before meals (glipizide immediate release, gliclazide immediate release)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{"citationID":"JMfrCMbA","properties":{"formattedCitation":"(Inagaki et al., 1995)","plainCitation":"(Inagaki et al., 1995)","noteIndex":0},"citationItems":[{"id":298,"uris":["http://zotero.org/users/local/9dBn5Ahe/items/BVX7PKLC"],"itemData":{"id":298,"type":"article-journal","container-title":"Science","language":"en","title":"Reconstitution of I KATP : An Inward Rectifier Subunit Plus the Sulfonylurea Receptor","volume":"17;270(5239):1166–70","author":[{"family":"Inagaki","given":"N."},{"family":"Gonoi","given":"T."},{"family":"Clement","given":"J.P."},{"family":"Namba","given":"N."},{"family":"Inazawa","given":"J."},{"family":"Gonzalez","given":"G."}],"issued":{"date-parts":[["1995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(Inagaki et al., 1995)</w:t>
      </w:r>
      <w:r w:rsidRPr="00C122BB">
        <w:rPr>
          <w:rFonts w:ascii="Arial" w:hAnsi="Arial" w:cs="Arial"/>
          <w:sz w:val="22"/>
          <w:szCs w:val="22"/>
        </w:rPr>
        <w:fldChar w:fldCharType="end"/>
      </w:r>
      <w:r w:rsidRPr="00C122BB">
        <w:rPr>
          <w:rFonts w:ascii="Arial" w:hAnsi="Arial" w:cs="Arial"/>
          <w:sz w:val="22"/>
          <w:szCs w:val="22"/>
        </w:rPr>
        <w:t xml:space="preserve">.The daily dosage of sulfonylureas (SUs) varies: glyburide ranges from 2.5 to 15 mg, gliclazide from 40 to 320 mg, glimepiride from 1 to 6 mg, and glipizide from 2.5 to 20 mg. SU medicines may be administered once or twice daily. Their biological activity persists considerably longer than the plasma half-life due to the formation of active metabolites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{"citationID":"78sBOQPV","properties":{"formattedCitation":"(Sola et al., 2015)","plainCitation":"(Sola et al., 2015)","noteIndex":0},"citationItems":[{"id":301,"uris":["http://zotero.org/users/local/9dBn5Ahe/items/U3LPYM6N"],"itemData":{"id":301,"type":"article-journal","container-title":"Archives of Medical Science","issue":"11","language":"en","page":"840–8","title":"Sulfonylureas and Their Use in Clinical Practice","volume":"4","author":[{"family":"Sola","given":"D."},{"family":"Rossi","given":"L."},{"family":"Schianca","given":"G.P.C."},{"family":"Maffioli","given":"P."},{"family":"Bigliocca","given":"M."},{"family":"Mella","given":"R."}],"issued":{"date-parts":[["2015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(Sola et al., 2015)</w:t>
      </w:r>
      <w:r w:rsidRPr="00C122BB">
        <w:rPr>
          <w:rFonts w:ascii="Arial" w:hAnsi="Arial" w:cs="Arial"/>
          <w:sz w:val="22"/>
          <w:szCs w:val="22"/>
        </w:rPr>
        <w:fldChar w:fldCharType="end"/>
      </w:r>
      <w:r w:rsidRPr="00C122BB">
        <w:rPr>
          <w:rFonts w:ascii="Arial" w:hAnsi="Arial" w:cs="Arial"/>
          <w:sz w:val="22"/>
          <w:szCs w:val="22"/>
        </w:rPr>
        <w:t xml:space="preserve">. Sulfonylureas (SUs) are metabolized through oxidative routes that include glucuronidation and CYP450 enzymes in the liver. In the case of specific sulfonylureas, such as glyburide and glimepiride, the metabolites demonstrate hypoglycemic qualities, but for others, including glipizide and gliclazide, the metabolites do not have such effects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{"citationID":"1dDMWsbZ","properties":{"formattedCitation":"(Krentz &amp; Bailey, 2005)","plainCitation":"(Krentz &amp; Bailey, 2005)","noteIndex":0},"citationItems":[{"id":302,"uris":["http://zotero.org/users/local/9dBn5Ahe/items/63G2HR5Z"],"itemData":{"id":302,"type":"article-journal","container-title":"Drugs","issue":"3","language":"af","page":"385–411","title":"Oral Antidiabetic Agents","volume":"65","author":[{"family":"Krentz","given":"A.J."},{"family":"Bailey","given":"C.J."}],"issued":{"date-parts":[["2005"]]}}}],"schema":"https://github.com/citation-style-language/schema/raw/master/csl-citation.json"}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(Krentz &amp; Bailey, 2005)</w:t>
      </w:r>
      <w:r w:rsidRPr="00C122BB">
        <w:rPr>
          <w:rFonts w:ascii="Arial" w:hAnsi="Arial" w:cs="Arial"/>
          <w:sz w:val="22"/>
          <w:szCs w:val="22"/>
        </w:rPr>
        <w:fldChar w:fldCharType="end"/>
      </w:r>
      <w:r w:rsidRPr="00C122BB">
        <w:rPr>
          <w:rFonts w:ascii="Arial" w:hAnsi="Arial" w:cs="Arial"/>
          <w:sz w:val="22"/>
          <w:szCs w:val="22"/>
        </w:rPr>
        <w:t xml:space="preserve">. The original molecule and its metabolites are excreted by the kidneys. Sulfonylureas (SUs) may be employed in conjunction with any class of antidiabetic medication, except for meglitinides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{"citationID":"qvH0vEAB","properties":{"formattedCitation":"(Hermansen et al., 2007)","plainCitation":"(Hermansen et al., 2007)","noteIndex":0},"citationItems":[{"id":303,"uris":["http://zotero.org/users/local/9dBn5Ahe/items/L2WK5G9X"],"itemData":{"id":303,"type":"article-journal","container-title":"Diabetes, Obesity and Metabolism","language":"en","title":"Efficacy and safety of the dipeptidyl peptidase-4 inhibitor, sitagliptin, in patients with type 2 diabetes mellitus inadequately controlled on glimepiride alone or on glimepiride and metformin","volume":"Sep;9(5):733–45","author":[{"family":"Hermansen","given":"K."},{"family":"Kipnes","given":"M."},{"family":"Luo","given":"E."},{"family":"Fanurik","given":"D."},{"family":"Khatami","given":"H."},{"family":"Stein","given":"P."}],"issued":{"date-parts":[["2007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(Hermansen et al., 2007)</w:t>
      </w:r>
      <w:r w:rsidRPr="00C122BB">
        <w:rPr>
          <w:rFonts w:ascii="Arial" w:hAnsi="Arial" w:cs="Arial"/>
          <w:sz w:val="22"/>
          <w:szCs w:val="22"/>
        </w:rPr>
        <w:fldChar w:fldCharType="end"/>
      </w:r>
      <w:r w:rsidRPr="00C122BB">
        <w:rPr>
          <w:rFonts w:ascii="Arial" w:hAnsi="Arial" w:cs="Arial"/>
          <w:sz w:val="22"/>
          <w:szCs w:val="22"/>
        </w:rPr>
        <w:t>. Traditionally, sulfonylureas (SUs) have functioned as the principal adjunctive therapy to metformin; however, this paradigm has transformed over the last decade as therapeutic goals have broadened beyond simple glucose regulation.</w:t>
      </w:r>
    </w:p>
    <w:p w14:paraId="783D3BD0" w14:textId="68EF4382" w:rsidR="0085348A" w:rsidRPr="0085348A" w:rsidRDefault="0085348A" w:rsidP="00C122BB">
      <w:pPr>
        <w:jc w:val="both"/>
        <w:rPr>
          <w:rFonts w:ascii="Arial" w:hAnsi="Arial" w:cs="Arial"/>
          <w:b/>
          <w:i/>
          <w:sz w:val="22"/>
          <w:szCs w:val="22"/>
        </w:rPr>
      </w:pPr>
      <w:r w:rsidRPr="0085348A">
        <w:rPr>
          <w:rFonts w:ascii="Arial" w:hAnsi="Arial" w:cs="Arial"/>
          <w:b/>
          <w:i/>
          <w:sz w:val="22"/>
          <w:szCs w:val="22"/>
        </w:rPr>
        <w:t>Contraindication/Adverse effects</w:t>
      </w:r>
    </w:p>
    <w:p w14:paraId="15847B0A" w14:textId="2B4459FE"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Sulfonylureas are contraindicated in severe hepatic insufficiency and should be used cautiously in persons with moderate to severe renal impairment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{"citationID":"J4iMSMMY","properties":{"formattedCitation":"(Lebovitz &amp; Melander, 2015)","plainCitation":"(Lebovitz &amp; Melander, 2015)","noteIndex":0},"citationItems":[{"id":300,"uris":["http://zotero.org/users/local/9dBn5Ahe/items/UL3BYJCN"],"itemData":{"id":300,"type":"article-journal","container-title":"International Textbook of Diabetes Mellitus","language":"en","title":"Sulfonylureas and meglitinides: insights into physiology and translational clinical utility","author":[{"family":"Lebovitz","given":"H.E."},{"family":"Melander","given":"A."}],"issued":{"date-parts":[["2015",3,6]]}}}],"schema":"https://github.com/citation-style-language/schema/raw/master/csl-citation.json"}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(Lebovitz &amp; Melander, 2015)</w:t>
      </w:r>
      <w:r w:rsidRPr="00C122BB">
        <w:rPr>
          <w:rFonts w:ascii="Arial" w:hAnsi="Arial" w:cs="Arial"/>
          <w:sz w:val="22"/>
          <w:szCs w:val="22"/>
        </w:rPr>
        <w:fldChar w:fldCharType="end"/>
      </w:r>
      <w:r w:rsidRPr="00C122BB">
        <w:rPr>
          <w:rFonts w:ascii="Arial" w:hAnsi="Arial" w:cs="Arial"/>
          <w:sz w:val="22"/>
          <w:szCs w:val="22"/>
        </w:rPr>
        <w:t xml:space="preserve">. Sulfonylureas interact with other drugs due to their primary hepatic metabolism and competition for plasma protein binding sites (e.g., salicylates, warfarin, monoamine oxidase inhibitors), thereby increasing the risk of hypoglycemia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{"citationID":"HcUnTccv","properties":{"formattedCitation":"(Deacon, 2020)","plainCitation":"(Deacon, 2020)","noteIndex":0},"citationItems":[{"id":323,"uris":["http://zotero.org/users/local/9dBn5Ahe/items/CJEYGU6C"],"itemData":{"id":323,"type":"article-journal","container-title":"Nature Reviews Endocrinology","language":"en","title":"Dipeptidyl peptidase 4 inhibitors in the treatment of type 2 diabetes mellitus","volume":"14;16(11):642–53","author":[{"family":"Deacon","given":"C.F."}],"issued":{"date-parts":[["2020",9]]}}}],"schema":"https://github.com/citation-style-language/schema/raw/master/csl-citation.json"}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(Deacon, 2020)</w:t>
      </w:r>
      <w:r w:rsidRPr="00C122BB">
        <w:rPr>
          <w:rFonts w:ascii="Arial" w:hAnsi="Arial" w:cs="Arial"/>
          <w:sz w:val="22"/>
          <w:szCs w:val="22"/>
        </w:rPr>
        <w:fldChar w:fldCharType="end"/>
      </w:r>
      <w:r w:rsidRPr="00C122BB">
        <w:rPr>
          <w:rFonts w:ascii="Arial" w:hAnsi="Arial" w:cs="Arial"/>
          <w:sz w:val="22"/>
          <w:szCs w:val="22"/>
        </w:rPr>
        <w:t xml:space="preserve">. Moreover, sulfonylureas are contraindicated in people for whom it is essential to reduce the risk of hypoglycemia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{"citationID":"ULFohgTV","properties":{"formattedCitation":"(DeMarsilis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w:t>
      </w:r>
    </w:p>
    <w:p w14:paraId="243E0265" w14:textId="041C7E6D" w:rsidR="001A150E" w:rsidRDefault="001A150E" w:rsidP="00C122BB">
      <w:pPr>
        <w:jc w:val="both"/>
        <w:rPr>
          <w:rFonts w:ascii="Arial" w:hAnsi="Arial" w:cs="Arial"/>
          <w:sz w:val="22"/>
          <w:szCs w:val="22"/>
        </w:rPr>
      </w:pPr>
      <w:r>
        <w:rPr>
          <w:rFonts w:ascii="Arial" w:hAnsi="Arial" w:cs="Arial"/>
          <w:b/>
          <w:sz w:val="22"/>
          <w:szCs w:val="22"/>
        </w:rPr>
        <w:t>2.2.2</w:t>
      </w:r>
      <w:r>
        <w:rPr>
          <w:rFonts w:ascii="Arial" w:hAnsi="Arial" w:cs="Arial"/>
          <w:b/>
          <w:sz w:val="22"/>
          <w:szCs w:val="22"/>
        </w:rPr>
        <w:tab/>
      </w:r>
      <w:r w:rsidR="00C122BB" w:rsidRPr="00C122BB">
        <w:rPr>
          <w:rFonts w:ascii="Arial" w:hAnsi="Arial" w:cs="Arial"/>
          <w:b/>
          <w:sz w:val="22"/>
          <w:szCs w:val="22"/>
        </w:rPr>
        <w:t>Thiazolidinediones (TZDs)</w:t>
      </w:r>
      <w:r w:rsidR="00C122BB" w:rsidRPr="00C122BB">
        <w:rPr>
          <w:rFonts w:ascii="Arial" w:hAnsi="Arial" w:cs="Arial"/>
          <w:sz w:val="22"/>
          <w:szCs w:val="22"/>
        </w:rPr>
        <w:t xml:space="preserve"> </w:t>
      </w:r>
    </w:p>
    <w:p w14:paraId="1670F811" w14:textId="0848A7F4" w:rsidR="00C122BB" w:rsidRPr="00C122BB" w:rsidRDefault="001A150E" w:rsidP="00C122BB">
      <w:pPr>
        <w:jc w:val="both"/>
        <w:rPr>
          <w:rFonts w:ascii="Arial" w:hAnsi="Arial" w:cs="Arial"/>
          <w:sz w:val="22"/>
          <w:szCs w:val="22"/>
        </w:rPr>
      </w:pPr>
      <w:r>
        <w:rPr>
          <w:rFonts w:ascii="Arial" w:hAnsi="Arial" w:cs="Arial"/>
          <w:sz w:val="22"/>
          <w:szCs w:val="22"/>
        </w:rPr>
        <w:t xml:space="preserve">They </w:t>
      </w:r>
      <w:r w:rsidR="00C122BB" w:rsidRPr="00C122BB">
        <w:rPr>
          <w:rFonts w:ascii="Arial" w:hAnsi="Arial" w:cs="Arial"/>
          <w:sz w:val="22"/>
          <w:szCs w:val="22"/>
        </w:rPr>
        <w:t xml:space="preserve">were discovered by Japanese researchers who, in their pursuit of more effective fibrates, found that specific compounds demonstrated hypoglycemic effects in diabetic rats </w:t>
      </w:r>
      <w:r w:rsidR="00C122BB" w:rsidRPr="00C122BB">
        <w:rPr>
          <w:rFonts w:ascii="Arial" w:hAnsi="Arial" w:cs="Arial"/>
          <w:sz w:val="22"/>
          <w:szCs w:val="22"/>
        </w:rPr>
        <w:fldChar w:fldCharType="begin"/>
      </w:r>
      <w:r w:rsidR="00C122BB" w:rsidRPr="00C122BB">
        <w:rPr>
          <w:rFonts w:ascii="Arial" w:hAnsi="Arial" w:cs="Arial"/>
          <w:sz w:val="22"/>
          <w:szCs w:val="22"/>
        </w:rPr>
        <w:instrText xml:space="preserve"> ADDIN ZOTERO_ITEM CSL_CITATION {"citationID":"jOT6GIC6","properties":{"formattedCitation":"(Lalloyer &amp; Fibrates, 2010)","plainCitation":"(Lalloyer &amp; Fibrates, 2010)","noteIndex":0},"citationItems":[{"id":306,"uris":["http://zotero.org/users/local/9dBn5Ahe/items/P9QA9Y6N"],"itemData":{"id":306,"type":"article-journal","container-title":"Arteriosclerosis, Thrombosis, and Vascular Biology [Internet","language":"en","title":"Glitazones, and Peroxisome Proliferator–Activated Receptors","URL":"https://www.ncbi.nlm.nih.gov/pmc/articles/PMC2997800/","volume":"May;30(5):894–9","author":[{"family":"Lalloyer","given":"F."},{"family":"Fibrates","given":"Staels B."}],"issued":{"date-parts":[["2010"]]}}}],"schema":"https://github.com/citation-style-language/schema/raw/master/csl-citation.json"} </w:instrText>
      </w:r>
      <w:r w:rsidR="00C122BB" w:rsidRPr="00C122BB">
        <w:rPr>
          <w:rFonts w:ascii="Arial" w:hAnsi="Arial" w:cs="Arial"/>
          <w:sz w:val="22"/>
          <w:szCs w:val="22"/>
        </w:rPr>
        <w:fldChar w:fldCharType="separate"/>
      </w:r>
      <w:r w:rsidR="00C122BB" w:rsidRPr="00C122BB">
        <w:rPr>
          <w:rFonts w:ascii="Arial" w:hAnsi="Arial" w:cs="Arial"/>
          <w:sz w:val="22"/>
          <w:szCs w:val="22"/>
        </w:rPr>
        <w:t>(Lalloyer &amp; Fibrates, 2010)</w:t>
      </w:r>
      <w:r w:rsidR="00C122BB" w:rsidRPr="00C122BB">
        <w:rPr>
          <w:rFonts w:ascii="Arial" w:hAnsi="Arial" w:cs="Arial"/>
          <w:sz w:val="22"/>
          <w:szCs w:val="22"/>
        </w:rPr>
        <w:fldChar w:fldCharType="end"/>
      </w:r>
      <w:r w:rsidR="00C122BB" w:rsidRPr="00C122BB">
        <w:rPr>
          <w:rFonts w:ascii="Arial" w:hAnsi="Arial" w:cs="Arial"/>
          <w:sz w:val="22"/>
          <w:szCs w:val="22"/>
        </w:rPr>
        <w:t xml:space="preserve">. At now, rosiglitazone and pioglitazone are utilized. </w:t>
      </w:r>
    </w:p>
    <w:p w14:paraId="25D49CC2" w14:textId="47BDD4EA" w:rsidR="001A150E" w:rsidRPr="001A150E" w:rsidRDefault="001A150E" w:rsidP="00C122BB">
      <w:pPr>
        <w:jc w:val="both"/>
        <w:rPr>
          <w:rFonts w:ascii="Arial" w:hAnsi="Arial" w:cs="Arial"/>
          <w:b/>
          <w:i/>
          <w:sz w:val="22"/>
          <w:szCs w:val="22"/>
        </w:rPr>
      </w:pPr>
      <w:r w:rsidRPr="001A150E">
        <w:rPr>
          <w:rFonts w:ascii="Arial" w:hAnsi="Arial" w:cs="Arial"/>
          <w:b/>
          <w:i/>
          <w:sz w:val="22"/>
          <w:szCs w:val="22"/>
        </w:rPr>
        <w:t>Mechanism of action</w:t>
      </w:r>
    </w:p>
    <w:p w14:paraId="3ED52183" w14:textId="117372F6" w:rsidR="001A150E" w:rsidRPr="00C122BB" w:rsidRDefault="00C122BB" w:rsidP="00C122BB">
      <w:pPr>
        <w:jc w:val="both"/>
        <w:rPr>
          <w:rFonts w:ascii="Arial" w:hAnsi="Arial" w:cs="Arial"/>
          <w:sz w:val="22"/>
          <w:szCs w:val="22"/>
        </w:rPr>
      </w:pPr>
      <w:r w:rsidRPr="00C122BB">
        <w:rPr>
          <w:rFonts w:ascii="Arial" w:hAnsi="Arial" w:cs="Arial"/>
          <w:sz w:val="22"/>
          <w:szCs w:val="22"/>
        </w:rPr>
        <w:t xml:space="preserve">Thiazolidinediones (TZDs) work as insulin sensitizers and serve as selective agonists for peroxisome proliferator-activated receptor-gamma (PPAR-gamma). PPAR-gamma is a member of a family of transcription factors classified as nuclear hormone receptors, which are involved in energy metabolism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{"citationID":"Xz3V0dGF","properties":{"formattedCitation":"(Yki-J\\uc0\\u228{}rvinen, 2004)","plainCitation":"(Yki-Järvinen, 2004)","noteIndex":0},"citationItems":[{"id":308,"uris":["http://zotero.org/users/local/9dBn5Ahe/items/S8JTXMBW"],"itemData":{"id":308,"type":"article-journal","container-title":"New England Journal of Medicine","language":"cy","title":"Thiazolidinediones","volume":"9;351(11):1106–18","author":[{"family":"Yki-Järvinen","given":"H."}],"issued":{"date-parts":[["2004",9]]}}}],"schema":"https://github.com/citation-style-language/schema/raw/master/csl-citation.json"}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(Yki-Järvinen, 2004)</w:t>
      </w:r>
      <w:r w:rsidRPr="00C122BB">
        <w:rPr>
          <w:rFonts w:ascii="Arial" w:hAnsi="Arial" w:cs="Arial"/>
          <w:sz w:val="22"/>
          <w:szCs w:val="22"/>
        </w:rPr>
        <w:fldChar w:fldCharType="end"/>
      </w:r>
      <w:r w:rsidRPr="00C122BB">
        <w:rPr>
          <w:rFonts w:ascii="Arial" w:hAnsi="Arial" w:cs="Arial"/>
          <w:sz w:val="22"/>
          <w:szCs w:val="22"/>
        </w:rPr>
        <w:t xml:space="preserve">. PPAR-gamma agonists augment adiponectin secretion, a protein synthesized by adipocytes with insulin-sensitizing capabilities, and elevate the expression of glucose transporter type 4 (GLUT-4) in muscle and adipose tissue, while simultaneously suppressing the effects of tumor necrosis factor (TNF)-alpha in </w:t>
      </w:r>
      <w:r w:rsidRPr="00C122BB">
        <w:rPr>
          <w:rFonts w:ascii="Arial" w:hAnsi="Arial" w:cs="Arial"/>
          <w:sz w:val="22"/>
          <w:szCs w:val="22"/>
        </w:rPr>
        <w:lastRenderedPageBreak/>
        <w:t xml:space="preserve">adipocytes. PPAR-gamma is primarily expressed in adipose tissue compared to skeletal muscle. The principal action of TZDs is on adipose tissue, where they augment fatty acid uptake and storage, leading to a decrease in fat accumulation in the liver, muscle, and pancreas. This leads to improved insulin efficacy and release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{"citationID":"ygwErSgS","properties":{"formattedCitation":"(Yki-J\\uc0\\u228{}rvinen, 2004)","plainCitation":"(Yki-Järvinen, 2004)","noteIndex":0},"citationItems":[{"id":308,"uris":["http://zotero.org/users/local/9dBn5Ahe/items/S8JTXMBW"],"itemData":{"id":308,"type":"article-journal","container-title":"New England Journal of Medicine","language":"cy","title":"Thiazolidinediones","volume":"9;351(11):1106–18","author":[{"family":"Yki-Järvinen","given":"H."}],"issued":{"date-parts":[["2004",9]]}}}],"schema":"https://github.com/citation-style-language/schema/raw/master/csl-citation.json"}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(Yki-Järvinen, 2004)</w:t>
      </w:r>
      <w:r w:rsidRPr="00C122BB">
        <w:rPr>
          <w:rFonts w:ascii="Arial" w:hAnsi="Arial" w:cs="Arial"/>
          <w:sz w:val="22"/>
          <w:szCs w:val="22"/>
        </w:rPr>
        <w:fldChar w:fldCharType="end"/>
      </w:r>
      <w:r w:rsidRPr="00C122BB">
        <w:rPr>
          <w:rFonts w:ascii="Arial" w:hAnsi="Arial" w:cs="Arial"/>
          <w:sz w:val="22"/>
          <w:szCs w:val="22"/>
        </w:rPr>
        <w:t xml:space="preserve">. </w:t>
      </w:r>
    </w:p>
    <w:p w14:paraId="57651F39" w14:textId="17D17372" w:rsidR="001A150E" w:rsidRPr="001A150E" w:rsidRDefault="001A150E" w:rsidP="00C122BB">
      <w:pPr>
        <w:jc w:val="both"/>
        <w:rPr>
          <w:rFonts w:ascii="Arial" w:hAnsi="Arial" w:cs="Arial"/>
          <w:b/>
          <w:i/>
          <w:sz w:val="22"/>
          <w:szCs w:val="22"/>
        </w:rPr>
      </w:pPr>
      <w:r w:rsidRPr="001A150E">
        <w:rPr>
          <w:rFonts w:ascii="Arial" w:hAnsi="Arial" w:cs="Arial"/>
          <w:b/>
          <w:i/>
          <w:sz w:val="22"/>
          <w:szCs w:val="22"/>
        </w:rPr>
        <w:t xml:space="preserve">Pharmacokinetics, </w:t>
      </w:r>
      <w:r w:rsidR="00C122BB" w:rsidRPr="001A150E">
        <w:rPr>
          <w:rFonts w:ascii="Arial" w:hAnsi="Arial" w:cs="Arial"/>
          <w:b/>
          <w:i/>
          <w:sz w:val="22"/>
          <w:szCs w:val="22"/>
        </w:rPr>
        <w:t xml:space="preserve">indications, and contraindications. </w:t>
      </w:r>
    </w:p>
    <w:p w14:paraId="40DFF2D3" w14:textId="150E0F14"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Thiazolidinediones (TZDs) are taken once day, independent of meal intake. The starting dosage of pioglitazone is 15 mg taken once daily, with a maximum dosage of 45 mg. The first dosage of rosiglitazone is 4 mg delivered once day, with a maximum permissible dosage of 8 mg, which may be administered as 4 mg twice daily or 8 mg once daily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{"citationID":"0Dai5CUU","properties":{"formattedCitation":"(DeMarsilis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Thiazolidinediones (TZDs) are mostly metabolized by the liver and do not necessitate dosage adjustments for any degree of renal impairment, including end-stage renal disease (ESRD). Nonetheless, TZDs should be contraindicated in instances of clinically significant renal failure due to the increased risk of fluid retention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{"citationID":"H5gDNb2a","properties":{"formattedCitation":"(W. Wang et al., 2017)","plainCitation":"(W. Wang et al., 2017)","noteIndex":0},"citationItems":[{"id":311,"uris":["http://zotero.org/users/local/9dBn5Ahe/items/HX8ZLC7C"],"itemData":{"id":311,"type":"article-journal","container-title":"Scientific Reports","language":"en","title":"Efficacy and safety of thiazolidinediones in diabetes patients with renal impairment: a systematic review and meta-analysis","author":[{"family":"Wang","given":"W."},{"family":"Zhou","given":"X."},{"family":"Joey","given":"N.A."},{"family":"Li","given":"L."},{"family":"Li","given":"Y."},{"family":"Sun","given":"X."}],"issued":{"date-parts":[["2017",5,4]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 Wang et al., 2017)</w:t>
      </w:r>
      <w:r w:rsidRPr="00C122BB">
        <w:rPr>
          <w:rFonts w:ascii="Arial" w:hAnsi="Arial" w:cs="Arial"/>
          <w:sz w:val="22"/>
          <w:szCs w:val="22"/>
        </w:rPr>
        <w:fldChar w:fldCharType="end"/>
      </w:r>
      <w:r w:rsidRPr="00C122BB">
        <w:rPr>
          <w:rFonts w:ascii="Arial" w:hAnsi="Arial" w:cs="Arial"/>
          <w:sz w:val="22"/>
          <w:szCs w:val="22"/>
        </w:rPr>
        <w:t xml:space="preserve">. </w:t>
      </w:r>
    </w:p>
    <w:p w14:paraId="6A73518E" w14:textId="3D2E56D0" w:rsidR="00C122BB" w:rsidRPr="00C122BB" w:rsidRDefault="00C122BB" w:rsidP="00C122BB">
      <w:pPr>
        <w:jc w:val="both"/>
        <w:rPr>
          <w:rFonts w:ascii="Arial" w:hAnsi="Arial" w:cs="Arial"/>
          <w:sz w:val="22"/>
          <w:szCs w:val="22"/>
        </w:rPr>
      </w:pPr>
      <w:r w:rsidRPr="00C122BB">
        <w:rPr>
          <w:rFonts w:ascii="Arial" w:hAnsi="Arial" w:cs="Arial"/>
          <w:sz w:val="22"/>
          <w:szCs w:val="22"/>
        </w:rPr>
        <w:t>Thiazolidinediones (TZDs) may function as supplementary therapy for type 2 diabetes mellitus (T2DM) in the absence of cardiovascular disease.</w:t>
      </w:r>
      <w:r w:rsidR="001A150E">
        <w:rPr>
          <w:rFonts w:ascii="Arial" w:hAnsi="Arial" w:cs="Arial"/>
          <w:sz w:val="22"/>
          <w:szCs w:val="22"/>
        </w:rPr>
        <w:t xml:space="preserve"> </w:t>
      </w:r>
      <w:r w:rsidRPr="00C122BB">
        <w:rPr>
          <w:rFonts w:ascii="Arial" w:hAnsi="Arial" w:cs="Arial"/>
          <w:sz w:val="22"/>
          <w:szCs w:val="22"/>
        </w:rPr>
        <w:t xml:space="preserve">Exercise caution while prescribing TZDs to patients with diastolic dysfunction or a recorded history of heart failure (HF)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{"citationID":"pQ073LoV","properties":{"formattedCitation":"(Juurlink et al., 2009)","plainCitation":"(Juurlink et al., 2009)","noteIndex":0},"citationItems":[{"id":314,"uris":["http://zotero.org/users/local/9dBn5Ahe/items/5TXAWZRG"],"itemData":{"id":314,"type":"article-journal","container-title":"BMJ","language":"en","title":"Adverse cardiovascular events during treatment with pioglitazone and rosiglitazone: population based cohort study","volume":"19;339(aug18 2):b2942–2","author":[{"family":"Juurlink","given":"D.N."},{"family":"Gomes","given":"T."},{"family":"Lipscombe","given":"L.L."},{"family":"Austin","given":"P.C."},{"family":"Hux","given":"J.E."},{"family":"Mamdani","given":"M."}],"issued":{"date-parts":[["2009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(Juurlink et al., 2009)</w:t>
      </w:r>
      <w:r w:rsidRPr="00C122BB">
        <w:rPr>
          <w:rFonts w:ascii="Arial" w:hAnsi="Arial" w:cs="Arial"/>
          <w:sz w:val="22"/>
          <w:szCs w:val="22"/>
        </w:rPr>
        <w:fldChar w:fldCharType="end"/>
      </w:r>
      <w:r w:rsidRPr="00C122BB">
        <w:rPr>
          <w:rFonts w:ascii="Arial" w:hAnsi="Arial" w:cs="Arial"/>
          <w:sz w:val="22"/>
          <w:szCs w:val="22"/>
        </w:rPr>
        <w:t xml:space="preserve">. They are contraindicated for persons with symptomatic heart failure. Heart failure linked with TZD is due to fluid retention rather than intrinsic cardiac dysfunction and does not correlate with elevated death rates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{"citationID":"w4QwnRxS","properties":{"formattedCitation":"(Masoudi et al., 2005)","plainCitation":"(Masoudi et al., 2005)","noteIndex":0},"citationItems":[{"id":315,"uris":["http://zotero.org/users/local/9dBn5Ahe/items/IJI2JMKP"],"itemData":{"id":315,"type":"article-journal","container-title":"Circulation","language":"en","title":"Thiazolidinediones, Metformin, and Outcomes in Older Patients with Diabetes and Heart Failure","volume":"8;111(5):583–90","author":[{"family":"Masoudi","given":"F.A."},{"family":"Inzucchi","given":"S.E."},{"family":"Wang","given":"Y."},{"family":"Havranek","given":"E.P."},{"family":"Foody","given":"J.M."},{"family":"Krumholz","given":"H.M."}],"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(Masoudi et al., 2005)</w:t>
      </w:r>
      <w:r w:rsidRPr="00C122BB">
        <w:rPr>
          <w:rFonts w:ascii="Arial" w:hAnsi="Arial" w:cs="Arial"/>
          <w:sz w:val="22"/>
          <w:szCs w:val="22"/>
        </w:rPr>
        <w:fldChar w:fldCharType="end"/>
      </w:r>
      <w:r w:rsidRPr="00C122BB">
        <w:rPr>
          <w:rFonts w:ascii="Arial" w:hAnsi="Arial" w:cs="Arial"/>
          <w:sz w:val="22"/>
          <w:szCs w:val="22"/>
        </w:rPr>
        <w:t xml:space="preserve">. Further contraindications encompass patients experiencing fluid overload from other sources, liver transaminases above 2.5 times the upper limit of normal, a history of fractures or elevated fracture risk, ongoing or previous bladder cancer, and pregnancy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{"citationID":"6gqvy9oC","properties":{"formattedCitation":"(DeMarsilis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w:t>
      </w:r>
    </w:p>
    <w:p w14:paraId="483419F4" w14:textId="77777777" w:rsidR="001A150E" w:rsidRDefault="001A150E" w:rsidP="00C122BB">
      <w:pPr>
        <w:jc w:val="both"/>
        <w:rPr>
          <w:rFonts w:ascii="Arial" w:hAnsi="Arial" w:cs="Arial"/>
          <w:sz w:val="22"/>
          <w:szCs w:val="22"/>
        </w:rPr>
      </w:pPr>
    </w:p>
    <w:p w14:paraId="228FA7D0" w14:textId="4A053799" w:rsidR="001A150E" w:rsidRPr="001A150E" w:rsidRDefault="001A150E" w:rsidP="00C122BB">
      <w:pPr>
        <w:jc w:val="both"/>
        <w:rPr>
          <w:rFonts w:ascii="Arial" w:hAnsi="Arial" w:cs="Arial"/>
          <w:b/>
          <w:i/>
          <w:sz w:val="22"/>
          <w:szCs w:val="22"/>
        </w:rPr>
      </w:pPr>
      <w:r w:rsidRPr="001A150E">
        <w:rPr>
          <w:rFonts w:ascii="Arial" w:hAnsi="Arial" w:cs="Arial"/>
          <w:b/>
          <w:i/>
          <w:sz w:val="22"/>
          <w:szCs w:val="22"/>
        </w:rPr>
        <w:t>Adverse Effects</w:t>
      </w:r>
    </w:p>
    <w:p w14:paraId="650CAAAC" w14:textId="11D48F71"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common side effect of TZDs is dose-dependent fluid retention, noted in 3–7.5% of patients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{"citationID":"Uz2JGkRj","properties":{"formattedCitation":"(Mudaliar et al., 2003)","plainCitation":"(Mudaliar et al., 2003)","noteIndex":0},"citationItems":[{"id":316,"uris":["http://zotero.org/users/local/9dBn5Ahe/items/Z234WHAI"],"itemData":{"id":316,"type":"article-journal","container-title":"Endocrine Practice: Official Journal of the American College of Endocrinology and the American Association of Clinical Endocrinologists [Internet","language":"en","title":"Thiazolidinediones, peripheral edema, and type 2 diabetes: incidence, pathophysiology, and clinical implications","URL":"https://pubmed.ncbi.nlm.nih.gov/14583425/","volume":"1;9(5):406–16","author":[{"family":"Mudaliar","given":"S."},{"family":"Chang","given":"A.R."},{"family":"Henry","given":"R.R."}],"issued":{"date-parts":[["2003",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(Mudaliar et al., 2003)</w:t>
      </w:r>
      <w:r w:rsidRPr="00C122BB">
        <w:rPr>
          <w:rFonts w:ascii="Arial" w:hAnsi="Arial" w:cs="Arial"/>
          <w:sz w:val="22"/>
          <w:szCs w:val="22"/>
        </w:rPr>
        <w:fldChar w:fldCharType="end"/>
      </w:r>
      <w:r w:rsidRPr="00C122BB">
        <w:rPr>
          <w:rFonts w:ascii="Arial" w:hAnsi="Arial" w:cs="Arial"/>
          <w:sz w:val="22"/>
          <w:szCs w:val="22"/>
        </w:rPr>
        <w:t xml:space="preserve">. This effect is due to PPAR-gamma receptors situated in the distal nephron, which facilitate sodium reabsorption. The occurrence of TZD-induced edema is increased with simultaneous insulin therapy and reduced with the administration of SGLT2 inhibitors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{"citationID":"x16GciTJ","properties":{"formattedCitation":"(DeFronzo, 2009; DeMarsilis et al., 2022; Rosenstock et al., 2012)","plainCitation":"(DeFronzo, 2009; DeMarsilis et al., 2022; Rosenstock et al., 2012)","noteIndex":0},"citationItems":[{"id":279,"uris":["http://zotero.org/users/local/9dBn5Ahe/items/6CNBGTQE"],"itemData":{"id":279,"type":"article-journal","container-title":"Diabetes [Internet","language":"en","title":"From the Triumvirate to the Ominous Octet: A New Paradigm for the Treatment of Type 2 Diabetes Mellitus","URL":"https://diabetesjournals.org/diabetes/article/58/4/773/117/From-the-Triumvirate-to-the-Ominous-Octet-A-New","volume":"31;58(4):773–95","author":[{"family":"DeFronzo","given":"R.A."}],"issued":{"date-parts":[["2009"]]}}},{"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id":319,"uris":["http://zotero.org/users/local/9dBn5Ahe/items/Z9PIQFX3"],"itemData":{"id":319,"type":"article-journal","container-title":"Diabetes Care","language":"en","title":"Effects of Dapagliflozin, an SGLT2 Inhibitor, on HbA1c, Body Weight, and Hypoglycemia Risk in Patients With Type 2 Diabetes Inadequately Controlled on Pioglitazone Monotherapy","volume":"23;35(7):1473–8","author":[{"family":"Rosenstock","given":"J."},{"family":"Vico","given":"M."},{"family":"Wei","given":"L."},{"family":"Salsali","given":"A."},{"family":"List","given":"J.F."}],"issued":{"date-parts":[["2012",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(DeFronzo, 2009; DeMarsilis et al., 2022; Rosenstock et al., 2012)</w:t>
      </w:r>
      <w:r w:rsidRPr="00C122BB">
        <w:rPr>
          <w:rFonts w:ascii="Arial" w:hAnsi="Arial" w:cs="Arial"/>
          <w:sz w:val="22"/>
          <w:szCs w:val="22"/>
        </w:rPr>
        <w:fldChar w:fldCharType="end"/>
      </w:r>
      <w:r w:rsidRPr="00C122BB">
        <w:rPr>
          <w:rFonts w:ascii="Arial" w:hAnsi="Arial" w:cs="Arial"/>
          <w:sz w:val="22"/>
          <w:szCs w:val="22"/>
        </w:rPr>
        <w:t xml:space="preserve">. Both TZDs can elicit a similar weight gain of roughly 3.0 kg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{"citationID":"7Be6AXdQ","properties":{"formattedCitation":"(Chiquette et al., 2004)","plainCitation":"(Chiquette et al., 2004)","noteIndex":0},"citationItems":[{"id":320,"uris":["http://zotero.org/users/local/9dBn5Ahe/items/4NM54RY6"],"itemData":{"id":320,"type":"article-journal","container-title":"Archives of Internal Medicine","language":"en","title":"A Meta-analysis Comparing the Effect of Thiazolidinediones on Cardiovascular Risk Factors","author":[{"family":"Chiquette","given":"E."},{"family":"Ramirez","given":"G."},{"family":"DeFronzo","given":"R."}],"issued":{"date-parts":[["2004",10,25]]}}}],"schema":"https://github.com/citation-style-language/schema/raw/master/csl-citation.json"}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(Chiquette et al., 2004)</w:t>
      </w:r>
      <w:r w:rsidRPr="00C122BB">
        <w:rPr>
          <w:rFonts w:ascii="Arial" w:hAnsi="Arial" w:cs="Arial"/>
          <w:sz w:val="22"/>
          <w:szCs w:val="22"/>
        </w:rPr>
        <w:fldChar w:fldCharType="end"/>
      </w:r>
      <w:r w:rsidRPr="00C122BB">
        <w:rPr>
          <w:rFonts w:ascii="Arial" w:hAnsi="Arial" w:cs="Arial"/>
          <w:sz w:val="22"/>
          <w:szCs w:val="22"/>
        </w:rPr>
        <w:t xml:space="preserve">. Studies demonstrate that pioglitazone increases subcutaneous fat while maintaining or possibly decreasing visceral fat, therefore lowering the visceral-to-subcutaneous adipose tissue ratio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{"citationID":"PCPO3hC6","properties":{"formattedCitation":"(Rasouli et al., 2005; Smith et al., 2005)","plainCitation":"(Rasouli et al., 2005; Smith et al., 2005)","noteIndex":0},"citationItems":[{"id":321,"uris":["http://zotero.org/users/local/9dBn5Ahe/items/36M4YYNS"],"itemData":{"id":321,"type":"article-journal","container-title":"American Journal of Physiology-Endocrinology and Metabolism","language":"en","title":"Pioglitazone improves insulin sensitivity through reduction in muscle lipid and redistribution of lipid into adipose tissue","volume":"May;288(5):E930–4","author":[{"family":"Rasouli","given":"N."},{"family":"Raue","given":"U."},{"family":"Miles","given":"L.M."},{"family":"Lu","given":"T."},{"family":"Gregorio","given":"G.B."},{"family":"Elbein","given":"S.C."}],"issued":{"date-parts":[["2005"]]}}},{"id":322,"uris":["http://zotero.org/users/local/9dBn5Ahe/items/UGTDNJKM"],"itemData":{"id":322,"type":"article-journal","container-title":"Metabolism","language":"en","title":"Effect of pioglitazone on body composition and energy expenditure: a randomized controlled trial","volume":"Jan;54(1):24–32","author":[{"family":"Smith","given":"de Jonge","suffix":"SR"},{"family":"L","given":"Volaufova"},{"family":"J","given":"Li"},{"family":"Y","given":"Xie"},{"family":"H","given":"Bray"},{"literal":"G.A."}],"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(Rasouli et al., 2005; Smith et al., 2005)</w:t>
      </w:r>
      <w:r w:rsidRPr="00C122BB">
        <w:rPr>
          <w:rFonts w:ascii="Arial" w:hAnsi="Arial" w:cs="Arial"/>
          <w:sz w:val="22"/>
          <w:szCs w:val="22"/>
        </w:rPr>
        <w:fldChar w:fldCharType="end"/>
      </w:r>
      <w:r w:rsidRPr="00C122BB">
        <w:rPr>
          <w:rFonts w:ascii="Arial" w:hAnsi="Arial" w:cs="Arial"/>
          <w:sz w:val="22"/>
          <w:szCs w:val="22"/>
        </w:rPr>
        <w:t xml:space="preserve">. The potential weight gain may be alleviated by the simultaneous administration of SGLT2 inhibitors or glucagon-like peptide-1 receptor agonists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{"citationID":"AAJEV6HM","properties":{"formattedCitation":"(Rosenstock et al., 2012)","plainCitation":"(Rosenstock et al., 2012)","noteIndex":0},"citationItems":[{"id":319,"uris":["http://zotero.org/users/local/9dBn5Ahe/items/Z9PIQFX3"],"itemData":{"id":319,"type":"article-journal","container-title":"Diabetes Care","language":"en","title":"Effects of Dapagliflozin, an SGLT2 Inhibitor, on HbA1c, Body Weight, and Hypoglycemia Risk in Patients With Type 2 Diabetes Inadequately Controlled on Pioglitazone Monotherapy","volume":"23;35(7):1473–8","author":[{"family":"Rosenstock","given":"J."},{"family":"Vico","given":"M."},{"family":"Wei","given":"L."},{"family":"Salsali","given":"A."},{"family":"List","given":"J.F."}],"issued":{"date-parts":[["2012",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(Rosenstock et al., 2012)</w:t>
      </w:r>
      <w:r w:rsidRPr="00C122BB">
        <w:rPr>
          <w:rFonts w:ascii="Arial" w:hAnsi="Arial" w:cs="Arial"/>
          <w:sz w:val="22"/>
          <w:szCs w:val="22"/>
        </w:rPr>
        <w:fldChar w:fldCharType="end"/>
      </w:r>
      <w:r w:rsidRPr="00C122BB">
        <w:rPr>
          <w:rFonts w:ascii="Arial" w:hAnsi="Arial" w:cs="Arial"/>
          <w:sz w:val="22"/>
          <w:szCs w:val="22"/>
        </w:rPr>
        <w:t xml:space="preserve">. Thiazolidinediones (TZDs) may not provoke hypoglycemia when used independently; nevertheless, they may increase the likelihood of hypoglycemia when used in conjunction with insulin or secretagogues, including sulfonylureas and glinides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{"citationID":"eV8wAFTS","properties":{"formattedCitation":"(DeMarsilis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w:t>
      </w:r>
    </w:p>
    <w:p w14:paraId="5339E085" w14:textId="77777777" w:rsidR="001A150E" w:rsidRDefault="001A150E" w:rsidP="00C122BB">
      <w:pPr>
        <w:jc w:val="both"/>
        <w:rPr>
          <w:rFonts w:ascii="Arial" w:hAnsi="Arial" w:cs="Arial"/>
          <w:sz w:val="22"/>
          <w:szCs w:val="22"/>
        </w:rPr>
      </w:pPr>
    </w:p>
    <w:p w14:paraId="31FC6C84" w14:textId="19096715" w:rsidR="00C122BB" w:rsidRPr="001A150E" w:rsidRDefault="001A150E" w:rsidP="00C122BB">
      <w:pPr>
        <w:jc w:val="both"/>
        <w:rPr>
          <w:rFonts w:ascii="Arial" w:hAnsi="Arial" w:cs="Arial"/>
          <w:b/>
          <w:sz w:val="22"/>
          <w:szCs w:val="22"/>
        </w:rPr>
      </w:pPr>
      <w:r w:rsidRPr="001A150E">
        <w:rPr>
          <w:rFonts w:ascii="Arial" w:hAnsi="Arial" w:cs="Arial"/>
          <w:b/>
          <w:sz w:val="22"/>
          <w:szCs w:val="22"/>
        </w:rPr>
        <w:t>2.3</w:t>
      </w:r>
      <w:r w:rsidRPr="001A150E">
        <w:rPr>
          <w:rFonts w:ascii="Arial" w:hAnsi="Arial" w:cs="Arial"/>
          <w:b/>
          <w:sz w:val="22"/>
          <w:szCs w:val="22"/>
        </w:rPr>
        <w:tab/>
      </w:r>
      <w:r w:rsidR="00C122BB" w:rsidRPr="001A150E">
        <w:rPr>
          <w:rFonts w:ascii="Arial" w:hAnsi="Arial" w:cs="Arial"/>
          <w:b/>
          <w:sz w:val="22"/>
          <w:szCs w:val="22"/>
        </w:rPr>
        <w:t>Recent pharmaceutical drugs</w:t>
      </w:r>
      <w:r>
        <w:rPr>
          <w:rFonts w:ascii="Arial" w:hAnsi="Arial" w:cs="Arial"/>
          <w:b/>
          <w:sz w:val="22"/>
          <w:szCs w:val="22"/>
        </w:rPr>
        <w:t xml:space="preserve"> for treatment of T2DM</w:t>
      </w:r>
    </w:p>
    <w:p w14:paraId="40C55FD2" w14:textId="23202BCA" w:rsidR="001A150E" w:rsidRPr="001A150E" w:rsidRDefault="001A150E" w:rsidP="00C122BB">
      <w:pPr>
        <w:jc w:val="both"/>
        <w:rPr>
          <w:rFonts w:ascii="Arial" w:hAnsi="Arial" w:cs="Arial"/>
          <w:b/>
          <w:sz w:val="22"/>
          <w:szCs w:val="22"/>
        </w:rPr>
      </w:pPr>
      <w:r w:rsidRPr="001A150E">
        <w:rPr>
          <w:rFonts w:ascii="Arial" w:hAnsi="Arial" w:cs="Arial"/>
          <w:b/>
          <w:sz w:val="22"/>
          <w:szCs w:val="22"/>
        </w:rPr>
        <w:t>2.3.1</w:t>
      </w:r>
      <w:r w:rsidRPr="001A150E">
        <w:rPr>
          <w:rFonts w:ascii="Arial" w:hAnsi="Arial" w:cs="Arial"/>
          <w:b/>
          <w:sz w:val="22"/>
          <w:szCs w:val="22"/>
        </w:rPr>
        <w:tab/>
        <w:t>Dipeptidyl peptidase-4 (DPP-4) inhibitors</w:t>
      </w:r>
    </w:p>
    <w:p w14:paraId="3BDBCA3D" w14:textId="18C460E1"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Dipeptidyl peptidase-4 (DPP-4) inhibitors, known as gliptins, are a product of targeted pharmaceutical advancement. Oral medications for the management of type 2 diabetic mellitus (T2DM) have been accessible since 2006. There are eleven </w:t>
      </w:r>
      <w:r w:rsidRPr="00C122BB">
        <w:rPr>
          <w:rFonts w:ascii="Arial" w:hAnsi="Arial" w:cs="Arial"/>
          <w:sz w:val="22"/>
          <w:szCs w:val="22"/>
        </w:rPr>
        <w:lastRenderedPageBreak/>
        <w:t xml:space="preserve">internationally licensed DPP-4 inhibitors, with sitagliptin, linagliptin, vildagliptin, </w:t>
      </w:r>
      <w:proofErr w:type="spellStart"/>
      <w:r w:rsidRPr="00C122BB">
        <w:rPr>
          <w:rFonts w:ascii="Arial" w:hAnsi="Arial" w:cs="Arial"/>
          <w:sz w:val="22"/>
          <w:szCs w:val="22"/>
        </w:rPr>
        <w:t>saxagliptin</w:t>
      </w:r>
      <w:proofErr w:type="spellEnd"/>
      <w:r w:rsidRPr="00C122BB">
        <w:rPr>
          <w:rFonts w:ascii="Arial" w:hAnsi="Arial" w:cs="Arial"/>
          <w:sz w:val="22"/>
          <w:szCs w:val="22"/>
        </w:rPr>
        <w:t xml:space="preserve">, and </w:t>
      </w:r>
      <w:proofErr w:type="spellStart"/>
      <w:r w:rsidRPr="00C122BB">
        <w:rPr>
          <w:rFonts w:ascii="Arial" w:hAnsi="Arial" w:cs="Arial"/>
          <w:sz w:val="22"/>
          <w:szCs w:val="22"/>
        </w:rPr>
        <w:t>alogliptin</w:t>
      </w:r>
      <w:proofErr w:type="spellEnd"/>
      <w:r w:rsidRPr="00C122BB">
        <w:rPr>
          <w:rFonts w:ascii="Arial" w:hAnsi="Arial" w:cs="Arial"/>
          <w:sz w:val="22"/>
          <w:szCs w:val="22"/>
        </w:rPr>
        <w:t xml:space="preserve"> being the most prevalent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{"citationID":"6WqMBOHW","properties":{"formattedCitation":"(Deacon, 2020)","plainCitation":"(Deacon, 2020)","noteIndex":0},"citationItems":[{"id":323,"uris":["http://zotero.org/users/local/9dBn5Ahe/items/CJEYGU6C"],"itemData":{"id":323,"type":"article-journal","container-title":"Nature Reviews Endocrinology","language":"en","title":"Dipeptidyl peptidase 4 inhibitors in the treatment of type 2 diabetes mellitus","volume":"14;16(11):642–53","author":[{"family":"Deacon","given":"C.F."}],"issued":{"date-parts":[["2020",9]]}}}],"schema":"https://github.com/citation-style-language/schema/raw/master/csl-citation.json"}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(Deacon, 2020)</w:t>
      </w:r>
      <w:r w:rsidRPr="00C122BB">
        <w:rPr>
          <w:rFonts w:ascii="Arial" w:hAnsi="Arial" w:cs="Arial"/>
          <w:sz w:val="22"/>
          <w:szCs w:val="22"/>
        </w:rPr>
        <w:fldChar w:fldCharType="end"/>
      </w:r>
      <w:r w:rsidRPr="00C122BB">
        <w:rPr>
          <w:rFonts w:ascii="Arial" w:hAnsi="Arial" w:cs="Arial"/>
          <w:sz w:val="22"/>
          <w:szCs w:val="22"/>
        </w:rPr>
        <w:t>.</w:t>
      </w:r>
    </w:p>
    <w:p w14:paraId="44D9B63D" w14:textId="77777777" w:rsidR="001A150E" w:rsidRPr="001A150E" w:rsidRDefault="00C122BB" w:rsidP="00C122BB">
      <w:pPr>
        <w:jc w:val="both"/>
        <w:rPr>
          <w:rFonts w:ascii="Arial" w:hAnsi="Arial" w:cs="Arial"/>
          <w:b/>
          <w:sz w:val="22"/>
          <w:szCs w:val="22"/>
        </w:rPr>
      </w:pPr>
      <w:r w:rsidRPr="001A150E">
        <w:rPr>
          <w:rFonts w:ascii="Arial" w:hAnsi="Arial" w:cs="Arial"/>
          <w:b/>
          <w:sz w:val="22"/>
          <w:szCs w:val="22"/>
        </w:rPr>
        <w:t xml:space="preserve">Mechanism of action: </w:t>
      </w:r>
    </w:p>
    <w:p w14:paraId="79EA482B" w14:textId="671DE649" w:rsidR="00C122BB" w:rsidRDefault="00C122BB" w:rsidP="00C122BB">
      <w:pPr>
        <w:jc w:val="both"/>
        <w:rPr>
          <w:rFonts w:ascii="Arial" w:hAnsi="Arial" w:cs="Arial"/>
          <w:sz w:val="22"/>
          <w:szCs w:val="22"/>
        </w:rPr>
      </w:pPr>
      <w:r w:rsidRPr="00C122BB">
        <w:rPr>
          <w:rFonts w:ascii="Arial" w:hAnsi="Arial" w:cs="Arial"/>
          <w:sz w:val="22"/>
          <w:szCs w:val="22"/>
        </w:rPr>
        <w:t xml:space="preserve">DPP-4, a serine protease, is extensively expressed in multiple organs, such as the kidneys, enterohepatic system, and uterus. Post-prandial incretin levels are diminished in Type 2 Diabetes Mellitus (T2DM), leading to decreased insulin production and resultant hyperglycemia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{"citationID":"WDPrsHBF","properties":{"formattedCitation":"(DeMarsilis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Incretin hormones, including GLP-1 and GIP, exhibit a short half-life (1–2 minutes and 7 minutes, respectively) owing to breakdown by the enzyme DPP-4</w:t>
      </w:r>
      <w:bookmarkStart w:id="0" w:name="_Hlk213953758"/>
      <w:r w:rsidRPr="00C122BB">
        <w:rPr>
          <w:rFonts w:ascii="Arial" w:hAnsi="Arial" w:cs="Arial"/>
          <w:sz w:val="22"/>
          <w:szCs w:val="22"/>
        </w:rPr>
        <w:t xml:space="preserv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{"citationID":"tEz2hwSI","properties":{"formattedCitation":"(DeMarsilis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bookmarkEnd w:id="0"/>
      <w:r w:rsidRPr="00C122BB">
        <w:rPr>
          <w:rFonts w:ascii="Arial" w:hAnsi="Arial" w:cs="Arial"/>
          <w:sz w:val="22"/>
          <w:szCs w:val="22"/>
        </w:rPr>
        <w:t xml:space="preserve">. DPP-4 medications block this enzyme by 80–90%, resulting in a 2–3-fold increase in GLP-1 (primarily) and GIP levels. Glucose stimulates GLP-1, which increases insulin release and decreases glucagon levels, leading to lower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{"citationID":"uK0Hs0zG","properties":{"formattedCitation":"(Deacon, 2020)","plainCitation":"(Deacon, 2020)","noteIndex":0},"citationItems":[{"id":323,"uris":["http://zotero.org/users/local/9dBn5Ahe/items/CJEYGU6C"],"itemData":{"id":323,"type":"article-journal","container-title":"Nature Reviews Endocrinology","language":"en","title":"Dipeptidyl peptidase 4 inhibitors in the treatment of type 2 diabetes mellitus","volume":"14;16(11):642–53","author":[{"family":"Deacon","given":"C.F."}],"issued":{"date-parts":[["2020",9]]}}}],"schema":"https://github.com/citation-style-language/schema/raw/master/csl-citation.json"}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(Deacon, 2020)</w:t>
      </w:r>
      <w:r w:rsidRPr="00C122BB">
        <w:rPr>
          <w:rFonts w:ascii="Arial" w:hAnsi="Arial" w:cs="Arial"/>
          <w:sz w:val="22"/>
          <w:szCs w:val="22"/>
        </w:rPr>
        <w:fldChar w:fldCharType="end"/>
      </w:r>
      <w:r w:rsidRPr="00C122BB">
        <w:rPr>
          <w:rFonts w:ascii="Arial" w:hAnsi="Arial" w:cs="Arial"/>
          <w:sz w:val="22"/>
          <w:szCs w:val="22"/>
        </w:rPr>
        <w:t xml:space="preserve">. </w:t>
      </w:r>
    </w:p>
    <w:p w14:paraId="3924D2D5" w14:textId="3DCF75F0" w:rsidR="00CE1C6B" w:rsidRPr="00CE1C6B" w:rsidRDefault="00CE1C6B" w:rsidP="00C122BB">
      <w:pPr>
        <w:jc w:val="both"/>
        <w:rPr>
          <w:rFonts w:ascii="Arial" w:hAnsi="Arial" w:cs="Arial"/>
          <w:b/>
          <w:i/>
          <w:iCs/>
          <w:sz w:val="22"/>
          <w:szCs w:val="22"/>
        </w:rPr>
      </w:pPr>
      <w:r w:rsidRPr="00CE1C6B">
        <w:rPr>
          <w:rFonts w:ascii="Arial" w:hAnsi="Arial" w:cs="Arial"/>
          <w:b/>
          <w:i/>
          <w:iCs/>
          <w:sz w:val="22"/>
          <w:szCs w:val="22"/>
        </w:rPr>
        <w:t xml:space="preserve">Pharmacokinetics, Dosing, indications and contraindications </w:t>
      </w:r>
    </w:p>
    <w:p w14:paraId="0118737D" w14:textId="10E36371" w:rsidR="00CE1C6B" w:rsidRDefault="00CE1C6B" w:rsidP="00C122BB">
      <w:pPr>
        <w:jc w:val="both"/>
        <w:rPr>
          <w:rFonts w:ascii="Arial" w:hAnsi="Arial" w:cs="Arial"/>
          <w:sz w:val="22"/>
          <w:szCs w:val="22"/>
        </w:rPr>
      </w:pPr>
      <w:r w:rsidRPr="00CE1C6B">
        <w:rPr>
          <w:rFonts w:ascii="Arial" w:hAnsi="Arial" w:cs="Arial"/>
          <w:sz w:val="22"/>
          <w:szCs w:val="22"/>
        </w:rPr>
        <w:t xml:space="preserve">DPP-4 inhibitors are given as a single daily dose of 25 mg for </w:t>
      </w:r>
      <w:proofErr w:type="spellStart"/>
      <w:r w:rsidRPr="00CE1C6B">
        <w:rPr>
          <w:rFonts w:ascii="Arial" w:hAnsi="Arial" w:cs="Arial"/>
          <w:sz w:val="22"/>
          <w:szCs w:val="22"/>
        </w:rPr>
        <w:t>alogliptin</w:t>
      </w:r>
      <w:proofErr w:type="spellEnd"/>
      <w:r w:rsidRPr="00CE1C6B">
        <w:rPr>
          <w:rFonts w:ascii="Arial" w:hAnsi="Arial" w:cs="Arial"/>
          <w:sz w:val="22"/>
          <w:szCs w:val="22"/>
        </w:rPr>
        <w:t xml:space="preserve">, 5 mg for linagliptin and </w:t>
      </w:r>
      <w:proofErr w:type="spellStart"/>
      <w:r w:rsidRPr="00CE1C6B">
        <w:rPr>
          <w:rFonts w:ascii="Arial" w:hAnsi="Arial" w:cs="Arial"/>
          <w:sz w:val="22"/>
          <w:szCs w:val="22"/>
        </w:rPr>
        <w:t>saxagliptin</w:t>
      </w:r>
      <w:proofErr w:type="spellEnd"/>
      <w:r w:rsidRPr="00CE1C6B">
        <w:rPr>
          <w:rFonts w:ascii="Arial" w:hAnsi="Arial" w:cs="Arial"/>
          <w:sz w:val="22"/>
          <w:szCs w:val="22"/>
        </w:rPr>
        <w:t xml:space="preserve">, 100 mg for sitagliptin and as a twice daily dose of 50 mg for vildagliptin. </w:t>
      </w:r>
      <w:proofErr w:type="spellStart"/>
      <w:r w:rsidRPr="00CE1C6B">
        <w:rPr>
          <w:rFonts w:ascii="Arial" w:hAnsi="Arial" w:cs="Arial"/>
          <w:sz w:val="22"/>
          <w:szCs w:val="22"/>
        </w:rPr>
        <w:t>Omarigliptin</w:t>
      </w:r>
      <w:proofErr w:type="spellEnd"/>
      <w:r w:rsidRPr="00CE1C6B">
        <w:rPr>
          <w:rFonts w:ascii="Arial" w:hAnsi="Arial" w:cs="Arial"/>
          <w:sz w:val="22"/>
          <w:szCs w:val="22"/>
        </w:rPr>
        <w:t xml:space="preserve"> and </w:t>
      </w:r>
      <w:proofErr w:type="spellStart"/>
      <w:r w:rsidRPr="00CE1C6B">
        <w:rPr>
          <w:rFonts w:ascii="Arial" w:hAnsi="Arial" w:cs="Arial"/>
          <w:sz w:val="22"/>
          <w:szCs w:val="22"/>
        </w:rPr>
        <w:t>trelagliptin</w:t>
      </w:r>
      <w:proofErr w:type="spellEnd"/>
      <w:r w:rsidRPr="00CE1C6B">
        <w:rPr>
          <w:rFonts w:ascii="Arial" w:hAnsi="Arial" w:cs="Arial"/>
          <w:sz w:val="22"/>
          <w:szCs w:val="22"/>
        </w:rPr>
        <w:t xml:space="preserve"> are long-acting DPP-4 inhibitors, which are given once weekly, and are approved in Japan but not the USA</w:t>
      </w:r>
      <w:r>
        <w:rPr>
          <w:rFonts w:ascii="Arial" w:hAnsi="Arial" w:cs="Arial"/>
          <w:sz w:val="22"/>
          <w:szCs w:val="22"/>
        </w:rPr>
        <w:t xml:space="preserve"> </w:t>
      </w:r>
      <w:r w:rsidRPr="00CE1C6B">
        <w:rPr>
          <w:rFonts w:ascii="Arial" w:hAnsi="Arial" w:cs="Arial"/>
          <w:sz w:val="22"/>
          <w:szCs w:val="22"/>
        </w:rPr>
        <w:t>(</w:t>
      </w:r>
      <w:proofErr w:type="spellStart"/>
      <w:r w:rsidRPr="00CE1C6B">
        <w:rPr>
          <w:rFonts w:ascii="Arial" w:hAnsi="Arial" w:cs="Arial"/>
          <w:sz w:val="22"/>
          <w:szCs w:val="22"/>
        </w:rPr>
        <w:t>DeMarsilis</w:t>
      </w:r>
      <w:proofErr w:type="spellEnd"/>
      <w:r w:rsidRPr="00CE1C6B">
        <w:rPr>
          <w:rFonts w:ascii="Arial" w:hAnsi="Arial" w:cs="Arial"/>
          <w:sz w:val="22"/>
          <w:szCs w:val="22"/>
        </w:rPr>
        <w:t xml:space="preserve"> et al., 2022). DPP-4 inhibitors can be taken at any time regardless of meals.</w:t>
      </w:r>
      <w:r>
        <w:rPr>
          <w:rFonts w:ascii="Arial" w:hAnsi="Arial" w:cs="Arial"/>
          <w:sz w:val="22"/>
          <w:szCs w:val="22"/>
        </w:rPr>
        <w:t xml:space="preserve"> </w:t>
      </w:r>
      <w:r w:rsidRPr="00CE1C6B">
        <w:rPr>
          <w:rFonts w:ascii="Arial" w:hAnsi="Arial" w:cs="Arial"/>
          <w:sz w:val="22"/>
          <w:szCs w:val="22"/>
        </w:rPr>
        <w:t xml:space="preserve">Except for linagliptin, these drugs are eliminated by the kidneys. </w:t>
      </w:r>
      <w:proofErr w:type="spellStart"/>
      <w:r w:rsidRPr="00CE1C6B">
        <w:rPr>
          <w:rFonts w:ascii="Arial" w:hAnsi="Arial" w:cs="Arial"/>
          <w:sz w:val="22"/>
          <w:szCs w:val="22"/>
        </w:rPr>
        <w:t>Saxagliptin</w:t>
      </w:r>
      <w:proofErr w:type="spellEnd"/>
      <w:r w:rsidRPr="00CE1C6B">
        <w:rPr>
          <w:rFonts w:ascii="Arial" w:hAnsi="Arial" w:cs="Arial"/>
          <w:sz w:val="22"/>
          <w:szCs w:val="22"/>
        </w:rPr>
        <w:t xml:space="preserve"> and vildagliptin have an active metabolite also renally excreted. Linagliptin is eliminated via hepatobiliary route in the feces </w:t>
      </w:r>
      <w:r w:rsidRPr="00C122BB">
        <w:rPr>
          <w:rFonts w:ascii="Arial" w:hAnsi="Arial" w:cs="Arial"/>
          <w:sz w:val="22"/>
          <w:szCs w:val="22"/>
        </w:rPr>
        <w:t xml:space="preserv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{"citationID":"tEz2hwSI","properties":{"formattedCitation":"(DeMarsilis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E1C6B">
        <w:rPr>
          <w:rFonts w:ascii="Arial" w:hAnsi="Arial" w:cs="Arial"/>
          <w:sz w:val="22"/>
          <w:szCs w:val="22"/>
        </w:rPr>
        <w:t xml:space="preserve">. DPP-4 inhibitors can be safely used in those with kidney dysfunction, including ESRD. However, apart from linagliptin, the doses of these drugs must be adjusted according to the state of renal impairment. There is no need for dose adjustments with linagliptin for liver or renal impairment </w:t>
      </w:r>
      <w:r w:rsidRPr="00C122BB">
        <w:rPr>
          <w:rFonts w:ascii="Arial" w:hAnsi="Arial" w:cs="Arial"/>
          <w:sz w:val="22"/>
          <w:szCs w:val="22"/>
        </w:rPr>
        <w:t xml:space="preserv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{"citationID":"tEz2hwSI","properties":{"formattedCitation":"(DeMarsilis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E1C6B">
        <w:rPr>
          <w:rFonts w:ascii="Arial" w:hAnsi="Arial" w:cs="Arial"/>
          <w:sz w:val="22"/>
          <w:szCs w:val="22"/>
        </w:rPr>
        <w:t xml:space="preserve">. </w:t>
      </w:r>
    </w:p>
    <w:p w14:paraId="2BDF9ACD" w14:textId="6677DA9E" w:rsidR="00C122BB" w:rsidRPr="00C122BB" w:rsidRDefault="00CE1C6B" w:rsidP="00C122BB">
      <w:pPr>
        <w:jc w:val="both"/>
        <w:rPr>
          <w:rFonts w:ascii="Arial" w:hAnsi="Arial" w:cs="Arial"/>
          <w:b/>
          <w:iCs/>
          <w:sz w:val="22"/>
          <w:szCs w:val="22"/>
        </w:rPr>
      </w:pPr>
      <w:r>
        <w:rPr>
          <w:rFonts w:ascii="Arial" w:hAnsi="Arial" w:cs="Arial"/>
          <w:b/>
          <w:iCs/>
          <w:sz w:val="22"/>
          <w:szCs w:val="22"/>
        </w:rPr>
        <w:t>2.3.2</w:t>
      </w:r>
      <w:r>
        <w:rPr>
          <w:rFonts w:ascii="Arial" w:hAnsi="Arial" w:cs="Arial"/>
          <w:b/>
          <w:iCs/>
          <w:sz w:val="22"/>
          <w:szCs w:val="22"/>
        </w:rPr>
        <w:tab/>
      </w:r>
      <w:r w:rsidR="00C122BB" w:rsidRPr="00C122BB">
        <w:rPr>
          <w:rFonts w:ascii="Arial" w:hAnsi="Arial" w:cs="Arial"/>
          <w:b/>
          <w:iCs/>
          <w:sz w:val="22"/>
          <w:szCs w:val="22"/>
        </w:rPr>
        <w:t>Glucagon-like Peptide-1 (GLP-1) receptor agonists.</w:t>
      </w:r>
    </w:p>
    <w:p w14:paraId="7AC17BB3" w14:textId="77777777" w:rsidR="00CE1C6B" w:rsidRDefault="00C122BB" w:rsidP="00C122BB">
      <w:pPr>
        <w:jc w:val="both"/>
        <w:rPr>
          <w:rFonts w:ascii="Arial" w:hAnsi="Arial" w:cs="Arial"/>
          <w:sz w:val="22"/>
          <w:szCs w:val="22"/>
        </w:rPr>
      </w:pPr>
      <w:r w:rsidRPr="00C122BB">
        <w:rPr>
          <w:rFonts w:ascii="Arial" w:hAnsi="Arial" w:cs="Arial"/>
          <w:sz w:val="22"/>
          <w:szCs w:val="22"/>
        </w:rPr>
        <w:t xml:space="preserve">GLP-1 receptor agonists (GLP-1 RAs) are a subclass of incretin-based treatments (IBTs) frequently employed in the management of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{"citationID":"mI9a1Kih","properties":{"formattedCitation":"(Holst, 2019)","plainCitation":"(Holst, 2019)","noteIndex":0},"citationItems":[{"id":324,"uris":["http://zotero.org/users/local/9dBn5Ahe/items/7C88E29K"],"itemData":{"id":324,"type":"article-journal","container-title":"Metabolism","language":"en","title":"The incretin system in healthy humans: The role of GIP and GLP-1","author":[{"family":"Holst","given":"J.J."}],"issued":{"date-parts":[["2019",7]]}}}],"schema":"https://github.com/citation-style-language/schema/raw/master/csl-citation.json"}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(Holst, 2019)</w:t>
      </w:r>
      <w:r w:rsidRPr="00C122BB">
        <w:rPr>
          <w:rFonts w:ascii="Arial" w:hAnsi="Arial" w:cs="Arial"/>
          <w:sz w:val="22"/>
          <w:szCs w:val="22"/>
        </w:rPr>
        <w:fldChar w:fldCharType="end"/>
      </w:r>
      <w:r w:rsidRPr="00C122BB">
        <w:rPr>
          <w:rFonts w:ascii="Arial" w:hAnsi="Arial" w:cs="Arial"/>
          <w:sz w:val="22"/>
          <w:szCs w:val="22"/>
        </w:rPr>
        <w:t xml:space="preserve">. </w:t>
      </w:r>
    </w:p>
    <w:p w14:paraId="659B122B" w14:textId="01D1C493" w:rsidR="00CE1C6B" w:rsidRPr="00CE1C6B" w:rsidRDefault="00CE1C6B" w:rsidP="00C122BB">
      <w:pPr>
        <w:jc w:val="both"/>
        <w:rPr>
          <w:rFonts w:ascii="Arial" w:hAnsi="Arial" w:cs="Arial"/>
          <w:b/>
          <w:i/>
          <w:sz w:val="22"/>
          <w:szCs w:val="22"/>
        </w:rPr>
      </w:pPr>
      <w:r w:rsidRPr="00CE1C6B">
        <w:rPr>
          <w:rFonts w:ascii="Arial" w:hAnsi="Arial" w:cs="Arial"/>
          <w:b/>
          <w:i/>
          <w:sz w:val="22"/>
          <w:szCs w:val="22"/>
        </w:rPr>
        <w:t xml:space="preserve">Mechanism of </w:t>
      </w:r>
      <w:r>
        <w:rPr>
          <w:rFonts w:ascii="Arial" w:hAnsi="Arial" w:cs="Arial"/>
          <w:b/>
          <w:i/>
          <w:sz w:val="22"/>
          <w:szCs w:val="22"/>
        </w:rPr>
        <w:t>a</w:t>
      </w:r>
      <w:r w:rsidRPr="00CE1C6B">
        <w:rPr>
          <w:rFonts w:ascii="Arial" w:hAnsi="Arial" w:cs="Arial"/>
          <w:b/>
          <w:i/>
          <w:sz w:val="22"/>
          <w:szCs w:val="22"/>
        </w:rPr>
        <w:t>ction</w:t>
      </w:r>
    </w:p>
    <w:p w14:paraId="3C4263A5" w14:textId="68D5BD32" w:rsidR="00C122BB" w:rsidRDefault="00C122BB" w:rsidP="00C122BB">
      <w:pPr>
        <w:jc w:val="both"/>
        <w:rPr>
          <w:rFonts w:ascii="Arial" w:hAnsi="Arial" w:cs="Arial"/>
          <w:sz w:val="22"/>
          <w:szCs w:val="22"/>
        </w:rPr>
      </w:pPr>
      <w:r w:rsidRPr="00C122BB">
        <w:rPr>
          <w:rFonts w:ascii="Arial" w:hAnsi="Arial" w:cs="Arial"/>
          <w:sz w:val="22"/>
          <w:szCs w:val="22"/>
        </w:rPr>
        <w:t xml:space="preserve">GLP-1 enhances insulin secretion in a glucose-dependent fashion, suppresses glucagon secretion, reduces hunger, and prolongs stomach emptying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{"citationID":"xjcyy9FD","properties":{"formattedCitation":"(Hare et al., 2010; Holst, 2019)","plainCitation":"(Hare et al., 2010; Holst, 2019)","noteIndex":0},"citationItems":[{"id":325,"uris":["http://zotero.org/users/local/9dBn5Ahe/items/FXQQ7WUU"],"itemData":{"id":325,"type":"document","language":"en","note":"volume: 4];59(7):1765–70","title":"The Glucagonostatic and Insulinotropic Effects of Glucagon-Like Peptide 1 Contribute Equally to Its Glucose-Lowering Action","URL":"https://diabetes.diabetesjournals.org/content/59/7/1765","author":[{"family":"Hare","given":"K.J."},{"family":"Vilsboll","given":"T."},{"family":"Asmar","given":"M."},{"family":"Deacon","given":"C.F."},{"family":"Knop","given":"F.K."},{"family":"Holst","given":"J.J."}],"issued":{"date-parts":[["2010"]]}}},{"id":324,"uris":["http://zotero.org/users/local/9dBn5Ahe/items/7C88E29K"],"itemData":{"id":324,"type":"article-journal","container-title":"Metabolism","language":"en","title":"The incretin system in healthy humans: The role of GIP and GLP-1","author":[{"family":"Holst","given":"J.J."}],"issued":{"date-parts":[["2019",7]]}}}],"schema":"https://github.com/citation-style-language/schema/raw/master/csl-citation.json"}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(Hare et al., 2010; Holst, 2019)</w:t>
      </w:r>
      <w:r w:rsidRPr="00C122BB">
        <w:rPr>
          <w:rFonts w:ascii="Arial" w:hAnsi="Arial" w:cs="Arial"/>
          <w:sz w:val="22"/>
          <w:szCs w:val="22"/>
        </w:rPr>
        <w:fldChar w:fldCharType="end"/>
      </w:r>
      <w:r w:rsidRPr="00C122BB">
        <w:rPr>
          <w:rFonts w:ascii="Arial" w:hAnsi="Arial" w:cs="Arial"/>
          <w:sz w:val="22"/>
          <w:szCs w:val="22"/>
        </w:rPr>
        <w:t xml:space="preserve">. In patients with T2DM, the incretin action is impaired, leading to a relative deficit of GLP-1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{"citationID":"SCdjFaJn","properties":{"formattedCitation":"(Calanna et al., 2013)","plainCitation":"(Calanna et al., 2013)","noteIndex":0},"citationItems":[{"id":327,"uris":["http://zotero.org/users/local/9dBn5Ahe/items/3WRDZEMR"],"itemData":{"id":327,"type":"article-journal","container-title":"Diabetologia","language":"en","title":"Secretion of glucagon-like peptide-1 in patients with type 2 diabetes mellitus: systematic review and meta-analyses of clinical studies","volume":"3;56(5):965–72","author":[{"family":"Calanna","given":"S."},{"family":"Christensen","given":"M."},{"family":"Holst","given":"J.J."},{"family":"Laferrère","given":"B."},{"family":"Gluud","given":"L.L."},{"family":"Vilsbøll","given":"T."}],"issued":{"date-parts":[["2013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(Calanna et al., 2013)</w:t>
      </w:r>
      <w:r w:rsidRPr="00C122BB">
        <w:rPr>
          <w:rFonts w:ascii="Arial" w:hAnsi="Arial" w:cs="Arial"/>
          <w:sz w:val="22"/>
          <w:szCs w:val="22"/>
        </w:rPr>
        <w:fldChar w:fldCharType="end"/>
      </w:r>
      <w:r w:rsidRPr="00C122BB">
        <w:rPr>
          <w:rFonts w:ascii="Arial" w:hAnsi="Arial" w:cs="Arial"/>
          <w:sz w:val="22"/>
          <w:szCs w:val="22"/>
        </w:rPr>
        <w:t xml:space="preserve">. Thus, GLP-1 is a targeted molecule for the management of T2DM. The enzyme DPP-4, present on several cell surfaces and in the circulation, rapidly inactivates native GLP-1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{"citationID":"qNqrdDeD","properties":{"formattedCitation":"(Vahl et al., 2003)","plainCitation":"(Vahl et al., 2003)","noteIndex":0},"citationItems":[{"id":329,"uris":["http://zotero.org/users/local/9dBn5Ahe/items/4FVMNVJX"],"itemData":{"id":329,"type":"article-journal","container-title":"The Journal of Clinical Endocrinology &amp; Metabolism","language":"en","title":"Effects of GLP-1-(7–36)NH2, GLP-1-(7–37), and GLP-1- (9–36)NH2on Intravenous Glucose Tolerance and Glucose-Induced Insulin Secretion in Healthy Humans","volume":"Apr;88(4):1772–9","author":[{"family":"Vahl","given":"T.P."},{"family":"Paty","given":"B.W."},{"family":"Fuller","given":"B.D."},{"family":"Prigeon","given":"R.L."},{"family":"D’Alessio","given":"D.A."}],"issued":{"date-parts":[["2003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(Vahl et al., 2003)</w:t>
      </w:r>
      <w:r w:rsidRPr="00C122BB">
        <w:rPr>
          <w:rFonts w:ascii="Arial" w:hAnsi="Arial" w:cs="Arial"/>
          <w:sz w:val="22"/>
          <w:szCs w:val="22"/>
        </w:rPr>
        <w:fldChar w:fldCharType="end"/>
      </w:r>
      <w:r w:rsidRPr="00C122BB">
        <w:rPr>
          <w:rFonts w:ascii="Arial" w:hAnsi="Arial" w:cs="Arial"/>
          <w:sz w:val="22"/>
          <w:szCs w:val="22"/>
        </w:rPr>
        <w:t xml:space="preserve">. GLP-1 receptor agonists (GLP-1 RAs) are DPP-4 resistant analogues of GLP-1 that extend the half-life of GLP-1, providing prolonged activation of the GLP-1 receptor (GLP-1R) and increasing GLP-1 levels beyond natural norms. The GLP-1R is a G-protein coupled receptor mostly found in pancreatic beta cells, essential for the regulation of blood glucose homeostasis via many processes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{"citationID":"9A1l09oB","properties":{"formattedCitation":"(Donnelly, 2012)","plainCitation":"(Donnelly, 2012)","noteIndex":0},"citationItems":[{"id":330,"uris":["http://zotero.org/users/local/9dBn5Ahe/items/VKZCKX6M"],"itemData":{"id":330,"type":"article-journal","container-title":"British Journal of Pharmacology","language":"en","title":"The structure and function of the glucagon-like peptide-1 receptor and its ligands","volume":"10;166(1):27–41","author":[{"family":"Donnelly","given":"D."}],"issued":{"date-parts":[["2012"]]}}}],"schema":"https://github.com/citation-style-language/schema/raw/master/csl-citation.json"}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(Donnelly, 2012)</w:t>
      </w:r>
      <w:r w:rsidRPr="00C122BB">
        <w:rPr>
          <w:rFonts w:ascii="Arial" w:hAnsi="Arial" w:cs="Arial"/>
          <w:sz w:val="22"/>
          <w:szCs w:val="22"/>
        </w:rPr>
        <w:fldChar w:fldCharType="end"/>
      </w:r>
      <w:r w:rsidRPr="00C122BB">
        <w:rPr>
          <w:rFonts w:ascii="Arial" w:hAnsi="Arial" w:cs="Arial"/>
          <w:sz w:val="22"/>
          <w:szCs w:val="22"/>
        </w:rPr>
        <w:t xml:space="preserve">. The expression of these receptors has been observed in gastric mucosa, renal tissue, skin, immune cells, and the hypothalamus, presumably clarifying the appetite-suppressing actions of this medication family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{"citationID":"kkca8RAC","properties":{"formattedCitation":"(Lee &amp; Jun, 2014)","plainCitation":"(Lee &amp; Jun, 2014)","noteIndex":0},"citationItems":[{"id":331,"uris":["http://zotero.org/users/local/9dBn5Ahe/items/8QTRTKSK"],"itemData":{"id":331,"type":"article-journal","container-title":"Metabolism","language":"en","title":"Anti-diabetic actions of glucagon-like peptide-1 on pancreatic beta-cells","volume":"Jan;63(1):9–19","author":[{"family":"Lee","given":"Y.S."},{"family":"Jun","given":"H.S."}],"issued":{"date-parts":[["2014"]]}}}],"schema":"https://github.com/citation-style-language/schema/raw/master/csl-citation.json"}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(Lee &amp; Jun, 2014)</w:t>
      </w:r>
      <w:r w:rsidRPr="00C122BB">
        <w:rPr>
          <w:rFonts w:ascii="Arial" w:hAnsi="Arial" w:cs="Arial"/>
          <w:sz w:val="22"/>
          <w:szCs w:val="22"/>
        </w:rPr>
        <w:fldChar w:fldCharType="end"/>
      </w:r>
      <w:r w:rsidRPr="00C122BB">
        <w:rPr>
          <w:rFonts w:ascii="Arial" w:hAnsi="Arial" w:cs="Arial"/>
          <w:sz w:val="22"/>
          <w:szCs w:val="22"/>
        </w:rPr>
        <w:t xml:space="preserve">. This element enhances the comprehensive weight loss advantages linked to the drug. Furthermore, studies indicate that increased GLP-1 levels improve insulin sensitivity. Various molecular pathways have been suggested to enable this activity. </w:t>
      </w:r>
      <w:r w:rsidRPr="00C122BB">
        <w:rPr>
          <w:rFonts w:ascii="Arial" w:hAnsi="Arial" w:cs="Arial"/>
          <w:sz w:val="22"/>
          <w:szCs w:val="22"/>
        </w:rPr>
        <w:lastRenderedPageBreak/>
        <w:t xml:space="preserve">This involves reducing oxidative stress by improving the antioxidant defense system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{"citationID":"8FmZHeXc","properties":{"formattedCitation":"(Fern\\uc0\\u225{}ndez-Mill\\uc0\\u225{}n et al., n.d.; Rizzo et al., n.d.)","plainCitation":"(Fernández-Millán et al., n.d.; Rizzo et al., n.d.)","noteIndex":0},"citationItems":[{"id":334,"uris":["http://zotero.org/users/local/9dBn5Ahe/items/8TYZ92PV"],"itemData":{"id":334,"type":"article-journal","container-title":"Free Radical Biology &amp; Medicine","language":"en","page":"16–26","title":"Glucagon-like peptide-1 improves beta-cell antioxidant capacity via extracellular regulated kinases pathway and Nrf2 translocation","volume":"95","author":[{"family":"Fernández-Millán","given":"E."},{"family":"Martín","given":"M.A."},{"family":"Goya","given":"L."},{"family":"Lizárraga-Mollinedo","given":"E."},{"family":"Escrivá","given":"F."},{"family":"Ramos","given":"S."}]}},{"id":332,"uris":["http://zotero.org/users/local/9dBn5Ahe/items/MEMI894G"],"itemData":{"id":332,"type":"article-journal","container-title":"The Journal of Clinical Endocrinology and Metabolism","language":"en","title":"Liraglutide reduces oxidative stress and restores heme oxygenase-1 and ghrelin levels in patients with type 2 diabetes: a prospective pilot study","URL":"https://pubmed.ncbi.nlm.nih.gov/25393640/","volume":"20];100(2):603–6","author":[{"family":"Rizzo","given":"M."},{"family":"Abate","given":"N."},{"family":"Chandalia","given":"M."},{"family":"Rizvi","given":"A.A."},{"family":"Giglio","given":"R.V."},{"family":"Nikolic","given":"D."}]}}],"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(Fernández-Millán et al., 2016.; Rizzo et al., 2015)</w:t>
      </w:r>
      <w:r w:rsidRPr="00C122BB">
        <w:rPr>
          <w:rFonts w:ascii="Arial" w:hAnsi="Arial" w:cs="Arial"/>
          <w:sz w:val="22"/>
          <w:szCs w:val="22"/>
        </w:rPr>
        <w:fldChar w:fldCharType="end"/>
      </w:r>
      <w:r w:rsidRPr="00C122BB">
        <w:rPr>
          <w:rFonts w:ascii="Arial" w:hAnsi="Arial" w:cs="Arial"/>
          <w:sz w:val="22"/>
          <w:szCs w:val="22"/>
        </w:rPr>
        <w:t xml:space="preserve">, alleviating inflammatory reactions by lowering TNF-alpha and Nuclear Factor-kB (NF-kB) levels in endothelial cells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{"citationID":"tSdea65P","properties":{"formattedCitation":"(Shiraki et al., 2012)","plainCitation":"(Shiraki et al., 2012)","noteIndex":0},"citationItems":[{"id":336,"uris":["http://zotero.org/users/local/9dBn5Ahe/items/ZTL36C6M"],"itemData":{"id":336,"type":"article-journal","container-title":"Atherosclerosis","language":"en","title":"The glucagon-like peptide 1 analog liraglutide reduces TNF-α-induced oxidative stress and inflammation in endothelial cells","volume":"Apr;221(2):375–82","author":[{"family":"Shiraki","given":"A."},{"family":"Oyama","given":"J."},{"family":"Komoda","given":"H."},{"family":"Asaka","given":"M."},{"family":"Komatsu","given":"A."},{"family":"Sakuma","given":"M."}],"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(Shiraki et al., 2012)</w:t>
      </w:r>
      <w:r w:rsidRPr="00C122BB">
        <w:rPr>
          <w:rFonts w:ascii="Arial" w:hAnsi="Arial" w:cs="Arial"/>
          <w:sz w:val="22"/>
          <w:szCs w:val="22"/>
        </w:rPr>
        <w:fldChar w:fldCharType="end"/>
      </w:r>
      <w:r w:rsidRPr="00C122BB">
        <w:rPr>
          <w:rFonts w:ascii="Arial" w:hAnsi="Arial" w:cs="Arial"/>
          <w:sz w:val="22"/>
          <w:szCs w:val="22"/>
        </w:rPr>
        <w:t>, and modulating micro RNAs (</w:t>
      </w:r>
      <w:proofErr w:type="spellStart"/>
      <w:r w:rsidRPr="00C122BB">
        <w:rPr>
          <w:rFonts w:ascii="Arial" w:hAnsi="Arial" w:cs="Arial"/>
          <w:sz w:val="22"/>
          <w:szCs w:val="22"/>
        </w:rPr>
        <w:t>miR</w:t>
      </w:r>
      <w:proofErr w:type="spellEnd"/>
      <w:r w:rsidRPr="00C122BB">
        <w:rPr>
          <w:rFonts w:ascii="Arial" w:hAnsi="Arial" w:cs="Arial"/>
          <w:sz w:val="22"/>
          <w:szCs w:val="22"/>
        </w:rPr>
        <w:t xml:space="preserve">) linked to lipid metabolism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{"citationID":"HZfMrjDg","properties":{"formattedCitation":"(Capuani et al., 2018)","plainCitation":"(Capuani et al., 2018)","noteIndex":0},"citationItems":[{"id":337,"uris":["http://zotero.org/users/local/9dBn5Ahe/items/HHDY565T"],"itemData":{"id":337,"type":"article-journal","container-title":"Frontiers in Endocrinology","language":"en","title":"Glucagon Like Peptide 1 and MicroRNA in Metabolic Diseases: Focusing on GLP1 Action on miRNAs","author":[{"family":"Capuani","given":"B."},{"family":"Pacifici","given":"F."},{"family":"Della-Morte","given":"D."},{"family":"Lauro","given":"D."}],"issued":{"date-parts":[["2018",12,7]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(Capuani et al., 2018)</w:t>
      </w:r>
      <w:r w:rsidRPr="00C122BB">
        <w:rPr>
          <w:rFonts w:ascii="Arial" w:hAnsi="Arial" w:cs="Arial"/>
          <w:sz w:val="22"/>
          <w:szCs w:val="22"/>
        </w:rPr>
        <w:fldChar w:fldCharType="end"/>
      </w:r>
      <w:r w:rsidRPr="00C122BB">
        <w:rPr>
          <w:rFonts w:ascii="Arial" w:hAnsi="Arial" w:cs="Arial"/>
          <w:sz w:val="22"/>
          <w:szCs w:val="22"/>
        </w:rPr>
        <w:t xml:space="preserve">. Furthermore, GLP-1 is believed to mitigate endoplasmic reticulum (ER) stress, therefore reducing insulin resistance generated by ER stress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{"citationID":"aOhWYPvF","properties":{"formattedCitation":"(Jiang et al., 2018)","plainCitation":"(Jiang et al., 2018)","noteIndex":0},"citationItems":[{"id":338,"uris":["http://zotero.org/users/local/9dBn5Ahe/items/ALXML6QC"],"itemData":{"id":338,"type":"article-journal","container-title":"Frontiers in Pharmacology","language":"en","title":"GLP-1 Improves Adipocyte Insulin Sensitivity Following Induction of Endoplasmic Reticulum Stress","author":[{"family":"Jiang","given":"Y."},{"family":"Wang","given":"Z."},{"family":"Ma","given":"B."},{"family":"Fan","given":"L."},{"family":"Yi","given":"N."},{"family":"Lu","given":"B."}],"issued":{"date-parts":[["2018",10,16]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(Jiang et al., 2018)</w:t>
      </w:r>
      <w:r w:rsidRPr="00C122BB">
        <w:rPr>
          <w:rFonts w:ascii="Arial" w:hAnsi="Arial" w:cs="Arial"/>
          <w:sz w:val="22"/>
          <w:szCs w:val="22"/>
        </w:rPr>
        <w:fldChar w:fldCharType="end"/>
      </w:r>
      <w:r w:rsidRPr="00C122BB">
        <w:rPr>
          <w:rFonts w:ascii="Arial" w:hAnsi="Arial" w:cs="Arial"/>
          <w:sz w:val="22"/>
          <w:szCs w:val="22"/>
        </w:rPr>
        <w:t>.</w:t>
      </w:r>
    </w:p>
    <w:p w14:paraId="6AC808F1" w14:textId="245E417B" w:rsidR="000F17EE" w:rsidRPr="00AD6B56" w:rsidRDefault="000F17EE" w:rsidP="00C122BB">
      <w:pPr>
        <w:jc w:val="both"/>
        <w:rPr>
          <w:rFonts w:ascii="Arial" w:hAnsi="Arial" w:cs="Arial"/>
          <w:b/>
          <w:i/>
          <w:sz w:val="22"/>
          <w:szCs w:val="22"/>
        </w:rPr>
      </w:pPr>
      <w:r w:rsidRPr="00AD6B56">
        <w:rPr>
          <w:rFonts w:ascii="Arial" w:hAnsi="Arial" w:cs="Arial"/>
          <w:b/>
          <w:i/>
          <w:sz w:val="22"/>
          <w:szCs w:val="22"/>
        </w:rPr>
        <w:t>Pharmacokinetics</w:t>
      </w:r>
    </w:p>
    <w:p w14:paraId="4F02DF74" w14:textId="059C16D6" w:rsidR="000F17EE" w:rsidRDefault="000F17EE" w:rsidP="000F17EE">
      <w:pPr>
        <w:jc w:val="both"/>
        <w:rPr>
          <w:rFonts w:ascii="Arial" w:hAnsi="Arial" w:cs="Arial"/>
          <w:sz w:val="22"/>
          <w:szCs w:val="22"/>
        </w:rPr>
      </w:pPr>
      <w:r w:rsidRPr="000F17EE">
        <w:rPr>
          <w:rFonts w:ascii="Arial" w:hAnsi="Arial" w:cs="Arial"/>
          <w:sz w:val="22"/>
          <w:szCs w:val="22"/>
        </w:rPr>
        <w:t>All GLP-1 RAs are</w:t>
      </w:r>
      <w:r>
        <w:rPr>
          <w:rFonts w:ascii="Arial" w:hAnsi="Arial" w:cs="Arial"/>
          <w:sz w:val="22"/>
          <w:szCs w:val="22"/>
        </w:rPr>
        <w:t xml:space="preserve"> </w:t>
      </w:r>
      <w:r w:rsidRPr="000F17EE">
        <w:rPr>
          <w:rFonts w:ascii="Arial" w:hAnsi="Arial" w:cs="Arial"/>
          <w:sz w:val="22"/>
          <w:szCs w:val="22"/>
        </w:rPr>
        <w:t xml:space="preserve">administered via subcutaneous injection, except for oral </w:t>
      </w:r>
      <w:proofErr w:type="spellStart"/>
      <w:r w:rsidRPr="000F17EE">
        <w:rPr>
          <w:rFonts w:ascii="Arial" w:hAnsi="Arial" w:cs="Arial"/>
          <w:sz w:val="22"/>
          <w:szCs w:val="22"/>
        </w:rPr>
        <w:t>semaglutide</w:t>
      </w:r>
      <w:proofErr w:type="spellEnd"/>
      <w:r>
        <w:rPr>
          <w:rFonts w:ascii="Arial" w:hAnsi="Arial" w:cs="Arial"/>
          <w:sz w:val="22"/>
          <w:szCs w:val="22"/>
        </w:rPr>
        <w:t xml:space="preserve">. </w:t>
      </w:r>
      <w:r w:rsidR="00AD6B56" w:rsidRPr="00AD6B56">
        <w:rPr>
          <w:rFonts w:ascii="Arial" w:hAnsi="Arial" w:cs="Arial"/>
          <w:sz w:val="22"/>
          <w:szCs w:val="22"/>
        </w:rPr>
        <w:t>Presently, liraglutide is indicated to achieve glycemic control in patients with T2D</w:t>
      </w:r>
      <w:r w:rsidR="00AD6B56">
        <w:rPr>
          <w:rFonts w:ascii="Arial" w:hAnsi="Arial" w:cs="Arial"/>
          <w:sz w:val="22"/>
          <w:szCs w:val="22"/>
        </w:rPr>
        <w:t>M</w:t>
      </w:r>
      <w:r w:rsidR="00AD6B56" w:rsidRPr="00AD6B56">
        <w:rPr>
          <w:rFonts w:ascii="Arial" w:hAnsi="Arial" w:cs="Arial"/>
          <w:sz w:val="22"/>
          <w:szCs w:val="22"/>
        </w:rPr>
        <w:t xml:space="preserve"> along with diet and</w:t>
      </w:r>
      <w:r w:rsidR="00AD6B56">
        <w:rPr>
          <w:rFonts w:ascii="Arial" w:hAnsi="Arial" w:cs="Arial"/>
          <w:sz w:val="22"/>
          <w:szCs w:val="22"/>
        </w:rPr>
        <w:t xml:space="preserve"> </w:t>
      </w:r>
      <w:r w:rsidR="00AD6B56" w:rsidRPr="00AD6B56">
        <w:rPr>
          <w:rFonts w:ascii="Arial" w:hAnsi="Arial" w:cs="Arial"/>
          <w:sz w:val="22"/>
          <w:szCs w:val="22"/>
        </w:rPr>
        <w:t xml:space="preserve">lifestyle modifications, but also to reduce the risk of major adverse cardiovascular events in adults with T2D and established CV disease </w:t>
      </w:r>
      <w:r w:rsidR="00AD6B56" w:rsidRPr="00C122BB">
        <w:rPr>
          <w:rFonts w:ascii="Arial" w:hAnsi="Arial" w:cs="Arial"/>
          <w:sz w:val="22"/>
          <w:szCs w:val="22"/>
        </w:rPr>
        <w:fldChar w:fldCharType="begin"/>
      </w:r>
      <w:r w:rsidR="00AD6B56" w:rsidRPr="00C122BB">
        <w:rPr>
          <w:rFonts w:ascii="Arial" w:hAnsi="Arial" w:cs="Arial"/>
          <w:sz w:val="22"/>
          <w:szCs w:val="22"/>
        </w:rPr>
        <w:instrText xml:space="preserve"> ADDIN ZOTERO_ITEM CSL_CITATION {"citationID":"tEz2hwSI","properties":{"formattedCitation":"(DeMarsilis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00AD6B56" w:rsidRPr="00C122BB">
        <w:rPr>
          <w:rFonts w:ascii="Arial" w:hAnsi="Arial" w:cs="Arial"/>
          <w:sz w:val="22"/>
          <w:szCs w:val="22"/>
        </w:rPr>
        <w:fldChar w:fldCharType="separate"/>
      </w:r>
      <w:r w:rsidR="00AD6B56" w:rsidRPr="00C122BB">
        <w:rPr>
          <w:rFonts w:ascii="Arial" w:hAnsi="Arial" w:cs="Arial"/>
          <w:sz w:val="22"/>
          <w:szCs w:val="22"/>
        </w:rPr>
        <w:t>(DeMarsilis et al., 2022)</w:t>
      </w:r>
      <w:r w:rsidR="00AD6B56" w:rsidRPr="00C122BB">
        <w:rPr>
          <w:rFonts w:ascii="Arial" w:hAnsi="Arial" w:cs="Arial"/>
          <w:sz w:val="22"/>
          <w:szCs w:val="22"/>
        </w:rPr>
        <w:fldChar w:fldCharType="end"/>
      </w:r>
      <w:r w:rsidR="00AD6B56" w:rsidRPr="00AD6B56">
        <w:rPr>
          <w:rFonts w:ascii="Arial" w:hAnsi="Arial" w:cs="Arial"/>
          <w:sz w:val="22"/>
          <w:szCs w:val="22"/>
        </w:rPr>
        <w:t xml:space="preserve">. Liraglutide along with all other long-acting GLP-1 RAs are contraindicated in patients with a history of medullary thyroid cancer or multiple endocrine neoplasia IIA or IIB </w:t>
      </w:r>
      <w:r w:rsidR="00AD6B56" w:rsidRPr="00C122BB">
        <w:rPr>
          <w:rFonts w:ascii="Arial" w:hAnsi="Arial" w:cs="Arial"/>
          <w:sz w:val="22"/>
          <w:szCs w:val="22"/>
        </w:rPr>
        <w:fldChar w:fldCharType="begin"/>
      </w:r>
      <w:r w:rsidR="00AD6B56" w:rsidRPr="00C122BB">
        <w:rPr>
          <w:rFonts w:ascii="Arial" w:hAnsi="Arial" w:cs="Arial"/>
          <w:sz w:val="22"/>
          <w:szCs w:val="22"/>
        </w:rPr>
        <w:instrText xml:space="preserve"> ADDIN ZOTERO_ITEM CSL_CITATION {"citationID":"tEz2hwSI","properties":{"formattedCitation":"(DeMarsilis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00AD6B56" w:rsidRPr="00C122BB">
        <w:rPr>
          <w:rFonts w:ascii="Arial" w:hAnsi="Arial" w:cs="Arial"/>
          <w:sz w:val="22"/>
          <w:szCs w:val="22"/>
        </w:rPr>
        <w:fldChar w:fldCharType="separate"/>
      </w:r>
      <w:r w:rsidR="00AD6B56" w:rsidRPr="00C122BB">
        <w:rPr>
          <w:rFonts w:ascii="Arial" w:hAnsi="Arial" w:cs="Arial"/>
          <w:sz w:val="22"/>
          <w:szCs w:val="22"/>
        </w:rPr>
        <w:t>(DeMarsilis et al., 2022)</w:t>
      </w:r>
      <w:r w:rsidR="00AD6B56" w:rsidRPr="00C122BB">
        <w:rPr>
          <w:rFonts w:ascii="Arial" w:hAnsi="Arial" w:cs="Arial"/>
          <w:sz w:val="22"/>
          <w:szCs w:val="22"/>
        </w:rPr>
        <w:fldChar w:fldCharType="end"/>
      </w:r>
      <w:r w:rsidR="00AD6B56" w:rsidRPr="00AD6B56">
        <w:rPr>
          <w:rFonts w:ascii="Arial" w:hAnsi="Arial" w:cs="Arial"/>
          <w:sz w:val="22"/>
          <w:szCs w:val="22"/>
        </w:rPr>
        <w:t>.</w:t>
      </w:r>
    </w:p>
    <w:p w14:paraId="5024B9C7" w14:textId="783721F4" w:rsidR="00A64231" w:rsidRDefault="00A64231" w:rsidP="000F17EE">
      <w:pPr>
        <w:jc w:val="both"/>
        <w:rPr>
          <w:rFonts w:ascii="Arial" w:hAnsi="Arial" w:cs="Arial"/>
          <w:sz w:val="22"/>
          <w:szCs w:val="22"/>
        </w:rPr>
      </w:pPr>
      <w:r>
        <w:rPr>
          <w:rFonts w:ascii="Arial" w:hAnsi="Arial" w:cs="Arial"/>
          <w:sz w:val="22"/>
          <w:szCs w:val="22"/>
        </w:rPr>
        <w:t>Adverse effects</w:t>
      </w:r>
    </w:p>
    <w:p w14:paraId="761E902A" w14:textId="3B25FDA5" w:rsidR="00A64231" w:rsidRPr="00C122BB" w:rsidRDefault="00A64231" w:rsidP="000F17EE">
      <w:pPr>
        <w:jc w:val="both"/>
        <w:rPr>
          <w:rFonts w:ascii="Arial" w:hAnsi="Arial" w:cs="Arial"/>
          <w:sz w:val="22"/>
          <w:szCs w:val="22"/>
        </w:rPr>
      </w:pPr>
      <w:r w:rsidRPr="00A64231">
        <w:rPr>
          <w:rFonts w:ascii="Arial" w:hAnsi="Arial" w:cs="Arial"/>
          <w:sz w:val="22"/>
          <w:szCs w:val="22"/>
        </w:rPr>
        <w:t xml:space="preserve">Gastrointestinal side effects are the most frequent and consistent adverse effect of the GLP-1 RAs, in the form of nausea, vomiting, diarrhea, and possible gallstone disease. Generally, these adverse events seem to be dose dependent and transient, disappearing as treatment continues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{"citationID":"tEz2hwSI","properties":{"formattedCitation":"(DeMarsilis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AD6B56">
        <w:rPr>
          <w:rFonts w:ascii="Arial" w:hAnsi="Arial" w:cs="Arial"/>
          <w:sz w:val="22"/>
          <w:szCs w:val="22"/>
        </w:rPr>
        <w:t>.</w:t>
      </w:r>
    </w:p>
    <w:p w14:paraId="59F57B1F" w14:textId="31FF5FAA" w:rsidR="00C122BB" w:rsidRPr="00C122BB" w:rsidRDefault="00AD6B56" w:rsidP="00C122BB">
      <w:pPr>
        <w:jc w:val="both"/>
        <w:rPr>
          <w:rFonts w:ascii="Arial" w:hAnsi="Arial" w:cs="Arial"/>
          <w:b/>
          <w:sz w:val="22"/>
          <w:szCs w:val="22"/>
        </w:rPr>
      </w:pPr>
      <w:r>
        <w:rPr>
          <w:rFonts w:ascii="Arial" w:hAnsi="Arial" w:cs="Arial"/>
          <w:b/>
          <w:sz w:val="22"/>
          <w:szCs w:val="22"/>
        </w:rPr>
        <w:t>2.3.3</w:t>
      </w:r>
      <w:r>
        <w:rPr>
          <w:rFonts w:ascii="Arial" w:hAnsi="Arial" w:cs="Arial"/>
          <w:b/>
          <w:sz w:val="22"/>
          <w:szCs w:val="22"/>
        </w:rPr>
        <w:tab/>
      </w:r>
      <w:r w:rsidR="00C122BB" w:rsidRPr="00C122BB">
        <w:rPr>
          <w:rFonts w:ascii="Arial" w:hAnsi="Arial" w:cs="Arial"/>
          <w:b/>
          <w:sz w:val="22"/>
          <w:szCs w:val="22"/>
        </w:rPr>
        <w:t xml:space="preserve">Sodium-Glucose Cotransporter 2 inhibitors </w:t>
      </w:r>
    </w:p>
    <w:p w14:paraId="5442DA8A" w14:textId="481A5B2F" w:rsidR="00AD6B56" w:rsidRPr="00AD6B56" w:rsidRDefault="00C122BB" w:rsidP="00C122BB">
      <w:pPr>
        <w:jc w:val="both"/>
        <w:rPr>
          <w:rFonts w:ascii="Arial" w:hAnsi="Arial" w:cs="Arial"/>
          <w:b/>
          <w:i/>
          <w:sz w:val="22"/>
          <w:szCs w:val="22"/>
        </w:rPr>
      </w:pPr>
      <w:r w:rsidRPr="00AD6B56">
        <w:rPr>
          <w:rFonts w:ascii="Arial" w:hAnsi="Arial" w:cs="Arial"/>
          <w:b/>
          <w:i/>
          <w:sz w:val="22"/>
          <w:szCs w:val="22"/>
        </w:rPr>
        <w:t>Mechanism of action</w:t>
      </w:r>
    </w:p>
    <w:p w14:paraId="0ACED6C7" w14:textId="27D0817B" w:rsidR="00662548" w:rsidRPr="00C122BB" w:rsidRDefault="00C122BB" w:rsidP="00C122BB">
      <w:pPr>
        <w:jc w:val="both"/>
        <w:rPr>
          <w:rFonts w:ascii="Arial" w:hAnsi="Arial" w:cs="Arial"/>
          <w:sz w:val="22"/>
          <w:szCs w:val="22"/>
        </w:rPr>
      </w:pPr>
      <w:r w:rsidRPr="00C122BB">
        <w:rPr>
          <w:rFonts w:ascii="Arial" w:hAnsi="Arial" w:cs="Arial"/>
          <w:sz w:val="22"/>
          <w:szCs w:val="22"/>
        </w:rPr>
        <w:t xml:space="preserve">The kidneys are crucial for glucose homeostasis, primarily through the reabsorption of glucose in the proximal convoluted tubule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{"citationID":"19rDOohC","properties":{"formattedCitation":"(Gerich, 1998)","plainCitation":"(Gerich, 1998)","noteIndex":0},"citationItems":[{"id":339,"uris":["http://zotero.org/users/local/9dBn5Ahe/items/Z4PXEVXC"],"itemData":{"id":339,"type":"article-journal","container-title":"Endocrine Reviews","language":"la","title":"The Genetic Basis of Type 2 Diabetes Mellitus: Impaired Insulin Secretion versus Impaired Insulin Sensitivity","volume":"1;19(4):491–503","author":[{"family":"Gerich","given":"J.E."}],"issued":{"date-parts":[["1998",8]]}}}],"schema":"https://github.com/citation-style-language/schema/raw/master/csl-citation.json"}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(Gerich, 1998)</w:t>
      </w:r>
      <w:r w:rsidRPr="00C122BB">
        <w:rPr>
          <w:rFonts w:ascii="Arial" w:hAnsi="Arial" w:cs="Arial"/>
          <w:sz w:val="22"/>
          <w:szCs w:val="22"/>
        </w:rPr>
        <w:fldChar w:fldCharType="end"/>
      </w:r>
      <w:r w:rsidRPr="00C122BB">
        <w:rPr>
          <w:rFonts w:ascii="Arial" w:hAnsi="Arial" w:cs="Arial"/>
          <w:sz w:val="22"/>
          <w:szCs w:val="22"/>
        </w:rPr>
        <w:t xml:space="preserve">. The SGLT2 receptors are high-capacity, membrane-bound transport proteins responsible for approximately 97% of glucose reabsorption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{"citationID":"o0OeEAbg","properties":{"formattedCitation":"(DeMarsilis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Glycosuria often occurs when the renal threshold for glucose reabsorption, around 180 mg/dL, is surpassed, with a maximum </w:t>
      </w:r>
      <w:proofErr w:type="spellStart"/>
      <w:r w:rsidRPr="00C122BB">
        <w:rPr>
          <w:rFonts w:ascii="Arial" w:hAnsi="Arial" w:cs="Arial"/>
          <w:sz w:val="22"/>
          <w:szCs w:val="22"/>
        </w:rPr>
        <w:t>reabsorptive</w:t>
      </w:r>
      <w:proofErr w:type="spellEnd"/>
      <w:r w:rsidRPr="00C122BB">
        <w:rPr>
          <w:rFonts w:ascii="Arial" w:hAnsi="Arial" w:cs="Arial"/>
          <w:sz w:val="22"/>
          <w:szCs w:val="22"/>
        </w:rPr>
        <w:t xml:space="preserve"> capacity of roughly 430–500 g every 24 hours. In diabetes, renal gluconeogenesis is heightened, and glucose reabsorption is abnormally augmented due to the overexpression of SGLT2 receptors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{"citationID":"kkWCh0hf","properties":{"formattedCitation":"(Rahmoune et al., 2005)","plainCitation":"(Rahmoune et al., 2005)","noteIndex":0},"citationItems":[{"id":340,"uris":["http://zotero.org/users/local/9dBn5Ahe/items/FKD384G6"],"itemData":{"id":340,"type":"article-journal","container-title":"Diabetes","language":"en","title":"Glucose Transporters in Human Renal Proximal Tubular Cells Isolated From the Urine of Patients With Non-Insulin-Dependent Diabetes","volume":"23;54(12):3427–34","author":[{"family":"Rahmoune","given":"H."},{"family":"Thompson","given":"P.W."},{"family":"Ward","given":"J.M."},{"family":"Smith","given":"C.D."},{"family":"Hong","given":"G."},{"family":"Brown","given":"J."}],"issued":{"date-parts":[["2005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(Rahmoune et al., 2005)</w:t>
      </w:r>
      <w:r w:rsidRPr="00C122BB">
        <w:rPr>
          <w:rFonts w:ascii="Arial" w:hAnsi="Arial" w:cs="Arial"/>
          <w:sz w:val="22"/>
          <w:szCs w:val="22"/>
        </w:rPr>
        <w:fldChar w:fldCharType="end"/>
      </w:r>
      <w:r w:rsidRPr="00C122BB">
        <w:rPr>
          <w:rFonts w:ascii="Arial" w:hAnsi="Arial" w:cs="Arial"/>
          <w:sz w:val="22"/>
          <w:szCs w:val="22"/>
        </w:rPr>
        <w:t xml:space="preserve">. SGLT2 inhibitors (SGLT2i) are pharmacological drugs that block SGLT2 receptors, hence lowering the renal threshold for glycosuria and consequently decreasing renal glucose reabsorption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{"citationID":"xYNUtUDW","properties":{"formattedCitation":"(DeFronzo et al., 2011)","plainCitation":"(DeFronzo et al., 2011)","noteIndex":0},"citationItems":[{"id":341,"uris":["http://zotero.org/users/local/9dBn5Ahe/items/CWK4QCD9"],"itemData":{"id":341,"type":"article-journal","container-title":"Diabetes, Obesity and Metabolism","language":"en","title":"The role of the kidneys in glucose homeostasis: a new path towards normalizing glycaemia","volume":"14;14(1):5–14","author":[{"family":"DeFronzo","given":"R.A."},{"family":"Davidson","given":"J.A."},{"family":"Del Prato","given":"S."}],"issued":{"date-parts":[["2011",12]]}}}],"schema":"https://github.com/citation-style-language/schema/raw/master/csl-citation.json"}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(DeFronzo et al., 2011)</w:t>
      </w:r>
      <w:r w:rsidRPr="00C122BB">
        <w:rPr>
          <w:rFonts w:ascii="Arial" w:hAnsi="Arial" w:cs="Arial"/>
          <w:sz w:val="22"/>
          <w:szCs w:val="22"/>
        </w:rPr>
        <w:fldChar w:fldCharType="end"/>
      </w:r>
      <w:r w:rsidRPr="00C122BB">
        <w:rPr>
          <w:rFonts w:ascii="Arial" w:hAnsi="Arial" w:cs="Arial"/>
          <w:sz w:val="22"/>
          <w:szCs w:val="22"/>
        </w:rPr>
        <w:t xml:space="preserve">. As SGLT2 receptor activity increases with elevated hyperglycemia, glucose reabsorption intensifies, resulting in heightened glycosuria due to SGLT2 suppression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{"citationID":"lco7cAo5","properties":{"formattedCitation":"(Rahmoune et al., 2005)","plainCitation":"(Rahmoune et al., 2005)","noteIndex":0},"citationItems":[{"id":340,"uris":["http://zotero.org/users/local/9dBn5Ahe/items/FKD384G6"],"itemData":{"id":340,"type":"article-journal","container-title":"Diabetes","language":"en","title":"Glucose Transporters in Human Renal Proximal Tubular Cells Isolated From the Urine of Patients With Non-Insulin-Dependent Diabetes","volume":"23;54(12):3427–34","author":[{"family":"Rahmoune","given":"H."},{"family":"Thompson","given":"P.W."},{"family":"Ward","given":"J.M."},{"family":"Smith","given":"C.D."},{"family":"Hong","given":"G."},{"family":"Brown","given":"J."}],"issued":{"date-parts":[["2005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(Rahmoune et al., 2005)</w:t>
      </w:r>
      <w:r w:rsidRPr="00C122BB">
        <w:rPr>
          <w:rFonts w:ascii="Arial" w:hAnsi="Arial" w:cs="Arial"/>
          <w:sz w:val="22"/>
          <w:szCs w:val="22"/>
        </w:rPr>
        <w:fldChar w:fldCharType="end"/>
      </w:r>
      <w:r w:rsidRPr="00C122BB">
        <w:rPr>
          <w:rFonts w:ascii="Arial" w:hAnsi="Arial" w:cs="Arial"/>
          <w:sz w:val="22"/>
          <w:szCs w:val="22"/>
        </w:rPr>
        <w:t xml:space="preserve">. Increased glycosuria leads to caloric depletion, osmotic diuresis, and natriuresis, resulting in decreased blood pressure, weight reduction, diminished plasma volume, and reduced cardiac preload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{"citationID":"Rs0W28KG","properties":{"formattedCitation":"(Pharmacodynamics, 2014; Sandhu &amp; Zheng, 2024)","plainCitation":"(Pharmacodynamics, 2014; Sandhu &amp; Zheng, 2024)","noteIndex":0},"citationItems":[{"id":342,"uris":["http://zotero.org/users/local/9dBn5Ahe/items/9VTFWWAF"],"itemData":{"id":342,"type":"article-journal","container-title":"Drugs","language":"en","title":"Efficacy and Safety of Sodium–Glucose Co-Transporter Type 2 (SGLT2) Inhibitors for the Treatment of Type 2 Diabetes Mellitus","volume":"9;75(1):33–59","author":[{"family":"Pharmacodynamics","given":"Scheen A.J."}],"issued":{"date-parts":[["2014",12]]}}},{"id":343,"uris":["http://zotero.org/users/local/9dBn5Ahe/items/KDZZJMJ3"],"itemData":{"id":343,"type":"book","event-place":"JACC","language":"eu","publisher":"Heart Failure","publisher-place":"JACC","title":"Sodium-Glucose Cotransporter Inhibitors in Heart Failure","volume":"Sep;12(9):1611–3","author":[{"family":"Sandhu","given":"A.T."},{"family":"Zheng","given":"J."}],"issued":{"date-parts":[["2024"]]}}}],"schema":"https://github.com/citation-style-language/schema/raw/master/csl-citation.json"}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(Scheen, 2014; Sandhu &amp; Zheng, 2024)</w:t>
      </w:r>
      <w:r w:rsidRPr="00C122BB">
        <w:rPr>
          <w:rFonts w:ascii="Arial" w:hAnsi="Arial" w:cs="Arial"/>
          <w:sz w:val="22"/>
          <w:szCs w:val="22"/>
        </w:rPr>
        <w:fldChar w:fldCharType="end"/>
      </w:r>
      <w:r w:rsidRPr="00C122BB">
        <w:rPr>
          <w:rFonts w:ascii="Arial" w:hAnsi="Arial" w:cs="Arial"/>
          <w:sz w:val="22"/>
          <w:szCs w:val="22"/>
        </w:rPr>
        <w:t xml:space="preserve">. SGLT2 inhibitors demonstrate a wide range of effects on biochemical and hemodynamic pathways, which contribute to their beneficial cardiovascular and renal outcomes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{"citationID":"o6h1gcf7","properties":{"formattedCitation":"(Marfella et al., 2022; Prattichizzo et al., 2021)","plainCitation":"(Marfella et al., 2022; Prattichizzo et al., 2021)","noteIndex":0},"citationItems":[{"id":345,"uris":["http://zotero.org/users/local/9dBn5Ahe/items/27HMSSCN"],"itemData":{"id":345,"type":"article-journal","container-title":"Metabolism","issue":"154936","language":"en","title":"Sodium/glucose cotransporter 2 (SGLT2) inhibitors improve cardiac function by reducing JunD expression in human diabetic hearts","URL":"https://pubmed.ncbi.nlm.nih.gov/34801581/","volume":"127","author":[{"family":"Marfella","given":"R."},{"family":"D’Onofrio","given":"N."},{"family":"Trotta","given":"M.C."},{"family":"Sardu","given":"C."},{"family":"Scisciola","given":"L."},{"family":"Amarelli","given":"C."}],"issued":{"date-parts":[["2022"]]}}},{"id":344,"uris":["http://zotero.org/users/local/9dBn5Ahe/items/TUCBGBTN"],"itemData":{"id":344,"type":"article-journal","container-title":"Metabolism","language":"en","title":"Diabetes and kidney disease: emphasis on treatment with SGLT-2 inhibitors and GLP-1 receptor agonists","author":[{"family":"Prattichizzo","given":"F."},{"family":"Candia","given":"P."},{"family":"Ceriello","given":"A."}],"issued":{"date-parts":[["2021",7]]}}}],"schema":"https://github.com/citation-style-language/schema/raw/master/csl-citation.json"}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(Marfella et al., 2022; Prattichizzo et al., 2021)</w:t>
      </w:r>
      <w:r w:rsidRPr="00C122BB">
        <w:rPr>
          <w:rFonts w:ascii="Arial" w:hAnsi="Arial" w:cs="Arial"/>
          <w:sz w:val="22"/>
          <w:szCs w:val="22"/>
        </w:rPr>
        <w:fldChar w:fldCharType="end"/>
      </w:r>
      <w:r w:rsidRPr="00C122BB">
        <w:rPr>
          <w:rFonts w:ascii="Arial" w:hAnsi="Arial" w:cs="Arial"/>
          <w:sz w:val="22"/>
          <w:szCs w:val="22"/>
        </w:rPr>
        <w:t>.</w:t>
      </w:r>
    </w:p>
    <w:p w14:paraId="2ACFB8C2" w14:textId="6245B7A1" w:rsidR="00C122BB" w:rsidRPr="00AD6B56" w:rsidRDefault="00AD6B56" w:rsidP="00C122BB">
      <w:pPr>
        <w:jc w:val="both"/>
        <w:rPr>
          <w:rFonts w:ascii="Arial" w:hAnsi="Arial" w:cs="Arial"/>
          <w:b/>
          <w:sz w:val="22"/>
          <w:szCs w:val="22"/>
        </w:rPr>
      </w:pPr>
      <w:r w:rsidRPr="00AD6B56">
        <w:rPr>
          <w:rFonts w:ascii="Arial" w:hAnsi="Arial" w:cs="Arial"/>
          <w:b/>
          <w:sz w:val="22"/>
          <w:szCs w:val="22"/>
        </w:rPr>
        <w:t>2.4</w:t>
      </w:r>
      <w:r w:rsidRPr="00AD6B56">
        <w:rPr>
          <w:rFonts w:ascii="Arial" w:hAnsi="Arial" w:cs="Arial"/>
          <w:b/>
          <w:sz w:val="22"/>
          <w:szCs w:val="22"/>
        </w:rPr>
        <w:tab/>
      </w:r>
      <w:r w:rsidR="00C122BB" w:rsidRPr="00AD6B56">
        <w:rPr>
          <w:rFonts w:ascii="Arial" w:hAnsi="Arial" w:cs="Arial"/>
          <w:b/>
          <w:sz w:val="22"/>
          <w:szCs w:val="22"/>
        </w:rPr>
        <w:t>Challenges and Limitations</w:t>
      </w:r>
    </w:p>
    <w:p w14:paraId="7DEFB72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challenges and limitations of pharmacological modulation for T2DM include inadequate patient adherence, complex medication regimens, adverse effects such as hypoglycemia and weight gain, and restrictions in therapeutic efficacy due to patient-specific factors like declining beta-cell function or renal impairment. Furthermore, therapeutic inertia, defined by physicians' hesitance to intensify </w:t>
      </w:r>
      <w:r w:rsidRPr="00C122BB">
        <w:rPr>
          <w:rFonts w:ascii="Arial" w:hAnsi="Arial" w:cs="Arial"/>
          <w:sz w:val="22"/>
          <w:szCs w:val="22"/>
        </w:rPr>
        <w:lastRenderedPageBreak/>
        <w:t xml:space="preserve">treatment, together with the complexities of polypharmacy, constitutes significant obstacles that may worsen long-term outcomes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{"citationID":"fu1OHp0K","properties":{"formattedCitation":"(Nikpour et al., 2022)","plainCitation":"(Nikpour et al., 2022)","noteIndex":0},"citationItems":[{"id":347,"uris":["http://zotero.org/users/local/9dBn5Ahe/items/RVWZPHXX"],"itemData":{"id":347,"type":"article-journal","container-title":"Interactive Journal of Medical Research","language":"en","title":"Challenges of Type 2 Diabetes Mellitus Management From the Perspective of Patients: Conventional Content Analysis","volume":"27;11(2):e41933","author":[{"family":"Nikpour","given":"S."},{"family":"Mehrdad","given":"N."},{"family":"Sanjari","given":"M."},{"family":"Aalaa","given":"M."},{"family":"Heshmat","given":"R."},{"family":"Mafinejad","given":"M.K."}],"issued":{"date-parts":[["2022",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(Nikpour et al., 2022)</w:t>
      </w:r>
      <w:r w:rsidRPr="00C122BB">
        <w:rPr>
          <w:rFonts w:ascii="Arial" w:hAnsi="Arial" w:cs="Arial"/>
          <w:sz w:val="22"/>
          <w:szCs w:val="22"/>
        </w:rPr>
        <w:fldChar w:fldCharType="end"/>
      </w:r>
      <w:r w:rsidRPr="00C122BB">
        <w:rPr>
          <w:rFonts w:ascii="Arial" w:hAnsi="Arial" w:cs="Arial"/>
          <w:sz w:val="22"/>
          <w:szCs w:val="22"/>
        </w:rPr>
        <w:t>.</w:t>
      </w:r>
    </w:p>
    <w:p w14:paraId="70513FDB"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3.0</w:t>
      </w:r>
      <w:r w:rsidRPr="00C122BB">
        <w:rPr>
          <w:rFonts w:ascii="Arial" w:hAnsi="Arial" w:cs="Arial"/>
          <w:b/>
          <w:sz w:val="22"/>
          <w:szCs w:val="22"/>
        </w:rPr>
        <w:tab/>
        <w:t xml:space="preserve">INTEGRATIVE AND COMPLEMENTARY THERAPIES </w:t>
      </w:r>
    </w:p>
    <w:p w14:paraId="780BB0DD"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3.1</w:t>
      </w:r>
      <w:r w:rsidRPr="00C122BB">
        <w:rPr>
          <w:rFonts w:ascii="Arial" w:hAnsi="Arial" w:cs="Arial"/>
          <w:b/>
          <w:sz w:val="22"/>
          <w:szCs w:val="22"/>
        </w:rPr>
        <w:tab/>
        <w:t>LIFESTYLE INTERVENTIONS</w:t>
      </w:r>
    </w:p>
    <w:p w14:paraId="738CF54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Numerous effective treatments for preventing T2DM include lifestyle modifications such as weight loss, increased physical activity, and dietary changes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{"citationID":"EgUysaaT","properties":{"formattedCitation":"(Uusitupa et al., 2020)","plainCitation":"(Uusitupa et al., 2020)","noteIndex":0},"citationItems":[{"id":348,"uris":["http://zotero.org/users/local/9dBn5Ahe/items/2BDYCR6M"],"itemData":{"id":348,"type":"article-journal","container-title":"Nutrients [Internet","language":"en","title":"Prevention of Type 2 Diabetes by Lifestyle Changes: a Systematic Review and Meta-Analysis","URL":"https://www.ncbi.nlm.nih.gov/pmc/articles/PMC6893436/","volume":"1;11(11):2611","author":[{"family":"Uusitupa","given":"M."},{"family":"Khan","given":"T.A."},{"family":"Viguiliouk","given":"E."},{"family":"Kahleova","given":"H."},{"family":"Rivellese","given":"A.A."},{"family":"Hermansen","given":"K."}],"issued":{"date-parts":[["2020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(Uusitupa et al., 2020)</w:t>
      </w:r>
      <w:r w:rsidRPr="00C122BB">
        <w:rPr>
          <w:rFonts w:ascii="Arial" w:hAnsi="Arial" w:cs="Arial"/>
          <w:sz w:val="22"/>
          <w:szCs w:val="22"/>
        </w:rPr>
        <w:fldChar w:fldCharType="end"/>
      </w:r>
      <w:r w:rsidRPr="00C122BB">
        <w:rPr>
          <w:rFonts w:ascii="Arial" w:hAnsi="Arial" w:cs="Arial"/>
          <w:sz w:val="22"/>
          <w:szCs w:val="22"/>
        </w:rPr>
        <w:t xml:space="preserve">. </w:t>
      </w:r>
    </w:p>
    <w:p w14:paraId="01ABCE9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Weight Loss</w:t>
      </w:r>
    </w:p>
    <w:p w14:paraId="37221AB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Weight reduction is an effective intervention for the prevention of Type 2 Diabetes Mellitus (T2DM), since it improves insulin secretion; it is also advised for overweight or obese individuals with T2DM. Multiple substantial studies have validated the notion that weight loss is associated with a decreased risk of developing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{"citationID":"azqPYxAA","properties":{"formattedCitation":"(Yun &amp; Ko, 2021)","plainCitation":"(Yun &amp; Ko, 2021)","noteIndex":0},"citationItems":[{"id":350,"uris":["http://zotero.org/users/local/9dBn5Ahe/items/GPCUVHP4"],"itemData":{"id":350,"type":"article-journal","container-title":"Metabolism","issue":"154838","language":"en","title":"Current trends in epidemiology of cardiovascular disease and cardiovascular risk management in type 2 diabetes","volume":"123","author":[{"family":"Yun","given":"J.S."},{"family":"Ko","given":"S.H."}],"issued":{"date-parts":[["2021"]]}}}],"schema":"https://github.com/citation-style-language/schema/raw/master/csl-citation.json"}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(Yun &amp; Ko, 2021)</w:t>
      </w:r>
      <w:r w:rsidRPr="00C122BB">
        <w:rPr>
          <w:rFonts w:ascii="Arial" w:hAnsi="Arial" w:cs="Arial"/>
          <w:sz w:val="22"/>
          <w:szCs w:val="22"/>
        </w:rPr>
        <w:fldChar w:fldCharType="end"/>
      </w:r>
      <w:r w:rsidRPr="00C122BB">
        <w:rPr>
          <w:rFonts w:ascii="Arial" w:hAnsi="Arial" w:cs="Arial"/>
          <w:sz w:val="22"/>
          <w:szCs w:val="22"/>
        </w:rPr>
        <w:t>.</w:t>
      </w:r>
    </w:p>
    <w:p w14:paraId="326731A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Physical activity </w:t>
      </w:r>
    </w:p>
    <w:p w14:paraId="3BE992D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multitude of studies has demonstrated that physical activity is crucial for the prevention of Type 2 Diabetes Mellitus (T2DM). The Finnish Diabetes Prevention Study aimed to assess the effect of lifestyle modification on the prevention of Type 2 Diabetes Mellitus (T2DM). It randomly assigned 522 middle-aged adults categorized as overweight with poor glucose tolerance to either an intervention group or a control group. The intervention group of the trial included dietary adjustments and physical activity, targeting at least 30 minutes of moderate-intensity exercise daily, in conjunction with a low-fat, low-dairy diet to promote weight loss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{"citationID":"LCdNFkZp","properties":{"formattedCitation":"(Knowler et al., 2002)","plainCitation":"(Knowler et al., 2002)","noteIndex":0},"citationItems":[{"id":351,"uris":["http://zotero.org/users/local/9dBn5Ahe/items/P2WA4JBD"],"itemData":{"id":351,"type":"article-journal","container-title":"The New England Journal of Medicine","language":"en","title":"Reduction in the incidence of type 2 diabetes with lifestyle intervention or metformin","volume":"7;346(6):393–403","author":[{"family":"Knowler","given":"W.C."},{"family":"Barrett-Connor","given":"E."},{"family":"Fowler","given":"S.E."},{"family":"Hamman","given":"R.F."},{"family":"Lachin","given":"J.M."},{"family":"Walker","given":"E.A."}],"issued":{"date-parts":[["2002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(Knowler et al., 2002)</w:t>
      </w:r>
      <w:r w:rsidRPr="00C122BB">
        <w:rPr>
          <w:rFonts w:ascii="Arial" w:hAnsi="Arial" w:cs="Arial"/>
          <w:sz w:val="22"/>
          <w:szCs w:val="22"/>
        </w:rPr>
        <w:fldChar w:fldCharType="end"/>
      </w:r>
      <w:r w:rsidRPr="00C122BB">
        <w:rPr>
          <w:rFonts w:ascii="Arial" w:hAnsi="Arial" w:cs="Arial"/>
          <w:sz w:val="22"/>
          <w:szCs w:val="22"/>
        </w:rPr>
        <w:t>.</w:t>
      </w:r>
    </w:p>
    <w:p w14:paraId="0AB3FA09"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Relative to the control group, the intervention group exhibited a 58% reduction in T2DM incidence over four years and recorded an average weight loss of around 4.2 kg (9.25 </w:t>
      </w:r>
      <w:proofErr w:type="spellStart"/>
      <w:r w:rsidRPr="00C122BB">
        <w:rPr>
          <w:rFonts w:ascii="Arial" w:hAnsi="Arial" w:cs="Arial"/>
          <w:sz w:val="22"/>
          <w:szCs w:val="22"/>
        </w:rPr>
        <w:t>lbs</w:t>
      </w:r>
      <w:proofErr w:type="spellEnd"/>
      <w:r w:rsidRPr="00C122BB">
        <w:rPr>
          <w:rFonts w:ascii="Arial" w:hAnsi="Arial" w:cs="Arial"/>
          <w:sz w:val="22"/>
          <w:szCs w:val="22"/>
        </w:rPr>
        <w:t xml:space="preserve">). This study did not aim to analyze the exercise components of individuals; rather, researchers found that those who engaged in more vigorous physical activity during leisure time had a significant reduction in their risk of acquiring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{"citationID":"IINZAMUa","properties":{"formattedCitation":"(Knowler et al., 2002)","plainCitation":"(Knowler et al., 2002)","noteIndex":0},"citationItems":[{"id":351,"uris":["http://zotero.org/users/local/9dBn5Ahe/items/P2WA4JBD"],"itemData":{"id":351,"type":"article-journal","container-title":"The New England Journal of Medicine","language":"en","title":"Reduction in the incidence of type 2 diabetes with lifestyle intervention or metformin","volume":"7;346(6):393–403","author":[{"family":"Knowler","given":"W.C."},{"family":"Barrett-Connor","given":"E."},{"family":"Fowler","given":"S.E."},{"family":"Hamman","given":"R.F."},{"family":"Lachin","given":"J.M."},{"family":"Walker","given":"E.A."}],"issued":{"date-parts":[["2002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(Knowler et al., 2002)</w:t>
      </w:r>
      <w:r w:rsidRPr="00C122BB">
        <w:rPr>
          <w:rFonts w:ascii="Arial" w:hAnsi="Arial" w:cs="Arial"/>
          <w:sz w:val="22"/>
          <w:szCs w:val="22"/>
        </w:rPr>
        <w:fldChar w:fldCharType="end"/>
      </w:r>
      <w:r w:rsidRPr="00C122BB">
        <w:rPr>
          <w:rFonts w:ascii="Arial" w:hAnsi="Arial" w:cs="Arial"/>
          <w:sz w:val="22"/>
          <w:szCs w:val="22"/>
        </w:rPr>
        <w:t xml:space="preserve">. The research demonstrates that lifestyle changes can significantly reduce the risk of T2DM, and that individuals who maintain and enhance their physical activity can further lower this risk. The results are supported by the physiology of glucose metabolism during physical activity, which increases glucose absorption in muscles during exertion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{"citationID":"Oyffp37D","properties":{"formattedCitation":"(Colberg et al., 2010)","plainCitation":"(Colberg et al., 2010)","noteIndex":0},"citationItems":[{"id":352,"uris":["http://zotero.org/users/local/9dBn5Ahe/items/TNAXA8CL"],"itemData":{"id":352,"type":"article-journal","container-title":"Diabetes Care","language":"en","title":"Exercise and Type 2 Diabetes: The American College of Sports Medicine and the American Diabetes Association: joint position statement executive summary","volume":"29;33(12):2692–6","author":[{"family":"Colberg","given":"Sigal","suffix":"SR"},{"family":"RJ","given":"Fernhall"},{"family":"B","given":"Regensteiner"},{"family":"JG","given":"Blissmer"},{"family":"BJ","given":"Rubin"},{"literal":"R.R."}],"issued":{"date-parts":[["2010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(Colberg et al., 2010)</w:t>
      </w:r>
      <w:r w:rsidRPr="00C122BB">
        <w:rPr>
          <w:rFonts w:ascii="Arial" w:hAnsi="Arial" w:cs="Arial"/>
          <w:sz w:val="22"/>
          <w:szCs w:val="22"/>
        </w:rPr>
        <w:fldChar w:fldCharType="end"/>
      </w:r>
      <w:r w:rsidRPr="00C122BB">
        <w:rPr>
          <w:rFonts w:ascii="Arial" w:hAnsi="Arial" w:cs="Arial"/>
          <w:sz w:val="22"/>
          <w:szCs w:val="22"/>
        </w:rPr>
        <w:t>.</w:t>
      </w:r>
    </w:p>
    <w:p w14:paraId="358BE54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Furthermore, when muscle activity intensifies, there is a heightened reliance on carbohydrates to fuel the active muscles, leading to reduced fasting blood glucose levels for at least the first 24 hours following exercise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{"citationID":"v7ogfOOQ","properties":{"formattedCitation":"(Colberg et al., 2010)","plainCitation":"(Colberg et al., 2010)","noteIndex":0},"citationItems":[{"id":352,"uris":["http://zotero.org/users/local/9dBn5Ahe/items/TNAXA8CL"],"itemData":{"id":352,"type":"article-journal","container-title":"Diabetes Care","language":"en","title":"Exercise and Type 2 Diabetes: The American College of Sports Medicine and the American Diabetes Association: joint position statement executive summary","volume":"29;33(12):2692–6","author":[{"family":"Colberg","given":"Sigal","suffix":"SR"},{"family":"RJ","given":"Fernhall"},{"family":"B","given":"Regensteiner"},{"family":"JG","given":"Blissmer"},{"family":"BJ","given":"Rubin"},{"literal":"R.R."}],"issued":{"date-parts":[["2010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(Colberg et al., 2010)</w:t>
      </w:r>
      <w:r w:rsidRPr="00C122BB">
        <w:rPr>
          <w:rFonts w:ascii="Arial" w:hAnsi="Arial" w:cs="Arial"/>
          <w:sz w:val="22"/>
          <w:szCs w:val="22"/>
        </w:rPr>
        <w:fldChar w:fldCharType="end"/>
      </w:r>
      <w:r w:rsidRPr="00C122BB">
        <w:rPr>
          <w:rFonts w:ascii="Arial" w:hAnsi="Arial" w:cs="Arial"/>
          <w:sz w:val="22"/>
          <w:szCs w:val="22"/>
        </w:rPr>
        <w:t xml:space="preserve">. The use of carbohydrates by active muscle groups and the resulting reduction in fasting blood glucose after physical activity clarifies the results seen in some participants of the Diabetes Prevention Study, who demonstrated improved outcomes by engaging in extra physical activity during their leisure time, exceeding the advised 30 minutes of daily moderate-intensity exercise. </w:t>
      </w:r>
    </w:p>
    <w:p w14:paraId="52E72BCE"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Nutritional Modifications </w:t>
      </w:r>
    </w:p>
    <w:p w14:paraId="0988705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In addition to increasing physical activity, dietary changes have shown effective in facilitating weight loss and preventing type 2 diabetes mellitus (T2DM). Dietary adjustments are essential for diabetes prevention because of their association with improved glycemic control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{"citationID":"pZkW9Vsj","properties":{"formattedCitation":"(Lambrinou et al., 2019)","plainCitation":"(Lambrinou et al., 2019)","noteIndex":0},"citationItems":[{"id":353,"uris":["http://zotero.org/users/local/9dBn5Ahe/items/2BYM2LY5"],"itemData":{"id":353,"type":"article-journal","container-title":"European Journal of Preventive Cardiology [Internet","language":"en","title":"Lifestyle factors, self-management and Patient Empowerment in Diabetes Care","URL":"https://journals.sagepub.com/doi/full/10.1177/2047487319885455","volume":"26;26(2):55–63","author":[{"family":"Lambrinou","given":"E."},{"family":"Hansen","given":"T.B."},{"family":"Beulens","given":"J.W."}],"issued":{"date-parts":[["2019",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(Lambrinou et al., 2019)</w:t>
      </w:r>
      <w:r w:rsidRPr="00C122BB">
        <w:rPr>
          <w:rFonts w:ascii="Arial" w:hAnsi="Arial" w:cs="Arial"/>
          <w:sz w:val="22"/>
          <w:szCs w:val="22"/>
        </w:rPr>
        <w:fldChar w:fldCharType="end"/>
      </w:r>
      <w:r w:rsidRPr="00C122BB">
        <w:rPr>
          <w:rFonts w:ascii="Arial" w:hAnsi="Arial" w:cs="Arial"/>
          <w:sz w:val="22"/>
          <w:szCs w:val="22"/>
        </w:rPr>
        <w:t xml:space="preserve">. Nutritious food practices, when coupled with heightened physical activity, can promote weight loss, an established </w:t>
      </w:r>
      <w:r w:rsidRPr="00C122BB">
        <w:rPr>
          <w:rFonts w:ascii="Arial" w:hAnsi="Arial" w:cs="Arial"/>
          <w:sz w:val="22"/>
          <w:szCs w:val="22"/>
        </w:rPr>
        <w:lastRenderedPageBreak/>
        <w:t xml:space="preserve">method for preventing Type 2 Diabetes Mellitus (T2DM). Specific dietary plans enhance glycemic control. A systematic review of 48 papers regarding dietary modifications for the prevention of T2DM revealed that both the Mediterranean diet and the Dietary Approaches to Stop Hypertension (DASH) diet were associated with substantial reductions in the incidence risk of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{"citationID":"OU3fMGH0","properties":{"formattedCitation":"(Lambrinou et al., 2019)","plainCitation":"(Lambrinou et al., 2019)","noteIndex":0},"citationItems":[{"id":353,"uris":["http://zotero.org/users/local/9dBn5Ahe/items/2BYM2LY5"],"itemData":{"id":353,"type":"article-journal","container-title":"European Journal of Preventive Cardiology [Internet","language":"en","title":"Lifestyle factors, self-management and Patient Empowerment in Diabetes Care","URL":"https://journals.sagepub.com/doi/full/10.1177/2047487319885455","volume":"26;26(2):55–63","author":[{"family":"Lambrinou","given":"E."},{"family":"Hansen","given":"T.B."},{"family":"Beulens","given":"J.W."}],"issued":{"date-parts":[["2019",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(Lambrinou et al., 2019)</w:t>
      </w:r>
      <w:r w:rsidRPr="00C122BB">
        <w:rPr>
          <w:rFonts w:ascii="Arial" w:hAnsi="Arial" w:cs="Arial"/>
          <w:sz w:val="22"/>
          <w:szCs w:val="22"/>
        </w:rPr>
        <w:fldChar w:fldCharType="end"/>
      </w:r>
      <w:r w:rsidRPr="00C122BB">
        <w:rPr>
          <w:rFonts w:ascii="Arial" w:hAnsi="Arial" w:cs="Arial"/>
          <w:sz w:val="22"/>
          <w:szCs w:val="22"/>
        </w:rPr>
        <w:t>.</w:t>
      </w:r>
    </w:p>
    <w:p w14:paraId="524A0EF8"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Mediterranean diet includes fish, seafood, fruits, nuts, vegetables, and legumes, along with moderate alcohol use. The DASH diet requires the intake of at least 4 cups of fruits and vegetables daily, low-fat dairy products, 3 ounces of whole grains each day, 7 ounces of fish weekly, less than 1500 mg of sodium daily, and less than 450 calories from sugar-sweetened beverages weekly. The DASH diet, initially formulated for patients with hypertension, has been demonstrated in a meta-analysis of numerous trials to decrease the likelihood of acquiring T2DM by 20% among its followers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{"citationID":"za5IdyFF","properties":{"formattedCitation":"(Campbell, 2017)","plainCitation":"(Campbell, 2017)","noteIndex":0},"citationItems":[{"id":355,"uris":["http://zotero.org/users/local/9dBn5Ahe/items/3JWJDUVI"],"itemData":{"id":355,"type":"article-journal","container-title":"Diabetes Spectrum [Internet","language":"en","title":"DASH Eating Plan: An Eating Pattern for Diabetes Management","URL":"https://www.ncbi.nlm.nih.gov/pmc/articles/PMC5439361/","volume":"May;30(2):76–81","author":[{"family":"Campbell","given":"A.P."}],"issued":{"date-parts":[["2017"]]}}}],"schema":"https://github.com/citation-style-language/schema/raw/master/csl-citation.json"}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(Campbell, 2017)</w:t>
      </w:r>
      <w:r w:rsidRPr="00C122BB">
        <w:rPr>
          <w:rFonts w:ascii="Arial" w:hAnsi="Arial" w:cs="Arial"/>
          <w:sz w:val="22"/>
          <w:szCs w:val="22"/>
        </w:rPr>
        <w:fldChar w:fldCharType="end"/>
      </w:r>
      <w:r w:rsidRPr="00C122BB">
        <w:rPr>
          <w:rFonts w:ascii="Arial" w:hAnsi="Arial" w:cs="Arial"/>
          <w:sz w:val="22"/>
          <w:szCs w:val="22"/>
        </w:rPr>
        <w:t>.</w:t>
      </w:r>
    </w:p>
    <w:p w14:paraId="7E2D32BB"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3.2</w:t>
      </w:r>
      <w:r w:rsidRPr="00C122BB">
        <w:rPr>
          <w:rFonts w:ascii="Arial" w:hAnsi="Arial" w:cs="Arial"/>
          <w:b/>
          <w:sz w:val="22"/>
          <w:szCs w:val="22"/>
        </w:rPr>
        <w:tab/>
        <w:t xml:space="preserve"> NUTRACEUTICALS AND DIETARY SUPPLEMENTS </w:t>
      </w:r>
    </w:p>
    <w:p w14:paraId="27002CB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Nutraceuticals can derive from any organic food source and are categorized into one of 24 specific classifications, such as fiber, probiotics, prebiotics, antioxidant vitamins, polyphenols, herbs, and polyunsaturated fats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{"citationID":"MARrejfj","properties":{"formattedCitation":"(Hoggard et al., 2013)","plainCitation":"(Hoggard et al., 2013)","noteIndex":0},"citationItems":[{"id":357,"uris":["http://zotero.org/users/local/9dBn5Ahe/items/J4Q5SWVB"],"itemData":{"id":357,"type":"article-journal","container-title":"Journal of Nutritional Science","language":"en","title":"A single supplement of a standardised bilberry (Vaccinium myrtillus L.) extract (36 % wet weight anthocyanins) modifies glycaemic response in individuals with type 2 diabetes controlled by diet and lifestyle","volume":"2","author":[{"family":"Hoggard","given":"N."},{"family":"Cruickshank","given":"M."},{"family":"Moar","given":"K.M."},{"family":"Bestwick","given":"C."},{"family":"Holst","given":"J.J."},{"family":"Russell","given":"W."}],"issued":{"date-parts":[["2013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(Hoggard et al., 2013)</w:t>
      </w:r>
      <w:r w:rsidRPr="00C122BB">
        <w:rPr>
          <w:rFonts w:ascii="Arial" w:hAnsi="Arial" w:cs="Arial"/>
          <w:sz w:val="22"/>
          <w:szCs w:val="22"/>
        </w:rPr>
        <w:fldChar w:fldCharType="end"/>
      </w:r>
      <w:r w:rsidRPr="00C122BB">
        <w:rPr>
          <w:rFonts w:ascii="Arial" w:hAnsi="Arial" w:cs="Arial"/>
          <w:sz w:val="22"/>
          <w:szCs w:val="22"/>
        </w:rPr>
        <w:t>.</w:t>
      </w:r>
    </w:p>
    <w:p w14:paraId="4CBF4669" w14:textId="77777777" w:rsidR="00C122BB" w:rsidRPr="00C122BB" w:rsidRDefault="00C122BB" w:rsidP="00C122BB">
      <w:pPr>
        <w:jc w:val="both"/>
        <w:rPr>
          <w:rFonts w:ascii="Arial" w:hAnsi="Arial" w:cs="Arial"/>
          <w:sz w:val="22"/>
          <w:szCs w:val="22"/>
        </w:rPr>
      </w:pPr>
      <w:r w:rsidRPr="00C122BB">
        <w:rPr>
          <w:rFonts w:ascii="Arial" w:hAnsi="Arial" w:cs="Arial"/>
          <w:b/>
          <w:bCs/>
          <w:sz w:val="22"/>
          <w:szCs w:val="22"/>
        </w:rPr>
        <w:t xml:space="preserve">Curcumin with L-Omega-3 PUFA </w:t>
      </w:r>
    </w:p>
    <w:p w14:paraId="60FD084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Curcumin and insulin have been employed in separate treatments to lower blood glucose levels and biochemical markers of liver and kidney injury, improve lipid profiles, and increase hepatocyte antioxidant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{"citationID":"zwsTasDA","properties":{"formattedCitation":"(Gutierres et al., 2019)","plainCitation":"(Gutierres et al., 2019)","noteIndex":0},"citationItems":[{"id":358,"uris":["http://zotero.org/users/local/9dBn5Ahe/items/6J5F37YW"],"itemData":{"id":358,"type":"article-journal","container-title":"Phytotherapy Research","language":"en","title":"Curcumin improves the effect of a reduced insulin dose on glycemic control and oxidative stress in streptozotocin</w:instrText>
      </w:r>
      <w:r w:rsidRPr="00C122BB">
        <w:rPr>
          <w:rFonts w:ascii="Cambria Math" w:hAnsi="Cambria Math" w:cs="Cambria Math"/>
          <w:sz w:val="22"/>
          <w:szCs w:val="22"/>
        </w:rPr>
        <w:instrText>‐</w:instrText>
      </w:r>
      <w:r w:rsidRPr="00C122BB">
        <w:rPr>
          <w:rFonts w:ascii="Arial" w:hAnsi="Arial" w:cs="Arial"/>
          <w:sz w:val="22"/>
          <w:szCs w:val="22"/>
        </w:rPr>
        <w:instrText xml:space="preserve">diabetic rats","volume":"18;33(4):976–88","author":[{"family":"Gutierres","given":"V.O."},{"family":"Assis","given":"R.P."},{"family":"Arcaro","given":"C.A."},{"family":"Oliveira","given":"J.O."},{"family":"Ferreira","given":"T."},{"family":"Laura","given":"A."}],"issued":{"date-parts":[["2019",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(Gutierres et al., 2019)</w:t>
      </w:r>
      <w:r w:rsidRPr="00C122BB">
        <w:rPr>
          <w:rFonts w:ascii="Arial" w:hAnsi="Arial" w:cs="Arial"/>
          <w:sz w:val="22"/>
          <w:szCs w:val="22"/>
        </w:rPr>
        <w:fldChar w:fldCharType="end"/>
      </w:r>
      <w:r w:rsidRPr="00C122BB">
        <w:rPr>
          <w:rFonts w:ascii="Arial" w:hAnsi="Arial" w:cs="Arial"/>
          <w:sz w:val="22"/>
          <w:szCs w:val="22"/>
        </w:rPr>
        <w:t xml:space="preserve">. Administration of curcumin in diabetic rats resulted in decreased hyperglycemia, vascular inflammation, and lipid peroxidation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{"citationID":"xCV6vSN5","properties":{"formattedCitation":"(Jain et al., 2009)","plainCitation":"(Jain et al., 2009)","noteIndex":0},"citationItems":[{"id":359,"uris":["http://zotero.org/users/local/9dBn5Ahe/items/FBIQ48E6"],"itemData":{"id":359,"type":"article-journal","container-title":"Antioxidants &amp; Redox Signaling [Internet","language":"en","title":"IL-8, and MCP-1 Secretion in High Glucose-Treated Cultured Monocytes and Blood Levels of TNF-α, IL-6, MCP-1, Glucose, and Glycosylated Hemoglobin in Diabetic Rats","URL":"https://www.ncbi.nlm.nih.gov/pmc/articles/pmid/18976114/","volume":"8];11(2):241–9","author":[{"family":"Jain","given":"S.K."},{"family":"Rains","given":"J."},{"family":"Croad","given":"J."},{"family":"Larson","given":"B."},{"family":"TNF-α","given":"Jones K.Curcumin Supplementation Lowers"},{"literal":"I.L.-6"}],"issued":{"date-parts":[["2009"]]}}}],"schema":"https://github.com/citation-style-language/schema/raw/master/csl-citation.json"}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(Jain et al., 2009)</w:t>
      </w:r>
      <w:r w:rsidRPr="00C122BB">
        <w:rPr>
          <w:rFonts w:ascii="Arial" w:hAnsi="Arial" w:cs="Arial"/>
          <w:sz w:val="22"/>
          <w:szCs w:val="22"/>
        </w:rPr>
        <w:fldChar w:fldCharType="end"/>
      </w:r>
      <w:r w:rsidRPr="00C122BB">
        <w:rPr>
          <w:rFonts w:ascii="Arial" w:hAnsi="Arial" w:cs="Arial"/>
          <w:sz w:val="22"/>
          <w:szCs w:val="22"/>
        </w:rPr>
        <w:t>.</w:t>
      </w:r>
    </w:p>
    <w:p w14:paraId="663284D8"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Ascorbic acid </w:t>
      </w:r>
    </w:p>
    <w:p w14:paraId="3B1F4D8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Studies suggest that persons with T2DM who consistently ingest supplemental vitamin C may observe decreases in blood glucose and lipid levels, therefore alleviating problems associated with diabetes. Moreover, supplementary evidence indicates that dietary vitamin C may contribute to the prevention of T2DM onset. In studies with increased dietary vitamin C consumption, the risk of getting diabetes was reduced by approximately 5%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{"citationID":"qwSmR7gq","properties":{"formattedCitation":"(Afkhami-Ardekani &amp; Shojaoddiny-Ardekani, 2007)","plainCitation":"(Afkhami-Ardekani &amp; Shojaoddiny-Ardekani, 2007)","noteIndex":0},"citationItems":[{"id":361,"uris":["http://zotero.org/users/local/9dBn5Ahe/items/ZWNF3I9Z"],"itemData":{"id":361,"type":"article-journal","container-title":"PubMed","language":"en","title":"Effect of vitamin C on blood glucose, serum lipids &amp; serum insulin in type 2 diabetes patients","volume":"1;126(5):471–4","author":[{"family":"Afkhami-Ardekani","given":"M."},{"family":"Shojaoddiny-Ardekani","given":"A."}],"issued":{"date-parts":[["2007",11]]}}}],"schema":"https://github.com/citation-style-language/schema/raw/master/csl-citation.json"}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(Afkhami-Ardekani &amp; Shojaoddiny-Ardekani, 2007)</w:t>
      </w:r>
      <w:r w:rsidRPr="00C122BB">
        <w:rPr>
          <w:rFonts w:ascii="Arial" w:hAnsi="Arial" w:cs="Arial"/>
          <w:sz w:val="22"/>
          <w:szCs w:val="22"/>
        </w:rPr>
        <w:fldChar w:fldCharType="end"/>
      </w:r>
      <w:r w:rsidRPr="00C122BB">
        <w:rPr>
          <w:rFonts w:ascii="Arial" w:hAnsi="Arial" w:cs="Arial"/>
          <w:sz w:val="22"/>
          <w:szCs w:val="22"/>
        </w:rPr>
        <w:t xml:space="preserve">.  </w:t>
      </w:r>
    </w:p>
    <w:p w14:paraId="3AED0B1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Flaxseed oil </w:t>
      </w:r>
    </w:p>
    <w:p w14:paraId="32CEE77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Recent research suggests that replacing fish oil with flaxseed oil may impair insulin sensitivity in patients with diabetes and prediabetes, and decrease the risk of acquiring type 2 or type 1 diabetes in vegetarians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{"citationID":"PH28L0CL","properties":{"formattedCitation":"(Bermudez-Brito et al., 2012)","plainCitation":"(Bermudez-Brito et al., 2012)","noteIndex":0},"citationItems":[{"id":362,"uris":["http://zotero.org/users/local/9dBn5Ahe/items/W2QWGHQK"],"itemData":{"id":362,"type":"article-journal","container-title":"Annals of Nutrition and Metabolism [Internet","issue":"2","language":"en","page":"160–74","title":"Probiotic Mechanisms of Action","volume":"61","author":[{"family":"Bermudez-Brito","given":"M."},{"family":"Plaza-Díaz","given":"J."},{"family":"Muñoz-Quezada","given":"S."},{"family":"Gómez-Llorente","given":"C."},{"family":"Gil","given":"A."}],"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(Bermudez-Brito et al., 2012)</w:t>
      </w:r>
      <w:r w:rsidRPr="00C122BB">
        <w:rPr>
          <w:rFonts w:ascii="Arial" w:hAnsi="Arial" w:cs="Arial"/>
          <w:sz w:val="22"/>
          <w:szCs w:val="22"/>
        </w:rPr>
        <w:fldChar w:fldCharType="end"/>
      </w:r>
      <w:r w:rsidRPr="00C122BB">
        <w:rPr>
          <w:rFonts w:ascii="Arial" w:hAnsi="Arial" w:cs="Arial"/>
          <w:sz w:val="22"/>
          <w:szCs w:val="22"/>
        </w:rPr>
        <w:t xml:space="preserve">. Moreover, supplementary study indicated that flaxseed supplementation reduced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{"citationID":"16FtfXjd","properties":{"formattedCitation":"(Bermudez-Brito et al., 2012)","plainCitation":"(Bermudez-Brito et al., 2012)","noteIndex":0},"citationItems":[{"id":362,"uris":["http://zotero.org/users/local/9dBn5Ahe/items/W2QWGHQK"],"itemData":{"id":362,"type":"article-journal","container-title":"Annals of Nutrition and Metabolism [Internet","issue":"2","language":"en","page":"160–74","title":"Probiotic Mechanisms of Action","volume":"61","author":[{"family":"Bermudez-Brito","given":"M."},{"family":"Plaza-Díaz","given":"J."},{"family":"Muñoz-Quezada","given":"S."},{"family":"Gómez-Llorente","given":"C."},{"family":"Gil","given":"A."}],"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(Bermudez-Brito et al., 2012)</w:t>
      </w:r>
      <w:r w:rsidRPr="00C122BB">
        <w:rPr>
          <w:rFonts w:ascii="Arial" w:hAnsi="Arial" w:cs="Arial"/>
          <w:sz w:val="22"/>
          <w:szCs w:val="22"/>
        </w:rPr>
        <w:fldChar w:fldCharType="end"/>
      </w:r>
      <w:r w:rsidRPr="00C122BB">
        <w:rPr>
          <w:rFonts w:ascii="Arial" w:hAnsi="Arial" w:cs="Arial"/>
          <w:sz w:val="22"/>
          <w:szCs w:val="22"/>
        </w:rPr>
        <w:t xml:space="preserve">. </w:t>
      </w:r>
    </w:p>
    <w:p w14:paraId="46929AF8"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Alpha-lipoic acid supplements </w:t>
      </w:r>
    </w:p>
    <w:p w14:paraId="014FF4A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Alpha-lipoic acid (ALA) affects the essential relationships in the development of diabetes problems and is frequently given for their management and prevention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{"citationID":"Hr4OhbJY","properties":{"formattedCitation":"(McIntyre, 2010)","plainCitation":"(McIntyre, 2010)","noteIndex":0},"citationItems":[{"id":364,"uris":["http://zotero.org/users/local/9dBn5Ahe/items/JJ3LGXYB"],"itemData":{"id":364,"type":"article-journal","container-title":"Australian journal of medical herbalism","language":"en","title":"Clinical Naturopathy: An Evidence-based Guide to Practice [Book Review","volume":"1;22(4):156","author":[{"family":"McIntyre","given":"E."}],"issued":{"date-parts":[["2010",1]]}}}],"schema":"https://github.com/citation-style-language/schema/raw/master/csl-citation.json"}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(McIntyre, 2010)</w:t>
      </w:r>
      <w:r w:rsidRPr="00C122BB">
        <w:rPr>
          <w:rFonts w:ascii="Arial" w:hAnsi="Arial" w:cs="Arial"/>
          <w:sz w:val="22"/>
          <w:szCs w:val="22"/>
        </w:rPr>
        <w:fldChar w:fldCharType="end"/>
      </w:r>
      <w:r w:rsidRPr="00C122BB">
        <w:rPr>
          <w:rFonts w:ascii="Arial" w:hAnsi="Arial" w:cs="Arial"/>
          <w:sz w:val="22"/>
          <w:szCs w:val="22"/>
        </w:rPr>
        <w:t xml:space="preserve">. Studies demonstrate that a dietary supplement of ALA, L-carnosine, zinc, and B vitamins improves lipid profiles, oxidative stress indicators, and glycemic regulation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{"citationID":"61Ea20qn","properties":{"formattedCitation":"(Dehghan et al., 2014)","plainCitation":"(Dehghan et al., 2014)","noteIndex":0},"citationItems":[{"id":365,"uris":["http://zotero.org/users/local/9dBn5Ahe/items/8DYKDW3J"],"itemData":{"id":365,"type":"article-journal","container-title":"Nutrition","language":"en","title":"Oligofructose-enriched inulin improves some inflammatory markers and metabolic endotoxemia in women with type 2 diabetes mellitus: A randomized controlled clinical trial","volume":"Apr;30(4):418–23","author":[{"family":"Dehghan","given":"P."},{"family":"Pourghassem Gargari","given":"B."},{"family":"Asghari Jafar-abadi","given":"M."}],"issued":{"date-parts":[["2014"]]}}}],"schema":"https://github.com/citation-style-language/schema/raw/master/csl-citation.json"}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(Dehghan et al., 2014)</w:t>
      </w:r>
      <w:r w:rsidRPr="00C122BB">
        <w:rPr>
          <w:rFonts w:ascii="Arial" w:hAnsi="Arial" w:cs="Arial"/>
          <w:sz w:val="22"/>
          <w:szCs w:val="22"/>
        </w:rPr>
        <w:fldChar w:fldCharType="end"/>
      </w:r>
      <w:r w:rsidRPr="00C122BB">
        <w:rPr>
          <w:rFonts w:ascii="Arial" w:hAnsi="Arial" w:cs="Arial"/>
          <w:sz w:val="22"/>
          <w:szCs w:val="22"/>
        </w:rPr>
        <w:t xml:space="preserve">. </w:t>
      </w:r>
    </w:p>
    <w:p w14:paraId="7369C5B1"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Aloe vera leaf </w:t>
      </w:r>
    </w:p>
    <w:p w14:paraId="3BD2106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Research suggests that aloe vera may improve cellular sensitivity to insulin, lower blood glucose and serum insulin levels, and potentially enhance the insulin-related genetic activity of pancreatic beta cells. Aloe gel modulates T2DM by reducing insulin resistance and enhancing glycemic control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{"citationID":"frfsXiqE","properties":{"formattedCitation":"(P\\uc0\\u233{}rez et al., 2007)","plainCitation":"(Pérez et al., 2007)","noteIndex":0},"citationItems":[{"id":366,"uris":["http://zotero.org/users/local/9dBn5Ahe/items/WWATASJ9"],"itemData":{"id":366,"type":"article-journal","container-title":"The American Journal of Chinese Medicine [Internet","language":"en","title":"Effect of a Polyphenol-Rich Extract from Aloe vera Gel on Experimentally Induced Insulin Resistance in Mice","volume":"1];35(06):1037–46","author":[{"family":"Pérez","given":"Y.Y."},{"family":"Jiménez-Ferrer","given":"E."},{"family":"Zamilpa","given":"A."},{"family":"Hernández-Valencia","given":"M."},{"family":"Alarcón-Aguilar","given":"F.J."},{"family":"Tortoriello","given":"J."}],"issued":{"date-parts":[["2007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(Pérez et al., 2007)</w:t>
      </w:r>
      <w:r w:rsidRPr="00C122BB">
        <w:rPr>
          <w:rFonts w:ascii="Arial" w:hAnsi="Arial" w:cs="Arial"/>
          <w:sz w:val="22"/>
          <w:szCs w:val="22"/>
        </w:rPr>
        <w:fldChar w:fldCharType="end"/>
      </w:r>
      <w:r w:rsidRPr="00C122BB">
        <w:rPr>
          <w:rFonts w:ascii="Arial" w:hAnsi="Arial" w:cs="Arial"/>
          <w:sz w:val="22"/>
          <w:szCs w:val="22"/>
        </w:rPr>
        <w:t xml:space="preserve">. Research </w:t>
      </w:r>
      <w:r w:rsidRPr="00C122BB">
        <w:rPr>
          <w:rFonts w:ascii="Arial" w:hAnsi="Arial" w:cs="Arial"/>
          <w:sz w:val="22"/>
          <w:szCs w:val="22"/>
        </w:rPr>
        <w:lastRenderedPageBreak/>
        <w:t>conducted by Hasani-Ranjbar et al. 2013 revealed that aloe gel supports appropriate glucose regulation in persons with T2DM without negatively impacting lipid profiles, liver, kidneys, or other organ systems.</w:t>
      </w:r>
    </w:p>
    <w:p w14:paraId="04CB795D" w14:textId="77777777" w:rsidR="00C122BB" w:rsidRPr="00C122BB" w:rsidRDefault="00C122BB" w:rsidP="00C122BB">
      <w:pPr>
        <w:jc w:val="both"/>
        <w:rPr>
          <w:rFonts w:ascii="Arial" w:hAnsi="Arial" w:cs="Arial"/>
          <w:sz w:val="22"/>
          <w:szCs w:val="22"/>
        </w:rPr>
      </w:pPr>
      <w:proofErr w:type="spellStart"/>
      <w:r w:rsidRPr="00C122BB">
        <w:rPr>
          <w:rFonts w:ascii="Arial" w:hAnsi="Arial" w:cs="Arial"/>
          <w:b/>
          <w:bCs/>
          <w:sz w:val="22"/>
          <w:szCs w:val="22"/>
        </w:rPr>
        <w:t>Fibre</w:t>
      </w:r>
      <w:proofErr w:type="spellEnd"/>
      <w:r w:rsidRPr="00C122BB">
        <w:rPr>
          <w:rFonts w:ascii="Arial" w:hAnsi="Arial" w:cs="Arial"/>
          <w:b/>
          <w:bCs/>
          <w:sz w:val="22"/>
          <w:szCs w:val="22"/>
        </w:rPr>
        <w:t xml:space="preserve"> supplementation </w:t>
      </w:r>
    </w:p>
    <w:p w14:paraId="0CFB9EA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Dietary fiber is among the most advantageous nutritional elements for the prevention of diabetes. Individuals with poor glucose tolerance who were administered insoluble dietary fiber supplements for one year demonstrated notable improvements in glycated hemoglobin and 2-hour glucose levels, as well as a 42% reduction in the chance of developing type 2 diabetes mellitus in females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{"citationID":"2qFRCsKs","properties":{"formattedCitation":"(Weickert &amp; Pfeiffer, 2008)","plainCitation":"(Weickert &amp; Pfeiffer, 2008)","noteIndex":0},"citationItems":[{"id":369,"uris":["http://zotero.org/users/local/9dBn5Ahe/items/88ET2CPU"],"itemData":{"id":369,"type":"article-journal","container-title":"The Journal of Nutrition [Internet","language":"en","title":"Metabolic Effects of Dietary Fiber Consumption and Prevention of Diabetes","URL":"https://pubmed.ncbi.nlm.nih.gov/18287346/","volume":"1;138(3):439–42","author":[{"family":"Weickert","given":"M.O."},{"family":"Pfeiffer","given":"A.F.H."}],"issued":{"date-parts":[["2008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(Weickert &amp; Pfeiffer, 2008)</w:t>
      </w:r>
      <w:r w:rsidRPr="00C122BB">
        <w:rPr>
          <w:rFonts w:ascii="Arial" w:hAnsi="Arial" w:cs="Arial"/>
          <w:sz w:val="22"/>
          <w:szCs w:val="22"/>
        </w:rPr>
        <w:fldChar w:fldCharType="end"/>
      </w:r>
      <w:r w:rsidRPr="00C122BB">
        <w:rPr>
          <w:rFonts w:ascii="Arial" w:hAnsi="Arial" w:cs="Arial"/>
          <w:sz w:val="22"/>
          <w:szCs w:val="22"/>
        </w:rPr>
        <w:t xml:space="preserve">. Extensive prospective cohort studies clearly indicate that the onset of type 2 diabetes mellitus and insulin resistance can be reduced by 20–30% by the intake of significant quantities of whole grain foods or insoluble cereals rich in cereal fibers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{"citationID":"2YrxM2x0","properties":{"formattedCitation":"(Yao et al., 2014)","plainCitation":"(Yao et al., 2014)","noteIndex":0},"citationItems":[{"id":371,"uris":["http://zotero.org/users/local/9dBn5Ahe/items/QZYBHT4J"],"itemData":{"id":371,"type":"article-journal","container-title":"European Journal of Epidemiology","language":"en","title":"Dietary fiber intake and risk of type 2 diabetes: a dose–response analysis of prospective studies","volume":"5;29(2):79–88","author":[{"family":"Yao","given":"B."},{"family":"Fang","given":"H."},{"family":"Xu","given":"W."},{"family":"Yan","given":"Y."},{"family":"Xu","given":"H."},{"family":"Liu","given":"Y."}],"issued":{"date-parts":[["2014",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(Yao et al., 2014)</w:t>
      </w:r>
      <w:r w:rsidRPr="00C122BB">
        <w:rPr>
          <w:rFonts w:ascii="Arial" w:hAnsi="Arial" w:cs="Arial"/>
          <w:sz w:val="22"/>
          <w:szCs w:val="22"/>
        </w:rPr>
        <w:fldChar w:fldCharType="end"/>
      </w:r>
      <w:r w:rsidRPr="00C122BB">
        <w:rPr>
          <w:rFonts w:ascii="Arial" w:hAnsi="Arial" w:cs="Arial"/>
          <w:sz w:val="22"/>
          <w:szCs w:val="22"/>
        </w:rPr>
        <w:t>.</w:t>
      </w:r>
    </w:p>
    <w:p w14:paraId="2C01690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G-400, a polyherbal composition </w:t>
      </w:r>
    </w:p>
    <w:p w14:paraId="4D26B92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Extracts of the herb </w:t>
      </w:r>
      <w:proofErr w:type="spellStart"/>
      <w:r w:rsidRPr="00C122BB">
        <w:rPr>
          <w:rFonts w:ascii="Arial" w:hAnsi="Arial" w:cs="Arial"/>
          <w:sz w:val="22"/>
          <w:szCs w:val="22"/>
        </w:rPr>
        <w:t>Gymnema</w:t>
      </w:r>
      <w:proofErr w:type="spellEnd"/>
      <w:r w:rsidRPr="00C122BB">
        <w:rPr>
          <w:rFonts w:ascii="Arial" w:hAnsi="Arial" w:cs="Arial"/>
          <w:sz w:val="22"/>
          <w:szCs w:val="22"/>
        </w:rPr>
        <w:t xml:space="preserve"> </w:t>
      </w:r>
      <w:proofErr w:type="spellStart"/>
      <w:r w:rsidRPr="00C122BB">
        <w:rPr>
          <w:rFonts w:ascii="Arial" w:hAnsi="Arial" w:cs="Arial"/>
          <w:sz w:val="22"/>
          <w:szCs w:val="22"/>
        </w:rPr>
        <w:t>Sylvestre</w:t>
      </w:r>
      <w:proofErr w:type="spellEnd"/>
      <w:r w:rsidRPr="00C122BB">
        <w:rPr>
          <w:rFonts w:ascii="Arial" w:hAnsi="Arial" w:cs="Arial"/>
          <w:sz w:val="22"/>
          <w:szCs w:val="22"/>
        </w:rPr>
        <w:t xml:space="preserve"> have been shown to significantly decrease sugar levels, glycated matrix proteins, and hemoglobin A1c (HbA1c) in diabetic individuals, thereby improving glucose metabolism, reducing insulin resistance, increasing insulin production, and lowering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{"citationID":"E5riSsAZ","properties":{"formattedCitation":"(Kurian, 2016)","plainCitation":"(Kurian, 2016)","noteIndex":0},"citationItems":[{"id":372,"uris":["http://zotero.org/users/local/9dBn5Ahe/items/CL8HEL3D"],"itemData":{"id":372,"type":"article-journal","container-title":"Bangladesh Journal of Pharmacology","language":"en","title":"Hypoglycemic effect of poly-herbal combination in streptozotocin-induced diabetic rats","volume":"21;11(2):364","author":[{"family":"Kurian","given":"G.A."}],"issued":{"date-parts":[["2016"]]}}}],"schema":"https://github.com/citation-style-language/schema/raw/master/csl-citation.json"}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(Kurian, 2016)</w:t>
      </w:r>
      <w:r w:rsidRPr="00C122BB">
        <w:rPr>
          <w:rFonts w:ascii="Arial" w:hAnsi="Arial" w:cs="Arial"/>
          <w:sz w:val="22"/>
          <w:szCs w:val="22"/>
        </w:rPr>
        <w:fldChar w:fldCharType="end"/>
      </w:r>
      <w:r w:rsidRPr="00C122BB">
        <w:rPr>
          <w:rFonts w:ascii="Arial" w:hAnsi="Arial" w:cs="Arial"/>
          <w:sz w:val="22"/>
          <w:szCs w:val="22"/>
        </w:rPr>
        <w:t xml:space="preserve">. Research demonstrates that plasma insulin concentrations are significantly increased after G-400 administration in comparison to diabetes control, as assessed by fasting blood glucose (FBG)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{"citationID":"PWvvvljb","properties":{"formattedCitation":"(Krishnamurti &amp; MW, 2001)","plainCitation":"(Krishnamurti &amp; MW, 2001)","noteIndex":0},"citationItems":[{"id":373,"uris":["http://zotero.org/users/local/9dBn5Ahe/items/66RLA5CE"],"itemData":{"id":373,"type":"article-journal","container-title":"Clinical Chemistry","language":"en","title":"Glycohemoglobin: A Primary Predictor of the Development or Reversal of Complications of Diabetes Mellitus","volume":"1;47(7):1157–65","author":[{"family":"Krishnamurti","given":"Uma"},{"family":"MW","given":"Steffes"}],"issued":{"date-parts":[["2001",7]]}}}],"schema":"https://github.com/citation-style-language/schema/raw/master/csl-citation.json"}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(Krishnamurti &amp; MW, 2001)</w:t>
      </w:r>
      <w:r w:rsidRPr="00C122BB">
        <w:rPr>
          <w:rFonts w:ascii="Arial" w:hAnsi="Arial" w:cs="Arial"/>
          <w:sz w:val="22"/>
          <w:szCs w:val="22"/>
        </w:rPr>
        <w:fldChar w:fldCharType="end"/>
      </w:r>
      <w:r w:rsidRPr="00C122BB">
        <w:rPr>
          <w:rFonts w:ascii="Arial" w:hAnsi="Arial" w:cs="Arial"/>
          <w:sz w:val="22"/>
          <w:szCs w:val="22"/>
        </w:rPr>
        <w:t xml:space="preserve">. Biochemical modifications linked to diabetes, including as blood glucose concentrations, HbA1c levels, lipid profiles, and assessments of hepatic and renal function, were enhanced following eight weeks of G-400 supplementation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{"citationID":"9rlDHZo2","properties":{"formattedCitation":"(Kumudhaveni &amp; Radha, 2017)","plainCitation":"(Kumudhaveni &amp; Radha, 2017)","noteIndex":0},"citationItems":[{"id":374,"uris":["http://zotero.org/users/local/9dBn5Ahe/items/PXGEE9LD"],"itemData":{"id":374,"type":"article-journal","container-title":"Res J Pharm and Tech","language":"en","title":"Anti-diabetic potential of a traditional Polyherbal formulation - A review","volume":"1;10(6):1865–5","author":[{"family":"Kumudhaveni","given":"B."},{"family":"Radha","given":"R."}],"issued":{"date-parts":[["2017",1]]}}}],"schema":"https://github.com/citation-style-language/schema/raw/master/csl-citation.json"}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(Kumudhaveni &amp; Radha, 2017)</w:t>
      </w:r>
      <w:r w:rsidRPr="00C122BB">
        <w:rPr>
          <w:rFonts w:ascii="Arial" w:hAnsi="Arial" w:cs="Arial"/>
          <w:sz w:val="22"/>
          <w:szCs w:val="22"/>
        </w:rPr>
        <w:fldChar w:fldCharType="end"/>
      </w:r>
      <w:r w:rsidRPr="00C122BB">
        <w:rPr>
          <w:rFonts w:ascii="Arial" w:hAnsi="Arial" w:cs="Arial"/>
          <w:sz w:val="22"/>
          <w:szCs w:val="22"/>
        </w:rPr>
        <w:t>.</w:t>
      </w:r>
    </w:p>
    <w:p w14:paraId="619B2E24"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L-Carnitine combined with Coenzyme Q10 </w:t>
      </w:r>
    </w:p>
    <w:p w14:paraId="194614C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L-carnitine supplements may aid in the management of Type 2 Diabetes Mellitus (T2DM) by stabilizing lipid and glycemic profiles, and decreasing HbA1c, triglyceride, and fasting glucose levels three months after therapy commencement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{"citationID":"WJxHqIcJ","properties":{"formattedCitation":"(Ringseis et al., 2011)","plainCitation":"(Ringseis et al., 2011)","noteIndex":0},"citationItems":[{"id":375,"uris":["http://zotero.org/users/local/9dBn5Ahe/items/EBCZ88HQ"],"itemData":{"id":375,"type":"article-journal","container-title":"European Journal of Nutrition","language":"en","title":"Role of carnitine in the regulation of glucose homeostasis and insulin sensitivity: evidence from in vivo and in vitro studies with carnitine supplementation and carnitine deficiency","volume":"2;51(1):1–18","author":[{"family":"Ringseis","given":"R."},{"family":"Keller","given":"J."},{"family":"Eder","given":"K."}],"issued":{"date-parts":[["2011",12]]}}}],"schema":"https://github.com/citation-style-language/schema/raw/master/csl-citation.json"}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(Ringseis et al., 2011)</w:t>
      </w:r>
      <w:r w:rsidRPr="00C122BB">
        <w:rPr>
          <w:rFonts w:ascii="Arial" w:hAnsi="Arial" w:cs="Arial"/>
          <w:sz w:val="22"/>
          <w:szCs w:val="22"/>
        </w:rPr>
        <w:fldChar w:fldCharType="end"/>
      </w:r>
      <w:r w:rsidRPr="00C122BB">
        <w:rPr>
          <w:rFonts w:ascii="Arial" w:hAnsi="Arial" w:cs="Arial"/>
          <w:sz w:val="22"/>
          <w:szCs w:val="22"/>
        </w:rPr>
        <w:t xml:space="preserve">. Coenzyme Q10 may enhance glycemic regulation, as evidenced by a comprehensive assessment and meta-analysis of its impact on persons with T2DM, leading to reduced HbA1c and fasting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{"citationID":"zsyf9AT9","properties":{"formattedCitation":"(Pan et al., 2007)","plainCitation":"(Pan et al., 2007)","noteIndex":0},"citationItems":[{"id":376,"uris":["http://zotero.org/users/local/9dBn5Ahe/items/U7FB7J39"],"itemData":{"id":376,"type":"article-journal","container-title":"PloS One [Internet","language":"en","title":"Effects of a flaxseed-derived lignan supplement in type 2 diabetic patients: a randomized, double-blind, cross-over trial","URL":"https://pubmed.ncbi.nlm.nih.gov/17987126/","volume":"15];2(11):e1148","author":[{"family":"Pan","given":"A."},{"family":"Sun","given":"J."},{"family":"Chen","given":"Y."},{"family":"Ye","given":"X."},{"family":"Li","given":"H."},{"family":"Yu","given":"Z."}],"issued":{"date-parts":[["2007",5,7]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(Pan et al., 2007)</w:t>
      </w:r>
      <w:r w:rsidRPr="00C122BB">
        <w:rPr>
          <w:rFonts w:ascii="Arial" w:hAnsi="Arial" w:cs="Arial"/>
          <w:sz w:val="22"/>
          <w:szCs w:val="22"/>
        </w:rPr>
        <w:fldChar w:fldCharType="end"/>
      </w:r>
      <w:r w:rsidRPr="00C122BB">
        <w:rPr>
          <w:rFonts w:ascii="Arial" w:hAnsi="Arial" w:cs="Arial"/>
          <w:sz w:val="22"/>
          <w:szCs w:val="22"/>
        </w:rPr>
        <w:t>.</w:t>
      </w:r>
    </w:p>
    <w:p w14:paraId="3097561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Lignin derived from flaxseed </w:t>
      </w:r>
    </w:p>
    <w:p w14:paraId="38CE23E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supplement containing lignin from flaxseeds exhibited a positive impact on Type 2 Diabetes Mellitus (T2DM) by moderately reducing glycated hemoglobin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{"citationID":"wYNWtsHE","properties":{"formattedCitation":"(Pan et al., 2007)","plainCitation":"(Pan et al., 2007)","noteIndex":0},"citationItems":[{"id":376,"uris":["http://zotero.org/users/local/9dBn5Ahe/items/U7FB7J39"],"itemData":{"id":376,"type":"article-journal","container-title":"PloS One [Internet","language":"en","title":"Effects of a flaxseed-derived lignan supplement in type 2 diabetic patients: a randomized, double-blind, cross-over trial","URL":"https://pubmed.ncbi.nlm.nih.gov/17987126/","volume":"15];2(11):e1148","author":[{"family":"Pan","given":"A."},{"family":"Sun","given":"J."},{"family":"Chen","given":"Y."},{"family":"Ye","given":"X."},{"family":"Li","given":"H."},{"family":"Yu","given":"Z."}],"issued":{"date-parts":[["2007",5,7]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(Pan et al., 2007)</w:t>
      </w:r>
      <w:r w:rsidRPr="00C122BB">
        <w:rPr>
          <w:rFonts w:ascii="Arial" w:hAnsi="Arial" w:cs="Arial"/>
          <w:sz w:val="22"/>
          <w:szCs w:val="22"/>
        </w:rPr>
        <w:fldChar w:fldCharType="end"/>
      </w:r>
      <w:r w:rsidRPr="00C122BB">
        <w:rPr>
          <w:rFonts w:ascii="Arial" w:hAnsi="Arial" w:cs="Arial"/>
          <w:sz w:val="22"/>
          <w:szCs w:val="22"/>
        </w:rPr>
        <w:t xml:space="preserve">. A follow-up study demonstrated that a 12-week supplementation with a flaxseed-derived lignan complex significantly reduced glycated hemoglobin levels in individuals with T2DM; however, no changes were observed in the homeostasis model, serum glucose, insulin sensitivity, or blood lipid profiles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{"citationID":"P1ASpshI","properties":{"formattedCitation":"(Prasad, 2000)","plainCitation":"(Prasad, 2000)","noteIndex":0},"citationItems":[{"id":378,"uris":["http://zotero.org/users/local/9dBn5Ahe/items/WVTHZWWE"],"itemData":{"id":378,"type":"article-journal","container-title":"Molecular and Cellular Biochemistry","issue":"1/2","language":"en","page":"89–96","title":"Oxidative stress as a mechanism of diabetes in diabetic BB prone rats: effect of secoisolariciresinol diglucoside (SDG","volume":"209","author":[{"family":"Prasad","given":"K."}],"issued":{"date-parts":[["2000"]]}}}],"schema":"https://github.com/citation-style-language/schema/raw/master/csl-citation.json"}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(Prasad, 2000)</w:t>
      </w:r>
      <w:r w:rsidRPr="00C122BB">
        <w:rPr>
          <w:rFonts w:ascii="Arial" w:hAnsi="Arial" w:cs="Arial"/>
          <w:sz w:val="22"/>
          <w:szCs w:val="22"/>
        </w:rPr>
        <w:fldChar w:fldCharType="end"/>
      </w:r>
      <w:r w:rsidRPr="00C122BB">
        <w:rPr>
          <w:rFonts w:ascii="Arial" w:hAnsi="Arial" w:cs="Arial"/>
          <w:sz w:val="22"/>
          <w:szCs w:val="22"/>
        </w:rPr>
        <w:t xml:space="preserve">. Animal studies have suggested that the flaxseed lignan </w:t>
      </w:r>
      <w:proofErr w:type="spellStart"/>
      <w:r w:rsidRPr="00C122BB">
        <w:rPr>
          <w:rFonts w:ascii="Arial" w:hAnsi="Arial" w:cs="Arial"/>
          <w:sz w:val="22"/>
          <w:szCs w:val="22"/>
        </w:rPr>
        <w:t>secoisolariciresinol</w:t>
      </w:r>
      <w:proofErr w:type="spellEnd"/>
      <w:r w:rsidRPr="00C122BB">
        <w:rPr>
          <w:rFonts w:ascii="Arial" w:hAnsi="Arial" w:cs="Arial"/>
          <w:sz w:val="22"/>
          <w:szCs w:val="22"/>
        </w:rPr>
        <w:t xml:space="preserve"> </w:t>
      </w:r>
      <w:proofErr w:type="spellStart"/>
      <w:r w:rsidRPr="00C122BB">
        <w:rPr>
          <w:rFonts w:ascii="Arial" w:hAnsi="Arial" w:cs="Arial"/>
          <w:sz w:val="22"/>
          <w:szCs w:val="22"/>
        </w:rPr>
        <w:t>diglucoside</w:t>
      </w:r>
      <w:proofErr w:type="spellEnd"/>
      <w:r w:rsidRPr="00C122BB">
        <w:rPr>
          <w:rFonts w:ascii="Arial" w:hAnsi="Arial" w:cs="Arial"/>
          <w:sz w:val="22"/>
          <w:szCs w:val="22"/>
        </w:rPr>
        <w:t xml:space="preserve"> (SDG) may postpone or avert the onset of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{"citationID":"ui4u0PBr","properties":{"formattedCitation":"(Tharwat et al., 2017)","plainCitation":"(Tharwat et al., 2017)","noteIndex":0},"citationItems":[{"id":379,"uris":["http://zotero.org/users/local/9dBn5Ahe/items/ZJQ2LK2Z"],"itemData":{"id":379,"type":"article-journal","container-title":"Endocrinology &amp; Metabolic Syndrome","language":"en","title":"Effectiveness of Adding Flaxseed to Type 2 Diabetic Patient’s Regimen","author":[{"family":"Tharwat","given":"S."},{"family":"Ashraf","given":"J."},{"family":"Salam","given":"R."},{"family":"Rashed","given":"L."},{"family":"Hamid","given":"S.E."},{"family":"Shafy","given":"S.A."}],"issued":{"date-parts":[["2017",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(Tharwat et al., 2017)</w:t>
      </w:r>
      <w:r w:rsidRPr="00C122BB">
        <w:rPr>
          <w:rFonts w:ascii="Arial" w:hAnsi="Arial" w:cs="Arial"/>
          <w:sz w:val="22"/>
          <w:szCs w:val="22"/>
        </w:rPr>
        <w:fldChar w:fldCharType="end"/>
      </w:r>
      <w:r w:rsidRPr="00C122BB">
        <w:rPr>
          <w:rFonts w:ascii="Arial" w:hAnsi="Arial" w:cs="Arial"/>
          <w:sz w:val="22"/>
          <w:szCs w:val="22"/>
        </w:rPr>
        <w:t xml:space="preserve">. In the supplemented group after a flaxseed-rich diet, lignin was linked to decreased fasting blood glucose levels. This discovery suggests that the seed augments glucose absorption by enhancing insulin sensitivity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{"citationID":"fvXEADZ9","properties":{"formattedCitation":"(Qi et al., 2007)","plainCitation":"(Qi et al., 2007)","noteIndex":0},"citationItems":[{"id":380,"uris":["http://zotero.org/users/local/9dBn5Ahe/items/7TT82M36"],"itemData":{"id":380,"type":"article-journal","container-title":"The Journal of Clinical Endocrinology and Metabolism","language":"en","title":"Elevated Retinol-Binding Protein 4 Levels Are Associated with Metabolic Syndrome in Chinese People","volume":"1;92(12):4827–34","author":[{"family":"Qi","given":"Q."},{"family":"Yu","given":"Z."},{"family":"Ye","given":"X."},{"family":"Zhao","given":"F."},{"family":"Huang","given":"P."},{"family":"Hu","given":"F.B."}],"issued":{"date-parts":[["2007",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(Qi et al., 2007)</w:t>
      </w:r>
      <w:r w:rsidRPr="00C122BB">
        <w:rPr>
          <w:rFonts w:ascii="Arial" w:hAnsi="Arial" w:cs="Arial"/>
          <w:sz w:val="22"/>
          <w:szCs w:val="22"/>
        </w:rPr>
        <w:fldChar w:fldCharType="end"/>
      </w:r>
      <w:r w:rsidRPr="00C122BB">
        <w:rPr>
          <w:rFonts w:ascii="Arial" w:hAnsi="Arial" w:cs="Arial"/>
          <w:sz w:val="22"/>
          <w:szCs w:val="22"/>
        </w:rPr>
        <w:t xml:space="preserve">. </w:t>
      </w:r>
    </w:p>
    <w:p w14:paraId="5744C25D"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Myo-inositol and D-chiro-inositol </w:t>
      </w:r>
    </w:p>
    <w:p w14:paraId="03E15B6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Myo-inositol dosages have been shown to markedly decrease the risk of diabetes in pregnant women with a familial propensity to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{"citationID":"y2IHKYV5","properties":{"formattedCitation":"(Unfer et al., 2012)","plainCitation":"(Unfer et al., 2012)","noteIndex":0},"citationItems":[{"id":381,"uris":["http://zotero.org/users/local/9dBn5Ahe/items/97WA2YH8"],"itemData":{"id":381,"type":"article-journal","container-title":"Gynecological Endocrinology","language":"en","title":"Effects of myo-inositol in women with PCOS: a systematic review of randomized controlled trials","volume":"Feb;28(7):509–15","author":[{"family":"Unfer","given":"V."},{"family":"Carlomagno","given":"G."},{"family":"Dante","given":"G."},{"family":"Facchinetti","given":"F."}],"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 xml:space="preserve">(Unfer </w:t>
      </w:r>
      <w:r w:rsidRPr="00C122BB">
        <w:rPr>
          <w:rFonts w:ascii="Arial" w:hAnsi="Arial" w:cs="Arial"/>
          <w:sz w:val="22"/>
          <w:szCs w:val="22"/>
        </w:rPr>
        <w:lastRenderedPageBreak/>
        <w:t>et al., 2012)</w:t>
      </w:r>
      <w:r w:rsidRPr="00C122BB">
        <w:rPr>
          <w:rFonts w:ascii="Arial" w:hAnsi="Arial" w:cs="Arial"/>
          <w:sz w:val="22"/>
          <w:szCs w:val="22"/>
        </w:rPr>
        <w:fldChar w:fldCharType="end"/>
      </w:r>
      <w:r w:rsidRPr="00C122BB">
        <w:rPr>
          <w:rFonts w:ascii="Arial" w:hAnsi="Arial" w:cs="Arial"/>
          <w:sz w:val="22"/>
          <w:szCs w:val="22"/>
        </w:rPr>
        <w:t xml:space="preserve">. Inositol supplementation has been demonstrated to improve ovulatory function, insulin sensitivity, and fasting blood glucose levels in postmenopausal women, pregnant women, and young females with polycystic ovary syndrome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{"citationID":"neI7TlFO","properties":{"formattedCitation":"(Vitagliano et al., 2018)","plainCitation":"(Vitagliano et al., 2018)","noteIndex":0},"citationItems":[{"id":382,"uris":["http://zotero.org/users/local/9dBn5Ahe/items/WG6BYN8L"],"itemData":{"id":382,"type":"article-journal","container-title":"Archives of Gynecology and Obstetrics","language":"en","title":"Inositol for the prevention of gestational diabetes: a systematic review and meta-analysis of randomized controlled trials","volume":"18;299(1):55–68","author":[{"family":"Vitagliano","given":"A."},{"family":"Saccone","given":"G."},{"family":"Cosmi","given":"E."},{"family":"Visentin","given":"S."},{"family":"Dessole","given":"F."},{"family":"Ambrosini","given":"G."}],"issued":{"date-parts":[["2018",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(Vitagliano et al., 2018)</w:t>
      </w:r>
      <w:r w:rsidRPr="00C122BB">
        <w:rPr>
          <w:rFonts w:ascii="Arial" w:hAnsi="Arial" w:cs="Arial"/>
          <w:sz w:val="22"/>
          <w:szCs w:val="22"/>
        </w:rPr>
        <w:fldChar w:fldCharType="end"/>
      </w:r>
      <w:r w:rsidRPr="00C122BB">
        <w:rPr>
          <w:rFonts w:ascii="Arial" w:hAnsi="Arial" w:cs="Arial"/>
          <w:sz w:val="22"/>
          <w:szCs w:val="22"/>
        </w:rPr>
        <w:t>.</w:t>
      </w:r>
    </w:p>
    <w:p w14:paraId="777B59CC" w14:textId="77777777" w:rsidR="00C122BB" w:rsidRPr="00C122BB" w:rsidRDefault="00C122BB" w:rsidP="00C122BB">
      <w:pPr>
        <w:jc w:val="both"/>
        <w:rPr>
          <w:rFonts w:ascii="Arial" w:hAnsi="Arial" w:cs="Arial"/>
          <w:b/>
          <w:sz w:val="22"/>
          <w:szCs w:val="22"/>
        </w:rPr>
      </w:pPr>
      <w:r w:rsidRPr="00C122BB">
        <w:rPr>
          <w:rFonts w:ascii="Arial" w:hAnsi="Arial" w:cs="Arial"/>
          <w:b/>
          <w:bCs/>
          <w:sz w:val="22"/>
          <w:szCs w:val="22"/>
        </w:rPr>
        <w:t xml:space="preserve">Blueberry and cranberry </w:t>
      </w:r>
    </w:p>
    <w:p w14:paraId="5230E4D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Blueberry and cranberry extracts were employed in a T2DM model to enhance the mobilization of the GLUT4 glucose transporter. This resulted in the restoration of glucose consumption in muscle and adipose tissues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{"citationID":"ZacICSS4","properties":{"formattedCitation":"(Calvano et al., 2019)","plainCitation":"(Calvano et al., 2019)","noteIndex":0},"citationItems":[{"id":383,"uris":["http://zotero.org/users/local/9dBn5Ahe/items/8K5DWD2U"],"itemData":{"id":383,"type":"article-journal","container-title":"Food &amp; function [Internet","language":"en","title":"Dietary berries, insulin resistance and type 2 diabetes: an overview of human feeding trials","URL":"https://www.ncbi.nlm.nih.gov/pmc/articles/PMC7202899/","volume":"16;10(10):6227–43","author":[{"family":"Calvano","given":"A."},{"family":"Izuora","given":"K."},{"family":"Oh","given":"E.C."},{"family":"Ebersole","given":"J.L."},{"family":"Lyons","given":"T.J."},{"family":"Basu","given":"A."}],"issued":{"date-parts":[["2019",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(Calvano et al., 2019)</w:t>
      </w:r>
      <w:r w:rsidRPr="00C122BB">
        <w:rPr>
          <w:rFonts w:ascii="Arial" w:hAnsi="Arial" w:cs="Arial"/>
          <w:sz w:val="22"/>
          <w:szCs w:val="22"/>
        </w:rPr>
        <w:fldChar w:fldCharType="end"/>
      </w:r>
      <w:r w:rsidRPr="00C122BB">
        <w:rPr>
          <w:rFonts w:ascii="Arial" w:hAnsi="Arial" w:cs="Arial"/>
          <w:sz w:val="22"/>
          <w:szCs w:val="22"/>
        </w:rPr>
        <w:t xml:space="preserve">. A review on berries and Type 2 Diabetes Mellitus (T2DM) indicates that berry eating may reduce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{"citationID":"ZltcOfCs","properties":{"formattedCitation":"(Calvano et al., 2019)","plainCitation":"(Calvano et al., 2019)","noteIndex":0},"citationItems":[{"id":383,"uris":["http://zotero.org/users/local/9dBn5Ahe/items/8K5DWD2U"],"itemData":{"id":383,"type":"article-journal","container-title":"Food &amp; function [Internet","language":"en","title":"Dietary berries, insulin resistance and type 2 diabetes: an overview of human feeding trials","URL":"https://www.ncbi.nlm.nih.gov/pmc/articles/PMC7202899/","volume":"16;10(10):6227–43","author":[{"family":"Calvano","given":"A."},{"family":"Izuora","given":"K."},{"family":"Oh","given":"E.C."},{"family":"Ebersole","given":"J.L."},{"family":"Lyons","given":"T.J."},{"family":"Basu","given":"A."}],"issued":{"date-parts":[["2019",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(Calvano et al., 2019)</w:t>
      </w:r>
      <w:r w:rsidRPr="00C122BB">
        <w:rPr>
          <w:rFonts w:ascii="Arial" w:hAnsi="Arial" w:cs="Arial"/>
          <w:sz w:val="22"/>
          <w:szCs w:val="22"/>
        </w:rPr>
        <w:fldChar w:fldCharType="end"/>
      </w:r>
      <w:r w:rsidRPr="00C122BB">
        <w:rPr>
          <w:rFonts w:ascii="Arial" w:hAnsi="Arial" w:cs="Arial"/>
          <w:sz w:val="22"/>
          <w:szCs w:val="22"/>
        </w:rPr>
        <w:t xml:space="preserve">. Research shown that the consumption of blueberries or cranberries lowered fasting blood glucose and glycated hemoglobin levels in persons with type 2 diabetes mellitus, while having negligible to no impact on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{"citationID":"DPxwX3v9","properties":{"formattedCitation":"(Rocha et al., 2018)","plainCitation":"(Rocha et al., 2018)","noteIndex":0},"citationItems":[{"id":385,"uris":["http://zotero.org/users/local/9dBn5Ahe/items/83XTJG43"],"itemData":{"id":385,"type":"article-journal","container-title":"Critical Reviews in Food Science and Nutrition","language":"en","title":"Effects of blueberry and cranberry consumption on type 2 diabetes glycemic control: A systematic review","volume":"13;59(11):1816–28","author":[{"family":"Rocha","given":"D.M.U.P."},{"family":"Caldas","given":"A.P.S."},{"family":"Silva","given":"B.P."},{"family":"Hermsdorff","given":"H.H.M."},{"family":"CG","given":"Alfenas R."}],"issued":{"date-parts":[["2018"]]}}}],"schema":"https://github.com/citation-style-language/schema/raw/master/csl-citation.json"}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(Rocha et al., 2018)</w:t>
      </w:r>
      <w:r w:rsidRPr="00C122BB">
        <w:rPr>
          <w:rFonts w:ascii="Arial" w:hAnsi="Arial" w:cs="Arial"/>
          <w:sz w:val="22"/>
          <w:szCs w:val="22"/>
        </w:rPr>
        <w:fldChar w:fldCharType="end"/>
      </w:r>
      <w:r w:rsidRPr="00C122BB">
        <w:rPr>
          <w:rFonts w:ascii="Arial" w:hAnsi="Arial" w:cs="Arial"/>
          <w:sz w:val="22"/>
          <w:szCs w:val="22"/>
        </w:rPr>
        <w:t>.</w:t>
      </w:r>
    </w:p>
    <w:p w14:paraId="38C7DE27"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Alpha-keto acids </w:t>
      </w:r>
    </w:p>
    <w:p w14:paraId="66A25409"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biological role of the 'ammonia shuttle' or 'ammonia catcher' in keto acids (KAs), which are structural analogs of amino acids, allows them to potentially influence ammonia metabolism during physical exercise. The use of KAs allows patients with T2DM to participate in extended and more intense exercise, resulting in superior training outcomes and better glucose control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{"citationID":"DONL0ata","properties":{"formattedCitation":"(Neviere et al., 2016)","plainCitation":"(Neviere et al., 2016)","noteIndex":0},"citationItems":[{"id":386,"uris":["http://zotero.org/users/local/9dBn5Ahe/items/3VC4PLWX"],"itemData":{"id":386,"type":"article-journal","container-title":"Glycoconjugate journal [Internet","language":"en","title":"Implication of advanced glycation end products (Ages) and their receptor (Rage) on myocardial contractile and mitochondrial functions","URL":"https://pubmed.ncbi.nlm.nih.gov/27277623/","volume":"Aug;33(4):607–17","author":[{"family":"Neviere","given":"R."},{"family":"Yu","given":"Y."},{"family":"Wang","given":"L."},{"family":"Tessier","given":"F."},{"family":"Boulanger","given":"E."}],"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(Neviere et al., 2016)</w:t>
      </w:r>
      <w:r w:rsidRPr="00C122BB">
        <w:rPr>
          <w:rFonts w:ascii="Arial" w:hAnsi="Arial" w:cs="Arial"/>
          <w:sz w:val="22"/>
          <w:szCs w:val="22"/>
        </w:rPr>
        <w:fldChar w:fldCharType="end"/>
      </w:r>
      <w:r w:rsidRPr="00C122BB">
        <w:rPr>
          <w:rFonts w:ascii="Arial" w:hAnsi="Arial" w:cs="Arial"/>
          <w:sz w:val="22"/>
          <w:szCs w:val="22"/>
        </w:rPr>
        <w:t xml:space="preserve">. KA's have a significant role in the management of T2DM by substantially lowering </w:t>
      </w:r>
      <w:proofErr w:type="spellStart"/>
      <w:r w:rsidRPr="00C122BB">
        <w:rPr>
          <w:rFonts w:ascii="Arial" w:hAnsi="Arial" w:cs="Arial"/>
          <w:sz w:val="22"/>
          <w:szCs w:val="22"/>
        </w:rPr>
        <w:t>hyperlipidaemia</w:t>
      </w:r>
      <w:proofErr w:type="spellEnd"/>
      <w:r w:rsidRPr="00C122BB">
        <w:rPr>
          <w:rFonts w:ascii="Arial" w:hAnsi="Arial" w:cs="Arial"/>
          <w:sz w:val="22"/>
          <w:szCs w:val="22"/>
        </w:rPr>
        <w:t xml:space="preserve"> and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{"citationID":"1j7qKUJp","properties":{"formattedCitation":"(Brosnan &amp; Brosnan, 2006)","plainCitation":"(Brosnan &amp; Brosnan, 2006)","noteIndex":0},"citationItems":[{"id":388,"uris":["http://zotero.org/users/local/9dBn5Ahe/items/MVEEJASC"],"itemData":{"id":388,"type":"article-journal","container-title":"The Journal of Nutrition","language":"en","title":"Branched-Chain Amino Acids: Enzyme and Substrate Regulation","volume":"1;136(1):207S211S","author":[{"family":"Brosnan","given":"J.T."},{"family":"Brosnan","given":"M.E."}],"issued":{"date-parts":[["2006",1]]}}}],"schema":"https://github.com/citation-style-language/schema/raw/master/csl-citation.json"}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(Brosnan &amp; Brosnan, 2006)</w:t>
      </w:r>
      <w:r w:rsidRPr="00C122BB">
        <w:rPr>
          <w:rFonts w:ascii="Arial" w:hAnsi="Arial" w:cs="Arial"/>
          <w:sz w:val="22"/>
          <w:szCs w:val="22"/>
        </w:rPr>
        <w:fldChar w:fldCharType="end"/>
      </w:r>
      <w:r w:rsidRPr="00C122BB">
        <w:rPr>
          <w:rFonts w:ascii="Arial" w:hAnsi="Arial" w:cs="Arial"/>
          <w:sz w:val="22"/>
          <w:szCs w:val="22"/>
        </w:rPr>
        <w:t xml:space="preserve">. </w:t>
      </w:r>
    </w:p>
    <w:p w14:paraId="7C7EBD40" w14:textId="77777777" w:rsidR="00C122BB" w:rsidRPr="00C122BB" w:rsidRDefault="00C122BB" w:rsidP="00C122BB">
      <w:pPr>
        <w:jc w:val="both"/>
        <w:rPr>
          <w:rFonts w:ascii="Arial" w:hAnsi="Arial" w:cs="Arial"/>
          <w:sz w:val="22"/>
          <w:szCs w:val="22"/>
        </w:rPr>
      </w:pPr>
      <w:r w:rsidRPr="00C122BB">
        <w:rPr>
          <w:rFonts w:ascii="Arial" w:hAnsi="Arial" w:cs="Arial"/>
          <w:b/>
          <w:bCs/>
          <w:sz w:val="22"/>
          <w:szCs w:val="22"/>
        </w:rPr>
        <w:t xml:space="preserve">Mulberry leaves </w:t>
      </w:r>
    </w:p>
    <w:p w14:paraId="252F343E"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Mulberry leaves (ML) possess 1-deoxynojirimycin (DNJ), a glucose analogue that inhibits glucosidase, therefore lowering postprandial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{"citationID":"Vq0s2aQO","properties":{"formattedCitation":"(Gryn-Rynko et al., 2016)","plainCitation":"(Gryn-Rynko et al., 2016)","noteIndex":0},"citationItems":[{"id":389,"uris":["http://zotero.org/users/local/9dBn5Ahe/items/PLIAK864"],"itemData":{"id":389,"type":"article-journal","container-title":"Biomedicine &amp; Pharmacotherapy","language":"en","page":"628–36","title":"New potential phytotherapeutics obtained from white mulberry ( Morus alba L.) leaves","volume":"84","author":[{"family":"Gryn-Rynko","given":"A."},{"family":"Bazylak","given":"G."},{"family":"Olszewska-Slonina","given":"D."}],"issued":{"date-parts":[["2016"]]}}}],"schema":"https://github.com/citation-style-language/schema/raw/master/csl-citation.json"}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(Gryn-Rynko et al., 2016)</w:t>
      </w:r>
      <w:r w:rsidRPr="00C122BB">
        <w:rPr>
          <w:rFonts w:ascii="Arial" w:hAnsi="Arial" w:cs="Arial"/>
          <w:sz w:val="22"/>
          <w:szCs w:val="22"/>
        </w:rPr>
        <w:fldChar w:fldCharType="end"/>
      </w:r>
      <w:r w:rsidRPr="00C122BB">
        <w:rPr>
          <w:rFonts w:ascii="Arial" w:hAnsi="Arial" w:cs="Arial"/>
          <w:sz w:val="22"/>
          <w:szCs w:val="22"/>
        </w:rPr>
        <w:t xml:space="preserve">. A </w:t>
      </w:r>
      <w:proofErr w:type="spellStart"/>
      <w:r w:rsidRPr="00C122BB">
        <w:rPr>
          <w:rFonts w:ascii="Arial" w:hAnsi="Arial" w:cs="Arial"/>
          <w:sz w:val="22"/>
          <w:szCs w:val="22"/>
        </w:rPr>
        <w:t>stydy</w:t>
      </w:r>
      <w:proofErr w:type="spellEnd"/>
      <w:r w:rsidRPr="00C122BB">
        <w:rPr>
          <w:rFonts w:ascii="Arial" w:hAnsi="Arial" w:cs="Arial"/>
          <w:sz w:val="22"/>
          <w:szCs w:val="22"/>
        </w:rPr>
        <w:t xml:space="preserve"> revealed that quercetin in ML augmented insulin production and reduced oxidative damage in rat pancreatic islets exposed to H</w:t>
      </w:r>
      <w:r w:rsidRPr="00C122BB">
        <w:rPr>
          <w:rFonts w:ascii="Arial" w:hAnsi="Arial" w:cs="Arial"/>
          <w:sz w:val="22"/>
          <w:szCs w:val="22"/>
          <w:vertAlign w:val="subscript"/>
        </w:rPr>
        <w:t>2</w:t>
      </w:r>
      <w:r w:rsidRPr="00C122BB">
        <w:rPr>
          <w:rFonts w:ascii="Arial" w:hAnsi="Arial" w:cs="Arial"/>
          <w:sz w:val="22"/>
          <w:szCs w:val="22"/>
        </w:rPr>
        <w:t>O</w:t>
      </w:r>
      <w:r w:rsidRPr="00C122BB">
        <w:rPr>
          <w:rFonts w:ascii="Arial" w:hAnsi="Arial" w:cs="Arial"/>
          <w:sz w:val="22"/>
          <w:szCs w:val="22"/>
          <w:vertAlign w:val="subscript"/>
        </w:rPr>
        <w:t xml:space="preserve">2 </w:t>
      </w:r>
      <w:r w:rsidRPr="00C122BB">
        <w:rPr>
          <w:rFonts w:ascii="Arial" w:hAnsi="Arial" w:cs="Arial"/>
          <w:sz w:val="22"/>
          <w:szCs w:val="22"/>
          <w:vertAlign w:val="subscript"/>
        </w:rPr>
        <w:fldChar w:fldCharType="begin"/>
      </w:r>
      <w:r w:rsidRPr="00C122BB">
        <w:rPr>
          <w:rFonts w:ascii="Arial" w:hAnsi="Arial" w:cs="Arial"/>
          <w:sz w:val="22"/>
          <w:szCs w:val="22"/>
          <w:vertAlign w:val="subscript"/>
        </w:rPr>
        <w:instrText xml:space="preserve"> ADDIN ZOTERO_ITEM CSL_CITATION {"citationID":"FM7Z8jEy","properties":{"formattedCitation":"(R. Zhang et al., 2011)","plainCitation":"(R. Zhang et al., 2011)","noteIndex":0},"citationItems":[{"id":390,"uris":["http://zotero.org/users/local/9dBn5Ahe/items/H4FASHWF"],"itemData":{"id":390,"type":"article-journal","container-title":"Nutrition &amp; Metabolism","language":"af","title":"Antidiabetic activity of isoquercetin in diabetic KK -Ay mice","volume":"Dec;8(1","author":[{"family":"Zhang","given":"R."},{"family":"Yao","given":"Y."},{"family":"Wang","given":"Y."},{"family":"Ren","given":"G."}],"issued":{"date-parts":[["2011"]]}}}],"schema":"https://github.com/citation-style-language/schema/raw/master/csl-citation.json"} </w:instrText>
      </w:r>
      <w:r w:rsidRPr="00C122BB">
        <w:rPr>
          <w:rFonts w:ascii="Arial" w:hAnsi="Arial" w:cs="Arial"/>
          <w:sz w:val="22"/>
          <w:szCs w:val="22"/>
          <w:vertAlign w:val="subscript"/>
        </w:rPr>
        <w:fldChar w:fldCharType="separate"/>
      </w:r>
      <w:r w:rsidRPr="00C122BB">
        <w:rPr>
          <w:rFonts w:ascii="Arial" w:hAnsi="Arial" w:cs="Arial"/>
          <w:sz w:val="22"/>
          <w:szCs w:val="22"/>
        </w:rPr>
        <w:t>(R. Zhang et al., 2011)</w:t>
      </w:r>
      <w:r w:rsidRPr="00C122BB">
        <w:rPr>
          <w:rFonts w:ascii="Arial" w:hAnsi="Arial" w:cs="Arial"/>
          <w:sz w:val="22"/>
          <w:szCs w:val="22"/>
          <w:vertAlign w:val="subscript"/>
        </w:rPr>
        <w:fldChar w:fldCharType="end"/>
      </w:r>
      <w:r w:rsidRPr="00C122BB">
        <w:rPr>
          <w:rFonts w:ascii="Arial" w:hAnsi="Arial" w:cs="Arial"/>
          <w:sz w:val="22"/>
          <w:szCs w:val="22"/>
        </w:rPr>
        <w:t xml:space="preserve">. Administration of </w:t>
      </w:r>
      <w:proofErr w:type="spellStart"/>
      <w:r w:rsidRPr="00C122BB">
        <w:rPr>
          <w:rFonts w:ascii="Arial" w:hAnsi="Arial" w:cs="Arial"/>
          <w:sz w:val="22"/>
          <w:szCs w:val="22"/>
        </w:rPr>
        <w:t>isoquercetin</w:t>
      </w:r>
      <w:proofErr w:type="spellEnd"/>
      <w:r w:rsidRPr="00C122BB">
        <w:rPr>
          <w:rFonts w:ascii="Arial" w:hAnsi="Arial" w:cs="Arial"/>
          <w:sz w:val="22"/>
          <w:szCs w:val="22"/>
        </w:rPr>
        <w:t xml:space="preserve"> for five weeks decreased blood glucose levels in KK-Ay animal models of noninsulin-dependent diabetes. The oral treatment of ML improved glucose tolerance in </w:t>
      </w:r>
      <w:proofErr w:type="spellStart"/>
      <w:r w:rsidRPr="00C122BB">
        <w:rPr>
          <w:rFonts w:ascii="Arial" w:hAnsi="Arial" w:cs="Arial"/>
          <w:sz w:val="22"/>
          <w:szCs w:val="22"/>
        </w:rPr>
        <w:t>db</w:t>
      </w:r>
      <w:proofErr w:type="spellEnd"/>
      <w:r w:rsidRPr="00C122BB">
        <w:rPr>
          <w:rFonts w:ascii="Arial" w:hAnsi="Arial" w:cs="Arial"/>
          <w:sz w:val="22"/>
          <w:szCs w:val="22"/>
        </w:rPr>
        <w:t>/</w:t>
      </w:r>
      <w:proofErr w:type="spellStart"/>
      <w:r w:rsidRPr="00C122BB">
        <w:rPr>
          <w:rFonts w:ascii="Arial" w:hAnsi="Arial" w:cs="Arial"/>
          <w:sz w:val="22"/>
          <w:szCs w:val="22"/>
        </w:rPr>
        <w:t>db</w:t>
      </w:r>
      <w:proofErr w:type="spellEnd"/>
      <w:r w:rsidRPr="00C122BB">
        <w:rPr>
          <w:rFonts w:ascii="Arial" w:hAnsi="Arial" w:cs="Arial"/>
          <w:sz w:val="22"/>
          <w:szCs w:val="22"/>
        </w:rPr>
        <w:t xml:space="preserve"> animal models of obesity and type 2 diabetes mellitus, suggesting an influence of ML on pancreatic insulin secretion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{"citationID":"tBEP3oCr","properties":{"formattedCitation":"(Suthamwong et al., 2020)","plainCitation":"(Suthamwong et al., 2020)","noteIndex":0},"citationItems":[{"id":391,"uris":["http://zotero.org/users/local/9dBn5Ahe/items/A5U6USA4"],"itemData":{"id":391,"type":"article-journal","container-title":"BMC Complementary Medicine and Therapies","language":"en","title":"Administration of mulberry leaves maintains pancreatic β-cell mass in obese/type 2 diabetes mellitus mouse model","author":[{"family":"Suthamwong","given":"P."},{"family":"Minami","given":"M."},{"family":"Okada","given":"T."},{"family":"Shiwaku","given":"N."},{"family":"Uesugi","given":"M."},{"family":"Yokode","given":"M."}],"issued":{"date-parts":[["2020",5,6]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(Suthamwong et al., 2020)</w:t>
      </w:r>
      <w:r w:rsidRPr="00C122BB">
        <w:rPr>
          <w:rFonts w:ascii="Arial" w:hAnsi="Arial" w:cs="Arial"/>
          <w:sz w:val="22"/>
          <w:szCs w:val="22"/>
        </w:rPr>
        <w:fldChar w:fldCharType="end"/>
      </w:r>
      <w:r w:rsidRPr="00C122BB">
        <w:rPr>
          <w:rFonts w:ascii="Arial" w:hAnsi="Arial" w:cs="Arial"/>
          <w:sz w:val="22"/>
          <w:szCs w:val="22"/>
        </w:rPr>
        <w:t xml:space="preserve">. </w:t>
      </w:r>
    </w:p>
    <w:p w14:paraId="1EF3E8E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Berberis aristata </w:t>
      </w:r>
    </w:p>
    <w:p w14:paraId="0E3A5FC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Berberis aristata has bioactive constituents, such as alkaloids including berberine. Berberine and </w:t>
      </w:r>
      <w:proofErr w:type="spellStart"/>
      <w:r w:rsidRPr="00C122BB">
        <w:rPr>
          <w:rFonts w:ascii="Arial" w:hAnsi="Arial" w:cs="Arial"/>
          <w:sz w:val="22"/>
          <w:szCs w:val="22"/>
        </w:rPr>
        <w:t>its</w:t>
      </w:r>
      <w:proofErr w:type="spellEnd"/>
      <w:r w:rsidRPr="00C122BB">
        <w:rPr>
          <w:rFonts w:ascii="Arial" w:hAnsi="Arial" w:cs="Arial"/>
          <w:sz w:val="22"/>
          <w:szCs w:val="22"/>
        </w:rPr>
        <w:t xml:space="preserve"> in vivo metabolite, berberrubine, augment LDL receptor and PCSK9 transcription through the ERK signaling pathway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{"citationID":"fl30Nkka","properties":{"formattedCitation":"(Feng et al., 2019)","plainCitation":"(Feng et al., 2019)","noteIndex":0},"citationItems":[{"id":392,"uris":["http://zotero.org/users/local/9dBn5Ahe/items/LD6Y7A2W"],"itemData":{"id":392,"type":"article-journal","container-title":"Theranostics","issue":"7","language":"en","page":"1923–51","title":"Berberine in Cardiovascular and Metabolic Diseases: From Mechanisms to Therapeutics","volume":"9","author":[{"family":"Feng","given":"X."},{"family":"Sureda","given":"A."},{"family":"Jafari","given":"S."},{"family":"Memariani","given":"Z."},{"family":"Tewari","given":"D."},{"family":"Annunziata","given":"G."}],"issued":{"date-parts":[["2019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(Feng et al., 2019)</w:t>
      </w:r>
      <w:r w:rsidRPr="00C122BB">
        <w:rPr>
          <w:rFonts w:ascii="Arial" w:hAnsi="Arial" w:cs="Arial"/>
          <w:sz w:val="22"/>
          <w:szCs w:val="22"/>
        </w:rPr>
        <w:fldChar w:fldCharType="end"/>
      </w:r>
      <w:r w:rsidRPr="00C122BB">
        <w:rPr>
          <w:rFonts w:ascii="Arial" w:hAnsi="Arial" w:cs="Arial"/>
          <w:sz w:val="22"/>
          <w:szCs w:val="22"/>
        </w:rPr>
        <w:t xml:space="preserve">. Multiple research have evidenced the impact of Berberis aristata on hyperinsulinemia and insulin sensitivity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{"citationID":"Y2zDVVhB","properties":{"formattedCitation":"(Derosa et al., 2015)","plainCitation":"(Derosa et al., 2015)","noteIndex":0},"citationItems":[{"id":393,"uris":["http://zotero.org/users/local/9dBn5Ahe/items/6DF98DQ8"],"itemData":{"id":393,"type":"article-journal","container-title":"Atherosclerosis","language":"en","title":"Berberis aristata combined with Silybum marianum on lipid profile in patients not tolerating statins at high doses","volume":"Mar;239(1):87–92","author":[{"family":"Derosa","given":"G."},{"family":"Romano","given":"D."},{"family":"D’Angelo","given":"A."},{"family":"Maffioli","given":"P."}],"issued":{"date-parts":[["2015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(Derosa et al., 2015)</w:t>
      </w:r>
      <w:r w:rsidRPr="00C122BB">
        <w:rPr>
          <w:rFonts w:ascii="Arial" w:hAnsi="Arial" w:cs="Arial"/>
          <w:sz w:val="22"/>
          <w:szCs w:val="22"/>
        </w:rPr>
        <w:fldChar w:fldCharType="end"/>
      </w:r>
      <w:r w:rsidRPr="00C122BB">
        <w:rPr>
          <w:rFonts w:ascii="Arial" w:hAnsi="Arial" w:cs="Arial"/>
          <w:sz w:val="22"/>
          <w:szCs w:val="22"/>
        </w:rPr>
        <w:t xml:space="preserve">.  Following three months of daily intake, Berberis markedly diminished low-density lipoprotein, total cholesterol, fasting plasma glucose, and the homeostasis model assessment score relative to the placebo; nevertheless, its effect on high-density lipoprotein, triglycerides, and body mass index was not statistically significant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{"citationID":"MhLjn7SR","properties":{"formattedCitation":"(T\\uc0\\u243{}th et al., 2019)","plainCitation":"(Tóth et al., 2019)","noteIndex":0},"citationItems":[{"id":394,"uris":["http://zotero.org/users/local/9dBn5Ahe/items/DCIEE6I3"],"itemData":{"id":394,"type":"article-journal","container-title":"Planta Medica","language":"en","title":"The Effects of a Fixed Combination of Berberis aristata and Silybum marianum on Dyslipidaemia – A Meta-analysis and Systematic Review","volume":"29;86(02):132–43","author":[{"family":"Tóth","given":"B."},{"family":"Németh","given":"D."},{"family":"Soós","given":"A."},{"family":"Hegyi","given":"P."},{"family":"Pham-Dobor","given":"G."},{"family":"Varga","given":"O."}],"issued":{"date-parts":[["2019",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(Tóth et al., 2019)</w:t>
      </w:r>
      <w:r w:rsidRPr="00C122BB">
        <w:rPr>
          <w:rFonts w:ascii="Arial" w:hAnsi="Arial" w:cs="Arial"/>
          <w:sz w:val="22"/>
          <w:szCs w:val="22"/>
        </w:rPr>
        <w:fldChar w:fldCharType="end"/>
      </w:r>
      <w:r w:rsidRPr="00C122BB">
        <w:rPr>
          <w:rFonts w:ascii="Arial" w:hAnsi="Arial" w:cs="Arial"/>
          <w:sz w:val="22"/>
          <w:szCs w:val="22"/>
        </w:rPr>
        <w:t>.</w:t>
      </w:r>
    </w:p>
    <w:p w14:paraId="70790CD0"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Nigella sativa oil </w:t>
      </w:r>
    </w:p>
    <w:p w14:paraId="6EED784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extract of this plant contains thymoquinone (TQ), </w:t>
      </w:r>
      <w:proofErr w:type="spellStart"/>
      <w:r w:rsidRPr="00C122BB">
        <w:rPr>
          <w:rFonts w:ascii="Arial" w:hAnsi="Arial" w:cs="Arial"/>
          <w:sz w:val="22"/>
          <w:szCs w:val="22"/>
        </w:rPr>
        <w:t>thymohydroquinone</w:t>
      </w:r>
      <w:proofErr w:type="spellEnd"/>
      <w:r w:rsidRPr="00C122BB">
        <w:rPr>
          <w:rFonts w:ascii="Arial" w:hAnsi="Arial" w:cs="Arial"/>
          <w:sz w:val="22"/>
          <w:szCs w:val="22"/>
        </w:rPr>
        <w:t xml:space="preserve"> (THQ), </w:t>
      </w:r>
      <w:proofErr w:type="spellStart"/>
      <w:r w:rsidRPr="00C122BB">
        <w:rPr>
          <w:rFonts w:ascii="Arial" w:hAnsi="Arial" w:cs="Arial"/>
          <w:sz w:val="22"/>
          <w:szCs w:val="22"/>
        </w:rPr>
        <w:t>dithymoquinone</w:t>
      </w:r>
      <w:proofErr w:type="spellEnd"/>
      <w:r w:rsidRPr="00C122BB">
        <w:rPr>
          <w:rFonts w:ascii="Arial" w:hAnsi="Arial" w:cs="Arial"/>
          <w:sz w:val="22"/>
          <w:szCs w:val="22"/>
        </w:rPr>
        <w:t xml:space="preserve">, and thymol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{"citationID":"icCtQiwW","properties":{"formattedCitation":"(Nasir et al., 2025)","plainCitation":"(Nasir et al., 2025)","noteIndex":0},"citationItems":[{"id":395,"uris":["http://zotero.org/users/local/9dBn5Ahe/items/S3VDY8VP"],"itemData":{"id":395,"type":"article-journal","container-title":"International Journal of Pharmaceutical And Phytopharmacological Research [Internet","language":"en","title":"Therapeutic Uses of Shoneez (Nigella sativa Linn.) Mentioned in Unani System of Medicine - A Review","URL":"https://eijppr.com/276Ypt3","volume":"25];4(1-2014):47–9","author":[{"family":"Nasir","given":"A."},{"family":"Siddiqui","given":"M.Y."},{"family":"Mohsin","given":"M."}],"issued":{"date-parts":[["2025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(Nasir et al., 2025)</w:t>
      </w:r>
      <w:r w:rsidRPr="00C122BB">
        <w:rPr>
          <w:rFonts w:ascii="Arial" w:hAnsi="Arial" w:cs="Arial"/>
          <w:sz w:val="22"/>
          <w:szCs w:val="22"/>
        </w:rPr>
        <w:fldChar w:fldCharType="end"/>
      </w:r>
      <w:r w:rsidRPr="00C122BB">
        <w:rPr>
          <w:rFonts w:ascii="Arial" w:hAnsi="Arial" w:cs="Arial"/>
          <w:sz w:val="22"/>
          <w:szCs w:val="22"/>
        </w:rPr>
        <w:t xml:space="preserve">. Thymoquinone, a bioactive molecule that provides protection against diabetes, is the principal agent responsible for the therapeutic actions of NS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{"citationID":"3WIRVUmB","properties":{"formattedCitation":"(Khader &amp; Eckl, 2014)","plainCitation":"(Khader &amp; Eckl, 2014)","noteIndex":0},"citationItems":[{"id":397,"uris":["http://zotero.org/users/local/9dBn5Ahe/items/RHST57JU"],"itemData":{"id":397,"type":"article-journal","container-title":"Iranian Journal of Basic Medical Sciences [Internet","language":"en","title":"Thymoquinone: an emerging natural drug with a wide range of medical applications","URL":"https://pmc.ncbi.nlm.nih.gov/articles/PMC4387230/","volume":"Dec;17(12):950","author":[{"family":"Khader","given":"M."},{"family":"Eckl","given":"P.M."}],"issued":{"date-parts":[["2014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(Khader &amp; Eckl, 2014)</w:t>
      </w:r>
      <w:r w:rsidRPr="00C122BB">
        <w:rPr>
          <w:rFonts w:ascii="Arial" w:hAnsi="Arial" w:cs="Arial"/>
          <w:sz w:val="22"/>
          <w:szCs w:val="22"/>
        </w:rPr>
        <w:fldChar w:fldCharType="end"/>
      </w:r>
      <w:r w:rsidRPr="00C122BB">
        <w:rPr>
          <w:rFonts w:ascii="Arial" w:hAnsi="Arial" w:cs="Arial"/>
          <w:sz w:val="22"/>
          <w:szCs w:val="22"/>
        </w:rPr>
        <w:t xml:space="preserve">. Prior research </w:t>
      </w:r>
      <w:r w:rsidRPr="00C122BB">
        <w:rPr>
          <w:rFonts w:ascii="Arial" w:hAnsi="Arial" w:cs="Arial"/>
          <w:sz w:val="22"/>
          <w:szCs w:val="22"/>
        </w:rPr>
        <w:lastRenderedPageBreak/>
        <w:t xml:space="preserve">has demonstrated that thymoquinone decreases fasting blood glucose (FBG) and increases insulin levels in rats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{"citationID":"Orih980O","properties":{"formattedCitation":"(Abdelrazek et al., 2018)","plainCitation":"(Abdelrazek et al., 2018)","noteIndex":0},"citationItems":[{"id":399,"uris":["http://zotero.org/users/local/9dBn5Ahe/items/7TJJKCB6"],"itemData":{"id":399,"type":"article-journal","container-title":"Oxidative Medicine and Cellular Longevity [Internet","language":"en","page":"1–10","title":"Black Seed Thymoquinone Improved Insulin Secretion, Hepatic Glycogen Storage, and Oxidative Stress in Streptozotocin-Induced Diabetic Male Wistar Rats","volume":"2018","author":[{"family":"Abdelrazek","given":"H.M.A."},{"family":"Kilany","given":"O.E."},{"family":"Muhammad","given":"M.A.A."},{"family":"Tag","given":"H.M."},{"family":"Abdelazim","given":"A.M."}],"issued":{"date-parts":[["2018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(Abdelrazek et al., 2018)</w:t>
      </w:r>
      <w:r w:rsidRPr="00C122BB">
        <w:rPr>
          <w:rFonts w:ascii="Arial" w:hAnsi="Arial" w:cs="Arial"/>
          <w:sz w:val="22"/>
          <w:szCs w:val="22"/>
        </w:rPr>
        <w:fldChar w:fldCharType="end"/>
      </w:r>
      <w:r w:rsidRPr="00C122BB">
        <w:rPr>
          <w:rFonts w:ascii="Arial" w:hAnsi="Arial" w:cs="Arial"/>
          <w:sz w:val="22"/>
          <w:szCs w:val="22"/>
        </w:rPr>
        <w:t xml:space="preserve">. </w:t>
      </w:r>
    </w:p>
    <w:p w14:paraId="272B36A6"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3.3</w:t>
      </w:r>
      <w:r w:rsidRPr="00C122BB">
        <w:rPr>
          <w:rFonts w:ascii="Arial" w:hAnsi="Arial" w:cs="Arial"/>
          <w:b/>
          <w:sz w:val="22"/>
          <w:szCs w:val="22"/>
        </w:rPr>
        <w:tab/>
        <w:t xml:space="preserve"> MIND-BODY INTERVENTIONS </w:t>
      </w:r>
    </w:p>
    <w:p w14:paraId="3FDC3A79"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Mind-body medicine underscores the interplay between the mind and body, illustrating how emotional, mental, social, and spiritual factors can profoundly affect health. Mind-body therapies including relaxation techniques, visualization, biofeedback, meditation, hypnosis, tai chi, yoga, and other activities. They consistently aid people in recovering from their conditions through creative and varied approaches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{"citationID":"IrNAmG41","properties":{"formattedCitation":"(Rice,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 xml:space="preserve">. </w:t>
      </w:r>
    </w:p>
    <w:p w14:paraId="7EBC085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Improved glycemic control consistently poses a risk of hypoglycemia. In a state of relaxation, the body metabolizes carbs with more efficiency, leading to decreased blood glucose levels. Individuals with type 1 diabetes may encounter hypoglycemia following periods of relaxation. Therefore, these patients must be apprised of the risk of hypoglycemia post-relaxation and instructed to promptly manage it according to their healthcare provider's directives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{"citationID":"OakQQqqJ","properties":{"formattedCitation":"(Rice,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 xml:space="preserve">. </w:t>
      </w:r>
    </w:p>
    <w:p w14:paraId="0E98463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In published, peer-reviewed research on diabetes and blood glucose, the primary alternative treatment is relaxation training or biofeedback-assisted relaxation training. Multiple case and controlled studies employing biofeedback-assisted relaxation training with type 1 diabetic patients exhibited significantly lower average blood glucose levels in experimental groups or at post-test in case studies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{"citationID":"yOxLkLtL","properties":{"formattedCitation":"(B. K. Bailey et al., 1990; A. G. Taylor et al., 1984)","plainCitation":"(B. K. Bailey et al., 1990; A. G. Taylor et al., 1984)","noteIndex":0},"citationItems":[{"id":402,"uris":["http://zotero.org/users/local/9dBn5Ahe/items/FL9HZ8FX"],"itemData":{"id":402,"type":"article-journal","container-title":"The Diabetes Educator","language":"en","title":"Management of a Patient With Insulin-Dependent Diabetes Mellitus Learning Biofeedback-Assisted Relaxation","author":[{"family":"Bailey","given":"B.K."},{"family":"McGrady","given":"A.V."},{"family":"Good","given":"M."}],"issued":{"date-parts":[["1990",6,16]]}}},{"id":403,"uris":["http://zotero.org/users/local/9dBn5Ahe/items/FU7GT935"],"itemData":{"id":403,"type":"article-journal","container-title":"Health Psychology","issue":"1","language":"en","page":"63–75","title":"The relationship between psychological stress and insulin-dependent diabetic blood glucose control: Preliminary investigations","volume":"3","author":[{"family":"Taylor","given":"A.G."},{"family":"Nowacek","given":"G."},{"family":"Holley-Wilcox","given":"P."}],"issued":{"date-parts":[["1984"]]}}}],"schema":"https://github.com/citation-style-language/schema/raw/master/csl-citation.json"}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 K. Bailey et al., 1990; A. G. Taylor et al., 1984)</w:t>
      </w:r>
      <w:r w:rsidRPr="00C122BB">
        <w:rPr>
          <w:rFonts w:ascii="Arial" w:hAnsi="Arial" w:cs="Arial"/>
          <w:sz w:val="22"/>
          <w:szCs w:val="22"/>
        </w:rPr>
        <w:fldChar w:fldCharType="end"/>
      </w:r>
      <w:r w:rsidRPr="00C122BB">
        <w:rPr>
          <w:rFonts w:ascii="Arial" w:hAnsi="Arial" w:cs="Arial"/>
          <w:sz w:val="22"/>
          <w:szCs w:val="22"/>
        </w:rPr>
        <w:t xml:space="preserve">. The disparities could not be ascribed to increased insulin dosages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{"citationID":"tIkrs2KP","properties":{"formattedCitation":"(B. K. Bailey et al., 1990)","plainCitation":"(B. K. Bailey et al., 1990)","noteIndex":0},"citationItems":[{"id":402,"uris":["http://zotero.org/users/local/9dBn5Ahe/items/FL9HZ8FX"],"itemData":{"id":402,"type":"article-journal","container-title":"The Diabetes Educator","language":"en","title":"Management of a Patient With Insulin-Dependent Diabetes Mellitus Learning Biofeedback-Assisted Relaxation","author":[{"family":"Bailey","given":"B.K."},{"family":"McGrady","given":"A.V."},{"family":"Good","given":"M."}],"issued":{"date-parts":[["1990",6,16]]}}}],"schema":"https://github.com/citation-style-language/schema/raw/master/csl-citation.json"}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 K. Bailey et al., 1990)</w:t>
      </w:r>
      <w:r w:rsidRPr="00C122BB">
        <w:rPr>
          <w:rFonts w:ascii="Arial" w:hAnsi="Arial" w:cs="Arial"/>
          <w:sz w:val="22"/>
          <w:szCs w:val="22"/>
        </w:rPr>
        <w:fldChar w:fldCharType="end"/>
      </w:r>
      <w:r w:rsidRPr="00C122BB">
        <w:rPr>
          <w:rFonts w:ascii="Arial" w:hAnsi="Arial" w:cs="Arial"/>
          <w:sz w:val="22"/>
          <w:szCs w:val="22"/>
        </w:rPr>
        <w:t xml:space="preserve">. Stress management should be considered an adjunctive strategy to the medical treatment of persons with type 1 diabetes. </w:t>
      </w:r>
    </w:p>
    <w:p w14:paraId="02CACC1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No significant reduction in glucose levels was reported at post-test in studies including patients with type 2 diabetes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{"citationID":"qWtGHq0H","properties":{"formattedCitation":"(Rice,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 xml:space="preserve">. Nonetheless, relaxation training may have provided further advantages, such as augmented self-management abilities, enhanced well-being, greater coping mechanisms, decreased prevalence of depression, and lowered perceived stress. Some studies have not been designed to produce statistically significant results for more than one or two variables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{"citationID":"UV75JDY1","properties":{"formattedCitation":"(Rice,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w:t>
      </w:r>
    </w:p>
    <w:p w14:paraId="3904E1A7"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 xml:space="preserve">3.4 </w:t>
      </w:r>
      <w:r w:rsidRPr="00C122BB">
        <w:rPr>
          <w:rFonts w:ascii="Arial" w:hAnsi="Arial" w:cs="Arial"/>
          <w:b/>
          <w:sz w:val="22"/>
          <w:szCs w:val="22"/>
        </w:rPr>
        <w:tab/>
        <w:t xml:space="preserve">REGULATION OF GUT MICROBIOTA </w:t>
      </w:r>
    </w:p>
    <w:p w14:paraId="0B51A63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Recent research suggest that the gut microbiota is a feasible therapeutic target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{"citationID":"fyXD5bd7","properties":{"formattedCitation":"(Liu, 2021; Zhou et al., 2022)","plainCitation":"(Liu, 2021; Zhou et al., 2022)","noteIndex":0},"citationItems":[{"id":150,"uris":["http://zotero.org/users/local/9dBn5Ahe/items/KWPTLI7Q"],"itemData":{"id":150,"type":"article-journal","container-title":"Chinese Herbal Medicines","DOI":"10.1016/j.chmed.2021.09.002","issue":"4","language":"en","page":"441–450","title":"Overview on development of ASEAN traditional and herbal medicines","volume":"13","author":[{"family":"Liu","given":"C."}],"issued":{"date-parts":[["2021"]]}}},{"id":404,"uris":["http://zotero.org/users/local/9dBn5Ahe/items/DGWJWX47"],"itemData":{"id":404,"type":"article-journal","container-title":"Frontiers in Cellular and Infection Microbiology","language":"en","title":"Gut Microbiota: An Important Player in Type 2 Diabetes Mellitus","author":[{"family":"Zhou","given":"Z."},{"family":"Sun","given":"B."},{"family":"Yu","given":"D."},{"family":"Zhu","given":"C."}],"issued":{"date-parts":[["2022",2,15]]}}}],"schema":"https://github.com/citation-style-language/schema/raw/master/csl-citation.json"}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(Liu, 2021; Zhou et al., 2022)</w:t>
      </w:r>
      <w:r w:rsidRPr="00C122BB">
        <w:rPr>
          <w:rFonts w:ascii="Arial" w:hAnsi="Arial" w:cs="Arial"/>
          <w:sz w:val="22"/>
          <w:szCs w:val="22"/>
        </w:rPr>
        <w:fldChar w:fldCharType="end"/>
      </w:r>
      <w:r w:rsidRPr="00C122BB">
        <w:rPr>
          <w:rFonts w:ascii="Arial" w:hAnsi="Arial" w:cs="Arial"/>
          <w:sz w:val="22"/>
          <w:szCs w:val="22"/>
        </w:rPr>
        <w:t xml:space="preserve">. In healthy humans, the gut microbiota supports physiological functions, maintaining equilibrium between the body and its environment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{"citationID":"EePaCfu1","properties":{"formattedCitation":"(Krishnan et al., 2015)","plainCitation":"(Krishnan et al., 2015)","noteIndex":0},"citationItems":[{"id":406,"uris":["http://zotero.org/users/local/9dBn5Ahe/items/HZT4K32P"],"itemData":{"id":406,"type":"article-journal","container-title":"Current Opinion in Biotechnology","language":"en","page":"137–45","title":"Pathways and functions of gut microbiota metabolism impacting host physiology","volume":"36","author":[{"family":"Krishnan","given":"S."},{"family":"Alden","given":"N."},{"family":"Lee","given":"K."}],"issued":{"date-parts":[["2015"]]}}}],"schema":"https://github.com/citation-style-language/schema/raw/master/csl-citation.json"}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(Krishnan et al., 2015)</w:t>
      </w:r>
      <w:r w:rsidRPr="00C122BB">
        <w:rPr>
          <w:rFonts w:ascii="Arial" w:hAnsi="Arial" w:cs="Arial"/>
          <w:sz w:val="22"/>
          <w:szCs w:val="22"/>
        </w:rPr>
        <w:fldChar w:fldCharType="end"/>
      </w:r>
      <w:r w:rsidRPr="00C122BB">
        <w:rPr>
          <w:rFonts w:ascii="Arial" w:hAnsi="Arial" w:cs="Arial"/>
          <w:sz w:val="22"/>
          <w:szCs w:val="22"/>
        </w:rPr>
        <w:t xml:space="preserve">. Its principal tasks include food digesting, vitamin production, immunological control, pathogen inhibition, and toxin removal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{"citationID":"oV9eBrFN","properties":{"formattedCitation":"(Flint et al., 2012; Fujimura et al., 2010)","plainCitation":"(Flint et al., 2012; Fujimura et al., 2010)","noteIndex":0},"citationItems":[{"id":407,"uris":["http://zotero.org/users/local/9dBn5Ahe/items/RCUESPUU"],"itemData":{"id":407,"type":"article-journal","container-title":"Nature Reviews Gastroenterology &amp; Hepatology","language":"en","title":"The role of the gut microbiota in nutrition and health","volume":"4;9(10):577–89","author":[{"family":"Flint","given":"H.J."},{"family":"Scott","given":"K.P."},{"family":"Louis","given":"P."},{"family":"Duncan","given":"S.H."}],"issued":{"date-parts":[["2012",9]]}}},{"id":408,"uris":["http://zotero.org/users/local/9dBn5Ahe/items/WJSDLI8J"],"itemData":{"id":408,"type":"article-journal","container-title":"Expert Review of Anti-infective Therapy","language":"en","title":"Role of the gut microbiota in defining human health","volume":"Apr;8(4):435–54","author":[{"family":"Fujimura","given":"K.E."},{"family":"Slusher","given":"N.A."},{"family":"Cabana","given":"M.D."},{"family":"Lynch","given":"S.V."}],"issued":{"date-parts":[["2010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(Flint et al., 2012; Fujimura et al., 2010)</w:t>
      </w:r>
      <w:r w:rsidRPr="00C122BB">
        <w:rPr>
          <w:rFonts w:ascii="Arial" w:hAnsi="Arial" w:cs="Arial"/>
          <w:sz w:val="22"/>
          <w:szCs w:val="22"/>
        </w:rPr>
        <w:fldChar w:fldCharType="end"/>
      </w:r>
      <w:r w:rsidRPr="00C122BB">
        <w:rPr>
          <w:rFonts w:ascii="Arial" w:hAnsi="Arial" w:cs="Arial"/>
          <w:sz w:val="22"/>
          <w:szCs w:val="22"/>
        </w:rPr>
        <w:t xml:space="preserve">. An imbalance in the intestinal environment may trigger metabolic illnesses, including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{"citationID":"5nI9i7lP","properties":{"formattedCitation":"(Woting &amp; Blaut, 2016)","plainCitation":"(Woting &amp; Blaut, 2016)","noteIndex":0},"citationItems":[{"id":409,"uris":["http://zotero.org/users/local/9dBn5Ahe/items/A9HPH3A3"],"itemData":{"id":409,"type":"article-journal","container-title":"Nutrients","language":"af","title":"The Intestinal Microbiota in Metabolic Disease","volume":"6;8(4):202","author":[{"family":"Woting","given":"A."},{"family":"Blaut","given":"M."}],"issued":{"date-parts":[["2016"]]}}}],"schema":"https://github.com/citation-style-language/schema/raw/master/csl-citation.json"}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(Woting &amp; Blaut, 2016)</w:t>
      </w:r>
      <w:r w:rsidRPr="00C122BB">
        <w:rPr>
          <w:rFonts w:ascii="Arial" w:hAnsi="Arial" w:cs="Arial"/>
          <w:sz w:val="22"/>
          <w:szCs w:val="22"/>
        </w:rPr>
        <w:fldChar w:fldCharType="end"/>
      </w:r>
      <w:r w:rsidRPr="00C122BB">
        <w:rPr>
          <w:rFonts w:ascii="Arial" w:hAnsi="Arial" w:cs="Arial"/>
          <w:sz w:val="22"/>
          <w:szCs w:val="22"/>
        </w:rPr>
        <w:t xml:space="preserve">. In Type 2 Diabetes Mellitus, the gut microbiota substantially affects inflammatory regulation, food interactions, intestinal permeability, glucose and lipid metabolism, insulin sensitivity, and the maintenance of homeostasis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{"citationID":"XmsaP8Jj","properties":{"formattedCitation":"(Yan et al., 2024)","plainCitation":"(Yan et al., 2024)","noteIndex":0},"citationItems":[{"id":410,"uris":["http://zotero.org/users/local/9dBn5Ahe/items/TDJAZTMY"],"itemData":{"id":410,"type":"article-journal","container-title":"Nutrients","language":"en","title":"Managing Type 2 Diabetes Mellitus via the Regulation of Gut Microbiota: A Chinese Medicine Perspective","volume":"18;16(22):3935–5","author":[{"family":"Yan","given":"C."},{"family":"Zhong","given":"L."},{"family":"Ng","given":"H.S."},{"family":"Goh","given":"K.S."},{"family":"Zhao","given":"Y."}],"issued":{"date-parts":[["2024",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(Yan et al., 2024)</w:t>
      </w:r>
      <w:r w:rsidRPr="00C122BB">
        <w:rPr>
          <w:rFonts w:ascii="Arial" w:hAnsi="Arial" w:cs="Arial"/>
          <w:sz w:val="22"/>
          <w:szCs w:val="22"/>
        </w:rPr>
        <w:fldChar w:fldCharType="end"/>
      </w:r>
      <w:r w:rsidRPr="00C122BB">
        <w:rPr>
          <w:rFonts w:ascii="Arial" w:hAnsi="Arial" w:cs="Arial"/>
          <w:sz w:val="22"/>
          <w:szCs w:val="22"/>
        </w:rPr>
        <w:t>.</w:t>
      </w:r>
    </w:p>
    <w:p w14:paraId="5661DDE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Diverse therapy targeting gut microbiota, encompassing pharmaceutical interventions and dietary alterations, may effectively manage Type 2 Diabetes Mellitus (T2DM). </w:t>
      </w:r>
    </w:p>
    <w:p w14:paraId="038AA59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Probiotics </w:t>
      </w:r>
      <w:r w:rsidRPr="00C122BB">
        <w:rPr>
          <w:rFonts w:ascii="Arial" w:hAnsi="Arial" w:cs="Arial"/>
          <w:sz w:val="22"/>
          <w:szCs w:val="22"/>
        </w:rPr>
        <w:br/>
      </w:r>
      <w:proofErr w:type="spellStart"/>
      <w:r w:rsidRPr="00C122BB">
        <w:rPr>
          <w:rFonts w:ascii="Arial" w:hAnsi="Arial" w:cs="Arial"/>
          <w:sz w:val="22"/>
          <w:szCs w:val="22"/>
        </w:rPr>
        <w:t>Probiotics</w:t>
      </w:r>
      <w:proofErr w:type="spellEnd"/>
      <w:r w:rsidRPr="00C122BB">
        <w:rPr>
          <w:rFonts w:ascii="Arial" w:hAnsi="Arial" w:cs="Arial"/>
          <w:sz w:val="22"/>
          <w:szCs w:val="22"/>
        </w:rPr>
        <w:t xml:space="preserve"> are living bacteria that beneficially affect human health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{"citationID":"Xk12JyW6","properties":{"formattedCitation":"(Schrezenmeir &amp; Vrese, n.d.)","plainCitation":"(Schrezenmeir &amp; Vrese, n.d.)","noteIndex":0},"citationItems":[{"id":411,"uris":["http://zotero.org/users/local/9dBn5Ahe/items/7FGVPTLX"],"itemData":{"id":411,"type":"article-journal","container-title":"The American Journal of Clinical Nutrition","language":"en","title":"Probiotics, prebiotics, and synbiotics—approaching a definition","URL":"https://academic.oup.com/ajcn/article/73/2/361s/4737561","volume":"18];73(2):361s364s","author":[{"family":"Schrezenmeir","given":"J."},{"family":"Vrese","given":"M."}]}}],"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 xml:space="preserve">(Schrezenmeir &amp; </w:t>
      </w:r>
      <w:r w:rsidRPr="00C122BB">
        <w:rPr>
          <w:rFonts w:ascii="Arial" w:hAnsi="Arial" w:cs="Arial"/>
          <w:sz w:val="22"/>
          <w:szCs w:val="22"/>
        </w:rPr>
        <w:lastRenderedPageBreak/>
        <w:t>Vrese, 2001)</w:t>
      </w:r>
      <w:r w:rsidRPr="00C122BB">
        <w:rPr>
          <w:rFonts w:ascii="Arial" w:hAnsi="Arial" w:cs="Arial"/>
          <w:sz w:val="22"/>
          <w:szCs w:val="22"/>
        </w:rPr>
        <w:fldChar w:fldCharType="end"/>
      </w:r>
      <w:r w:rsidRPr="00C122BB">
        <w:rPr>
          <w:rFonts w:ascii="Arial" w:hAnsi="Arial" w:cs="Arial"/>
          <w:sz w:val="22"/>
          <w:szCs w:val="22"/>
        </w:rPr>
        <w:t xml:space="preserve">. A multitude of beneficial benefits of probiotics has been recorded, including the enhancement of gut health, alleviation of lactose intolerance symptoms, inhibition of pathogenic bacterial proliferation, production of short-chain fatty acids (SCFAs), regulation of pH levels, and activation of the immune system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{"citationID":"vjaONwqm","properties":{"formattedCitation":"(Markowitz, 2003)","plainCitation":"(Markowitz, 2003)","noteIndex":0},"citationItems":[{"id":158,"uris":["http://zotero.org/users/local/9dBn5Ahe/items/FL6TZT87"],"itemData":{"id":158,"type":"article-journal","container-title":"JAMA","DOI":"10.1001/jama.290.11.1500","issue":"11","language":"en","title":"Effect of St John’s Wort on Drug Metabolism by Induction of Cytochrome P450 3A4 Enzyme","URL":"https://doi.org/10.1001/jama.290.11.1500","volume":"290","author":[{"family":"Markowitz","given":"J.S."}],"issued":{"date-parts":[["2003"]]}}}],"schema":"https://github.com/citation-style-language/schema/raw/master/csl-citation.json"}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(Markowitz, 2003)</w:t>
      </w:r>
      <w:r w:rsidRPr="00C122BB">
        <w:rPr>
          <w:rFonts w:ascii="Arial" w:hAnsi="Arial" w:cs="Arial"/>
          <w:sz w:val="22"/>
          <w:szCs w:val="22"/>
        </w:rPr>
        <w:fldChar w:fldCharType="end"/>
      </w:r>
      <w:r w:rsidRPr="00C122BB">
        <w:rPr>
          <w:rFonts w:ascii="Arial" w:hAnsi="Arial" w:cs="Arial"/>
          <w:sz w:val="22"/>
          <w:szCs w:val="22"/>
        </w:rPr>
        <w:t xml:space="preserve">. The utilization of probiotics in the management of Type 2 Diabetes Mellitus (T2DM) is significant; yet, limited research has evaluated their impact in clinical settings. Preliminary research indicated that altering gut microbial composition via probiotic administration may improve T2DM by reducing pro-inflammatory cytokines, intestinal permeability, and oxidative stress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{"citationID":"NAjjZXQ7","properties":{"formattedCitation":"(Kim et al., 2017)","plainCitation":"(Kim et al., 2017)","noteIndex":0},"citationItems":[{"id":414,"uris":["http://zotero.org/users/local/9dBn5Ahe/items/3S5XKPPF"],"itemData":{"id":414,"type":"article-journal","container-title":"Nutrition Research Reviews","language":"ca","title":"Probiotics, prebiotics, synbiotics and insulin sensitivity","volume":"17;31(1):35–51","author":[{"family":"Kim","given":"Y.A."},{"family":"Keogh","given":"J.B."},{"family":"Clifton","given":"P.M."}],"issued":{"date-parts":[["2017",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(Kim et al., 2017)</w:t>
      </w:r>
      <w:r w:rsidRPr="00C122BB">
        <w:rPr>
          <w:rFonts w:ascii="Arial" w:hAnsi="Arial" w:cs="Arial"/>
          <w:sz w:val="22"/>
          <w:szCs w:val="22"/>
        </w:rPr>
        <w:fldChar w:fldCharType="end"/>
      </w:r>
      <w:r w:rsidRPr="00C122BB">
        <w:rPr>
          <w:rFonts w:ascii="Arial" w:hAnsi="Arial" w:cs="Arial"/>
          <w:sz w:val="22"/>
          <w:szCs w:val="22"/>
        </w:rPr>
        <w:t xml:space="preserve">. Various bacterial species, including Bifidobacterium longum subsp., are employed in commercial probiotic supplements. Species of </w:t>
      </w:r>
      <w:proofErr w:type="spellStart"/>
      <w:r w:rsidRPr="00C122BB">
        <w:rPr>
          <w:rFonts w:ascii="Arial" w:hAnsi="Arial" w:cs="Arial"/>
          <w:sz w:val="22"/>
          <w:szCs w:val="22"/>
        </w:rPr>
        <w:t>Infantis</w:t>
      </w:r>
      <w:proofErr w:type="spellEnd"/>
      <w:r w:rsidRPr="00C122BB">
        <w:rPr>
          <w:rFonts w:ascii="Arial" w:hAnsi="Arial" w:cs="Arial"/>
          <w:sz w:val="22"/>
          <w:szCs w:val="22"/>
        </w:rPr>
        <w:t xml:space="preserve">, Lactobacillus, Streptococcus, </w:t>
      </w:r>
      <w:proofErr w:type="spellStart"/>
      <w:r w:rsidRPr="00C122BB">
        <w:rPr>
          <w:rFonts w:ascii="Arial" w:hAnsi="Arial" w:cs="Arial"/>
          <w:sz w:val="22"/>
          <w:szCs w:val="22"/>
        </w:rPr>
        <w:t>Pediococcus</w:t>
      </w:r>
      <w:proofErr w:type="spellEnd"/>
      <w:r w:rsidRPr="00C122BB">
        <w:rPr>
          <w:rFonts w:ascii="Arial" w:hAnsi="Arial" w:cs="Arial"/>
          <w:sz w:val="22"/>
          <w:szCs w:val="22"/>
        </w:rPr>
        <w:t xml:space="preserve">, and Lactococcus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{"citationID":"dGjczxOV","properties":{"formattedCitation":"(Kechagia et al., 2013)","plainCitation":"(Kechagia et al., 2013)","noteIndex":0},"citationItems":[{"id":415,"uris":["http://zotero.org/users/local/9dBn5Ahe/items/JQ3FAM5X"],"itemData":{"id":415,"type":"article-journal","container-title":"ISRN Nutrition [Internet","language":"en","title":"Health Benefits of Probiotics: A Review","URL":"https://www.ncbi.nlm.nih.gov/pmc/articles/PMC4045285/","volume":"2;2013(1):1–7","author":[{"family":"Kechagia","given":"M."},{"family":"Basoulis","given":"D."},{"family":"Konstantopoulou","given":"S."},{"family":"Dimitriadi","given":"D."},{"family":"Gyftopoulou","given":"K."},{"family":"Skarmoutsou","given":"N."}],"issued":{"date-parts":[["2013",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(Kechagia et al., 2013)</w:t>
      </w:r>
      <w:r w:rsidRPr="00C122BB">
        <w:rPr>
          <w:rFonts w:ascii="Arial" w:hAnsi="Arial" w:cs="Arial"/>
          <w:sz w:val="22"/>
          <w:szCs w:val="22"/>
        </w:rPr>
        <w:fldChar w:fldCharType="end"/>
      </w:r>
      <w:r w:rsidRPr="00C122BB">
        <w:rPr>
          <w:rFonts w:ascii="Arial" w:hAnsi="Arial" w:cs="Arial"/>
          <w:sz w:val="22"/>
          <w:szCs w:val="22"/>
        </w:rPr>
        <w:t xml:space="preserve">. Lactobacillus </w:t>
      </w:r>
      <w:proofErr w:type="spellStart"/>
      <w:r w:rsidRPr="00C122BB">
        <w:rPr>
          <w:rFonts w:ascii="Arial" w:hAnsi="Arial" w:cs="Arial"/>
          <w:sz w:val="22"/>
          <w:szCs w:val="22"/>
        </w:rPr>
        <w:t>gasseri</w:t>
      </w:r>
      <w:proofErr w:type="spellEnd"/>
      <w:r w:rsidRPr="00C122BB">
        <w:rPr>
          <w:rFonts w:ascii="Arial" w:hAnsi="Arial" w:cs="Arial"/>
          <w:sz w:val="22"/>
          <w:szCs w:val="22"/>
        </w:rPr>
        <w:t xml:space="preserve">, Lactobacillus </w:t>
      </w:r>
      <w:proofErr w:type="spellStart"/>
      <w:r w:rsidRPr="00C122BB">
        <w:rPr>
          <w:rFonts w:ascii="Arial" w:hAnsi="Arial" w:cs="Arial"/>
          <w:sz w:val="22"/>
          <w:szCs w:val="22"/>
        </w:rPr>
        <w:t>helveticus</w:t>
      </w:r>
      <w:proofErr w:type="spellEnd"/>
      <w:r w:rsidRPr="00C122BB">
        <w:rPr>
          <w:rFonts w:ascii="Arial" w:hAnsi="Arial" w:cs="Arial"/>
          <w:sz w:val="22"/>
          <w:szCs w:val="22"/>
        </w:rPr>
        <w:t xml:space="preserve">, Lactobacillus casei, and Bifidobacterium bifidum probiotics reduce fasting blood glucose levels and HbA1c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{"citationID":"JdHJnWtW","properties":{"formattedCitation":"(Huda et al., 2021)","plainCitation":"(Huda et al., 2021)","noteIndex":0},"citationItems":[{"id":417,"uris":["http://zotero.org/users/local/9dBn5Ahe/items/MMVZX9NZ"],"itemData":{"id":417,"type":"article-journal","container-title":"Frontiers in Endocrinology","language":"en","title":"Modulating the Microbiota as a Therapeutic Intervention for Type 2 Diabetes","volume":"7;12","author":[{"family":"Huda","given":"M.N."},{"family":"Kim","given":"M."},{"family":"Bennett","given":"B.J."}],"issued":{"date-parts":[["2021"]]}}}],"schema":"https://github.com/citation-style-language/schema/raw/master/csl-citation.json"}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(Huda et al., 2021)</w:t>
      </w:r>
      <w:r w:rsidRPr="00C122BB">
        <w:rPr>
          <w:rFonts w:ascii="Arial" w:hAnsi="Arial" w:cs="Arial"/>
          <w:sz w:val="22"/>
          <w:szCs w:val="22"/>
        </w:rPr>
        <w:fldChar w:fldCharType="end"/>
      </w:r>
      <w:r w:rsidRPr="00C122BB">
        <w:rPr>
          <w:rFonts w:ascii="Arial" w:hAnsi="Arial" w:cs="Arial"/>
          <w:sz w:val="22"/>
          <w:szCs w:val="22"/>
        </w:rPr>
        <w:t xml:space="preserve">. These probiotics function by exhibiting antioxidant and immunomodulatory properties, reducing oxidative stress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{"citationID":"Qy9ZBrTD","properties":{"formattedCitation":"(Singh et al., 2011)","plainCitation":"(Singh et al., 2011)","noteIndex":0},"citationItems":[{"id":215,"uris":["http://zotero.org/users/local/9dBn5Ahe/items/79359UF6"],"itemData":{"id":215,"type":"article-journal","container-title":"Pharmacognosy Reviews","DOI":"10.4103/0973-7847.79103","issue":"9","language":"en","page":"82","title":"Chamomile (Matricaria chamomilla L.): An overview","volume":"5","author":[{"family":"Singh","given":"O."},{"family":"Khanam","given":"Z."},{"family":"Misra","given":"N."},{"family":"Srivastava","given":"M."}],"issued":{"date-parts":[["2011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(Singh et al., 2011)</w:t>
      </w:r>
      <w:r w:rsidRPr="00C122BB">
        <w:rPr>
          <w:rFonts w:ascii="Arial" w:hAnsi="Arial" w:cs="Arial"/>
          <w:sz w:val="22"/>
          <w:szCs w:val="22"/>
        </w:rPr>
        <w:fldChar w:fldCharType="end"/>
      </w:r>
      <w:r w:rsidRPr="00C122BB">
        <w:rPr>
          <w:rFonts w:ascii="Arial" w:hAnsi="Arial" w:cs="Arial"/>
          <w:sz w:val="22"/>
          <w:szCs w:val="22"/>
        </w:rPr>
        <w:t xml:space="preserve">, diminishing inflammatory mediators, and inhibiting the effector functions of CD4+ T-cells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{"citationID":"DcaM0gca","properties":{"formattedCitation":"(So et al., 2008)","plainCitation":"(So et al., 2008)","noteIndex":0},"citationItems":[{"id":419,"uris":["http://zotero.org/users/local/9dBn5Ahe/items/VNJN5BVP"],"itemData":{"id":419,"type":"article-journal","container-title":"Molecular Immunology","language":"en","title":"Lactobacillus casei suppresses experimental arthritis by down-regulating T helper 1 effector functions","volume":"May;45(9):2690–9","author":[{"family":"So","given":"J.S."},{"family":"Kwon","given":"H.K."},{"family":"Lee","given":"C.G."},{"family":"Yi","given":"H.J."},{"family":"Jin-A","given":"Park"},{"family":"Lim","given":"S.Y."}],"issued":{"date-parts":[["2008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(So et al., 2008)</w:t>
      </w:r>
      <w:r w:rsidRPr="00C122BB">
        <w:rPr>
          <w:rFonts w:ascii="Arial" w:hAnsi="Arial" w:cs="Arial"/>
          <w:sz w:val="22"/>
          <w:szCs w:val="22"/>
        </w:rPr>
        <w:fldChar w:fldCharType="end"/>
      </w:r>
      <w:r w:rsidRPr="00C122BB">
        <w:rPr>
          <w:rFonts w:ascii="Arial" w:hAnsi="Arial" w:cs="Arial"/>
          <w:sz w:val="22"/>
          <w:szCs w:val="22"/>
        </w:rPr>
        <w:t xml:space="preserve">, potentially leading to lower blood glucose levels and a decreased risk of Type 2 diabetes mellitus. Recent meta-analyses demonstrate that probiotic supplementation improves fasting blood glucose, HbA1c, and homeostatic model assessment for insulin resistance (HOMA-IR) in individuals with type 2 diabetes mellitus (T2DM), suggesting its recommendation as an adjunct to pharmacological and lifestyle interventions for T2DM management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{"citationID":"5nEETIOK","properties":{"formattedCitation":"(Bock et al., 2020; Kasi\\uc0\\u324{}ska &amp; Drzewoski, 2015)","plainCitation":"(Bock et al., 2020; Kasińska &amp; Drzewoski, 2015)","noteIndex":0},"citationItems":[{"id":420,"uris":["http://zotero.org/users/local/9dBn5Ahe/items/AVXDUHCL"],"itemData":{"id":420,"type":"article-journal","container-title":"Diabetologia","language":"en","title":"The effect of probiotics, prebiotics or synbiotics on metabolic outcomes in individuals with diabetes: a systematic review and meta-analysis","author":[{"family":"Bock","given":"P.M."},{"family":"Telo","given":"G.H."},{"family":"Ramalho","given":"R."},{"family":"Sbaraini","given":"M."},{"family":"Leivas","given":"G."},{"family":"Martins","given":"A.F."}],"issued":{"date-parts":[["2020",10,13]]}}},{"id":421,"uris":["http://zotero.org/users/local/9dBn5Ahe/items/J8N2UCB3"],"itemData":{"id":421,"type":"article-journal","container-title":"Polish Archives of Internal Medicine","language":"en","title":"Effectiveness of probiotics in type 2 diabetes: a meta-analysis","volume":"2;125(11):803–13","author":[{"family":"Kasińska","given":"M.A."},{"family":"Drzewoski","given":"J."}],"issued":{"date-parts":[["2015",10]]}}}],"schema":"https://github.com/citation-style-language/schema/raw/master/csl-citation.json"}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(Bock et al., 2020; Kasińska &amp; Drzewoski, 2015)</w:t>
      </w:r>
      <w:r w:rsidRPr="00C122BB">
        <w:rPr>
          <w:rFonts w:ascii="Arial" w:hAnsi="Arial" w:cs="Arial"/>
          <w:sz w:val="22"/>
          <w:szCs w:val="22"/>
        </w:rPr>
        <w:fldChar w:fldCharType="end"/>
      </w:r>
      <w:r w:rsidRPr="00C122BB">
        <w:rPr>
          <w:rFonts w:ascii="Arial" w:hAnsi="Arial" w:cs="Arial"/>
          <w:sz w:val="22"/>
          <w:szCs w:val="22"/>
        </w:rPr>
        <w:t>.</w:t>
      </w:r>
    </w:p>
    <w:p w14:paraId="78FE3317" w14:textId="77777777" w:rsidR="00C122BB" w:rsidRPr="00C122BB" w:rsidRDefault="00C122BB" w:rsidP="00C122BB">
      <w:pPr>
        <w:jc w:val="both"/>
        <w:rPr>
          <w:rFonts w:ascii="Arial" w:hAnsi="Arial" w:cs="Arial"/>
          <w:sz w:val="22"/>
          <w:szCs w:val="22"/>
        </w:rPr>
      </w:pPr>
      <w:r w:rsidRPr="00C122BB">
        <w:rPr>
          <w:rFonts w:ascii="Arial" w:hAnsi="Arial" w:cs="Arial"/>
          <w:b/>
          <w:sz w:val="22"/>
          <w:szCs w:val="22"/>
        </w:rPr>
        <w:t xml:space="preserve">Prebiotics </w:t>
      </w:r>
      <w:r w:rsidRPr="00C122BB">
        <w:rPr>
          <w:rFonts w:ascii="Arial" w:hAnsi="Arial" w:cs="Arial"/>
          <w:b/>
          <w:sz w:val="22"/>
          <w:szCs w:val="22"/>
        </w:rPr>
        <w:br/>
      </w:r>
      <w:proofErr w:type="spellStart"/>
      <w:r w:rsidRPr="00C122BB">
        <w:rPr>
          <w:rFonts w:ascii="Arial" w:hAnsi="Arial" w:cs="Arial"/>
          <w:sz w:val="22"/>
          <w:szCs w:val="22"/>
        </w:rPr>
        <w:t>Prebiotics</w:t>
      </w:r>
      <w:proofErr w:type="spellEnd"/>
      <w:r w:rsidRPr="00C122BB">
        <w:rPr>
          <w:rFonts w:ascii="Arial" w:hAnsi="Arial" w:cs="Arial"/>
          <w:sz w:val="22"/>
          <w:szCs w:val="22"/>
        </w:rPr>
        <w:t xml:space="preserve"> are the non-digestible food ingredients that beneficially affect the host by selectively stimulating the growth and (or) the activity of one or a limited number of bacterial species already resident in the colon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{"citationID":"KS0pd6bw","properties":{"formattedCitation":"(Gibson &amp; Roberfroid, 1995)","plainCitation":"(Gibson &amp; Roberfroid, 1995)","noteIndex":0},"citationItems":[{"id":422,"uris":["http://zotero.org/users/local/9dBn5Ahe/items/X7QYXT5X"],"itemData":{"id":422,"type":"article-journal","container-title":"The Journal of Nutrition [Internet","language":"en","title":"Dietary Modulation of the Human Colonic Microbiota: Introducing the Concept of Prebiotics","URL":"https://pubmed.ncbi.nlm.nih.gov/7782892/","volume":"1;125(6):1401–12","author":[{"family":"Gibson","given":"G.R."},{"family":"Roberfroid","given":"M.B."}],"issued":{"date-parts":[["1995",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(Gibson &amp; Roberfroid, 1995)</w:t>
      </w:r>
      <w:r w:rsidRPr="00C122BB">
        <w:rPr>
          <w:rFonts w:ascii="Arial" w:hAnsi="Arial" w:cs="Arial"/>
          <w:sz w:val="22"/>
          <w:szCs w:val="22"/>
        </w:rPr>
        <w:fldChar w:fldCharType="end"/>
      </w:r>
      <w:r w:rsidRPr="00C122BB">
        <w:rPr>
          <w:rFonts w:ascii="Arial" w:hAnsi="Arial" w:cs="Arial"/>
          <w:sz w:val="22"/>
          <w:szCs w:val="22"/>
        </w:rPr>
        <w:t xml:space="preserve">. Inulin, a linear β-2,1 fructosyl-fructose polydisperse carbohydrate material with or without an α-D-glucose moiety, is one of the most studied prebiotics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{"citationID":"diBYDlED","properties":{"formattedCitation":"(Roberfroid, 2005)","plainCitation":"(Roberfroid, 2005)","noteIndex":0},"citationItems":[{"id":424,"uris":["http://zotero.org/users/local/9dBn5Ahe/items/FZJ24AN8"],"itemData":{"id":424,"type":"article-journal","container-title":"British Journal of Nutrition","language":"en","title":"Introducing inulin-type fructans","URL":"https://www.cambridge.org/core/journals/british-journal-of-nutrition/article/introducing-inulintype-fructans/72F536DAEAC3BCBE7D0AF40A2AC97242","author":[{"family":"Roberfroid","given":"M.B."}],"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(Roberfroid, 2005)</w:t>
      </w:r>
      <w:r w:rsidRPr="00C122BB">
        <w:rPr>
          <w:rFonts w:ascii="Arial" w:hAnsi="Arial" w:cs="Arial"/>
          <w:sz w:val="22"/>
          <w:szCs w:val="22"/>
        </w:rPr>
        <w:fldChar w:fldCharType="end"/>
      </w:r>
      <w:r w:rsidRPr="00C122BB">
        <w:rPr>
          <w:rFonts w:ascii="Arial" w:hAnsi="Arial" w:cs="Arial"/>
          <w:sz w:val="22"/>
          <w:szCs w:val="22"/>
        </w:rPr>
        <w:t xml:space="preserve">. Inulin-type fructooligosaccharide (ITF) improved glycemia by increasing the production and release of the active forms of GLP-1 from the cecum and proximal colon and reducing plasma ghrelin concentration in the rat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{"citationID":"FQZfVV1v","properties":{"formattedCitation":"(Cani et al., 2004)","plainCitation":"(Cani et al., 2004)","noteIndex":0},"citationItems":[{"id":426,"uris":["http://zotero.org/users/local/9dBn5Ahe/items/QYSL2KC4"],"itemData":{"id":426,"type":"article-journal","container-title":"British Journal of Nutrition","language":"en","title":"Inulin-type fructans modulate gastrointestinal peptides involved in appetite regulation (glucagon-like peptide-1 and ghrelin) in rats","volume":"Sep;92(3):521–6","author":[{"family":"Cani","given":"P.D."},{"family":"Dewever","given":"C."},{"family":"Delzenne","given":"N.M."}],"issued":{"date-parts":[["2004"]]}}}],"schema":"https://github.com/citation-style-language/schema/raw/master/csl-citation.json"}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(Cani et al., 2004)</w:t>
      </w:r>
      <w:r w:rsidRPr="00C122BB">
        <w:rPr>
          <w:rFonts w:ascii="Arial" w:hAnsi="Arial" w:cs="Arial"/>
          <w:sz w:val="22"/>
          <w:szCs w:val="22"/>
        </w:rPr>
        <w:fldChar w:fldCharType="end"/>
      </w:r>
      <w:r w:rsidRPr="00C122BB">
        <w:rPr>
          <w:rFonts w:ascii="Arial" w:hAnsi="Arial" w:cs="Arial"/>
          <w:sz w:val="22"/>
          <w:szCs w:val="22"/>
        </w:rPr>
        <w:t xml:space="preserve">. A recent placebo-controlled crossover clinical trial found enrichment of Bifidobacterium and Bacteroides with a significantly higher fecal SCFAs concentration due to ITF consumption compared to placebo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{"citationID":"bCE9RDAo","properties":{"formattedCitation":"(Birkeland et al., 2020)","plainCitation":"(Birkeland et al., 2020)","noteIndex":0},"citationItems":[{"id":427,"uris":["http://zotero.org/users/local/9dBn5Ahe/items/JT6UXLED"],"itemData":{"id":427,"type":"article-journal","container-title":"European Journal of Nutrition","language":"en","title":"Prebiotic effect of inulin-type fructans on faecal microbiota and short-chain fatty acids in type 2 diabetes: a randomised controlled trial","author":[{"family":"Birkeland","given":"E."},{"family":"Gharagozlian","given":"S."},{"family":"Birkeland","given":"K.I."},{"family":"Valeur","given":"J."},{"family":"Måge","given":"I."},{"family":"Rud","given":"I."}],"issued":{"date-parts":[["2020",5,21]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(Birkeland et al., 2020)</w:t>
      </w:r>
      <w:r w:rsidRPr="00C122BB">
        <w:rPr>
          <w:rFonts w:ascii="Arial" w:hAnsi="Arial" w:cs="Arial"/>
          <w:sz w:val="22"/>
          <w:szCs w:val="22"/>
        </w:rPr>
        <w:fldChar w:fldCharType="end"/>
      </w:r>
      <w:r w:rsidRPr="00C122BB">
        <w:rPr>
          <w:rFonts w:ascii="Arial" w:hAnsi="Arial" w:cs="Arial"/>
          <w:sz w:val="22"/>
          <w:szCs w:val="22"/>
        </w:rPr>
        <w:t xml:space="preserve">. Additionally, the relative abundance of Cyanobacteria and Bacteroides is increased, and a reduction in the relative abundance of </w:t>
      </w:r>
      <w:proofErr w:type="spellStart"/>
      <w:r w:rsidRPr="00C122BB">
        <w:rPr>
          <w:rFonts w:ascii="Arial" w:hAnsi="Arial" w:cs="Arial"/>
          <w:sz w:val="22"/>
          <w:szCs w:val="22"/>
        </w:rPr>
        <w:t>Ruminiclostridium</w:t>
      </w:r>
      <w:proofErr w:type="spellEnd"/>
      <w:r w:rsidRPr="00C122BB">
        <w:rPr>
          <w:rFonts w:ascii="Arial" w:hAnsi="Arial" w:cs="Arial"/>
          <w:sz w:val="22"/>
          <w:szCs w:val="22"/>
        </w:rPr>
        <w:t xml:space="preserve">, </w:t>
      </w:r>
      <w:proofErr w:type="spellStart"/>
      <w:r w:rsidRPr="00C122BB">
        <w:rPr>
          <w:rFonts w:ascii="Arial" w:hAnsi="Arial" w:cs="Arial"/>
          <w:sz w:val="22"/>
          <w:szCs w:val="22"/>
        </w:rPr>
        <w:t>Deferribacteres</w:t>
      </w:r>
      <w:proofErr w:type="spellEnd"/>
      <w:r w:rsidRPr="00C122BB">
        <w:rPr>
          <w:rFonts w:ascii="Arial" w:hAnsi="Arial" w:cs="Arial"/>
          <w:sz w:val="22"/>
          <w:szCs w:val="22"/>
        </w:rPr>
        <w:t xml:space="preserve">, and </w:t>
      </w:r>
      <w:proofErr w:type="spellStart"/>
      <w:r w:rsidRPr="00C122BB">
        <w:rPr>
          <w:rFonts w:ascii="Arial" w:hAnsi="Arial" w:cs="Arial"/>
          <w:sz w:val="22"/>
          <w:szCs w:val="22"/>
        </w:rPr>
        <w:t>Tenericutes</w:t>
      </w:r>
      <w:proofErr w:type="spellEnd"/>
      <w:r w:rsidRPr="00C122BB">
        <w:rPr>
          <w:rFonts w:ascii="Arial" w:hAnsi="Arial" w:cs="Arial"/>
          <w:sz w:val="22"/>
          <w:szCs w:val="22"/>
        </w:rPr>
        <w:t xml:space="preserve"> is observed due to inulin supplementation, indicating that the dietary inulin alleviates T2DM via suppressing inflammation and modulating gut microbiota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{"citationID":"tmzdH31H","properties":{"formattedCitation":"(K. Li et al., n.d.)","plainCitation":"(K. Li et al., n.d.)","noteIndex":0},"citationItems":[{"id":428,"uris":["http://zotero.org/users/local/9dBn5Ahe/items/CHCTLJUJ"],"itemData":{"id":428,"type":"article-journal","container-title":"Food &amp; Function","language":"en","title":"Dietary inulin alleviates diverse stages of type 2 diabetes mellitus via anti-inflammation and modulating gut microbiota in db/db mice","URL":"https://pubs.rsc.org/ko/content/articlelanding/2019/fo/c8fo02265h/unauth#","volume":"19];10(4):1915–27","author":[{"family":"Li","given":"K."},{"family":"Zhang","given":"L."},{"family":"Xue","given":"J."},{"family":"Yang","given":"X."},{"family":"Dong","given":"X."},{"family":"Sha","given":"L."}]}}],"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(Li et al., 2019)</w:t>
      </w:r>
      <w:r w:rsidRPr="00C122BB">
        <w:rPr>
          <w:rFonts w:ascii="Arial" w:hAnsi="Arial" w:cs="Arial"/>
          <w:sz w:val="22"/>
          <w:szCs w:val="22"/>
        </w:rPr>
        <w:fldChar w:fldCharType="end"/>
      </w:r>
    </w:p>
    <w:p w14:paraId="4AFAF8E2"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4.0</w:t>
      </w:r>
      <w:r w:rsidRPr="00C122BB">
        <w:rPr>
          <w:rFonts w:ascii="Arial" w:hAnsi="Arial" w:cs="Arial"/>
          <w:b/>
          <w:sz w:val="22"/>
          <w:szCs w:val="22"/>
        </w:rPr>
        <w:tab/>
        <w:t xml:space="preserve"> SYNERGISTIC EFFECTS AND COMBINATORIAL STRATEGIES </w:t>
      </w:r>
    </w:p>
    <w:p w14:paraId="192AD5F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synergistic blend of prebiotics and probiotics may provide enhanced advantages compared to either prebiotic or probiotic alone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{"citationID":"ZpjGbQRC","properties":{"formattedCitation":"(Morshedi et al., 2020)","plainCitation":"(Morshedi et al., 2020)","noteIndex":0},"citationItems":[{"id":430,"uris":["http://zotero.org/users/local/9dBn5Ahe/items/KE4L8BSY"],"itemData":{"id":430,"type":"article-journal","container-title":"Journal of Translational Medicine","language":"en","title":"The potential therapeutic effects of the gut microbiome manipulation by synbiotic containing-Lactobacillus plantarum on neuropsychological performance of diabetic rats","volume":"10;18(1","author":[{"family":"Morshedi","given":"M."},{"family":"Saghafi-Asl","given":"M."},{"family":"Hosseinifard","given":"E.S."}],"issued":{"date-parts":[["2020",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(Morshedi et al., 2020)</w:t>
      </w:r>
      <w:r w:rsidRPr="00C122BB">
        <w:rPr>
          <w:rFonts w:ascii="Arial" w:hAnsi="Arial" w:cs="Arial"/>
          <w:sz w:val="22"/>
          <w:szCs w:val="22"/>
        </w:rPr>
        <w:fldChar w:fldCharType="end"/>
      </w:r>
      <w:r w:rsidRPr="00C122BB">
        <w:rPr>
          <w:rFonts w:ascii="Arial" w:hAnsi="Arial" w:cs="Arial"/>
          <w:sz w:val="22"/>
          <w:szCs w:val="22"/>
        </w:rPr>
        <w:t xml:space="preserve">. Lactobacillus acidophilus DSM20079 generates 14.5 times more butyrate when inulin or pectin is present compared to glucose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{"citationID":"3eCCsmS6","properties":{"formattedCitation":"(Nazzaro et al., 2012)","plainCitation":"(Nazzaro et al., 2012)","noteIndex":0},"citationItems":[{"id":431,"uris":["http://zotero.org/users/local/9dBn5Ahe/items/RQVF6TN4"],"itemData":{"id":431,"type":"article-journal","container-title":"Anaerobe","language":"en","title":"The prebiotic source influences the growth, biochemical features and survival under simulated gastrointestinal conditions of the probiotic Lactobacillus acidophilus","volume":"Jun;18(3):280–5","author":[{"family":"Nazzaro","given":"F."},{"family":"Fratianni","given":"F."},{"family":"Nicolaus","given":"B."},{"family":"Poli","given":"A."},{"family":"Orlando","given":"P."}],"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(Nazzaro et al., 2012)</w:t>
      </w:r>
      <w:r w:rsidRPr="00C122BB">
        <w:rPr>
          <w:rFonts w:ascii="Arial" w:hAnsi="Arial" w:cs="Arial"/>
          <w:sz w:val="22"/>
          <w:szCs w:val="22"/>
        </w:rPr>
        <w:fldChar w:fldCharType="end"/>
      </w:r>
      <w:r w:rsidRPr="00C122BB">
        <w:rPr>
          <w:rFonts w:ascii="Arial" w:hAnsi="Arial" w:cs="Arial"/>
          <w:sz w:val="22"/>
          <w:szCs w:val="22"/>
        </w:rPr>
        <w:t xml:space="preserve">. Berberine, a natural alkaloid sourced from Berberis </w:t>
      </w:r>
      <w:proofErr w:type="spellStart"/>
      <w:r w:rsidRPr="00C122BB">
        <w:rPr>
          <w:rFonts w:ascii="Arial" w:hAnsi="Arial" w:cs="Arial"/>
          <w:sz w:val="22"/>
          <w:szCs w:val="22"/>
        </w:rPr>
        <w:t>aristata</w:t>
      </w:r>
      <w:proofErr w:type="spellEnd"/>
      <w:r w:rsidRPr="00C122BB">
        <w:rPr>
          <w:rFonts w:ascii="Arial" w:hAnsi="Arial" w:cs="Arial"/>
          <w:sz w:val="22"/>
          <w:szCs w:val="22"/>
        </w:rPr>
        <w:t xml:space="preserve"> and </w:t>
      </w:r>
      <w:proofErr w:type="spellStart"/>
      <w:r w:rsidRPr="00C122BB">
        <w:rPr>
          <w:rFonts w:ascii="Arial" w:hAnsi="Arial" w:cs="Arial"/>
          <w:sz w:val="22"/>
          <w:szCs w:val="22"/>
        </w:rPr>
        <w:t>Coptis</w:t>
      </w:r>
      <w:proofErr w:type="spellEnd"/>
      <w:r w:rsidRPr="00C122BB">
        <w:rPr>
          <w:rFonts w:ascii="Arial" w:hAnsi="Arial" w:cs="Arial"/>
          <w:sz w:val="22"/>
          <w:szCs w:val="22"/>
        </w:rPr>
        <w:t xml:space="preserve"> </w:t>
      </w:r>
      <w:proofErr w:type="spellStart"/>
      <w:r w:rsidRPr="00C122BB">
        <w:rPr>
          <w:rFonts w:ascii="Arial" w:hAnsi="Arial" w:cs="Arial"/>
          <w:sz w:val="22"/>
          <w:szCs w:val="22"/>
        </w:rPr>
        <w:t>chinensis</w:t>
      </w:r>
      <w:proofErr w:type="spellEnd"/>
      <w:r w:rsidRPr="00C122BB">
        <w:rPr>
          <w:rFonts w:ascii="Arial" w:hAnsi="Arial" w:cs="Arial"/>
          <w:sz w:val="22"/>
          <w:szCs w:val="22"/>
        </w:rPr>
        <w:t xml:space="preserve">, is acknowledged as an efficacious therapy for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{"citationID":"kGfV215J","properties":{"formattedCitation":"(Y. Zhang et al., 2008)","plainCitation":"(Y. Zhang et al., 2008)","noteIndex":0},"citationItems":[{"id":432,"uris":["http://zotero.org/users/local/9dBn5Ahe/items/SZFDHZJH"],"itemData":{"id":432,"type":"article-journal","container-title":"The Journal of Clinical Endocrinology &amp; Metabolism","language":"en","title":"Treatment of Type 2 Diabetes and Dyslipidemia with the Natural Plant Alkaloid Berberine","volume":"1;93(7):2559–65","author":[{"family":"Zhang","given":"Y."},{"family":"Li","given":"X."},{"family":"Zou","given":"D."},{"family":"Liu","given":"W."},{"family":"Yang","given":"J."},{"family":"Zhu","given":"N."}],"issued":{"date-parts":[["2008",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(Zhang et al., 2008)</w:t>
      </w:r>
      <w:r w:rsidRPr="00C122BB">
        <w:rPr>
          <w:rFonts w:ascii="Arial" w:hAnsi="Arial" w:cs="Arial"/>
          <w:sz w:val="22"/>
          <w:szCs w:val="22"/>
        </w:rPr>
        <w:fldChar w:fldCharType="end"/>
      </w:r>
      <w:r w:rsidRPr="00C122BB">
        <w:rPr>
          <w:rFonts w:ascii="Arial" w:hAnsi="Arial" w:cs="Arial"/>
          <w:sz w:val="22"/>
          <w:szCs w:val="22"/>
        </w:rPr>
        <w:t xml:space="preserve">. A new randomized, double-blind, placebo-controlled experiment in China demonstrates </w:t>
      </w:r>
      <w:r w:rsidRPr="00C122BB">
        <w:rPr>
          <w:rFonts w:ascii="Arial" w:hAnsi="Arial" w:cs="Arial"/>
          <w:sz w:val="22"/>
          <w:szCs w:val="22"/>
        </w:rPr>
        <w:lastRenderedPageBreak/>
        <w:t xml:space="preserve">that the co-administration of berberine and probiotics improves HbA1C levels relative to treatment with berberine alone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{"citationID":"qBXEPMm1","properties":{"formattedCitation":"(Y. Zhang et al., 2020)","plainCitation":"(Y. Zhang et al., 2020)","noteIndex":0},"citationItems":[{"id":433,"uris":["http://zotero.org/users/local/9dBn5Ahe/items/MTQHE9Q6"],"itemData":{"id":433,"type":"article-journal","container-title":"Nature Communications","language":"en","title":"Gut microbiome-related effects of berberine and probiotics on type 2 diabetes (the PREMOTE study","author":[{"family":"Zhang","given":"Y."},{"family":"Gu","given":"Y."},{"family":"Ren","given":"H."},{"family":"Wang","given":"S."},{"family":"Zhong","given":"H."},{"family":"Zhao","given":"X."}],"issued":{"date-parts":[["2020",10,6]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(Zhang et al., 2020)</w:t>
      </w:r>
      <w:r w:rsidRPr="00C122BB">
        <w:rPr>
          <w:rFonts w:ascii="Arial" w:hAnsi="Arial" w:cs="Arial"/>
          <w:sz w:val="22"/>
          <w:szCs w:val="22"/>
        </w:rPr>
        <w:fldChar w:fldCharType="end"/>
      </w:r>
      <w:r w:rsidRPr="00C122BB">
        <w:rPr>
          <w:rFonts w:ascii="Arial" w:hAnsi="Arial" w:cs="Arial"/>
          <w:sz w:val="22"/>
          <w:szCs w:val="22"/>
        </w:rPr>
        <w:t xml:space="preserve">. A meta-analysis of randomized controlled trials demonstrated that meals supplemented with prebiotics or symbiotics enhanced fasting blood glucose and HbA1C levels in patients with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{"citationID":"iCS38sh5","properties":{"formattedCitation":"(Mahboobi et al., 2018)","plainCitation":"(Mahboobi et al., 2018)","noteIndex":0},"citationItems":[{"id":434,"uris":["http://zotero.org/users/local/9dBn5Ahe/items/MNEZ56UE"],"itemData":{"id":434,"type":"article-journal","container-title":"Advanced Pharmaceutical Bulletin [Internet","language":"en","title":"Effects of Prebiotic and Synbiotic Supplementation on Glycaemia and Lipid Profile in Type 2 Diabetes: A Meta-Analysis of Randomized Controlled Trials","URL":"https://www.ncbi.nlm.nih.gov/pmc/articles/PMC6311648/","volume":"20];8(4):565–74","author":[{"family":"Mahboobi","given":"S."},{"family":"Rahimi","given":"F."},{"family":"Jafarnejad","given":"S."}],"issued":{"date-parts":[["2018",7,1]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(Mahboobi et al., 2018)</w:t>
      </w:r>
      <w:r w:rsidRPr="00C122BB">
        <w:rPr>
          <w:rFonts w:ascii="Arial" w:hAnsi="Arial" w:cs="Arial"/>
          <w:sz w:val="22"/>
          <w:szCs w:val="22"/>
        </w:rPr>
        <w:fldChar w:fldCharType="end"/>
      </w:r>
      <w:r w:rsidRPr="00C122BB">
        <w:rPr>
          <w:rFonts w:ascii="Arial" w:hAnsi="Arial" w:cs="Arial"/>
          <w:sz w:val="22"/>
          <w:szCs w:val="22"/>
        </w:rPr>
        <w:t>.</w:t>
      </w:r>
    </w:p>
    <w:p w14:paraId="1B5E17E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Combination therapy for Type 2 Diabetes Mellitus (T2DM) is an effective approach to improve glycemic regulation in clinical or pre-clinical research. Sulfonylureas, a hypoglycemic drug, may be utilized as an adjunct to metformin in the treatment of type 2 diabetes mellitus (T2DM). The combination of sulfonylureas with metformin is linked to an increased risk of hypoglycemia and weight gain, suggesting that DPP-4 inhibitors may be a better suitable adjunct therapy to metformin for individuals with inadequately managed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{"citationID":"YfJ0FmVx","properties":{"formattedCitation":"(Tomlinson et al., 2021)","plainCitation":"(Tomlinson et al., 2021)","noteIndex":0},"citationItems":[{"id":436,"uris":["http://zotero.org/users/local/9dBn5Ahe/items/VTNK7KL7"],"itemData":{"id":436,"type":"article-journal","container-title":"Expert Opinion on Pharmacotherapy","language":"en","title":"The Role of Sulfonylureas in the Treatment of Type 2 Diabetes","volume":"10;23(3):1–17","author":[{"family":"Tomlinson","given":"B."},{"family":"Patil","given":"N.G."},{"family":"Fok","given":"M."},{"family":"Chan","given":"P."},{"family":"Lam","given":"C.W.K."}],"issued":{"date-parts":[["2021",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(Tomlinson et al., 2021)</w:t>
      </w:r>
      <w:r w:rsidRPr="00C122BB">
        <w:rPr>
          <w:rFonts w:ascii="Arial" w:hAnsi="Arial" w:cs="Arial"/>
          <w:sz w:val="22"/>
          <w:szCs w:val="22"/>
        </w:rPr>
        <w:fldChar w:fldCharType="end"/>
      </w:r>
      <w:r w:rsidRPr="00C122BB">
        <w:rPr>
          <w:rFonts w:ascii="Arial" w:hAnsi="Arial" w:cs="Arial"/>
          <w:sz w:val="22"/>
          <w:szCs w:val="22"/>
        </w:rPr>
        <w:t xml:space="preserve">. The combination of sulfonylureas and metformin exhibits equivalent glucose-lowering efficacy to other dual treatments; nevertheless, given similar glycemic results, alternative oral antihyperglycemic medications may serve as a more advantageous adjuvant to metformin than sulfonylureas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{"citationID":"7lrZQAHA","properties":{"formattedCitation":"(Xie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 xml:space="preserve">. </w:t>
      </w:r>
    </w:p>
    <w:p w14:paraId="03C6D55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Metformin in conjunction with DPP-4 inhibitors is a common therapeutic strategy in clinical research concerning persons with type 2 diabetes mellitus (T2DM). In a 5-year follow-up experiment, newly diagnosed T2DM patients who received early combination therapy with metformin and vildagliptin, a DPP-4 inhibitor, had greater long-term glucose control compared to those who underwent early monotherapy with metformin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{"citationID":"WofXh5SV","properties":{"formattedCitation":"(Matthews et al., 2019)","plainCitation":"(Matthews et al., 2019)","noteIndex":0},"citationItems":[{"id":439,"uris":["http://zotero.org/users/local/9dBn5Ahe/items/FQWD4U5V"],"itemData":{"id":439,"type":"article-journal","container-title":"The Lancet","language":"en","title":"Glycaemic durability of an early combination therapy with vildagliptin and metformin versus sequential metformin monotherapy in newly diagnosed type 2 diabetes (VERIFY): a 5-year, multicentre, randomised, double-blind trial","volume":"Oct;394(10208):1519–29","author":[{"family":"Matthews","given":"D.R."},{"family":"Paldánius","given":"P.M."},{"family":"Proot","given":"P."},{"family":"Chiang","given":"Y."},{"family":"Stumvoll","given":"M."},{"family":"Del Prato","given":"S."}],"issued":{"date-parts":[["2019"]]}}}],"schema":"https://github.com/citation-style-language/schema/raw/master/csl-citation.json"}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(Matthews et al., 2019)</w:t>
      </w:r>
      <w:r w:rsidRPr="00C122BB">
        <w:rPr>
          <w:rFonts w:ascii="Arial" w:hAnsi="Arial" w:cs="Arial"/>
          <w:sz w:val="22"/>
          <w:szCs w:val="22"/>
        </w:rPr>
        <w:fldChar w:fldCharType="end"/>
      </w:r>
      <w:r w:rsidRPr="00C122BB">
        <w:rPr>
          <w:rFonts w:ascii="Arial" w:hAnsi="Arial" w:cs="Arial"/>
          <w:sz w:val="22"/>
          <w:szCs w:val="22"/>
        </w:rPr>
        <w:t xml:space="preserve">. The combination therapy of metformin and sitagliptin demonstrated a decreased risk of hypoglycemia and prolonged treatment duration. The initial combination therapy of metformin and sitagliptin exhibited a significant improvement in blood glucose levels in patients with T2DM after hospital discharge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{"citationID":"a7CmX5U8","properties":{"formattedCitation":"(Matthews et al., 2019)","plainCitation":"(Matthews et al., 2019)","noteIndex":0},"citationItems":[{"id":439,"uris":["http://zotero.org/users/local/9dBn5Ahe/items/FQWD4U5V"],"itemData":{"id":439,"type":"article-journal","container-title":"The Lancet","language":"en","title":"Glycaemic durability of an early combination therapy with vildagliptin and metformin versus sequential metformin monotherapy in newly diagnosed type 2 diabetes (VERIFY): a 5-year, multicentre, randomised, double-blind trial","volume":"Oct;394(10208):1519–29","author":[{"family":"Matthews","given":"D.R."},{"family":"Paldánius","given":"P.M."},{"family":"Proot","given":"P."},{"family":"Chiang","given":"Y."},{"family":"Stumvoll","given":"M."},{"family":"Del Prato","given":"S."}],"issued":{"date-parts":[["2019"]]}}}],"schema":"https://github.com/citation-style-language/schema/raw/master/csl-citation.json"}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(Matthews et al., 2019)</w:t>
      </w:r>
      <w:r w:rsidRPr="00C122BB">
        <w:rPr>
          <w:rFonts w:ascii="Arial" w:hAnsi="Arial" w:cs="Arial"/>
          <w:sz w:val="22"/>
          <w:szCs w:val="22"/>
        </w:rPr>
        <w:fldChar w:fldCharType="end"/>
      </w:r>
      <w:r w:rsidRPr="00C122BB">
        <w:rPr>
          <w:rFonts w:ascii="Arial" w:hAnsi="Arial" w:cs="Arial"/>
          <w:sz w:val="22"/>
          <w:szCs w:val="22"/>
        </w:rPr>
        <w:t xml:space="preserve">. </w:t>
      </w:r>
    </w:p>
    <w:p w14:paraId="7DF3A38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A new DPP-4 inhibitor, gemigliptin, was administered alongside metformin as the initial treatment for T2DM patients, exhibiting significant superiority in glycemic control without severe adverse effects compared to monotherapy with either metformin or gemigliptin. The combination therapy of metformin and gemigliptin achieved greater glycemic control in individuals with T2DM without increasing the risk of hypoglycemia or weight gain, possibly associated with improvements in gut microbiota</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{"citationID":"GmHsbBV7","properties":{"formattedCitation":"(Xie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06D556FA" w14:textId="77777777" w:rsidR="00C122BB" w:rsidRPr="00C122BB" w:rsidRDefault="00C122BB" w:rsidP="00C122BB">
      <w:pPr>
        <w:jc w:val="both"/>
        <w:rPr>
          <w:rFonts w:ascii="Arial" w:hAnsi="Arial" w:cs="Arial"/>
          <w:sz w:val="22"/>
          <w:szCs w:val="22"/>
        </w:rPr>
      </w:pPr>
      <w:proofErr w:type="spellStart"/>
      <w:r w:rsidRPr="00C122BB">
        <w:rPr>
          <w:rFonts w:ascii="Arial" w:hAnsi="Arial" w:cs="Arial"/>
          <w:sz w:val="22"/>
          <w:szCs w:val="22"/>
        </w:rPr>
        <w:t>Saxagliptin</w:t>
      </w:r>
      <w:proofErr w:type="spellEnd"/>
      <w:r w:rsidRPr="00C122BB">
        <w:rPr>
          <w:rFonts w:ascii="Arial" w:hAnsi="Arial" w:cs="Arial"/>
          <w:sz w:val="22"/>
          <w:szCs w:val="22"/>
        </w:rPr>
        <w:t xml:space="preserve">, a DPP-4 inhibitor, was developed for the management of type 2 diabetic mellitus (T2DM). In a phase III clinical trial, researchers found that the combination medication had enhanced tolerability compared to the monotherapy of </w:t>
      </w:r>
      <w:proofErr w:type="spellStart"/>
      <w:r w:rsidRPr="00C122BB">
        <w:rPr>
          <w:rFonts w:ascii="Arial" w:hAnsi="Arial" w:cs="Arial"/>
          <w:sz w:val="22"/>
          <w:szCs w:val="22"/>
        </w:rPr>
        <w:t>saxagliptin</w:t>
      </w:r>
      <w:proofErr w:type="spellEnd"/>
      <w:r w:rsidRPr="00C122BB">
        <w:rPr>
          <w:rFonts w:ascii="Arial" w:hAnsi="Arial" w:cs="Arial"/>
          <w:sz w:val="22"/>
          <w:szCs w:val="22"/>
        </w:rPr>
        <w:t xml:space="preserve"> or metformin, with blood glucose control sustained for up to 76 weeks in the combination group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{"citationID":"w7DLtr0P","properties":{"formattedCitation":"(Xie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41765BB5"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research consistently demonstrated the beneficial clinical outcomes of combined therapy utilizing biguanides and DPP-4 inhibitors, suggesting that the synergistic interaction between these drugs may improve blood glucose control and offer an effective treatment option for patients with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{"citationID":"yUDjRmZe","properties":{"formattedCitation":"(Xie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74A9130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Clinical trials demonstrate that the combination of metformin with other SGLT2 inhibitors yields promising results in the management of Type 2 Diabetes (T2DM), including improved glucose control, weight loss, blood pressure regulation, and potential cardiovascular and renal protective benefits. The selection and revision of treatment plans must be customized to the unique characteristics of individual patients and the guidance of healthcare professionals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{"citationID":"HLscqpCF","properties":{"formattedCitation":"(Xie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 xml:space="preserve">. </w:t>
      </w:r>
    </w:p>
    <w:p w14:paraId="154B0EE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lastRenderedPageBreak/>
        <w:t xml:space="preserve">GLP-1 receptor agonists (GLP-1RAs) such as </w:t>
      </w:r>
      <w:proofErr w:type="spellStart"/>
      <w:r w:rsidRPr="00C122BB">
        <w:rPr>
          <w:rFonts w:ascii="Arial" w:hAnsi="Arial" w:cs="Arial"/>
          <w:sz w:val="22"/>
          <w:szCs w:val="22"/>
        </w:rPr>
        <w:t>lixisenatide</w:t>
      </w:r>
      <w:proofErr w:type="spellEnd"/>
      <w:r w:rsidRPr="00C122BB">
        <w:rPr>
          <w:rFonts w:ascii="Arial" w:hAnsi="Arial" w:cs="Arial"/>
          <w:sz w:val="22"/>
          <w:szCs w:val="22"/>
        </w:rPr>
        <w:t xml:space="preserve">, exenatide, liraglutide, and semaglutide are widely employed in the management of type 2 diabetes mellitus (T2DM) due to their effectiveness in controlling blood glucose levels, promoting weight loss, and protecting pancreatic β cells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{"citationID":"7yddkkVa","properties":{"formattedCitation":"(Baggio &amp; Drucker, 2021)","plainCitation":"(Baggio &amp; Drucker, 2021)","noteIndex":0},"citationItems":[{"id":440,"uris":["http://zotero.org/users/local/9dBn5Ahe/items/QJNVX3YI"],"itemData":{"id":440,"type":"article-journal","container-title":"Molecular Metabolism","issue":"101090","language":"cy","title":"Glucagon-like peptide-1 receptor co-agonist for treating metabolic disease","volume":"46","author":[{"family":"Baggio","given":"L.L."},{"family":"Drucker","given":"D.J."}],"issued":{"date-parts":[["2021"]]}}}],"schema":"https://github.com/citation-style-language/schema/raw/master/csl-citation.json"}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(Baggio &amp; Drucker, 2021)</w:t>
      </w:r>
      <w:r w:rsidRPr="00C122BB">
        <w:rPr>
          <w:rFonts w:ascii="Arial" w:hAnsi="Arial" w:cs="Arial"/>
          <w:sz w:val="22"/>
          <w:szCs w:val="22"/>
        </w:rPr>
        <w:fldChar w:fldCharType="end"/>
      </w:r>
      <w:r w:rsidRPr="00C122BB">
        <w:rPr>
          <w:rFonts w:ascii="Arial" w:hAnsi="Arial" w:cs="Arial"/>
          <w:sz w:val="22"/>
          <w:szCs w:val="22"/>
        </w:rPr>
        <w:t xml:space="preserve">. The combination therapy of exenatide and metformin exhibited superior glucose and body weight regulation, improved β cell protection, and reduced inflammation. It may also increase some adipocytokine levels, enhance insulin sensitivity, and reduce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{"citationID":"Q3EyA7Qm","properties":{"formattedCitation":"(Derosa et al., 2011)","plainCitation":"(Derosa et al., 2011)","noteIndex":0},"citationItems":[{"id":441,"uris":["http://zotero.org/users/local/9dBn5Ahe/items/AYNNGMUP"],"itemData":{"id":441,"type":"article-journal","container-title":"European Journal of Pharmacology","language":"en","title":"Exenatide or glimepiride added to metformin on metabolic control and on insulin resistance in type 2 diabetic patients","volume":"Sep;666(1-3):251–6","author":[{"family":"Derosa","given":"G."},{"family":"Putignano","given":"P."},{"family":"Bossi","given":"A.C."},{"family":"Bonaventura","given":"A."},{"family":"Querci","given":"F."},{"family":"Franzetti","given":"I.G."}],"issued":{"date-parts":[["2011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(Derosa et al., 2011)</w:t>
      </w:r>
      <w:r w:rsidRPr="00C122BB">
        <w:rPr>
          <w:rFonts w:ascii="Arial" w:hAnsi="Arial" w:cs="Arial"/>
          <w:sz w:val="22"/>
          <w:szCs w:val="22"/>
        </w:rPr>
        <w:fldChar w:fldCharType="end"/>
      </w:r>
      <w:r w:rsidRPr="00C122BB">
        <w:rPr>
          <w:rFonts w:ascii="Arial" w:hAnsi="Arial" w:cs="Arial"/>
          <w:sz w:val="22"/>
          <w:szCs w:val="22"/>
        </w:rPr>
        <w:t xml:space="preserve">. </w:t>
      </w:r>
    </w:p>
    <w:p w14:paraId="7B88031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Thiazolidinediones (TZDs), also known as </w:t>
      </w:r>
      <w:proofErr w:type="spellStart"/>
      <w:r w:rsidRPr="00C122BB">
        <w:rPr>
          <w:rFonts w:ascii="Arial" w:hAnsi="Arial" w:cs="Arial"/>
          <w:sz w:val="22"/>
          <w:szCs w:val="22"/>
        </w:rPr>
        <w:t>glitazones</w:t>
      </w:r>
      <w:proofErr w:type="spellEnd"/>
      <w:r w:rsidRPr="00C122BB">
        <w:rPr>
          <w:rFonts w:ascii="Arial" w:hAnsi="Arial" w:cs="Arial"/>
          <w:sz w:val="22"/>
          <w:szCs w:val="22"/>
        </w:rPr>
        <w:t xml:space="preserve">, are primarily utilized in the treatment of type 2 diabetes mellitus (T2DM), acting to improve insulin sensitivity and promote cellular responsiveness to insulin for effective glucose utilization. In a parallel-controlled study, the combination therapy group had the most pronounced and statistically significant reduction in average HbA1c relative to monotherapy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{"citationID":"APosR2uM","properties":{"formattedCitation":"(Nanjan et al., 2018)","plainCitation":"(Nanjan et al., 2018)","noteIndex":0},"citationItems":[{"id":442,"uris":["http://zotero.org/users/local/9dBn5Ahe/items/22RPM7R9"],"itemData":{"id":442,"type":"article-journal","container-title":"Bioorganic Chemistry","language":"en","page":"548–67","title":"Thiazolidinediones as antidiabetic agents: A critical review","volume":"77","author":[{"family":"Nanjan","given":"M.J."},{"family":"Mohammed","given":"M."},{"family":"Prashantha Kumar","given":"B.R."},{"family":"Chandrasekar","given":"M.J.N."}],"issued":{"date-parts":[["2018"]]}}}],"schema":"https://github.com/citation-style-language/schema/raw/master/csl-citation.json"}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(Nanjan et al., 2018)</w:t>
      </w:r>
      <w:r w:rsidRPr="00C122BB">
        <w:rPr>
          <w:rFonts w:ascii="Arial" w:hAnsi="Arial" w:cs="Arial"/>
          <w:sz w:val="22"/>
          <w:szCs w:val="22"/>
        </w:rPr>
        <w:fldChar w:fldCharType="end"/>
      </w:r>
      <w:r w:rsidRPr="00C122BB">
        <w:rPr>
          <w:rFonts w:ascii="Arial" w:hAnsi="Arial" w:cs="Arial"/>
          <w:sz w:val="22"/>
          <w:szCs w:val="22"/>
        </w:rPr>
        <w:t xml:space="preserve">. The amalgamation of acarbose and metformin substantially improved glycemic regulation in patients with T2DM, leading to a pronounced decrease in HbA1c, fasting plasma glucose, and postprandial glucose compared to baseline levels. The combined therapy proved more efficacious than monotherapy in weight management while not increasing the risk of hypoglycemia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{"citationID":"MLqxiiqe","properties":{"formattedCitation":"(J. S. Wang et al., 2013)","plainCitation":"(J. S. Wang et al., 2013)","noteIndex":0},"citationItems":[{"id":623,"uris":["http://zotero.org/users/local/9dBn5Ahe/items/7GA5JJW9"],"itemData":{"id":623,"type":"article-journal","container-title":"Diabetes Research and Clinical Practice","language":"en","title":"Acarbose plus metformin fixed-dose combination outperforms acarbose monotherapy for type 2 diabetes","volume":"Oct;102(1):16–24","author":[{"family":"Wang","given":"J.S."},{"family":"Huang","given":"C.N."},{"family":"Hung","given":"Y.J."},{"family":"Kwok","given":"C.F."},{"family":"Sun","given":"J.H."},{"family":"Pei","given":"D."}],"issued":{"date-parts":[["2013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(Wang et al., 2013)</w:t>
      </w:r>
      <w:r w:rsidRPr="00C122BB">
        <w:rPr>
          <w:rFonts w:ascii="Arial" w:hAnsi="Arial" w:cs="Arial"/>
          <w:sz w:val="22"/>
          <w:szCs w:val="22"/>
        </w:rPr>
        <w:fldChar w:fldCharType="end"/>
      </w:r>
      <w:r w:rsidRPr="00C122BB">
        <w:rPr>
          <w:rFonts w:ascii="Arial" w:hAnsi="Arial" w:cs="Arial"/>
          <w:sz w:val="22"/>
          <w:szCs w:val="22"/>
        </w:rPr>
        <w:t xml:space="preserve">. </w:t>
      </w:r>
    </w:p>
    <w:p w14:paraId="2BEB92A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78-week clinical trial shown that the addition of empagliflozin to basal insulin therapy for inadequately controlled T2DM patients led to substantial improvements in glycemic control, weight management, and reductions in systolic blood pressure. However, diligent monitoring of practical conditions and drug safety is essential to ensure optimal clinical outcomes and patient well-being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{"citationID":"3Qn4rVtR","properties":{"formattedCitation":"(Xie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0764D4F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Alternative pharmacological combinations include alpha-glucosidase inhibitors with DPP-4 inhibitors, SGLT2 inhibitors with GLP-1 receptor agonists, and multi-drug regimens comprising three or more agents. This comprehensive pharmacological strategy may successfully address the complex physiological pathways of diabetes, improving glucose control and management for patients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{"citationID":"CYSj6Nuj","properties":{"formattedCitation":"(Xie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424B2DEC" w14:textId="77777777" w:rsidR="009C4BA7" w:rsidRPr="00C122BB" w:rsidRDefault="00C122BB" w:rsidP="00C122BB">
      <w:pPr>
        <w:jc w:val="both"/>
        <w:rPr>
          <w:rFonts w:ascii="Arial" w:hAnsi="Arial" w:cs="Arial"/>
          <w:sz w:val="22"/>
          <w:szCs w:val="22"/>
        </w:rPr>
      </w:pPr>
      <w:r w:rsidRPr="00C122BB">
        <w:rPr>
          <w:rFonts w:ascii="Arial" w:hAnsi="Arial" w:cs="Arial"/>
          <w:sz w:val="22"/>
          <w:szCs w:val="22"/>
        </w:rPr>
        <w:t>In conclusion, combined drug therapy represents a viable technique for managing diabetes and associated complications. However, individual differences and potential side effects must be carefully assessed during the implementation of these therapies.</w:t>
      </w:r>
    </w:p>
    <w:p w14:paraId="592D8BED" w14:textId="77777777" w:rsidR="00790ADA" w:rsidRPr="00FB3A86" w:rsidRDefault="00790ADA" w:rsidP="00441B6F">
      <w:pPr>
        <w:pStyle w:val="Body"/>
        <w:spacing w:after="0"/>
        <w:rPr>
          <w:rFonts w:ascii="Arial" w:hAnsi="Arial" w:cs="Arial"/>
        </w:rPr>
      </w:pPr>
    </w:p>
    <w:p w14:paraId="435DF118" w14:textId="77777777" w:rsidR="00B01FCD" w:rsidRDefault="00F65681"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5F6F213" w14:textId="6770DDA0" w:rsidR="00C122BB" w:rsidRDefault="00C122BB" w:rsidP="002C3DEC">
      <w:pPr>
        <w:jc w:val="both"/>
      </w:pPr>
      <w:r>
        <w:t>The management of Type 2 Diabetes Mellitus has evolved from a purely pharmacological focus to a more holistic and integrative paradigm. Despite the effectiveness of standard antidiabetic agents in lowering blood glucose, their limitations—such as side effects, reduced long-term efficacy, and financial constraints—necessitate the exploration of complementary interventions. Integrative approaches, including lifestyle modification, nutritional therapy, and evidence-based herbal medicine, provide valuable adjuncts that address the metabolic, oxidative, and inflammatory imbalances characteristic of T2DM. The synergy between pharmacological and integrative modalities offers promising outcomes in glycemic regulation, complication prevention, and overall patient well-being. Future research should emphasize rigorous clinical trials to validate the safety, efficacy, and mechanisms of integrative therapies, ensuring that diabetes management becomes both scientifically sound and culturally relevant. Ultimately, a multidisciplinary approach that bridges modern pharmacology with traditional and lifestyle-based practices represents the future of diabetes care.</w:t>
      </w:r>
      <w:r w:rsidR="002C3DEC" w:rsidRPr="002C3DEC">
        <w:t xml:space="preserve"> </w:t>
      </w:r>
      <w:r w:rsidR="00D176E1">
        <w:t>F</w:t>
      </w:r>
      <w:r w:rsidR="002C3DEC" w:rsidRPr="002C3DEC">
        <w:t xml:space="preserve">uture research should prioritize well-designed, large-scale clinical trials to evaluate </w:t>
      </w:r>
      <w:r w:rsidR="002C3DEC" w:rsidRPr="002C3DEC">
        <w:lastRenderedPageBreak/>
        <w:t>the safety, efficacy, and underlying mechanisms of integrative therapies, and to identify optimal strategies for combining pharmacological and non-pharmacological interventions.</w:t>
      </w:r>
    </w:p>
    <w:p w14:paraId="7E2B8658" w14:textId="77777777" w:rsidR="00371FB6" w:rsidRDefault="00371FB6" w:rsidP="00441B6F">
      <w:pPr>
        <w:pStyle w:val="ReferHead"/>
        <w:spacing w:after="0"/>
        <w:jc w:val="both"/>
        <w:rPr>
          <w:rFonts w:ascii="Arial" w:hAnsi="Arial" w:cs="Arial"/>
          <w:b w:val="0"/>
          <w:caps w:val="0"/>
          <w:sz w:val="20"/>
        </w:rPr>
      </w:pPr>
    </w:p>
    <w:p w14:paraId="147F986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E054E92" w14:textId="77777777" w:rsidR="002B685A" w:rsidRPr="002B685A" w:rsidRDefault="002B685A" w:rsidP="00441B6F">
      <w:pPr>
        <w:pStyle w:val="ReferHead"/>
        <w:spacing w:after="0"/>
        <w:jc w:val="both"/>
        <w:rPr>
          <w:rFonts w:ascii="Arial" w:hAnsi="Arial" w:cs="Arial"/>
          <w:bCs/>
        </w:rPr>
      </w:pPr>
    </w:p>
    <w:p w14:paraId="2CA443FB" w14:textId="77777777" w:rsidR="001A29D8" w:rsidRDefault="00EC2423" w:rsidP="00441B6F">
      <w:pPr>
        <w:pStyle w:val="ReferHead"/>
        <w:spacing w:after="0"/>
        <w:jc w:val="both"/>
        <w:rPr>
          <w:rFonts w:ascii="Arial" w:hAnsi="Arial" w:cs="Arial"/>
          <w:b w:val="0"/>
          <w:caps w:val="0"/>
          <w:sz w:val="20"/>
        </w:rPr>
      </w:pPr>
      <w:r>
        <w:rPr>
          <w:rFonts w:ascii="Arial" w:hAnsi="Arial" w:cs="Arial"/>
          <w:b w:val="0"/>
          <w:caps w:val="0"/>
          <w:sz w:val="20"/>
        </w:rPr>
        <w:t>None</w:t>
      </w:r>
    </w:p>
    <w:p w14:paraId="34D0C149" w14:textId="77777777" w:rsidR="005C784C" w:rsidRDefault="005C784C" w:rsidP="00441B6F">
      <w:pPr>
        <w:pStyle w:val="ReferHead"/>
        <w:spacing w:after="0"/>
        <w:jc w:val="both"/>
        <w:rPr>
          <w:rFonts w:ascii="Arial" w:hAnsi="Arial" w:cs="Arial"/>
          <w:b w:val="0"/>
          <w:caps w:val="0"/>
          <w:sz w:val="20"/>
        </w:rPr>
      </w:pPr>
    </w:p>
    <w:p w14:paraId="4793E3D6"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F986C2D" w14:textId="77777777" w:rsidR="005C784C" w:rsidRPr="002B685A" w:rsidRDefault="005C784C" w:rsidP="00441B6F">
      <w:pPr>
        <w:pStyle w:val="ReferHead"/>
        <w:spacing w:after="0"/>
        <w:jc w:val="both"/>
        <w:rPr>
          <w:rFonts w:ascii="Arial" w:hAnsi="Arial" w:cs="Arial"/>
          <w:bCs/>
        </w:rPr>
      </w:pPr>
    </w:p>
    <w:p w14:paraId="657AAF3F" w14:textId="59490570" w:rsidR="00860000" w:rsidRDefault="00EC2423" w:rsidP="00441B6F">
      <w:pPr>
        <w:pStyle w:val="ReferHead"/>
        <w:spacing w:after="0"/>
        <w:jc w:val="both"/>
        <w:rPr>
          <w:rFonts w:ascii="Arial" w:hAnsi="Arial" w:cs="Arial"/>
          <w:b w:val="0"/>
          <w:caps w:val="0"/>
          <w:sz w:val="20"/>
        </w:rPr>
      </w:pPr>
      <w:r>
        <w:rPr>
          <w:rFonts w:ascii="Arial" w:hAnsi="Arial" w:cs="Arial"/>
          <w:b w:val="0"/>
          <w:caps w:val="0"/>
          <w:sz w:val="20"/>
        </w:rPr>
        <w:t>None</w:t>
      </w:r>
    </w:p>
    <w:p w14:paraId="076B3544" w14:textId="77777777" w:rsidR="006E2899" w:rsidRDefault="006E2899" w:rsidP="00441B6F">
      <w:pPr>
        <w:pStyle w:val="ReferHead"/>
        <w:spacing w:after="0"/>
        <w:jc w:val="both"/>
        <w:rPr>
          <w:rFonts w:ascii="Arial" w:hAnsi="Arial" w:cs="Arial"/>
          <w:b w:val="0"/>
          <w:caps w:val="0"/>
          <w:sz w:val="20"/>
        </w:rPr>
      </w:pPr>
    </w:p>
    <w:p w14:paraId="61627925" w14:textId="3CD9B7C1" w:rsidR="004233D6" w:rsidRPr="006E2899" w:rsidRDefault="004233D6" w:rsidP="00441B6F">
      <w:pPr>
        <w:pStyle w:val="ReferHead"/>
        <w:spacing w:after="0"/>
        <w:jc w:val="both"/>
        <w:rPr>
          <w:rFonts w:ascii="Arial" w:hAnsi="Arial" w:cs="Arial"/>
          <w:caps w:val="0"/>
          <w:sz w:val="20"/>
        </w:rPr>
      </w:pPr>
      <w:r w:rsidRPr="006E2899">
        <w:rPr>
          <w:rFonts w:ascii="Arial" w:hAnsi="Arial" w:cs="Arial"/>
          <w:caps w:val="0"/>
          <w:sz w:val="20"/>
        </w:rPr>
        <w:t>Disclaimer (Artificial intelligence)</w:t>
      </w:r>
    </w:p>
    <w:p w14:paraId="32CB007B" w14:textId="75F9E996" w:rsidR="004233D6" w:rsidRDefault="004233D6" w:rsidP="00441B6F">
      <w:pPr>
        <w:pStyle w:val="ReferHead"/>
        <w:spacing w:after="0"/>
        <w:jc w:val="both"/>
        <w:rPr>
          <w:rFonts w:ascii="Arial" w:hAnsi="Arial" w:cs="Arial"/>
          <w:b w:val="0"/>
          <w:caps w:val="0"/>
          <w:sz w:val="20"/>
        </w:rPr>
      </w:pPr>
      <w:r w:rsidRPr="004233D6">
        <w:rPr>
          <w:rFonts w:ascii="Arial" w:hAnsi="Arial" w:cs="Arial"/>
          <w:b w:val="0"/>
          <w:caps w:val="0"/>
          <w:sz w:val="20"/>
        </w:rPr>
        <w:t>Author(s) hereby declare that NO generative AI technologies such as Large Language Models (</w:t>
      </w:r>
      <w:proofErr w:type="spellStart"/>
      <w:r w:rsidRPr="004233D6">
        <w:rPr>
          <w:rFonts w:ascii="Arial" w:hAnsi="Arial" w:cs="Arial"/>
          <w:b w:val="0"/>
          <w:caps w:val="0"/>
          <w:sz w:val="20"/>
        </w:rPr>
        <w:t>ChatGPT</w:t>
      </w:r>
      <w:proofErr w:type="spellEnd"/>
      <w:r w:rsidRPr="004233D6">
        <w:rPr>
          <w:rFonts w:ascii="Arial" w:hAnsi="Arial" w:cs="Arial"/>
          <w:b w:val="0"/>
          <w:caps w:val="0"/>
          <w:sz w:val="20"/>
        </w:rPr>
        <w:t>, COPILOT, etc.) and text-to-image generators have been used during the writing or editing of this manuscript.</w:t>
      </w:r>
    </w:p>
    <w:p w14:paraId="277FAA0A" w14:textId="77777777" w:rsidR="00417D15" w:rsidRDefault="00417D15" w:rsidP="00441B6F">
      <w:pPr>
        <w:pStyle w:val="ReferHead"/>
        <w:spacing w:after="0"/>
        <w:jc w:val="both"/>
        <w:rPr>
          <w:rFonts w:ascii="Arial" w:hAnsi="Arial" w:cs="Arial"/>
        </w:rPr>
      </w:pPr>
    </w:p>
    <w:p w14:paraId="1422AA78" w14:textId="595EDE36" w:rsidR="00B01FCD" w:rsidRDefault="00B01FCD" w:rsidP="00441B6F">
      <w:pPr>
        <w:pStyle w:val="ReferHead"/>
        <w:spacing w:after="0"/>
        <w:jc w:val="both"/>
        <w:rPr>
          <w:rFonts w:ascii="Arial" w:hAnsi="Arial" w:cs="Arial"/>
        </w:rPr>
      </w:pPr>
      <w:r w:rsidRPr="00FB3A86">
        <w:rPr>
          <w:rFonts w:ascii="Arial" w:hAnsi="Arial" w:cs="Arial"/>
        </w:rPr>
        <w:t>References</w:t>
      </w:r>
    </w:p>
    <w:p w14:paraId="10F26C94" w14:textId="77777777" w:rsidR="00790ADA" w:rsidRPr="00FB3A86" w:rsidRDefault="00790ADA" w:rsidP="00441B6F">
      <w:pPr>
        <w:pStyle w:val="ReferHead"/>
        <w:spacing w:after="0"/>
        <w:jc w:val="both"/>
        <w:rPr>
          <w:rFonts w:ascii="Arial" w:hAnsi="Arial" w:cs="Arial"/>
        </w:rPr>
      </w:pPr>
    </w:p>
    <w:p w14:paraId="25FD5F2A" w14:textId="77777777" w:rsidR="002B2D62" w:rsidRPr="00706416" w:rsidRDefault="002B2D62" w:rsidP="00EC2423">
      <w:pPr>
        <w:ind w:left="630" w:hanging="630"/>
      </w:pPr>
    </w:p>
    <w:p w14:paraId="0438863C" w14:textId="7AE1817D" w:rsidR="002B2D62" w:rsidRPr="00706416" w:rsidRDefault="002B2D62" w:rsidP="00EC2423">
      <w:pPr>
        <w:ind w:left="630" w:hanging="630"/>
      </w:pPr>
      <w:r w:rsidRPr="00706416">
        <w:t xml:space="preserve">Abdelrazek, H. M. A., </w:t>
      </w:r>
      <w:proofErr w:type="spellStart"/>
      <w:r w:rsidRPr="00706416">
        <w:t>Kilany</w:t>
      </w:r>
      <w:proofErr w:type="spellEnd"/>
      <w:r w:rsidRPr="00706416">
        <w:t xml:space="preserve">, O. E., Muhammad, M. A. A., Tag, H. M., &amp; Abdelazim, A. M. (2018). Black Seed Thymoquinone Improved Insulin Secretion, Hepatic Glycogen Storage, and Oxidative Stress in Streptozotocin-Induced Diabetic Male Wistar Rats. </w:t>
      </w:r>
      <w:r w:rsidRPr="00706416">
        <w:rPr>
          <w:i/>
          <w:iCs/>
        </w:rPr>
        <w:t>Oxidative Medicine and Cellular Longevity</w:t>
      </w:r>
      <w:r w:rsidR="006E2899">
        <w:t>.</w:t>
      </w:r>
      <w:r w:rsidRPr="00706416">
        <w:rPr>
          <w:i/>
          <w:iCs/>
        </w:rPr>
        <w:t>18</w:t>
      </w:r>
      <w:r w:rsidRPr="00706416">
        <w:t>, 1–10. https://doi.org/10.1155/2018/8104165</w:t>
      </w:r>
    </w:p>
    <w:p w14:paraId="2DBF06ED" w14:textId="77777777" w:rsidR="002B2D62" w:rsidRPr="00706416" w:rsidRDefault="002B2D62" w:rsidP="00EC2423">
      <w:pPr>
        <w:ind w:left="630" w:hanging="630"/>
      </w:pPr>
      <w:proofErr w:type="spellStart"/>
      <w:r w:rsidRPr="00706416">
        <w:t>Afkhami-Ardekani</w:t>
      </w:r>
      <w:proofErr w:type="spellEnd"/>
      <w:r w:rsidRPr="00706416">
        <w:t xml:space="preserve">, M., &amp; </w:t>
      </w:r>
      <w:proofErr w:type="spellStart"/>
      <w:r w:rsidRPr="00706416">
        <w:t>Shojaoddiny-Ardekani</w:t>
      </w:r>
      <w:proofErr w:type="spellEnd"/>
      <w:r w:rsidRPr="00706416">
        <w:t xml:space="preserve">, A. (2007). Effect of vitamin C on blood glucose, serum lipids &amp; serum insulin in type 2 diabetes patients. </w:t>
      </w:r>
      <w:r w:rsidRPr="00706416">
        <w:rPr>
          <w:i/>
          <w:iCs/>
        </w:rPr>
        <w:t>PubMed</w:t>
      </w:r>
      <w:r w:rsidRPr="00706416">
        <w:t xml:space="preserve">, </w:t>
      </w:r>
      <w:r w:rsidRPr="00706416">
        <w:rPr>
          <w:i/>
          <w:iCs/>
        </w:rPr>
        <w:t>126</w:t>
      </w:r>
      <w:r w:rsidRPr="00706416">
        <w:t>(5), 471–474.</w:t>
      </w:r>
    </w:p>
    <w:p w14:paraId="11DB5753" w14:textId="42C27A47" w:rsidR="002B2D62" w:rsidRPr="002B2D62" w:rsidRDefault="002B2D62" w:rsidP="002B2D62">
      <w:pPr>
        <w:tabs>
          <w:tab w:val="num" w:pos="720"/>
        </w:tabs>
        <w:ind w:left="630" w:hanging="630"/>
      </w:pPr>
      <w:r w:rsidRPr="002B2D62">
        <w:t xml:space="preserve">American Diabetes Association. (2014). Standards of medical care in diabetes—2014. </w:t>
      </w:r>
      <w:r w:rsidRPr="002B2D62">
        <w:rPr>
          <w:i/>
          <w:iCs/>
        </w:rPr>
        <w:t>Diabetes Care, 37</w:t>
      </w:r>
      <w:r w:rsidRPr="002B2D62">
        <w:t>(1),</w:t>
      </w:r>
      <w:r w:rsidR="00492A30">
        <w:t xml:space="preserve"> </w:t>
      </w:r>
      <w:r w:rsidRPr="002B2D62">
        <w:t>14–80. https://doi.org/10.2337/dc14</w:t>
      </w:r>
      <w:r w:rsidRPr="002B2D62">
        <w:noBreakHyphen/>
        <w:t>s014</w:t>
      </w:r>
    </w:p>
    <w:p w14:paraId="26B1CE71" w14:textId="418172E2" w:rsidR="002B2D62" w:rsidRPr="00706416" w:rsidRDefault="002B2D62" w:rsidP="00EC2423">
      <w:pPr>
        <w:ind w:left="630" w:hanging="630"/>
      </w:pPr>
      <w:r w:rsidRPr="00706416">
        <w:t xml:space="preserve">American Diabetes Association. (2021). Pharmacologic Approaches to Glycemic Treatment: Standards of Medical Care in Diabetes—2022. </w:t>
      </w:r>
      <w:r w:rsidRPr="00706416">
        <w:rPr>
          <w:i/>
          <w:iCs/>
        </w:rPr>
        <w:t>Diabetes Care</w:t>
      </w:r>
      <w:r w:rsidRPr="00706416">
        <w:t xml:space="preserve">, </w:t>
      </w:r>
      <w:r w:rsidRPr="00706416">
        <w:rPr>
          <w:i/>
          <w:iCs/>
        </w:rPr>
        <w:t>45</w:t>
      </w:r>
      <w:r w:rsidRPr="00706416">
        <w:t>(1), 125–143. https://doi.org/10.2337/dc22-s009</w:t>
      </w:r>
    </w:p>
    <w:p w14:paraId="0E497CE0" w14:textId="77777777" w:rsidR="002B2D62" w:rsidRPr="00706416" w:rsidRDefault="002B2D62" w:rsidP="00EC2423">
      <w:pPr>
        <w:ind w:left="630" w:hanging="630"/>
      </w:pPr>
      <w:r w:rsidRPr="00706416">
        <w:t xml:space="preserve">Baggio, L. L., &amp; Drucker, D. J. (2021). Glucagon-like peptide-1 receptor co-agonists for treating metabolic disease. </w:t>
      </w:r>
      <w:r w:rsidRPr="00706416">
        <w:rPr>
          <w:i/>
          <w:iCs/>
        </w:rPr>
        <w:t>Molecular Metabolism</w:t>
      </w:r>
      <w:r w:rsidRPr="00706416">
        <w:t xml:space="preserve">, </w:t>
      </w:r>
      <w:r w:rsidRPr="00706416">
        <w:rPr>
          <w:i/>
          <w:iCs/>
        </w:rPr>
        <w:t>46</w:t>
      </w:r>
      <w:r w:rsidRPr="00706416">
        <w:t>, 101090. https://doi.org/10.1016/j.molmet.2020.101090</w:t>
      </w:r>
    </w:p>
    <w:p w14:paraId="34485D37" w14:textId="77777777" w:rsidR="002B2D62" w:rsidRPr="00706416" w:rsidRDefault="002B2D62" w:rsidP="00EC2423">
      <w:pPr>
        <w:ind w:left="630" w:hanging="630"/>
      </w:pPr>
      <w:r w:rsidRPr="00706416">
        <w:t xml:space="preserve">Bailey, B. K., McGrady, A. V., &amp; Good, M. (1990). Management of a Patient </w:t>
      </w:r>
      <w:proofErr w:type="gramStart"/>
      <w:r w:rsidRPr="00706416">
        <w:t>With</w:t>
      </w:r>
      <w:proofErr w:type="gramEnd"/>
      <w:r w:rsidRPr="00706416">
        <w:t xml:space="preserve"> Insulin-Dependent Diabetes Mellitus Learning Biofeedback-Assisted Relaxation. </w:t>
      </w:r>
      <w:r w:rsidRPr="00706416">
        <w:rPr>
          <w:i/>
          <w:iCs/>
        </w:rPr>
        <w:t>The Diabetes Educator</w:t>
      </w:r>
      <w:r w:rsidRPr="00706416">
        <w:t xml:space="preserve">, </w:t>
      </w:r>
      <w:r w:rsidRPr="00706416">
        <w:rPr>
          <w:i/>
          <w:iCs/>
        </w:rPr>
        <w:t>16</w:t>
      </w:r>
      <w:r w:rsidRPr="00706416">
        <w:t>(3), 201–204. https://doi.org/10.1177/014572179001600310</w:t>
      </w:r>
    </w:p>
    <w:p w14:paraId="6E5539FF" w14:textId="6461BFB5" w:rsidR="002B2D62" w:rsidRDefault="002B2D62" w:rsidP="002B2D62">
      <w:pPr>
        <w:ind w:left="630" w:hanging="630"/>
      </w:pPr>
      <w:r w:rsidRPr="002B2D62">
        <w:t xml:space="preserve">Bailey, C. J. (2024). Metformin: Therapeutic profile in the treatment of type 2 diabetes. </w:t>
      </w:r>
      <w:r w:rsidRPr="002B2D62">
        <w:rPr>
          <w:i/>
          <w:iCs/>
        </w:rPr>
        <w:t>Diabetes, Obesity &amp; Metabolism, 26</w:t>
      </w:r>
      <w:r w:rsidRPr="002B2D62">
        <w:t>(3).</w:t>
      </w:r>
      <w:r w:rsidR="00492A30">
        <w:t xml:space="preserve"> 112-16.</w:t>
      </w:r>
      <w:r w:rsidRPr="002B2D62">
        <w:t xml:space="preserve"> </w:t>
      </w:r>
      <w:hyperlink r:id="rId15" w:tgtFrame="_new" w:history="1">
        <w:r w:rsidRPr="002B2D62">
          <w:rPr>
            <w:rStyle w:val="Hyperlink"/>
          </w:rPr>
          <w:t>https://doi.org/10.1111/dom.15663</w:t>
        </w:r>
      </w:hyperlink>
    </w:p>
    <w:p w14:paraId="569ED150" w14:textId="77777777" w:rsidR="002B2D62" w:rsidRPr="00706416" w:rsidRDefault="002B2D62" w:rsidP="00EC2423">
      <w:pPr>
        <w:ind w:left="630" w:hanging="630"/>
      </w:pPr>
      <w:r w:rsidRPr="00706416">
        <w:t xml:space="preserve">Bermudez-Brito, M., Plaza-Díaz, J., Muñoz-Quezada, S., Gómez-Llorente, C., &amp; Gil, A. (2012). Probiotic Mechanisms of Action. </w:t>
      </w:r>
      <w:r w:rsidRPr="00706416">
        <w:rPr>
          <w:i/>
          <w:iCs/>
        </w:rPr>
        <w:t>Annals of Nutrition and Metabolism</w:t>
      </w:r>
      <w:r w:rsidRPr="00706416">
        <w:t xml:space="preserve">, </w:t>
      </w:r>
      <w:r w:rsidRPr="00706416">
        <w:rPr>
          <w:i/>
          <w:iCs/>
        </w:rPr>
        <w:t>61</w:t>
      </w:r>
      <w:r w:rsidRPr="00706416">
        <w:t>(2), 160–174. https://doi.org/10.1159/000342079</w:t>
      </w:r>
    </w:p>
    <w:p w14:paraId="57C6E642" w14:textId="77777777" w:rsidR="002B2D62" w:rsidRDefault="002B2D62" w:rsidP="002B2D62">
      <w:pPr>
        <w:ind w:left="630" w:hanging="630"/>
      </w:pPr>
      <w:proofErr w:type="spellStart"/>
      <w:r w:rsidRPr="002B2D62">
        <w:t>Birkeland</w:t>
      </w:r>
      <w:proofErr w:type="spellEnd"/>
      <w:r w:rsidRPr="002B2D62">
        <w:t xml:space="preserve">, E., </w:t>
      </w:r>
      <w:proofErr w:type="spellStart"/>
      <w:r w:rsidRPr="002B2D62">
        <w:t>Gharagozlian</w:t>
      </w:r>
      <w:proofErr w:type="spellEnd"/>
      <w:r w:rsidRPr="002B2D62">
        <w:t xml:space="preserve">, S., </w:t>
      </w:r>
      <w:proofErr w:type="spellStart"/>
      <w:r w:rsidRPr="002B2D62">
        <w:t>Birkeland</w:t>
      </w:r>
      <w:proofErr w:type="spellEnd"/>
      <w:r w:rsidRPr="002B2D62">
        <w:t xml:space="preserve">, K. I., </w:t>
      </w:r>
      <w:proofErr w:type="spellStart"/>
      <w:r w:rsidRPr="002B2D62">
        <w:t>Valeur</w:t>
      </w:r>
      <w:proofErr w:type="spellEnd"/>
      <w:r w:rsidRPr="002B2D62">
        <w:t xml:space="preserve">, J., </w:t>
      </w:r>
      <w:proofErr w:type="spellStart"/>
      <w:r w:rsidRPr="002B2D62">
        <w:t>Måge</w:t>
      </w:r>
      <w:proofErr w:type="spellEnd"/>
      <w:r w:rsidRPr="002B2D62">
        <w:t xml:space="preserve">, I., </w:t>
      </w:r>
      <w:proofErr w:type="spellStart"/>
      <w:r w:rsidRPr="002B2D62">
        <w:t>Rud</w:t>
      </w:r>
      <w:proofErr w:type="spellEnd"/>
      <w:r w:rsidRPr="002B2D62">
        <w:t xml:space="preserve">, I., &amp; </w:t>
      </w:r>
      <w:proofErr w:type="spellStart"/>
      <w:r w:rsidRPr="002B2D62">
        <w:t>Aas</w:t>
      </w:r>
      <w:proofErr w:type="spellEnd"/>
      <w:r w:rsidRPr="002B2D62">
        <w:t>, A.</w:t>
      </w:r>
      <w:r w:rsidRPr="002B2D62">
        <w:noBreakHyphen/>
        <w:t>M. (2020). Prebiotic effect of inulin</w:t>
      </w:r>
      <w:r w:rsidRPr="002B2D62">
        <w:noBreakHyphen/>
        <w:t xml:space="preserve">type </w:t>
      </w:r>
      <w:proofErr w:type="spellStart"/>
      <w:r w:rsidRPr="002B2D62">
        <w:t>fructans</w:t>
      </w:r>
      <w:proofErr w:type="spellEnd"/>
      <w:r w:rsidRPr="002B2D62">
        <w:t xml:space="preserve"> on </w:t>
      </w:r>
      <w:proofErr w:type="spellStart"/>
      <w:r w:rsidRPr="002B2D62">
        <w:t>faecal</w:t>
      </w:r>
      <w:proofErr w:type="spellEnd"/>
      <w:r w:rsidRPr="002B2D62">
        <w:t xml:space="preserve"> microbiota and short</w:t>
      </w:r>
      <w:r w:rsidRPr="002B2D62">
        <w:noBreakHyphen/>
        <w:t xml:space="preserve">chain fatty acids in type 2 diabetes: A </w:t>
      </w:r>
      <w:proofErr w:type="spellStart"/>
      <w:r w:rsidRPr="002B2D62">
        <w:t>randomised</w:t>
      </w:r>
      <w:proofErr w:type="spellEnd"/>
      <w:r w:rsidRPr="002B2D62">
        <w:t xml:space="preserve"> controlled trial. </w:t>
      </w:r>
      <w:r w:rsidRPr="002B2D62">
        <w:rPr>
          <w:i/>
          <w:iCs/>
        </w:rPr>
        <w:t>European Journal of Nutrition, 59</w:t>
      </w:r>
      <w:r w:rsidRPr="002B2D62">
        <w:t xml:space="preserve">(7), 3325–3338. </w:t>
      </w:r>
      <w:hyperlink r:id="rId16" w:tgtFrame="_new" w:history="1">
        <w:r w:rsidRPr="002B2D62">
          <w:rPr>
            <w:rStyle w:val="Hyperlink"/>
          </w:rPr>
          <w:t>https://doi.org/10.1007/s00394-020-02282-5</w:t>
        </w:r>
      </w:hyperlink>
      <w:r w:rsidRPr="002B2D62">
        <w:t xml:space="preserve"> </w:t>
      </w:r>
      <w:hyperlink r:id="rId17" w:tgtFrame="_blank" w:history="1">
        <w:r w:rsidRPr="002B2D62">
          <w:rPr>
            <w:rStyle w:val="Hyperlink"/>
          </w:rPr>
          <w:t>PubMed+1</w:t>
        </w:r>
      </w:hyperlink>
    </w:p>
    <w:p w14:paraId="3038D9CE" w14:textId="77777777" w:rsidR="002B2D62" w:rsidRDefault="002B2D62" w:rsidP="002B2D62">
      <w:pPr>
        <w:ind w:left="630" w:hanging="630"/>
      </w:pPr>
      <w:r w:rsidRPr="002B2D62">
        <w:t xml:space="preserve">Bock, P. M., </w:t>
      </w:r>
      <w:proofErr w:type="spellStart"/>
      <w:r w:rsidRPr="002B2D62">
        <w:t>Telo</w:t>
      </w:r>
      <w:proofErr w:type="spellEnd"/>
      <w:r w:rsidRPr="002B2D62">
        <w:t xml:space="preserve">, G. H., </w:t>
      </w:r>
      <w:proofErr w:type="spellStart"/>
      <w:r w:rsidRPr="002B2D62">
        <w:t>Ramalho</w:t>
      </w:r>
      <w:proofErr w:type="spellEnd"/>
      <w:r w:rsidRPr="002B2D62">
        <w:t xml:space="preserve">, R., </w:t>
      </w:r>
      <w:proofErr w:type="spellStart"/>
      <w:r w:rsidRPr="002B2D62">
        <w:t>Sbaraini</w:t>
      </w:r>
      <w:proofErr w:type="spellEnd"/>
      <w:r w:rsidRPr="002B2D62">
        <w:t xml:space="preserve">, M., </w:t>
      </w:r>
      <w:proofErr w:type="spellStart"/>
      <w:r w:rsidRPr="002B2D62">
        <w:t>Leivas</w:t>
      </w:r>
      <w:proofErr w:type="spellEnd"/>
      <w:r w:rsidRPr="002B2D62">
        <w:t xml:space="preserve">, G., Martins, A. F., &amp; </w:t>
      </w:r>
      <w:proofErr w:type="spellStart"/>
      <w:r w:rsidRPr="002B2D62">
        <w:t>Schaan</w:t>
      </w:r>
      <w:proofErr w:type="spellEnd"/>
      <w:r w:rsidRPr="002B2D62">
        <w:t xml:space="preserve">, B. D. (2021). The effect of probiotics, prebiotics or </w:t>
      </w:r>
      <w:proofErr w:type="spellStart"/>
      <w:r w:rsidRPr="002B2D62">
        <w:t>synbiotics</w:t>
      </w:r>
      <w:proofErr w:type="spellEnd"/>
      <w:r w:rsidRPr="002B2D62">
        <w:t xml:space="preserve"> on metabolic outcomes in individuals with diabetes: A systematic review and meta</w:t>
      </w:r>
      <w:r w:rsidRPr="002B2D62">
        <w:noBreakHyphen/>
        <w:t xml:space="preserve">analysis. </w:t>
      </w:r>
      <w:proofErr w:type="spellStart"/>
      <w:r w:rsidRPr="002B2D62">
        <w:rPr>
          <w:i/>
          <w:iCs/>
        </w:rPr>
        <w:t>Diabetologia</w:t>
      </w:r>
      <w:proofErr w:type="spellEnd"/>
      <w:r w:rsidRPr="002B2D62">
        <w:rPr>
          <w:i/>
          <w:iCs/>
        </w:rPr>
        <w:t>, 64</w:t>
      </w:r>
      <w:r w:rsidRPr="002B2D62">
        <w:t xml:space="preserve">(1), 26–41. </w:t>
      </w:r>
      <w:hyperlink r:id="rId18" w:tgtFrame="_new" w:history="1">
        <w:r w:rsidRPr="002B2D62">
          <w:rPr>
            <w:rStyle w:val="Hyperlink"/>
          </w:rPr>
          <w:t>https://doi.org/10.1007/s00125-020-05295-1</w:t>
        </w:r>
      </w:hyperlink>
      <w:r w:rsidRPr="002B2D62">
        <w:t xml:space="preserve"> </w:t>
      </w:r>
      <w:hyperlink r:id="rId19" w:tgtFrame="_blank" w:history="1">
        <w:r w:rsidRPr="002B2D62">
          <w:rPr>
            <w:rStyle w:val="Hyperlink"/>
          </w:rPr>
          <w:t>PubMed+1</w:t>
        </w:r>
      </w:hyperlink>
    </w:p>
    <w:p w14:paraId="1008818A" w14:textId="77777777" w:rsidR="002B2D62" w:rsidRPr="00706416" w:rsidRDefault="002B2D62" w:rsidP="00EC2423">
      <w:pPr>
        <w:ind w:left="630" w:hanging="630"/>
      </w:pPr>
      <w:proofErr w:type="spellStart"/>
      <w:r w:rsidRPr="00706416">
        <w:lastRenderedPageBreak/>
        <w:t>Brosnan</w:t>
      </w:r>
      <w:proofErr w:type="spellEnd"/>
      <w:r w:rsidRPr="00706416">
        <w:t xml:space="preserve">, J. T., &amp; Brosnan, M. E. (2006). Branched-Chain Amino Acids: Enzyme and Substrate Regulation. </w:t>
      </w:r>
      <w:r w:rsidRPr="00706416">
        <w:rPr>
          <w:i/>
          <w:iCs/>
        </w:rPr>
        <w:t>The Journal of Nutrition</w:t>
      </w:r>
      <w:r w:rsidRPr="00706416">
        <w:t xml:space="preserve">, </w:t>
      </w:r>
      <w:r w:rsidRPr="00706416">
        <w:rPr>
          <w:i/>
          <w:iCs/>
        </w:rPr>
        <w:t>136</w:t>
      </w:r>
      <w:r w:rsidRPr="00706416">
        <w:t>(1), 207S211S. https://doi.org/10.1093/jn/136.1.207s</w:t>
      </w:r>
    </w:p>
    <w:p w14:paraId="315E4C79" w14:textId="77777777" w:rsidR="002B2D62" w:rsidRPr="00706416" w:rsidRDefault="002B2D62" w:rsidP="00EC2423">
      <w:pPr>
        <w:ind w:left="630" w:hanging="630"/>
      </w:pPr>
      <w:proofErr w:type="spellStart"/>
      <w:r w:rsidRPr="00706416">
        <w:t>Calanna</w:t>
      </w:r>
      <w:proofErr w:type="spellEnd"/>
      <w:r w:rsidRPr="00706416">
        <w:t xml:space="preserve">, S., Christensen, M., Holst, J. J., </w:t>
      </w:r>
      <w:proofErr w:type="spellStart"/>
      <w:r w:rsidRPr="00706416">
        <w:t>Laferrère</w:t>
      </w:r>
      <w:proofErr w:type="spellEnd"/>
      <w:r w:rsidRPr="00706416">
        <w:t xml:space="preserve">, B., Gluud, L. L., Vilsbøll, T., &amp; Knop, F. K. (2013). Secretion of glucagon-like peptide-1 in patients with type 2 diabetes mellitus: systematic review and meta-analyses of clinical studies. </w:t>
      </w:r>
      <w:proofErr w:type="spellStart"/>
      <w:r w:rsidRPr="00706416">
        <w:rPr>
          <w:i/>
          <w:iCs/>
        </w:rPr>
        <w:t>Diabetologia</w:t>
      </w:r>
      <w:proofErr w:type="spellEnd"/>
      <w:r w:rsidRPr="00706416">
        <w:t xml:space="preserve">, </w:t>
      </w:r>
      <w:r w:rsidRPr="00706416">
        <w:rPr>
          <w:i/>
          <w:iCs/>
        </w:rPr>
        <w:t>56</w:t>
      </w:r>
      <w:r w:rsidRPr="00706416">
        <w:t>(5), 965–972. https://doi.org/10.1007/s00125-013-2841-0</w:t>
      </w:r>
    </w:p>
    <w:p w14:paraId="09A8806C" w14:textId="77777777" w:rsidR="002B2D62" w:rsidRPr="00706416" w:rsidRDefault="002B2D62" w:rsidP="00EC2423">
      <w:pPr>
        <w:ind w:left="630" w:hanging="630"/>
      </w:pPr>
      <w:r w:rsidRPr="00706416">
        <w:t xml:space="preserve">Calvano, A., </w:t>
      </w:r>
      <w:proofErr w:type="spellStart"/>
      <w:r w:rsidRPr="00706416">
        <w:t>Izuora</w:t>
      </w:r>
      <w:proofErr w:type="spellEnd"/>
      <w:r w:rsidRPr="00706416">
        <w:t xml:space="preserve">, K., Oh, E. C., Ebersole, J. L., Lyons, T. J., &amp; Basu, A. (2019). Dietary berries, insulin resistance and type 2 diabetes: an overview of human feeding trials. </w:t>
      </w:r>
      <w:r w:rsidRPr="00706416">
        <w:rPr>
          <w:i/>
          <w:iCs/>
        </w:rPr>
        <w:t>Food &amp; Function</w:t>
      </w:r>
      <w:r w:rsidRPr="00706416">
        <w:t xml:space="preserve">, </w:t>
      </w:r>
      <w:r w:rsidRPr="00706416">
        <w:rPr>
          <w:i/>
          <w:iCs/>
        </w:rPr>
        <w:t>10</w:t>
      </w:r>
      <w:r w:rsidRPr="00706416">
        <w:t>(10), 6227–6243. https://doi.org/10.1039/c9fo01426h</w:t>
      </w:r>
    </w:p>
    <w:p w14:paraId="20536722" w14:textId="77777777" w:rsidR="002B2D62" w:rsidRPr="00706416" w:rsidRDefault="002B2D62" w:rsidP="00EC2423">
      <w:pPr>
        <w:ind w:left="630" w:hanging="630"/>
      </w:pPr>
      <w:r w:rsidRPr="00706416">
        <w:t xml:space="preserve">Campbell, A. P. (2017). DASH Eating Plan: An Eating Pattern for Diabetes Management. </w:t>
      </w:r>
      <w:r w:rsidRPr="00706416">
        <w:rPr>
          <w:i/>
          <w:iCs/>
        </w:rPr>
        <w:t>Diabetes Spectrum</w:t>
      </w:r>
      <w:r w:rsidRPr="00706416">
        <w:t xml:space="preserve">, </w:t>
      </w:r>
      <w:r w:rsidRPr="00706416">
        <w:rPr>
          <w:i/>
          <w:iCs/>
        </w:rPr>
        <w:t>30</w:t>
      </w:r>
      <w:r w:rsidRPr="00706416">
        <w:t>(2), 76–81. https://doi.org/10.2337/ds16-0084</w:t>
      </w:r>
    </w:p>
    <w:p w14:paraId="3AA84A29" w14:textId="77777777" w:rsidR="002B2D62" w:rsidRPr="00706416" w:rsidRDefault="002B2D62" w:rsidP="00EC2423">
      <w:pPr>
        <w:ind w:left="630" w:hanging="630"/>
      </w:pPr>
      <w:proofErr w:type="spellStart"/>
      <w:r w:rsidRPr="00706416">
        <w:t>Cani</w:t>
      </w:r>
      <w:proofErr w:type="spellEnd"/>
      <w:r w:rsidRPr="00706416">
        <w:t xml:space="preserve">, P. D., </w:t>
      </w:r>
      <w:proofErr w:type="spellStart"/>
      <w:r w:rsidRPr="00706416">
        <w:t>Dewever</w:t>
      </w:r>
      <w:proofErr w:type="spellEnd"/>
      <w:r w:rsidRPr="00706416">
        <w:t xml:space="preserve">, C., &amp; </w:t>
      </w:r>
      <w:proofErr w:type="spellStart"/>
      <w:r w:rsidRPr="00706416">
        <w:t>Delzenne</w:t>
      </w:r>
      <w:proofErr w:type="spellEnd"/>
      <w:r w:rsidRPr="00706416">
        <w:t xml:space="preserve">, N. M. (2004). Inulin-type </w:t>
      </w:r>
      <w:proofErr w:type="spellStart"/>
      <w:r w:rsidRPr="00706416">
        <w:t>fructans</w:t>
      </w:r>
      <w:proofErr w:type="spellEnd"/>
      <w:r w:rsidRPr="00706416">
        <w:t xml:space="preserve"> modulate gastrointestinal peptides involved in appetite regulation (glucagon-like peptide-1 and ghrelin) in rats. </w:t>
      </w:r>
      <w:r w:rsidRPr="00706416">
        <w:rPr>
          <w:i/>
          <w:iCs/>
        </w:rPr>
        <w:t>British Journal of Nutrition</w:t>
      </w:r>
      <w:r w:rsidRPr="00706416">
        <w:t xml:space="preserve">, </w:t>
      </w:r>
      <w:r w:rsidRPr="00706416">
        <w:rPr>
          <w:i/>
          <w:iCs/>
        </w:rPr>
        <w:t>92</w:t>
      </w:r>
      <w:r w:rsidRPr="00706416">
        <w:t>(3), 521–526. https://doi.org/10.1079/bjn20041225</w:t>
      </w:r>
    </w:p>
    <w:p w14:paraId="6531D352" w14:textId="77777777" w:rsidR="002B2D62" w:rsidRPr="00706416" w:rsidRDefault="002B2D62" w:rsidP="00EC2423">
      <w:pPr>
        <w:ind w:left="630" w:hanging="630"/>
      </w:pPr>
      <w:proofErr w:type="spellStart"/>
      <w:r w:rsidRPr="00706416">
        <w:t>Capuani</w:t>
      </w:r>
      <w:proofErr w:type="spellEnd"/>
      <w:r w:rsidRPr="00706416">
        <w:t xml:space="preserve">, B., Pacifici, F., Della-Morte, D., &amp; Lauro, D. (2018). Glucagon Like Peptide 1 and MicroRNA in Metabolic Diseases: Focusing on GLP1 Action on miRNAs. </w:t>
      </w:r>
      <w:r w:rsidRPr="00706416">
        <w:rPr>
          <w:i/>
          <w:iCs/>
        </w:rPr>
        <w:t>Frontiers in Endocrinology</w:t>
      </w:r>
      <w:r w:rsidRPr="00706416">
        <w:t xml:space="preserve">, </w:t>
      </w:r>
      <w:r w:rsidRPr="00706416">
        <w:rPr>
          <w:i/>
          <w:iCs/>
        </w:rPr>
        <w:t>9</w:t>
      </w:r>
      <w:r w:rsidRPr="00706416">
        <w:t>. https://doi.org/10.3389/fendo.2018.00719</w:t>
      </w:r>
    </w:p>
    <w:p w14:paraId="4384D51E" w14:textId="6F2749E6" w:rsidR="002B2D62" w:rsidRPr="00706416" w:rsidRDefault="002B2D62" w:rsidP="00EC2423">
      <w:pPr>
        <w:ind w:left="630" w:hanging="630"/>
      </w:pPr>
      <w:proofErr w:type="spellStart"/>
      <w:r w:rsidRPr="00706416">
        <w:t>Cersosimo</w:t>
      </w:r>
      <w:proofErr w:type="spellEnd"/>
      <w:r w:rsidRPr="00706416">
        <w:t>, E., Triplitt, C., Solis-Herrera, C., Mandarino, L. J., &amp; DeFronzo, R. A. (202</w:t>
      </w:r>
      <w:r w:rsidR="00492A30">
        <w:t>1</w:t>
      </w:r>
      <w:r w:rsidRPr="00706416">
        <w:t xml:space="preserve">). </w:t>
      </w:r>
      <w:r w:rsidRPr="00706416">
        <w:rPr>
          <w:i/>
          <w:iCs/>
        </w:rPr>
        <w:t>Pathogenesis of Type 2 Diabetes Mellitus</w:t>
      </w:r>
      <w:r w:rsidRPr="00706416">
        <w:t xml:space="preserve">. </w:t>
      </w:r>
      <w:r w:rsidR="00492A30">
        <w:t xml:space="preserve">Retrieved from </w:t>
      </w:r>
      <w:r w:rsidRPr="00706416">
        <w:t>https://www.ncbi.nlm.nih.gov/books/NBK279115/</w:t>
      </w:r>
    </w:p>
    <w:p w14:paraId="04516AFB" w14:textId="77777777" w:rsidR="002B2D62" w:rsidRPr="00706416" w:rsidRDefault="002B2D62" w:rsidP="00EC2423">
      <w:pPr>
        <w:ind w:left="630" w:hanging="630"/>
      </w:pPr>
      <w:proofErr w:type="spellStart"/>
      <w:r w:rsidRPr="00706416">
        <w:t>Chiquette</w:t>
      </w:r>
      <w:proofErr w:type="spellEnd"/>
      <w:r w:rsidRPr="00706416">
        <w:t xml:space="preserve">, E., Ramirez, G., &amp; DeFronzo, R. (2004). A Meta-analysis Comparing the Effect of Thiazolidinediones on Cardiovascular Risk Factors. </w:t>
      </w:r>
      <w:r w:rsidRPr="00706416">
        <w:rPr>
          <w:i/>
          <w:iCs/>
        </w:rPr>
        <w:t>Archives of Internal Medicine</w:t>
      </w:r>
      <w:r w:rsidRPr="00706416">
        <w:t xml:space="preserve">, </w:t>
      </w:r>
      <w:r w:rsidRPr="00706416">
        <w:rPr>
          <w:i/>
          <w:iCs/>
        </w:rPr>
        <w:t>164</w:t>
      </w:r>
      <w:r w:rsidRPr="00706416">
        <w:t>(19), 2097. https://doi.org/10.1001/archinte.164.19.2097</w:t>
      </w:r>
    </w:p>
    <w:p w14:paraId="4281D522" w14:textId="77777777" w:rsidR="002B2D62" w:rsidRPr="00706416" w:rsidRDefault="002B2D62" w:rsidP="00EC2423">
      <w:pPr>
        <w:ind w:left="630" w:hanging="630"/>
      </w:pPr>
      <w:proofErr w:type="spellStart"/>
      <w:r w:rsidRPr="00706416">
        <w:t>Colberg</w:t>
      </w:r>
      <w:proofErr w:type="spellEnd"/>
      <w:r w:rsidRPr="00706416">
        <w:t xml:space="preserve">, S. R., Sigal, R. J., </w:t>
      </w:r>
      <w:proofErr w:type="spellStart"/>
      <w:r w:rsidRPr="00706416">
        <w:t>Fernhall</w:t>
      </w:r>
      <w:proofErr w:type="spellEnd"/>
      <w:r w:rsidRPr="00706416">
        <w:t xml:space="preserve">, B., </w:t>
      </w:r>
      <w:proofErr w:type="spellStart"/>
      <w:r w:rsidRPr="00706416">
        <w:t>Regensteiner</w:t>
      </w:r>
      <w:proofErr w:type="spellEnd"/>
      <w:r w:rsidRPr="00706416">
        <w:t xml:space="preserve">, J. G., </w:t>
      </w:r>
      <w:proofErr w:type="spellStart"/>
      <w:r w:rsidRPr="00706416">
        <w:t>Blissmer</w:t>
      </w:r>
      <w:proofErr w:type="spellEnd"/>
      <w:r w:rsidRPr="00706416">
        <w:t xml:space="preserve">, B. J., Rubin, R. R., Chasan-Taber, L., Albright, A. L., &amp; Braun, B. (2010). Exercise and Type 2 Diabetes: The American College of Sports Medicine and the American Diabetes Association: joint position statement executive summary. </w:t>
      </w:r>
      <w:r w:rsidRPr="00706416">
        <w:rPr>
          <w:i/>
          <w:iCs/>
        </w:rPr>
        <w:t>Diabetes Care</w:t>
      </w:r>
      <w:r w:rsidRPr="00706416">
        <w:t xml:space="preserve">, </w:t>
      </w:r>
      <w:r w:rsidRPr="00706416">
        <w:rPr>
          <w:i/>
          <w:iCs/>
        </w:rPr>
        <w:t>33</w:t>
      </w:r>
      <w:r w:rsidRPr="00706416">
        <w:t>(12), 2692–2696. https://doi.org/10.2337/dc10-1548</w:t>
      </w:r>
    </w:p>
    <w:p w14:paraId="09DA4ACD" w14:textId="77777777" w:rsidR="002B2D62" w:rsidRPr="00706416" w:rsidRDefault="002B2D62" w:rsidP="00EC2423">
      <w:pPr>
        <w:ind w:left="630" w:hanging="630"/>
      </w:pPr>
      <w:proofErr w:type="spellStart"/>
      <w:r w:rsidRPr="00706416">
        <w:t>Costes</w:t>
      </w:r>
      <w:proofErr w:type="spellEnd"/>
      <w:r w:rsidRPr="00706416">
        <w:t xml:space="preserve">, S., Langen, R., Gurlo, T., Matveyenko, A. V., &amp; Butler, P. C. (2013). Cell Failure in Type 2 Diabetes: A Case of Asking Too Much of Too Few? </w:t>
      </w:r>
      <w:r w:rsidRPr="00706416">
        <w:rPr>
          <w:i/>
          <w:iCs/>
        </w:rPr>
        <w:t>Diabetes</w:t>
      </w:r>
      <w:r w:rsidRPr="00706416">
        <w:t xml:space="preserve">, </w:t>
      </w:r>
      <w:r w:rsidRPr="00706416">
        <w:rPr>
          <w:i/>
          <w:iCs/>
        </w:rPr>
        <w:t>62</w:t>
      </w:r>
      <w:r w:rsidRPr="00706416">
        <w:t>(2), 327–335. https://doi.org/10.2337/db12-1326</w:t>
      </w:r>
    </w:p>
    <w:p w14:paraId="16745EF6" w14:textId="77777777" w:rsidR="002B2D62" w:rsidRPr="00706416" w:rsidRDefault="002B2D62" w:rsidP="00EC2423">
      <w:pPr>
        <w:ind w:left="630" w:hanging="630"/>
      </w:pPr>
      <w:r w:rsidRPr="00706416">
        <w:t xml:space="preserve">Davies, M. J., D’Alessio, D. A., Fradkin, J., Kernan, W. N., Mathieu, C., Mingrone, G., Rossing, P., </w:t>
      </w:r>
      <w:proofErr w:type="spellStart"/>
      <w:r w:rsidRPr="00706416">
        <w:t>Tsapas</w:t>
      </w:r>
      <w:proofErr w:type="spellEnd"/>
      <w:r w:rsidRPr="00706416">
        <w:t xml:space="preserve">, A., Wexler, D. J., &amp; Buse, J. B. (2018). Management of Hyperglycemia in Type 2 Diabetes, 2018. a Consensus Report by the American Diabetes Association (ADA) and the European Association for the Study of Diabetes (EASD). </w:t>
      </w:r>
      <w:r w:rsidRPr="00706416">
        <w:rPr>
          <w:i/>
          <w:iCs/>
        </w:rPr>
        <w:t>Diabetes Care</w:t>
      </w:r>
      <w:r w:rsidRPr="00706416">
        <w:t xml:space="preserve">, </w:t>
      </w:r>
      <w:r w:rsidRPr="00706416">
        <w:rPr>
          <w:i/>
          <w:iCs/>
        </w:rPr>
        <w:t>41</w:t>
      </w:r>
      <w:r w:rsidRPr="00706416">
        <w:t>(12), 2669–2701. https://doi.org/10.2337/dci18-0033</w:t>
      </w:r>
    </w:p>
    <w:p w14:paraId="096BB799" w14:textId="77777777" w:rsidR="002B2D62" w:rsidRPr="00706416" w:rsidRDefault="002B2D62" w:rsidP="00EC2423">
      <w:pPr>
        <w:ind w:left="630" w:hanging="630"/>
      </w:pPr>
      <w:r w:rsidRPr="00706416">
        <w:t xml:space="preserve">Deacon, C. F. (2020). Dipeptidyl peptidase 4 inhibitors in the treatment of type 2 diabetes mellitus. </w:t>
      </w:r>
      <w:r w:rsidRPr="00706416">
        <w:rPr>
          <w:i/>
          <w:iCs/>
        </w:rPr>
        <w:t>Nature Reviews Endocrinology</w:t>
      </w:r>
      <w:r w:rsidRPr="00706416">
        <w:t xml:space="preserve">, </w:t>
      </w:r>
      <w:r w:rsidRPr="00706416">
        <w:rPr>
          <w:i/>
          <w:iCs/>
        </w:rPr>
        <w:t>16</w:t>
      </w:r>
      <w:r w:rsidRPr="00706416">
        <w:t>(11), 642–653. https://doi.org/10.1038/s41574-020-0399-8</w:t>
      </w:r>
    </w:p>
    <w:p w14:paraId="046F0CDA" w14:textId="77777777" w:rsidR="002B2D62" w:rsidRPr="00706416" w:rsidRDefault="002B2D62" w:rsidP="00EC2423">
      <w:pPr>
        <w:ind w:left="630" w:hanging="630"/>
      </w:pPr>
      <w:r w:rsidRPr="00706416">
        <w:t xml:space="preserve">Deacon, C. F., &amp; Lebovitz, H. E. (2016). Comparative review of dipeptidyl peptidase-4 inhibitors and </w:t>
      </w:r>
      <w:proofErr w:type="spellStart"/>
      <w:r w:rsidRPr="00706416">
        <w:t>sulphonylureas</w:t>
      </w:r>
      <w:proofErr w:type="spellEnd"/>
      <w:r w:rsidRPr="00706416">
        <w:t xml:space="preserve">. </w:t>
      </w:r>
      <w:r w:rsidRPr="00706416">
        <w:rPr>
          <w:i/>
          <w:iCs/>
        </w:rPr>
        <w:t>Diabetes, Obesity &amp; Metabolism</w:t>
      </w:r>
      <w:r w:rsidRPr="00706416">
        <w:t xml:space="preserve">, </w:t>
      </w:r>
      <w:r w:rsidRPr="00706416">
        <w:rPr>
          <w:i/>
          <w:iCs/>
        </w:rPr>
        <w:t>18</w:t>
      </w:r>
      <w:r w:rsidRPr="00706416">
        <w:t>(4), 333–347. https://doi.org/10.1111/dom.12610</w:t>
      </w:r>
    </w:p>
    <w:p w14:paraId="334CB760" w14:textId="77777777" w:rsidR="002B2D62" w:rsidRPr="00706416" w:rsidRDefault="002B2D62" w:rsidP="00EC2423">
      <w:pPr>
        <w:ind w:left="630" w:hanging="630"/>
      </w:pPr>
      <w:proofErr w:type="spellStart"/>
      <w:r w:rsidRPr="00706416">
        <w:t>DeFronzo</w:t>
      </w:r>
      <w:proofErr w:type="spellEnd"/>
      <w:r w:rsidRPr="00706416">
        <w:t xml:space="preserve">, R. A. (1981). The effect of insulin on renal sodium metabolism. </w:t>
      </w:r>
      <w:proofErr w:type="spellStart"/>
      <w:r w:rsidRPr="00706416">
        <w:rPr>
          <w:i/>
          <w:iCs/>
        </w:rPr>
        <w:t>Diabetologia</w:t>
      </w:r>
      <w:proofErr w:type="spellEnd"/>
      <w:r w:rsidRPr="00706416">
        <w:t xml:space="preserve">, </w:t>
      </w:r>
      <w:r w:rsidRPr="00706416">
        <w:rPr>
          <w:i/>
          <w:iCs/>
        </w:rPr>
        <w:t>21</w:t>
      </w:r>
      <w:r w:rsidRPr="00706416">
        <w:t>(3). https://doi.org/10.1007/bf00252649</w:t>
      </w:r>
    </w:p>
    <w:p w14:paraId="2123AFD9" w14:textId="77777777" w:rsidR="002B2D62" w:rsidRPr="00706416" w:rsidRDefault="002B2D62" w:rsidP="00EC2423">
      <w:pPr>
        <w:ind w:left="630" w:hanging="630"/>
      </w:pPr>
      <w:proofErr w:type="spellStart"/>
      <w:r w:rsidRPr="00706416">
        <w:t>DeFronzo</w:t>
      </w:r>
      <w:proofErr w:type="spellEnd"/>
      <w:r w:rsidRPr="00706416">
        <w:t xml:space="preserve">, R. A. (2009). From the Triumvirate to the Ominous Octet: A New Paradigm for the Treatment of Type 2 Diabetes Mellitus. </w:t>
      </w:r>
      <w:r w:rsidRPr="00706416">
        <w:rPr>
          <w:i/>
          <w:iCs/>
        </w:rPr>
        <w:t>Diabetes</w:t>
      </w:r>
      <w:r w:rsidRPr="00706416">
        <w:t xml:space="preserve">, </w:t>
      </w:r>
      <w:r w:rsidRPr="00706416">
        <w:rPr>
          <w:i/>
          <w:iCs/>
        </w:rPr>
        <w:t>58</w:t>
      </w:r>
      <w:r w:rsidRPr="00706416">
        <w:t>(4), 773–795. https://doi.org/10.2337/db09-9028</w:t>
      </w:r>
    </w:p>
    <w:p w14:paraId="711DE6BB" w14:textId="77777777" w:rsidR="002B2D62" w:rsidRPr="00706416" w:rsidRDefault="002B2D62" w:rsidP="00EC2423">
      <w:pPr>
        <w:ind w:left="630" w:hanging="630"/>
      </w:pPr>
      <w:proofErr w:type="spellStart"/>
      <w:r w:rsidRPr="00706416">
        <w:t>DeFronzo</w:t>
      </w:r>
      <w:proofErr w:type="spellEnd"/>
      <w:r w:rsidRPr="00706416">
        <w:t xml:space="preserve">, R. A., Davidson, J. A., &amp; Del Prato, S. (2011). The role of the kidneys in glucose homeostasis: a new path towards normalizing glycaemia. </w:t>
      </w:r>
      <w:r w:rsidRPr="00706416">
        <w:rPr>
          <w:i/>
          <w:iCs/>
        </w:rPr>
        <w:t>Diabetes, Obesity and Metabolism</w:t>
      </w:r>
      <w:r w:rsidRPr="00706416">
        <w:t xml:space="preserve">, </w:t>
      </w:r>
      <w:r w:rsidRPr="00706416">
        <w:rPr>
          <w:i/>
          <w:iCs/>
        </w:rPr>
        <w:t>14</w:t>
      </w:r>
      <w:r w:rsidRPr="00706416">
        <w:t>(1), 5–14. https://doi.org/10.1111/j.1463-1326.2011.01511.x</w:t>
      </w:r>
    </w:p>
    <w:p w14:paraId="2329780A" w14:textId="77777777" w:rsidR="002B2D62" w:rsidRPr="00706416" w:rsidRDefault="002B2D62" w:rsidP="00EC2423">
      <w:pPr>
        <w:ind w:left="630" w:hanging="630"/>
      </w:pPr>
      <w:proofErr w:type="spellStart"/>
      <w:r w:rsidRPr="00706416">
        <w:lastRenderedPageBreak/>
        <w:t>Dehghan</w:t>
      </w:r>
      <w:proofErr w:type="spellEnd"/>
      <w:r w:rsidRPr="00706416">
        <w:t xml:space="preserve">, P., </w:t>
      </w:r>
      <w:proofErr w:type="spellStart"/>
      <w:r w:rsidRPr="00706416">
        <w:t>Pourghassem</w:t>
      </w:r>
      <w:proofErr w:type="spellEnd"/>
      <w:r w:rsidRPr="00706416">
        <w:t xml:space="preserve"> </w:t>
      </w:r>
      <w:proofErr w:type="spellStart"/>
      <w:r w:rsidRPr="00706416">
        <w:t>Gargari</w:t>
      </w:r>
      <w:proofErr w:type="spellEnd"/>
      <w:r w:rsidRPr="00706416">
        <w:t xml:space="preserve">, B., &amp; </w:t>
      </w:r>
      <w:proofErr w:type="spellStart"/>
      <w:r w:rsidRPr="00706416">
        <w:t>Asghari</w:t>
      </w:r>
      <w:proofErr w:type="spellEnd"/>
      <w:r w:rsidRPr="00706416">
        <w:t xml:space="preserve"> </w:t>
      </w:r>
      <w:proofErr w:type="spellStart"/>
      <w:r w:rsidRPr="00706416">
        <w:t>Jafar-abadi</w:t>
      </w:r>
      <w:proofErr w:type="spellEnd"/>
      <w:r w:rsidRPr="00706416">
        <w:t xml:space="preserve">, M. (2014). Oligofructose-enriched inulin improves some inflammatory markers and metabolic endotoxemia in women with type 2 diabetes mellitus: A randomized controlled clinical trial. </w:t>
      </w:r>
      <w:r w:rsidRPr="00706416">
        <w:rPr>
          <w:i/>
          <w:iCs/>
        </w:rPr>
        <w:t>Nutrition</w:t>
      </w:r>
      <w:r w:rsidRPr="00706416">
        <w:t xml:space="preserve">, </w:t>
      </w:r>
      <w:r w:rsidRPr="00706416">
        <w:rPr>
          <w:i/>
          <w:iCs/>
        </w:rPr>
        <w:t>30</w:t>
      </w:r>
      <w:r w:rsidRPr="00706416">
        <w:t>(4), 418–423. https://doi.org/10.1016/j.nut.2013.09.005</w:t>
      </w:r>
    </w:p>
    <w:p w14:paraId="08EEE4E3" w14:textId="77777777" w:rsidR="002B2D62" w:rsidRPr="00706416" w:rsidRDefault="002B2D62" w:rsidP="00EC2423">
      <w:pPr>
        <w:ind w:left="630" w:hanging="630"/>
      </w:pPr>
      <w:proofErr w:type="spellStart"/>
      <w:r w:rsidRPr="00706416">
        <w:t>DeMarsilis</w:t>
      </w:r>
      <w:proofErr w:type="spellEnd"/>
      <w:r w:rsidRPr="00706416">
        <w:t xml:space="preserve">, A., Reddy, N., </w:t>
      </w:r>
      <w:proofErr w:type="spellStart"/>
      <w:r w:rsidRPr="00706416">
        <w:t>Boutari</w:t>
      </w:r>
      <w:proofErr w:type="spellEnd"/>
      <w:r w:rsidRPr="00706416">
        <w:t xml:space="preserve">, C., </w:t>
      </w:r>
      <w:proofErr w:type="spellStart"/>
      <w:r w:rsidRPr="00706416">
        <w:t>Filippaios</w:t>
      </w:r>
      <w:proofErr w:type="spellEnd"/>
      <w:r w:rsidRPr="00706416">
        <w:t xml:space="preserve">, A., Sternthal, E., </w:t>
      </w:r>
      <w:proofErr w:type="spellStart"/>
      <w:r w:rsidRPr="00706416">
        <w:t>Katsiki</w:t>
      </w:r>
      <w:proofErr w:type="spellEnd"/>
      <w:r w:rsidRPr="00706416">
        <w:t xml:space="preserve">, N., &amp; </w:t>
      </w:r>
      <w:proofErr w:type="spellStart"/>
      <w:r w:rsidRPr="00706416">
        <w:t>Mantzoros</w:t>
      </w:r>
      <w:proofErr w:type="spellEnd"/>
      <w:r w:rsidRPr="00706416">
        <w:t xml:space="preserve">, C. (2022). Pharmacotherapy of type 2 diabetes: An update and future directions. </w:t>
      </w:r>
      <w:r w:rsidRPr="00706416">
        <w:rPr>
          <w:i/>
          <w:iCs/>
        </w:rPr>
        <w:t>Metabolism</w:t>
      </w:r>
      <w:r w:rsidRPr="00706416">
        <w:t xml:space="preserve">, </w:t>
      </w:r>
      <w:r w:rsidRPr="00706416">
        <w:rPr>
          <w:i/>
          <w:iCs/>
        </w:rPr>
        <w:t>137</w:t>
      </w:r>
      <w:r w:rsidRPr="00706416">
        <w:t>, 155332. https://doi.org/10.1016/j.metabol.2022.155332</w:t>
      </w:r>
    </w:p>
    <w:p w14:paraId="4FCF965B" w14:textId="575ED490" w:rsidR="002B2D62" w:rsidRPr="00706416" w:rsidRDefault="002B2D62" w:rsidP="00EC2423">
      <w:pPr>
        <w:ind w:left="630" w:hanging="630"/>
      </w:pPr>
      <w:proofErr w:type="spellStart"/>
      <w:r w:rsidRPr="00706416">
        <w:t>Derosa</w:t>
      </w:r>
      <w:proofErr w:type="spellEnd"/>
      <w:r w:rsidRPr="00706416">
        <w:t xml:space="preserve">, G., Putignano, P., Bossi, A. C., Bonaventura, A., </w:t>
      </w:r>
      <w:proofErr w:type="spellStart"/>
      <w:r w:rsidRPr="00706416">
        <w:t>Querci</w:t>
      </w:r>
      <w:proofErr w:type="spellEnd"/>
      <w:r w:rsidRPr="00706416">
        <w:t xml:space="preserve">, F., Franzetti, I. G., </w:t>
      </w:r>
      <w:proofErr w:type="spellStart"/>
      <w:r w:rsidRPr="00706416">
        <w:t>Guazzini</w:t>
      </w:r>
      <w:proofErr w:type="spellEnd"/>
      <w:r w:rsidRPr="00706416">
        <w:t xml:space="preserve">, B., Testori, G., </w:t>
      </w:r>
      <w:proofErr w:type="spellStart"/>
      <w:r w:rsidRPr="00706416">
        <w:t>Fogari</w:t>
      </w:r>
      <w:proofErr w:type="spellEnd"/>
      <w:r w:rsidRPr="00706416">
        <w:t xml:space="preserve">, E., &amp; Maffioli, P. (2011). Exenatide or glimepiride added to metformin on metabolic control and on insulin resistance in type 2 diabetic patients. </w:t>
      </w:r>
      <w:r w:rsidRPr="00706416">
        <w:rPr>
          <w:i/>
          <w:iCs/>
        </w:rPr>
        <w:t>European Journal of Pharmacology</w:t>
      </w:r>
      <w:r w:rsidRPr="00706416">
        <w:t xml:space="preserve">, </w:t>
      </w:r>
      <w:r w:rsidRPr="00706416">
        <w:rPr>
          <w:i/>
          <w:iCs/>
        </w:rPr>
        <w:t>666</w:t>
      </w:r>
      <w:r w:rsidRPr="00706416">
        <w:t>(3), 251–256. https://doi.org/10.1016/j.ejphar.2011.05.051</w:t>
      </w:r>
    </w:p>
    <w:p w14:paraId="69C7FC3E" w14:textId="77777777" w:rsidR="002B2D62" w:rsidRPr="00706416" w:rsidRDefault="002B2D62" w:rsidP="00EC2423">
      <w:pPr>
        <w:ind w:left="630" w:hanging="630"/>
      </w:pPr>
      <w:proofErr w:type="spellStart"/>
      <w:r w:rsidRPr="00706416">
        <w:t>Derosa</w:t>
      </w:r>
      <w:proofErr w:type="spellEnd"/>
      <w:r w:rsidRPr="00706416">
        <w:t xml:space="preserve">, G., Romano, D., D’Angelo, A., &amp; Maffioli, P. (2015). Berberis aristata combined with Silybum marianum on lipid profile in patients not tolerating statins at high doses. </w:t>
      </w:r>
      <w:r w:rsidRPr="00706416">
        <w:rPr>
          <w:i/>
          <w:iCs/>
        </w:rPr>
        <w:t>Atherosclerosis</w:t>
      </w:r>
      <w:r w:rsidRPr="00706416">
        <w:t xml:space="preserve">, </w:t>
      </w:r>
      <w:r w:rsidRPr="00706416">
        <w:rPr>
          <w:i/>
          <w:iCs/>
        </w:rPr>
        <w:t>239</w:t>
      </w:r>
      <w:r w:rsidRPr="00706416">
        <w:t>(1), 87–92. https://doi.org/10.1016/j.atherosclerosis.2014.12.043</w:t>
      </w:r>
    </w:p>
    <w:p w14:paraId="3824D8E6" w14:textId="77777777" w:rsidR="002B2D62" w:rsidRPr="00706416" w:rsidRDefault="002B2D62" w:rsidP="00EC2423">
      <w:pPr>
        <w:ind w:left="630" w:hanging="630"/>
      </w:pPr>
      <w:r w:rsidRPr="00706416">
        <w:t xml:space="preserve">Donnelly, D. (2012). The structure and function of the glucagon-like peptide-1 receptor and its ligands. </w:t>
      </w:r>
      <w:r w:rsidRPr="00706416">
        <w:rPr>
          <w:i/>
          <w:iCs/>
        </w:rPr>
        <w:t>British Journal of Pharmacology</w:t>
      </w:r>
      <w:r w:rsidRPr="00706416">
        <w:t xml:space="preserve">, </w:t>
      </w:r>
      <w:r w:rsidRPr="00706416">
        <w:rPr>
          <w:i/>
          <w:iCs/>
        </w:rPr>
        <w:t>166</w:t>
      </w:r>
      <w:r w:rsidRPr="00706416">
        <w:t>(1), 27–41. https://doi.org/10.1111/j.1476-5381.2011.01687.x</w:t>
      </w:r>
    </w:p>
    <w:p w14:paraId="78A1CB7D" w14:textId="77777777" w:rsidR="002B2D62" w:rsidRPr="00706416" w:rsidRDefault="002B2D62" w:rsidP="00EC2423">
      <w:pPr>
        <w:ind w:left="630" w:hanging="630"/>
      </w:pPr>
      <w:r w:rsidRPr="00706416">
        <w:t xml:space="preserve">Drucker, D. J. (2006). The biology of incretin hormones. </w:t>
      </w:r>
      <w:r w:rsidRPr="00706416">
        <w:rPr>
          <w:i/>
          <w:iCs/>
        </w:rPr>
        <w:t>Cell Metabolism</w:t>
      </w:r>
      <w:r w:rsidRPr="00706416">
        <w:t xml:space="preserve">, </w:t>
      </w:r>
      <w:r w:rsidRPr="00706416">
        <w:rPr>
          <w:i/>
          <w:iCs/>
        </w:rPr>
        <w:t>3</w:t>
      </w:r>
      <w:r w:rsidRPr="00706416">
        <w:t>(3), 153–165. https://doi.org/10.1016/j.cmet.2006.01.004</w:t>
      </w:r>
    </w:p>
    <w:p w14:paraId="720875BD" w14:textId="5604C70E" w:rsidR="002B2D62" w:rsidRPr="00706416" w:rsidRDefault="002B2D62" w:rsidP="00EC2423">
      <w:pPr>
        <w:ind w:left="630" w:hanging="630"/>
      </w:pPr>
      <w:r w:rsidRPr="00706416">
        <w:t xml:space="preserve">Du, Y., Zhu, Y., Zhou, Y.-X., Ding, J., &amp; Liu, J.-Y. (2022). Metformin in therapeutic applications in human diseases: Its mechanism of action and clinical study. </w:t>
      </w:r>
      <w:r w:rsidRPr="00706416">
        <w:rPr>
          <w:i/>
          <w:iCs/>
        </w:rPr>
        <w:t>Molecular Biomedicine</w:t>
      </w:r>
      <w:r w:rsidRPr="00706416">
        <w:t xml:space="preserve">, </w:t>
      </w:r>
      <w:r w:rsidRPr="00706416">
        <w:rPr>
          <w:i/>
          <w:iCs/>
        </w:rPr>
        <w:t>3</w:t>
      </w:r>
      <w:r w:rsidRPr="00706416">
        <w:t>(1)</w:t>
      </w:r>
      <w:r w:rsidR="009F78CE">
        <w:t xml:space="preserve">, 111-116. </w:t>
      </w:r>
      <w:r w:rsidRPr="00706416">
        <w:t>https://doi.org/10.1186/s43556-022-00108-w</w:t>
      </w:r>
    </w:p>
    <w:p w14:paraId="4999D343" w14:textId="77777777" w:rsidR="002B2D62" w:rsidRPr="00706416" w:rsidRDefault="002B2D62" w:rsidP="00EC2423">
      <w:pPr>
        <w:ind w:left="630" w:hanging="630"/>
      </w:pPr>
      <w:r w:rsidRPr="00706416">
        <w:t xml:space="preserve">Feng, X., Sureda, A., Jafari, S., </w:t>
      </w:r>
      <w:proofErr w:type="spellStart"/>
      <w:r w:rsidRPr="00706416">
        <w:t>Memariani</w:t>
      </w:r>
      <w:proofErr w:type="spellEnd"/>
      <w:r w:rsidRPr="00706416">
        <w:t xml:space="preserve">, Z., Tewari, D., Annunziata, G., Barrea, L., Hassan, S. T. S., </w:t>
      </w:r>
      <w:proofErr w:type="spellStart"/>
      <w:r w:rsidRPr="00706416">
        <w:t>Šmejkal</w:t>
      </w:r>
      <w:proofErr w:type="spellEnd"/>
      <w:r w:rsidRPr="00706416">
        <w:t xml:space="preserve">, K., </w:t>
      </w:r>
      <w:proofErr w:type="spellStart"/>
      <w:r w:rsidRPr="00706416">
        <w:t>Malaník</w:t>
      </w:r>
      <w:proofErr w:type="spellEnd"/>
      <w:r w:rsidRPr="00706416">
        <w:t xml:space="preserve">, M., </w:t>
      </w:r>
      <w:proofErr w:type="spellStart"/>
      <w:r w:rsidRPr="00706416">
        <w:t>Sychrová</w:t>
      </w:r>
      <w:proofErr w:type="spellEnd"/>
      <w:r w:rsidRPr="00706416">
        <w:t xml:space="preserve">, A., Barreca, D., </w:t>
      </w:r>
      <w:proofErr w:type="spellStart"/>
      <w:r w:rsidRPr="00706416">
        <w:t>Ziberna</w:t>
      </w:r>
      <w:proofErr w:type="spellEnd"/>
      <w:r w:rsidRPr="00706416">
        <w:t xml:space="preserve">, L., </w:t>
      </w:r>
      <w:proofErr w:type="spellStart"/>
      <w:r w:rsidRPr="00706416">
        <w:t>Mahomoodally</w:t>
      </w:r>
      <w:proofErr w:type="spellEnd"/>
      <w:r w:rsidRPr="00706416">
        <w:t xml:space="preserve">, M. F., Zengin, G., Xu, S., Nabavi, S. M., &amp; Shen, A.-Z. (2019). Berberine in Cardiovascular and Metabolic Diseases: From Mechanisms to Therapeutics. </w:t>
      </w:r>
      <w:proofErr w:type="spellStart"/>
      <w:r w:rsidRPr="00706416">
        <w:rPr>
          <w:i/>
          <w:iCs/>
        </w:rPr>
        <w:t>Theranostics</w:t>
      </w:r>
      <w:proofErr w:type="spellEnd"/>
      <w:r w:rsidRPr="00706416">
        <w:t xml:space="preserve">, </w:t>
      </w:r>
      <w:r w:rsidRPr="00706416">
        <w:rPr>
          <w:i/>
          <w:iCs/>
        </w:rPr>
        <w:t>9</w:t>
      </w:r>
      <w:r w:rsidRPr="00706416">
        <w:t>(7), 1923–1951. https://doi.org/10.7150/thno.30787</w:t>
      </w:r>
    </w:p>
    <w:p w14:paraId="2D4A9811" w14:textId="77777777" w:rsidR="002B2D62" w:rsidRPr="00706416" w:rsidRDefault="002B2D62" w:rsidP="00EC2423">
      <w:pPr>
        <w:ind w:left="630" w:hanging="630"/>
      </w:pPr>
      <w:r w:rsidRPr="00706416">
        <w:t>Fernández-</w:t>
      </w:r>
      <w:proofErr w:type="spellStart"/>
      <w:r w:rsidRPr="00706416">
        <w:t>Millán</w:t>
      </w:r>
      <w:proofErr w:type="spellEnd"/>
      <w:r w:rsidRPr="00706416">
        <w:t xml:space="preserve">, E., Martín, M. A., Goya, L., Lizárraga-Mollinedo, E., Escrivá, F., Ramos, S., &amp; Álvarez, C. (2016). Glucagon-like peptide-1 improves beta-cell antioxidant capacity via extracellular regulated kinases pathway and Nrf2 translocation. </w:t>
      </w:r>
      <w:r w:rsidRPr="00706416">
        <w:rPr>
          <w:i/>
          <w:iCs/>
        </w:rPr>
        <w:t>Free Radical Biology &amp; Medicine</w:t>
      </w:r>
      <w:r w:rsidRPr="00706416">
        <w:t xml:space="preserve">, </w:t>
      </w:r>
      <w:r w:rsidRPr="00706416">
        <w:rPr>
          <w:i/>
          <w:iCs/>
        </w:rPr>
        <w:t>95</w:t>
      </w:r>
      <w:r w:rsidRPr="00706416">
        <w:t>, 16–26. https://doi.org/10.1016/j.freeradbiomed.2016.03.002</w:t>
      </w:r>
    </w:p>
    <w:p w14:paraId="21B89F24" w14:textId="77777777" w:rsidR="002B2D62" w:rsidRPr="00706416" w:rsidRDefault="002B2D62" w:rsidP="00EC2423">
      <w:pPr>
        <w:ind w:left="630" w:hanging="630"/>
      </w:pPr>
      <w:r w:rsidRPr="00706416">
        <w:t xml:space="preserve">Flint, H. J., Scott, K. P., Louis, P., &amp; Duncan, S. H. (2012). The role of the gut microbiota in nutrition and health. </w:t>
      </w:r>
      <w:r w:rsidRPr="00706416">
        <w:rPr>
          <w:i/>
          <w:iCs/>
        </w:rPr>
        <w:t>Nature Reviews Gastroenterology &amp; Hepatology</w:t>
      </w:r>
      <w:r w:rsidRPr="00706416">
        <w:t xml:space="preserve">, </w:t>
      </w:r>
      <w:r w:rsidRPr="00706416">
        <w:rPr>
          <w:i/>
          <w:iCs/>
        </w:rPr>
        <w:t>9</w:t>
      </w:r>
      <w:r w:rsidRPr="00706416">
        <w:t>(10), 577–589. https://doi.org/10.1038/nrgastro.2012.156</w:t>
      </w:r>
    </w:p>
    <w:p w14:paraId="42BDEF2F" w14:textId="77777777" w:rsidR="002B2D62" w:rsidRPr="00706416" w:rsidRDefault="002B2D62" w:rsidP="00EC2423">
      <w:pPr>
        <w:ind w:left="630" w:hanging="630"/>
      </w:pPr>
      <w:proofErr w:type="spellStart"/>
      <w:r w:rsidRPr="00706416">
        <w:t>Foretz</w:t>
      </w:r>
      <w:proofErr w:type="spellEnd"/>
      <w:r w:rsidRPr="00706416">
        <w:t xml:space="preserve">, M., </w:t>
      </w:r>
      <w:proofErr w:type="spellStart"/>
      <w:r w:rsidRPr="00706416">
        <w:t>Guigas</w:t>
      </w:r>
      <w:proofErr w:type="spellEnd"/>
      <w:r w:rsidRPr="00706416">
        <w:t xml:space="preserve">, B., &amp; Viollet, B. (2023). Metformin: update on mechanisms of action and repurposing potential. </w:t>
      </w:r>
      <w:r w:rsidRPr="00706416">
        <w:rPr>
          <w:i/>
          <w:iCs/>
        </w:rPr>
        <w:t>Nature Reviews Endocrinology</w:t>
      </w:r>
      <w:r w:rsidRPr="00706416">
        <w:t xml:space="preserve">, </w:t>
      </w:r>
      <w:r w:rsidRPr="00706416">
        <w:rPr>
          <w:i/>
          <w:iCs/>
        </w:rPr>
        <w:t>19</w:t>
      </w:r>
      <w:r w:rsidRPr="00706416">
        <w:t>(19), 1–17. https://doi.org/10.1038/s41574-023-00833-4</w:t>
      </w:r>
    </w:p>
    <w:p w14:paraId="0B8DC661" w14:textId="77777777" w:rsidR="002B2D62" w:rsidRPr="00706416" w:rsidRDefault="002B2D62" w:rsidP="00EC2423">
      <w:pPr>
        <w:ind w:left="630" w:hanging="630"/>
      </w:pPr>
      <w:r w:rsidRPr="00706416">
        <w:t xml:space="preserve">Fujimura, K. E., Slusher, N. A., Cabana, M. D., &amp; Lynch, S. V. (2010). Role of the gut microbiota in defining human health. </w:t>
      </w:r>
      <w:r w:rsidRPr="00706416">
        <w:rPr>
          <w:i/>
          <w:iCs/>
        </w:rPr>
        <w:t>Expert Review of Anti-Infective Therapy</w:t>
      </w:r>
      <w:r w:rsidRPr="00706416">
        <w:t xml:space="preserve">, </w:t>
      </w:r>
      <w:r w:rsidRPr="00706416">
        <w:rPr>
          <w:i/>
          <w:iCs/>
        </w:rPr>
        <w:t>8</w:t>
      </w:r>
      <w:r w:rsidRPr="00706416">
        <w:t>(4), 435–454. https://doi.org/10.1586/eri.10.14</w:t>
      </w:r>
    </w:p>
    <w:p w14:paraId="590024B8" w14:textId="77777777" w:rsidR="002B2D62" w:rsidRPr="00706416" w:rsidRDefault="002B2D62" w:rsidP="00EC2423">
      <w:pPr>
        <w:ind w:left="630" w:hanging="630"/>
      </w:pPr>
      <w:r w:rsidRPr="00706416">
        <w:t xml:space="preserve">Galicia-Garcia, U., Benito-Vicente, A., </w:t>
      </w:r>
      <w:proofErr w:type="spellStart"/>
      <w:r w:rsidRPr="00706416">
        <w:t>Jebari</w:t>
      </w:r>
      <w:proofErr w:type="spellEnd"/>
      <w:r w:rsidRPr="00706416">
        <w:t xml:space="preserve">, S., </w:t>
      </w:r>
      <w:proofErr w:type="spellStart"/>
      <w:r w:rsidRPr="00706416">
        <w:t>Larrea-Sebal</w:t>
      </w:r>
      <w:proofErr w:type="spellEnd"/>
      <w:r w:rsidRPr="00706416">
        <w:t xml:space="preserve">, A., Siddiqi, H., Uribe, K. B., Ostolaza, H., &amp; Martin, C. (2020). Pathophysiology of type 2 diabetes mellitus. </w:t>
      </w:r>
      <w:r w:rsidRPr="00706416">
        <w:rPr>
          <w:i/>
          <w:iCs/>
        </w:rPr>
        <w:t>International Journal of Molecular Sciences</w:t>
      </w:r>
      <w:r w:rsidRPr="00706416">
        <w:t xml:space="preserve">, </w:t>
      </w:r>
      <w:r w:rsidRPr="00706416">
        <w:rPr>
          <w:i/>
          <w:iCs/>
        </w:rPr>
        <w:t>21</w:t>
      </w:r>
      <w:r w:rsidRPr="00706416">
        <w:t>(17), 1–34. https://pmc.ncbi.nlm.nih.gov/articles/PMC7503727/</w:t>
      </w:r>
    </w:p>
    <w:p w14:paraId="758D8A7F" w14:textId="0D2CB26E" w:rsidR="002B2D62" w:rsidRPr="00706416" w:rsidRDefault="002B2D62" w:rsidP="00EC2423">
      <w:pPr>
        <w:ind w:left="630" w:hanging="630"/>
      </w:pPr>
      <w:r w:rsidRPr="00706416">
        <w:t xml:space="preserve">GBD 2021 Diabetes Collaborators. (2023). Global, regional, and national burden of diabetes from 1990 to 2021, with projections of prevalence to 2050: a systematic analysis for the Global Burden of Disease Study 2021. </w:t>
      </w:r>
      <w:r w:rsidRPr="00706416">
        <w:rPr>
          <w:i/>
          <w:iCs/>
        </w:rPr>
        <w:t>The Lancet</w:t>
      </w:r>
      <w:r w:rsidR="009F78CE">
        <w:t xml:space="preserve">. </w:t>
      </w:r>
      <w:r w:rsidRPr="00706416">
        <w:rPr>
          <w:i/>
          <w:iCs/>
        </w:rPr>
        <w:t>402</w:t>
      </w:r>
      <w:r w:rsidRPr="00706416">
        <w:t>(10397). https://doi.org/10.1016/s0140-6736(23)01301-6</w:t>
      </w:r>
    </w:p>
    <w:p w14:paraId="52071A4E" w14:textId="77777777" w:rsidR="002B2D62" w:rsidRPr="00706416" w:rsidRDefault="002B2D62" w:rsidP="00EC2423">
      <w:pPr>
        <w:ind w:left="630" w:hanging="630"/>
      </w:pPr>
      <w:proofErr w:type="spellStart"/>
      <w:r w:rsidRPr="00706416">
        <w:t>Gerich</w:t>
      </w:r>
      <w:proofErr w:type="spellEnd"/>
      <w:r w:rsidRPr="00706416">
        <w:t xml:space="preserve">, J. E. (1998). The Genetic Basis of Type 2 Diabetes Mellitus: Impaired Insulin Secretion versus Impaired Insulin Sensitivity. </w:t>
      </w:r>
      <w:r w:rsidRPr="00706416">
        <w:rPr>
          <w:i/>
          <w:iCs/>
        </w:rPr>
        <w:t>Endocrine Reviews</w:t>
      </w:r>
      <w:r w:rsidRPr="00706416">
        <w:t xml:space="preserve">, </w:t>
      </w:r>
      <w:r w:rsidRPr="00706416">
        <w:rPr>
          <w:i/>
          <w:iCs/>
        </w:rPr>
        <w:t>19</w:t>
      </w:r>
      <w:r w:rsidRPr="00706416">
        <w:t>(4), 491–503. https://doi.org/10.1210/er.19.4.491</w:t>
      </w:r>
    </w:p>
    <w:p w14:paraId="7588F906" w14:textId="77777777" w:rsidR="002B2D62" w:rsidRPr="00706416" w:rsidRDefault="002B2D62" w:rsidP="00EC2423">
      <w:pPr>
        <w:ind w:left="630" w:hanging="630"/>
      </w:pPr>
      <w:r w:rsidRPr="00706416">
        <w:lastRenderedPageBreak/>
        <w:t xml:space="preserve">Gibson, G. R., &amp; </w:t>
      </w:r>
      <w:proofErr w:type="spellStart"/>
      <w:r w:rsidRPr="00706416">
        <w:t>Roberfroid</w:t>
      </w:r>
      <w:proofErr w:type="spellEnd"/>
      <w:r w:rsidRPr="00706416">
        <w:t xml:space="preserve">, M. B. (1995). Dietary Modulation of the Human Colonic Microbiota: Introducing the Concept of Prebiotics. </w:t>
      </w:r>
      <w:r w:rsidRPr="00706416">
        <w:rPr>
          <w:i/>
          <w:iCs/>
        </w:rPr>
        <w:t>The Journal of Nutrition</w:t>
      </w:r>
      <w:r w:rsidRPr="00706416">
        <w:t xml:space="preserve">, </w:t>
      </w:r>
      <w:r w:rsidRPr="00706416">
        <w:rPr>
          <w:i/>
          <w:iCs/>
        </w:rPr>
        <w:t>125</w:t>
      </w:r>
      <w:r w:rsidRPr="00706416">
        <w:t>(6), 1401–1412. https://doi.org/10.1093/jn/125.6.1401</w:t>
      </w:r>
    </w:p>
    <w:p w14:paraId="22C66174" w14:textId="77777777" w:rsidR="002B2D62" w:rsidRPr="00706416" w:rsidRDefault="002B2D62" w:rsidP="00EC2423">
      <w:pPr>
        <w:ind w:left="630" w:hanging="630"/>
      </w:pPr>
      <w:r w:rsidRPr="00706416">
        <w:t xml:space="preserve">Gribble, F. M., Tucker, S. J., Seino, S., &amp; Ashcroft, F. M. (1998). Tissue specificity of sulfonylureas: studies on cloned cardiac and beta-cell K(ATP) channels. </w:t>
      </w:r>
      <w:r w:rsidRPr="00706416">
        <w:rPr>
          <w:i/>
          <w:iCs/>
        </w:rPr>
        <w:t>Diabetes</w:t>
      </w:r>
      <w:r w:rsidRPr="00706416">
        <w:t xml:space="preserve">, </w:t>
      </w:r>
      <w:r w:rsidRPr="00706416">
        <w:rPr>
          <w:i/>
          <w:iCs/>
        </w:rPr>
        <w:t>47</w:t>
      </w:r>
      <w:r w:rsidRPr="00706416">
        <w:t>(9), 1412–1418. https://doi.org/10.2337/diabetes.47.9.1412</w:t>
      </w:r>
    </w:p>
    <w:p w14:paraId="2F9565CD" w14:textId="77777777" w:rsidR="002B2D62" w:rsidRPr="00706416" w:rsidRDefault="002B2D62" w:rsidP="00EC2423">
      <w:pPr>
        <w:ind w:left="630" w:hanging="630"/>
      </w:pPr>
      <w:proofErr w:type="spellStart"/>
      <w:r w:rsidRPr="00706416">
        <w:t>Gryn-Rynko</w:t>
      </w:r>
      <w:proofErr w:type="spellEnd"/>
      <w:r w:rsidRPr="00706416">
        <w:t xml:space="preserve">, A., </w:t>
      </w:r>
      <w:proofErr w:type="spellStart"/>
      <w:r w:rsidRPr="00706416">
        <w:t>Bazylak</w:t>
      </w:r>
      <w:proofErr w:type="spellEnd"/>
      <w:r w:rsidRPr="00706416">
        <w:t xml:space="preserve">, G., &amp; Olszewska-Slonina, D. (2016). New potential </w:t>
      </w:r>
      <w:proofErr w:type="spellStart"/>
      <w:r w:rsidRPr="00706416">
        <w:t>phytotherapeutics</w:t>
      </w:r>
      <w:proofErr w:type="spellEnd"/>
      <w:r w:rsidRPr="00706416">
        <w:t xml:space="preserve"> obtained from white mulberry </w:t>
      </w:r>
      <w:proofErr w:type="gramStart"/>
      <w:r w:rsidRPr="00706416">
        <w:t>( Morus</w:t>
      </w:r>
      <w:proofErr w:type="gramEnd"/>
      <w:r w:rsidRPr="00706416">
        <w:t xml:space="preserve"> alba L.) leaves. </w:t>
      </w:r>
      <w:r w:rsidRPr="00706416">
        <w:rPr>
          <w:i/>
          <w:iCs/>
        </w:rPr>
        <w:t>Biomedicine &amp; Pharmacotherapy</w:t>
      </w:r>
      <w:r w:rsidRPr="00706416">
        <w:t xml:space="preserve">, </w:t>
      </w:r>
      <w:r w:rsidRPr="00706416">
        <w:rPr>
          <w:i/>
          <w:iCs/>
        </w:rPr>
        <w:t>84</w:t>
      </w:r>
      <w:r w:rsidRPr="00706416">
        <w:t>, 628–636. https://doi.org/10.1016/j.biopha.2016.09.081</w:t>
      </w:r>
    </w:p>
    <w:p w14:paraId="116F27F7" w14:textId="77777777" w:rsidR="002B2D62" w:rsidRPr="00706416" w:rsidRDefault="002B2D62" w:rsidP="00EC2423">
      <w:pPr>
        <w:ind w:left="630" w:hanging="630"/>
      </w:pPr>
      <w:proofErr w:type="spellStart"/>
      <w:r w:rsidRPr="00706416">
        <w:t>Gutierres</w:t>
      </w:r>
      <w:proofErr w:type="spellEnd"/>
      <w:r w:rsidRPr="00706416">
        <w:t xml:space="preserve">, V. O., Assis, R. P., Arcaro, C. A., Oliveira, J. O., Ferreira, T., Laura, A., Paulo, Baviera, A. M., &amp; </w:t>
      </w:r>
      <w:proofErr w:type="spellStart"/>
      <w:r w:rsidRPr="00706416">
        <w:t>Iguatemy</w:t>
      </w:r>
      <w:proofErr w:type="spellEnd"/>
      <w:r w:rsidRPr="00706416">
        <w:t xml:space="preserve"> </w:t>
      </w:r>
      <w:proofErr w:type="spellStart"/>
      <w:r w:rsidRPr="00706416">
        <w:t>Lourenço</w:t>
      </w:r>
      <w:proofErr w:type="spellEnd"/>
      <w:r w:rsidRPr="00706416">
        <w:t xml:space="preserve"> Brunetti. (2019). Curcumin improves the effect of a reduced insulin dose on glycemic control and oxidative stress in streptozotocin‐diabetic rats. </w:t>
      </w:r>
      <w:r w:rsidRPr="00706416">
        <w:rPr>
          <w:i/>
          <w:iCs/>
        </w:rPr>
        <w:t>Phytotherapy Research</w:t>
      </w:r>
      <w:r w:rsidRPr="00706416">
        <w:t xml:space="preserve">, </w:t>
      </w:r>
      <w:r w:rsidRPr="00706416">
        <w:rPr>
          <w:i/>
          <w:iCs/>
        </w:rPr>
        <w:t>33</w:t>
      </w:r>
      <w:r w:rsidRPr="00706416">
        <w:t>(4), 976–988. https://doi.org/10.1002/ptr.6291</w:t>
      </w:r>
    </w:p>
    <w:p w14:paraId="705CF4F0" w14:textId="77777777" w:rsidR="002B2D62" w:rsidRPr="00706416" w:rsidRDefault="002B2D62" w:rsidP="00EC2423">
      <w:pPr>
        <w:ind w:left="630" w:hanging="630"/>
      </w:pPr>
      <w:r w:rsidRPr="00706416">
        <w:t xml:space="preserve">Hare, K. J., </w:t>
      </w:r>
      <w:proofErr w:type="spellStart"/>
      <w:r w:rsidRPr="00706416">
        <w:t>Vilsboll</w:t>
      </w:r>
      <w:proofErr w:type="spellEnd"/>
      <w:r w:rsidRPr="00706416">
        <w:t xml:space="preserve">, T., Asmar, M., Deacon, C. F., Knop, F. K., &amp; Holst, J. J. (2010). The </w:t>
      </w:r>
      <w:proofErr w:type="spellStart"/>
      <w:r w:rsidRPr="00706416">
        <w:t>Glucagonostatic</w:t>
      </w:r>
      <w:proofErr w:type="spellEnd"/>
      <w:r w:rsidRPr="00706416">
        <w:t xml:space="preserve"> and Insulinotropic Effects of Glucagon-Like Peptide 1 Contribute Equally to Its Glucose-Lowering Action. </w:t>
      </w:r>
      <w:r w:rsidRPr="00706416">
        <w:rPr>
          <w:i/>
          <w:iCs/>
        </w:rPr>
        <w:t>Diabetes</w:t>
      </w:r>
      <w:r w:rsidRPr="00706416">
        <w:t xml:space="preserve">, </w:t>
      </w:r>
      <w:r w:rsidRPr="00706416">
        <w:rPr>
          <w:i/>
          <w:iCs/>
        </w:rPr>
        <w:t>59</w:t>
      </w:r>
      <w:r w:rsidRPr="00706416">
        <w:t>(7), 1765–1770. https://doi.org/10.2337/db09-1414</w:t>
      </w:r>
    </w:p>
    <w:p w14:paraId="392D7C98" w14:textId="77777777" w:rsidR="002B2D62" w:rsidRPr="00706416" w:rsidRDefault="002B2D62" w:rsidP="00EC2423">
      <w:pPr>
        <w:ind w:left="630" w:hanging="630"/>
      </w:pPr>
      <w:proofErr w:type="spellStart"/>
      <w:r w:rsidRPr="00706416">
        <w:t>Hasani-Ranjbar</w:t>
      </w:r>
      <w:proofErr w:type="spellEnd"/>
      <w:r w:rsidRPr="00706416">
        <w:t xml:space="preserve">, S., Zahedi, H., Abdollahi, M., &amp; Larijani, B. (2013). Trends in publication of evidence-based Traditional Iranian medicine in endocrinology and metabolic disorders. </w:t>
      </w:r>
      <w:r w:rsidRPr="00706416">
        <w:rPr>
          <w:i/>
          <w:iCs/>
        </w:rPr>
        <w:t>Journal of Diabetes &amp; Metabolic Disorders</w:t>
      </w:r>
      <w:r w:rsidRPr="00706416">
        <w:t xml:space="preserve">, </w:t>
      </w:r>
      <w:r w:rsidRPr="00706416">
        <w:rPr>
          <w:i/>
          <w:iCs/>
        </w:rPr>
        <w:t>12</w:t>
      </w:r>
      <w:r w:rsidRPr="00706416">
        <w:t>(1), 49. https://doi.org/10.1186/2251-6581-12-49</w:t>
      </w:r>
    </w:p>
    <w:p w14:paraId="2111B228" w14:textId="77777777" w:rsidR="002B2D62" w:rsidRPr="00706416" w:rsidRDefault="002B2D62" w:rsidP="00EC2423">
      <w:pPr>
        <w:ind w:left="630" w:hanging="630"/>
      </w:pPr>
      <w:r w:rsidRPr="00706416">
        <w:t xml:space="preserve">Hermansen, K., </w:t>
      </w:r>
      <w:proofErr w:type="spellStart"/>
      <w:r w:rsidRPr="00706416">
        <w:t>Kipnes</w:t>
      </w:r>
      <w:proofErr w:type="spellEnd"/>
      <w:r w:rsidRPr="00706416">
        <w:t xml:space="preserve">, M., Luo, E., </w:t>
      </w:r>
      <w:proofErr w:type="spellStart"/>
      <w:r w:rsidRPr="00706416">
        <w:t>Fanurik</w:t>
      </w:r>
      <w:proofErr w:type="spellEnd"/>
      <w:r w:rsidRPr="00706416">
        <w:t xml:space="preserve">, D., Khatami, H., &amp; Stein, P. (2007). Efficacy and safety of the dipeptidyl peptidase-4 inhibitor, sitagliptin, in patients with type 2 diabetes mellitus inadequately controlled on glimepiride alone or on glimepiride and metformin. </w:t>
      </w:r>
      <w:r w:rsidRPr="00706416">
        <w:rPr>
          <w:i/>
          <w:iCs/>
        </w:rPr>
        <w:t>Diabetes, Obesity and Metabolism</w:t>
      </w:r>
      <w:r w:rsidRPr="00706416">
        <w:t xml:space="preserve">, </w:t>
      </w:r>
      <w:r w:rsidRPr="00706416">
        <w:rPr>
          <w:i/>
          <w:iCs/>
        </w:rPr>
        <w:t>9</w:t>
      </w:r>
      <w:r w:rsidRPr="00706416">
        <w:t>(5), 733–745. https://doi.org/10.1111/j.1463-1326.2007.00744.x</w:t>
      </w:r>
    </w:p>
    <w:p w14:paraId="3EEC6154" w14:textId="77777777" w:rsidR="002B2D62" w:rsidRPr="00706416" w:rsidRDefault="002B2D62" w:rsidP="00EC2423">
      <w:pPr>
        <w:ind w:left="630" w:hanging="630"/>
      </w:pPr>
      <w:r w:rsidRPr="00706416">
        <w:t xml:space="preserve">Hoggard, N., Cruickshank, M., Moar, K.-M., Bestwick, C., Holst, J. J., Russell, W., &amp; Horgan, G. (2013). A single supplement of a </w:t>
      </w:r>
      <w:proofErr w:type="spellStart"/>
      <w:r w:rsidRPr="00706416">
        <w:t>standardised</w:t>
      </w:r>
      <w:proofErr w:type="spellEnd"/>
      <w:r w:rsidRPr="00706416">
        <w:t xml:space="preserve"> bilberry (Vaccinium </w:t>
      </w:r>
      <w:proofErr w:type="spellStart"/>
      <w:r w:rsidRPr="00706416">
        <w:t>myrtillus</w:t>
      </w:r>
      <w:proofErr w:type="spellEnd"/>
      <w:r w:rsidRPr="00706416">
        <w:t xml:space="preserve"> L.) extract (36 % wet weight anthocyanins) modifies </w:t>
      </w:r>
      <w:proofErr w:type="spellStart"/>
      <w:r w:rsidRPr="00706416">
        <w:t>glycaemic</w:t>
      </w:r>
      <w:proofErr w:type="spellEnd"/>
      <w:r w:rsidRPr="00706416">
        <w:t xml:space="preserve"> response in individuals with type 2 diabetes controlled by diet and lifestyle. </w:t>
      </w:r>
      <w:r w:rsidRPr="00706416">
        <w:rPr>
          <w:i/>
          <w:iCs/>
        </w:rPr>
        <w:t>Journal of Nutritional Science</w:t>
      </w:r>
      <w:r w:rsidRPr="00706416">
        <w:t xml:space="preserve">, </w:t>
      </w:r>
      <w:r w:rsidRPr="00706416">
        <w:rPr>
          <w:i/>
          <w:iCs/>
        </w:rPr>
        <w:t>2</w:t>
      </w:r>
      <w:r w:rsidRPr="00706416">
        <w:t>. https://doi.org/10.1017/jns.2013.16</w:t>
      </w:r>
    </w:p>
    <w:p w14:paraId="0D5EA138" w14:textId="77777777" w:rsidR="002B2D62" w:rsidRPr="00706416" w:rsidRDefault="002B2D62" w:rsidP="00EC2423">
      <w:pPr>
        <w:ind w:left="630" w:hanging="630"/>
      </w:pPr>
      <w:r w:rsidRPr="00706416">
        <w:t xml:space="preserve">Holst, J. J. (2019). The incretin system in healthy humans: The role of GIP and GLP-1. </w:t>
      </w:r>
      <w:r w:rsidRPr="00706416">
        <w:rPr>
          <w:i/>
          <w:iCs/>
        </w:rPr>
        <w:t>Metabolism</w:t>
      </w:r>
      <w:r w:rsidRPr="00706416">
        <w:t xml:space="preserve">, </w:t>
      </w:r>
      <w:r w:rsidRPr="00706416">
        <w:rPr>
          <w:i/>
          <w:iCs/>
        </w:rPr>
        <w:t>96</w:t>
      </w:r>
      <w:r w:rsidRPr="00706416">
        <w:t>, 46–55. https://doi.org/10.1016/j.metabol.2019.04.014</w:t>
      </w:r>
    </w:p>
    <w:p w14:paraId="025BA2AF" w14:textId="77777777" w:rsidR="002B2D62" w:rsidRPr="00706416" w:rsidRDefault="002B2D62" w:rsidP="00EC2423">
      <w:pPr>
        <w:ind w:left="630" w:hanging="630"/>
      </w:pPr>
      <w:r w:rsidRPr="00706416">
        <w:t xml:space="preserve">Huda, M. N., Kim, M., &amp; Bennett, B. J. (2021). Modulating the Microbiota as a Therapeutic Intervention for Type 2 Diabetes. </w:t>
      </w:r>
      <w:r w:rsidRPr="00706416">
        <w:rPr>
          <w:i/>
          <w:iCs/>
        </w:rPr>
        <w:t>Frontiers in Endocrinology</w:t>
      </w:r>
      <w:r w:rsidRPr="00706416">
        <w:t xml:space="preserve">, </w:t>
      </w:r>
      <w:r w:rsidRPr="00706416">
        <w:rPr>
          <w:i/>
          <w:iCs/>
        </w:rPr>
        <w:t>12</w:t>
      </w:r>
      <w:r w:rsidRPr="00706416">
        <w:t>. https://doi.org/10.3389/fendo.2021.632335</w:t>
      </w:r>
    </w:p>
    <w:p w14:paraId="107CD60A" w14:textId="46F18E5D" w:rsidR="002B2D62" w:rsidRPr="00706416" w:rsidRDefault="002B2D62" w:rsidP="00EC2423">
      <w:pPr>
        <w:ind w:left="630" w:hanging="630"/>
      </w:pPr>
      <w:r w:rsidRPr="00706416">
        <w:t xml:space="preserve">Inagaki, N., Gonoi, T., Clement, J. P., Namba, N., </w:t>
      </w:r>
      <w:proofErr w:type="spellStart"/>
      <w:r w:rsidRPr="00706416">
        <w:t>Inazawa</w:t>
      </w:r>
      <w:proofErr w:type="spellEnd"/>
      <w:r w:rsidRPr="00706416">
        <w:t xml:space="preserve">, J., Gonzalez, G., Aguilar-Bryan, L., Seino, S., &amp; Bryan, J. (1995). Reconstitution of I </w:t>
      </w:r>
      <w:r w:rsidR="009F78CE" w:rsidRPr="00706416">
        <w:t>KATP:</w:t>
      </w:r>
      <w:r w:rsidRPr="00706416">
        <w:t xml:space="preserve"> An Inward Rectifier Subunit Plus the Sulfonylurea Receptor. </w:t>
      </w:r>
      <w:r w:rsidRPr="00706416">
        <w:rPr>
          <w:i/>
          <w:iCs/>
        </w:rPr>
        <w:t>Science</w:t>
      </w:r>
      <w:r w:rsidRPr="00706416">
        <w:t xml:space="preserve">, </w:t>
      </w:r>
      <w:r w:rsidRPr="00706416">
        <w:rPr>
          <w:i/>
          <w:iCs/>
        </w:rPr>
        <w:t>270</w:t>
      </w:r>
      <w:r w:rsidRPr="00706416">
        <w:t>(5239), 1166–1170. https://doi.org/10.1126/science.270.5239.1166</w:t>
      </w:r>
    </w:p>
    <w:p w14:paraId="202BF589" w14:textId="77777777" w:rsidR="002B2D62" w:rsidRPr="00706416" w:rsidRDefault="002B2D62" w:rsidP="00EC2423">
      <w:pPr>
        <w:ind w:left="630" w:hanging="630"/>
      </w:pPr>
      <w:r w:rsidRPr="00706416">
        <w:t xml:space="preserve">Jain, S. K., Rains, J., Croad, J., Larson, B., &amp; Jones, K. (2009). Curcumin Supplementation Lowers TNF-α, IL-6, IL-8, and MCP-1 Secretion in High Glucose-Treated Cultured Monocytes and Blood Levels of TNF-α, IL-6, MCP-1, Glucose, and Glycosylated Hemoglobin in Diabetic Rats. </w:t>
      </w:r>
      <w:r w:rsidRPr="00706416">
        <w:rPr>
          <w:i/>
          <w:iCs/>
        </w:rPr>
        <w:t>Antioxidants &amp; Redox Signaling</w:t>
      </w:r>
      <w:r w:rsidRPr="00706416">
        <w:t xml:space="preserve">, </w:t>
      </w:r>
      <w:r w:rsidRPr="00706416">
        <w:rPr>
          <w:i/>
          <w:iCs/>
        </w:rPr>
        <w:t>11</w:t>
      </w:r>
      <w:r w:rsidRPr="00706416">
        <w:t>(2), 241–249. https://doi.org/10.1089/ars.2008.2140</w:t>
      </w:r>
    </w:p>
    <w:p w14:paraId="51774037" w14:textId="77777777" w:rsidR="002B2D62" w:rsidRPr="00706416" w:rsidRDefault="002B2D62" w:rsidP="00EC2423">
      <w:pPr>
        <w:ind w:left="630" w:hanging="630"/>
      </w:pPr>
      <w:r w:rsidRPr="00706416">
        <w:t xml:space="preserve">Jiang, Y., Wang, Z., Ma, B., Fan, L., Yi, N., Lu, B., Wang, Q., &amp; Liu, R. (2018). GLP-1 Improves Adipocyte Insulin Sensitivity Following Induction of Endoplasmic Reticulum Stress. </w:t>
      </w:r>
      <w:r w:rsidRPr="00706416">
        <w:rPr>
          <w:i/>
          <w:iCs/>
        </w:rPr>
        <w:t>Frontiers in Pharmacology</w:t>
      </w:r>
      <w:r w:rsidRPr="00706416">
        <w:t xml:space="preserve">, </w:t>
      </w:r>
      <w:r w:rsidRPr="00706416">
        <w:rPr>
          <w:i/>
          <w:iCs/>
        </w:rPr>
        <w:t>9</w:t>
      </w:r>
      <w:r w:rsidRPr="00706416">
        <w:t>. https://doi.org/10.3389/fphar.2018.01168</w:t>
      </w:r>
    </w:p>
    <w:p w14:paraId="66E767B4" w14:textId="39F73026" w:rsidR="002B2D62" w:rsidRPr="00706416" w:rsidRDefault="002B2D62" w:rsidP="00EC2423">
      <w:pPr>
        <w:ind w:left="630" w:hanging="630"/>
      </w:pPr>
      <w:proofErr w:type="spellStart"/>
      <w:r w:rsidRPr="00706416">
        <w:t>Juurlink</w:t>
      </w:r>
      <w:proofErr w:type="spellEnd"/>
      <w:r w:rsidRPr="00706416">
        <w:t xml:space="preserve">, D. N., Gomes, T., Lipscombe, L. L., Austin, P. C., Hux, J. E., &amp; Mamdani, M. (2009). Adverse cardiovascular events during treatment with pioglitazone and rosiglitazone: </w:t>
      </w:r>
      <w:r w:rsidR="009F78CE" w:rsidRPr="00706416">
        <w:t>population-based</w:t>
      </w:r>
      <w:r w:rsidRPr="00706416">
        <w:t xml:space="preserve"> cohort study. </w:t>
      </w:r>
      <w:r w:rsidRPr="00706416">
        <w:rPr>
          <w:i/>
          <w:iCs/>
        </w:rPr>
        <w:t>BMJ</w:t>
      </w:r>
      <w:r w:rsidRPr="00706416">
        <w:t xml:space="preserve">, </w:t>
      </w:r>
      <w:r w:rsidRPr="00706416">
        <w:rPr>
          <w:i/>
          <w:iCs/>
        </w:rPr>
        <w:t>339</w:t>
      </w:r>
      <w:r w:rsidRPr="00706416">
        <w:t>(2), 2942–2942. https://doi.org/10.1136/bmj.b2942</w:t>
      </w:r>
    </w:p>
    <w:p w14:paraId="5682498B" w14:textId="77777777" w:rsidR="002B2D62" w:rsidRPr="00706416" w:rsidRDefault="002B2D62" w:rsidP="00EC2423">
      <w:pPr>
        <w:ind w:left="630" w:hanging="630"/>
      </w:pPr>
      <w:proofErr w:type="spellStart"/>
      <w:r w:rsidRPr="00706416">
        <w:lastRenderedPageBreak/>
        <w:t>Kasińska</w:t>
      </w:r>
      <w:proofErr w:type="spellEnd"/>
      <w:r w:rsidRPr="00706416">
        <w:t xml:space="preserve">, M. A., &amp; </w:t>
      </w:r>
      <w:proofErr w:type="spellStart"/>
      <w:r w:rsidRPr="00706416">
        <w:t>Drzewoski</w:t>
      </w:r>
      <w:proofErr w:type="spellEnd"/>
      <w:r w:rsidRPr="00706416">
        <w:t xml:space="preserve">, J. (2015). Effectiveness of probiotics in type 2 diabetes: a meta-analysis. </w:t>
      </w:r>
      <w:r w:rsidRPr="00706416">
        <w:rPr>
          <w:i/>
          <w:iCs/>
        </w:rPr>
        <w:t>Polish Archives of Internal Medicine</w:t>
      </w:r>
      <w:r w:rsidRPr="00706416">
        <w:t xml:space="preserve">, </w:t>
      </w:r>
      <w:r w:rsidRPr="00706416">
        <w:rPr>
          <w:i/>
          <w:iCs/>
        </w:rPr>
        <w:t>125</w:t>
      </w:r>
      <w:r w:rsidRPr="00706416">
        <w:t>(11), 803–813. https://doi.org/10.20452/pamw.3156</w:t>
      </w:r>
    </w:p>
    <w:p w14:paraId="5F4C3B93" w14:textId="6C7C9DC8" w:rsidR="002B2D62" w:rsidRPr="00706416" w:rsidRDefault="002B2D62" w:rsidP="00EC2423">
      <w:pPr>
        <w:ind w:left="630" w:hanging="630"/>
      </w:pPr>
      <w:proofErr w:type="spellStart"/>
      <w:r w:rsidRPr="00706416">
        <w:t>Kechagia</w:t>
      </w:r>
      <w:proofErr w:type="spellEnd"/>
      <w:r w:rsidRPr="00706416">
        <w:t xml:space="preserve">, M., </w:t>
      </w:r>
      <w:proofErr w:type="spellStart"/>
      <w:r w:rsidRPr="00706416">
        <w:t>Basoulis</w:t>
      </w:r>
      <w:proofErr w:type="spellEnd"/>
      <w:r w:rsidRPr="00706416">
        <w:t xml:space="preserve">, D., Konstantopoulou, S., </w:t>
      </w:r>
      <w:proofErr w:type="spellStart"/>
      <w:r w:rsidRPr="00706416">
        <w:t>Dimitriadi</w:t>
      </w:r>
      <w:proofErr w:type="spellEnd"/>
      <w:r w:rsidRPr="00706416">
        <w:t xml:space="preserve">, D., </w:t>
      </w:r>
      <w:proofErr w:type="spellStart"/>
      <w:r w:rsidRPr="00706416">
        <w:t>Gyftopoulou</w:t>
      </w:r>
      <w:proofErr w:type="spellEnd"/>
      <w:r w:rsidRPr="00706416">
        <w:t xml:space="preserve">, K., Skarmoutsou, N., &amp; Fakiri, E. M. (2013). Health Benefits of Probiotics: A Review. </w:t>
      </w:r>
      <w:r w:rsidRPr="00706416">
        <w:rPr>
          <w:i/>
          <w:iCs/>
        </w:rPr>
        <w:t>ISRN Nutrition</w:t>
      </w:r>
      <w:r w:rsidRPr="00706416">
        <w:t xml:space="preserve">, </w:t>
      </w:r>
      <w:r w:rsidRPr="00706416">
        <w:rPr>
          <w:i/>
          <w:iCs/>
        </w:rPr>
        <w:t>13</w:t>
      </w:r>
      <w:r w:rsidRPr="00706416">
        <w:t>(1), 1–7. https://doi.org/10.5402/2013/481651</w:t>
      </w:r>
    </w:p>
    <w:p w14:paraId="0A966DB1" w14:textId="2863C7C7" w:rsidR="002B2D62" w:rsidRPr="00706416" w:rsidRDefault="002B2D62" w:rsidP="00EC2423">
      <w:pPr>
        <w:ind w:left="630" w:hanging="630"/>
      </w:pPr>
      <w:r w:rsidRPr="00706416">
        <w:t xml:space="preserve">Khader, M., &amp; Eckl, P. M. (2014). Thymoquinone: an emerging natural drug with a wide range of medical applications. </w:t>
      </w:r>
      <w:r w:rsidRPr="00706416">
        <w:rPr>
          <w:i/>
          <w:iCs/>
        </w:rPr>
        <w:t>Iranian Journal of Basic Medical Sciences</w:t>
      </w:r>
      <w:r w:rsidRPr="00706416">
        <w:t xml:space="preserve">, </w:t>
      </w:r>
      <w:r w:rsidRPr="00706416">
        <w:rPr>
          <w:i/>
          <w:iCs/>
        </w:rPr>
        <w:t>17</w:t>
      </w:r>
      <w:r w:rsidRPr="00706416">
        <w:t>(12), 950</w:t>
      </w:r>
      <w:r w:rsidR="00DF5F2F">
        <w:t>-955</w:t>
      </w:r>
      <w:r w:rsidRPr="00706416">
        <w:t>. https://pmc.ncbi.nlm.nih.gov/articles/PMC4387230/</w:t>
      </w:r>
    </w:p>
    <w:p w14:paraId="47FAD95F" w14:textId="77777777" w:rsidR="002B2D62" w:rsidRPr="00706416" w:rsidRDefault="002B2D62" w:rsidP="00EC2423">
      <w:pPr>
        <w:ind w:left="630" w:hanging="630"/>
      </w:pPr>
      <w:r w:rsidRPr="00706416">
        <w:t xml:space="preserve">Khan, M. A., Hashim, M. J., King, J., Govender, R. D., Mustafa, H., &amp; Al </w:t>
      </w:r>
      <w:proofErr w:type="spellStart"/>
      <w:r w:rsidRPr="00706416">
        <w:t>Kaabi</w:t>
      </w:r>
      <w:proofErr w:type="spellEnd"/>
      <w:r w:rsidRPr="00706416">
        <w:t xml:space="preserve">, J. (2020). Epidemiology of Type 2 Diabetes – Global Burden of Disease and Forecasted Trends. </w:t>
      </w:r>
      <w:r w:rsidRPr="00706416">
        <w:rPr>
          <w:i/>
          <w:iCs/>
        </w:rPr>
        <w:t>Journal of Epidemiology and Global Health</w:t>
      </w:r>
      <w:r w:rsidRPr="00706416">
        <w:t xml:space="preserve">, </w:t>
      </w:r>
      <w:r w:rsidRPr="00706416">
        <w:rPr>
          <w:i/>
          <w:iCs/>
        </w:rPr>
        <w:t>10</w:t>
      </w:r>
      <w:r w:rsidRPr="00706416">
        <w:t>(1), 107–111. https://doi.org/10.2991/jegh.k.191028.001</w:t>
      </w:r>
    </w:p>
    <w:p w14:paraId="7D71E295" w14:textId="77777777" w:rsidR="002B2D62" w:rsidRPr="00706416" w:rsidRDefault="002B2D62" w:rsidP="00EC2423">
      <w:pPr>
        <w:ind w:left="630" w:hanging="630"/>
      </w:pPr>
      <w:r w:rsidRPr="00706416">
        <w:t xml:space="preserve">Kim, Y. A., Keogh, J. B., &amp; Clifton, P. M. (2017). Probiotics, prebiotics, </w:t>
      </w:r>
      <w:proofErr w:type="spellStart"/>
      <w:r w:rsidRPr="00706416">
        <w:t>synbiotics</w:t>
      </w:r>
      <w:proofErr w:type="spellEnd"/>
      <w:r w:rsidRPr="00706416">
        <w:t xml:space="preserve"> and insulin sensitivity. </w:t>
      </w:r>
      <w:r w:rsidRPr="00706416">
        <w:rPr>
          <w:i/>
          <w:iCs/>
        </w:rPr>
        <w:t>Nutrition Research Reviews</w:t>
      </w:r>
      <w:r w:rsidRPr="00706416">
        <w:t xml:space="preserve">, </w:t>
      </w:r>
      <w:r w:rsidRPr="00706416">
        <w:rPr>
          <w:i/>
          <w:iCs/>
        </w:rPr>
        <w:t>31</w:t>
      </w:r>
      <w:r w:rsidRPr="00706416">
        <w:t>(1), 35–51. https://doi.org/10.1017/s095442241700018x</w:t>
      </w:r>
    </w:p>
    <w:p w14:paraId="150E5C80" w14:textId="77777777" w:rsidR="002B2D62" w:rsidRPr="00706416" w:rsidRDefault="002B2D62" w:rsidP="00EC2423">
      <w:pPr>
        <w:ind w:left="630" w:hanging="630"/>
      </w:pPr>
      <w:proofErr w:type="spellStart"/>
      <w:r w:rsidRPr="00706416">
        <w:t>Knowler</w:t>
      </w:r>
      <w:proofErr w:type="spellEnd"/>
      <w:r w:rsidRPr="00706416">
        <w:t xml:space="preserve">, W. C., Barrett-Connor, E., Fowler, S. E., Hamman, R. F., Lachin, J. M., Walker, E. A., &amp; Nathan, D. M. (2002). Reduction in the incidence of type 2 diabetes with lifestyle intervention or metformin. </w:t>
      </w:r>
      <w:r w:rsidRPr="00706416">
        <w:rPr>
          <w:i/>
          <w:iCs/>
        </w:rPr>
        <w:t>The New England Journal of Medicine</w:t>
      </w:r>
      <w:r w:rsidRPr="00706416">
        <w:t xml:space="preserve">, </w:t>
      </w:r>
      <w:r w:rsidRPr="00706416">
        <w:rPr>
          <w:i/>
          <w:iCs/>
        </w:rPr>
        <w:t>346</w:t>
      </w:r>
      <w:r w:rsidRPr="00706416">
        <w:t>(6), 393–403. https://doi.org/10.1056/NEJMoa012512</w:t>
      </w:r>
    </w:p>
    <w:p w14:paraId="62FF6367" w14:textId="77777777" w:rsidR="002B2D62" w:rsidRPr="00706416" w:rsidRDefault="002B2D62" w:rsidP="00EC2423">
      <w:pPr>
        <w:ind w:left="630" w:hanging="630"/>
      </w:pPr>
      <w:proofErr w:type="spellStart"/>
      <w:r w:rsidRPr="00706416">
        <w:t>Krentz</w:t>
      </w:r>
      <w:proofErr w:type="spellEnd"/>
      <w:r w:rsidRPr="00706416">
        <w:t xml:space="preserve">, A. J., &amp; Bailey, C. J. (2005). Oral Antidiabetic Agents. </w:t>
      </w:r>
      <w:r w:rsidRPr="00706416">
        <w:rPr>
          <w:i/>
          <w:iCs/>
        </w:rPr>
        <w:t>Drugs</w:t>
      </w:r>
      <w:r w:rsidRPr="00706416">
        <w:t xml:space="preserve">, </w:t>
      </w:r>
      <w:r w:rsidRPr="00706416">
        <w:rPr>
          <w:i/>
          <w:iCs/>
        </w:rPr>
        <w:t>65</w:t>
      </w:r>
      <w:r w:rsidRPr="00706416">
        <w:t>(3), 385–411. https://doi.org/10.2165/00003495-200565030-00005</w:t>
      </w:r>
    </w:p>
    <w:p w14:paraId="7A955C80" w14:textId="77777777" w:rsidR="002B2D62" w:rsidRPr="00706416" w:rsidRDefault="002B2D62" w:rsidP="00EC2423">
      <w:pPr>
        <w:ind w:left="630" w:hanging="630"/>
      </w:pPr>
      <w:r w:rsidRPr="00706416">
        <w:t xml:space="preserve">Krishnan, S., Alden, N., &amp; Lee, K. (2015). Pathways and functions of gut microbiota metabolism impacting host physiology. </w:t>
      </w:r>
      <w:r w:rsidRPr="00706416">
        <w:rPr>
          <w:i/>
          <w:iCs/>
        </w:rPr>
        <w:t>Current Opinion in Biotechnology</w:t>
      </w:r>
      <w:r w:rsidRPr="00706416">
        <w:t xml:space="preserve">, </w:t>
      </w:r>
      <w:r w:rsidRPr="00706416">
        <w:rPr>
          <w:i/>
          <w:iCs/>
        </w:rPr>
        <w:t>36</w:t>
      </w:r>
      <w:r w:rsidRPr="00706416">
        <w:t>, 137–145. https://doi.org/10.1016/j.copbio.2015.08.015</w:t>
      </w:r>
    </w:p>
    <w:p w14:paraId="4F0AA4E4" w14:textId="77777777" w:rsidR="002B2D62" w:rsidRPr="00706416" w:rsidRDefault="002B2D62" w:rsidP="00EC2423">
      <w:pPr>
        <w:ind w:left="630" w:hanging="630"/>
      </w:pPr>
      <w:proofErr w:type="spellStart"/>
      <w:r w:rsidRPr="00706416">
        <w:t>Kumudhaveni</w:t>
      </w:r>
      <w:proofErr w:type="spellEnd"/>
      <w:r w:rsidRPr="00706416">
        <w:t xml:space="preserve"> B, &amp; R. Radha. (2017). Anti-diabetic potential of a traditional Polyherbal formulation - A review. </w:t>
      </w:r>
      <w:r w:rsidRPr="00706416">
        <w:rPr>
          <w:i/>
          <w:iCs/>
        </w:rPr>
        <w:t>Res J Pharm and Tech</w:t>
      </w:r>
      <w:r w:rsidRPr="00706416">
        <w:t xml:space="preserve">, </w:t>
      </w:r>
      <w:r w:rsidRPr="00706416">
        <w:rPr>
          <w:i/>
          <w:iCs/>
        </w:rPr>
        <w:t>10</w:t>
      </w:r>
      <w:r w:rsidRPr="00706416">
        <w:t>(6), 1865–1865. https://doi.org/10.5958/0974-360x.2017.00327.4</w:t>
      </w:r>
    </w:p>
    <w:p w14:paraId="6664AB8C" w14:textId="77777777" w:rsidR="002B2D62" w:rsidRPr="00706416" w:rsidRDefault="002B2D62" w:rsidP="00EC2423">
      <w:pPr>
        <w:ind w:left="630" w:hanging="630"/>
      </w:pPr>
      <w:r w:rsidRPr="00706416">
        <w:t xml:space="preserve">Kurian, G. A. (2016). Hypoglycemic effect of poly-herbal combination in streptozotocin-induced diabetic rats. </w:t>
      </w:r>
      <w:r w:rsidRPr="00706416">
        <w:rPr>
          <w:i/>
          <w:iCs/>
        </w:rPr>
        <w:t>Bangladesh Journal of Pharmacology</w:t>
      </w:r>
      <w:r w:rsidRPr="00706416">
        <w:t xml:space="preserve">, </w:t>
      </w:r>
      <w:r w:rsidRPr="00706416">
        <w:rPr>
          <w:i/>
          <w:iCs/>
        </w:rPr>
        <w:t>11</w:t>
      </w:r>
      <w:r w:rsidRPr="00706416">
        <w:t>(2), 364. https://doi.org/10.3329/bjp.v11i2.24855</w:t>
      </w:r>
    </w:p>
    <w:p w14:paraId="3F160934" w14:textId="77777777" w:rsidR="002B2D62" w:rsidRPr="00706416" w:rsidRDefault="002B2D62" w:rsidP="00EC2423">
      <w:pPr>
        <w:ind w:left="630" w:hanging="630"/>
      </w:pPr>
      <w:proofErr w:type="spellStart"/>
      <w:r w:rsidRPr="00706416">
        <w:t>Lalloyer</w:t>
      </w:r>
      <w:proofErr w:type="spellEnd"/>
      <w:r w:rsidRPr="00706416">
        <w:t xml:space="preserve">, F., &amp; </w:t>
      </w:r>
      <w:proofErr w:type="spellStart"/>
      <w:r w:rsidRPr="00706416">
        <w:t>Staels</w:t>
      </w:r>
      <w:proofErr w:type="spellEnd"/>
      <w:r w:rsidRPr="00706416">
        <w:t xml:space="preserve">, B. (2010). Fibrates, </w:t>
      </w:r>
      <w:proofErr w:type="spellStart"/>
      <w:r w:rsidRPr="00706416">
        <w:t>Glitazones</w:t>
      </w:r>
      <w:proofErr w:type="spellEnd"/>
      <w:r w:rsidRPr="00706416">
        <w:t xml:space="preserve">, and Peroxisome Proliferator–Activated Receptors. </w:t>
      </w:r>
      <w:r w:rsidRPr="00706416">
        <w:rPr>
          <w:i/>
          <w:iCs/>
        </w:rPr>
        <w:t>Arteriosclerosis, Thrombosis, and Vascular Biology</w:t>
      </w:r>
      <w:r w:rsidRPr="00706416">
        <w:t xml:space="preserve">, </w:t>
      </w:r>
      <w:r w:rsidRPr="00706416">
        <w:rPr>
          <w:i/>
          <w:iCs/>
        </w:rPr>
        <w:t>30</w:t>
      </w:r>
      <w:r w:rsidRPr="00706416">
        <w:t>(5), 894–899. https://doi.org/10.1161/atvbaha.108.179689</w:t>
      </w:r>
    </w:p>
    <w:p w14:paraId="4B6BE695" w14:textId="77777777" w:rsidR="002B2D62" w:rsidRPr="00706416" w:rsidRDefault="002B2D62" w:rsidP="00EC2423">
      <w:pPr>
        <w:ind w:left="630" w:hanging="630"/>
      </w:pPr>
      <w:proofErr w:type="spellStart"/>
      <w:r w:rsidRPr="00706416">
        <w:t>Lambrinou</w:t>
      </w:r>
      <w:proofErr w:type="spellEnd"/>
      <w:r w:rsidRPr="00706416">
        <w:t xml:space="preserve">, E., Hansen, T. B., &amp; Beulens, J. W. (2019). Lifestyle factors, self-management and Patient Empowerment in Diabetes Care. </w:t>
      </w:r>
      <w:r w:rsidRPr="00706416">
        <w:rPr>
          <w:i/>
          <w:iCs/>
        </w:rPr>
        <w:t>European Journal of Preventive Cardiology</w:t>
      </w:r>
      <w:r w:rsidRPr="00706416">
        <w:t xml:space="preserve">, </w:t>
      </w:r>
      <w:r w:rsidRPr="00706416">
        <w:rPr>
          <w:i/>
          <w:iCs/>
        </w:rPr>
        <w:t>26</w:t>
      </w:r>
      <w:r w:rsidRPr="00706416">
        <w:t>(2), 55–63. https://doi.org/10.1177/2047487319885455</w:t>
      </w:r>
    </w:p>
    <w:p w14:paraId="0579C20B" w14:textId="7C8DDFE8" w:rsidR="002B2D62" w:rsidRPr="00706416" w:rsidRDefault="002B2D62" w:rsidP="00EC2423">
      <w:pPr>
        <w:ind w:left="630" w:hanging="630"/>
      </w:pPr>
      <w:proofErr w:type="spellStart"/>
      <w:r w:rsidRPr="00706416">
        <w:t>LaMoia</w:t>
      </w:r>
      <w:proofErr w:type="spellEnd"/>
      <w:r w:rsidRPr="00706416">
        <w:t xml:space="preserve">, T. E., &amp; Shulman, G. I. (2020). Cellular and Molecular Mechanisms of Metformin Action. </w:t>
      </w:r>
      <w:r w:rsidRPr="00706416">
        <w:rPr>
          <w:i/>
          <w:iCs/>
        </w:rPr>
        <w:t>Endocrine Reviews</w:t>
      </w:r>
      <w:r w:rsidRPr="00706416">
        <w:t xml:space="preserve">, </w:t>
      </w:r>
      <w:r w:rsidRPr="00706416">
        <w:rPr>
          <w:i/>
          <w:iCs/>
        </w:rPr>
        <w:t>42</w:t>
      </w:r>
      <w:r w:rsidRPr="00706416">
        <w:t>(1)</w:t>
      </w:r>
      <w:r w:rsidR="00DF5F2F">
        <w:t>, 341-346</w:t>
      </w:r>
      <w:r w:rsidRPr="00706416">
        <w:t>. https://doi.org/10.1210/endrev/bnaa023</w:t>
      </w:r>
    </w:p>
    <w:p w14:paraId="2B15C04B" w14:textId="77777777" w:rsidR="002B2D62" w:rsidRPr="00706416" w:rsidRDefault="002B2D62" w:rsidP="00EC2423">
      <w:pPr>
        <w:ind w:left="630" w:hanging="630"/>
      </w:pPr>
      <w:r w:rsidRPr="00706416">
        <w:t xml:space="preserve">Leahy, J. L. (2005). Pathogenesis of Type 2 Diabetes Mellitus. </w:t>
      </w:r>
      <w:r w:rsidRPr="00706416">
        <w:rPr>
          <w:i/>
          <w:iCs/>
        </w:rPr>
        <w:t>Archives of Medical Research</w:t>
      </w:r>
      <w:r w:rsidRPr="00706416">
        <w:t xml:space="preserve">, </w:t>
      </w:r>
      <w:r w:rsidRPr="00706416">
        <w:rPr>
          <w:i/>
          <w:iCs/>
        </w:rPr>
        <w:t>36</w:t>
      </w:r>
      <w:r w:rsidRPr="00706416">
        <w:t>(3), 197–209. https://doi.org/10.1016/j.arcmed.2005.01.003</w:t>
      </w:r>
    </w:p>
    <w:p w14:paraId="7C7EBBBC" w14:textId="77777777" w:rsidR="002B2D62" w:rsidRPr="00706416" w:rsidRDefault="002B2D62" w:rsidP="00EC2423">
      <w:pPr>
        <w:ind w:left="630" w:hanging="630"/>
      </w:pPr>
      <w:r w:rsidRPr="00706416">
        <w:t xml:space="preserve">Lebovitz, H. E., &amp; Melander, A. (2015). Sulfonylureas and meglitinides: insights into physiology and translational clinical utility. </w:t>
      </w:r>
      <w:r w:rsidRPr="00706416">
        <w:rPr>
          <w:i/>
          <w:iCs/>
        </w:rPr>
        <w:t>International Textbook of Diabetes Mellitus</w:t>
      </w:r>
      <w:r w:rsidRPr="00706416">
        <w:t>, 615–640. https://doi.org/10.1002/9781118387658.ch42</w:t>
      </w:r>
    </w:p>
    <w:p w14:paraId="24F507DF" w14:textId="77777777" w:rsidR="002B2D62" w:rsidRPr="00706416" w:rsidRDefault="002B2D62" w:rsidP="00EC2423">
      <w:pPr>
        <w:ind w:left="630" w:hanging="630"/>
      </w:pPr>
      <w:r w:rsidRPr="00706416">
        <w:t xml:space="preserve">Lee, Y.-S., &amp; Jun, H.-S. (2014). Anti-diabetic actions of glucagon-like peptide-1 on pancreatic beta-cells. </w:t>
      </w:r>
      <w:r w:rsidRPr="00706416">
        <w:rPr>
          <w:i/>
          <w:iCs/>
        </w:rPr>
        <w:t>Metabolism</w:t>
      </w:r>
      <w:r w:rsidRPr="00706416">
        <w:t xml:space="preserve">, </w:t>
      </w:r>
      <w:r w:rsidRPr="00706416">
        <w:rPr>
          <w:i/>
          <w:iCs/>
        </w:rPr>
        <w:t>63</w:t>
      </w:r>
      <w:r w:rsidRPr="00706416">
        <w:t>(1), 9–19. https://doi.org/10.1016/j.metabol.2013.09.010</w:t>
      </w:r>
    </w:p>
    <w:p w14:paraId="673BB121" w14:textId="77777777" w:rsidR="002B2D62" w:rsidRPr="00706416" w:rsidRDefault="002B2D62" w:rsidP="00EC2423">
      <w:pPr>
        <w:ind w:left="630" w:hanging="630"/>
      </w:pPr>
      <w:r w:rsidRPr="00706416">
        <w:t xml:space="preserve">Li, K., Zhang, L., Xue, J., Yang, X., Dong, X., Sha, L., Lei, H., Zhang, X., Zhu, L., Wang, Z., Li, X., Wang, H., Liu, P., Dong, Y., &amp; He, L. (2019). Dietary inulin alleviates diverse stages of type 2 diabetes mellitus via anti-inflammation and modulating gut microbiota in </w:t>
      </w:r>
      <w:proofErr w:type="spellStart"/>
      <w:r w:rsidRPr="00706416">
        <w:t>db</w:t>
      </w:r>
      <w:proofErr w:type="spellEnd"/>
      <w:r w:rsidRPr="00706416">
        <w:t>/</w:t>
      </w:r>
      <w:proofErr w:type="spellStart"/>
      <w:r w:rsidRPr="00706416">
        <w:t>db</w:t>
      </w:r>
      <w:proofErr w:type="spellEnd"/>
      <w:r w:rsidRPr="00706416">
        <w:t xml:space="preserve"> mice. </w:t>
      </w:r>
      <w:r w:rsidRPr="00706416">
        <w:rPr>
          <w:i/>
          <w:iCs/>
        </w:rPr>
        <w:t>Food &amp; Function</w:t>
      </w:r>
      <w:r w:rsidRPr="00706416">
        <w:t xml:space="preserve">, </w:t>
      </w:r>
      <w:r w:rsidRPr="00706416">
        <w:rPr>
          <w:i/>
          <w:iCs/>
        </w:rPr>
        <w:t>10</w:t>
      </w:r>
      <w:r w:rsidRPr="00706416">
        <w:t>(4), 1915–1927. https://doi.org/10.1039/C8FO02265H</w:t>
      </w:r>
    </w:p>
    <w:p w14:paraId="780724E3" w14:textId="77777777" w:rsidR="002B2D62" w:rsidRPr="00706416" w:rsidRDefault="002B2D62" w:rsidP="00EC2423">
      <w:pPr>
        <w:ind w:left="630" w:hanging="630"/>
      </w:pPr>
      <w:r w:rsidRPr="00706416">
        <w:lastRenderedPageBreak/>
        <w:t xml:space="preserve">Li, L., Krznar, P., Erban, A., Agazzi, A., Martin-Levilain, J., </w:t>
      </w:r>
      <w:proofErr w:type="spellStart"/>
      <w:r w:rsidRPr="00706416">
        <w:t>Supale</w:t>
      </w:r>
      <w:proofErr w:type="spellEnd"/>
      <w:r w:rsidRPr="00706416">
        <w:t xml:space="preserve">, S., Kopka, J., Zamboni, N., &amp; </w:t>
      </w:r>
      <w:proofErr w:type="spellStart"/>
      <w:r w:rsidRPr="00706416">
        <w:t>Maechler</w:t>
      </w:r>
      <w:proofErr w:type="spellEnd"/>
      <w:r w:rsidRPr="00706416">
        <w:t xml:space="preserve">, P. (2019). Metabolomics Identifies a Biomarker Revealing In Vivo Loss of Functional β-Cell Mass Before Diabetes Onset. </w:t>
      </w:r>
      <w:r w:rsidRPr="00706416">
        <w:rPr>
          <w:i/>
          <w:iCs/>
        </w:rPr>
        <w:t>Diabetes</w:t>
      </w:r>
      <w:r w:rsidRPr="00706416">
        <w:t xml:space="preserve">, </w:t>
      </w:r>
      <w:r w:rsidRPr="00706416">
        <w:rPr>
          <w:i/>
          <w:iCs/>
        </w:rPr>
        <w:t>68</w:t>
      </w:r>
      <w:r w:rsidRPr="00706416">
        <w:t>(12), 2272–2286. https://doi.org/10.2337/db19-0131</w:t>
      </w:r>
    </w:p>
    <w:p w14:paraId="451F19DE" w14:textId="77777777" w:rsidR="002B2D62" w:rsidRPr="00706416" w:rsidRDefault="002B2D62" w:rsidP="00EC2423">
      <w:pPr>
        <w:ind w:left="630" w:hanging="630"/>
      </w:pPr>
      <w:r w:rsidRPr="00706416">
        <w:t xml:space="preserve">Li, M., Chi, X., Wang, Y., </w:t>
      </w:r>
      <w:proofErr w:type="spellStart"/>
      <w:r w:rsidRPr="00706416">
        <w:t>Setrerrahmane</w:t>
      </w:r>
      <w:proofErr w:type="spellEnd"/>
      <w:r w:rsidRPr="00706416">
        <w:t xml:space="preserve">, S., Xie, W., &amp; Xu, H. (2022). Trends in Insulin resistance: Insights into Mechanisms and Therapeutic Strategy. </w:t>
      </w:r>
      <w:r w:rsidRPr="00706416">
        <w:rPr>
          <w:i/>
          <w:iCs/>
        </w:rPr>
        <w:t>Signal Transduction and Targeted Therapy</w:t>
      </w:r>
      <w:r w:rsidRPr="00706416">
        <w:t xml:space="preserve">, </w:t>
      </w:r>
      <w:r w:rsidRPr="00706416">
        <w:rPr>
          <w:i/>
          <w:iCs/>
        </w:rPr>
        <w:t>7</w:t>
      </w:r>
      <w:r w:rsidRPr="00706416">
        <w:t>(1), 1–25. https://doi.org/10.1038/s41392-022-01073-0</w:t>
      </w:r>
    </w:p>
    <w:p w14:paraId="553027CC" w14:textId="77777777" w:rsidR="002B2D62" w:rsidRPr="00706416" w:rsidRDefault="002B2D62" w:rsidP="00EC2423">
      <w:pPr>
        <w:ind w:left="630" w:hanging="630"/>
      </w:pPr>
      <w:r w:rsidRPr="00706416">
        <w:t xml:space="preserve">Liu, L., Zhang, J., Cheng, Y., Zhu, M., Xiao, Z., Ruan, G., &amp; Wei, Y. (2022). Gut microbiota: A new target for T2DM prevention and treatment. </w:t>
      </w:r>
      <w:r w:rsidRPr="00706416">
        <w:rPr>
          <w:i/>
          <w:iCs/>
        </w:rPr>
        <w:t>Frontiers in Endocrinology</w:t>
      </w:r>
      <w:r w:rsidRPr="00706416">
        <w:t xml:space="preserve">, </w:t>
      </w:r>
      <w:r w:rsidRPr="00706416">
        <w:rPr>
          <w:i/>
          <w:iCs/>
        </w:rPr>
        <w:t>13</w:t>
      </w:r>
      <w:r w:rsidRPr="00706416">
        <w:t>. https://doi.org/10.3389/fendo.2022.958218</w:t>
      </w:r>
    </w:p>
    <w:p w14:paraId="3373A842" w14:textId="77777777" w:rsidR="002B2D62" w:rsidRPr="00706416" w:rsidRDefault="002B2D62" w:rsidP="00EC2423">
      <w:pPr>
        <w:ind w:left="630" w:hanging="630"/>
      </w:pPr>
      <w:proofErr w:type="spellStart"/>
      <w:r w:rsidRPr="00706416">
        <w:t>Mahboobi</w:t>
      </w:r>
      <w:proofErr w:type="spellEnd"/>
      <w:r w:rsidRPr="00706416">
        <w:t xml:space="preserve">, S., Rahimi, F., &amp; </w:t>
      </w:r>
      <w:proofErr w:type="spellStart"/>
      <w:r w:rsidRPr="00706416">
        <w:t>Jafarnejad</w:t>
      </w:r>
      <w:proofErr w:type="spellEnd"/>
      <w:r w:rsidRPr="00706416">
        <w:t xml:space="preserve">, S. (2018). Effects of Prebiotic and </w:t>
      </w:r>
      <w:proofErr w:type="spellStart"/>
      <w:r w:rsidRPr="00706416">
        <w:t>Synbiotic</w:t>
      </w:r>
      <w:proofErr w:type="spellEnd"/>
      <w:r w:rsidRPr="00706416">
        <w:t xml:space="preserve"> Supplementation on Glycaemia and Lipid Profile in Type 2 Diabetes: A Meta-Analysis of Randomized Controlled Trials. </w:t>
      </w:r>
      <w:r w:rsidRPr="00706416">
        <w:rPr>
          <w:i/>
          <w:iCs/>
        </w:rPr>
        <w:t>Advanced Pharmaceutical Bulletin</w:t>
      </w:r>
      <w:r w:rsidRPr="00706416">
        <w:t xml:space="preserve">, </w:t>
      </w:r>
      <w:r w:rsidRPr="00706416">
        <w:rPr>
          <w:i/>
          <w:iCs/>
        </w:rPr>
        <w:t>8</w:t>
      </w:r>
      <w:r w:rsidRPr="00706416">
        <w:t>(4), 565–574. https://doi.org/10.15171/apb.2018.065</w:t>
      </w:r>
    </w:p>
    <w:p w14:paraId="770ABC12" w14:textId="77777777" w:rsidR="002B2D62" w:rsidRPr="00706416" w:rsidRDefault="002B2D62" w:rsidP="00EC2423">
      <w:pPr>
        <w:ind w:left="630" w:hanging="630"/>
      </w:pPr>
      <w:proofErr w:type="spellStart"/>
      <w:r w:rsidRPr="00706416">
        <w:t>Marfella</w:t>
      </w:r>
      <w:proofErr w:type="spellEnd"/>
      <w:r w:rsidRPr="00706416">
        <w:t xml:space="preserve">, R., D’Onofrio, N., Trotta, M. C., Sardu, C., </w:t>
      </w:r>
      <w:proofErr w:type="spellStart"/>
      <w:r w:rsidRPr="00706416">
        <w:t>Scisciola</w:t>
      </w:r>
      <w:proofErr w:type="spellEnd"/>
      <w:r w:rsidRPr="00706416">
        <w:t xml:space="preserve">, L., </w:t>
      </w:r>
      <w:proofErr w:type="spellStart"/>
      <w:r w:rsidRPr="00706416">
        <w:t>Amarelli</w:t>
      </w:r>
      <w:proofErr w:type="spellEnd"/>
      <w:r w:rsidRPr="00706416">
        <w:t xml:space="preserve">, C., Balestrieri, M. L., Grimaldi, V., Mansueto, G., Esposito, S., D’Amico, M., Golino, P., Signoriello, G., De Feo, M., Maiello, C., Napoli, C., &amp; </w:t>
      </w:r>
      <w:proofErr w:type="spellStart"/>
      <w:r w:rsidRPr="00706416">
        <w:t>Paolisso</w:t>
      </w:r>
      <w:proofErr w:type="spellEnd"/>
      <w:r w:rsidRPr="00706416">
        <w:t xml:space="preserve">, G. (2022). Sodium/glucose cotransporter 2 (SGLT2) inhibitors improve cardiac function by reducing </w:t>
      </w:r>
      <w:proofErr w:type="spellStart"/>
      <w:r w:rsidRPr="00706416">
        <w:t>JunD</w:t>
      </w:r>
      <w:proofErr w:type="spellEnd"/>
      <w:r w:rsidRPr="00706416">
        <w:t xml:space="preserve"> expression in human diabetic hearts. </w:t>
      </w:r>
      <w:r w:rsidRPr="00706416">
        <w:rPr>
          <w:i/>
          <w:iCs/>
        </w:rPr>
        <w:t>Metabolism: Clinical and Experimental</w:t>
      </w:r>
      <w:r w:rsidRPr="00706416">
        <w:t xml:space="preserve">, </w:t>
      </w:r>
      <w:r w:rsidRPr="00706416">
        <w:rPr>
          <w:i/>
          <w:iCs/>
        </w:rPr>
        <w:t>127</w:t>
      </w:r>
      <w:r w:rsidRPr="00706416">
        <w:t>, 154936. https://doi.org/10.1016/j.metabol.2021.154936</w:t>
      </w:r>
    </w:p>
    <w:p w14:paraId="71DE0568" w14:textId="77777777" w:rsidR="002B2D62" w:rsidRPr="00706416" w:rsidRDefault="002B2D62" w:rsidP="00EC2423">
      <w:pPr>
        <w:ind w:left="630" w:hanging="630"/>
      </w:pPr>
      <w:proofErr w:type="spellStart"/>
      <w:r w:rsidRPr="00706416">
        <w:t>Markowiak</w:t>
      </w:r>
      <w:proofErr w:type="spellEnd"/>
      <w:r w:rsidRPr="00706416">
        <w:t xml:space="preserve">, P., &amp; </w:t>
      </w:r>
      <w:proofErr w:type="spellStart"/>
      <w:r w:rsidRPr="00706416">
        <w:t>Śliżewska</w:t>
      </w:r>
      <w:proofErr w:type="spellEnd"/>
      <w:r w:rsidRPr="00706416">
        <w:t xml:space="preserve">, K. (2017). Effects of Probiotics, Prebiotics, and </w:t>
      </w:r>
      <w:proofErr w:type="spellStart"/>
      <w:r w:rsidRPr="00706416">
        <w:t>Synbiotics</w:t>
      </w:r>
      <w:proofErr w:type="spellEnd"/>
      <w:r w:rsidRPr="00706416">
        <w:t xml:space="preserve"> on Human Health. </w:t>
      </w:r>
      <w:r w:rsidRPr="00706416">
        <w:rPr>
          <w:i/>
          <w:iCs/>
        </w:rPr>
        <w:t>Nutrients</w:t>
      </w:r>
      <w:r w:rsidRPr="00706416">
        <w:t xml:space="preserve">, </w:t>
      </w:r>
      <w:r w:rsidRPr="00706416">
        <w:rPr>
          <w:i/>
          <w:iCs/>
        </w:rPr>
        <w:t>9</w:t>
      </w:r>
      <w:r w:rsidRPr="00706416">
        <w:t>(9), 1021. https://doi.org/10.3390/nu9091021</w:t>
      </w:r>
    </w:p>
    <w:p w14:paraId="6D82652F" w14:textId="77777777" w:rsidR="002B2D62" w:rsidRPr="00706416" w:rsidRDefault="002B2D62" w:rsidP="00EC2423">
      <w:pPr>
        <w:ind w:left="630" w:hanging="630"/>
      </w:pPr>
      <w:proofErr w:type="spellStart"/>
      <w:r w:rsidRPr="00706416">
        <w:t>Masoudi</w:t>
      </w:r>
      <w:proofErr w:type="spellEnd"/>
      <w:r w:rsidRPr="00706416">
        <w:t xml:space="preserve">, F. A., </w:t>
      </w:r>
      <w:proofErr w:type="spellStart"/>
      <w:r w:rsidRPr="00706416">
        <w:t>Inzucchi</w:t>
      </w:r>
      <w:proofErr w:type="spellEnd"/>
      <w:r w:rsidRPr="00706416">
        <w:t xml:space="preserve">, S. E., Wang, Y., Havranek, E. P., Foody, J. M., &amp; Krumholz, H. M. (2005). Thiazolidinediones, Metformin, and Outcomes in Older Patients </w:t>
      </w:r>
      <w:proofErr w:type="gramStart"/>
      <w:r w:rsidRPr="00706416">
        <w:t>With</w:t>
      </w:r>
      <w:proofErr w:type="gramEnd"/>
      <w:r w:rsidRPr="00706416">
        <w:t xml:space="preserve"> Diabetes and Heart Failure. </w:t>
      </w:r>
      <w:r w:rsidRPr="00706416">
        <w:rPr>
          <w:i/>
          <w:iCs/>
        </w:rPr>
        <w:t>Circulation</w:t>
      </w:r>
      <w:r w:rsidRPr="00706416">
        <w:t xml:space="preserve">, </w:t>
      </w:r>
      <w:r w:rsidRPr="00706416">
        <w:rPr>
          <w:i/>
          <w:iCs/>
        </w:rPr>
        <w:t>111</w:t>
      </w:r>
      <w:r w:rsidRPr="00706416">
        <w:t>(5), 583–590. https://doi.org/10.1161/01.cir.0000154542.13412.b1</w:t>
      </w:r>
    </w:p>
    <w:p w14:paraId="3E70A666" w14:textId="77777777" w:rsidR="002B2D62" w:rsidRPr="00706416" w:rsidRDefault="002B2D62" w:rsidP="00EC2423">
      <w:pPr>
        <w:ind w:left="630" w:hanging="630"/>
      </w:pPr>
      <w:r w:rsidRPr="00706416">
        <w:t xml:space="preserve">Matthews, D. R., Paldánius, P. M., </w:t>
      </w:r>
      <w:proofErr w:type="spellStart"/>
      <w:r w:rsidRPr="00706416">
        <w:t>Proot</w:t>
      </w:r>
      <w:proofErr w:type="spellEnd"/>
      <w:r w:rsidRPr="00706416">
        <w:t xml:space="preserve">, P., Chiang, Y., Stumvoll, M., &amp; Del Prato, S. (2019). </w:t>
      </w:r>
      <w:proofErr w:type="spellStart"/>
      <w:r w:rsidRPr="00706416">
        <w:t>Glycaemic</w:t>
      </w:r>
      <w:proofErr w:type="spellEnd"/>
      <w:r w:rsidRPr="00706416">
        <w:t xml:space="preserve"> durability of an early combination therapy with vildagliptin and metformin versus sequential metformin monotherapy in newly diagnosed type 2 diabetes (VERIFY): a 5-year, </w:t>
      </w:r>
      <w:proofErr w:type="spellStart"/>
      <w:r w:rsidRPr="00706416">
        <w:t>multicentre</w:t>
      </w:r>
      <w:proofErr w:type="spellEnd"/>
      <w:r w:rsidRPr="00706416">
        <w:t xml:space="preserve">, </w:t>
      </w:r>
      <w:proofErr w:type="spellStart"/>
      <w:r w:rsidRPr="00706416">
        <w:t>randomised</w:t>
      </w:r>
      <w:proofErr w:type="spellEnd"/>
      <w:r w:rsidRPr="00706416">
        <w:t xml:space="preserve">, double-blind trial. </w:t>
      </w:r>
      <w:r w:rsidRPr="00706416">
        <w:rPr>
          <w:i/>
          <w:iCs/>
        </w:rPr>
        <w:t>The Lancet</w:t>
      </w:r>
      <w:r w:rsidRPr="00706416">
        <w:t xml:space="preserve">, </w:t>
      </w:r>
      <w:r w:rsidRPr="00706416">
        <w:rPr>
          <w:i/>
          <w:iCs/>
        </w:rPr>
        <w:t>394</w:t>
      </w:r>
      <w:r w:rsidRPr="00706416">
        <w:t>(10208), 1519–1529. https://doi.org/10.1016/s0140-6736(19)32131-2</w:t>
      </w:r>
    </w:p>
    <w:p w14:paraId="02AC674F" w14:textId="098C35ED" w:rsidR="002B2D62" w:rsidRPr="00706416" w:rsidRDefault="002B2D62" w:rsidP="00EC2423">
      <w:pPr>
        <w:ind w:left="630" w:hanging="630"/>
      </w:pPr>
      <w:r w:rsidRPr="00706416">
        <w:t xml:space="preserve">McIntyre, E. (2010). Clinical Naturopathy: An Evidence-based Guide to Practice [Book Review]. </w:t>
      </w:r>
      <w:r w:rsidRPr="00706416">
        <w:rPr>
          <w:i/>
          <w:iCs/>
        </w:rPr>
        <w:t>Australian Journal of Medical Herbalism</w:t>
      </w:r>
      <w:r w:rsidRPr="00706416">
        <w:t xml:space="preserve">, </w:t>
      </w:r>
      <w:r w:rsidRPr="00706416">
        <w:rPr>
          <w:i/>
          <w:iCs/>
        </w:rPr>
        <w:t>22</w:t>
      </w:r>
      <w:r w:rsidRPr="00706416">
        <w:t>(4), 156</w:t>
      </w:r>
      <w:r w:rsidR="00756601">
        <w:t>-161</w:t>
      </w:r>
      <w:r w:rsidRPr="00706416">
        <w:t>.</w:t>
      </w:r>
    </w:p>
    <w:p w14:paraId="2B03E36B" w14:textId="77777777" w:rsidR="002B2D62" w:rsidRPr="00706416" w:rsidRDefault="002B2D62" w:rsidP="00EC2423">
      <w:pPr>
        <w:ind w:left="630" w:hanging="630"/>
      </w:pPr>
      <w:proofErr w:type="spellStart"/>
      <w:r w:rsidRPr="00706416">
        <w:t>Morshedi</w:t>
      </w:r>
      <w:proofErr w:type="spellEnd"/>
      <w:r w:rsidRPr="00706416">
        <w:t xml:space="preserve">, M., Saghafi-Asl, M., &amp; </w:t>
      </w:r>
      <w:proofErr w:type="spellStart"/>
      <w:r w:rsidRPr="00706416">
        <w:t>Hosseinifard</w:t>
      </w:r>
      <w:proofErr w:type="spellEnd"/>
      <w:r w:rsidRPr="00706416">
        <w:t xml:space="preserve">, E.-S. (2020). The potential therapeutic effects of the gut microbiome manipulation by </w:t>
      </w:r>
      <w:proofErr w:type="spellStart"/>
      <w:r w:rsidRPr="00706416">
        <w:t>synbiotic</w:t>
      </w:r>
      <w:proofErr w:type="spellEnd"/>
      <w:r w:rsidRPr="00706416">
        <w:t xml:space="preserve"> containing-Lactobacillus plantarum on neuropsychological performance of diabetic rats. </w:t>
      </w:r>
      <w:r w:rsidRPr="00706416">
        <w:rPr>
          <w:i/>
          <w:iCs/>
        </w:rPr>
        <w:t>Journal of Translational Medicine</w:t>
      </w:r>
      <w:r w:rsidRPr="00706416">
        <w:t xml:space="preserve">, </w:t>
      </w:r>
      <w:r w:rsidRPr="00706416">
        <w:rPr>
          <w:i/>
          <w:iCs/>
        </w:rPr>
        <w:t>18</w:t>
      </w:r>
      <w:r w:rsidRPr="00706416">
        <w:t>(1). https://doi.org/10.1186/s12967-019-02169-y</w:t>
      </w:r>
    </w:p>
    <w:p w14:paraId="4F384FAC" w14:textId="77777777" w:rsidR="002B2D62" w:rsidRPr="00706416" w:rsidRDefault="002B2D62" w:rsidP="00EC2423">
      <w:pPr>
        <w:ind w:left="630" w:hanging="630"/>
      </w:pPr>
      <w:proofErr w:type="spellStart"/>
      <w:r w:rsidRPr="00706416">
        <w:t>Mudaliar</w:t>
      </w:r>
      <w:proofErr w:type="spellEnd"/>
      <w:r w:rsidRPr="00706416">
        <w:t xml:space="preserve">, S., Chang, A. R., &amp; Henry, R. R. (2003). Thiazolidinediones, peripheral edema, and type 2 diabetes: incidence, pathophysiology, and clinical implications. </w:t>
      </w:r>
      <w:r w:rsidRPr="00706416">
        <w:rPr>
          <w:i/>
          <w:iCs/>
        </w:rPr>
        <w:t>Endocrine Practice: Official Journal of the American College of Endocrinology and the American Association of Clinical Endocrinologists</w:t>
      </w:r>
      <w:r w:rsidRPr="00706416">
        <w:t xml:space="preserve">, </w:t>
      </w:r>
      <w:r w:rsidRPr="00706416">
        <w:rPr>
          <w:i/>
          <w:iCs/>
        </w:rPr>
        <w:t>9</w:t>
      </w:r>
      <w:r w:rsidRPr="00706416">
        <w:t>(5), 406–416. https://doi.org/10.4158/EP.9.5.406</w:t>
      </w:r>
    </w:p>
    <w:p w14:paraId="3E55551F" w14:textId="3A774C22" w:rsidR="002B2D62" w:rsidRPr="00706416" w:rsidRDefault="002B2D62" w:rsidP="00EC2423">
      <w:pPr>
        <w:ind w:left="630" w:hanging="630"/>
      </w:pPr>
      <w:r w:rsidRPr="00706416">
        <w:t xml:space="preserve">Murray, C. J. L., </w:t>
      </w:r>
      <w:proofErr w:type="spellStart"/>
      <w:r w:rsidRPr="00706416">
        <w:t>Aravkin</w:t>
      </w:r>
      <w:proofErr w:type="spellEnd"/>
      <w:r w:rsidRPr="00706416">
        <w:t xml:space="preserve">, A. Y., Zheng, P., </w:t>
      </w:r>
      <w:proofErr w:type="spellStart"/>
      <w:r w:rsidRPr="00706416">
        <w:t>Abbafati</w:t>
      </w:r>
      <w:proofErr w:type="spellEnd"/>
      <w:r w:rsidRPr="00706416">
        <w:t>, C., Abbas, K. M., Abbasi-</w:t>
      </w:r>
      <w:proofErr w:type="spellStart"/>
      <w:r w:rsidRPr="00706416">
        <w:t>Kangevari</w:t>
      </w:r>
      <w:proofErr w:type="spellEnd"/>
      <w:r w:rsidRPr="00706416">
        <w:t xml:space="preserve">, M., Abd-Allah, F., Abdelalim, A., Abdollahi, M., Abdollahpour, I., Abegaz, K. H., Abolhassani, H., </w:t>
      </w:r>
      <w:proofErr w:type="spellStart"/>
      <w:r w:rsidRPr="00706416">
        <w:t>Aboyans</w:t>
      </w:r>
      <w:proofErr w:type="spellEnd"/>
      <w:r w:rsidRPr="00706416">
        <w:t xml:space="preserve">, V., Abreu, L. G., Abrigo, M. R. M., </w:t>
      </w:r>
      <w:proofErr w:type="spellStart"/>
      <w:r w:rsidRPr="00706416">
        <w:t>Abualhasan</w:t>
      </w:r>
      <w:proofErr w:type="spellEnd"/>
      <w:r w:rsidRPr="00706416">
        <w:t xml:space="preserve">, A., Abu-Raddad, L. J., Abushouk, A. I., </w:t>
      </w:r>
      <w:proofErr w:type="spellStart"/>
      <w:r w:rsidRPr="00706416">
        <w:t>Adabi</w:t>
      </w:r>
      <w:proofErr w:type="spellEnd"/>
      <w:r w:rsidRPr="00706416">
        <w:t xml:space="preserve">, M., &amp; Adekanmbi, V. (2020). Global Burden of 87 Risk Factors in 204 Countries and territories, 1990–2019: a Systematic Analysis for the Global Burden of Disease Study 2019. </w:t>
      </w:r>
      <w:r w:rsidRPr="00706416">
        <w:rPr>
          <w:i/>
          <w:iCs/>
        </w:rPr>
        <w:t>The Lancet</w:t>
      </w:r>
      <w:r w:rsidR="00210971">
        <w:t>.</w:t>
      </w:r>
      <w:r w:rsidRPr="00706416">
        <w:t xml:space="preserve"> </w:t>
      </w:r>
      <w:r w:rsidRPr="00706416">
        <w:rPr>
          <w:i/>
          <w:iCs/>
        </w:rPr>
        <w:t>396</w:t>
      </w:r>
      <w:r w:rsidRPr="00706416">
        <w:t>(10258), 1223–1249. https://doi.org/10.1016/s0140-6736(20)30752-2</w:t>
      </w:r>
    </w:p>
    <w:p w14:paraId="6AAF65B8" w14:textId="77777777" w:rsidR="002B2D62" w:rsidRPr="00706416" w:rsidRDefault="002B2D62" w:rsidP="00EC2423">
      <w:pPr>
        <w:ind w:left="630" w:hanging="630"/>
      </w:pPr>
      <w:proofErr w:type="spellStart"/>
      <w:r w:rsidRPr="00706416">
        <w:t>Nanjan</w:t>
      </w:r>
      <w:proofErr w:type="spellEnd"/>
      <w:r w:rsidRPr="00706416">
        <w:t xml:space="preserve">, M. J., Mohammed, M., Prashantha Kumar, B. R., &amp; Chandrasekar, M. J. N. (2018). Thiazolidinediones as antidiabetic agents: A critical review. </w:t>
      </w:r>
      <w:r w:rsidRPr="00706416">
        <w:rPr>
          <w:i/>
          <w:iCs/>
        </w:rPr>
        <w:t>Bioorganic Chemistry</w:t>
      </w:r>
      <w:r w:rsidRPr="00706416">
        <w:t xml:space="preserve">, </w:t>
      </w:r>
      <w:r w:rsidRPr="00706416">
        <w:rPr>
          <w:i/>
          <w:iCs/>
        </w:rPr>
        <w:t>77</w:t>
      </w:r>
      <w:r w:rsidRPr="00706416">
        <w:t>, 548–567. https://doi.org/10.1016/j.bioorg.2018.02.009</w:t>
      </w:r>
    </w:p>
    <w:p w14:paraId="65DE2D6A" w14:textId="69BD8825" w:rsidR="002B2D62" w:rsidRPr="00706416" w:rsidRDefault="002B2D62" w:rsidP="00EC2423">
      <w:pPr>
        <w:ind w:left="630" w:hanging="630"/>
      </w:pPr>
      <w:r w:rsidRPr="00706416">
        <w:lastRenderedPageBreak/>
        <w:t xml:space="preserve">Nasir, A., Siddiqui, M. Y., &amp; Mohsin, M. (2025). Therapeutic Uses of </w:t>
      </w:r>
      <w:proofErr w:type="spellStart"/>
      <w:r w:rsidRPr="00706416">
        <w:t>Shoneez</w:t>
      </w:r>
      <w:proofErr w:type="spellEnd"/>
      <w:r w:rsidRPr="00706416">
        <w:t xml:space="preserve"> (Nigella sativa Linn.) Mentioned in Unani System of Medicine - A Review. </w:t>
      </w:r>
      <w:r w:rsidRPr="00706416">
        <w:rPr>
          <w:i/>
          <w:iCs/>
        </w:rPr>
        <w:t>International Journal of Pharmaceutical and Phytopharmacological Research</w:t>
      </w:r>
      <w:r w:rsidRPr="00706416">
        <w:t xml:space="preserve">, </w:t>
      </w:r>
      <w:r w:rsidRPr="00706416">
        <w:rPr>
          <w:i/>
          <w:iCs/>
        </w:rPr>
        <w:t>4</w:t>
      </w:r>
      <w:r w:rsidRPr="00706416">
        <w:t>(1), 47–49. https://eijppr.com/276Ypt3</w:t>
      </w:r>
    </w:p>
    <w:p w14:paraId="17813917" w14:textId="77777777" w:rsidR="002B2D62" w:rsidRPr="00706416" w:rsidRDefault="002B2D62" w:rsidP="00EC2423">
      <w:pPr>
        <w:ind w:left="630" w:hanging="630"/>
      </w:pPr>
      <w:proofErr w:type="spellStart"/>
      <w:r w:rsidRPr="00706416">
        <w:t>Nazzaro</w:t>
      </w:r>
      <w:proofErr w:type="spellEnd"/>
      <w:r w:rsidRPr="00706416">
        <w:t xml:space="preserve">, F., Fratianni, F., Nicolaus, B., Poli, A., &amp; Orlando, P. (2012). The prebiotic source influences the growth, biochemical features and survival under simulated gastrointestinal conditions of the probiotic Lactobacillus acidophilus. </w:t>
      </w:r>
      <w:r w:rsidRPr="00706416">
        <w:rPr>
          <w:i/>
          <w:iCs/>
        </w:rPr>
        <w:t>Anaerobe</w:t>
      </w:r>
      <w:r w:rsidRPr="00706416">
        <w:t xml:space="preserve">, </w:t>
      </w:r>
      <w:r w:rsidRPr="00706416">
        <w:rPr>
          <w:i/>
          <w:iCs/>
        </w:rPr>
        <w:t>18</w:t>
      </w:r>
      <w:r w:rsidRPr="00706416">
        <w:t>(3), 280–285. https://doi.org/10.1016/j.anaerobe.2012.03.002</w:t>
      </w:r>
    </w:p>
    <w:p w14:paraId="5377EB51" w14:textId="77777777" w:rsidR="002B2D62" w:rsidRPr="00706416" w:rsidRDefault="002B2D62" w:rsidP="00EC2423">
      <w:pPr>
        <w:ind w:left="630" w:hanging="630"/>
      </w:pPr>
      <w:proofErr w:type="spellStart"/>
      <w:r w:rsidRPr="00706416">
        <w:t>Neviere</w:t>
      </w:r>
      <w:proofErr w:type="spellEnd"/>
      <w:r w:rsidRPr="00706416">
        <w:t xml:space="preserve">, R., Yu, Y., Wang, L., Tessier, F., &amp; Boulanger, E. (2016). Implication of advanced glycation end products (Ages) and their receptor (Rage) on myocardial contractile and mitochondrial functions. </w:t>
      </w:r>
      <w:r w:rsidRPr="00706416">
        <w:rPr>
          <w:i/>
          <w:iCs/>
        </w:rPr>
        <w:t>Glycoconjugate Journal</w:t>
      </w:r>
      <w:r w:rsidRPr="00706416">
        <w:t xml:space="preserve">, </w:t>
      </w:r>
      <w:r w:rsidRPr="00706416">
        <w:rPr>
          <w:i/>
          <w:iCs/>
        </w:rPr>
        <w:t>33</w:t>
      </w:r>
      <w:r w:rsidRPr="00706416">
        <w:t>(4), 607–617. https://doi.org/10.1007/s10719-016-9679-x</w:t>
      </w:r>
    </w:p>
    <w:p w14:paraId="3A8B529A" w14:textId="66F61B56" w:rsidR="002B2D62" w:rsidRDefault="002B2D62" w:rsidP="00EC2423">
      <w:pPr>
        <w:ind w:left="630" w:hanging="630"/>
      </w:pPr>
      <w:proofErr w:type="spellStart"/>
      <w:r w:rsidRPr="00706416">
        <w:t>Nikpour</w:t>
      </w:r>
      <w:proofErr w:type="spellEnd"/>
      <w:r w:rsidRPr="00706416">
        <w:t xml:space="preserve">, S., Mehrdad, N., Sanjari, M., Aalaa, M., Heshmat, R., </w:t>
      </w:r>
      <w:proofErr w:type="spellStart"/>
      <w:r w:rsidRPr="00706416">
        <w:t>Mafinejad</w:t>
      </w:r>
      <w:proofErr w:type="spellEnd"/>
      <w:r w:rsidRPr="00706416">
        <w:t xml:space="preserve">, M. K., Larijani, B., </w:t>
      </w:r>
      <w:proofErr w:type="spellStart"/>
      <w:r w:rsidRPr="00706416">
        <w:t>Nomali</w:t>
      </w:r>
      <w:proofErr w:type="spellEnd"/>
      <w:r w:rsidRPr="00706416">
        <w:t xml:space="preserve">, M., &amp; </w:t>
      </w:r>
      <w:proofErr w:type="spellStart"/>
      <w:r w:rsidRPr="00706416">
        <w:t>Ghezeljeh</w:t>
      </w:r>
      <w:proofErr w:type="spellEnd"/>
      <w:r w:rsidRPr="00706416">
        <w:t xml:space="preserve">, T. N. (2022). Challenges of Type 2 Diabetes Mellitus Management </w:t>
      </w:r>
      <w:r w:rsidR="00210971" w:rsidRPr="00706416">
        <w:t>from</w:t>
      </w:r>
      <w:r w:rsidRPr="00706416">
        <w:t xml:space="preserve"> the Perspective of Patients: Conventional Content Analysis. </w:t>
      </w:r>
      <w:r w:rsidRPr="00706416">
        <w:rPr>
          <w:i/>
          <w:iCs/>
        </w:rPr>
        <w:t>Interactive Journal of Medical Research</w:t>
      </w:r>
      <w:r w:rsidRPr="00706416">
        <w:t xml:space="preserve">, </w:t>
      </w:r>
      <w:r w:rsidRPr="00706416">
        <w:rPr>
          <w:i/>
          <w:iCs/>
        </w:rPr>
        <w:t>11</w:t>
      </w:r>
      <w:r w:rsidRPr="00706416">
        <w:t xml:space="preserve">(2), 41933. </w:t>
      </w:r>
      <w:hyperlink r:id="rId20" w:history="1">
        <w:r w:rsidRPr="00C22665">
          <w:rPr>
            <w:rStyle w:val="Hyperlink"/>
          </w:rPr>
          <w:t>https://doi.org/10.2196/41933</w:t>
        </w:r>
      </w:hyperlink>
    </w:p>
    <w:p w14:paraId="0DEC9F10" w14:textId="77777777" w:rsidR="002B2D62" w:rsidRPr="00706416" w:rsidRDefault="002B2D62" w:rsidP="00EC2423">
      <w:pPr>
        <w:ind w:left="630" w:hanging="630"/>
      </w:pPr>
      <w:proofErr w:type="spellStart"/>
      <w:r w:rsidRPr="002B2D62">
        <w:t>Olamoyegun</w:t>
      </w:r>
      <w:proofErr w:type="spellEnd"/>
      <w:r w:rsidRPr="002B2D62">
        <w:t xml:space="preserve">, M. A., </w:t>
      </w:r>
      <w:proofErr w:type="spellStart"/>
      <w:r w:rsidRPr="002B2D62">
        <w:t>Alare</w:t>
      </w:r>
      <w:proofErr w:type="spellEnd"/>
      <w:r w:rsidRPr="002B2D62">
        <w:t xml:space="preserve">, K., Afolabi, S. A., </w:t>
      </w:r>
      <w:proofErr w:type="spellStart"/>
      <w:r w:rsidRPr="002B2D62">
        <w:t>Aderinto</w:t>
      </w:r>
      <w:proofErr w:type="spellEnd"/>
      <w:r w:rsidRPr="002B2D62">
        <w:t>, N., &amp; Adeyemi, T. (2024). A systematic review and meta-analysis of the prevalence and risk factors of type 2 diabetes mellitus in Nigeria. Clinical Diabetes and Endocrinology, 10(1). https://doi.org/10.1186/s40842-024-00209-1</w:t>
      </w:r>
    </w:p>
    <w:p w14:paraId="499ED65E" w14:textId="0A83B2BF" w:rsidR="002B2D62" w:rsidRPr="00706416" w:rsidRDefault="002B2D62" w:rsidP="00EC2423">
      <w:pPr>
        <w:ind w:left="630" w:hanging="630"/>
      </w:pPr>
      <w:r w:rsidRPr="00706416">
        <w:t xml:space="preserve">Pan, A., Sun, J., Chen, Y., Ye, X., Li, H., Yu, Z., Wang, Y., Gu, W., Zhang, X., Chen, X., Demark-Wahnefried, W., Liu, Y., &amp; Lin, X. (2007). Effects of a flaxseed-derived lignan supplement in type 2 diabetic patients: a randomized, double-blind, cross-over trial. </w:t>
      </w:r>
      <w:proofErr w:type="spellStart"/>
      <w:r w:rsidRPr="00706416">
        <w:rPr>
          <w:i/>
          <w:iCs/>
        </w:rPr>
        <w:t>PloS</w:t>
      </w:r>
      <w:proofErr w:type="spellEnd"/>
      <w:r w:rsidRPr="00706416">
        <w:rPr>
          <w:i/>
          <w:iCs/>
        </w:rPr>
        <w:t xml:space="preserve"> One</w:t>
      </w:r>
      <w:r w:rsidRPr="00706416">
        <w:t xml:space="preserve">, </w:t>
      </w:r>
      <w:r w:rsidRPr="00706416">
        <w:rPr>
          <w:i/>
          <w:iCs/>
        </w:rPr>
        <w:t>2</w:t>
      </w:r>
      <w:r w:rsidRPr="00706416">
        <w:t>(11), 1148. https://doi.org/10.1371/journal.pone.0001148</w:t>
      </w:r>
    </w:p>
    <w:p w14:paraId="6D92BEC5" w14:textId="77777777" w:rsidR="002B2D62" w:rsidRPr="00706416" w:rsidRDefault="002B2D62" w:rsidP="00EC2423">
      <w:pPr>
        <w:ind w:left="630" w:hanging="630"/>
      </w:pPr>
      <w:r w:rsidRPr="00706416">
        <w:t xml:space="preserve">Pérez, Y. Y., Jiménez-Ferrer, E., Zamilpa, A., Hernández-Valencia, M., Alarcón-Aguilar, F. J., Tortoriello, J., &amp; Román-Ramos, R. (2007). Effect of a Polyphenol-Rich Extract from </w:t>
      </w:r>
      <w:r w:rsidRPr="00706416">
        <w:rPr>
          <w:i/>
          <w:iCs/>
        </w:rPr>
        <w:t>Aloe vera</w:t>
      </w:r>
      <w:r w:rsidRPr="00706416">
        <w:t xml:space="preserve"> Gel on Experimentally Induced Insulin Resistance in Mice. </w:t>
      </w:r>
      <w:r w:rsidRPr="00706416">
        <w:rPr>
          <w:i/>
          <w:iCs/>
        </w:rPr>
        <w:t>The American Journal of Chinese Medicine</w:t>
      </w:r>
      <w:r w:rsidRPr="00706416">
        <w:t xml:space="preserve">, </w:t>
      </w:r>
      <w:r w:rsidRPr="00706416">
        <w:rPr>
          <w:i/>
          <w:iCs/>
        </w:rPr>
        <w:t>35</w:t>
      </w:r>
      <w:r w:rsidRPr="00706416">
        <w:t>(06), 1037–1046. https://doi.org/10.1142/s0192415x07005491</w:t>
      </w:r>
    </w:p>
    <w:p w14:paraId="31AD779D" w14:textId="77777777" w:rsidR="002B2D62" w:rsidRPr="00706416" w:rsidRDefault="002B2D62" w:rsidP="00EC2423">
      <w:pPr>
        <w:ind w:left="630" w:hanging="630"/>
      </w:pPr>
      <w:r w:rsidRPr="00706416">
        <w:t xml:space="preserve">Prasad, K. (2000). Oxidative stress as a mechanism of diabetes in diabetic BB prone rats: effect of </w:t>
      </w:r>
      <w:proofErr w:type="spellStart"/>
      <w:r w:rsidRPr="00706416">
        <w:t>secoisolariciresinol</w:t>
      </w:r>
      <w:proofErr w:type="spellEnd"/>
      <w:r w:rsidRPr="00706416">
        <w:t xml:space="preserve"> </w:t>
      </w:r>
      <w:proofErr w:type="spellStart"/>
      <w:r w:rsidRPr="00706416">
        <w:t>diglucoside</w:t>
      </w:r>
      <w:proofErr w:type="spellEnd"/>
      <w:r w:rsidRPr="00706416">
        <w:t xml:space="preserve"> (SDG). </w:t>
      </w:r>
      <w:r w:rsidRPr="00706416">
        <w:rPr>
          <w:i/>
          <w:iCs/>
        </w:rPr>
        <w:t>Molecular and Cellular Biochemistry</w:t>
      </w:r>
      <w:r w:rsidRPr="00706416">
        <w:t xml:space="preserve">, </w:t>
      </w:r>
      <w:r w:rsidRPr="00706416">
        <w:rPr>
          <w:i/>
          <w:iCs/>
        </w:rPr>
        <w:t>209</w:t>
      </w:r>
      <w:r w:rsidRPr="00706416">
        <w:t>(1/2), 89–96. https://doi.org/10.1023/a:1007079802459</w:t>
      </w:r>
    </w:p>
    <w:p w14:paraId="66D2992D" w14:textId="77777777" w:rsidR="002B2D62" w:rsidRPr="00706416" w:rsidRDefault="002B2D62" w:rsidP="00EC2423">
      <w:pPr>
        <w:ind w:left="630" w:hanging="630"/>
      </w:pPr>
      <w:proofErr w:type="spellStart"/>
      <w:r w:rsidRPr="00706416">
        <w:t>Prattichizzo</w:t>
      </w:r>
      <w:proofErr w:type="spellEnd"/>
      <w:r w:rsidRPr="00706416">
        <w:t xml:space="preserve">, F., de Candia, P., &amp; Ceriello, A. (2021). Diabetes and kidney disease: emphasis on treatment with SGLT-2 inhibitors and GLP-1 receptor agonists. </w:t>
      </w:r>
      <w:r w:rsidRPr="00706416">
        <w:rPr>
          <w:i/>
          <w:iCs/>
        </w:rPr>
        <w:t>Metabolism</w:t>
      </w:r>
      <w:r w:rsidRPr="00706416">
        <w:t xml:space="preserve">, </w:t>
      </w:r>
      <w:r w:rsidRPr="00706416">
        <w:rPr>
          <w:i/>
          <w:iCs/>
        </w:rPr>
        <w:t>120</w:t>
      </w:r>
      <w:r w:rsidRPr="00706416">
        <w:t>, 154799. https://doi.org/10.1016/j.metabol.2021.154799</w:t>
      </w:r>
    </w:p>
    <w:p w14:paraId="384B36B4" w14:textId="08AE89D3" w:rsidR="002B2D62" w:rsidRPr="00706416" w:rsidRDefault="002B2D62" w:rsidP="00EC2423">
      <w:pPr>
        <w:ind w:left="630" w:hanging="630"/>
      </w:pPr>
      <w:r w:rsidRPr="00706416">
        <w:t xml:space="preserve">Qi, Q., Yu, Z., Ye, X., Zhao, F., Huang, P., Hu, F. B., Franco, O. H., Wang, J., </w:t>
      </w:r>
      <w:proofErr w:type="spellStart"/>
      <w:r w:rsidRPr="00706416">
        <w:t>LiH</w:t>
      </w:r>
      <w:proofErr w:type="spellEnd"/>
      <w:r w:rsidR="00210971">
        <w:t>, A</w:t>
      </w:r>
      <w:r w:rsidRPr="00706416">
        <w:t>., Liu</w:t>
      </w:r>
      <w:r w:rsidR="00210971">
        <w:t xml:space="preserve">, </w:t>
      </w:r>
      <w:r w:rsidRPr="00706416">
        <w:t>Y., &amp; Lin</w:t>
      </w:r>
      <w:r w:rsidR="00210971">
        <w:t xml:space="preserve">, </w:t>
      </w:r>
      <w:r w:rsidRPr="00706416">
        <w:t xml:space="preserve">X. (2007). Elevated Retinol-Binding Protein 4 Levels Are Associated with Metabolic Syndrome in Chinese People. </w:t>
      </w:r>
      <w:r w:rsidRPr="00706416">
        <w:rPr>
          <w:i/>
          <w:iCs/>
        </w:rPr>
        <w:t>The Journal of Clinical Endocrinology and Metabolism</w:t>
      </w:r>
      <w:r w:rsidRPr="00706416">
        <w:t xml:space="preserve">, </w:t>
      </w:r>
      <w:r w:rsidRPr="00706416">
        <w:rPr>
          <w:i/>
          <w:iCs/>
        </w:rPr>
        <w:t>92</w:t>
      </w:r>
      <w:r w:rsidRPr="00706416">
        <w:t>(12), 4827–4834. https://doi.org/10.1210/jc.2007-1219</w:t>
      </w:r>
    </w:p>
    <w:p w14:paraId="387E6BB0" w14:textId="6F4A1865" w:rsidR="002B2D62" w:rsidRPr="00706416" w:rsidRDefault="002B2D62" w:rsidP="00EC2423">
      <w:pPr>
        <w:ind w:left="630" w:hanging="630"/>
      </w:pPr>
      <w:proofErr w:type="spellStart"/>
      <w:r w:rsidRPr="00706416">
        <w:t>Rahmoune</w:t>
      </w:r>
      <w:proofErr w:type="spellEnd"/>
      <w:r w:rsidRPr="00706416">
        <w:t xml:space="preserve">, H., Thompson, P. W., Ward, J. M., Smith, C. D., Hong, G., &amp; Brown, J. (2005). Glucose Transporters in Human Renal Proximal Tubular Cells Isolated </w:t>
      </w:r>
      <w:r w:rsidR="00210971" w:rsidRPr="00706416">
        <w:t>from</w:t>
      </w:r>
      <w:r w:rsidRPr="00706416">
        <w:t xml:space="preserve"> the Urine of Patients </w:t>
      </w:r>
      <w:proofErr w:type="gramStart"/>
      <w:r w:rsidRPr="00706416">
        <w:t>With</w:t>
      </w:r>
      <w:proofErr w:type="gramEnd"/>
      <w:r w:rsidRPr="00706416">
        <w:t xml:space="preserve"> Non-Insulin-Dependent Diabetes. </w:t>
      </w:r>
      <w:r w:rsidRPr="00706416">
        <w:rPr>
          <w:i/>
          <w:iCs/>
        </w:rPr>
        <w:t>Diabetes</w:t>
      </w:r>
      <w:r w:rsidRPr="00706416">
        <w:t xml:space="preserve">, </w:t>
      </w:r>
      <w:r w:rsidRPr="00706416">
        <w:rPr>
          <w:i/>
          <w:iCs/>
        </w:rPr>
        <w:t>54</w:t>
      </w:r>
      <w:r w:rsidRPr="00706416">
        <w:t>(12), 3427–3434. https://doi.org/10.2337/diabetes.54.12.3427</w:t>
      </w:r>
    </w:p>
    <w:p w14:paraId="64F5FFAC" w14:textId="1AB21F0C" w:rsidR="002B2D62" w:rsidRPr="00706416" w:rsidRDefault="002B2D62" w:rsidP="00EC2423">
      <w:pPr>
        <w:ind w:left="630" w:hanging="630"/>
      </w:pPr>
      <w:proofErr w:type="spellStart"/>
      <w:r w:rsidRPr="00706416">
        <w:t>Rasouli</w:t>
      </w:r>
      <w:proofErr w:type="spellEnd"/>
      <w:r w:rsidRPr="00706416">
        <w:t xml:space="preserve">, N., Raue, U., Miles, L. M., Lu, T., Di Gregorio, G. B., </w:t>
      </w:r>
      <w:proofErr w:type="spellStart"/>
      <w:r w:rsidRPr="00706416">
        <w:t>Elbein</w:t>
      </w:r>
      <w:proofErr w:type="spellEnd"/>
      <w:r w:rsidRPr="00706416">
        <w:t xml:space="preserve">, S. C., &amp; Kern, P. A. (2005). Pioglitazone improves insulin sensitivity through reduction in muscle lipid and redistribution of lipid into adipose tissue. </w:t>
      </w:r>
      <w:r w:rsidRPr="00706416">
        <w:rPr>
          <w:i/>
          <w:iCs/>
        </w:rPr>
        <w:t>American Journal of Physiology-Endocrinology and Metabolism</w:t>
      </w:r>
      <w:r w:rsidRPr="00706416">
        <w:t xml:space="preserve">, </w:t>
      </w:r>
      <w:r w:rsidRPr="00706416">
        <w:rPr>
          <w:i/>
          <w:iCs/>
        </w:rPr>
        <w:t>288</w:t>
      </w:r>
      <w:r w:rsidRPr="00706416">
        <w:t>(5), 930–934. https://doi.org/10.1152/ajpendo.00522.2004</w:t>
      </w:r>
    </w:p>
    <w:p w14:paraId="4C5E674A" w14:textId="77777777" w:rsidR="002B2D62" w:rsidRPr="00706416" w:rsidRDefault="002B2D62" w:rsidP="00EC2423">
      <w:pPr>
        <w:ind w:left="630" w:hanging="630"/>
      </w:pPr>
      <w:r w:rsidRPr="00706416">
        <w:t xml:space="preserve">Rice, B. I. (2001). Mind-Body Interventions. </w:t>
      </w:r>
      <w:r w:rsidRPr="00706416">
        <w:rPr>
          <w:i/>
          <w:iCs/>
        </w:rPr>
        <w:t>Diabetes Spectrum</w:t>
      </w:r>
      <w:r w:rsidRPr="00706416">
        <w:t xml:space="preserve">, </w:t>
      </w:r>
      <w:r w:rsidRPr="00706416">
        <w:rPr>
          <w:i/>
          <w:iCs/>
        </w:rPr>
        <w:t>14</w:t>
      </w:r>
      <w:r w:rsidRPr="00706416">
        <w:t>(4), 213–217. https://doi.org/10.2337/diaspect.14.4.213</w:t>
      </w:r>
    </w:p>
    <w:p w14:paraId="5CAD5ABF" w14:textId="77777777" w:rsidR="002B2D62" w:rsidRPr="00706416" w:rsidRDefault="002B2D62" w:rsidP="00EC2423">
      <w:pPr>
        <w:ind w:left="630" w:hanging="630"/>
      </w:pPr>
      <w:proofErr w:type="spellStart"/>
      <w:r w:rsidRPr="00706416">
        <w:t>Ringseis</w:t>
      </w:r>
      <w:proofErr w:type="spellEnd"/>
      <w:r w:rsidRPr="00706416">
        <w:t xml:space="preserve">, R., Keller, J., &amp; Eder, K. (2011). Role of carnitine in the regulation of glucose homeostasis and insulin sensitivity: evidence from in vivo and in vitro studies with </w:t>
      </w:r>
      <w:r w:rsidRPr="00706416">
        <w:lastRenderedPageBreak/>
        <w:t xml:space="preserve">carnitine supplementation and carnitine deficiency. </w:t>
      </w:r>
      <w:r w:rsidRPr="00706416">
        <w:rPr>
          <w:i/>
          <w:iCs/>
        </w:rPr>
        <w:t>European Journal of Nutrition</w:t>
      </w:r>
      <w:r w:rsidRPr="00706416">
        <w:t xml:space="preserve">, </w:t>
      </w:r>
      <w:r w:rsidRPr="00706416">
        <w:rPr>
          <w:i/>
          <w:iCs/>
        </w:rPr>
        <w:t>51</w:t>
      </w:r>
      <w:r w:rsidRPr="00706416">
        <w:t>(1), 1–18. https://doi.org/10.1007/s00394-011-0284-2</w:t>
      </w:r>
    </w:p>
    <w:p w14:paraId="017F3B90" w14:textId="77777777" w:rsidR="002B2D62" w:rsidRPr="00706416" w:rsidRDefault="002B2D62" w:rsidP="00EC2423">
      <w:pPr>
        <w:ind w:left="630" w:hanging="630"/>
      </w:pPr>
      <w:r w:rsidRPr="00706416">
        <w:t xml:space="preserve">Rizzo, M., Abate, N., </w:t>
      </w:r>
      <w:proofErr w:type="spellStart"/>
      <w:r w:rsidRPr="00706416">
        <w:t>Chandalia</w:t>
      </w:r>
      <w:proofErr w:type="spellEnd"/>
      <w:r w:rsidRPr="00706416">
        <w:t xml:space="preserve">, M., Rizvi, A. A., Giglio, R. V., Nikolic, D., Marino Gammazza, A., Barbagallo, I., </w:t>
      </w:r>
      <w:proofErr w:type="spellStart"/>
      <w:r w:rsidRPr="00706416">
        <w:t>Isenovic</w:t>
      </w:r>
      <w:proofErr w:type="spellEnd"/>
      <w:r w:rsidRPr="00706416">
        <w:t xml:space="preserve">, E. R., Banach, M., Montalto, G., &amp; Li Volti, G. (2015). Liraglutide reduces oxidative stress and restores heme oxygenase-1 and ghrelin levels in patients with type 2 diabetes: a prospective pilot study. </w:t>
      </w:r>
      <w:r w:rsidRPr="00706416">
        <w:rPr>
          <w:i/>
          <w:iCs/>
        </w:rPr>
        <w:t>The Journal of Clinical Endocrinology and Metabolism</w:t>
      </w:r>
      <w:r w:rsidRPr="00706416">
        <w:t xml:space="preserve">, </w:t>
      </w:r>
      <w:r w:rsidRPr="00706416">
        <w:rPr>
          <w:i/>
          <w:iCs/>
        </w:rPr>
        <w:t>100</w:t>
      </w:r>
      <w:r w:rsidRPr="00706416">
        <w:t>(2), 603–606. https://doi.org/10.1210/jc.2014-2291</w:t>
      </w:r>
    </w:p>
    <w:p w14:paraId="091CC58E" w14:textId="39165C23" w:rsidR="002B2D62" w:rsidRPr="00706416" w:rsidRDefault="002B2D62" w:rsidP="00EC2423">
      <w:pPr>
        <w:ind w:left="630" w:hanging="630"/>
      </w:pPr>
      <w:proofErr w:type="spellStart"/>
      <w:r w:rsidRPr="00706416">
        <w:t>Roberfroid</w:t>
      </w:r>
      <w:proofErr w:type="spellEnd"/>
      <w:r w:rsidRPr="00706416">
        <w:t xml:space="preserve">, M. B. (2005). Introducing inulin-type </w:t>
      </w:r>
      <w:proofErr w:type="spellStart"/>
      <w:r w:rsidRPr="00706416">
        <w:t>fructans</w:t>
      </w:r>
      <w:proofErr w:type="spellEnd"/>
      <w:r w:rsidRPr="00706416">
        <w:t xml:space="preserve">. </w:t>
      </w:r>
      <w:r w:rsidRPr="00706416">
        <w:rPr>
          <w:i/>
          <w:iCs/>
        </w:rPr>
        <w:t>British Journal of Nutrition</w:t>
      </w:r>
      <w:r w:rsidRPr="00706416">
        <w:t xml:space="preserve">, </w:t>
      </w:r>
      <w:r w:rsidRPr="00706416">
        <w:rPr>
          <w:i/>
          <w:iCs/>
        </w:rPr>
        <w:t>93</w:t>
      </w:r>
      <w:r w:rsidRPr="00706416">
        <w:t>(1), 13–25. https://doi.org/10.1079/bjn20041350</w:t>
      </w:r>
    </w:p>
    <w:p w14:paraId="2FD37B94" w14:textId="77777777" w:rsidR="002B2D62" w:rsidRPr="00706416" w:rsidRDefault="002B2D62" w:rsidP="00EC2423">
      <w:pPr>
        <w:ind w:left="630" w:hanging="630"/>
      </w:pPr>
      <w:r w:rsidRPr="00706416">
        <w:t xml:space="preserve">Rocha, D. M. U. P., Caldas, A. P. S., da Silva, B. P., Hermsdorff, H. H. M., &amp; </w:t>
      </w:r>
      <w:proofErr w:type="spellStart"/>
      <w:r w:rsidRPr="00706416">
        <w:t>Alfenas</w:t>
      </w:r>
      <w:proofErr w:type="spellEnd"/>
      <w:r w:rsidRPr="00706416">
        <w:t xml:space="preserve">, R. de C. G. (2018). Effects of blueberry and cranberry consumption on type 2 diabetes glycemic control: A systematic review. </w:t>
      </w:r>
      <w:r w:rsidRPr="00706416">
        <w:rPr>
          <w:i/>
          <w:iCs/>
        </w:rPr>
        <w:t>Critical Reviews in Food Science and Nutrition</w:t>
      </w:r>
      <w:r w:rsidRPr="00706416">
        <w:t xml:space="preserve">, </w:t>
      </w:r>
      <w:r w:rsidRPr="00706416">
        <w:rPr>
          <w:i/>
          <w:iCs/>
        </w:rPr>
        <w:t>59</w:t>
      </w:r>
      <w:r w:rsidRPr="00706416">
        <w:t>(11), 1816–1828. https://doi.org/10.1080/10408398.2018.1430019</w:t>
      </w:r>
    </w:p>
    <w:p w14:paraId="5F38BB70" w14:textId="18D60C3A" w:rsidR="002B2D62" w:rsidRPr="00706416" w:rsidRDefault="002B2D62" w:rsidP="00EC2423">
      <w:pPr>
        <w:ind w:left="630" w:hanging="630"/>
      </w:pPr>
      <w:r w:rsidRPr="00706416">
        <w:t xml:space="preserve">Rosenstock, J., Vico, M., Wei, L., </w:t>
      </w:r>
      <w:proofErr w:type="spellStart"/>
      <w:r w:rsidRPr="00706416">
        <w:t>Salsali</w:t>
      </w:r>
      <w:proofErr w:type="spellEnd"/>
      <w:r w:rsidRPr="00706416">
        <w:t xml:space="preserve">, A., &amp; List, J. F. (2012). Effects of Dapagliflozin, an SGLT2 Inhibitor, on HbA1c, Body Weight, and Hypoglycemia Risk in Patients </w:t>
      </w:r>
      <w:r w:rsidR="00210971" w:rsidRPr="00706416">
        <w:t>with</w:t>
      </w:r>
      <w:r w:rsidRPr="00706416">
        <w:t xml:space="preserve"> Type 2 Diabetes Inadequately Controlled on Pioglitazone Monotherapy. </w:t>
      </w:r>
      <w:r w:rsidRPr="00706416">
        <w:rPr>
          <w:i/>
          <w:iCs/>
        </w:rPr>
        <w:t>Diabetes Care</w:t>
      </w:r>
      <w:r w:rsidRPr="00706416">
        <w:t xml:space="preserve">, </w:t>
      </w:r>
      <w:r w:rsidRPr="00706416">
        <w:rPr>
          <w:i/>
          <w:iCs/>
        </w:rPr>
        <w:t>35</w:t>
      </w:r>
      <w:r w:rsidRPr="00706416">
        <w:t>(7), 1473–1478. https://doi.org/10.2337/dc11-1693</w:t>
      </w:r>
    </w:p>
    <w:p w14:paraId="1E7B91A4" w14:textId="77777777" w:rsidR="002B2D62" w:rsidRPr="00706416" w:rsidRDefault="002B2D62" w:rsidP="00EC2423">
      <w:pPr>
        <w:ind w:left="630" w:hanging="630"/>
      </w:pPr>
      <w:r w:rsidRPr="00706416">
        <w:t xml:space="preserve">Sandhu, A. T., &amp; Zheng, J. (2024). Sodium-Glucose Cotransporter Inhibitors in Heart Failure. </w:t>
      </w:r>
      <w:r w:rsidRPr="00706416">
        <w:rPr>
          <w:i/>
          <w:iCs/>
        </w:rPr>
        <w:t>JACC: Heart Failure</w:t>
      </w:r>
      <w:r w:rsidRPr="00706416">
        <w:t xml:space="preserve">, </w:t>
      </w:r>
      <w:r w:rsidRPr="00706416">
        <w:rPr>
          <w:i/>
          <w:iCs/>
        </w:rPr>
        <w:t>12</w:t>
      </w:r>
      <w:r w:rsidRPr="00706416">
        <w:t>(9), 1611–1613. https://doi.org/10.1016/j.jchf.2024.05.011</w:t>
      </w:r>
    </w:p>
    <w:p w14:paraId="058F0990" w14:textId="77777777" w:rsidR="002B2D62" w:rsidRPr="00706416" w:rsidRDefault="002B2D62" w:rsidP="00EC2423">
      <w:pPr>
        <w:ind w:left="630" w:hanging="630"/>
      </w:pPr>
      <w:proofErr w:type="spellStart"/>
      <w:r w:rsidRPr="00706416">
        <w:t>Scheen</w:t>
      </w:r>
      <w:proofErr w:type="spellEnd"/>
      <w:r w:rsidRPr="00706416">
        <w:t xml:space="preserve">, A. J. (2014). Pharmacodynamics, Efficacy and Safety of Sodium–Glucose Co-Transporter Type 2 (SGLT2) Inhibitors for the Treatment of Type 2 Diabetes Mellitus. </w:t>
      </w:r>
      <w:r w:rsidRPr="00706416">
        <w:rPr>
          <w:i/>
          <w:iCs/>
        </w:rPr>
        <w:t>Drugs</w:t>
      </w:r>
      <w:r w:rsidRPr="00706416">
        <w:t xml:space="preserve">, </w:t>
      </w:r>
      <w:r w:rsidRPr="00706416">
        <w:rPr>
          <w:i/>
          <w:iCs/>
        </w:rPr>
        <w:t>75</w:t>
      </w:r>
      <w:r w:rsidRPr="00706416">
        <w:t>(1), 33–59. https://doi.org/10.1007/s40265-014-0337-y</w:t>
      </w:r>
    </w:p>
    <w:p w14:paraId="5B6E89A4" w14:textId="77777777" w:rsidR="002B2D62" w:rsidRPr="00706416" w:rsidRDefault="002B2D62" w:rsidP="00EC2423">
      <w:pPr>
        <w:ind w:left="630" w:hanging="630"/>
      </w:pPr>
      <w:proofErr w:type="spellStart"/>
      <w:r w:rsidRPr="00706416">
        <w:t>Schrezenmeir</w:t>
      </w:r>
      <w:proofErr w:type="spellEnd"/>
      <w:r w:rsidRPr="00706416">
        <w:t xml:space="preserve">, J., &amp; de </w:t>
      </w:r>
      <w:proofErr w:type="spellStart"/>
      <w:r w:rsidRPr="00706416">
        <w:t>Vrese</w:t>
      </w:r>
      <w:proofErr w:type="spellEnd"/>
      <w:r w:rsidRPr="00706416">
        <w:t xml:space="preserve">, M. (2001). Probiotics, prebiotics, and </w:t>
      </w:r>
      <w:proofErr w:type="spellStart"/>
      <w:r w:rsidRPr="00706416">
        <w:t>synbiotics</w:t>
      </w:r>
      <w:proofErr w:type="spellEnd"/>
      <w:r w:rsidRPr="00706416">
        <w:t xml:space="preserve">—approaching a definition. </w:t>
      </w:r>
      <w:r w:rsidRPr="00706416">
        <w:rPr>
          <w:i/>
          <w:iCs/>
        </w:rPr>
        <w:t>The American Journal of Clinical Nutrition</w:t>
      </w:r>
      <w:r w:rsidRPr="00706416">
        <w:t xml:space="preserve">, </w:t>
      </w:r>
      <w:r w:rsidRPr="00706416">
        <w:rPr>
          <w:i/>
          <w:iCs/>
        </w:rPr>
        <w:t>73</w:t>
      </w:r>
      <w:r w:rsidRPr="00706416">
        <w:t>(2), 361s364s. https://doi.org/10.1093/ajcn/73.2.361s</w:t>
      </w:r>
    </w:p>
    <w:p w14:paraId="3AA3387D" w14:textId="77777777" w:rsidR="002B2D62" w:rsidRPr="00706416" w:rsidRDefault="002B2D62" w:rsidP="00EC2423">
      <w:pPr>
        <w:ind w:left="630" w:hanging="630"/>
      </w:pPr>
      <w:proofErr w:type="spellStart"/>
      <w:r w:rsidRPr="00706416">
        <w:t>Shiraki</w:t>
      </w:r>
      <w:proofErr w:type="spellEnd"/>
      <w:r w:rsidRPr="00706416">
        <w:t xml:space="preserve">, A., Oyama, J., Komoda, H., Asaka, M., Komatsu, A., Sakuma, M., Kodama, K., Sakamoto, Y., </w:t>
      </w:r>
      <w:proofErr w:type="spellStart"/>
      <w:r w:rsidRPr="00706416">
        <w:t>Kotooka</w:t>
      </w:r>
      <w:proofErr w:type="spellEnd"/>
      <w:r w:rsidRPr="00706416">
        <w:t xml:space="preserve">, N., </w:t>
      </w:r>
      <w:proofErr w:type="spellStart"/>
      <w:r w:rsidRPr="00706416">
        <w:t>Hirase</w:t>
      </w:r>
      <w:proofErr w:type="spellEnd"/>
      <w:r w:rsidRPr="00706416">
        <w:t xml:space="preserve">, T., &amp; Node, K. (2012). The glucagon-like peptide 1 analog liraglutide reduces TNF-α-induced oxidative stress and inflammation in endothelial cells. </w:t>
      </w:r>
      <w:r w:rsidRPr="00706416">
        <w:rPr>
          <w:i/>
          <w:iCs/>
        </w:rPr>
        <w:t>Atherosclerosis</w:t>
      </w:r>
      <w:r w:rsidRPr="00706416">
        <w:t xml:space="preserve">, </w:t>
      </w:r>
      <w:r w:rsidRPr="00706416">
        <w:rPr>
          <w:i/>
          <w:iCs/>
        </w:rPr>
        <w:t>221</w:t>
      </w:r>
      <w:r w:rsidRPr="00706416">
        <w:t>(2), 375–382. https://doi.org/10.1016/j.atherosclerosis.2011.12.039</w:t>
      </w:r>
    </w:p>
    <w:p w14:paraId="22BADA12" w14:textId="77777777" w:rsidR="002B2D62" w:rsidRPr="00706416" w:rsidRDefault="002B2D62" w:rsidP="00EC2423">
      <w:pPr>
        <w:ind w:left="630" w:hanging="630"/>
      </w:pPr>
      <w:r w:rsidRPr="00706416">
        <w:t xml:space="preserve">Singh, R., Sharma, P., &amp; Bhardwaj, P. (2016). Administration of lactobacillus casei and bifidobacterium bifidum ameliorated hyperglycemia, dyslipidemia, and oxidative stress in diabetic rats. </w:t>
      </w:r>
      <w:r w:rsidRPr="00706416">
        <w:rPr>
          <w:i/>
          <w:iCs/>
        </w:rPr>
        <w:t>International Journal of Preventive Medicine</w:t>
      </w:r>
      <w:r w:rsidRPr="00706416">
        <w:t xml:space="preserve">, </w:t>
      </w:r>
      <w:r w:rsidRPr="00706416">
        <w:rPr>
          <w:i/>
          <w:iCs/>
        </w:rPr>
        <w:t>7</w:t>
      </w:r>
      <w:r w:rsidRPr="00706416">
        <w:t>(1), 102–102. https://doi.org/10.4103/2008-7802.188870</w:t>
      </w:r>
    </w:p>
    <w:p w14:paraId="754CA307" w14:textId="77777777" w:rsidR="002B2D62" w:rsidRPr="00706416" w:rsidRDefault="002B2D62" w:rsidP="00EC2423">
      <w:pPr>
        <w:ind w:left="630" w:hanging="630"/>
      </w:pPr>
      <w:r w:rsidRPr="00706416">
        <w:t xml:space="preserve">Smith, S. R., de Jonge, L., </w:t>
      </w:r>
      <w:proofErr w:type="spellStart"/>
      <w:r w:rsidRPr="00706416">
        <w:t>Volaufova</w:t>
      </w:r>
      <w:proofErr w:type="spellEnd"/>
      <w:r w:rsidRPr="00706416">
        <w:t xml:space="preserve">, J., Li, Y., Xie, H., &amp; Bray, G. A. (2005). Effect of pioglitazone on body composition and energy expenditure: a randomized controlled trial. </w:t>
      </w:r>
      <w:r w:rsidRPr="00706416">
        <w:rPr>
          <w:i/>
          <w:iCs/>
        </w:rPr>
        <w:t>Metabolism</w:t>
      </w:r>
      <w:r w:rsidRPr="00706416">
        <w:t xml:space="preserve">, </w:t>
      </w:r>
      <w:r w:rsidRPr="00706416">
        <w:rPr>
          <w:i/>
          <w:iCs/>
        </w:rPr>
        <w:t>54</w:t>
      </w:r>
      <w:r w:rsidRPr="00706416">
        <w:t>(1), 24–32. https://doi.org/10.1016/j.metabol.2004.07.008</w:t>
      </w:r>
    </w:p>
    <w:p w14:paraId="1817301E" w14:textId="77777777" w:rsidR="002B2D62" w:rsidRPr="00706416" w:rsidRDefault="002B2D62" w:rsidP="00EC2423">
      <w:pPr>
        <w:ind w:left="630" w:hanging="630"/>
      </w:pPr>
      <w:r w:rsidRPr="00706416">
        <w:t xml:space="preserve">So, J.-S., Kwon, H.-K., Lee, C.-G., Yi, H.-J., Park, Jin-A., Lim, S.-Y., Hwang, K.-C., Jeon, Y. H., &amp; </w:t>
      </w:r>
      <w:proofErr w:type="spellStart"/>
      <w:r w:rsidRPr="00706416">
        <w:t>Im</w:t>
      </w:r>
      <w:proofErr w:type="spellEnd"/>
      <w:r w:rsidRPr="00706416">
        <w:t xml:space="preserve">, S.-H. (2008). Lactobacillus casei suppresses experimental arthritis by down-regulating T helper 1 effector functions. </w:t>
      </w:r>
      <w:r w:rsidRPr="00706416">
        <w:rPr>
          <w:i/>
          <w:iCs/>
        </w:rPr>
        <w:t>Molecular Immunology</w:t>
      </w:r>
      <w:r w:rsidRPr="00706416">
        <w:t xml:space="preserve">, </w:t>
      </w:r>
      <w:r w:rsidRPr="00706416">
        <w:rPr>
          <w:i/>
          <w:iCs/>
        </w:rPr>
        <w:t>45</w:t>
      </w:r>
      <w:r w:rsidRPr="00706416">
        <w:t>(9), 2690–2699. https://doi.org/10.1016/j.molimm.2007.12.010</w:t>
      </w:r>
    </w:p>
    <w:p w14:paraId="4C9DAA04" w14:textId="77777777" w:rsidR="002B2D62" w:rsidRPr="00706416" w:rsidRDefault="002B2D62" w:rsidP="00EC2423">
      <w:pPr>
        <w:ind w:left="630" w:hanging="630"/>
      </w:pPr>
      <w:r w:rsidRPr="00706416">
        <w:t xml:space="preserve">Sola, D., Rossi, L., </w:t>
      </w:r>
      <w:proofErr w:type="spellStart"/>
      <w:r w:rsidRPr="00706416">
        <w:t>Schianca</w:t>
      </w:r>
      <w:proofErr w:type="spellEnd"/>
      <w:r w:rsidRPr="00706416">
        <w:t xml:space="preserve">, G. P. C., Maffioli, P., </w:t>
      </w:r>
      <w:proofErr w:type="spellStart"/>
      <w:r w:rsidRPr="00706416">
        <w:t>Bigliocca</w:t>
      </w:r>
      <w:proofErr w:type="spellEnd"/>
      <w:r w:rsidRPr="00706416">
        <w:t xml:space="preserve">, M., Mella, R., </w:t>
      </w:r>
      <w:proofErr w:type="spellStart"/>
      <w:r w:rsidRPr="00706416">
        <w:t>Corlianò</w:t>
      </w:r>
      <w:proofErr w:type="spellEnd"/>
      <w:r w:rsidRPr="00706416">
        <w:t xml:space="preserve">, F., Fra, G. P., Bartoli, E., &amp; Derosa, G. (2015). Sulfonylureas and Their Use in Clinical Practice. </w:t>
      </w:r>
      <w:r w:rsidRPr="00706416">
        <w:rPr>
          <w:i/>
          <w:iCs/>
        </w:rPr>
        <w:t>Archives of Medical Science</w:t>
      </w:r>
      <w:r w:rsidRPr="00706416">
        <w:t xml:space="preserve">, </w:t>
      </w:r>
      <w:r w:rsidRPr="00706416">
        <w:rPr>
          <w:i/>
          <w:iCs/>
        </w:rPr>
        <w:t>4</w:t>
      </w:r>
      <w:r w:rsidRPr="00706416">
        <w:t>(11), 840–848. https://doi.org/10.5114/aoms.2015.53304</w:t>
      </w:r>
    </w:p>
    <w:p w14:paraId="5790415B" w14:textId="7916CA85" w:rsidR="002B2D62" w:rsidRPr="00706416" w:rsidRDefault="002B2D62" w:rsidP="00EC2423">
      <w:pPr>
        <w:ind w:left="630" w:hanging="630"/>
      </w:pPr>
      <w:r w:rsidRPr="00706416">
        <w:t xml:space="preserve">Sun, H., Saeedi, P., </w:t>
      </w:r>
      <w:proofErr w:type="spellStart"/>
      <w:r w:rsidRPr="00706416">
        <w:t>Karuranga</w:t>
      </w:r>
      <w:proofErr w:type="spellEnd"/>
      <w:r w:rsidRPr="00706416">
        <w:t xml:space="preserve">, S., </w:t>
      </w:r>
      <w:proofErr w:type="spellStart"/>
      <w:r w:rsidRPr="00706416">
        <w:t>Pinkepank</w:t>
      </w:r>
      <w:proofErr w:type="spellEnd"/>
      <w:r w:rsidRPr="00706416">
        <w:t xml:space="preserve">, M., Ogurtsova, K., Duncan, B. B., Stein, C., Basit, A., Chan, J. C. N., </w:t>
      </w:r>
      <w:proofErr w:type="spellStart"/>
      <w:r w:rsidRPr="00706416">
        <w:t>Mbanya</w:t>
      </w:r>
      <w:proofErr w:type="spellEnd"/>
      <w:r w:rsidRPr="00706416">
        <w:t xml:space="preserve">, J. C., Pavkov, M. E., </w:t>
      </w:r>
      <w:proofErr w:type="spellStart"/>
      <w:r w:rsidRPr="00706416">
        <w:t>Ramachandaran</w:t>
      </w:r>
      <w:proofErr w:type="spellEnd"/>
      <w:r w:rsidRPr="00706416">
        <w:t xml:space="preserve">, A., Wild, S. H., James, S., Herman, W. H., Zhang, P., Bommer, C., Kuo, S., Boyko, E. J., &amp; Magliano, D. J. (2021). IDF diabetes Atlas: Global, regional and country-level diabetes prevalence estimates for 2021 and projections for 2045. </w:t>
      </w:r>
      <w:r w:rsidRPr="00706416">
        <w:rPr>
          <w:i/>
          <w:iCs/>
        </w:rPr>
        <w:t>Diabetes Research and Clinical Practice</w:t>
      </w:r>
      <w:r w:rsidRPr="00706416">
        <w:t xml:space="preserve">, </w:t>
      </w:r>
      <w:r w:rsidRPr="00706416">
        <w:rPr>
          <w:i/>
          <w:iCs/>
        </w:rPr>
        <w:t>183</w:t>
      </w:r>
      <w:r w:rsidRPr="00706416">
        <w:t>(</w:t>
      </w:r>
      <w:r w:rsidR="00E468BC">
        <w:t>1</w:t>
      </w:r>
      <w:r w:rsidRPr="00706416">
        <w:t>)</w:t>
      </w:r>
      <w:r w:rsidR="00E468BC">
        <w:t xml:space="preserve">, </w:t>
      </w:r>
      <w:r w:rsidR="00E468BC" w:rsidRPr="00706416">
        <w:t>109</w:t>
      </w:r>
      <w:r w:rsidR="00E468BC">
        <w:t>-</w:t>
      </w:r>
      <w:r w:rsidR="00E468BC" w:rsidRPr="00706416">
        <w:t>119</w:t>
      </w:r>
      <w:r w:rsidR="00E468BC">
        <w:t xml:space="preserve">. </w:t>
      </w:r>
      <w:r w:rsidRPr="00706416">
        <w:t>https://doi.org/10.1016/j.diabres.2021.109119</w:t>
      </w:r>
    </w:p>
    <w:p w14:paraId="54281B18" w14:textId="77777777" w:rsidR="002B2D62" w:rsidRPr="00706416" w:rsidRDefault="002B2D62" w:rsidP="00EC2423">
      <w:pPr>
        <w:ind w:left="630" w:hanging="630"/>
      </w:pPr>
      <w:proofErr w:type="spellStart"/>
      <w:r w:rsidRPr="00706416">
        <w:lastRenderedPageBreak/>
        <w:t>Suthamwong</w:t>
      </w:r>
      <w:proofErr w:type="spellEnd"/>
      <w:r w:rsidRPr="00706416">
        <w:t xml:space="preserve">, P., Minami, M., Okada, T., </w:t>
      </w:r>
      <w:proofErr w:type="spellStart"/>
      <w:r w:rsidRPr="00706416">
        <w:t>Shiwaku</w:t>
      </w:r>
      <w:proofErr w:type="spellEnd"/>
      <w:r w:rsidRPr="00706416">
        <w:t xml:space="preserve">, N., Uesugi, M., </w:t>
      </w:r>
      <w:proofErr w:type="spellStart"/>
      <w:r w:rsidRPr="00706416">
        <w:t>Yokode</w:t>
      </w:r>
      <w:proofErr w:type="spellEnd"/>
      <w:r w:rsidRPr="00706416">
        <w:t xml:space="preserve">, M., &amp; Kamei, K. (2020). Administration of mulberry leaves maintains pancreatic β-cell mass in obese/type 2 diabetes mellitus mouse model. </w:t>
      </w:r>
      <w:r w:rsidRPr="00706416">
        <w:rPr>
          <w:i/>
          <w:iCs/>
        </w:rPr>
        <w:t>BMC Complementary Medicine and Therapies</w:t>
      </w:r>
      <w:r w:rsidRPr="00706416">
        <w:t xml:space="preserve">, </w:t>
      </w:r>
      <w:r w:rsidRPr="00706416">
        <w:rPr>
          <w:i/>
          <w:iCs/>
        </w:rPr>
        <w:t>20</w:t>
      </w:r>
      <w:r w:rsidRPr="00706416">
        <w:t>(1). https://doi.org/10.1186/s12906-020-02933-4</w:t>
      </w:r>
    </w:p>
    <w:p w14:paraId="21A45C29" w14:textId="77777777" w:rsidR="002B2D62" w:rsidRPr="00706416" w:rsidRDefault="002B2D62" w:rsidP="00EC2423">
      <w:pPr>
        <w:ind w:left="630" w:hanging="630"/>
      </w:pPr>
      <w:r w:rsidRPr="00706416">
        <w:t xml:space="preserve">Taylor, A. G., Nowacek, G., Holley-Wilcox, P., &amp; et al. (1984). The relationship between psychological stress and insulin-dependent diabetic blood glucose control: Preliminary investigations. </w:t>
      </w:r>
      <w:r w:rsidRPr="00706416">
        <w:rPr>
          <w:i/>
          <w:iCs/>
        </w:rPr>
        <w:t>Health Psychology</w:t>
      </w:r>
      <w:r w:rsidRPr="00706416">
        <w:t xml:space="preserve">, </w:t>
      </w:r>
      <w:r w:rsidRPr="00706416">
        <w:rPr>
          <w:i/>
          <w:iCs/>
        </w:rPr>
        <w:t>3</w:t>
      </w:r>
      <w:r w:rsidRPr="00706416">
        <w:t>(1), 63–75. https://doi.org/10.1037//0278-6133.3.1.63</w:t>
      </w:r>
    </w:p>
    <w:p w14:paraId="39704EB6" w14:textId="57FA2055" w:rsidR="002B2D62" w:rsidRDefault="002B2D62" w:rsidP="00EC2423">
      <w:pPr>
        <w:ind w:left="630" w:hanging="630"/>
      </w:pPr>
      <w:r w:rsidRPr="00706416">
        <w:t>Taylor, R., Al-</w:t>
      </w:r>
      <w:proofErr w:type="spellStart"/>
      <w:r w:rsidRPr="00706416">
        <w:t>Mrabeh</w:t>
      </w:r>
      <w:proofErr w:type="spellEnd"/>
      <w:r w:rsidRPr="00706416">
        <w:t xml:space="preserve">, A., &amp; Sattar, N. (2019). Understanding the mechanisms of reversal of type 2 diabetes. </w:t>
      </w:r>
      <w:r w:rsidRPr="00706416">
        <w:rPr>
          <w:i/>
          <w:iCs/>
        </w:rPr>
        <w:t>The Lancet Diabetes &amp; Endocrinology</w:t>
      </w:r>
      <w:r w:rsidRPr="00706416">
        <w:t xml:space="preserve">, </w:t>
      </w:r>
      <w:r w:rsidRPr="00706416">
        <w:rPr>
          <w:i/>
          <w:iCs/>
        </w:rPr>
        <w:t>7</w:t>
      </w:r>
      <w:r w:rsidRPr="00706416">
        <w:t xml:space="preserve">(9), 726–736. </w:t>
      </w:r>
      <w:hyperlink r:id="rId21" w:history="1">
        <w:r w:rsidR="004E1632" w:rsidRPr="00C22665">
          <w:rPr>
            <w:rStyle w:val="Hyperlink"/>
          </w:rPr>
          <w:t>https://doi.org/10.1016/s2213-8587(19)30076-2</w:t>
        </w:r>
      </w:hyperlink>
    </w:p>
    <w:p w14:paraId="229A209E" w14:textId="77777777" w:rsidR="004E1632" w:rsidRPr="004E1632" w:rsidRDefault="004E1632" w:rsidP="004E1632">
      <w:pPr>
        <w:ind w:left="630" w:hanging="630"/>
      </w:pPr>
      <w:r w:rsidRPr="004E1632">
        <w:t xml:space="preserve">Taylor, S. I., </w:t>
      </w:r>
      <w:proofErr w:type="spellStart"/>
      <w:r w:rsidRPr="004E1632">
        <w:t>Yazdi</w:t>
      </w:r>
      <w:proofErr w:type="spellEnd"/>
      <w:r w:rsidRPr="004E1632">
        <w:t xml:space="preserve">, Z. S., &amp; </w:t>
      </w:r>
      <w:proofErr w:type="spellStart"/>
      <w:r w:rsidRPr="004E1632">
        <w:t>Beitelshees</w:t>
      </w:r>
      <w:proofErr w:type="spellEnd"/>
      <w:r w:rsidRPr="004E1632">
        <w:t xml:space="preserve">, A. L. (2021). Pharmacological Treatment of Hyperglycemia in Type 2 Diabetes. </w:t>
      </w:r>
      <w:r w:rsidRPr="004E1632">
        <w:rPr>
          <w:i/>
          <w:iCs/>
        </w:rPr>
        <w:t>Journal of Clinical Investigation</w:t>
      </w:r>
      <w:r w:rsidRPr="004E1632">
        <w:t xml:space="preserve">, </w:t>
      </w:r>
      <w:r w:rsidRPr="004E1632">
        <w:rPr>
          <w:i/>
          <w:iCs/>
        </w:rPr>
        <w:t>131</w:t>
      </w:r>
      <w:r w:rsidRPr="004E1632">
        <w:t>(2), 220–225. https://doi.org/10.1172/jci142243</w:t>
      </w:r>
    </w:p>
    <w:p w14:paraId="24887057" w14:textId="77777777" w:rsidR="002B2D62" w:rsidRPr="00706416" w:rsidRDefault="002B2D62" w:rsidP="00EC2423">
      <w:pPr>
        <w:ind w:left="630" w:hanging="630"/>
      </w:pPr>
      <w:bookmarkStart w:id="1" w:name="_GoBack"/>
      <w:bookmarkEnd w:id="1"/>
      <w:proofErr w:type="spellStart"/>
      <w:r w:rsidRPr="00706416">
        <w:t>Tharwat</w:t>
      </w:r>
      <w:proofErr w:type="spellEnd"/>
      <w:r w:rsidRPr="00706416">
        <w:t xml:space="preserve">, S., Ashraf, J., Salam, R., Rashed, L., Hamid, S. E., </w:t>
      </w:r>
      <w:proofErr w:type="spellStart"/>
      <w:r w:rsidRPr="00706416">
        <w:t>Shafy</w:t>
      </w:r>
      <w:proofErr w:type="spellEnd"/>
      <w:r w:rsidRPr="00706416">
        <w:t xml:space="preserve">, S. A., &amp; Shaheen, D. (2017). Effectiveness of Adding Flaxseed to Type 2 Diabetic Patient’s Regimen. </w:t>
      </w:r>
      <w:r w:rsidRPr="00706416">
        <w:rPr>
          <w:i/>
          <w:iCs/>
        </w:rPr>
        <w:t>Endocrinology &amp; Metabolic Syndrome</w:t>
      </w:r>
      <w:r w:rsidRPr="00706416">
        <w:t xml:space="preserve">, </w:t>
      </w:r>
      <w:r w:rsidRPr="00706416">
        <w:rPr>
          <w:i/>
          <w:iCs/>
        </w:rPr>
        <w:t>06</w:t>
      </w:r>
      <w:r w:rsidRPr="00706416">
        <w:t>(03). https://doi.org/10.4172/2161-1017.1000267</w:t>
      </w:r>
    </w:p>
    <w:p w14:paraId="214A7361" w14:textId="77777777" w:rsidR="002B2D62" w:rsidRPr="00706416" w:rsidRDefault="002B2D62" w:rsidP="00EC2423">
      <w:pPr>
        <w:ind w:left="630" w:hanging="630"/>
      </w:pPr>
      <w:r w:rsidRPr="00706416">
        <w:t xml:space="preserve">Tomlinson, B., Patil, N. G., Fok, M., Chan, P., &amp; Lam, C. W. K. (2021). The Role of Sulfonylureas in the Treatment of Type 2 Diabetes. </w:t>
      </w:r>
      <w:r w:rsidRPr="00706416">
        <w:rPr>
          <w:i/>
          <w:iCs/>
        </w:rPr>
        <w:t>Expert Opinion on Pharmacotherapy</w:t>
      </w:r>
      <w:r w:rsidRPr="00706416">
        <w:t xml:space="preserve">, </w:t>
      </w:r>
      <w:r w:rsidRPr="00706416">
        <w:rPr>
          <w:i/>
          <w:iCs/>
        </w:rPr>
        <w:t>23</w:t>
      </w:r>
      <w:r w:rsidRPr="00706416">
        <w:t>(3), 1–17. https://doi.org/10.1080/14656566.2021.1999413</w:t>
      </w:r>
    </w:p>
    <w:p w14:paraId="40390570" w14:textId="77777777" w:rsidR="002B2D62" w:rsidRPr="00706416" w:rsidRDefault="002B2D62" w:rsidP="00EC2423">
      <w:pPr>
        <w:ind w:left="630" w:hanging="630"/>
      </w:pPr>
      <w:proofErr w:type="spellStart"/>
      <w:r w:rsidRPr="00706416">
        <w:t>Tóth</w:t>
      </w:r>
      <w:proofErr w:type="spellEnd"/>
      <w:r w:rsidRPr="00706416">
        <w:t xml:space="preserve">, B., Németh, D., Soós, A., Hegyi, P., Pham-Dobor, G., Varga, O., Varga, V., Kiss, T., </w:t>
      </w:r>
      <w:proofErr w:type="spellStart"/>
      <w:r w:rsidRPr="00706416">
        <w:t>Sarlós</w:t>
      </w:r>
      <w:proofErr w:type="spellEnd"/>
      <w:r w:rsidRPr="00706416">
        <w:t xml:space="preserve">, P., Erőss, B., &amp; Csupor, D. (2019). The Effects of a Fixed Combination of Berberis </w:t>
      </w:r>
      <w:proofErr w:type="spellStart"/>
      <w:r w:rsidRPr="00706416">
        <w:t>aristata</w:t>
      </w:r>
      <w:proofErr w:type="spellEnd"/>
      <w:r w:rsidRPr="00706416">
        <w:t xml:space="preserve"> and </w:t>
      </w:r>
      <w:proofErr w:type="spellStart"/>
      <w:r w:rsidRPr="00706416">
        <w:t>Silybum</w:t>
      </w:r>
      <w:proofErr w:type="spellEnd"/>
      <w:r w:rsidRPr="00706416">
        <w:t xml:space="preserve"> </w:t>
      </w:r>
      <w:proofErr w:type="spellStart"/>
      <w:r w:rsidRPr="00706416">
        <w:t>marianum</w:t>
      </w:r>
      <w:proofErr w:type="spellEnd"/>
      <w:r w:rsidRPr="00706416">
        <w:t xml:space="preserve"> on </w:t>
      </w:r>
      <w:proofErr w:type="spellStart"/>
      <w:r w:rsidRPr="00706416">
        <w:t>Dyslipidaemia</w:t>
      </w:r>
      <w:proofErr w:type="spellEnd"/>
      <w:r w:rsidRPr="00706416">
        <w:t xml:space="preserve"> – A Meta-analysis and Systematic Review. </w:t>
      </w:r>
      <w:r w:rsidRPr="00706416">
        <w:rPr>
          <w:i/>
          <w:iCs/>
        </w:rPr>
        <w:t>Planta Medica</w:t>
      </w:r>
      <w:r w:rsidRPr="00706416">
        <w:t xml:space="preserve">, </w:t>
      </w:r>
      <w:r w:rsidRPr="00706416">
        <w:rPr>
          <w:i/>
          <w:iCs/>
        </w:rPr>
        <w:t>86</w:t>
      </w:r>
      <w:r w:rsidRPr="00706416">
        <w:t>(02), 132–143. https://doi.org/10.1055/a-1063-1649</w:t>
      </w:r>
    </w:p>
    <w:p w14:paraId="6692722D" w14:textId="77777777" w:rsidR="002B2D62" w:rsidRPr="00706416" w:rsidRDefault="002B2D62" w:rsidP="00EC2423">
      <w:pPr>
        <w:ind w:left="630" w:hanging="630"/>
      </w:pPr>
      <w:r w:rsidRPr="00706416">
        <w:t xml:space="preserve">Tyagi, S., Gupta, P., Saini, A. S., Kaushal, C., &amp; Sharma, S. (2011). The peroxisome proliferator-activated receptor: A family of nuclear receptors role in various diseases. </w:t>
      </w:r>
      <w:r w:rsidRPr="00706416">
        <w:rPr>
          <w:i/>
          <w:iCs/>
        </w:rPr>
        <w:t>Journal of Advanced Pharmaceutical Technology &amp; Research</w:t>
      </w:r>
      <w:r w:rsidRPr="00706416">
        <w:t xml:space="preserve">, </w:t>
      </w:r>
      <w:r w:rsidRPr="00706416">
        <w:rPr>
          <w:i/>
          <w:iCs/>
        </w:rPr>
        <w:t>2</w:t>
      </w:r>
      <w:r w:rsidRPr="00706416">
        <w:t>(4), 236–240. https://doi.org/10.4103/2231-4040.90879</w:t>
      </w:r>
    </w:p>
    <w:p w14:paraId="1B33160C" w14:textId="77777777" w:rsidR="002B2D62" w:rsidRPr="00706416" w:rsidRDefault="002B2D62" w:rsidP="00EC2423">
      <w:pPr>
        <w:ind w:left="630" w:hanging="630"/>
      </w:pPr>
      <w:r w:rsidRPr="00706416">
        <w:t xml:space="preserve">Uma </w:t>
      </w:r>
      <w:proofErr w:type="spellStart"/>
      <w:r w:rsidRPr="00706416">
        <w:t>Krishnamurti</w:t>
      </w:r>
      <w:proofErr w:type="spellEnd"/>
      <w:r w:rsidRPr="00706416">
        <w:t xml:space="preserve">, &amp; </w:t>
      </w:r>
      <w:proofErr w:type="spellStart"/>
      <w:r w:rsidRPr="00706416">
        <w:t>Steffes</w:t>
      </w:r>
      <w:proofErr w:type="spellEnd"/>
      <w:r w:rsidRPr="00706416">
        <w:t xml:space="preserve">, M. W. (2001). Glycohemoglobin: A Primary Predictor of the Development or Reversal of Complications of Diabetes Mellitus. </w:t>
      </w:r>
      <w:r w:rsidRPr="00706416">
        <w:rPr>
          <w:i/>
          <w:iCs/>
        </w:rPr>
        <w:t>Clinical Chemistry</w:t>
      </w:r>
      <w:r w:rsidRPr="00706416">
        <w:t xml:space="preserve">, </w:t>
      </w:r>
      <w:r w:rsidRPr="00706416">
        <w:rPr>
          <w:i/>
          <w:iCs/>
        </w:rPr>
        <w:t>47</w:t>
      </w:r>
      <w:r w:rsidRPr="00706416">
        <w:t>(7), 1157–1165. https://doi.org/10.1093/clinchem/47.7.1157</w:t>
      </w:r>
    </w:p>
    <w:p w14:paraId="11E17AD7" w14:textId="77777777" w:rsidR="002B2D62" w:rsidRPr="00706416" w:rsidRDefault="002B2D62" w:rsidP="00EC2423">
      <w:pPr>
        <w:ind w:left="630" w:hanging="630"/>
      </w:pPr>
      <w:proofErr w:type="spellStart"/>
      <w:r w:rsidRPr="00706416">
        <w:t>Unfer</w:t>
      </w:r>
      <w:proofErr w:type="spellEnd"/>
      <w:r w:rsidRPr="00706416">
        <w:t xml:space="preserve">, V., Carlomagno, G., Dante, G., &amp; </w:t>
      </w:r>
      <w:proofErr w:type="spellStart"/>
      <w:r w:rsidRPr="00706416">
        <w:t>Facchinetti</w:t>
      </w:r>
      <w:proofErr w:type="spellEnd"/>
      <w:r w:rsidRPr="00706416">
        <w:t xml:space="preserve">, F. (2012). Effects of myo-inositol in women with PCOS: a systematic review of randomized controlled trials. </w:t>
      </w:r>
      <w:r w:rsidRPr="00706416">
        <w:rPr>
          <w:i/>
          <w:iCs/>
        </w:rPr>
        <w:t>Gynecological Endocrinology</w:t>
      </w:r>
      <w:r w:rsidRPr="00706416">
        <w:t xml:space="preserve">, </w:t>
      </w:r>
      <w:r w:rsidRPr="00706416">
        <w:rPr>
          <w:i/>
          <w:iCs/>
        </w:rPr>
        <w:t>28</w:t>
      </w:r>
      <w:r w:rsidRPr="00706416">
        <w:t>(7), 509–515. https://doi.org/10.3109/09513590.2011.650660</w:t>
      </w:r>
    </w:p>
    <w:p w14:paraId="12325197" w14:textId="77777777" w:rsidR="002B2D62" w:rsidRPr="00706416" w:rsidRDefault="002B2D62" w:rsidP="00EC2423">
      <w:pPr>
        <w:ind w:left="630" w:hanging="630"/>
      </w:pPr>
      <w:proofErr w:type="spellStart"/>
      <w:r w:rsidRPr="00706416">
        <w:t>Uusitupa</w:t>
      </w:r>
      <w:proofErr w:type="spellEnd"/>
      <w:r w:rsidRPr="00706416">
        <w:t xml:space="preserve">, M., Khan, T. A., Viguiliouk, E., Kahleova, H., </w:t>
      </w:r>
      <w:proofErr w:type="spellStart"/>
      <w:r w:rsidRPr="00706416">
        <w:t>Rivellese</w:t>
      </w:r>
      <w:proofErr w:type="spellEnd"/>
      <w:r w:rsidRPr="00706416">
        <w:t xml:space="preserve">, A. A., Hermansen, K., Pfeiffer, A., </w:t>
      </w:r>
      <w:proofErr w:type="spellStart"/>
      <w:r w:rsidRPr="00706416">
        <w:t>Thanopoulou</w:t>
      </w:r>
      <w:proofErr w:type="spellEnd"/>
      <w:r w:rsidRPr="00706416">
        <w:t>, A., Salas-</w:t>
      </w:r>
      <w:proofErr w:type="spellStart"/>
      <w:r w:rsidRPr="00706416">
        <w:t>Salvadó</w:t>
      </w:r>
      <w:proofErr w:type="spellEnd"/>
      <w:r w:rsidRPr="00706416">
        <w:t xml:space="preserve">, J., Schwab, U., &amp; </w:t>
      </w:r>
      <w:proofErr w:type="spellStart"/>
      <w:r w:rsidRPr="00706416">
        <w:t>Sievenpiper</w:t>
      </w:r>
      <w:proofErr w:type="spellEnd"/>
      <w:r w:rsidRPr="00706416">
        <w:t xml:space="preserve">, J. L. (2020). Prevention of Type 2 Diabetes by Lifestyle Changes: </w:t>
      </w:r>
      <w:proofErr w:type="gramStart"/>
      <w:r w:rsidRPr="00706416">
        <w:t>a</w:t>
      </w:r>
      <w:proofErr w:type="gramEnd"/>
      <w:r w:rsidRPr="00706416">
        <w:t xml:space="preserve"> Systematic Review and Meta-Analysis. </w:t>
      </w:r>
      <w:r w:rsidRPr="00706416">
        <w:rPr>
          <w:i/>
          <w:iCs/>
        </w:rPr>
        <w:t>Nutrients</w:t>
      </w:r>
      <w:r w:rsidRPr="00706416">
        <w:t xml:space="preserve">, </w:t>
      </w:r>
      <w:r w:rsidRPr="00706416">
        <w:rPr>
          <w:i/>
          <w:iCs/>
        </w:rPr>
        <w:t>11</w:t>
      </w:r>
      <w:r w:rsidRPr="00706416">
        <w:t>(11), 2611. https://doi.org/10.3390/nu11112611</w:t>
      </w:r>
    </w:p>
    <w:p w14:paraId="2F70CC46" w14:textId="720DB71E" w:rsidR="002B2D62" w:rsidRPr="00706416" w:rsidRDefault="002B2D62" w:rsidP="00EC2423">
      <w:pPr>
        <w:ind w:left="630" w:hanging="630"/>
      </w:pPr>
      <w:proofErr w:type="spellStart"/>
      <w:r w:rsidRPr="00706416">
        <w:t>Vahl</w:t>
      </w:r>
      <w:proofErr w:type="spellEnd"/>
      <w:r w:rsidRPr="00706416">
        <w:t xml:space="preserve">, T. P., Paty, B. W., Fuller, B. D., </w:t>
      </w:r>
      <w:proofErr w:type="spellStart"/>
      <w:r w:rsidRPr="00706416">
        <w:t>Prigeon</w:t>
      </w:r>
      <w:proofErr w:type="spellEnd"/>
      <w:r w:rsidRPr="00706416">
        <w:t>, R. L., &amp; D’Alessio, D. A. (2003). Effects of GLP-1-(7–</w:t>
      </w:r>
      <w:proofErr w:type="gramStart"/>
      <w:r w:rsidRPr="00706416">
        <w:t>36)NH</w:t>
      </w:r>
      <w:proofErr w:type="gramEnd"/>
      <w:r w:rsidRPr="00706416">
        <w:t>2, GLP-1-(7–37), and GLP-1- (9–36)</w:t>
      </w:r>
      <w:r w:rsidR="00E468BC">
        <w:t xml:space="preserve"> </w:t>
      </w:r>
      <w:r w:rsidRPr="00706416">
        <w:t>NH2</w:t>
      </w:r>
      <w:r w:rsidR="00E468BC">
        <w:t xml:space="preserve"> </w:t>
      </w:r>
      <w:r w:rsidRPr="00706416">
        <w:t xml:space="preserve">on Intravenous Glucose Tolerance and Glucose-Induced Insulin Secretion in Healthy Humans. </w:t>
      </w:r>
      <w:r w:rsidRPr="00706416">
        <w:rPr>
          <w:i/>
          <w:iCs/>
        </w:rPr>
        <w:t>The Journal of Clinical Endocrinology &amp; Metabolism</w:t>
      </w:r>
      <w:r w:rsidRPr="00706416">
        <w:t xml:space="preserve">, </w:t>
      </w:r>
      <w:r w:rsidRPr="00706416">
        <w:rPr>
          <w:i/>
          <w:iCs/>
        </w:rPr>
        <w:t>88</w:t>
      </w:r>
      <w:r w:rsidRPr="00706416">
        <w:t>(4), 1772–1779. https://doi.org/10.1210/jc.2002-021479</w:t>
      </w:r>
    </w:p>
    <w:p w14:paraId="155958AC" w14:textId="1336EB45" w:rsidR="002B2D62" w:rsidRPr="00706416" w:rsidRDefault="002B2D62" w:rsidP="00EC2423">
      <w:pPr>
        <w:ind w:left="630" w:hanging="630"/>
      </w:pPr>
      <w:r w:rsidRPr="00706416">
        <w:t xml:space="preserve">Varghese, E., Samuel, S. M., Liskova, A., </w:t>
      </w:r>
      <w:proofErr w:type="spellStart"/>
      <w:r w:rsidRPr="00706416">
        <w:t>Kubatka</w:t>
      </w:r>
      <w:proofErr w:type="spellEnd"/>
      <w:r w:rsidRPr="00706416">
        <w:t xml:space="preserve">, P., &amp; </w:t>
      </w:r>
      <w:proofErr w:type="spellStart"/>
      <w:r w:rsidRPr="00706416">
        <w:t>Büsselberg</w:t>
      </w:r>
      <w:proofErr w:type="spellEnd"/>
      <w:r w:rsidRPr="00706416">
        <w:t xml:space="preserve">, D. (2021). Diabetes and coronavirus (SARS-CoV-2): Molecular mechanism of Metformin intervention and the scientific basis of drug repurposing. </w:t>
      </w:r>
      <w:r w:rsidRPr="00706416">
        <w:rPr>
          <w:i/>
          <w:iCs/>
        </w:rPr>
        <w:t>PLOS Pathogens</w:t>
      </w:r>
      <w:r w:rsidRPr="00706416">
        <w:t xml:space="preserve">, </w:t>
      </w:r>
      <w:r w:rsidRPr="00706416">
        <w:rPr>
          <w:i/>
          <w:iCs/>
        </w:rPr>
        <w:t>17</w:t>
      </w:r>
      <w:r w:rsidRPr="00706416">
        <w:t>(6), 1009634. https://doi.org/10.1371/journal.ppat.1009634</w:t>
      </w:r>
    </w:p>
    <w:p w14:paraId="1FAB7DA7" w14:textId="539716CE" w:rsidR="002B2D62" w:rsidRPr="00706416" w:rsidRDefault="002B2D62" w:rsidP="00EC2423">
      <w:pPr>
        <w:ind w:left="630" w:hanging="630"/>
      </w:pPr>
      <w:r w:rsidRPr="00706416">
        <w:t xml:space="preserve">Vieira, I. H., Barros, L. M., Baptista, C. F., Rodrigues, D. M., &amp; Paiva, I. M. (2021). Recommendations for Practical Use of Metformin, a Central Pharmacological </w:t>
      </w:r>
      <w:r w:rsidRPr="00706416">
        <w:lastRenderedPageBreak/>
        <w:t xml:space="preserve">Therapy in Type 2 Diabetes. </w:t>
      </w:r>
      <w:r w:rsidRPr="00706416">
        <w:rPr>
          <w:i/>
          <w:iCs/>
        </w:rPr>
        <w:t>Clinical Diabetes</w:t>
      </w:r>
      <w:r w:rsidRPr="00706416">
        <w:t xml:space="preserve">, </w:t>
      </w:r>
      <w:r w:rsidRPr="00706416">
        <w:rPr>
          <w:i/>
          <w:iCs/>
        </w:rPr>
        <w:t>40</w:t>
      </w:r>
      <w:r w:rsidRPr="00706416">
        <w:t>(1), 210043. https://doi.org/10.2337/cd21-0043</w:t>
      </w:r>
    </w:p>
    <w:p w14:paraId="110027DE" w14:textId="77777777" w:rsidR="002B2D62" w:rsidRPr="00706416" w:rsidRDefault="002B2D62" w:rsidP="00EC2423">
      <w:pPr>
        <w:ind w:left="630" w:hanging="630"/>
      </w:pPr>
      <w:proofErr w:type="spellStart"/>
      <w:r w:rsidRPr="00706416">
        <w:t>Vitagliano</w:t>
      </w:r>
      <w:proofErr w:type="spellEnd"/>
      <w:r w:rsidRPr="00706416">
        <w:t xml:space="preserve">, A., Saccone, G., Cosmi, E., Visentin, S., </w:t>
      </w:r>
      <w:proofErr w:type="spellStart"/>
      <w:r w:rsidRPr="00706416">
        <w:t>Dessole</w:t>
      </w:r>
      <w:proofErr w:type="spellEnd"/>
      <w:r w:rsidRPr="00706416">
        <w:t xml:space="preserve">, F., Ambrosini, G., &amp; </w:t>
      </w:r>
      <w:proofErr w:type="spellStart"/>
      <w:r w:rsidRPr="00706416">
        <w:t>Berghella</w:t>
      </w:r>
      <w:proofErr w:type="spellEnd"/>
      <w:r w:rsidRPr="00706416">
        <w:t xml:space="preserve">, V. (2018). Inositol for the prevention of gestational diabetes: a systematic review and meta-analysis of randomized controlled trials. </w:t>
      </w:r>
      <w:r w:rsidRPr="00706416">
        <w:rPr>
          <w:i/>
          <w:iCs/>
        </w:rPr>
        <w:t>Archives of Gynecology and Obstetrics</w:t>
      </w:r>
      <w:r w:rsidRPr="00706416">
        <w:t xml:space="preserve">, </w:t>
      </w:r>
      <w:r w:rsidRPr="00706416">
        <w:rPr>
          <w:i/>
          <w:iCs/>
        </w:rPr>
        <w:t>299</w:t>
      </w:r>
      <w:r w:rsidRPr="00706416">
        <w:t>(1), 55–68. https://doi.org/10.1007/s00404-018-5005-0</w:t>
      </w:r>
    </w:p>
    <w:p w14:paraId="4E062BF7" w14:textId="77777777" w:rsidR="002B2D62" w:rsidRPr="00706416" w:rsidRDefault="002B2D62" w:rsidP="00EC2423">
      <w:pPr>
        <w:ind w:left="630" w:hanging="630"/>
      </w:pPr>
      <w:r w:rsidRPr="00706416">
        <w:t xml:space="preserve">Wang, J.-S., Huang, C.-N., Hung, Y.-J., Kwok, C.-F., Sun, J.-H., Pei, D., Yang, C.-Y., Chen, C.-C., Lin, C.-L., &amp; Sheu, W. H.-H. (2013). Acarbose plus metformin fixed-dose combination outperforms acarbose monotherapy for type 2 diabetes. </w:t>
      </w:r>
      <w:r w:rsidRPr="00706416">
        <w:rPr>
          <w:i/>
          <w:iCs/>
        </w:rPr>
        <w:t>Diabetes Research and Clinical Practice</w:t>
      </w:r>
      <w:r w:rsidRPr="00706416">
        <w:t xml:space="preserve">, </w:t>
      </w:r>
      <w:r w:rsidRPr="00706416">
        <w:rPr>
          <w:i/>
          <w:iCs/>
        </w:rPr>
        <w:t>102</w:t>
      </w:r>
      <w:r w:rsidRPr="00706416">
        <w:t>(1), 16–24. https://doi.org/10.1016/j.diabres.2013.08.001</w:t>
      </w:r>
    </w:p>
    <w:p w14:paraId="5DD18509" w14:textId="77777777" w:rsidR="002B2D62" w:rsidRPr="00706416" w:rsidRDefault="002B2D62" w:rsidP="00EC2423">
      <w:pPr>
        <w:ind w:left="630" w:hanging="630"/>
      </w:pPr>
      <w:r w:rsidRPr="00706416">
        <w:t xml:space="preserve">Wang, W., Zhou, X., Joey, N. A., Li, L., Li, Y., &amp; Sun, X. (2017). Efficacy and safety of thiazolidinediones in diabetes patients with renal impairment: a systematic review and meta-analysis. </w:t>
      </w:r>
      <w:r w:rsidRPr="00706416">
        <w:rPr>
          <w:i/>
          <w:iCs/>
        </w:rPr>
        <w:t>Scientific Reports</w:t>
      </w:r>
      <w:r w:rsidRPr="00706416">
        <w:t xml:space="preserve">, </w:t>
      </w:r>
      <w:r w:rsidRPr="00706416">
        <w:rPr>
          <w:i/>
          <w:iCs/>
        </w:rPr>
        <w:t>7</w:t>
      </w:r>
      <w:r w:rsidRPr="00706416">
        <w:t>(1). https://doi.org/10.1038/s41598-017-01965-0</w:t>
      </w:r>
    </w:p>
    <w:p w14:paraId="49E99019" w14:textId="77777777" w:rsidR="002B2D62" w:rsidRPr="00706416" w:rsidRDefault="002B2D62" w:rsidP="00EC2423">
      <w:pPr>
        <w:ind w:left="630" w:hanging="630"/>
      </w:pPr>
      <w:proofErr w:type="spellStart"/>
      <w:r w:rsidRPr="00706416">
        <w:t>Weickert</w:t>
      </w:r>
      <w:proofErr w:type="spellEnd"/>
      <w:r w:rsidRPr="00706416">
        <w:t xml:space="preserve">, M. O., &amp; Pfeiffer, A. F. H. (2008). Metabolic Effects of Dietary Fiber Consumption and Prevention of Diabetes. </w:t>
      </w:r>
      <w:r w:rsidRPr="00706416">
        <w:rPr>
          <w:i/>
          <w:iCs/>
        </w:rPr>
        <w:t>The Journal of Nutrition</w:t>
      </w:r>
      <w:r w:rsidRPr="00706416">
        <w:t xml:space="preserve">, </w:t>
      </w:r>
      <w:r w:rsidRPr="00706416">
        <w:rPr>
          <w:i/>
          <w:iCs/>
        </w:rPr>
        <w:t>138</w:t>
      </w:r>
      <w:r w:rsidRPr="00706416">
        <w:t>(3), 439–442. https://doi.org/10.1093/jn/138.3.439</w:t>
      </w:r>
    </w:p>
    <w:p w14:paraId="2049E327" w14:textId="77777777" w:rsidR="002B2D62" w:rsidRPr="00706416" w:rsidRDefault="002B2D62" w:rsidP="00EC2423">
      <w:pPr>
        <w:ind w:left="630" w:hanging="630"/>
      </w:pPr>
      <w:r w:rsidRPr="00706416">
        <w:t xml:space="preserve">Weir, G. C. (2019). Glucolipotoxicity, β-Cells, and Diabetes: The Emperor Has No Clothes. </w:t>
      </w:r>
      <w:r w:rsidRPr="00706416">
        <w:rPr>
          <w:i/>
          <w:iCs/>
        </w:rPr>
        <w:t>Diabetes</w:t>
      </w:r>
      <w:r w:rsidRPr="00706416">
        <w:t xml:space="preserve">, </w:t>
      </w:r>
      <w:r w:rsidRPr="00706416">
        <w:rPr>
          <w:i/>
          <w:iCs/>
        </w:rPr>
        <w:t>69</w:t>
      </w:r>
      <w:r w:rsidRPr="00706416">
        <w:t>(3), db190138. https://doi.org/10.2337/db19-0138</w:t>
      </w:r>
    </w:p>
    <w:p w14:paraId="4D9C215D" w14:textId="77777777" w:rsidR="002B2D62" w:rsidRPr="00706416" w:rsidRDefault="002B2D62" w:rsidP="00EC2423">
      <w:pPr>
        <w:ind w:left="630" w:hanging="630"/>
      </w:pPr>
      <w:proofErr w:type="spellStart"/>
      <w:r w:rsidRPr="00706416">
        <w:t>Woting</w:t>
      </w:r>
      <w:proofErr w:type="spellEnd"/>
      <w:r w:rsidRPr="00706416">
        <w:t xml:space="preserve">, A., &amp; Blaut, M. (2016). The Intestinal Microbiota in Metabolic Disease. </w:t>
      </w:r>
      <w:r w:rsidRPr="00706416">
        <w:rPr>
          <w:i/>
          <w:iCs/>
        </w:rPr>
        <w:t>Nutrients</w:t>
      </w:r>
      <w:r w:rsidRPr="00706416">
        <w:t xml:space="preserve">, </w:t>
      </w:r>
      <w:r w:rsidRPr="00706416">
        <w:rPr>
          <w:i/>
          <w:iCs/>
        </w:rPr>
        <w:t>8</w:t>
      </w:r>
      <w:r w:rsidRPr="00706416">
        <w:t>(4), 202. https://doi.org/10.3390/nu8040202</w:t>
      </w:r>
    </w:p>
    <w:p w14:paraId="79B8D096" w14:textId="77777777" w:rsidR="002B2D62" w:rsidRPr="00706416" w:rsidRDefault="002B2D62" w:rsidP="00EC2423">
      <w:pPr>
        <w:ind w:left="630" w:hanging="630"/>
      </w:pPr>
      <w:proofErr w:type="spellStart"/>
      <w:r w:rsidRPr="00706416">
        <w:t>Xie</w:t>
      </w:r>
      <w:proofErr w:type="spellEnd"/>
      <w:r w:rsidRPr="00706416">
        <w:t xml:space="preserve">, X., Wu, C., Hao, Y., Wang, T., Yang, Y., Cai, P., Zhang, Y., Huang, J., Deng, K., Yan, D., &amp; Lin, H. (2023). Benefits and risks of drug combination therapy for diabetes mellitus and its complications: a comprehensive review. </w:t>
      </w:r>
      <w:r w:rsidRPr="00706416">
        <w:rPr>
          <w:i/>
          <w:iCs/>
        </w:rPr>
        <w:t>Frontiers in Endocrinology</w:t>
      </w:r>
      <w:r w:rsidRPr="00706416">
        <w:t xml:space="preserve">, </w:t>
      </w:r>
      <w:r w:rsidRPr="00706416">
        <w:rPr>
          <w:i/>
          <w:iCs/>
        </w:rPr>
        <w:t>14</w:t>
      </w:r>
      <w:r w:rsidRPr="00706416">
        <w:t>(14), 1301093. https://doi.org/10.3389/fendo.2023.1301093</w:t>
      </w:r>
    </w:p>
    <w:p w14:paraId="42270899" w14:textId="77777777" w:rsidR="002B2D62" w:rsidRPr="00706416" w:rsidRDefault="002B2D62" w:rsidP="00EC2423">
      <w:pPr>
        <w:ind w:left="630" w:hanging="630"/>
      </w:pPr>
      <w:r w:rsidRPr="00706416">
        <w:t xml:space="preserve">Yan, C., Zhong, L., Ng, H. S., Goh, K. S., &amp; Zhao, Y. (2024). Managing Type 2 Diabetes Mellitus via the Regulation of Gut Microbiota: A Chinese Medicine Perspective. </w:t>
      </w:r>
      <w:r w:rsidRPr="00706416">
        <w:rPr>
          <w:i/>
          <w:iCs/>
        </w:rPr>
        <w:t>Nutrients</w:t>
      </w:r>
      <w:r w:rsidRPr="00706416">
        <w:t xml:space="preserve">, </w:t>
      </w:r>
      <w:r w:rsidRPr="00706416">
        <w:rPr>
          <w:i/>
          <w:iCs/>
        </w:rPr>
        <w:t>16</w:t>
      </w:r>
      <w:r w:rsidRPr="00706416">
        <w:t>(22), 3935–3935. https://doi.org/10.3390/nu16223935</w:t>
      </w:r>
    </w:p>
    <w:p w14:paraId="6E81A408" w14:textId="77777777" w:rsidR="002B2D62" w:rsidRPr="00706416" w:rsidRDefault="002B2D62" w:rsidP="00EC2423">
      <w:pPr>
        <w:ind w:left="630" w:hanging="630"/>
      </w:pPr>
      <w:r w:rsidRPr="00706416">
        <w:t xml:space="preserve">Yao, B., Fang, H., Xu, W., Yan, Y., Xu, H., Liu, Y., Mo, M., Zhang, H., &amp; Zhao, Y. (2014). Dietary fiber intake and risk of type 2 diabetes: a dose–response analysis of prospective studies. </w:t>
      </w:r>
      <w:r w:rsidRPr="00706416">
        <w:rPr>
          <w:i/>
          <w:iCs/>
        </w:rPr>
        <w:t>European Journal of Epidemiology</w:t>
      </w:r>
      <w:r w:rsidRPr="00706416">
        <w:t xml:space="preserve">, </w:t>
      </w:r>
      <w:r w:rsidRPr="00706416">
        <w:rPr>
          <w:i/>
          <w:iCs/>
        </w:rPr>
        <w:t>29</w:t>
      </w:r>
      <w:r w:rsidRPr="00706416">
        <w:t>(2), 79–88. https://doi.org/10.1007/s10654-013-9876-x</w:t>
      </w:r>
    </w:p>
    <w:p w14:paraId="7E7EA78F" w14:textId="77777777" w:rsidR="002B2D62" w:rsidRPr="00706416" w:rsidRDefault="002B2D62" w:rsidP="00EC2423">
      <w:pPr>
        <w:ind w:left="630" w:hanging="630"/>
      </w:pPr>
      <w:proofErr w:type="spellStart"/>
      <w:r w:rsidRPr="00706416">
        <w:t>Yki-Järvinen</w:t>
      </w:r>
      <w:proofErr w:type="spellEnd"/>
      <w:r w:rsidRPr="00706416">
        <w:t xml:space="preserve">, H. (2004). Thiazolidinediones. </w:t>
      </w:r>
      <w:r w:rsidRPr="00706416">
        <w:rPr>
          <w:i/>
          <w:iCs/>
        </w:rPr>
        <w:t>New England Journal of Medicine</w:t>
      </w:r>
      <w:r w:rsidRPr="00706416">
        <w:t xml:space="preserve">, </w:t>
      </w:r>
      <w:r w:rsidRPr="00706416">
        <w:rPr>
          <w:i/>
          <w:iCs/>
        </w:rPr>
        <w:t>351</w:t>
      </w:r>
      <w:r w:rsidRPr="00706416">
        <w:t>(11), 1106–1118. https://doi.org/10.1056/nejmra041001</w:t>
      </w:r>
    </w:p>
    <w:p w14:paraId="5BEF2570" w14:textId="11FCB112" w:rsidR="002B2D62" w:rsidRPr="00706416" w:rsidRDefault="002B2D62" w:rsidP="00EC2423">
      <w:pPr>
        <w:ind w:left="630" w:hanging="630"/>
      </w:pPr>
      <w:r w:rsidRPr="00706416">
        <w:t xml:space="preserve">Yun, J.-S., &amp; Ko, S.-H. (2021). Current trends in epidemiology of cardiovascular disease and cardiovascular risk management in type 2 diabetes. </w:t>
      </w:r>
      <w:r w:rsidRPr="00706416">
        <w:rPr>
          <w:i/>
          <w:iCs/>
        </w:rPr>
        <w:t>Metabolism</w:t>
      </w:r>
      <w:r w:rsidR="00E468BC">
        <w:rPr>
          <w:i/>
          <w:iCs/>
        </w:rPr>
        <w:t>.</w:t>
      </w:r>
      <w:r w:rsidRPr="00706416">
        <w:t xml:space="preserve"> </w:t>
      </w:r>
      <w:r w:rsidRPr="00706416">
        <w:rPr>
          <w:i/>
          <w:iCs/>
        </w:rPr>
        <w:t>123</w:t>
      </w:r>
      <w:r w:rsidRPr="00706416">
        <w:t>, 154838. https://doi.org/10.1016/j.metabol.2021.154838</w:t>
      </w:r>
    </w:p>
    <w:p w14:paraId="007C29B6" w14:textId="77777777" w:rsidR="002B2D62" w:rsidRPr="00706416" w:rsidRDefault="002B2D62" w:rsidP="00EC2423">
      <w:pPr>
        <w:ind w:left="630" w:hanging="630"/>
      </w:pPr>
      <w:r w:rsidRPr="00706416">
        <w:t xml:space="preserve">Zhang, R., Yao, Y., Wang, Y., &amp; Ren, G. (2011). Antidiabetic activity of </w:t>
      </w:r>
      <w:proofErr w:type="spellStart"/>
      <w:r w:rsidRPr="00706416">
        <w:t>isoquercetin</w:t>
      </w:r>
      <w:proofErr w:type="spellEnd"/>
      <w:r w:rsidRPr="00706416">
        <w:t xml:space="preserve"> in diabetic KK -Ay mice. </w:t>
      </w:r>
      <w:r w:rsidRPr="00706416">
        <w:rPr>
          <w:i/>
          <w:iCs/>
        </w:rPr>
        <w:t>Nutrition &amp; Metabolism</w:t>
      </w:r>
      <w:r w:rsidRPr="00706416">
        <w:t xml:space="preserve">, </w:t>
      </w:r>
      <w:r w:rsidRPr="00706416">
        <w:rPr>
          <w:i/>
          <w:iCs/>
        </w:rPr>
        <w:t>8</w:t>
      </w:r>
      <w:r w:rsidRPr="00706416">
        <w:t>(1). https://doi.org/10.1186/1743-7075-8-85</w:t>
      </w:r>
    </w:p>
    <w:p w14:paraId="3658CD6F" w14:textId="77777777" w:rsidR="002B2D62" w:rsidRPr="00706416" w:rsidRDefault="002B2D62" w:rsidP="00EC2423">
      <w:pPr>
        <w:ind w:left="630" w:hanging="630"/>
      </w:pPr>
      <w:r w:rsidRPr="00706416">
        <w:t xml:space="preserve">Zhang, Y., Gu, Y., Ren, H., Wang, S., Zhong, H., Zhao, X., Ma, J., Gu, X., Xue, Y., Huang, S., Yang, J., Chen, L., Chen, G., Qu, S., Liang, J., Qin, L., Huang, Q., Peng, Y., Li, Q., &amp; Wang, X. (2020). Gut microbiome-related effects of berberine and probiotics on type 2 diabetes (the PREMOTE study). </w:t>
      </w:r>
      <w:r w:rsidRPr="00706416">
        <w:rPr>
          <w:i/>
          <w:iCs/>
        </w:rPr>
        <w:t>Nature Communications</w:t>
      </w:r>
      <w:r w:rsidRPr="00706416">
        <w:t xml:space="preserve">, </w:t>
      </w:r>
      <w:r w:rsidRPr="00706416">
        <w:rPr>
          <w:i/>
          <w:iCs/>
        </w:rPr>
        <w:t>11</w:t>
      </w:r>
      <w:r w:rsidRPr="00706416">
        <w:t>(1). https://doi.org/10.1038/s41467-020-18414-8</w:t>
      </w:r>
    </w:p>
    <w:p w14:paraId="07CDFC83" w14:textId="77777777" w:rsidR="002B2D62" w:rsidRPr="00706416" w:rsidRDefault="002B2D62" w:rsidP="00EC2423">
      <w:pPr>
        <w:ind w:left="630" w:hanging="630"/>
      </w:pPr>
      <w:r w:rsidRPr="00706416">
        <w:t xml:space="preserve">Zhang, Y., Li, X., Zou, D., Liu, W., Yang, J., Zhu, N., Huo, L., Wang, M., Hong, J., Wu, P., Ren, G., &amp; Ning, G. (2008). Treatment of Type 2 Diabetes and Dyslipidemia with the Natural Plant Alkaloid Berberine. </w:t>
      </w:r>
      <w:r w:rsidRPr="00706416">
        <w:rPr>
          <w:i/>
          <w:iCs/>
        </w:rPr>
        <w:t>The Journal of Clinical Endocrinology &amp; Metabolism</w:t>
      </w:r>
      <w:r w:rsidRPr="00706416">
        <w:t xml:space="preserve">, </w:t>
      </w:r>
      <w:r w:rsidRPr="00706416">
        <w:rPr>
          <w:i/>
          <w:iCs/>
        </w:rPr>
        <w:t>93</w:t>
      </w:r>
      <w:r w:rsidRPr="00706416">
        <w:t>(7), 2559–2565. https://doi.org/10.1210/jc.2007-2404</w:t>
      </w:r>
    </w:p>
    <w:p w14:paraId="045CDCB9" w14:textId="77777777" w:rsidR="002B2D62" w:rsidRPr="00706416" w:rsidRDefault="002B2D62" w:rsidP="00EC2423">
      <w:pPr>
        <w:ind w:left="630" w:hanging="630"/>
      </w:pPr>
      <w:r w:rsidRPr="00706416">
        <w:t xml:space="preserve">Zheng, Y., Ley, S. H., &amp; Hu, F. B. (2018). Global </w:t>
      </w:r>
      <w:proofErr w:type="spellStart"/>
      <w:r w:rsidRPr="00706416">
        <w:t>Aetiology</w:t>
      </w:r>
      <w:proofErr w:type="spellEnd"/>
      <w:r w:rsidRPr="00706416">
        <w:t xml:space="preserve"> and Epidemiology of Type 2 Diabetes Mellitus and Its Complications. </w:t>
      </w:r>
      <w:r w:rsidRPr="00706416">
        <w:rPr>
          <w:i/>
          <w:iCs/>
        </w:rPr>
        <w:t>Nature Reviews Endocrinology</w:t>
      </w:r>
      <w:r w:rsidRPr="00706416">
        <w:t xml:space="preserve">, </w:t>
      </w:r>
      <w:r w:rsidRPr="00706416">
        <w:rPr>
          <w:i/>
          <w:iCs/>
        </w:rPr>
        <w:t>14</w:t>
      </w:r>
      <w:r w:rsidRPr="00706416">
        <w:t>(2), 88–98. https://doi.org/10.1038/nrendo.2017.151</w:t>
      </w:r>
    </w:p>
    <w:p w14:paraId="798C6258" w14:textId="77777777" w:rsidR="002B2D62" w:rsidRDefault="002B2D62" w:rsidP="002B2D62">
      <w:pPr>
        <w:ind w:left="630" w:hanging="630"/>
      </w:pPr>
      <w:r w:rsidRPr="00706416">
        <w:lastRenderedPageBreak/>
        <w:t xml:space="preserve">Zhou, Z., Sun, B., Yu, D., &amp; Zhu, C. (2022). Gut Microbiota: An Important Player in Type 2 Diabetes Mellitus. </w:t>
      </w:r>
      <w:r w:rsidRPr="00706416">
        <w:rPr>
          <w:i/>
          <w:iCs/>
        </w:rPr>
        <w:t>Frontiers in Cellular and Infection Microbiology</w:t>
      </w:r>
      <w:r w:rsidRPr="00706416">
        <w:t xml:space="preserve">, </w:t>
      </w:r>
      <w:r w:rsidRPr="00706416">
        <w:rPr>
          <w:i/>
          <w:iCs/>
        </w:rPr>
        <w:t>12</w:t>
      </w:r>
      <w:r w:rsidRPr="00706416">
        <w:t xml:space="preserve">. </w:t>
      </w:r>
      <w:hyperlink r:id="rId22" w:history="1">
        <w:r w:rsidRPr="00C22665">
          <w:rPr>
            <w:rStyle w:val="Hyperlink"/>
          </w:rPr>
          <w:t>https://doi.org/10.3389/fcimb.2022.834485</w:t>
        </w:r>
      </w:hyperlink>
    </w:p>
    <w:sectPr w:rsidR="002B2D62" w:rsidSect="000D5CD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46ED2" w14:textId="77777777" w:rsidR="00A33418" w:rsidRDefault="00A33418" w:rsidP="00C37E61">
      <w:r>
        <w:separator/>
      </w:r>
    </w:p>
  </w:endnote>
  <w:endnote w:type="continuationSeparator" w:id="0">
    <w:p w14:paraId="479707C8" w14:textId="77777777" w:rsidR="00A33418" w:rsidRDefault="00A334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0000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2749" w14:textId="77777777" w:rsidR="002C3DEC" w:rsidRDefault="002C3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7E8A8" w14:textId="77777777" w:rsidR="002C3DEC" w:rsidRDefault="002C3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0E32" w14:textId="1385123A" w:rsidR="002C3DEC" w:rsidRPr="000D5CD7" w:rsidRDefault="002C3DEC" w:rsidP="000D5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774DB" w14:textId="77777777" w:rsidR="00A33418" w:rsidRDefault="00A33418" w:rsidP="00C37E61">
      <w:r>
        <w:separator/>
      </w:r>
    </w:p>
  </w:footnote>
  <w:footnote w:type="continuationSeparator" w:id="0">
    <w:p w14:paraId="5653285E" w14:textId="77777777" w:rsidR="00A33418" w:rsidRDefault="00A334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C45A" w14:textId="60302B05" w:rsidR="002C3DEC" w:rsidRDefault="00A33418">
    <w:pPr>
      <w:pStyle w:val="Header"/>
    </w:pPr>
    <w:r>
      <w:rPr>
        <w:noProof/>
      </w:rPr>
      <w:pict w14:anchorId="19800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2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31DF" w14:textId="2F45601D" w:rsidR="002C3DEC" w:rsidRDefault="00A33418">
    <w:pPr>
      <w:pStyle w:val="Header"/>
    </w:pPr>
    <w:r>
      <w:rPr>
        <w:noProof/>
      </w:rPr>
      <w:pict w14:anchorId="0E10A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2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6FC97" w14:textId="530BE927" w:rsidR="002C3DEC" w:rsidRPr="00296529" w:rsidRDefault="00A33418" w:rsidP="00296529">
    <w:pPr>
      <w:ind w:left="2160"/>
      <w:jc w:val="center"/>
      <w:rPr>
        <w:rFonts w:ascii="Times New Roman" w:eastAsia="Calibri" w:hAnsi="Times New Roman"/>
        <w:i/>
        <w:sz w:val="18"/>
        <w:szCs w:val="22"/>
      </w:rPr>
    </w:pPr>
    <w:r>
      <w:rPr>
        <w:noProof/>
      </w:rPr>
      <w:pict w14:anchorId="2D9F4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2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54D264" w14:textId="77777777" w:rsidR="002C3DEC" w:rsidRPr="00296529" w:rsidRDefault="002C3DE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918469B" w14:textId="77777777" w:rsidR="002C3DEC" w:rsidRPr="00296529" w:rsidRDefault="002C3DE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599806" w14:textId="77777777" w:rsidR="002C3DEC" w:rsidRPr="00296529" w:rsidRDefault="002C3DE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2A17B6" w14:textId="77777777" w:rsidR="002C3DEC" w:rsidRDefault="002C3DE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DC92C9" w14:textId="77777777" w:rsidR="002C3DEC" w:rsidRDefault="002C3DE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F7F1A1" w14:textId="77777777" w:rsidR="002C3DEC" w:rsidRDefault="002C3DE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31492"/>
    <w:multiLevelType w:val="multilevel"/>
    <w:tmpl w:val="B0CAE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98D"/>
    <w:rsid w:val="0004579C"/>
    <w:rsid w:val="000A47FA"/>
    <w:rsid w:val="000A65D3"/>
    <w:rsid w:val="000B1E33"/>
    <w:rsid w:val="000B5C4E"/>
    <w:rsid w:val="000D5CD7"/>
    <w:rsid w:val="000D689F"/>
    <w:rsid w:val="000E7B7B"/>
    <w:rsid w:val="000E7D62"/>
    <w:rsid w:val="000F17EE"/>
    <w:rsid w:val="00103357"/>
    <w:rsid w:val="00123C9F"/>
    <w:rsid w:val="00126190"/>
    <w:rsid w:val="00130F17"/>
    <w:rsid w:val="001320BF"/>
    <w:rsid w:val="00163BC4"/>
    <w:rsid w:val="00191062"/>
    <w:rsid w:val="00192B72"/>
    <w:rsid w:val="001A150E"/>
    <w:rsid w:val="001A29D8"/>
    <w:rsid w:val="001A5CAA"/>
    <w:rsid w:val="001B0427"/>
    <w:rsid w:val="001C36AB"/>
    <w:rsid w:val="001D3A51"/>
    <w:rsid w:val="001E10D2"/>
    <w:rsid w:val="001E25B4"/>
    <w:rsid w:val="001E44FE"/>
    <w:rsid w:val="00200595"/>
    <w:rsid w:val="00204835"/>
    <w:rsid w:val="00210971"/>
    <w:rsid w:val="00231920"/>
    <w:rsid w:val="0023195C"/>
    <w:rsid w:val="0024282C"/>
    <w:rsid w:val="002460DC"/>
    <w:rsid w:val="00250985"/>
    <w:rsid w:val="002556F6"/>
    <w:rsid w:val="00283105"/>
    <w:rsid w:val="00284C4C"/>
    <w:rsid w:val="00287E68"/>
    <w:rsid w:val="00292502"/>
    <w:rsid w:val="00296529"/>
    <w:rsid w:val="002B27FB"/>
    <w:rsid w:val="002B2D62"/>
    <w:rsid w:val="002B685A"/>
    <w:rsid w:val="002C3DEC"/>
    <w:rsid w:val="002C57D2"/>
    <w:rsid w:val="002E0D56"/>
    <w:rsid w:val="00315186"/>
    <w:rsid w:val="0033343E"/>
    <w:rsid w:val="003460D2"/>
    <w:rsid w:val="003512C2"/>
    <w:rsid w:val="00371FB6"/>
    <w:rsid w:val="003763C1"/>
    <w:rsid w:val="00376BBE"/>
    <w:rsid w:val="0039224F"/>
    <w:rsid w:val="003A43A4"/>
    <w:rsid w:val="003A7E18"/>
    <w:rsid w:val="003C4C86"/>
    <w:rsid w:val="003C6258"/>
    <w:rsid w:val="003E2904"/>
    <w:rsid w:val="00401927"/>
    <w:rsid w:val="0041027F"/>
    <w:rsid w:val="00412475"/>
    <w:rsid w:val="00417D15"/>
    <w:rsid w:val="004233D6"/>
    <w:rsid w:val="00423789"/>
    <w:rsid w:val="004344DF"/>
    <w:rsid w:val="00440F43"/>
    <w:rsid w:val="00441B6F"/>
    <w:rsid w:val="00446221"/>
    <w:rsid w:val="00450E62"/>
    <w:rsid w:val="004539DB"/>
    <w:rsid w:val="00471A80"/>
    <w:rsid w:val="00477506"/>
    <w:rsid w:val="00492A30"/>
    <w:rsid w:val="004D305E"/>
    <w:rsid w:val="004D4277"/>
    <w:rsid w:val="004E1632"/>
    <w:rsid w:val="0050045B"/>
    <w:rsid w:val="00502516"/>
    <w:rsid w:val="00505F06"/>
    <w:rsid w:val="00506828"/>
    <w:rsid w:val="0053056E"/>
    <w:rsid w:val="00554FDA"/>
    <w:rsid w:val="005C784C"/>
    <w:rsid w:val="005D149E"/>
    <w:rsid w:val="005D17F6"/>
    <w:rsid w:val="005E5539"/>
    <w:rsid w:val="00602BF5"/>
    <w:rsid w:val="00617FDD"/>
    <w:rsid w:val="00633614"/>
    <w:rsid w:val="00633F68"/>
    <w:rsid w:val="00636A87"/>
    <w:rsid w:val="00636EB2"/>
    <w:rsid w:val="006375B8"/>
    <w:rsid w:val="00662548"/>
    <w:rsid w:val="0066510A"/>
    <w:rsid w:val="00673F9F"/>
    <w:rsid w:val="00686953"/>
    <w:rsid w:val="00687DEA"/>
    <w:rsid w:val="00687E67"/>
    <w:rsid w:val="006967F7"/>
    <w:rsid w:val="006A250C"/>
    <w:rsid w:val="006B21D3"/>
    <w:rsid w:val="006B57D0"/>
    <w:rsid w:val="006D30FF"/>
    <w:rsid w:val="006D6940"/>
    <w:rsid w:val="006E2899"/>
    <w:rsid w:val="006F11EC"/>
    <w:rsid w:val="0070082C"/>
    <w:rsid w:val="00734371"/>
    <w:rsid w:val="007369E6"/>
    <w:rsid w:val="00746E59"/>
    <w:rsid w:val="00754C9A"/>
    <w:rsid w:val="0075599A"/>
    <w:rsid w:val="00756601"/>
    <w:rsid w:val="00761D52"/>
    <w:rsid w:val="0077749E"/>
    <w:rsid w:val="00782E6E"/>
    <w:rsid w:val="00790ADA"/>
    <w:rsid w:val="007D2288"/>
    <w:rsid w:val="007E088F"/>
    <w:rsid w:val="007F7B32"/>
    <w:rsid w:val="00804BC2"/>
    <w:rsid w:val="0081431A"/>
    <w:rsid w:val="0083216F"/>
    <w:rsid w:val="00835322"/>
    <w:rsid w:val="0085348A"/>
    <w:rsid w:val="00860000"/>
    <w:rsid w:val="00863BD3"/>
    <w:rsid w:val="008641ED"/>
    <w:rsid w:val="00866D66"/>
    <w:rsid w:val="008671C6"/>
    <w:rsid w:val="00875803"/>
    <w:rsid w:val="00895287"/>
    <w:rsid w:val="008B459E"/>
    <w:rsid w:val="008E13AE"/>
    <w:rsid w:val="008E1506"/>
    <w:rsid w:val="008E710C"/>
    <w:rsid w:val="008F69D6"/>
    <w:rsid w:val="00902823"/>
    <w:rsid w:val="00915CA6"/>
    <w:rsid w:val="00927834"/>
    <w:rsid w:val="009500A6"/>
    <w:rsid w:val="00957C18"/>
    <w:rsid w:val="00960957"/>
    <w:rsid w:val="009659BA"/>
    <w:rsid w:val="00983040"/>
    <w:rsid w:val="009B3FB9"/>
    <w:rsid w:val="009C2465"/>
    <w:rsid w:val="009C4BA7"/>
    <w:rsid w:val="009D35A0"/>
    <w:rsid w:val="009D7EB7"/>
    <w:rsid w:val="009E048A"/>
    <w:rsid w:val="009E08E9"/>
    <w:rsid w:val="009E3DB9"/>
    <w:rsid w:val="009E6E35"/>
    <w:rsid w:val="009F0EDA"/>
    <w:rsid w:val="009F78CE"/>
    <w:rsid w:val="00A03B96"/>
    <w:rsid w:val="00A05B19"/>
    <w:rsid w:val="00A1134E"/>
    <w:rsid w:val="00A24E7E"/>
    <w:rsid w:val="00A258C3"/>
    <w:rsid w:val="00A33418"/>
    <w:rsid w:val="00A347C0"/>
    <w:rsid w:val="00A51431"/>
    <w:rsid w:val="00A539AD"/>
    <w:rsid w:val="00A64231"/>
    <w:rsid w:val="00A675F6"/>
    <w:rsid w:val="00A94063"/>
    <w:rsid w:val="00AA6219"/>
    <w:rsid w:val="00AA74E0"/>
    <w:rsid w:val="00AB703F"/>
    <w:rsid w:val="00AC6BB8"/>
    <w:rsid w:val="00AD6B56"/>
    <w:rsid w:val="00AE008F"/>
    <w:rsid w:val="00B01FCD"/>
    <w:rsid w:val="00B07676"/>
    <w:rsid w:val="00B1776C"/>
    <w:rsid w:val="00B52583"/>
    <w:rsid w:val="00B52896"/>
    <w:rsid w:val="00B95236"/>
    <w:rsid w:val="00B96BD9"/>
    <w:rsid w:val="00BA1B01"/>
    <w:rsid w:val="00BA2641"/>
    <w:rsid w:val="00BB37AA"/>
    <w:rsid w:val="00BC53A0"/>
    <w:rsid w:val="00BE62AD"/>
    <w:rsid w:val="00BF121F"/>
    <w:rsid w:val="00BF1F80"/>
    <w:rsid w:val="00C122BB"/>
    <w:rsid w:val="00C166EF"/>
    <w:rsid w:val="00C17EB0"/>
    <w:rsid w:val="00C27F5F"/>
    <w:rsid w:val="00C30A0F"/>
    <w:rsid w:val="00C32AAF"/>
    <w:rsid w:val="00C37E61"/>
    <w:rsid w:val="00C54BC2"/>
    <w:rsid w:val="00C70F1B"/>
    <w:rsid w:val="00C71A47"/>
    <w:rsid w:val="00C7464C"/>
    <w:rsid w:val="00C77512"/>
    <w:rsid w:val="00C85588"/>
    <w:rsid w:val="00CD62A2"/>
    <w:rsid w:val="00CD6755"/>
    <w:rsid w:val="00CD6856"/>
    <w:rsid w:val="00CE0089"/>
    <w:rsid w:val="00CE1C6B"/>
    <w:rsid w:val="00CE793C"/>
    <w:rsid w:val="00CF193C"/>
    <w:rsid w:val="00D173F1"/>
    <w:rsid w:val="00D176E1"/>
    <w:rsid w:val="00D74CB0"/>
    <w:rsid w:val="00D8295D"/>
    <w:rsid w:val="00DB36A7"/>
    <w:rsid w:val="00DC2A65"/>
    <w:rsid w:val="00DE15F0"/>
    <w:rsid w:val="00DE5663"/>
    <w:rsid w:val="00DE78AA"/>
    <w:rsid w:val="00DF5F2F"/>
    <w:rsid w:val="00E053D0"/>
    <w:rsid w:val="00E15994"/>
    <w:rsid w:val="00E24C8E"/>
    <w:rsid w:val="00E3114E"/>
    <w:rsid w:val="00E31A70"/>
    <w:rsid w:val="00E35B02"/>
    <w:rsid w:val="00E468BC"/>
    <w:rsid w:val="00E66496"/>
    <w:rsid w:val="00E66B35"/>
    <w:rsid w:val="00E66E10"/>
    <w:rsid w:val="00E742E3"/>
    <w:rsid w:val="00E769F6"/>
    <w:rsid w:val="00E8407C"/>
    <w:rsid w:val="00E84F3C"/>
    <w:rsid w:val="00EA012C"/>
    <w:rsid w:val="00EC2423"/>
    <w:rsid w:val="00EC6A55"/>
    <w:rsid w:val="00ED0288"/>
    <w:rsid w:val="00ED5F7B"/>
    <w:rsid w:val="00EE52CB"/>
    <w:rsid w:val="00EF581D"/>
    <w:rsid w:val="00EF7FD8"/>
    <w:rsid w:val="00F06F59"/>
    <w:rsid w:val="00F17988"/>
    <w:rsid w:val="00F469F0"/>
    <w:rsid w:val="00F53273"/>
    <w:rsid w:val="00F65681"/>
    <w:rsid w:val="00F67FE9"/>
    <w:rsid w:val="00F755E4"/>
    <w:rsid w:val="00F77D02"/>
    <w:rsid w:val="00FB3A86"/>
    <w:rsid w:val="00FD36C8"/>
    <w:rsid w:val="00FF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5E4A4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60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1418353">
      <w:bodyDiv w:val="1"/>
      <w:marLeft w:val="0"/>
      <w:marRight w:val="0"/>
      <w:marTop w:val="0"/>
      <w:marBottom w:val="0"/>
      <w:divBdr>
        <w:top w:val="none" w:sz="0" w:space="0" w:color="auto"/>
        <w:left w:val="none" w:sz="0" w:space="0" w:color="auto"/>
        <w:bottom w:val="none" w:sz="0" w:space="0" w:color="auto"/>
        <w:right w:val="none" w:sz="0" w:space="0" w:color="auto"/>
      </w:divBdr>
      <w:divsChild>
        <w:div w:id="1750880928">
          <w:marLeft w:val="-720"/>
          <w:marRight w:val="0"/>
          <w:marTop w:val="0"/>
          <w:marBottom w:val="0"/>
          <w:divBdr>
            <w:top w:val="none" w:sz="0" w:space="0" w:color="auto"/>
            <w:left w:val="none" w:sz="0" w:space="0" w:color="auto"/>
            <w:bottom w:val="none" w:sz="0" w:space="0" w:color="auto"/>
            <w:right w:val="none" w:sz="0" w:space="0" w:color="auto"/>
          </w:divBdr>
        </w:div>
      </w:divsChild>
    </w:div>
    <w:div w:id="15404300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00125-020-05295-1" TargetMode="External"/><Relationship Id="rId3" Type="http://schemas.openxmlformats.org/officeDocument/2006/relationships/styles" Target="styles.xml"/><Relationship Id="rId21" Type="http://schemas.openxmlformats.org/officeDocument/2006/relationships/hyperlink" Target="https://doi.org/10.1016/s2213-8587(19)30076-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bmed.ncbi.nlm.nih.gov/32440730/?utm_source=chatgpt.com" TargetMode="External"/><Relationship Id="rId2" Type="http://schemas.openxmlformats.org/officeDocument/2006/relationships/numbering" Target="numbering.xml"/><Relationship Id="rId16" Type="http://schemas.openxmlformats.org/officeDocument/2006/relationships/hyperlink" Target="https://doi.org/10.1007/s00394-020-02282-5" TargetMode="External"/><Relationship Id="rId20" Type="http://schemas.openxmlformats.org/officeDocument/2006/relationships/hyperlink" Target="https://doi.org/10.2196/419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dom.1566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ubmed.ncbi.nlm.nih.gov/33047170/?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89/fcimb.2022.8344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C573D-A7BF-42D9-AFC0-288FF52D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263</TotalTime>
  <Pages>28</Pages>
  <Words>35701</Words>
  <Characters>203502</Characters>
  <Application>Microsoft Office Word</Application>
  <DocSecurity>0</DocSecurity>
  <Lines>1695</Lines>
  <Paragraphs>477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238726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EZERIOHA CHIDI E</cp:lastModifiedBy>
  <cp:revision>29</cp:revision>
  <cp:lastPrinted>1999-07-06T11:00:00Z</cp:lastPrinted>
  <dcterms:created xsi:type="dcterms:W3CDTF">2014-10-25T14:34:00Z</dcterms:created>
  <dcterms:modified xsi:type="dcterms:W3CDTF">2025-11-13T22:20:00Z</dcterms:modified>
</cp:coreProperties>
</file>