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9BE7"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Assessing Aquaponic Performance in Himachal Pradesh</w:t>
      </w:r>
    </w:p>
    <w:p w14:paraId="13D6CD0E" w14:textId="77777777" w:rsidR="00275F5A" w:rsidRDefault="00275F5A">
      <w:pPr>
        <w:spacing w:line="240" w:lineRule="auto"/>
        <w:jc w:val="both"/>
        <w:rPr>
          <w:rFonts w:ascii="Arial" w:hAnsi="Arial" w:cs="Arial"/>
          <w:b/>
          <w:bCs/>
          <w:sz w:val="20"/>
          <w:szCs w:val="20"/>
        </w:rPr>
      </w:pPr>
    </w:p>
    <w:p w14:paraId="32854749" w14:textId="77777777" w:rsidR="00275F5A" w:rsidRDefault="00275F5A">
      <w:pPr>
        <w:spacing w:line="240" w:lineRule="auto"/>
        <w:jc w:val="both"/>
        <w:rPr>
          <w:rFonts w:ascii="Arial" w:hAnsi="Arial" w:cs="Arial"/>
          <w:b/>
          <w:bCs/>
          <w:sz w:val="20"/>
          <w:szCs w:val="20"/>
        </w:rPr>
      </w:pPr>
    </w:p>
    <w:p w14:paraId="3E0C9403" w14:textId="77777777" w:rsidR="00275F5A" w:rsidRDefault="00275F5A">
      <w:pPr>
        <w:spacing w:line="240" w:lineRule="auto"/>
        <w:jc w:val="both"/>
        <w:rPr>
          <w:rFonts w:ascii="Arial" w:hAnsi="Arial" w:cs="Arial"/>
          <w:b/>
          <w:bCs/>
          <w:sz w:val="20"/>
          <w:szCs w:val="20"/>
        </w:rPr>
      </w:pPr>
    </w:p>
    <w:p w14:paraId="0396FE6D"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ABSTRACT</w:t>
      </w:r>
    </w:p>
    <w:p w14:paraId="52AB4C13"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Aquaponics, an integrated system that combines hydroponics and aquaculture, provides a sustainable method of producing food by effectively recycling nutrients and conserving water. </w:t>
      </w:r>
      <w:r>
        <w:rPr>
          <w:rFonts w:ascii="Arial" w:hAnsi="Arial" w:cs="Arial"/>
          <w:i/>
          <w:iCs/>
          <w:sz w:val="20"/>
          <w:szCs w:val="20"/>
        </w:rPr>
        <w:t>Coriandrum sativum</w:t>
      </w:r>
      <w:r>
        <w:rPr>
          <w:rFonts w:ascii="Arial" w:hAnsi="Arial" w:cs="Arial"/>
          <w:sz w:val="20"/>
          <w:szCs w:val="20"/>
        </w:rPr>
        <w:t xml:space="preserve">, </w:t>
      </w:r>
      <w:r>
        <w:rPr>
          <w:rFonts w:ascii="Arial" w:hAnsi="Arial" w:cs="Arial"/>
          <w:i/>
          <w:iCs/>
          <w:sz w:val="20"/>
          <w:szCs w:val="20"/>
        </w:rPr>
        <w:t>Spinacia oleracea, Chenopodium album</w:t>
      </w:r>
      <w:r>
        <w:rPr>
          <w:rFonts w:ascii="Arial" w:hAnsi="Arial" w:cs="Arial"/>
          <w:sz w:val="20"/>
          <w:szCs w:val="20"/>
        </w:rPr>
        <w:t>, and Common Carp (</w:t>
      </w:r>
      <w:r>
        <w:rPr>
          <w:rFonts w:ascii="Arial" w:hAnsi="Arial" w:cs="Arial"/>
          <w:i/>
          <w:iCs/>
          <w:sz w:val="20"/>
          <w:szCs w:val="20"/>
        </w:rPr>
        <w:t>Cyprinus carpio</w:t>
      </w:r>
      <w:r>
        <w:rPr>
          <w:rFonts w:ascii="Arial" w:hAnsi="Arial" w:cs="Arial"/>
          <w:sz w:val="20"/>
          <w:szCs w:val="20"/>
        </w:rPr>
        <w:t>) and Grass Carp (</w:t>
      </w:r>
      <w:r>
        <w:rPr>
          <w:rFonts w:ascii="Arial" w:hAnsi="Arial" w:cs="Arial"/>
          <w:i/>
          <w:iCs/>
          <w:sz w:val="20"/>
          <w:szCs w:val="20"/>
        </w:rPr>
        <w:t>Ctenopharyngodon idella</w:t>
      </w:r>
      <w:r>
        <w:rPr>
          <w:rFonts w:ascii="Arial" w:hAnsi="Arial" w:cs="Arial"/>
          <w:sz w:val="20"/>
          <w:szCs w:val="20"/>
        </w:rPr>
        <w:t>) were supported by nutrient film technique (NFT) pipes in the aquaponic system. Temperature (16.33 ± 4.90 °C), pH (7.60 ± 0.21), dissolved oxygen (6.59 ± 0.16 mg/L), and ammonia (0.0017 ± 0.0007 mg/L) all stayed within ideal values in aquaponics, indicating efficient nutrient cycling and stable environmental conditions. While modest correlations for ammonia and nitrite demonstrated better nitrogen management in aquaponics, strong positive correlations (R² &gt; 0.89) for pH, EC, DO, alkalinity, and nitrate showed comparable stability across aquaponic and pond systems.</w:t>
      </w:r>
      <w:r>
        <w:rPr>
          <w:rFonts w:ascii="Arial" w:eastAsia="Times New Roman" w:hAnsi="Arial" w:cs="Arial"/>
          <w:kern w:val="0"/>
          <w:sz w:val="20"/>
          <w:szCs w:val="20"/>
          <w14:ligatures w14:val="none"/>
        </w:rPr>
        <w:t xml:space="preserve"> </w:t>
      </w:r>
      <w:r>
        <w:rPr>
          <w:rFonts w:ascii="Arial" w:hAnsi="Arial" w:cs="Arial"/>
          <w:sz w:val="20"/>
          <w:szCs w:val="20"/>
        </w:rPr>
        <w:t>With net weight improvements of 113.45 g and 141.3 g and FCR values of 2.68 and 3.34, respectively, C. carpio and C. idella demonstrated noteworthy fish development. When compared to field cultivation (35.01 cm), aquaponics considerably increased plant growth, especially for C. album (44.5 cm). These results show that in temperate Himalayan circumstances, aquaponics maintains superior water quality, promotes fish growth, and increases vegetable yield. According to the study's findings, aquaponics is a practical, resource-efficient, and climate-resilient substitute for traditional farming and aquaculture systems in areas with limited water and land.</w:t>
      </w:r>
      <w:r>
        <w:rPr>
          <w:rFonts w:ascii="Arial" w:hAnsi="Arial" w:cs="Arial"/>
          <w:color w:val="FF0000"/>
          <w:sz w:val="20"/>
          <w:szCs w:val="20"/>
        </w:rPr>
        <w:t xml:space="preserve"> Current research exhibits potential of aquaponics as a sustainable farming method which further enhances water efficiency and food security amidst global land constrains.</w:t>
      </w:r>
    </w:p>
    <w:p w14:paraId="109262C0" w14:textId="77777777" w:rsidR="00275F5A" w:rsidRDefault="00CF3A5E">
      <w:pPr>
        <w:spacing w:line="240" w:lineRule="auto"/>
        <w:jc w:val="both"/>
        <w:rPr>
          <w:rFonts w:ascii="Arial" w:hAnsi="Arial" w:cs="Arial"/>
          <w:i/>
          <w:iCs/>
          <w:sz w:val="20"/>
          <w:szCs w:val="20"/>
        </w:rPr>
      </w:pPr>
      <w:r>
        <w:rPr>
          <w:rFonts w:ascii="Arial" w:hAnsi="Arial" w:cs="Arial"/>
          <w:i/>
          <w:iCs/>
          <w:sz w:val="20"/>
          <w:szCs w:val="20"/>
        </w:rPr>
        <w:t>Keywords: Aquaponics;  Fish growth; Plant yield; Nutrient film technique (NFT); Sustainable aquaculture.</w:t>
      </w:r>
    </w:p>
    <w:p w14:paraId="5AE31E2A" w14:textId="77777777" w:rsidR="00275F5A" w:rsidRDefault="00275F5A">
      <w:pPr>
        <w:spacing w:line="240" w:lineRule="auto"/>
        <w:jc w:val="both"/>
        <w:rPr>
          <w:rFonts w:ascii="Arial" w:hAnsi="Arial" w:cs="Arial"/>
          <w:b/>
          <w:bCs/>
          <w:sz w:val="20"/>
          <w:szCs w:val="20"/>
        </w:rPr>
      </w:pPr>
    </w:p>
    <w:p w14:paraId="560916DC" w14:textId="77777777" w:rsidR="00275F5A" w:rsidRDefault="00275F5A">
      <w:pPr>
        <w:spacing w:line="240" w:lineRule="auto"/>
        <w:jc w:val="both"/>
        <w:rPr>
          <w:rFonts w:ascii="Arial" w:hAnsi="Arial" w:cs="Arial"/>
          <w:sz w:val="20"/>
          <w:szCs w:val="20"/>
        </w:rPr>
      </w:pPr>
    </w:p>
    <w:p w14:paraId="35BEDB73" w14:textId="77777777" w:rsidR="00275F5A" w:rsidRDefault="00275F5A">
      <w:pPr>
        <w:spacing w:line="240" w:lineRule="auto"/>
        <w:jc w:val="both"/>
        <w:rPr>
          <w:rFonts w:ascii="Arial" w:hAnsi="Arial" w:cs="Arial"/>
          <w:b/>
          <w:bCs/>
          <w:sz w:val="20"/>
          <w:szCs w:val="20"/>
        </w:rPr>
      </w:pPr>
    </w:p>
    <w:p w14:paraId="75F5A955"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1.INTRODUCTION</w:t>
      </w:r>
    </w:p>
    <w:p w14:paraId="6C6E2AEC" w14:textId="77777777" w:rsidR="00275F5A" w:rsidRDefault="00CF3A5E">
      <w:pPr>
        <w:spacing w:line="240" w:lineRule="auto"/>
        <w:jc w:val="both"/>
        <w:rPr>
          <w:rFonts w:ascii="Arial" w:hAnsi="Arial" w:cs="Arial"/>
          <w:sz w:val="20"/>
          <w:szCs w:val="20"/>
        </w:rPr>
      </w:pPr>
      <w:r>
        <w:rPr>
          <w:rFonts w:ascii="Arial" w:hAnsi="Arial" w:cs="Arial"/>
          <w:sz w:val="20"/>
          <w:szCs w:val="20"/>
        </w:rPr>
        <w:t>Aquaponics: A Sustainable Food Production Method</w:t>
      </w:r>
    </w:p>
    <w:p w14:paraId="5971821D" w14:textId="77777777" w:rsidR="00275F5A" w:rsidRDefault="00CF3A5E">
      <w:pPr>
        <w:spacing w:line="240" w:lineRule="auto"/>
        <w:jc w:val="both"/>
        <w:rPr>
          <w:rFonts w:ascii="Arial" w:hAnsi="Arial" w:cs="Arial"/>
          <w:sz w:val="20"/>
          <w:szCs w:val="20"/>
        </w:rPr>
      </w:pPr>
      <w:r>
        <w:rPr>
          <w:rFonts w:ascii="Arial" w:hAnsi="Arial" w:cs="Arial"/>
          <w:color w:val="FF0000"/>
          <w:sz w:val="20"/>
          <w:szCs w:val="20"/>
        </w:rPr>
        <w:t xml:space="preserve">Aquaponics combines hydroponics and aquaculture to create a mutually beneficial system. Fish produce waste that serves as nutrients for plants, while plants purify the water for the fish. </w:t>
      </w:r>
      <w:r>
        <w:rPr>
          <w:rFonts w:ascii="Arial" w:hAnsi="Arial"/>
          <w:color w:val="FF0000"/>
          <w:sz w:val="20"/>
          <w:szCs w:val="20"/>
        </w:rPr>
        <w:t>Aquaponics offers a promising solution for sustainable food production, promoting efficient resource use and minimizing environmental harm</w:t>
      </w:r>
      <w:r>
        <w:rPr>
          <w:rFonts w:ascii="Arial" w:hAnsi="Arial" w:cs="Arial"/>
          <w:color w:val="FF0000"/>
          <w:sz w:val="20"/>
          <w:szCs w:val="20"/>
        </w:rPr>
        <w:t>. This method serves as an environmentally sustainable alternative to conventional aquaculture and agriculture by maximizing resource efficiency, minimizing environmental impact, and reducing water consumption.</w:t>
      </w:r>
      <w:r>
        <w:rPr>
          <w:rFonts w:ascii="Arial" w:hAnsi="Arial" w:cs="Arial"/>
          <w:sz w:val="20"/>
          <w:szCs w:val="20"/>
        </w:rPr>
        <w:t xml:space="preserve"> (Azad, 2015; Roe and Midmore, 2008).</w:t>
      </w:r>
    </w:p>
    <w:p w14:paraId="72997F67" w14:textId="77777777" w:rsidR="00275F5A" w:rsidRDefault="00CF3A5E">
      <w:pPr>
        <w:spacing w:line="240" w:lineRule="auto"/>
        <w:jc w:val="both"/>
        <w:rPr>
          <w:rFonts w:ascii="Arial" w:hAnsi="Arial" w:cs="Arial"/>
          <w:sz w:val="20"/>
          <w:szCs w:val="20"/>
        </w:rPr>
      </w:pPr>
      <w:r>
        <w:rPr>
          <w:rFonts w:ascii="Arial" w:hAnsi="Arial" w:cs="Arial"/>
          <w:sz w:val="20"/>
          <w:szCs w:val="20"/>
        </w:rPr>
        <w:t>Aquaponics has drawn interest worldwide as a climate-resilient method of ensuring food security, especially in areas where land and water are scarce. It offers the twin advantages of producing fish and vegetables in a closed-loop system and permits year-round growing. Aquaponics' increasing popularity has led to comparisons with conventional pond systems to determine how well it maintains water quality, fosters fish growth, and increases plant productivity (Azad et al., 2016).</w:t>
      </w:r>
    </w:p>
    <w:p w14:paraId="05B98FB4" w14:textId="77777777" w:rsidR="00275F5A" w:rsidRDefault="00CF3A5E">
      <w:pPr>
        <w:spacing w:line="240" w:lineRule="auto"/>
        <w:jc w:val="both"/>
        <w:rPr>
          <w:rFonts w:ascii="Arial" w:hAnsi="Arial" w:cs="Arial"/>
          <w:sz w:val="20"/>
          <w:szCs w:val="20"/>
        </w:rPr>
      </w:pPr>
      <w:r>
        <w:rPr>
          <w:rFonts w:ascii="Arial" w:hAnsi="Arial" w:cs="Arial"/>
          <w:color w:val="FF0000"/>
          <w:sz w:val="20"/>
          <w:szCs w:val="20"/>
        </w:rPr>
        <w:t>Unfortunately, climatic variations, land constrains, depleted soils and rising input costs is affecting the agriculture scenario of Himachal Pradesh.</w:t>
      </w:r>
      <w:r>
        <w:rPr>
          <w:rFonts w:ascii="Arial" w:hAnsi="Arial" w:cs="Arial"/>
          <w:sz w:val="20"/>
          <w:szCs w:val="20"/>
        </w:rPr>
        <w:t xml:space="preserve"> Aquaponics presents prospective benefits because of its controlled nutrient recycling and water conservation in Himachal Pradesh, where aquaculture is an increasing livelihood alternative. Even though they are well-established, traditional pond systems can encounter problems such as fertilizer buildup, oxygen depletion, and water loss from seepage and evaporation. According to Roe and Midmore (2008) and Azad (2015), investigations comparing aquaponic </w:t>
      </w:r>
      <w:r>
        <w:rPr>
          <w:rFonts w:ascii="Arial" w:hAnsi="Arial" w:cs="Arial"/>
          <w:sz w:val="20"/>
          <w:szCs w:val="20"/>
        </w:rPr>
        <w:lastRenderedPageBreak/>
        <w:t>and pond systems are therefore essential to determining the relative effectiveness and sustainability of both techniques under local conditions.</w:t>
      </w:r>
    </w:p>
    <w:p w14:paraId="3ACA947A" w14:textId="77777777" w:rsidR="00275F5A" w:rsidRDefault="00CF3A5E">
      <w:pPr>
        <w:spacing w:line="240" w:lineRule="auto"/>
        <w:jc w:val="both"/>
        <w:rPr>
          <w:rFonts w:ascii="Arial" w:hAnsi="Arial" w:cs="Arial"/>
          <w:sz w:val="20"/>
          <w:szCs w:val="20"/>
        </w:rPr>
      </w:pPr>
      <w:r>
        <w:rPr>
          <w:rFonts w:ascii="Arial" w:hAnsi="Arial" w:cs="Arial"/>
          <w:color w:val="FF0000"/>
          <w:sz w:val="20"/>
          <w:szCs w:val="20"/>
        </w:rPr>
        <w:t>Previous research has demonstrated that, due to their continuous water filtration and recirculation, aquaponic systems tend to maintain more stable physicochemical parameters—such as temperature, pH, and dissolved oxygen (DO)—compared to conventional pond systems.Additionally, these systems ensure reduced nitrite and ammonia accumulation, thereby improving fish growth and survival rates</w:t>
      </w:r>
      <w:r>
        <w:rPr>
          <w:rFonts w:ascii="Arial" w:hAnsi="Arial" w:cs="Arial"/>
          <w:sz w:val="20"/>
          <w:szCs w:val="20"/>
        </w:rPr>
        <w:t xml:space="preserve"> (Azad et al., 2016).</w:t>
      </w:r>
      <w:r>
        <w:rPr>
          <w:rFonts w:ascii="Arial" w:hAnsi="Arial" w:cs="Arial"/>
          <w:color w:val="FF0000"/>
          <w:sz w:val="20"/>
          <w:szCs w:val="20"/>
        </w:rPr>
        <w:t>Furthermore, the availability of nitrate-rich water promotes rapid plant growth and enhances overall productivity.</w:t>
      </w:r>
    </w:p>
    <w:p w14:paraId="08AEECFB" w14:textId="77777777" w:rsidR="00275F5A" w:rsidRDefault="00CF3A5E">
      <w:pPr>
        <w:spacing w:line="240" w:lineRule="auto"/>
        <w:jc w:val="both"/>
        <w:rPr>
          <w:rFonts w:ascii="Arial" w:hAnsi="Arial" w:cs="Arial"/>
          <w:sz w:val="20"/>
          <w:szCs w:val="20"/>
        </w:rPr>
      </w:pPr>
      <w:r>
        <w:rPr>
          <w:rFonts w:ascii="Arial" w:hAnsi="Arial" w:cs="Arial"/>
          <w:sz w:val="20"/>
          <w:szCs w:val="20"/>
        </w:rPr>
        <w:t>To confirm these advantages in temperate Himalayan circumstances, where temperature swings and water sources are different from those in tropical areas, local assessments are necessary. In order to assess the relative sustainability and efficiency of aquaponic and pond systems in Palampur, Himachal Pradesh, the current study will compare them with an emphasis on water quality metrics, fish development performance, and vegetable output.</w:t>
      </w:r>
    </w:p>
    <w:p w14:paraId="39C618CC"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 MATERIALS AND METHODS</w:t>
      </w:r>
    </w:p>
    <w:p w14:paraId="7FB22C1D"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This study was conducted at </w:t>
      </w:r>
      <w:r>
        <w:rPr>
          <w:rFonts w:ascii="Arial" w:hAnsi="Arial" w:cs="Arial"/>
          <w:b/>
          <w:bCs/>
          <w:sz w:val="20"/>
          <w:szCs w:val="20"/>
        </w:rPr>
        <w:t>Sri Sai University, Palampur</w:t>
      </w:r>
      <w:r>
        <w:rPr>
          <w:rFonts w:ascii="Arial" w:hAnsi="Arial" w:cs="Arial"/>
          <w:sz w:val="20"/>
          <w:szCs w:val="20"/>
        </w:rPr>
        <w:t>, where a specially designed handmade aquaponics system was developed and implemented to investigate the research questions.</w:t>
      </w:r>
    </w:p>
    <w:p w14:paraId="715344DA"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2.1Experimental Design</w:t>
      </w:r>
    </w:p>
    <w:p w14:paraId="228543D3" w14:textId="77777777" w:rsidR="00275F5A" w:rsidRDefault="00CF3A5E">
      <w:pPr>
        <w:spacing w:line="240" w:lineRule="auto"/>
        <w:jc w:val="both"/>
        <w:rPr>
          <w:rFonts w:ascii="Arial" w:hAnsi="Arial" w:cs="Arial"/>
          <w:color w:val="FF0000"/>
          <w:sz w:val="20"/>
          <w:szCs w:val="20"/>
        </w:rPr>
      </w:pPr>
      <w:r>
        <w:rPr>
          <w:rFonts w:ascii="Arial" w:hAnsi="Arial" w:cs="Arial"/>
          <w:sz w:val="20"/>
          <w:szCs w:val="20"/>
        </w:rPr>
        <w:t xml:space="preserve">The aquaponics setup comprised twin tanks: one stocked with </w:t>
      </w:r>
      <w:r>
        <w:rPr>
          <w:rFonts w:ascii="Arial" w:hAnsi="Arial" w:cs="Arial"/>
          <w:b/>
          <w:bCs/>
          <w:sz w:val="20"/>
          <w:szCs w:val="20"/>
        </w:rPr>
        <w:t>Common Carp (</w:t>
      </w:r>
      <w:r>
        <w:rPr>
          <w:rFonts w:ascii="Arial" w:hAnsi="Arial" w:cs="Arial"/>
          <w:b/>
          <w:bCs/>
          <w:i/>
          <w:iCs/>
          <w:sz w:val="20"/>
          <w:szCs w:val="20"/>
        </w:rPr>
        <w:t>Cyprinus carpio</w:t>
      </w:r>
      <w:r>
        <w:rPr>
          <w:rFonts w:ascii="Arial" w:hAnsi="Arial" w:cs="Arial"/>
          <w:b/>
          <w:bCs/>
          <w:sz w:val="20"/>
          <w:szCs w:val="20"/>
        </w:rPr>
        <w:t>)</w:t>
      </w:r>
      <w:r>
        <w:rPr>
          <w:rFonts w:ascii="Arial" w:hAnsi="Arial" w:cs="Arial"/>
          <w:sz w:val="20"/>
          <w:szCs w:val="20"/>
        </w:rPr>
        <w:t xml:space="preserve"> and the other with </w:t>
      </w:r>
      <w:r>
        <w:rPr>
          <w:rFonts w:ascii="Arial" w:hAnsi="Arial" w:cs="Arial"/>
          <w:b/>
          <w:bCs/>
          <w:sz w:val="20"/>
          <w:szCs w:val="20"/>
        </w:rPr>
        <w:t>Grass Carp (</w:t>
      </w:r>
      <w:r>
        <w:rPr>
          <w:rFonts w:ascii="Arial" w:hAnsi="Arial" w:cs="Arial"/>
          <w:b/>
          <w:bCs/>
          <w:i/>
          <w:iCs/>
          <w:sz w:val="20"/>
          <w:szCs w:val="20"/>
        </w:rPr>
        <w:t>Ctenopharyngodon idella</w:t>
      </w:r>
      <w:r>
        <w:rPr>
          <w:rFonts w:ascii="Arial" w:hAnsi="Arial" w:cs="Arial"/>
          <w:b/>
          <w:bCs/>
          <w:sz w:val="20"/>
          <w:szCs w:val="20"/>
        </w:rPr>
        <w:t>)</w:t>
      </w:r>
      <w:r>
        <w:rPr>
          <w:rFonts w:ascii="Arial" w:hAnsi="Arial" w:cs="Arial"/>
          <w:sz w:val="20"/>
          <w:szCs w:val="20"/>
        </w:rPr>
        <w:t>. Water circulation was maintained using suitable pumps, while trickling filters ensured filtration and water treatment. Nutrient Film Technique (NFT) pipes were used to support plant growth and maximize nutrient uptake, creating a self-sustaining aquaponics ecosystem.</w:t>
      </w:r>
      <w:r>
        <w:rPr>
          <w:rFonts w:ascii="Arial" w:hAnsi="Arial" w:cs="Arial"/>
          <w:color w:val="FF0000"/>
          <w:sz w:val="20"/>
          <w:szCs w:val="20"/>
        </w:rPr>
        <w:t xml:space="preserve"> For the aquaponic setup (Fig. 3), a circular fibre-reinforced plastic (FRP) tank with a water-holding capacity of 750 L was used. The FRP tank measured 0.9 m in height. Water from the fish culture tank was continuously circulated over the trickling filter bed. A pump (VarSky Heavy Duty 0.25 HP, manufactured by Peerzada and Co.) was employed, featuring a volumetric flow rate (Q&lt;sub&gt;max&lt;/sub&gt;) of 1100 L h⁻¹, a head (H&lt;sub&gt;max&lt;/sub&gt;) of 1.85 m, and a power consumption of 22 W.</w:t>
      </w:r>
    </w:p>
    <w:p w14:paraId="6D87CD64" w14:textId="77777777" w:rsidR="00275F5A" w:rsidRDefault="00CF3A5E">
      <w:pPr>
        <w:spacing w:line="240" w:lineRule="auto"/>
        <w:jc w:val="both"/>
        <w:rPr>
          <w:rFonts w:ascii="Arial" w:hAnsi="Arial" w:cs="Arial"/>
          <w:sz w:val="20"/>
          <w:szCs w:val="20"/>
        </w:rPr>
      </w:pPr>
      <w:r>
        <w:rPr>
          <w:rFonts w:ascii="Arial" w:hAnsi="Arial" w:cs="Arial"/>
          <w:color w:val="FF0000"/>
          <w:sz w:val="20"/>
          <w:szCs w:val="20"/>
        </w:rPr>
        <w:t>The trickling filter was constructed using gravel (10–25 mm in diameter) placed inside a plastic bucket. Water from the fish tank was piped into the filter bed, then channelled to the Nutrient Film Technique (NFT) pipes. The water flowing through the NFT system was subsequently returned to the fish tank, thereby maintaining a continuous recirculating system</w:t>
      </w:r>
      <w:r>
        <w:rPr>
          <w:rFonts w:ascii="Arial" w:hAnsi="Arial" w:cs="Arial"/>
          <w:sz w:val="20"/>
          <w:szCs w:val="20"/>
        </w:rPr>
        <w:t>.</w:t>
      </w:r>
    </w:p>
    <w:p w14:paraId="0DDF6A12" w14:textId="77777777" w:rsidR="00275F5A" w:rsidRDefault="00275F5A">
      <w:pPr>
        <w:spacing w:line="240" w:lineRule="auto"/>
        <w:jc w:val="both"/>
        <w:rPr>
          <w:rFonts w:ascii="Arial" w:hAnsi="Arial" w:cs="Arial"/>
          <w:sz w:val="20"/>
          <w:szCs w:val="20"/>
        </w:rPr>
      </w:pPr>
    </w:p>
    <w:p w14:paraId="4EF4E804" w14:textId="77777777" w:rsidR="00275F5A" w:rsidRDefault="00CF3A5E">
      <w:pPr>
        <w:spacing w:line="240" w:lineRule="auto"/>
        <w:jc w:val="both"/>
        <w:rPr>
          <w:rFonts w:ascii="Arial" w:hAnsi="Arial" w:cs="Arial"/>
          <w:sz w:val="20"/>
          <w:szCs w:val="20"/>
        </w:rPr>
      </w:pPr>
      <w:r>
        <w:rPr>
          <w:rFonts w:ascii="Arial" w:hAnsi="Arial" w:cs="Arial"/>
          <w:noProof/>
          <w:sz w:val="20"/>
          <w:szCs w:val="20"/>
        </w:rPr>
        <w:drawing>
          <wp:inline distT="0" distB="0" distL="0" distR="0" wp14:anchorId="30F021D8" wp14:editId="074F3610">
            <wp:extent cx="5943600" cy="1892935"/>
            <wp:effectExtent l="0" t="0" r="0" b="0"/>
            <wp:docPr id="125303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095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3256" cy="1899538"/>
                    </a:xfrm>
                    <a:prstGeom prst="rect">
                      <a:avLst/>
                    </a:prstGeom>
                  </pic:spPr>
                </pic:pic>
              </a:graphicData>
            </a:graphic>
          </wp:inline>
        </w:drawing>
      </w:r>
    </w:p>
    <w:p w14:paraId="2475B321" w14:textId="77777777" w:rsidR="00275F5A" w:rsidRDefault="00CF3A5E">
      <w:pPr>
        <w:spacing w:line="240" w:lineRule="auto"/>
        <w:jc w:val="both"/>
        <w:rPr>
          <w:rFonts w:ascii="Arial" w:hAnsi="Arial" w:cs="Arial"/>
          <w:sz w:val="20"/>
          <w:szCs w:val="20"/>
        </w:rPr>
      </w:pPr>
      <w:r>
        <w:rPr>
          <w:rFonts w:ascii="Arial" w:hAnsi="Arial" w:cs="Arial"/>
          <w:b/>
          <w:bCs/>
          <w:sz w:val="20"/>
          <w:szCs w:val="20"/>
        </w:rPr>
        <w:t>Fig.1:</w:t>
      </w:r>
      <w:r>
        <w:rPr>
          <w:rFonts w:ascii="Arial" w:hAnsi="Arial" w:cs="Arial"/>
          <w:sz w:val="20"/>
          <w:szCs w:val="20"/>
        </w:rPr>
        <w:t xml:space="preserve"> </w:t>
      </w:r>
      <w:r>
        <w:rPr>
          <w:rFonts w:ascii="Arial" w:hAnsi="Arial" w:cs="Arial"/>
          <w:b/>
          <w:bCs/>
          <w:sz w:val="20"/>
          <w:szCs w:val="20"/>
        </w:rPr>
        <w:t>Plants in NFT</w:t>
      </w:r>
    </w:p>
    <w:p w14:paraId="5265AC03" w14:textId="77777777" w:rsidR="00275F5A" w:rsidRDefault="00CF3A5E">
      <w:pPr>
        <w:spacing w:line="240" w:lineRule="auto"/>
        <w:jc w:val="both"/>
        <w:rPr>
          <w:rFonts w:ascii="Arial" w:hAnsi="Arial" w:cs="Arial"/>
          <w:sz w:val="20"/>
          <w:szCs w:val="20"/>
        </w:rPr>
      </w:pPr>
      <w:r>
        <w:rPr>
          <w:rFonts w:ascii="Arial" w:hAnsi="Arial" w:cs="Arial"/>
          <w:noProof/>
          <w:sz w:val="20"/>
          <w:szCs w:val="20"/>
        </w:rPr>
        <w:lastRenderedPageBreak/>
        <w:drawing>
          <wp:inline distT="0" distB="0" distL="0" distR="0" wp14:anchorId="04D9A815" wp14:editId="2D11DDCF">
            <wp:extent cx="5943600" cy="1760220"/>
            <wp:effectExtent l="0" t="0" r="0" b="0"/>
            <wp:docPr id="1574835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35584"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760220"/>
                    </a:xfrm>
                    <a:prstGeom prst="rect">
                      <a:avLst/>
                    </a:prstGeom>
                  </pic:spPr>
                </pic:pic>
              </a:graphicData>
            </a:graphic>
          </wp:inline>
        </w:drawing>
      </w:r>
      <w:r>
        <w:rPr>
          <w:rFonts w:ascii="Arial" w:hAnsi="Arial" w:cs="Arial"/>
          <w:sz w:val="20"/>
          <w:szCs w:val="20"/>
        </w:rPr>
        <w:br/>
      </w:r>
      <w:r>
        <w:rPr>
          <w:rFonts w:ascii="Arial" w:hAnsi="Arial" w:cs="Arial"/>
          <w:b/>
          <w:bCs/>
          <w:sz w:val="20"/>
          <w:szCs w:val="20"/>
        </w:rPr>
        <w:t>Fig. 2:</w:t>
      </w:r>
      <w:r>
        <w:rPr>
          <w:rFonts w:ascii="Arial" w:hAnsi="Arial" w:cs="Arial"/>
          <w:sz w:val="20"/>
          <w:szCs w:val="20"/>
        </w:rPr>
        <w:t xml:space="preserve"> </w:t>
      </w:r>
      <w:r>
        <w:rPr>
          <w:rFonts w:ascii="Arial" w:hAnsi="Arial" w:cs="Arial"/>
          <w:b/>
          <w:bCs/>
          <w:sz w:val="20"/>
          <w:szCs w:val="20"/>
        </w:rPr>
        <w:t>Fishes in tank</w:t>
      </w:r>
    </w:p>
    <w:p w14:paraId="2184E3AE" w14:textId="77777777" w:rsidR="00275F5A" w:rsidRDefault="00CF3A5E">
      <w:pPr>
        <w:spacing w:line="240" w:lineRule="auto"/>
        <w:jc w:val="both"/>
        <w:rPr>
          <w:rFonts w:ascii="Arial" w:hAnsi="Arial" w:cs="Arial"/>
          <w:sz w:val="20"/>
          <w:szCs w:val="20"/>
        </w:rPr>
      </w:pPr>
      <w:r>
        <w:rPr>
          <w:rFonts w:ascii="Arial" w:hAnsi="Arial" w:cs="Arial"/>
          <w:noProof/>
          <w:sz w:val="20"/>
          <w:szCs w:val="20"/>
        </w:rPr>
        <w:drawing>
          <wp:inline distT="0" distB="0" distL="0" distR="0" wp14:anchorId="2177202C" wp14:editId="721A06E2">
            <wp:extent cx="5082540" cy="2042160"/>
            <wp:effectExtent l="0" t="0" r="3810" b="0"/>
            <wp:docPr id="733322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2563"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82540" cy="2042160"/>
                    </a:xfrm>
                    <a:prstGeom prst="rect">
                      <a:avLst/>
                    </a:prstGeom>
                  </pic:spPr>
                </pic:pic>
              </a:graphicData>
            </a:graphic>
          </wp:inline>
        </w:drawing>
      </w:r>
      <w:r>
        <w:rPr>
          <w:rFonts w:ascii="Arial" w:hAnsi="Arial" w:cs="Arial"/>
          <w:sz w:val="20"/>
          <w:szCs w:val="20"/>
        </w:rPr>
        <w:br/>
      </w:r>
      <w:r>
        <w:rPr>
          <w:rFonts w:ascii="Arial" w:hAnsi="Arial" w:cs="Arial"/>
          <w:b/>
          <w:bCs/>
          <w:sz w:val="20"/>
          <w:szCs w:val="20"/>
        </w:rPr>
        <w:t>Fig. 3: Aquaponics setup</w:t>
      </w:r>
    </w:p>
    <w:p w14:paraId="021F55F8" w14:textId="77777777" w:rsidR="00275F5A" w:rsidRDefault="00275F5A">
      <w:pPr>
        <w:spacing w:line="240" w:lineRule="auto"/>
        <w:jc w:val="both"/>
        <w:rPr>
          <w:rFonts w:ascii="Arial" w:hAnsi="Arial" w:cs="Arial"/>
          <w:sz w:val="20"/>
          <w:szCs w:val="20"/>
        </w:rPr>
      </w:pPr>
    </w:p>
    <w:p w14:paraId="0731B0B6"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2.2Fish Used in Experiment</w:t>
      </w:r>
    </w:p>
    <w:p w14:paraId="1854F0A4" w14:textId="77777777" w:rsidR="00275F5A" w:rsidRDefault="00CF3A5E">
      <w:pPr>
        <w:rPr>
          <w:rFonts w:ascii="Arial" w:hAnsi="Arial" w:cs="Arial"/>
        </w:rPr>
      </w:pPr>
      <w:r>
        <w:rPr>
          <w:rFonts w:ascii="Arial" w:hAnsi="Arial" w:cs="Arial"/>
          <w:sz w:val="20"/>
          <w:szCs w:val="20"/>
        </w:rPr>
        <w:t xml:space="preserve">Each tank was stocked with </w:t>
      </w:r>
      <w:r>
        <w:rPr>
          <w:rFonts w:ascii="Arial" w:hAnsi="Arial" w:cs="Arial"/>
          <w:b/>
          <w:bCs/>
          <w:sz w:val="20"/>
          <w:szCs w:val="20"/>
        </w:rPr>
        <w:t>50 fingerlings</w:t>
      </w:r>
      <w:r>
        <w:rPr>
          <w:rFonts w:ascii="Arial" w:hAnsi="Arial" w:cs="Arial"/>
          <w:sz w:val="20"/>
          <w:szCs w:val="20"/>
        </w:rPr>
        <w:t xml:space="preserve"> of either </w:t>
      </w:r>
      <w:r>
        <w:rPr>
          <w:rFonts w:ascii="Arial" w:hAnsi="Arial" w:cs="Arial"/>
          <w:i/>
          <w:iCs/>
          <w:sz w:val="20"/>
          <w:szCs w:val="20"/>
        </w:rPr>
        <w:t xml:space="preserve">Cyprinus carpio </w:t>
      </w:r>
      <w:r>
        <w:rPr>
          <w:rFonts w:ascii="Arial" w:hAnsi="Arial" w:cs="Arial"/>
          <w:sz w:val="20"/>
          <w:szCs w:val="20"/>
        </w:rPr>
        <w:t xml:space="preserve">or </w:t>
      </w:r>
      <w:r>
        <w:rPr>
          <w:rFonts w:ascii="Arial" w:hAnsi="Arial" w:cs="Arial"/>
          <w:i/>
          <w:iCs/>
          <w:sz w:val="20"/>
          <w:szCs w:val="20"/>
        </w:rPr>
        <w:t xml:space="preserve">Ctenophayngodon idella </w:t>
      </w:r>
      <w:r>
        <w:rPr>
          <w:rFonts w:ascii="Arial" w:eastAsia="SimSun" w:hAnsi="Arial" w:cs="Arial"/>
          <w:color w:val="231F20"/>
          <w:kern w:val="0"/>
          <w:sz w:val="20"/>
          <w:szCs w:val="20"/>
          <w:lang w:eastAsia="zh-CN" w:bidi="ar"/>
        </w:rPr>
        <w:t>were sourced from Arjun fish farm, Palampur, HimachalPradesh, with an average length of 9.8±0.87 cm</w:t>
      </w:r>
    </w:p>
    <w:p w14:paraId="0DA088BB" w14:textId="77777777" w:rsidR="00275F5A" w:rsidRDefault="00275F5A"/>
    <w:p w14:paraId="62AA2B43" w14:textId="77777777" w:rsidR="00275F5A" w:rsidRDefault="00CF3A5E">
      <w:pPr>
        <w:spacing w:line="240" w:lineRule="auto"/>
        <w:jc w:val="both"/>
        <w:rPr>
          <w:rFonts w:ascii="Arial" w:hAnsi="Arial" w:cs="Arial"/>
          <w:b/>
          <w:bCs/>
          <w:sz w:val="20"/>
          <w:szCs w:val="20"/>
        </w:rPr>
      </w:pPr>
      <w:r>
        <w:rPr>
          <w:rFonts w:ascii="Arial" w:hAnsi="Arial" w:cs="Arial"/>
          <w:i/>
          <w:iCs/>
          <w:sz w:val="20"/>
          <w:szCs w:val="20"/>
        </w:rPr>
        <w:t>.</w:t>
      </w:r>
      <w:r>
        <w:rPr>
          <w:rFonts w:ascii="Arial" w:hAnsi="Arial" w:cs="Arial"/>
          <w:b/>
          <w:bCs/>
          <w:sz w:val="20"/>
          <w:szCs w:val="20"/>
        </w:rPr>
        <w:t>2.3Fish Diet</w:t>
      </w:r>
    </w:p>
    <w:p w14:paraId="354A89D0" w14:textId="77777777" w:rsidR="00275F5A" w:rsidRDefault="00CF3A5E">
      <w:pPr>
        <w:spacing w:line="240" w:lineRule="auto"/>
        <w:jc w:val="both"/>
        <w:rPr>
          <w:rFonts w:ascii="Arial" w:hAnsi="Arial" w:cs="Arial"/>
          <w:sz w:val="20"/>
          <w:szCs w:val="20"/>
        </w:rPr>
      </w:pPr>
      <w:r>
        <w:rPr>
          <w:rFonts w:ascii="Arial" w:hAnsi="Arial" w:cs="Arial"/>
          <w:sz w:val="20"/>
          <w:szCs w:val="20"/>
        </w:rPr>
        <w:t>Fish were fed a commercial floating feed (</w:t>
      </w:r>
      <w:r>
        <w:rPr>
          <w:rFonts w:ascii="Arial" w:hAnsi="Arial" w:cs="Arial"/>
          <w:b/>
          <w:bCs/>
          <w:sz w:val="20"/>
          <w:szCs w:val="20"/>
        </w:rPr>
        <w:t>Acuastar 42 Carat Gold Standard, ABIS Exports, India</w:t>
      </w:r>
      <w:r>
        <w:rPr>
          <w:rFonts w:ascii="Arial" w:hAnsi="Arial" w:cs="Arial"/>
          <w:sz w:val="20"/>
          <w:szCs w:val="20"/>
        </w:rPr>
        <w:t>) at 7% of body weight, twice.</w:t>
      </w:r>
    </w:p>
    <w:p w14:paraId="0795B1E7" w14:textId="77777777" w:rsidR="00275F5A" w:rsidRDefault="00CF3A5E">
      <w:pPr>
        <w:spacing w:line="240" w:lineRule="auto"/>
        <w:jc w:val="both"/>
        <w:rPr>
          <w:rFonts w:ascii="Arial" w:hAnsi="Arial" w:cs="Arial"/>
          <w:sz w:val="20"/>
          <w:szCs w:val="20"/>
        </w:rPr>
      </w:pPr>
      <w:r>
        <w:rPr>
          <w:rFonts w:ascii="Arial" w:hAnsi="Arial" w:cs="Arial"/>
          <w:noProof/>
          <w:sz w:val="20"/>
          <w:szCs w:val="20"/>
        </w:rPr>
        <w:lastRenderedPageBreak/>
        <w:drawing>
          <wp:inline distT="0" distB="0" distL="0" distR="0" wp14:anchorId="6B86F034" wp14:editId="32B9EE82">
            <wp:extent cx="4914900" cy="2087880"/>
            <wp:effectExtent l="0" t="0" r="0" b="7620"/>
            <wp:docPr id="1074847396" name="Picture 6" descr="ABIS Exports Peppercorns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47396" name="Picture 6" descr="ABIS Exports Peppercorns Packaging"/>
                    <pic:cNvPicPr>
                      <a:picLocks noChangeAspect="1" noChangeArrowheads="1"/>
                    </pic:cNvPicPr>
                  </pic:nvPicPr>
                  <pic:blipFill>
                    <a:blip r:embed="rId12" cstate="print">
                      <a:extLst>
                        <a:ext uri="{28A0092B-C50C-407E-A947-70E740481C1C}">
                          <a14:useLocalDpi xmlns:a14="http://schemas.microsoft.com/office/drawing/2010/main" val="0"/>
                        </a:ext>
                      </a:extLst>
                    </a:blip>
                    <a:srcRect l="9528" t="7332" r="5605" b="6834"/>
                    <a:stretch>
                      <a:fillRect/>
                    </a:stretch>
                  </pic:blipFill>
                  <pic:spPr>
                    <a:xfrm>
                      <a:off x="0" y="0"/>
                      <a:ext cx="4914900" cy="2087880"/>
                    </a:xfrm>
                    <a:prstGeom prst="rect">
                      <a:avLst/>
                    </a:prstGeom>
                    <a:noFill/>
                    <a:ln>
                      <a:noFill/>
                    </a:ln>
                  </pic:spPr>
                </pic:pic>
              </a:graphicData>
            </a:graphic>
          </wp:inline>
        </w:drawing>
      </w:r>
    </w:p>
    <w:p w14:paraId="14D6AD62"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Fig. 4: Feed given to fishes</w:t>
      </w:r>
    </w:p>
    <w:p w14:paraId="0AC64080" w14:textId="77777777" w:rsidR="00275F5A" w:rsidRDefault="00275F5A">
      <w:pPr>
        <w:spacing w:line="240" w:lineRule="auto"/>
        <w:jc w:val="both"/>
        <w:rPr>
          <w:rFonts w:ascii="Arial" w:hAnsi="Arial" w:cs="Arial"/>
          <w:sz w:val="20"/>
          <w:szCs w:val="20"/>
        </w:rPr>
      </w:pPr>
    </w:p>
    <w:p w14:paraId="72A5354E"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2.4Plants in Experimental Setup</w:t>
      </w:r>
    </w:p>
    <w:p w14:paraId="46FAE420"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NFT pipes were populated with the following plants </w:t>
      </w:r>
      <w:r>
        <w:rPr>
          <w:rFonts w:ascii="Arial" w:hAnsi="Arial" w:cs="Arial"/>
          <w:sz w:val="20"/>
          <w:szCs w:val="20"/>
          <w:lang w:eastAsia="zh-CN"/>
        </w:rPr>
        <w:t>10 days after germination</w:t>
      </w:r>
      <w:r>
        <w:rPr>
          <w:rFonts w:ascii="Arial" w:hAnsi="Arial" w:cs="Arial"/>
          <w:sz w:val="20"/>
          <w:szCs w:val="20"/>
        </w:rPr>
        <w:t>:</w:t>
      </w:r>
    </w:p>
    <w:p w14:paraId="0A8C183F" w14:textId="77777777" w:rsidR="00F427E9" w:rsidRPr="0040187D" w:rsidRDefault="00F427E9" w:rsidP="00F427E9">
      <w:pPr>
        <w:spacing w:line="240" w:lineRule="auto"/>
        <w:jc w:val="both"/>
        <w:rPr>
          <w:rFonts w:ascii="Arial" w:hAnsi="Arial" w:cs="Arial"/>
          <w:sz w:val="22"/>
          <w:szCs w:val="22"/>
        </w:rPr>
      </w:pPr>
      <w:r w:rsidRPr="0040187D">
        <w:rPr>
          <w:rFonts w:ascii="Arial" w:hAnsi="Arial" w:cs="Arial"/>
          <w:b/>
          <w:bCs/>
          <w:sz w:val="22"/>
          <w:szCs w:val="22"/>
        </w:rPr>
        <w:t xml:space="preserve">Table </w:t>
      </w:r>
      <w:r>
        <w:rPr>
          <w:rFonts w:ascii="Arial" w:hAnsi="Arial" w:cs="Arial"/>
          <w:b/>
          <w:bCs/>
          <w:sz w:val="22"/>
          <w:szCs w:val="22"/>
        </w:rPr>
        <w:t>1</w:t>
      </w:r>
      <w:r w:rsidRPr="0040187D">
        <w:rPr>
          <w:rFonts w:ascii="Arial" w:hAnsi="Arial" w:cs="Arial"/>
          <w:b/>
          <w:bCs/>
          <w:sz w:val="22"/>
          <w:szCs w:val="22"/>
        </w:rPr>
        <w:t>: Plants Used in Experiment</w:t>
      </w:r>
    </w:p>
    <w:tbl>
      <w:tblPr>
        <w:tblStyle w:val="PlainTable11"/>
        <w:tblW w:w="0" w:type="auto"/>
        <w:tblLook w:val="04A0" w:firstRow="1" w:lastRow="0" w:firstColumn="1" w:lastColumn="0" w:noHBand="0" w:noVBand="1"/>
      </w:tblPr>
      <w:tblGrid>
        <w:gridCol w:w="2695"/>
        <w:gridCol w:w="2550"/>
        <w:gridCol w:w="2490"/>
      </w:tblGrid>
      <w:tr w:rsidR="00275F5A" w14:paraId="4E2B6F50" w14:textId="77777777" w:rsidTr="0027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20E83F5" w14:textId="77777777" w:rsidR="00275F5A" w:rsidRDefault="00CF3A5E">
            <w:pPr>
              <w:spacing w:after="0" w:line="240" w:lineRule="auto"/>
              <w:jc w:val="both"/>
              <w:rPr>
                <w:rFonts w:ascii="Arial" w:hAnsi="Arial" w:cs="Arial"/>
                <w:sz w:val="20"/>
                <w:szCs w:val="20"/>
              </w:rPr>
            </w:pPr>
            <w:r>
              <w:rPr>
                <w:rFonts w:ascii="Arial" w:hAnsi="Arial" w:cs="Arial"/>
                <w:sz w:val="20"/>
                <w:szCs w:val="20"/>
              </w:rPr>
              <w:t>Botanical Name</w:t>
            </w:r>
          </w:p>
        </w:tc>
        <w:tc>
          <w:tcPr>
            <w:tcW w:w="2550" w:type="dxa"/>
          </w:tcPr>
          <w:p w14:paraId="21E909CD" w14:textId="77777777" w:rsidR="00275F5A" w:rsidRDefault="00CF3A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Common Name</w:t>
            </w:r>
          </w:p>
        </w:tc>
        <w:tc>
          <w:tcPr>
            <w:tcW w:w="2490" w:type="dxa"/>
          </w:tcPr>
          <w:p w14:paraId="0429AF01" w14:textId="77777777" w:rsidR="00275F5A" w:rsidRDefault="00CF3A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Local Name</w:t>
            </w:r>
          </w:p>
        </w:tc>
      </w:tr>
      <w:tr w:rsidR="00275F5A" w14:paraId="73B42E24" w14:textId="77777777" w:rsidTr="00275F5A">
        <w:tc>
          <w:tcPr>
            <w:cnfStyle w:val="001000000000" w:firstRow="0" w:lastRow="0" w:firstColumn="1" w:lastColumn="0" w:oddVBand="0" w:evenVBand="0" w:oddHBand="0" w:evenHBand="0" w:firstRowFirstColumn="0" w:firstRowLastColumn="0" w:lastRowFirstColumn="0" w:lastRowLastColumn="0"/>
            <w:tcW w:w="2695" w:type="dxa"/>
            <w:shd w:val="clear" w:color="auto" w:fill="F2F2F2" w:themeFill="background1" w:themeFillShade="F2"/>
          </w:tcPr>
          <w:p w14:paraId="735A2182" w14:textId="77777777" w:rsidR="00275F5A" w:rsidRDefault="00CF3A5E">
            <w:pPr>
              <w:spacing w:after="0" w:line="240" w:lineRule="auto"/>
              <w:jc w:val="both"/>
              <w:rPr>
                <w:rFonts w:ascii="Arial" w:hAnsi="Arial" w:cs="Arial"/>
                <w:b w:val="0"/>
                <w:bCs w:val="0"/>
                <w:sz w:val="20"/>
                <w:szCs w:val="20"/>
              </w:rPr>
            </w:pPr>
            <w:r>
              <w:rPr>
                <w:rFonts w:ascii="Arial" w:hAnsi="Arial" w:cs="Arial"/>
                <w:i/>
                <w:iCs/>
                <w:sz w:val="20"/>
                <w:szCs w:val="20"/>
              </w:rPr>
              <w:t>Coriandrum sativum</w:t>
            </w:r>
          </w:p>
        </w:tc>
        <w:tc>
          <w:tcPr>
            <w:tcW w:w="2550" w:type="dxa"/>
            <w:shd w:val="clear" w:color="auto" w:fill="F2F2F2" w:themeFill="background1" w:themeFillShade="F2"/>
          </w:tcPr>
          <w:p w14:paraId="63C46313" w14:textId="77777777" w:rsidR="00275F5A" w:rsidRDefault="00CF3A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Coriander</w:t>
            </w:r>
          </w:p>
        </w:tc>
        <w:tc>
          <w:tcPr>
            <w:tcW w:w="2490" w:type="dxa"/>
            <w:shd w:val="clear" w:color="auto" w:fill="F2F2F2" w:themeFill="background1" w:themeFillShade="F2"/>
          </w:tcPr>
          <w:p w14:paraId="0019AAA5" w14:textId="77777777" w:rsidR="00275F5A" w:rsidRDefault="00CF3A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Dhania</w:t>
            </w:r>
          </w:p>
        </w:tc>
      </w:tr>
      <w:tr w:rsidR="00275F5A" w14:paraId="240A76C6" w14:textId="77777777" w:rsidTr="00275F5A">
        <w:tc>
          <w:tcPr>
            <w:cnfStyle w:val="001000000000" w:firstRow="0" w:lastRow="0" w:firstColumn="1" w:lastColumn="0" w:oddVBand="0" w:evenVBand="0" w:oddHBand="0" w:evenHBand="0" w:firstRowFirstColumn="0" w:firstRowLastColumn="0" w:lastRowFirstColumn="0" w:lastRowLastColumn="0"/>
            <w:tcW w:w="2695" w:type="dxa"/>
          </w:tcPr>
          <w:p w14:paraId="625B0FBE" w14:textId="77777777" w:rsidR="00275F5A" w:rsidRDefault="00CF3A5E">
            <w:pPr>
              <w:spacing w:after="0" w:line="240" w:lineRule="auto"/>
              <w:jc w:val="both"/>
              <w:rPr>
                <w:rFonts w:ascii="Arial" w:hAnsi="Arial" w:cs="Arial"/>
                <w:b w:val="0"/>
                <w:bCs w:val="0"/>
                <w:sz w:val="20"/>
                <w:szCs w:val="20"/>
              </w:rPr>
            </w:pPr>
            <w:r>
              <w:rPr>
                <w:rFonts w:ascii="Arial" w:hAnsi="Arial" w:cs="Arial"/>
                <w:i/>
                <w:iCs/>
                <w:sz w:val="20"/>
                <w:szCs w:val="20"/>
              </w:rPr>
              <w:t>Spinacia oleracea</w:t>
            </w:r>
          </w:p>
        </w:tc>
        <w:tc>
          <w:tcPr>
            <w:tcW w:w="2550" w:type="dxa"/>
          </w:tcPr>
          <w:p w14:paraId="5A77CC74" w14:textId="77777777" w:rsidR="00275F5A" w:rsidRDefault="00CF3A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Spinach</w:t>
            </w:r>
          </w:p>
        </w:tc>
        <w:tc>
          <w:tcPr>
            <w:tcW w:w="2490" w:type="dxa"/>
          </w:tcPr>
          <w:p w14:paraId="40EB7594" w14:textId="77777777" w:rsidR="00275F5A" w:rsidRDefault="00CF3A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Palak</w:t>
            </w:r>
          </w:p>
        </w:tc>
      </w:tr>
      <w:tr w:rsidR="00275F5A" w14:paraId="093BF86C" w14:textId="77777777" w:rsidTr="00275F5A">
        <w:tc>
          <w:tcPr>
            <w:cnfStyle w:val="001000000000" w:firstRow="0" w:lastRow="0" w:firstColumn="1" w:lastColumn="0" w:oddVBand="0" w:evenVBand="0" w:oddHBand="0" w:evenHBand="0" w:firstRowFirstColumn="0" w:firstRowLastColumn="0" w:lastRowFirstColumn="0" w:lastRowLastColumn="0"/>
            <w:tcW w:w="2695" w:type="dxa"/>
            <w:shd w:val="clear" w:color="auto" w:fill="F2F2F2" w:themeFill="background1" w:themeFillShade="F2"/>
          </w:tcPr>
          <w:p w14:paraId="407B52C3" w14:textId="77777777" w:rsidR="00275F5A" w:rsidRDefault="00CF3A5E">
            <w:pPr>
              <w:spacing w:after="0" w:line="240" w:lineRule="auto"/>
              <w:jc w:val="both"/>
              <w:rPr>
                <w:rFonts w:ascii="Arial" w:hAnsi="Arial" w:cs="Arial"/>
                <w:b w:val="0"/>
                <w:bCs w:val="0"/>
                <w:sz w:val="20"/>
                <w:szCs w:val="20"/>
              </w:rPr>
            </w:pPr>
            <w:r>
              <w:rPr>
                <w:rFonts w:ascii="Arial" w:hAnsi="Arial" w:cs="Arial"/>
                <w:i/>
                <w:iCs/>
                <w:sz w:val="20"/>
                <w:szCs w:val="20"/>
              </w:rPr>
              <w:t>Chenopodium album</w:t>
            </w:r>
          </w:p>
        </w:tc>
        <w:tc>
          <w:tcPr>
            <w:tcW w:w="2550" w:type="dxa"/>
            <w:shd w:val="clear" w:color="auto" w:fill="F2F2F2" w:themeFill="background1" w:themeFillShade="F2"/>
          </w:tcPr>
          <w:p w14:paraId="5622CB98" w14:textId="77777777" w:rsidR="00275F5A" w:rsidRDefault="00CF3A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White Goosefoot</w:t>
            </w:r>
          </w:p>
        </w:tc>
        <w:tc>
          <w:tcPr>
            <w:tcW w:w="2490" w:type="dxa"/>
            <w:shd w:val="clear" w:color="auto" w:fill="F2F2F2" w:themeFill="background1" w:themeFillShade="F2"/>
          </w:tcPr>
          <w:p w14:paraId="0FE96E5F" w14:textId="77777777" w:rsidR="00275F5A" w:rsidRDefault="00CF3A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Bathua saag</w:t>
            </w:r>
          </w:p>
        </w:tc>
      </w:tr>
    </w:tbl>
    <w:p w14:paraId="5CB60CC4" w14:textId="77777777" w:rsidR="00275F5A" w:rsidRDefault="00CF3A5E">
      <w:pPr>
        <w:spacing w:line="240" w:lineRule="auto"/>
        <w:jc w:val="both"/>
        <w:rPr>
          <w:rFonts w:ascii="Arial" w:hAnsi="Arial" w:cs="Arial"/>
          <w:sz w:val="20"/>
          <w:szCs w:val="20"/>
        </w:rPr>
      </w:pPr>
      <w:r>
        <w:rPr>
          <w:rFonts w:ascii="Arial" w:hAnsi="Arial" w:cs="Arial"/>
          <w:b/>
          <w:bCs/>
          <w:sz w:val="20"/>
          <w:szCs w:val="20"/>
        </w:rPr>
        <w:t>Control:</w:t>
      </w:r>
      <w:r>
        <w:rPr>
          <w:rFonts w:ascii="Arial" w:hAnsi="Arial" w:cs="Arial"/>
          <w:sz w:val="20"/>
          <w:szCs w:val="20"/>
        </w:rPr>
        <w:t xml:space="preserve"> Soil-based plots (3 × 2 m²) cultivated the same plant species under standard agronomic practices without aquaponic inputs.</w:t>
      </w:r>
    </w:p>
    <w:p w14:paraId="4F14AA9F" w14:textId="77777777" w:rsidR="00275F5A" w:rsidRDefault="00275F5A">
      <w:pPr>
        <w:spacing w:line="240" w:lineRule="auto"/>
        <w:jc w:val="both"/>
        <w:rPr>
          <w:rFonts w:ascii="Arial" w:hAnsi="Arial" w:cs="Arial"/>
          <w:sz w:val="20"/>
          <w:szCs w:val="20"/>
        </w:rPr>
      </w:pPr>
    </w:p>
    <w:p w14:paraId="66E2736C"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2.5Fish Growth Measurement</w:t>
      </w:r>
    </w:p>
    <w:p w14:paraId="1872D206" w14:textId="77777777" w:rsidR="00275F5A" w:rsidRDefault="00CF3A5E">
      <w:pPr>
        <w:spacing w:line="240" w:lineRule="auto"/>
        <w:jc w:val="both"/>
        <w:rPr>
          <w:rFonts w:ascii="Arial" w:hAnsi="Arial" w:cs="Arial"/>
          <w:sz w:val="20"/>
          <w:szCs w:val="20"/>
        </w:rPr>
      </w:pPr>
      <w:r>
        <w:rPr>
          <w:rFonts w:ascii="Arial" w:hAnsi="Arial" w:cs="Arial"/>
          <w:sz w:val="20"/>
          <w:szCs w:val="20"/>
        </w:rPr>
        <w:t>Growth performance was evaluated using:</w:t>
      </w:r>
    </w:p>
    <w:p w14:paraId="07EFF737" w14:textId="77777777" w:rsidR="00275F5A" w:rsidRDefault="00CF3A5E">
      <w:pPr>
        <w:numPr>
          <w:ilvl w:val="0"/>
          <w:numId w:val="1"/>
        </w:numPr>
        <w:spacing w:line="240" w:lineRule="auto"/>
        <w:jc w:val="both"/>
        <w:rPr>
          <w:rFonts w:ascii="Arial" w:hAnsi="Arial" w:cs="Arial"/>
          <w:sz w:val="20"/>
          <w:szCs w:val="20"/>
        </w:rPr>
      </w:pPr>
      <w:r>
        <w:rPr>
          <w:rFonts w:ascii="Arial" w:hAnsi="Arial" w:cs="Arial"/>
          <w:b/>
          <w:bCs/>
          <w:sz w:val="20"/>
          <w:szCs w:val="20"/>
        </w:rPr>
        <w:t>Length growth (cm):</w:t>
      </w:r>
      <w:r>
        <w:rPr>
          <w:rFonts w:ascii="Arial" w:hAnsi="Arial" w:cs="Arial"/>
          <w:sz w:val="20"/>
          <w:szCs w:val="20"/>
        </w:rPr>
        <w:t xml:space="preserve"> Final length – Initial length</w:t>
      </w:r>
    </w:p>
    <w:p w14:paraId="1BEBB3F4" w14:textId="77777777" w:rsidR="00275F5A" w:rsidRDefault="00CF3A5E">
      <w:pPr>
        <w:numPr>
          <w:ilvl w:val="0"/>
          <w:numId w:val="1"/>
        </w:numPr>
        <w:spacing w:line="240" w:lineRule="auto"/>
        <w:jc w:val="both"/>
        <w:rPr>
          <w:rFonts w:ascii="Arial" w:hAnsi="Arial" w:cs="Arial"/>
          <w:sz w:val="20"/>
          <w:szCs w:val="20"/>
        </w:rPr>
      </w:pPr>
      <w:r>
        <w:rPr>
          <w:rFonts w:ascii="Arial" w:hAnsi="Arial" w:cs="Arial"/>
          <w:b/>
          <w:bCs/>
          <w:sz w:val="20"/>
          <w:szCs w:val="20"/>
        </w:rPr>
        <w:t>Weight growth (g):</w:t>
      </w:r>
      <w:r>
        <w:rPr>
          <w:rFonts w:ascii="Arial" w:hAnsi="Arial" w:cs="Arial"/>
          <w:sz w:val="20"/>
          <w:szCs w:val="20"/>
        </w:rPr>
        <w:t xml:space="preserve"> Final weight – Initial weight</w:t>
      </w:r>
    </w:p>
    <w:p w14:paraId="3C63493E" w14:textId="77777777" w:rsidR="00275F5A" w:rsidRDefault="00CF3A5E">
      <w:pPr>
        <w:numPr>
          <w:ilvl w:val="0"/>
          <w:numId w:val="1"/>
        </w:numPr>
        <w:spacing w:line="240" w:lineRule="auto"/>
        <w:jc w:val="both"/>
        <w:rPr>
          <w:rFonts w:ascii="Arial" w:hAnsi="Arial" w:cs="Arial"/>
          <w:sz w:val="20"/>
          <w:szCs w:val="20"/>
        </w:rPr>
      </w:pPr>
      <w:r>
        <w:rPr>
          <w:rFonts w:ascii="Arial" w:hAnsi="Arial" w:cs="Arial"/>
          <w:b/>
          <w:bCs/>
          <w:sz w:val="20"/>
          <w:szCs w:val="20"/>
        </w:rPr>
        <w:t>Specific Growth Rate (SGR %):</w:t>
      </w:r>
      <w:r>
        <w:rPr>
          <w:rFonts w:ascii="Arial" w:hAnsi="Arial" w:cs="Arial"/>
          <w:sz w:val="20"/>
          <w:szCs w:val="20"/>
        </w:rPr>
        <w:t xml:space="preserve"> [(ln Wt – ln Wo)/t] × 100</w:t>
      </w:r>
    </w:p>
    <w:p w14:paraId="47FDB2CE" w14:textId="77777777" w:rsidR="00275F5A" w:rsidRDefault="00CF3A5E">
      <w:pPr>
        <w:numPr>
          <w:ilvl w:val="0"/>
          <w:numId w:val="1"/>
        </w:numPr>
        <w:spacing w:line="240" w:lineRule="auto"/>
        <w:jc w:val="both"/>
        <w:rPr>
          <w:rFonts w:ascii="Arial" w:hAnsi="Arial" w:cs="Arial"/>
          <w:sz w:val="20"/>
          <w:szCs w:val="20"/>
        </w:rPr>
      </w:pPr>
      <w:r>
        <w:rPr>
          <w:rFonts w:ascii="Arial" w:hAnsi="Arial" w:cs="Arial"/>
          <w:b/>
          <w:bCs/>
          <w:sz w:val="20"/>
          <w:szCs w:val="20"/>
        </w:rPr>
        <w:t>Feed Conversion Ratio (FCR):</w:t>
      </w:r>
      <w:r>
        <w:rPr>
          <w:rFonts w:ascii="Arial" w:hAnsi="Arial" w:cs="Arial"/>
          <w:sz w:val="20"/>
          <w:szCs w:val="20"/>
        </w:rPr>
        <w:t xml:space="preserve"> Total feed / Weight gain</w:t>
      </w:r>
    </w:p>
    <w:p w14:paraId="6AC15629" w14:textId="77777777" w:rsidR="00275F5A" w:rsidRDefault="00275F5A">
      <w:pPr>
        <w:spacing w:line="240" w:lineRule="auto"/>
        <w:jc w:val="both"/>
        <w:rPr>
          <w:rFonts w:ascii="Arial" w:hAnsi="Arial" w:cs="Arial"/>
          <w:sz w:val="20"/>
          <w:szCs w:val="20"/>
        </w:rPr>
      </w:pPr>
    </w:p>
    <w:p w14:paraId="16134E1F"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2.6Plant Growth Measurement</w:t>
      </w:r>
    </w:p>
    <w:p w14:paraId="7DA8ABF6"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Plant growth was measured as </w:t>
      </w:r>
      <w:r>
        <w:rPr>
          <w:rFonts w:ascii="Arial" w:hAnsi="Arial" w:cs="Arial"/>
          <w:b/>
          <w:bCs/>
          <w:sz w:val="20"/>
          <w:szCs w:val="20"/>
        </w:rPr>
        <w:t>length increase (cm):</w:t>
      </w:r>
      <w:r>
        <w:rPr>
          <w:rFonts w:ascii="Arial" w:hAnsi="Arial" w:cs="Arial"/>
          <w:sz w:val="20"/>
          <w:szCs w:val="20"/>
        </w:rPr>
        <w:t xml:space="preserve"> Final length – Initial length.</w:t>
      </w:r>
    </w:p>
    <w:p w14:paraId="4AD9FF1E" w14:textId="77777777" w:rsidR="00275F5A" w:rsidRDefault="00275F5A">
      <w:pPr>
        <w:spacing w:line="240" w:lineRule="auto"/>
        <w:jc w:val="both"/>
        <w:rPr>
          <w:rFonts w:ascii="Arial" w:hAnsi="Arial" w:cs="Arial"/>
          <w:sz w:val="20"/>
          <w:szCs w:val="20"/>
        </w:rPr>
      </w:pPr>
    </w:p>
    <w:p w14:paraId="281CFA64"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2.7Water Quality Protocols</w:t>
      </w:r>
    </w:p>
    <w:p w14:paraId="7ABE95A8" w14:textId="77777777" w:rsidR="00275F5A" w:rsidRDefault="00CF3A5E">
      <w:pPr>
        <w:spacing w:line="240" w:lineRule="auto"/>
        <w:jc w:val="both"/>
        <w:rPr>
          <w:rFonts w:ascii="Arial" w:hAnsi="Arial" w:cs="Arial"/>
          <w:color w:val="FF0000"/>
          <w:sz w:val="20"/>
          <w:szCs w:val="20"/>
          <w:lang w:eastAsia="zh-CN"/>
        </w:rPr>
      </w:pPr>
      <w:r>
        <w:rPr>
          <w:rFonts w:ascii="Arial" w:hAnsi="Arial" w:cs="Arial"/>
          <w:color w:val="FF0000"/>
          <w:sz w:val="20"/>
          <w:szCs w:val="20"/>
          <w:lang w:eastAsia="zh-CN"/>
        </w:rPr>
        <w:t>Water quality monitoring was conducted twice a week to ensure optimal conditions in the tank. The water quality parameters were assessed by using modified conventional APHA (2005) procedures.</w:t>
      </w:r>
    </w:p>
    <w:p w14:paraId="7C804B3C" w14:textId="77777777" w:rsidR="00275F5A" w:rsidRDefault="00275F5A">
      <w:pPr>
        <w:spacing w:line="240" w:lineRule="auto"/>
        <w:jc w:val="both"/>
        <w:rPr>
          <w:rFonts w:ascii="Arial" w:hAnsi="Arial" w:cs="Arial"/>
          <w:color w:val="FF0000"/>
          <w:sz w:val="20"/>
          <w:szCs w:val="20"/>
        </w:rPr>
      </w:pPr>
    </w:p>
    <w:p w14:paraId="60D32AB7"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lastRenderedPageBreak/>
        <w:t>Temperature:</w:t>
      </w:r>
      <w:r>
        <w:rPr>
          <w:rFonts w:ascii="Arial" w:hAnsi="Arial" w:cs="Arial"/>
          <w:sz w:val="20"/>
          <w:szCs w:val="20"/>
        </w:rPr>
        <w:t xml:space="preserve"> Measured with thermometer (±0.1°C)</w:t>
      </w:r>
    </w:p>
    <w:p w14:paraId="201A9A4E"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pH:</w:t>
      </w:r>
      <w:r>
        <w:rPr>
          <w:rFonts w:ascii="Arial" w:hAnsi="Arial" w:cs="Arial"/>
          <w:sz w:val="20"/>
          <w:szCs w:val="20"/>
        </w:rPr>
        <w:t xml:space="preserve"> Standardized digital pH meter</w:t>
      </w:r>
    </w:p>
    <w:p w14:paraId="379E646C"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Electrical Conductivity (EC):</w:t>
      </w:r>
      <w:r>
        <w:rPr>
          <w:rFonts w:ascii="Arial" w:hAnsi="Arial" w:cs="Arial"/>
          <w:sz w:val="20"/>
          <w:szCs w:val="20"/>
        </w:rPr>
        <w:t xml:space="preserve"> Digital conductivity meter, μS/cm</w:t>
      </w:r>
    </w:p>
    <w:p w14:paraId="527F6504"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Dissolved Oxygen (DO):</w:t>
      </w:r>
      <w:r>
        <w:rPr>
          <w:rFonts w:ascii="Arial" w:hAnsi="Arial" w:cs="Arial"/>
          <w:sz w:val="20"/>
          <w:szCs w:val="20"/>
        </w:rPr>
        <w:t xml:space="preserve"> Winkler titration method</w:t>
      </w:r>
    </w:p>
    <w:p w14:paraId="7C5325DD"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Total Alkalinity:</w:t>
      </w:r>
      <w:r>
        <w:rPr>
          <w:rFonts w:ascii="Arial" w:hAnsi="Arial" w:cs="Arial"/>
          <w:sz w:val="20"/>
          <w:szCs w:val="20"/>
        </w:rPr>
        <w:t xml:space="preserve"> Titration with 0.01 N HCl using phenolphthalein and methyl orange indicators</w:t>
      </w:r>
    </w:p>
    <w:p w14:paraId="1CE08034"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Ammonia:</w:t>
      </w:r>
      <w:r>
        <w:rPr>
          <w:rFonts w:ascii="Arial" w:hAnsi="Arial" w:cs="Arial"/>
          <w:sz w:val="20"/>
          <w:szCs w:val="20"/>
        </w:rPr>
        <w:t xml:space="preserve"> Nesslerization method, optical density at 410 nm</w:t>
      </w:r>
    </w:p>
    <w:p w14:paraId="6BA31A89"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Nitrite:</w:t>
      </w:r>
      <w:r>
        <w:rPr>
          <w:rFonts w:ascii="Arial" w:hAnsi="Arial" w:cs="Arial"/>
          <w:sz w:val="20"/>
          <w:szCs w:val="20"/>
        </w:rPr>
        <w:t xml:space="preserve"> Sulphanilamide and aromatic amine reagents, absorbance at 543 nm</w:t>
      </w:r>
    </w:p>
    <w:p w14:paraId="6B3DFD31" w14:textId="77777777" w:rsidR="00275F5A" w:rsidRDefault="00CF3A5E">
      <w:pPr>
        <w:numPr>
          <w:ilvl w:val="0"/>
          <w:numId w:val="2"/>
        </w:numPr>
        <w:spacing w:line="240" w:lineRule="auto"/>
        <w:jc w:val="both"/>
        <w:rPr>
          <w:rFonts w:ascii="Arial" w:hAnsi="Arial" w:cs="Arial"/>
          <w:sz w:val="20"/>
          <w:szCs w:val="20"/>
        </w:rPr>
      </w:pPr>
      <w:r>
        <w:rPr>
          <w:rFonts w:ascii="Arial" w:hAnsi="Arial" w:cs="Arial"/>
          <w:b/>
          <w:bCs/>
          <w:sz w:val="20"/>
          <w:szCs w:val="20"/>
        </w:rPr>
        <w:t>Nitrate:</w:t>
      </w:r>
      <w:r>
        <w:rPr>
          <w:rFonts w:ascii="Arial" w:hAnsi="Arial" w:cs="Arial"/>
          <w:sz w:val="20"/>
          <w:szCs w:val="20"/>
        </w:rPr>
        <w:t xml:space="preserve"> Phenoldisulphonic acid method, absorbance at 410 nm</w:t>
      </w:r>
    </w:p>
    <w:p w14:paraId="442731B8" w14:textId="77777777" w:rsidR="00275F5A" w:rsidRDefault="00275F5A">
      <w:pPr>
        <w:spacing w:line="240" w:lineRule="auto"/>
        <w:jc w:val="both"/>
        <w:rPr>
          <w:rFonts w:ascii="Arial" w:hAnsi="Arial" w:cs="Arial"/>
          <w:sz w:val="20"/>
          <w:szCs w:val="20"/>
        </w:rPr>
      </w:pPr>
    </w:p>
    <w:p w14:paraId="2EAB2F7E"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2.8Data Analysis</w:t>
      </w:r>
    </w:p>
    <w:p w14:paraId="7849D1D5"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Fish and plant growth metrics, along with water quality parameters, were compiled, analyzed, and presented graphically using </w:t>
      </w:r>
      <w:r>
        <w:rPr>
          <w:rFonts w:ascii="Arial" w:hAnsi="Arial" w:cs="Arial"/>
          <w:b/>
          <w:bCs/>
          <w:sz w:val="20"/>
          <w:szCs w:val="20"/>
        </w:rPr>
        <w:t>Microsoft Excel 365</w:t>
      </w:r>
      <w:r>
        <w:rPr>
          <w:rFonts w:ascii="Arial" w:hAnsi="Arial" w:cs="Arial"/>
          <w:sz w:val="20"/>
          <w:szCs w:val="20"/>
        </w:rPr>
        <w:t>.</w:t>
      </w:r>
    </w:p>
    <w:p w14:paraId="4303C925" w14:textId="77777777" w:rsidR="00275F5A" w:rsidRDefault="00275F5A">
      <w:pPr>
        <w:spacing w:line="240" w:lineRule="auto"/>
        <w:jc w:val="both"/>
        <w:rPr>
          <w:rFonts w:ascii="Arial" w:hAnsi="Arial" w:cs="Arial"/>
          <w:sz w:val="20"/>
          <w:szCs w:val="20"/>
        </w:rPr>
      </w:pPr>
    </w:p>
    <w:p w14:paraId="03487885"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3.RESULTS</w:t>
      </w:r>
    </w:p>
    <w:p w14:paraId="0E444542" w14:textId="77777777" w:rsidR="00275F5A" w:rsidRDefault="00CF3A5E">
      <w:pPr>
        <w:spacing w:line="240" w:lineRule="auto"/>
        <w:jc w:val="both"/>
        <w:rPr>
          <w:rFonts w:ascii="Arial" w:hAnsi="Arial" w:cs="Arial"/>
          <w:sz w:val="20"/>
          <w:szCs w:val="20"/>
        </w:rPr>
      </w:pPr>
      <w:r>
        <w:rPr>
          <w:rFonts w:ascii="Arial" w:hAnsi="Arial" w:cs="Arial"/>
          <w:b/>
          <w:bCs/>
          <w:sz w:val="20"/>
          <w:szCs w:val="20"/>
        </w:rPr>
        <w:t>3.1Water Quality in Aquaponics and Pond System</w:t>
      </w:r>
    </w:p>
    <w:p w14:paraId="6C21BEA2" w14:textId="77777777" w:rsidR="00275F5A" w:rsidRDefault="00CF3A5E">
      <w:pPr>
        <w:spacing w:line="240" w:lineRule="auto"/>
        <w:jc w:val="both"/>
        <w:rPr>
          <w:rFonts w:ascii="Arial" w:hAnsi="Arial" w:cs="Arial"/>
          <w:sz w:val="20"/>
          <w:szCs w:val="20"/>
        </w:rPr>
      </w:pPr>
      <w:r>
        <w:rPr>
          <w:rFonts w:ascii="Arial" w:hAnsi="Arial" w:cs="Arial"/>
          <w:sz w:val="20"/>
          <w:szCs w:val="20"/>
        </w:rPr>
        <w:t>With an average temperature of 16.33 ± 4.90 °C, pH of 7.60 ± 0.21, dissolved oxygen of 6.59 ± 0.16 mg/L, electrical conductivity of 157.15 ± 3.20 µS/cm, and alkalinity of 114.28 ± 7.04 mg/L, the aquaponic system maintained consistent and positive water quality characteristics. Fish health and efficient nutrient cycling were supported by ammonia (0.0017 ± 0.0007 mg/L), nitrate (0.060 ± 0.014 mg/L), and nitrite (0.045 ± 0.009 mg/L) being within optimum values. The average water temperature in the pond system was 16.55 ± 5.50 °C, the pH was slightly lower at 7.12 ± 0.44, and the dissolved oxygen was higher at 7.70 ± 0.58 mg/L. EC (178.8 ± 8.07 µS/cm) and alkalinity (120.9 ± 3.61 mg/L) were slightly higher than in aquaponics; ammonia (0.0022 ± 0.0018 mg/L), nitrate (0.059 ± 0.015 mg/L), and nitrite (0.042 ± 0.010 mg/L) were all kept within safe limits(Table 2).</w:t>
      </w:r>
    </w:p>
    <w:p w14:paraId="659B2C88" w14:textId="77777777" w:rsidR="00275F5A" w:rsidRDefault="00CF3A5E">
      <w:pPr>
        <w:spacing w:line="240" w:lineRule="auto"/>
        <w:jc w:val="both"/>
        <w:rPr>
          <w:rFonts w:ascii="Arial" w:hAnsi="Arial" w:cs="Arial"/>
          <w:b/>
          <w:bCs/>
          <w:sz w:val="20"/>
          <w:szCs w:val="20"/>
          <w:lang w:val="en-IN"/>
        </w:rPr>
      </w:pPr>
      <w:r>
        <w:rPr>
          <w:rFonts w:ascii="Arial" w:hAnsi="Arial" w:cs="Arial"/>
          <w:b/>
          <w:bCs/>
          <w:sz w:val="20"/>
          <w:szCs w:val="20"/>
          <w:lang w:val="en-IN"/>
        </w:rPr>
        <w:t>Table 2: Average Values of water parameters in aquaponic setup and pond system recorded during the experiment</w:t>
      </w:r>
    </w:p>
    <w:tbl>
      <w:tblPr>
        <w:tblStyle w:val="TableGrid"/>
        <w:tblW w:w="9350" w:type="dxa"/>
        <w:tblLook w:val="04A0" w:firstRow="1" w:lastRow="0" w:firstColumn="1" w:lastColumn="0" w:noHBand="0" w:noVBand="1"/>
      </w:tblPr>
      <w:tblGrid>
        <w:gridCol w:w="729"/>
        <w:gridCol w:w="2229"/>
        <w:gridCol w:w="1550"/>
        <w:gridCol w:w="2179"/>
        <w:gridCol w:w="2663"/>
      </w:tblGrid>
      <w:tr w:rsidR="00275F5A" w14:paraId="1BF66916" w14:textId="77777777">
        <w:trPr>
          <w:trHeight w:val="550"/>
        </w:trPr>
        <w:tc>
          <w:tcPr>
            <w:tcW w:w="719" w:type="dxa"/>
            <w:tcBorders>
              <w:top w:val="single" w:sz="4" w:space="0" w:color="auto"/>
              <w:left w:val="single" w:sz="4" w:space="0" w:color="auto"/>
              <w:bottom w:val="single" w:sz="4" w:space="0" w:color="auto"/>
              <w:right w:val="single" w:sz="4" w:space="0" w:color="auto"/>
            </w:tcBorders>
          </w:tcPr>
          <w:p w14:paraId="0D085BF7"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S.No.</w:t>
            </w:r>
          </w:p>
        </w:tc>
        <w:tc>
          <w:tcPr>
            <w:tcW w:w="2233" w:type="dxa"/>
            <w:tcBorders>
              <w:top w:val="single" w:sz="4" w:space="0" w:color="auto"/>
              <w:left w:val="single" w:sz="4" w:space="0" w:color="auto"/>
              <w:bottom w:val="single" w:sz="4" w:space="0" w:color="auto"/>
              <w:right w:val="single" w:sz="4" w:space="0" w:color="auto"/>
            </w:tcBorders>
          </w:tcPr>
          <w:p w14:paraId="14BCBE3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Parameters</w:t>
            </w:r>
          </w:p>
        </w:tc>
        <w:tc>
          <w:tcPr>
            <w:tcW w:w="1547" w:type="dxa"/>
            <w:tcBorders>
              <w:top w:val="single" w:sz="4" w:space="0" w:color="auto"/>
              <w:left w:val="single" w:sz="4" w:space="0" w:color="auto"/>
              <w:bottom w:val="single" w:sz="4" w:space="0" w:color="auto"/>
              <w:right w:val="single" w:sz="4" w:space="0" w:color="auto"/>
            </w:tcBorders>
          </w:tcPr>
          <w:p w14:paraId="27D91EC4"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Average Value</w:t>
            </w:r>
          </w:p>
        </w:tc>
        <w:tc>
          <w:tcPr>
            <w:tcW w:w="2182" w:type="dxa"/>
            <w:tcBorders>
              <w:top w:val="single" w:sz="4" w:space="0" w:color="auto"/>
              <w:left w:val="single" w:sz="4" w:space="0" w:color="auto"/>
              <w:bottom w:val="single" w:sz="4" w:space="0" w:color="auto"/>
              <w:right w:val="single" w:sz="4" w:space="0" w:color="auto"/>
            </w:tcBorders>
          </w:tcPr>
          <w:p w14:paraId="4F7E0B2F"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Average</w:t>
            </w:r>
          </w:p>
          <w:p w14:paraId="317FFCF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Value</w:t>
            </w:r>
          </w:p>
        </w:tc>
        <w:tc>
          <w:tcPr>
            <w:tcW w:w="2669" w:type="dxa"/>
            <w:tcBorders>
              <w:top w:val="single" w:sz="4" w:space="0" w:color="auto"/>
              <w:left w:val="single" w:sz="4" w:space="0" w:color="auto"/>
              <w:bottom w:val="single" w:sz="4" w:space="0" w:color="auto"/>
              <w:right w:val="single" w:sz="4" w:space="0" w:color="auto"/>
            </w:tcBorders>
          </w:tcPr>
          <w:p w14:paraId="16176E7D"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Standard Value</w:t>
            </w:r>
          </w:p>
        </w:tc>
      </w:tr>
      <w:tr w:rsidR="00275F5A" w14:paraId="53545B10" w14:textId="77777777">
        <w:trPr>
          <w:trHeight w:val="134"/>
        </w:trPr>
        <w:tc>
          <w:tcPr>
            <w:tcW w:w="719" w:type="dxa"/>
            <w:tcBorders>
              <w:top w:val="single" w:sz="4" w:space="0" w:color="auto"/>
              <w:left w:val="single" w:sz="4" w:space="0" w:color="auto"/>
              <w:bottom w:val="single" w:sz="4" w:space="0" w:color="auto"/>
              <w:right w:val="single" w:sz="4" w:space="0" w:color="auto"/>
            </w:tcBorders>
          </w:tcPr>
          <w:p w14:paraId="572A22E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01</w:t>
            </w:r>
          </w:p>
        </w:tc>
        <w:tc>
          <w:tcPr>
            <w:tcW w:w="2233" w:type="dxa"/>
            <w:tcBorders>
              <w:top w:val="single" w:sz="4" w:space="0" w:color="auto"/>
              <w:left w:val="single" w:sz="4" w:space="0" w:color="auto"/>
              <w:bottom w:val="single" w:sz="4" w:space="0" w:color="auto"/>
              <w:right w:val="single" w:sz="4" w:space="0" w:color="auto"/>
            </w:tcBorders>
          </w:tcPr>
          <w:p w14:paraId="068983F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Air temperature (°C)</w:t>
            </w:r>
          </w:p>
        </w:tc>
        <w:tc>
          <w:tcPr>
            <w:tcW w:w="1547" w:type="dxa"/>
            <w:tcBorders>
              <w:top w:val="single" w:sz="4" w:space="0" w:color="auto"/>
              <w:left w:val="single" w:sz="4" w:space="0" w:color="auto"/>
              <w:bottom w:val="single" w:sz="4" w:space="0" w:color="auto"/>
              <w:right w:val="single" w:sz="4" w:space="0" w:color="auto"/>
            </w:tcBorders>
          </w:tcPr>
          <w:p w14:paraId="6499176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19.22±25.63</w:t>
            </w:r>
          </w:p>
        </w:tc>
        <w:tc>
          <w:tcPr>
            <w:tcW w:w="2182" w:type="dxa"/>
            <w:tcBorders>
              <w:top w:val="single" w:sz="4" w:space="0" w:color="auto"/>
              <w:left w:val="single" w:sz="4" w:space="0" w:color="auto"/>
              <w:bottom w:val="single" w:sz="4" w:space="0" w:color="auto"/>
              <w:right w:val="single" w:sz="4" w:space="0" w:color="auto"/>
            </w:tcBorders>
          </w:tcPr>
          <w:p w14:paraId="60231DAF" w14:textId="77777777" w:rsidR="00275F5A" w:rsidRDefault="00275F5A">
            <w:pPr>
              <w:spacing w:line="240" w:lineRule="auto"/>
              <w:jc w:val="both"/>
              <w:rPr>
                <w:rFonts w:ascii="Arial" w:hAnsi="Arial" w:cs="Arial"/>
                <w:kern w:val="0"/>
                <w:sz w:val="20"/>
                <w:szCs w:val="20"/>
                <w:lang w:val="en-IN"/>
                <w14:ligatures w14:val="none"/>
              </w:rPr>
            </w:pPr>
          </w:p>
        </w:tc>
        <w:tc>
          <w:tcPr>
            <w:tcW w:w="2669" w:type="dxa"/>
            <w:tcBorders>
              <w:top w:val="single" w:sz="4" w:space="0" w:color="auto"/>
              <w:left w:val="single" w:sz="4" w:space="0" w:color="auto"/>
              <w:bottom w:val="single" w:sz="4" w:space="0" w:color="auto"/>
              <w:right w:val="single" w:sz="4" w:space="0" w:color="auto"/>
            </w:tcBorders>
          </w:tcPr>
          <w:p w14:paraId="3E36B1EB" w14:textId="77777777" w:rsidR="00275F5A" w:rsidRDefault="00275F5A">
            <w:pPr>
              <w:spacing w:line="240" w:lineRule="auto"/>
              <w:jc w:val="both"/>
              <w:rPr>
                <w:rFonts w:ascii="Arial" w:hAnsi="Arial" w:cs="Arial"/>
                <w:kern w:val="0"/>
                <w:sz w:val="20"/>
                <w:szCs w:val="20"/>
                <w:lang w:val="en-IN"/>
                <w14:ligatures w14:val="none"/>
              </w:rPr>
            </w:pPr>
          </w:p>
        </w:tc>
      </w:tr>
      <w:tr w:rsidR="00275F5A" w14:paraId="24429509" w14:textId="77777777">
        <w:trPr>
          <w:trHeight w:val="260"/>
        </w:trPr>
        <w:tc>
          <w:tcPr>
            <w:tcW w:w="719" w:type="dxa"/>
            <w:tcBorders>
              <w:top w:val="single" w:sz="4" w:space="0" w:color="auto"/>
              <w:left w:val="single" w:sz="4" w:space="0" w:color="auto"/>
              <w:bottom w:val="single" w:sz="4" w:space="0" w:color="auto"/>
              <w:right w:val="single" w:sz="4" w:space="0" w:color="auto"/>
            </w:tcBorders>
          </w:tcPr>
          <w:p w14:paraId="663654B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02</w:t>
            </w:r>
          </w:p>
        </w:tc>
        <w:tc>
          <w:tcPr>
            <w:tcW w:w="2233" w:type="dxa"/>
            <w:tcBorders>
              <w:top w:val="single" w:sz="4" w:space="0" w:color="auto"/>
              <w:left w:val="single" w:sz="4" w:space="0" w:color="auto"/>
              <w:bottom w:val="single" w:sz="4" w:space="0" w:color="auto"/>
              <w:right w:val="single" w:sz="4" w:space="0" w:color="auto"/>
            </w:tcBorders>
          </w:tcPr>
          <w:p w14:paraId="4D5D03D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Water temperature (°C)</w:t>
            </w:r>
          </w:p>
        </w:tc>
        <w:tc>
          <w:tcPr>
            <w:tcW w:w="1547" w:type="dxa"/>
            <w:tcBorders>
              <w:top w:val="single" w:sz="4" w:space="0" w:color="auto"/>
              <w:left w:val="single" w:sz="4" w:space="0" w:color="auto"/>
              <w:bottom w:val="single" w:sz="4" w:space="0" w:color="auto"/>
              <w:right w:val="single" w:sz="4" w:space="0" w:color="auto"/>
            </w:tcBorders>
          </w:tcPr>
          <w:p w14:paraId="046A1A2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16.33±4.90</w:t>
            </w:r>
          </w:p>
        </w:tc>
        <w:tc>
          <w:tcPr>
            <w:tcW w:w="2182" w:type="dxa"/>
            <w:tcBorders>
              <w:top w:val="single" w:sz="4" w:space="0" w:color="auto"/>
              <w:left w:val="single" w:sz="4" w:space="0" w:color="auto"/>
              <w:bottom w:val="single" w:sz="4" w:space="0" w:color="auto"/>
              <w:right w:val="single" w:sz="4" w:space="0" w:color="auto"/>
            </w:tcBorders>
          </w:tcPr>
          <w:p w14:paraId="75799D4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16.55±5.50</w:t>
            </w:r>
          </w:p>
        </w:tc>
        <w:tc>
          <w:tcPr>
            <w:tcW w:w="2669" w:type="dxa"/>
            <w:tcBorders>
              <w:top w:val="single" w:sz="4" w:space="0" w:color="auto"/>
              <w:left w:val="single" w:sz="4" w:space="0" w:color="auto"/>
              <w:bottom w:val="single" w:sz="4" w:space="0" w:color="auto"/>
              <w:right w:val="single" w:sz="4" w:space="0" w:color="auto"/>
            </w:tcBorders>
          </w:tcPr>
          <w:p w14:paraId="5593DAE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15-30 °C (Anita and Pooja, 2013)</w:t>
            </w:r>
          </w:p>
        </w:tc>
      </w:tr>
      <w:tr w:rsidR="00275F5A" w14:paraId="04792131" w14:textId="77777777">
        <w:trPr>
          <w:trHeight w:val="323"/>
        </w:trPr>
        <w:tc>
          <w:tcPr>
            <w:tcW w:w="719" w:type="dxa"/>
            <w:tcBorders>
              <w:top w:val="single" w:sz="4" w:space="0" w:color="auto"/>
              <w:left w:val="single" w:sz="4" w:space="0" w:color="auto"/>
              <w:bottom w:val="single" w:sz="4" w:space="0" w:color="auto"/>
              <w:right w:val="single" w:sz="4" w:space="0" w:color="auto"/>
            </w:tcBorders>
          </w:tcPr>
          <w:p w14:paraId="295C331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03</w:t>
            </w:r>
          </w:p>
        </w:tc>
        <w:tc>
          <w:tcPr>
            <w:tcW w:w="2233" w:type="dxa"/>
            <w:tcBorders>
              <w:top w:val="single" w:sz="4" w:space="0" w:color="auto"/>
              <w:left w:val="single" w:sz="4" w:space="0" w:color="auto"/>
              <w:bottom w:val="single" w:sz="4" w:space="0" w:color="auto"/>
              <w:right w:val="single" w:sz="4" w:space="0" w:color="auto"/>
            </w:tcBorders>
          </w:tcPr>
          <w:p w14:paraId="511FE0E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pH</w:t>
            </w:r>
          </w:p>
        </w:tc>
        <w:tc>
          <w:tcPr>
            <w:tcW w:w="1547" w:type="dxa"/>
            <w:tcBorders>
              <w:top w:val="single" w:sz="4" w:space="0" w:color="auto"/>
              <w:left w:val="single" w:sz="4" w:space="0" w:color="auto"/>
              <w:bottom w:val="single" w:sz="4" w:space="0" w:color="auto"/>
              <w:right w:val="single" w:sz="4" w:space="0" w:color="auto"/>
            </w:tcBorders>
          </w:tcPr>
          <w:p w14:paraId="4F02D91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7.60±0.21</w:t>
            </w:r>
          </w:p>
        </w:tc>
        <w:tc>
          <w:tcPr>
            <w:tcW w:w="2182" w:type="dxa"/>
            <w:tcBorders>
              <w:top w:val="single" w:sz="4" w:space="0" w:color="auto"/>
              <w:left w:val="single" w:sz="4" w:space="0" w:color="auto"/>
              <w:bottom w:val="single" w:sz="4" w:space="0" w:color="auto"/>
              <w:right w:val="single" w:sz="4" w:space="0" w:color="auto"/>
            </w:tcBorders>
          </w:tcPr>
          <w:p w14:paraId="3B4E96B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7.12±0.44</w:t>
            </w:r>
          </w:p>
        </w:tc>
        <w:tc>
          <w:tcPr>
            <w:tcW w:w="2669" w:type="dxa"/>
            <w:tcBorders>
              <w:top w:val="single" w:sz="4" w:space="0" w:color="auto"/>
              <w:left w:val="single" w:sz="4" w:space="0" w:color="auto"/>
              <w:bottom w:val="single" w:sz="4" w:space="0" w:color="auto"/>
              <w:right w:val="single" w:sz="4" w:space="0" w:color="auto"/>
            </w:tcBorders>
          </w:tcPr>
          <w:p w14:paraId="50F93BD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 xml:space="preserve">7.5-9 (Zou </w:t>
            </w:r>
            <w:r>
              <w:rPr>
                <w:rFonts w:ascii="Arial" w:hAnsi="Arial" w:cs="Arial"/>
                <w:i/>
                <w:iCs/>
                <w:kern w:val="0"/>
                <w:sz w:val="20"/>
                <w:szCs w:val="20"/>
                <w:lang w:val="en-IN"/>
                <w14:ligatures w14:val="none"/>
              </w:rPr>
              <w:t>et al.</w:t>
            </w:r>
            <w:r>
              <w:rPr>
                <w:rFonts w:ascii="Arial" w:hAnsi="Arial" w:cs="Arial"/>
                <w:kern w:val="0"/>
                <w:sz w:val="20"/>
                <w:szCs w:val="20"/>
                <w:lang w:val="en-IN"/>
                <w14:ligatures w14:val="none"/>
              </w:rPr>
              <w:t>, 2016)</w:t>
            </w:r>
          </w:p>
        </w:tc>
      </w:tr>
      <w:tr w:rsidR="00275F5A" w:rsidRPr="00F427E9" w14:paraId="1524E545" w14:textId="77777777">
        <w:trPr>
          <w:trHeight w:val="251"/>
        </w:trPr>
        <w:tc>
          <w:tcPr>
            <w:tcW w:w="719" w:type="dxa"/>
            <w:tcBorders>
              <w:top w:val="single" w:sz="4" w:space="0" w:color="auto"/>
              <w:left w:val="single" w:sz="4" w:space="0" w:color="auto"/>
              <w:bottom w:val="single" w:sz="4" w:space="0" w:color="auto"/>
              <w:right w:val="single" w:sz="4" w:space="0" w:color="auto"/>
            </w:tcBorders>
          </w:tcPr>
          <w:p w14:paraId="35FAFAD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04</w:t>
            </w:r>
          </w:p>
        </w:tc>
        <w:tc>
          <w:tcPr>
            <w:tcW w:w="2233" w:type="dxa"/>
            <w:tcBorders>
              <w:top w:val="single" w:sz="4" w:space="0" w:color="auto"/>
              <w:left w:val="single" w:sz="4" w:space="0" w:color="auto"/>
              <w:bottom w:val="single" w:sz="4" w:space="0" w:color="auto"/>
              <w:right w:val="single" w:sz="4" w:space="0" w:color="auto"/>
            </w:tcBorders>
          </w:tcPr>
          <w:p w14:paraId="7876D49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Dissolved oxygen (DO) (mg/l)</w:t>
            </w:r>
          </w:p>
        </w:tc>
        <w:tc>
          <w:tcPr>
            <w:tcW w:w="1547" w:type="dxa"/>
            <w:tcBorders>
              <w:top w:val="single" w:sz="4" w:space="0" w:color="auto"/>
              <w:left w:val="single" w:sz="4" w:space="0" w:color="auto"/>
              <w:bottom w:val="single" w:sz="4" w:space="0" w:color="auto"/>
              <w:right w:val="single" w:sz="4" w:space="0" w:color="auto"/>
            </w:tcBorders>
          </w:tcPr>
          <w:p w14:paraId="01C76D3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6.59±0.16</w:t>
            </w:r>
          </w:p>
        </w:tc>
        <w:tc>
          <w:tcPr>
            <w:tcW w:w="2182" w:type="dxa"/>
            <w:tcBorders>
              <w:top w:val="single" w:sz="4" w:space="0" w:color="auto"/>
              <w:left w:val="single" w:sz="4" w:space="0" w:color="auto"/>
              <w:bottom w:val="single" w:sz="4" w:space="0" w:color="auto"/>
              <w:right w:val="single" w:sz="4" w:space="0" w:color="auto"/>
            </w:tcBorders>
          </w:tcPr>
          <w:p w14:paraId="5AB4C8D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7.70±0.58</w:t>
            </w:r>
          </w:p>
        </w:tc>
        <w:tc>
          <w:tcPr>
            <w:tcW w:w="2669" w:type="dxa"/>
            <w:tcBorders>
              <w:top w:val="single" w:sz="4" w:space="0" w:color="auto"/>
              <w:left w:val="single" w:sz="4" w:space="0" w:color="auto"/>
              <w:bottom w:val="single" w:sz="4" w:space="0" w:color="auto"/>
              <w:right w:val="single" w:sz="4" w:space="0" w:color="auto"/>
            </w:tcBorders>
          </w:tcPr>
          <w:p w14:paraId="6489CA5B" w14:textId="77777777" w:rsidR="00275F5A" w:rsidRPr="00F427E9" w:rsidRDefault="00CF3A5E">
            <w:pPr>
              <w:spacing w:line="240" w:lineRule="auto"/>
              <w:jc w:val="both"/>
              <w:rPr>
                <w:rFonts w:ascii="Arial" w:hAnsi="Arial" w:cs="Arial"/>
                <w:kern w:val="0"/>
                <w:sz w:val="20"/>
                <w:szCs w:val="20"/>
                <w:lang w:val="nl-BE"/>
                <w14:ligatures w14:val="none"/>
              </w:rPr>
            </w:pPr>
            <w:r w:rsidRPr="00F427E9">
              <w:rPr>
                <w:rFonts w:ascii="Arial" w:hAnsi="Arial" w:cs="Arial"/>
                <w:kern w:val="0"/>
                <w:sz w:val="20"/>
                <w:szCs w:val="20"/>
                <w:lang w:val="nl-BE"/>
                <w14:ligatures w14:val="none"/>
              </w:rPr>
              <w:t xml:space="preserve">&gt;5 mg/l (Masser </w:t>
            </w:r>
            <w:r w:rsidRPr="00F427E9">
              <w:rPr>
                <w:rFonts w:ascii="Arial" w:hAnsi="Arial" w:cs="Arial"/>
                <w:i/>
                <w:iCs/>
                <w:kern w:val="0"/>
                <w:sz w:val="20"/>
                <w:szCs w:val="20"/>
                <w:lang w:val="nl-BE"/>
                <w14:ligatures w14:val="none"/>
              </w:rPr>
              <w:t>et al.,</w:t>
            </w:r>
            <w:r w:rsidRPr="00F427E9">
              <w:rPr>
                <w:rFonts w:ascii="Arial" w:hAnsi="Arial" w:cs="Arial"/>
                <w:kern w:val="0"/>
                <w:sz w:val="20"/>
                <w:szCs w:val="20"/>
                <w:lang w:val="nl-BE"/>
                <w14:ligatures w14:val="none"/>
              </w:rPr>
              <w:t>1999)</w:t>
            </w:r>
          </w:p>
        </w:tc>
      </w:tr>
      <w:tr w:rsidR="00275F5A" w14:paraId="24E979D6" w14:textId="77777777">
        <w:trPr>
          <w:trHeight w:val="440"/>
        </w:trPr>
        <w:tc>
          <w:tcPr>
            <w:tcW w:w="719" w:type="dxa"/>
            <w:tcBorders>
              <w:top w:val="single" w:sz="4" w:space="0" w:color="auto"/>
              <w:left w:val="single" w:sz="4" w:space="0" w:color="auto"/>
              <w:bottom w:val="single" w:sz="4" w:space="0" w:color="auto"/>
              <w:right w:val="single" w:sz="4" w:space="0" w:color="auto"/>
            </w:tcBorders>
          </w:tcPr>
          <w:p w14:paraId="437C443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05</w:t>
            </w:r>
          </w:p>
        </w:tc>
        <w:tc>
          <w:tcPr>
            <w:tcW w:w="2233" w:type="dxa"/>
            <w:tcBorders>
              <w:top w:val="single" w:sz="4" w:space="0" w:color="auto"/>
              <w:left w:val="single" w:sz="4" w:space="0" w:color="auto"/>
              <w:bottom w:val="single" w:sz="4" w:space="0" w:color="auto"/>
              <w:right w:val="single" w:sz="4" w:space="0" w:color="auto"/>
            </w:tcBorders>
          </w:tcPr>
          <w:p w14:paraId="1152862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Electrical conductivity (uS/cm)</w:t>
            </w:r>
          </w:p>
        </w:tc>
        <w:tc>
          <w:tcPr>
            <w:tcW w:w="1547" w:type="dxa"/>
            <w:tcBorders>
              <w:top w:val="single" w:sz="4" w:space="0" w:color="auto"/>
              <w:left w:val="single" w:sz="4" w:space="0" w:color="auto"/>
              <w:bottom w:val="single" w:sz="4" w:space="0" w:color="auto"/>
              <w:right w:val="single" w:sz="4" w:space="0" w:color="auto"/>
            </w:tcBorders>
          </w:tcPr>
          <w:p w14:paraId="25F1E75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157.15±3.201</w:t>
            </w:r>
          </w:p>
        </w:tc>
        <w:tc>
          <w:tcPr>
            <w:tcW w:w="2182" w:type="dxa"/>
            <w:tcBorders>
              <w:top w:val="single" w:sz="4" w:space="0" w:color="auto"/>
              <w:left w:val="single" w:sz="4" w:space="0" w:color="auto"/>
              <w:bottom w:val="single" w:sz="4" w:space="0" w:color="auto"/>
              <w:right w:val="single" w:sz="4" w:space="0" w:color="auto"/>
            </w:tcBorders>
          </w:tcPr>
          <w:p w14:paraId="4C4454D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178.8±8.07</w:t>
            </w:r>
          </w:p>
        </w:tc>
        <w:tc>
          <w:tcPr>
            <w:tcW w:w="2669" w:type="dxa"/>
            <w:tcBorders>
              <w:top w:val="single" w:sz="4" w:space="0" w:color="auto"/>
              <w:left w:val="single" w:sz="4" w:space="0" w:color="auto"/>
              <w:bottom w:val="single" w:sz="4" w:space="0" w:color="auto"/>
              <w:right w:val="single" w:sz="4" w:space="0" w:color="auto"/>
            </w:tcBorders>
          </w:tcPr>
          <w:p w14:paraId="74776EF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100-2000 uS/cm (Stone and Thomforde, 2004)</w:t>
            </w:r>
          </w:p>
        </w:tc>
      </w:tr>
      <w:tr w:rsidR="00275F5A" w:rsidRPr="00F427E9" w14:paraId="22FA6E0F" w14:textId="77777777">
        <w:trPr>
          <w:trHeight w:val="287"/>
        </w:trPr>
        <w:tc>
          <w:tcPr>
            <w:tcW w:w="719" w:type="dxa"/>
            <w:tcBorders>
              <w:top w:val="single" w:sz="4" w:space="0" w:color="auto"/>
              <w:left w:val="single" w:sz="4" w:space="0" w:color="auto"/>
              <w:bottom w:val="single" w:sz="4" w:space="0" w:color="auto"/>
              <w:right w:val="single" w:sz="4" w:space="0" w:color="auto"/>
            </w:tcBorders>
          </w:tcPr>
          <w:p w14:paraId="2BF3DAE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06</w:t>
            </w:r>
          </w:p>
        </w:tc>
        <w:tc>
          <w:tcPr>
            <w:tcW w:w="2233" w:type="dxa"/>
            <w:tcBorders>
              <w:top w:val="single" w:sz="4" w:space="0" w:color="auto"/>
              <w:left w:val="single" w:sz="4" w:space="0" w:color="auto"/>
              <w:bottom w:val="single" w:sz="4" w:space="0" w:color="auto"/>
              <w:right w:val="single" w:sz="4" w:space="0" w:color="auto"/>
            </w:tcBorders>
          </w:tcPr>
          <w:p w14:paraId="45210FA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Alkalinity (mg/l)</w:t>
            </w:r>
          </w:p>
        </w:tc>
        <w:tc>
          <w:tcPr>
            <w:tcW w:w="1547" w:type="dxa"/>
            <w:tcBorders>
              <w:top w:val="single" w:sz="4" w:space="0" w:color="auto"/>
              <w:left w:val="single" w:sz="4" w:space="0" w:color="auto"/>
              <w:bottom w:val="single" w:sz="4" w:space="0" w:color="auto"/>
              <w:right w:val="single" w:sz="4" w:space="0" w:color="auto"/>
            </w:tcBorders>
          </w:tcPr>
          <w:p w14:paraId="2061732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114.28±7.04</w:t>
            </w:r>
          </w:p>
        </w:tc>
        <w:tc>
          <w:tcPr>
            <w:tcW w:w="2182" w:type="dxa"/>
            <w:tcBorders>
              <w:top w:val="single" w:sz="4" w:space="0" w:color="auto"/>
              <w:left w:val="single" w:sz="4" w:space="0" w:color="auto"/>
              <w:bottom w:val="single" w:sz="4" w:space="0" w:color="auto"/>
              <w:right w:val="single" w:sz="4" w:space="0" w:color="auto"/>
            </w:tcBorders>
          </w:tcPr>
          <w:p w14:paraId="558C371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120.9±3.61</w:t>
            </w:r>
          </w:p>
        </w:tc>
        <w:tc>
          <w:tcPr>
            <w:tcW w:w="2669" w:type="dxa"/>
            <w:tcBorders>
              <w:top w:val="single" w:sz="4" w:space="0" w:color="auto"/>
              <w:left w:val="single" w:sz="4" w:space="0" w:color="auto"/>
              <w:bottom w:val="single" w:sz="4" w:space="0" w:color="auto"/>
              <w:right w:val="single" w:sz="4" w:space="0" w:color="auto"/>
            </w:tcBorders>
          </w:tcPr>
          <w:p w14:paraId="7F2AAB4C" w14:textId="77777777" w:rsidR="00275F5A" w:rsidRPr="00F427E9" w:rsidRDefault="00CF3A5E">
            <w:pPr>
              <w:spacing w:line="240" w:lineRule="auto"/>
              <w:jc w:val="both"/>
              <w:rPr>
                <w:rFonts w:ascii="Arial" w:hAnsi="Arial" w:cs="Arial"/>
                <w:kern w:val="0"/>
                <w:sz w:val="20"/>
                <w:szCs w:val="20"/>
                <w:lang w:val="nl-BE"/>
                <w14:ligatures w14:val="none"/>
              </w:rPr>
            </w:pPr>
            <w:r w:rsidRPr="00F427E9">
              <w:rPr>
                <w:rFonts w:ascii="Arial" w:hAnsi="Arial" w:cs="Arial"/>
                <w:kern w:val="0"/>
                <w:sz w:val="20"/>
                <w:szCs w:val="20"/>
                <w:lang w:val="nl-BE"/>
                <w14:ligatures w14:val="none"/>
              </w:rPr>
              <w:t xml:space="preserve">5-200 mg/l (Eissa </w:t>
            </w:r>
            <w:r w:rsidRPr="00F427E9">
              <w:rPr>
                <w:rFonts w:ascii="Arial" w:hAnsi="Arial" w:cs="Arial"/>
                <w:i/>
                <w:iCs/>
                <w:kern w:val="0"/>
                <w:sz w:val="20"/>
                <w:szCs w:val="20"/>
                <w:lang w:val="nl-BE"/>
                <w14:ligatures w14:val="none"/>
              </w:rPr>
              <w:t>et al.,</w:t>
            </w:r>
            <w:r w:rsidRPr="00F427E9">
              <w:rPr>
                <w:rFonts w:ascii="Arial" w:hAnsi="Arial" w:cs="Arial"/>
                <w:kern w:val="0"/>
                <w:sz w:val="20"/>
                <w:szCs w:val="20"/>
                <w:lang w:val="nl-BE"/>
                <w14:ligatures w14:val="none"/>
              </w:rPr>
              <w:t>2015).</w:t>
            </w:r>
          </w:p>
        </w:tc>
      </w:tr>
      <w:tr w:rsidR="00275F5A" w:rsidRPr="00F427E9" w14:paraId="409409FE" w14:textId="77777777">
        <w:trPr>
          <w:trHeight w:val="350"/>
        </w:trPr>
        <w:tc>
          <w:tcPr>
            <w:tcW w:w="719" w:type="dxa"/>
            <w:tcBorders>
              <w:top w:val="single" w:sz="4" w:space="0" w:color="auto"/>
              <w:left w:val="single" w:sz="4" w:space="0" w:color="auto"/>
              <w:bottom w:val="single" w:sz="4" w:space="0" w:color="auto"/>
              <w:right w:val="single" w:sz="4" w:space="0" w:color="auto"/>
            </w:tcBorders>
          </w:tcPr>
          <w:p w14:paraId="7C5CFB3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lastRenderedPageBreak/>
              <w:t>07</w:t>
            </w:r>
          </w:p>
        </w:tc>
        <w:tc>
          <w:tcPr>
            <w:tcW w:w="2233" w:type="dxa"/>
            <w:tcBorders>
              <w:top w:val="single" w:sz="4" w:space="0" w:color="auto"/>
              <w:left w:val="single" w:sz="4" w:space="0" w:color="auto"/>
              <w:bottom w:val="single" w:sz="4" w:space="0" w:color="auto"/>
              <w:right w:val="single" w:sz="4" w:space="0" w:color="auto"/>
            </w:tcBorders>
          </w:tcPr>
          <w:p w14:paraId="161DFE3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Ammonia (mg/I)</w:t>
            </w:r>
          </w:p>
        </w:tc>
        <w:tc>
          <w:tcPr>
            <w:tcW w:w="1547" w:type="dxa"/>
            <w:tcBorders>
              <w:top w:val="single" w:sz="4" w:space="0" w:color="auto"/>
              <w:left w:val="single" w:sz="4" w:space="0" w:color="auto"/>
              <w:bottom w:val="single" w:sz="4" w:space="0" w:color="auto"/>
              <w:right w:val="single" w:sz="4" w:space="0" w:color="auto"/>
            </w:tcBorders>
          </w:tcPr>
          <w:p w14:paraId="17AE556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0.0017±0.0007</w:t>
            </w:r>
          </w:p>
        </w:tc>
        <w:tc>
          <w:tcPr>
            <w:tcW w:w="2182" w:type="dxa"/>
            <w:tcBorders>
              <w:top w:val="single" w:sz="4" w:space="0" w:color="auto"/>
              <w:left w:val="single" w:sz="4" w:space="0" w:color="auto"/>
              <w:bottom w:val="single" w:sz="4" w:space="0" w:color="auto"/>
              <w:right w:val="single" w:sz="4" w:space="0" w:color="auto"/>
            </w:tcBorders>
          </w:tcPr>
          <w:p w14:paraId="1610217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0.0022±0.0018</w:t>
            </w:r>
          </w:p>
        </w:tc>
        <w:tc>
          <w:tcPr>
            <w:tcW w:w="2669" w:type="dxa"/>
            <w:tcBorders>
              <w:top w:val="single" w:sz="4" w:space="0" w:color="auto"/>
              <w:left w:val="single" w:sz="4" w:space="0" w:color="auto"/>
              <w:bottom w:val="single" w:sz="4" w:space="0" w:color="auto"/>
              <w:right w:val="single" w:sz="4" w:space="0" w:color="auto"/>
            </w:tcBorders>
          </w:tcPr>
          <w:p w14:paraId="03DFED02" w14:textId="77777777" w:rsidR="00275F5A" w:rsidRPr="00F427E9" w:rsidRDefault="00CF3A5E">
            <w:pPr>
              <w:spacing w:line="240" w:lineRule="auto"/>
              <w:jc w:val="both"/>
              <w:rPr>
                <w:rFonts w:ascii="Arial" w:hAnsi="Arial" w:cs="Arial"/>
                <w:kern w:val="0"/>
                <w:sz w:val="20"/>
                <w:szCs w:val="20"/>
                <w:lang w:val="nl-BE"/>
                <w14:ligatures w14:val="none"/>
              </w:rPr>
            </w:pPr>
            <w:r w:rsidRPr="00F427E9">
              <w:rPr>
                <w:rFonts w:ascii="Arial" w:hAnsi="Arial" w:cs="Arial"/>
                <w:kern w:val="0"/>
                <w:sz w:val="20"/>
                <w:szCs w:val="20"/>
                <w:lang w:val="nl-BE"/>
                <w14:ligatures w14:val="none"/>
              </w:rPr>
              <w:t>&lt;1 mg/l (Nijhof and Bovendeur, 1990)</w:t>
            </w:r>
          </w:p>
        </w:tc>
      </w:tr>
      <w:tr w:rsidR="00275F5A" w:rsidRPr="00F427E9" w14:paraId="3D535EF8" w14:textId="77777777">
        <w:trPr>
          <w:trHeight w:val="350"/>
        </w:trPr>
        <w:tc>
          <w:tcPr>
            <w:tcW w:w="719" w:type="dxa"/>
            <w:tcBorders>
              <w:top w:val="single" w:sz="4" w:space="0" w:color="auto"/>
              <w:left w:val="single" w:sz="4" w:space="0" w:color="auto"/>
              <w:bottom w:val="single" w:sz="4" w:space="0" w:color="auto"/>
              <w:right w:val="single" w:sz="4" w:space="0" w:color="auto"/>
            </w:tcBorders>
          </w:tcPr>
          <w:p w14:paraId="0A502BD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08</w:t>
            </w:r>
          </w:p>
        </w:tc>
        <w:tc>
          <w:tcPr>
            <w:tcW w:w="2233" w:type="dxa"/>
            <w:tcBorders>
              <w:top w:val="single" w:sz="4" w:space="0" w:color="auto"/>
              <w:left w:val="single" w:sz="4" w:space="0" w:color="auto"/>
              <w:bottom w:val="single" w:sz="4" w:space="0" w:color="auto"/>
              <w:right w:val="single" w:sz="4" w:space="0" w:color="auto"/>
            </w:tcBorders>
          </w:tcPr>
          <w:p w14:paraId="40ADC2E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Nitrate (mg/l)</w:t>
            </w:r>
          </w:p>
        </w:tc>
        <w:tc>
          <w:tcPr>
            <w:tcW w:w="1547" w:type="dxa"/>
            <w:tcBorders>
              <w:top w:val="single" w:sz="4" w:space="0" w:color="auto"/>
              <w:left w:val="single" w:sz="4" w:space="0" w:color="auto"/>
              <w:bottom w:val="single" w:sz="4" w:space="0" w:color="auto"/>
              <w:right w:val="single" w:sz="4" w:space="0" w:color="auto"/>
            </w:tcBorders>
          </w:tcPr>
          <w:p w14:paraId="651AC07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0.060±0.014</w:t>
            </w:r>
          </w:p>
        </w:tc>
        <w:tc>
          <w:tcPr>
            <w:tcW w:w="2182" w:type="dxa"/>
            <w:tcBorders>
              <w:top w:val="single" w:sz="4" w:space="0" w:color="auto"/>
              <w:left w:val="single" w:sz="4" w:space="0" w:color="auto"/>
              <w:bottom w:val="single" w:sz="4" w:space="0" w:color="auto"/>
              <w:right w:val="single" w:sz="4" w:space="0" w:color="auto"/>
            </w:tcBorders>
          </w:tcPr>
          <w:p w14:paraId="4E56063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0.059±0.015</w:t>
            </w:r>
          </w:p>
        </w:tc>
        <w:tc>
          <w:tcPr>
            <w:tcW w:w="2669" w:type="dxa"/>
            <w:tcBorders>
              <w:top w:val="single" w:sz="4" w:space="0" w:color="auto"/>
              <w:left w:val="single" w:sz="4" w:space="0" w:color="auto"/>
              <w:bottom w:val="single" w:sz="4" w:space="0" w:color="auto"/>
              <w:right w:val="single" w:sz="4" w:space="0" w:color="auto"/>
            </w:tcBorders>
          </w:tcPr>
          <w:p w14:paraId="553A6C23" w14:textId="77777777" w:rsidR="00275F5A" w:rsidRPr="00F427E9" w:rsidRDefault="00CF3A5E">
            <w:pPr>
              <w:spacing w:line="240" w:lineRule="auto"/>
              <w:jc w:val="both"/>
              <w:rPr>
                <w:rFonts w:ascii="Arial" w:hAnsi="Arial" w:cs="Arial"/>
                <w:kern w:val="0"/>
                <w:sz w:val="20"/>
                <w:szCs w:val="20"/>
                <w:lang w:val="nl-BE"/>
                <w14:ligatures w14:val="none"/>
              </w:rPr>
            </w:pPr>
            <w:r w:rsidRPr="00F427E9">
              <w:rPr>
                <w:rFonts w:ascii="Arial" w:hAnsi="Arial" w:cs="Arial"/>
                <w:kern w:val="0"/>
                <w:sz w:val="20"/>
                <w:szCs w:val="20"/>
                <w:lang w:val="nl-BE"/>
                <w14:ligatures w14:val="none"/>
              </w:rPr>
              <w:t xml:space="preserve">0.1 mg/l (Rakocy </w:t>
            </w:r>
            <w:r w:rsidRPr="00F427E9">
              <w:rPr>
                <w:rFonts w:ascii="Arial" w:hAnsi="Arial" w:cs="Arial"/>
                <w:i/>
                <w:iCs/>
                <w:kern w:val="0"/>
                <w:sz w:val="20"/>
                <w:szCs w:val="20"/>
                <w:lang w:val="nl-BE"/>
                <w14:ligatures w14:val="none"/>
              </w:rPr>
              <w:t>et al.,</w:t>
            </w:r>
            <w:r w:rsidRPr="00F427E9">
              <w:rPr>
                <w:rFonts w:ascii="Arial" w:hAnsi="Arial" w:cs="Arial"/>
                <w:kern w:val="0"/>
                <w:sz w:val="20"/>
                <w:szCs w:val="20"/>
                <w:lang w:val="nl-BE"/>
                <w14:ligatures w14:val="none"/>
              </w:rPr>
              <w:t>2000)</w:t>
            </w:r>
          </w:p>
        </w:tc>
      </w:tr>
      <w:tr w:rsidR="00275F5A" w:rsidRPr="00F427E9" w14:paraId="47B3FFA8" w14:textId="77777777">
        <w:trPr>
          <w:trHeight w:val="350"/>
        </w:trPr>
        <w:tc>
          <w:tcPr>
            <w:tcW w:w="719" w:type="dxa"/>
            <w:tcBorders>
              <w:top w:val="single" w:sz="4" w:space="0" w:color="auto"/>
              <w:left w:val="single" w:sz="4" w:space="0" w:color="auto"/>
              <w:bottom w:val="single" w:sz="4" w:space="0" w:color="auto"/>
              <w:right w:val="single" w:sz="4" w:space="0" w:color="auto"/>
            </w:tcBorders>
          </w:tcPr>
          <w:p w14:paraId="426F2B4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09</w:t>
            </w:r>
          </w:p>
        </w:tc>
        <w:tc>
          <w:tcPr>
            <w:tcW w:w="2233" w:type="dxa"/>
            <w:tcBorders>
              <w:top w:val="single" w:sz="4" w:space="0" w:color="auto"/>
              <w:left w:val="single" w:sz="4" w:space="0" w:color="auto"/>
              <w:bottom w:val="single" w:sz="4" w:space="0" w:color="auto"/>
              <w:right w:val="single" w:sz="4" w:space="0" w:color="auto"/>
            </w:tcBorders>
          </w:tcPr>
          <w:p w14:paraId="3DDC452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Nitrite (mg/I)</w:t>
            </w:r>
          </w:p>
        </w:tc>
        <w:tc>
          <w:tcPr>
            <w:tcW w:w="1547" w:type="dxa"/>
            <w:tcBorders>
              <w:top w:val="single" w:sz="4" w:space="0" w:color="auto"/>
              <w:left w:val="single" w:sz="4" w:space="0" w:color="auto"/>
              <w:bottom w:val="single" w:sz="4" w:space="0" w:color="auto"/>
              <w:right w:val="single" w:sz="4" w:space="0" w:color="auto"/>
            </w:tcBorders>
          </w:tcPr>
          <w:p w14:paraId="46565E8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0.045±0.009</w:t>
            </w:r>
          </w:p>
        </w:tc>
        <w:tc>
          <w:tcPr>
            <w:tcW w:w="2182" w:type="dxa"/>
            <w:tcBorders>
              <w:top w:val="single" w:sz="4" w:space="0" w:color="auto"/>
              <w:left w:val="single" w:sz="4" w:space="0" w:color="auto"/>
              <w:bottom w:val="single" w:sz="4" w:space="0" w:color="auto"/>
              <w:right w:val="single" w:sz="4" w:space="0" w:color="auto"/>
            </w:tcBorders>
          </w:tcPr>
          <w:p w14:paraId="7A7668E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0.042±0.010</w:t>
            </w:r>
          </w:p>
        </w:tc>
        <w:tc>
          <w:tcPr>
            <w:tcW w:w="2669" w:type="dxa"/>
            <w:tcBorders>
              <w:top w:val="single" w:sz="4" w:space="0" w:color="auto"/>
              <w:left w:val="single" w:sz="4" w:space="0" w:color="auto"/>
              <w:bottom w:val="single" w:sz="4" w:space="0" w:color="auto"/>
              <w:right w:val="single" w:sz="4" w:space="0" w:color="auto"/>
            </w:tcBorders>
          </w:tcPr>
          <w:p w14:paraId="2BA3D876" w14:textId="77777777" w:rsidR="00275F5A" w:rsidRPr="00F427E9" w:rsidRDefault="00CF3A5E">
            <w:pPr>
              <w:spacing w:line="240" w:lineRule="auto"/>
              <w:jc w:val="both"/>
              <w:rPr>
                <w:rFonts w:ascii="Arial" w:hAnsi="Arial" w:cs="Arial"/>
                <w:kern w:val="0"/>
                <w:sz w:val="20"/>
                <w:szCs w:val="20"/>
                <w:lang w:val="nl-BE"/>
                <w14:ligatures w14:val="none"/>
              </w:rPr>
            </w:pPr>
            <w:r w:rsidRPr="00F427E9">
              <w:rPr>
                <w:rFonts w:ascii="Arial" w:hAnsi="Arial" w:cs="Arial"/>
                <w:kern w:val="0"/>
                <w:sz w:val="20"/>
                <w:szCs w:val="20"/>
                <w:lang w:val="nl-BE"/>
                <w14:ligatures w14:val="none"/>
              </w:rPr>
              <w:t xml:space="preserve">0.1 mg/l (Rakocy </w:t>
            </w:r>
            <w:r w:rsidRPr="00F427E9">
              <w:rPr>
                <w:rFonts w:ascii="Arial" w:hAnsi="Arial" w:cs="Arial"/>
                <w:i/>
                <w:iCs/>
                <w:kern w:val="0"/>
                <w:sz w:val="20"/>
                <w:szCs w:val="20"/>
                <w:lang w:val="nl-BE"/>
                <w14:ligatures w14:val="none"/>
              </w:rPr>
              <w:t>et al.,</w:t>
            </w:r>
            <w:r w:rsidRPr="00F427E9">
              <w:rPr>
                <w:rFonts w:ascii="Arial" w:hAnsi="Arial" w:cs="Arial"/>
                <w:kern w:val="0"/>
                <w:sz w:val="20"/>
                <w:szCs w:val="20"/>
                <w:lang w:val="nl-BE"/>
                <w14:ligatures w14:val="none"/>
              </w:rPr>
              <w:t>2006)</w:t>
            </w:r>
          </w:p>
        </w:tc>
      </w:tr>
    </w:tbl>
    <w:p w14:paraId="5F63B33C" w14:textId="77777777" w:rsidR="00275F5A" w:rsidRPr="00F427E9" w:rsidRDefault="00275F5A">
      <w:pPr>
        <w:spacing w:line="240" w:lineRule="auto"/>
        <w:jc w:val="both"/>
        <w:rPr>
          <w:rFonts w:ascii="Arial" w:hAnsi="Arial" w:cs="Arial"/>
          <w:b/>
          <w:bCs/>
          <w:sz w:val="20"/>
          <w:szCs w:val="20"/>
          <w:lang w:val="nl-BE"/>
        </w:rPr>
      </w:pPr>
    </w:p>
    <w:p w14:paraId="0EDFF185" w14:textId="77777777" w:rsidR="00275F5A" w:rsidRDefault="00CF3A5E">
      <w:pPr>
        <w:spacing w:line="240" w:lineRule="auto"/>
        <w:jc w:val="both"/>
        <w:rPr>
          <w:rFonts w:ascii="Arial" w:hAnsi="Arial" w:cs="Arial"/>
          <w:sz w:val="20"/>
          <w:szCs w:val="20"/>
        </w:rPr>
      </w:pPr>
      <w:r>
        <w:rPr>
          <w:rFonts w:ascii="Arial" w:hAnsi="Arial" w:cs="Arial"/>
          <w:b/>
          <w:bCs/>
          <w:sz w:val="20"/>
          <w:szCs w:val="20"/>
        </w:rPr>
        <w:t>3.2Correlation Between Systems</w:t>
      </w:r>
    </w:p>
    <w:p w14:paraId="4041444C" w14:textId="77777777" w:rsidR="00275F5A" w:rsidRDefault="00CF3A5E">
      <w:pPr>
        <w:spacing w:line="240" w:lineRule="auto"/>
        <w:jc w:val="both"/>
        <w:rPr>
          <w:rFonts w:ascii="Arial" w:hAnsi="Arial" w:cs="Arial"/>
          <w:sz w:val="20"/>
          <w:szCs w:val="20"/>
        </w:rPr>
      </w:pPr>
      <w:r>
        <w:rPr>
          <w:rFonts w:ascii="Arial" w:hAnsi="Arial" w:cs="Arial"/>
          <w:sz w:val="20"/>
          <w:szCs w:val="20"/>
        </w:rPr>
        <w:t>Strong positive correlations (R² &gt; 0.89) were observed for pH, EC, DO, alkalinity, and nitrate. Weak correlations were found for ammonia (R² = 0.02) and nitrite (R² = 0.00), indicating different nitrogen cycling processes (Table 3).</w:t>
      </w:r>
    </w:p>
    <w:p w14:paraId="22E5EE4E" w14:textId="77777777" w:rsidR="00275F5A" w:rsidRDefault="00275F5A">
      <w:pPr>
        <w:spacing w:line="240" w:lineRule="auto"/>
        <w:jc w:val="both"/>
        <w:rPr>
          <w:rFonts w:ascii="Arial" w:hAnsi="Arial" w:cs="Arial"/>
          <w:sz w:val="20"/>
          <w:szCs w:val="20"/>
        </w:rPr>
      </w:pPr>
    </w:p>
    <w:p w14:paraId="69F3DFE1" w14:textId="77777777" w:rsidR="00275F5A" w:rsidRDefault="00275F5A">
      <w:pPr>
        <w:spacing w:line="240" w:lineRule="auto"/>
        <w:jc w:val="both"/>
        <w:rPr>
          <w:rFonts w:ascii="Arial" w:hAnsi="Arial" w:cs="Arial"/>
          <w:sz w:val="20"/>
          <w:szCs w:val="20"/>
        </w:rPr>
      </w:pPr>
    </w:p>
    <w:p w14:paraId="4BE0A7C2" w14:textId="77777777" w:rsidR="00275F5A" w:rsidRDefault="00275F5A">
      <w:pPr>
        <w:spacing w:line="240" w:lineRule="auto"/>
        <w:jc w:val="both"/>
        <w:rPr>
          <w:rFonts w:ascii="Arial" w:hAnsi="Arial" w:cs="Arial"/>
          <w:sz w:val="20"/>
          <w:szCs w:val="20"/>
        </w:rPr>
      </w:pPr>
    </w:p>
    <w:p w14:paraId="0490A256"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Table 3: Comparison results of Aquaponics and Pond parameters</w:t>
      </w:r>
    </w:p>
    <w:tbl>
      <w:tblPr>
        <w:tblStyle w:val="TableGrid"/>
        <w:tblW w:w="10885" w:type="dxa"/>
        <w:jc w:val="center"/>
        <w:tblLook w:val="04A0" w:firstRow="1" w:lastRow="0" w:firstColumn="1" w:lastColumn="0" w:noHBand="0" w:noVBand="1"/>
      </w:tblPr>
      <w:tblGrid>
        <w:gridCol w:w="2337"/>
        <w:gridCol w:w="1168"/>
        <w:gridCol w:w="2906"/>
        <w:gridCol w:w="4474"/>
      </w:tblGrid>
      <w:tr w:rsidR="00275F5A" w14:paraId="174B4057" w14:textId="77777777">
        <w:trPr>
          <w:trHeight w:val="350"/>
          <w:jc w:val="center"/>
        </w:trPr>
        <w:tc>
          <w:tcPr>
            <w:tcW w:w="2337" w:type="dxa"/>
            <w:tcBorders>
              <w:top w:val="single" w:sz="4" w:space="0" w:color="auto"/>
              <w:left w:val="single" w:sz="4" w:space="0" w:color="auto"/>
              <w:bottom w:val="single" w:sz="4" w:space="0" w:color="auto"/>
              <w:right w:val="single" w:sz="4" w:space="0" w:color="auto"/>
            </w:tcBorders>
          </w:tcPr>
          <w:p w14:paraId="3BB05D16"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Parameters</w:t>
            </w:r>
          </w:p>
        </w:tc>
        <w:tc>
          <w:tcPr>
            <w:tcW w:w="1168" w:type="dxa"/>
            <w:tcBorders>
              <w:top w:val="single" w:sz="4" w:space="0" w:color="auto"/>
              <w:left w:val="single" w:sz="4" w:space="0" w:color="auto"/>
              <w:bottom w:val="single" w:sz="4" w:space="0" w:color="auto"/>
              <w:right w:val="single" w:sz="4" w:space="0" w:color="auto"/>
            </w:tcBorders>
          </w:tcPr>
          <w:p w14:paraId="77EFF665" w14:textId="77777777" w:rsidR="00275F5A" w:rsidRDefault="00CF3A5E">
            <w:pPr>
              <w:spacing w:line="240" w:lineRule="auto"/>
              <w:jc w:val="both"/>
              <w:rPr>
                <w:rFonts w:ascii="Arial" w:hAnsi="Arial" w:cs="Arial"/>
                <w:b/>
                <w:bCs/>
                <w:kern w:val="0"/>
                <w:sz w:val="20"/>
                <w:szCs w:val="20"/>
                <w:vertAlign w:val="superscript"/>
                <w:lang w:val="en-IN"/>
                <w14:ligatures w14:val="none"/>
              </w:rPr>
            </w:pPr>
            <w:r>
              <w:rPr>
                <w:rFonts w:ascii="Arial" w:hAnsi="Arial" w:cs="Arial"/>
                <w:b/>
                <w:bCs/>
                <w:kern w:val="0"/>
                <w:sz w:val="20"/>
                <w:szCs w:val="20"/>
                <w:lang w:val="en-IN"/>
                <w14:ligatures w14:val="none"/>
              </w:rPr>
              <w:t>R</w:t>
            </w:r>
            <w:r>
              <w:rPr>
                <w:rFonts w:ascii="Arial" w:hAnsi="Arial" w:cs="Arial"/>
                <w:b/>
                <w:bCs/>
                <w:kern w:val="0"/>
                <w:sz w:val="20"/>
                <w:szCs w:val="20"/>
                <w:vertAlign w:val="superscript"/>
                <w:lang w:val="en-IN"/>
                <w14:ligatures w14:val="none"/>
              </w:rPr>
              <w:t>2</w:t>
            </w:r>
          </w:p>
        </w:tc>
        <w:tc>
          <w:tcPr>
            <w:tcW w:w="2906" w:type="dxa"/>
            <w:tcBorders>
              <w:top w:val="single" w:sz="4" w:space="0" w:color="auto"/>
              <w:left w:val="single" w:sz="4" w:space="0" w:color="auto"/>
              <w:bottom w:val="single" w:sz="4" w:space="0" w:color="auto"/>
              <w:right w:val="single" w:sz="4" w:space="0" w:color="auto"/>
            </w:tcBorders>
          </w:tcPr>
          <w:p w14:paraId="4BCC85FD"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Correlation strength</w:t>
            </w:r>
          </w:p>
          <w:p w14:paraId="003D1A26" w14:textId="77777777" w:rsidR="00275F5A" w:rsidRDefault="00275F5A">
            <w:pPr>
              <w:spacing w:line="240" w:lineRule="auto"/>
              <w:jc w:val="both"/>
              <w:rPr>
                <w:rFonts w:ascii="Arial" w:hAnsi="Arial" w:cs="Arial"/>
                <w:b/>
                <w:bCs/>
                <w:kern w:val="0"/>
                <w:sz w:val="20"/>
                <w:szCs w:val="20"/>
                <w:lang w:val="en-IN"/>
                <w14:ligatures w14:val="none"/>
              </w:rPr>
            </w:pPr>
          </w:p>
        </w:tc>
        <w:tc>
          <w:tcPr>
            <w:tcW w:w="4474" w:type="dxa"/>
            <w:tcBorders>
              <w:top w:val="single" w:sz="4" w:space="0" w:color="auto"/>
              <w:left w:val="single" w:sz="4" w:space="0" w:color="auto"/>
              <w:bottom w:val="single" w:sz="4" w:space="0" w:color="auto"/>
              <w:right w:val="single" w:sz="4" w:space="0" w:color="auto"/>
            </w:tcBorders>
          </w:tcPr>
          <w:p w14:paraId="4320D21C"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Interpretation</w:t>
            </w:r>
          </w:p>
          <w:p w14:paraId="5D295FC0" w14:textId="77777777" w:rsidR="00275F5A" w:rsidRDefault="00275F5A">
            <w:pPr>
              <w:spacing w:line="240" w:lineRule="auto"/>
              <w:jc w:val="both"/>
              <w:rPr>
                <w:rFonts w:ascii="Arial" w:hAnsi="Arial" w:cs="Arial"/>
                <w:b/>
                <w:bCs/>
                <w:kern w:val="0"/>
                <w:sz w:val="20"/>
                <w:szCs w:val="20"/>
                <w:lang w:val="en-IN"/>
                <w14:ligatures w14:val="none"/>
              </w:rPr>
            </w:pPr>
          </w:p>
        </w:tc>
      </w:tr>
      <w:tr w:rsidR="00275F5A" w14:paraId="3B89A0A8" w14:textId="77777777">
        <w:trPr>
          <w:trHeight w:val="513"/>
          <w:jc w:val="center"/>
        </w:trPr>
        <w:tc>
          <w:tcPr>
            <w:tcW w:w="2337" w:type="dxa"/>
            <w:tcBorders>
              <w:top w:val="single" w:sz="4" w:space="0" w:color="auto"/>
              <w:left w:val="single" w:sz="4" w:space="0" w:color="auto"/>
              <w:bottom w:val="single" w:sz="4" w:space="0" w:color="auto"/>
              <w:right w:val="single" w:sz="4" w:space="0" w:color="auto"/>
            </w:tcBorders>
          </w:tcPr>
          <w:p w14:paraId="3CEFF92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Water temperature (°C)</w:t>
            </w:r>
          </w:p>
        </w:tc>
        <w:tc>
          <w:tcPr>
            <w:tcW w:w="1168" w:type="dxa"/>
            <w:tcBorders>
              <w:top w:val="single" w:sz="4" w:space="0" w:color="auto"/>
              <w:left w:val="single" w:sz="4" w:space="0" w:color="auto"/>
              <w:bottom w:val="single" w:sz="4" w:space="0" w:color="auto"/>
              <w:right w:val="single" w:sz="4" w:space="0" w:color="auto"/>
            </w:tcBorders>
          </w:tcPr>
          <w:p w14:paraId="5D37670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0.63</w:t>
            </w:r>
          </w:p>
        </w:tc>
        <w:tc>
          <w:tcPr>
            <w:tcW w:w="2906" w:type="dxa"/>
            <w:tcBorders>
              <w:top w:val="single" w:sz="4" w:space="0" w:color="auto"/>
              <w:left w:val="single" w:sz="4" w:space="0" w:color="auto"/>
              <w:bottom w:val="single" w:sz="4" w:space="0" w:color="auto"/>
              <w:right w:val="single" w:sz="4" w:space="0" w:color="auto"/>
            </w:tcBorders>
          </w:tcPr>
          <w:p w14:paraId="3178410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Moderate correlation</w:t>
            </w:r>
          </w:p>
        </w:tc>
        <w:tc>
          <w:tcPr>
            <w:tcW w:w="4474" w:type="dxa"/>
            <w:tcBorders>
              <w:top w:val="single" w:sz="4" w:space="0" w:color="auto"/>
              <w:left w:val="single" w:sz="4" w:space="0" w:color="auto"/>
              <w:bottom w:val="single" w:sz="4" w:space="0" w:color="auto"/>
              <w:right w:val="single" w:sz="4" w:space="0" w:color="auto"/>
            </w:tcBorders>
          </w:tcPr>
          <w:p w14:paraId="6D644A7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Aquaponics and pond temps somewhat aligned, but with noticeable variation</w:t>
            </w:r>
          </w:p>
        </w:tc>
      </w:tr>
      <w:tr w:rsidR="00275F5A" w14:paraId="0833AE95" w14:textId="77777777">
        <w:trPr>
          <w:trHeight w:val="441"/>
          <w:jc w:val="center"/>
        </w:trPr>
        <w:tc>
          <w:tcPr>
            <w:tcW w:w="2337" w:type="dxa"/>
            <w:tcBorders>
              <w:top w:val="single" w:sz="4" w:space="0" w:color="auto"/>
              <w:left w:val="single" w:sz="4" w:space="0" w:color="auto"/>
              <w:bottom w:val="single" w:sz="4" w:space="0" w:color="auto"/>
              <w:right w:val="single" w:sz="4" w:space="0" w:color="auto"/>
            </w:tcBorders>
          </w:tcPr>
          <w:p w14:paraId="29E5166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Ph</w:t>
            </w:r>
          </w:p>
        </w:tc>
        <w:tc>
          <w:tcPr>
            <w:tcW w:w="1168" w:type="dxa"/>
            <w:tcBorders>
              <w:top w:val="single" w:sz="4" w:space="0" w:color="auto"/>
              <w:left w:val="single" w:sz="4" w:space="0" w:color="auto"/>
              <w:bottom w:val="single" w:sz="4" w:space="0" w:color="auto"/>
              <w:right w:val="single" w:sz="4" w:space="0" w:color="auto"/>
            </w:tcBorders>
          </w:tcPr>
          <w:p w14:paraId="5498A72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0.93</w:t>
            </w:r>
          </w:p>
        </w:tc>
        <w:tc>
          <w:tcPr>
            <w:tcW w:w="2906" w:type="dxa"/>
            <w:tcBorders>
              <w:top w:val="single" w:sz="4" w:space="0" w:color="auto"/>
              <w:left w:val="single" w:sz="4" w:space="0" w:color="auto"/>
              <w:bottom w:val="single" w:sz="4" w:space="0" w:color="auto"/>
              <w:right w:val="single" w:sz="4" w:space="0" w:color="auto"/>
            </w:tcBorders>
          </w:tcPr>
          <w:p w14:paraId="7F50B50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Very strong correlation</w:t>
            </w:r>
          </w:p>
        </w:tc>
        <w:tc>
          <w:tcPr>
            <w:tcW w:w="4474" w:type="dxa"/>
            <w:tcBorders>
              <w:top w:val="single" w:sz="4" w:space="0" w:color="auto"/>
              <w:left w:val="single" w:sz="4" w:space="0" w:color="auto"/>
              <w:bottom w:val="single" w:sz="4" w:space="0" w:color="auto"/>
              <w:right w:val="single" w:sz="4" w:space="0" w:color="auto"/>
            </w:tcBorders>
          </w:tcPr>
          <w:p w14:paraId="563D495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Excellent predictive alignment between systems.</w:t>
            </w:r>
          </w:p>
        </w:tc>
      </w:tr>
      <w:tr w:rsidR="00275F5A" w14:paraId="5B07FEF9" w14:textId="77777777">
        <w:trPr>
          <w:trHeight w:val="423"/>
          <w:jc w:val="center"/>
        </w:trPr>
        <w:tc>
          <w:tcPr>
            <w:tcW w:w="2337" w:type="dxa"/>
            <w:tcBorders>
              <w:top w:val="single" w:sz="4" w:space="0" w:color="auto"/>
              <w:left w:val="single" w:sz="4" w:space="0" w:color="auto"/>
              <w:bottom w:val="single" w:sz="4" w:space="0" w:color="auto"/>
              <w:right w:val="single" w:sz="4" w:space="0" w:color="auto"/>
            </w:tcBorders>
          </w:tcPr>
          <w:p w14:paraId="41BD360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Dissolved oxygen (DO) (mg/l)</w:t>
            </w:r>
          </w:p>
        </w:tc>
        <w:tc>
          <w:tcPr>
            <w:tcW w:w="1168" w:type="dxa"/>
            <w:tcBorders>
              <w:top w:val="single" w:sz="4" w:space="0" w:color="auto"/>
              <w:left w:val="single" w:sz="4" w:space="0" w:color="auto"/>
              <w:bottom w:val="single" w:sz="4" w:space="0" w:color="auto"/>
              <w:right w:val="single" w:sz="4" w:space="0" w:color="auto"/>
            </w:tcBorders>
          </w:tcPr>
          <w:p w14:paraId="12CEE20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0.89</w:t>
            </w:r>
          </w:p>
        </w:tc>
        <w:tc>
          <w:tcPr>
            <w:tcW w:w="2906" w:type="dxa"/>
            <w:tcBorders>
              <w:top w:val="single" w:sz="4" w:space="0" w:color="auto"/>
              <w:left w:val="single" w:sz="4" w:space="0" w:color="auto"/>
              <w:bottom w:val="single" w:sz="4" w:space="0" w:color="auto"/>
              <w:right w:val="single" w:sz="4" w:space="0" w:color="auto"/>
            </w:tcBorders>
          </w:tcPr>
          <w:p w14:paraId="25C2939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Strong correlation</w:t>
            </w:r>
          </w:p>
        </w:tc>
        <w:tc>
          <w:tcPr>
            <w:tcW w:w="4474" w:type="dxa"/>
            <w:tcBorders>
              <w:top w:val="single" w:sz="4" w:space="0" w:color="auto"/>
              <w:left w:val="single" w:sz="4" w:space="0" w:color="auto"/>
              <w:bottom w:val="single" w:sz="4" w:space="0" w:color="auto"/>
              <w:right w:val="single" w:sz="4" w:space="0" w:color="auto"/>
            </w:tcBorders>
          </w:tcPr>
          <w:p w14:paraId="34A5E32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Good correlation, though slightly lower than pH/Alk/Nitrate.</w:t>
            </w:r>
          </w:p>
        </w:tc>
      </w:tr>
      <w:tr w:rsidR="00275F5A" w14:paraId="5B4AC557" w14:textId="77777777">
        <w:trPr>
          <w:trHeight w:val="531"/>
          <w:jc w:val="center"/>
        </w:trPr>
        <w:tc>
          <w:tcPr>
            <w:tcW w:w="2337" w:type="dxa"/>
            <w:tcBorders>
              <w:top w:val="single" w:sz="4" w:space="0" w:color="auto"/>
              <w:left w:val="single" w:sz="4" w:space="0" w:color="auto"/>
              <w:bottom w:val="single" w:sz="4" w:space="0" w:color="auto"/>
              <w:right w:val="single" w:sz="4" w:space="0" w:color="auto"/>
            </w:tcBorders>
          </w:tcPr>
          <w:p w14:paraId="5CCD6BF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Electrical conductivity (uS/cm)</w:t>
            </w:r>
          </w:p>
        </w:tc>
        <w:tc>
          <w:tcPr>
            <w:tcW w:w="1168" w:type="dxa"/>
            <w:tcBorders>
              <w:top w:val="single" w:sz="4" w:space="0" w:color="auto"/>
              <w:left w:val="single" w:sz="4" w:space="0" w:color="auto"/>
              <w:bottom w:val="single" w:sz="4" w:space="0" w:color="auto"/>
              <w:right w:val="single" w:sz="4" w:space="0" w:color="auto"/>
            </w:tcBorders>
          </w:tcPr>
          <w:p w14:paraId="4FB32CC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0.97</w:t>
            </w:r>
          </w:p>
        </w:tc>
        <w:tc>
          <w:tcPr>
            <w:tcW w:w="2906" w:type="dxa"/>
            <w:tcBorders>
              <w:top w:val="single" w:sz="4" w:space="0" w:color="auto"/>
              <w:left w:val="single" w:sz="4" w:space="0" w:color="auto"/>
              <w:bottom w:val="single" w:sz="4" w:space="0" w:color="auto"/>
              <w:right w:val="single" w:sz="4" w:space="0" w:color="auto"/>
            </w:tcBorders>
          </w:tcPr>
          <w:p w14:paraId="27C9D6E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Excellent correlation</w:t>
            </w:r>
          </w:p>
        </w:tc>
        <w:tc>
          <w:tcPr>
            <w:tcW w:w="4474" w:type="dxa"/>
            <w:tcBorders>
              <w:top w:val="single" w:sz="4" w:space="0" w:color="auto"/>
              <w:left w:val="single" w:sz="4" w:space="0" w:color="auto"/>
              <w:bottom w:val="single" w:sz="4" w:space="0" w:color="auto"/>
              <w:right w:val="single" w:sz="4" w:space="0" w:color="auto"/>
            </w:tcBorders>
          </w:tcPr>
          <w:p w14:paraId="0545A15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EC shows the strongest relationship of all parameters.</w:t>
            </w:r>
          </w:p>
        </w:tc>
      </w:tr>
      <w:tr w:rsidR="00275F5A" w14:paraId="5192F636" w14:textId="77777777">
        <w:trPr>
          <w:trHeight w:val="351"/>
          <w:jc w:val="center"/>
        </w:trPr>
        <w:tc>
          <w:tcPr>
            <w:tcW w:w="2337" w:type="dxa"/>
            <w:tcBorders>
              <w:top w:val="single" w:sz="4" w:space="0" w:color="auto"/>
              <w:left w:val="single" w:sz="4" w:space="0" w:color="auto"/>
              <w:bottom w:val="single" w:sz="4" w:space="0" w:color="auto"/>
              <w:right w:val="single" w:sz="4" w:space="0" w:color="auto"/>
            </w:tcBorders>
          </w:tcPr>
          <w:p w14:paraId="5E8192C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Alkalinity (mg/l)</w:t>
            </w:r>
          </w:p>
        </w:tc>
        <w:tc>
          <w:tcPr>
            <w:tcW w:w="1168" w:type="dxa"/>
            <w:tcBorders>
              <w:top w:val="single" w:sz="4" w:space="0" w:color="auto"/>
              <w:left w:val="single" w:sz="4" w:space="0" w:color="auto"/>
              <w:bottom w:val="single" w:sz="4" w:space="0" w:color="auto"/>
              <w:right w:val="single" w:sz="4" w:space="0" w:color="auto"/>
            </w:tcBorders>
          </w:tcPr>
          <w:p w14:paraId="2BE936B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0.93</w:t>
            </w:r>
          </w:p>
        </w:tc>
        <w:tc>
          <w:tcPr>
            <w:tcW w:w="2906" w:type="dxa"/>
            <w:tcBorders>
              <w:top w:val="single" w:sz="4" w:space="0" w:color="auto"/>
              <w:left w:val="single" w:sz="4" w:space="0" w:color="auto"/>
              <w:bottom w:val="single" w:sz="4" w:space="0" w:color="auto"/>
              <w:right w:val="single" w:sz="4" w:space="0" w:color="auto"/>
            </w:tcBorders>
          </w:tcPr>
          <w:p w14:paraId="2CE4AA1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Very strong correlation</w:t>
            </w:r>
          </w:p>
        </w:tc>
        <w:tc>
          <w:tcPr>
            <w:tcW w:w="4474" w:type="dxa"/>
            <w:tcBorders>
              <w:top w:val="single" w:sz="4" w:space="0" w:color="auto"/>
              <w:left w:val="single" w:sz="4" w:space="0" w:color="auto"/>
              <w:bottom w:val="single" w:sz="4" w:space="0" w:color="auto"/>
              <w:right w:val="single" w:sz="4" w:space="0" w:color="auto"/>
            </w:tcBorders>
          </w:tcPr>
          <w:p w14:paraId="5B5E73F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High consistency across both setups.</w:t>
            </w:r>
          </w:p>
        </w:tc>
      </w:tr>
      <w:tr w:rsidR="00275F5A" w14:paraId="23985CE2" w14:textId="77777777">
        <w:trPr>
          <w:trHeight w:val="351"/>
          <w:jc w:val="center"/>
        </w:trPr>
        <w:tc>
          <w:tcPr>
            <w:tcW w:w="2337" w:type="dxa"/>
            <w:tcBorders>
              <w:top w:val="single" w:sz="4" w:space="0" w:color="auto"/>
              <w:left w:val="single" w:sz="4" w:space="0" w:color="auto"/>
              <w:bottom w:val="single" w:sz="4" w:space="0" w:color="auto"/>
              <w:right w:val="single" w:sz="4" w:space="0" w:color="auto"/>
            </w:tcBorders>
          </w:tcPr>
          <w:p w14:paraId="0DFC53A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Ammonia (mg/I)</w:t>
            </w:r>
          </w:p>
        </w:tc>
        <w:tc>
          <w:tcPr>
            <w:tcW w:w="1168" w:type="dxa"/>
            <w:tcBorders>
              <w:top w:val="single" w:sz="4" w:space="0" w:color="auto"/>
              <w:left w:val="single" w:sz="4" w:space="0" w:color="auto"/>
              <w:bottom w:val="single" w:sz="4" w:space="0" w:color="auto"/>
              <w:right w:val="single" w:sz="4" w:space="0" w:color="auto"/>
            </w:tcBorders>
          </w:tcPr>
          <w:p w14:paraId="242205E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0.02</w:t>
            </w:r>
          </w:p>
        </w:tc>
        <w:tc>
          <w:tcPr>
            <w:tcW w:w="2906" w:type="dxa"/>
            <w:tcBorders>
              <w:top w:val="single" w:sz="4" w:space="0" w:color="auto"/>
              <w:left w:val="single" w:sz="4" w:space="0" w:color="auto"/>
              <w:bottom w:val="single" w:sz="4" w:space="0" w:color="auto"/>
              <w:right w:val="single" w:sz="4" w:space="0" w:color="auto"/>
            </w:tcBorders>
          </w:tcPr>
          <w:p w14:paraId="484A7A9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No correlation</w:t>
            </w:r>
          </w:p>
        </w:tc>
        <w:tc>
          <w:tcPr>
            <w:tcW w:w="4474" w:type="dxa"/>
            <w:tcBorders>
              <w:top w:val="single" w:sz="4" w:space="0" w:color="auto"/>
              <w:left w:val="single" w:sz="4" w:space="0" w:color="auto"/>
              <w:bottom w:val="single" w:sz="4" w:space="0" w:color="auto"/>
              <w:right w:val="single" w:sz="4" w:space="0" w:color="auto"/>
            </w:tcBorders>
          </w:tcPr>
          <w:p w14:paraId="6C4EBC3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Essentially no predictive relationship present.</w:t>
            </w:r>
          </w:p>
        </w:tc>
      </w:tr>
      <w:tr w:rsidR="00275F5A" w14:paraId="3EFE0AAB" w14:textId="77777777">
        <w:trPr>
          <w:trHeight w:val="153"/>
          <w:jc w:val="center"/>
        </w:trPr>
        <w:tc>
          <w:tcPr>
            <w:tcW w:w="2337" w:type="dxa"/>
            <w:tcBorders>
              <w:top w:val="single" w:sz="4" w:space="0" w:color="auto"/>
              <w:left w:val="single" w:sz="4" w:space="0" w:color="auto"/>
              <w:bottom w:val="single" w:sz="4" w:space="0" w:color="auto"/>
              <w:right w:val="single" w:sz="4" w:space="0" w:color="auto"/>
            </w:tcBorders>
          </w:tcPr>
          <w:p w14:paraId="2730132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Nitrate (mg/l)</w:t>
            </w:r>
          </w:p>
        </w:tc>
        <w:tc>
          <w:tcPr>
            <w:tcW w:w="1168" w:type="dxa"/>
            <w:tcBorders>
              <w:top w:val="single" w:sz="4" w:space="0" w:color="auto"/>
              <w:left w:val="single" w:sz="4" w:space="0" w:color="auto"/>
              <w:bottom w:val="single" w:sz="4" w:space="0" w:color="auto"/>
              <w:right w:val="single" w:sz="4" w:space="0" w:color="auto"/>
            </w:tcBorders>
          </w:tcPr>
          <w:p w14:paraId="7A5BC33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0.93</w:t>
            </w:r>
          </w:p>
        </w:tc>
        <w:tc>
          <w:tcPr>
            <w:tcW w:w="2906" w:type="dxa"/>
            <w:tcBorders>
              <w:top w:val="single" w:sz="4" w:space="0" w:color="auto"/>
              <w:left w:val="single" w:sz="4" w:space="0" w:color="auto"/>
              <w:bottom w:val="single" w:sz="4" w:space="0" w:color="auto"/>
              <w:right w:val="single" w:sz="4" w:space="0" w:color="auto"/>
            </w:tcBorders>
          </w:tcPr>
          <w:p w14:paraId="2D5C0A9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Very strong correlation</w:t>
            </w:r>
          </w:p>
        </w:tc>
        <w:tc>
          <w:tcPr>
            <w:tcW w:w="4474" w:type="dxa"/>
            <w:tcBorders>
              <w:top w:val="single" w:sz="4" w:space="0" w:color="auto"/>
              <w:left w:val="single" w:sz="4" w:space="0" w:color="auto"/>
              <w:bottom w:val="single" w:sz="4" w:space="0" w:color="auto"/>
              <w:right w:val="single" w:sz="4" w:space="0" w:color="auto"/>
            </w:tcBorders>
          </w:tcPr>
          <w:p w14:paraId="3F0F09F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Strong linear relationship</w:t>
            </w:r>
          </w:p>
        </w:tc>
      </w:tr>
      <w:tr w:rsidR="00275F5A" w14:paraId="29D3CF04" w14:textId="77777777">
        <w:trPr>
          <w:trHeight w:val="368"/>
          <w:jc w:val="center"/>
        </w:trPr>
        <w:tc>
          <w:tcPr>
            <w:tcW w:w="2337" w:type="dxa"/>
            <w:tcBorders>
              <w:top w:val="single" w:sz="4" w:space="0" w:color="auto"/>
              <w:left w:val="single" w:sz="4" w:space="0" w:color="auto"/>
              <w:bottom w:val="single" w:sz="4" w:space="0" w:color="auto"/>
              <w:right w:val="single" w:sz="4" w:space="0" w:color="auto"/>
            </w:tcBorders>
          </w:tcPr>
          <w:p w14:paraId="32EC15F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Nitrite (mg/I)</w:t>
            </w:r>
          </w:p>
        </w:tc>
        <w:tc>
          <w:tcPr>
            <w:tcW w:w="1168" w:type="dxa"/>
            <w:tcBorders>
              <w:top w:val="single" w:sz="4" w:space="0" w:color="auto"/>
              <w:left w:val="single" w:sz="4" w:space="0" w:color="auto"/>
              <w:bottom w:val="single" w:sz="4" w:space="0" w:color="auto"/>
              <w:right w:val="single" w:sz="4" w:space="0" w:color="auto"/>
            </w:tcBorders>
          </w:tcPr>
          <w:p w14:paraId="2613886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0.00</w:t>
            </w:r>
          </w:p>
        </w:tc>
        <w:tc>
          <w:tcPr>
            <w:tcW w:w="2906" w:type="dxa"/>
            <w:tcBorders>
              <w:top w:val="single" w:sz="4" w:space="0" w:color="auto"/>
              <w:left w:val="single" w:sz="4" w:space="0" w:color="auto"/>
              <w:bottom w:val="single" w:sz="4" w:space="0" w:color="auto"/>
              <w:right w:val="single" w:sz="4" w:space="0" w:color="auto"/>
            </w:tcBorders>
          </w:tcPr>
          <w:p w14:paraId="566407C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No correlation</w:t>
            </w:r>
          </w:p>
        </w:tc>
        <w:tc>
          <w:tcPr>
            <w:tcW w:w="4474" w:type="dxa"/>
            <w:tcBorders>
              <w:top w:val="single" w:sz="4" w:space="0" w:color="auto"/>
              <w:left w:val="single" w:sz="4" w:space="0" w:color="auto"/>
              <w:bottom w:val="single" w:sz="4" w:space="0" w:color="auto"/>
              <w:right w:val="single" w:sz="4" w:space="0" w:color="auto"/>
            </w:tcBorders>
          </w:tcPr>
          <w:p w14:paraId="568AE72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No linear correlation detected.</w:t>
            </w:r>
          </w:p>
        </w:tc>
      </w:tr>
    </w:tbl>
    <w:p w14:paraId="3DB9973B" w14:textId="77777777" w:rsidR="00275F5A" w:rsidRDefault="00275F5A">
      <w:pPr>
        <w:spacing w:line="240" w:lineRule="auto"/>
        <w:jc w:val="both"/>
        <w:rPr>
          <w:rFonts w:ascii="Arial" w:hAnsi="Arial" w:cs="Arial"/>
          <w:b/>
          <w:bCs/>
          <w:sz w:val="20"/>
          <w:szCs w:val="20"/>
        </w:rPr>
      </w:pPr>
    </w:p>
    <w:p w14:paraId="13EB96EA"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3.3Fish Growth Performance</w:t>
      </w:r>
    </w:p>
    <w:p w14:paraId="500958BD"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Significant improvements in length and weight were observed in the growth performance of various fish species during the study period, indicating the efficacy of the feeding schedules and rearing circumstances. In Tank 1, </w:t>
      </w:r>
      <w:r>
        <w:rPr>
          <w:rFonts w:ascii="Arial" w:hAnsi="Arial" w:cs="Arial"/>
          <w:i/>
          <w:iCs/>
          <w:sz w:val="20"/>
          <w:szCs w:val="20"/>
        </w:rPr>
        <w:t>Cyprinus carpio's</w:t>
      </w:r>
      <w:r>
        <w:rPr>
          <w:rFonts w:ascii="Arial" w:hAnsi="Arial" w:cs="Arial"/>
          <w:sz w:val="20"/>
          <w:szCs w:val="20"/>
        </w:rPr>
        <w:t xml:space="preserve"> net length increased by 7.04 cm, from 15.24 ± 0.058 cm to 22.28 ± 0.22 cm; in Tank 2, </w:t>
      </w:r>
      <w:r>
        <w:rPr>
          <w:rFonts w:ascii="Arial" w:hAnsi="Arial" w:cs="Arial"/>
          <w:i/>
          <w:iCs/>
          <w:sz w:val="20"/>
          <w:szCs w:val="20"/>
        </w:rPr>
        <w:t>Ctenopharyngodon idella's</w:t>
      </w:r>
      <w:r>
        <w:rPr>
          <w:rFonts w:ascii="Arial" w:hAnsi="Arial" w:cs="Arial"/>
          <w:sz w:val="20"/>
          <w:szCs w:val="20"/>
        </w:rPr>
        <w:t xml:space="preserve"> net length increased by 7.8 cm, from 17.11 ± 0.11 cm to 24.91 ± 0.086 cm. According to weight gain analysis, under the corresponding conditions, Cyprinus carpio gained 113.45 g and Ctenopharyngodon idella gained 141.3 g. These findings underscored the significance of customized management techniques in aquaculture by highlighting species-specific reactions to environmental and nutritional variables. Regular monitoring of length and weight served as a reliable indicator of health and productivity offering valuable insights for optimizing future system designs and feeding protocols (</w:t>
      </w:r>
      <w:r>
        <w:rPr>
          <w:rFonts w:ascii="Arial" w:hAnsi="Arial" w:cs="Arial"/>
          <w:sz w:val="20"/>
          <w:szCs w:val="20"/>
          <w:lang w:val="en-IN"/>
        </w:rPr>
        <w:t xml:space="preserve">Table </w:t>
      </w:r>
      <w:r>
        <w:rPr>
          <w:rFonts w:ascii="Arial" w:hAnsi="Arial" w:cs="Arial"/>
          <w:sz w:val="20"/>
          <w:szCs w:val="20"/>
        </w:rPr>
        <w:t>4).</w:t>
      </w:r>
    </w:p>
    <w:p w14:paraId="119E1A50" w14:textId="77777777" w:rsidR="00275F5A" w:rsidRDefault="00275F5A">
      <w:pPr>
        <w:spacing w:line="240" w:lineRule="auto"/>
        <w:jc w:val="both"/>
        <w:rPr>
          <w:rFonts w:ascii="Arial" w:hAnsi="Arial" w:cs="Arial"/>
          <w:sz w:val="20"/>
          <w:szCs w:val="20"/>
        </w:rPr>
      </w:pPr>
    </w:p>
    <w:p w14:paraId="796425C2" w14:textId="77777777" w:rsidR="00275F5A" w:rsidRDefault="00275F5A">
      <w:pPr>
        <w:spacing w:line="240" w:lineRule="auto"/>
        <w:jc w:val="both"/>
        <w:rPr>
          <w:rFonts w:ascii="Arial" w:hAnsi="Arial" w:cs="Arial"/>
          <w:sz w:val="20"/>
          <w:szCs w:val="20"/>
        </w:rPr>
      </w:pPr>
    </w:p>
    <w:p w14:paraId="1209743F" w14:textId="77777777" w:rsidR="00275F5A" w:rsidRDefault="00275F5A">
      <w:pPr>
        <w:spacing w:line="240" w:lineRule="auto"/>
        <w:jc w:val="both"/>
        <w:rPr>
          <w:rFonts w:ascii="Arial" w:hAnsi="Arial" w:cs="Arial"/>
          <w:sz w:val="20"/>
          <w:szCs w:val="20"/>
        </w:rPr>
      </w:pPr>
    </w:p>
    <w:p w14:paraId="0FBD569A" w14:textId="77777777" w:rsidR="00275F5A" w:rsidRDefault="00275F5A">
      <w:pPr>
        <w:spacing w:line="240" w:lineRule="auto"/>
        <w:jc w:val="both"/>
        <w:rPr>
          <w:rFonts w:ascii="Arial" w:hAnsi="Arial" w:cs="Arial"/>
          <w:sz w:val="20"/>
          <w:szCs w:val="20"/>
        </w:rPr>
      </w:pPr>
    </w:p>
    <w:p w14:paraId="6DB010E2" w14:textId="77777777" w:rsidR="00275F5A" w:rsidRDefault="00275F5A">
      <w:pPr>
        <w:spacing w:line="240" w:lineRule="auto"/>
        <w:jc w:val="both"/>
        <w:rPr>
          <w:rFonts w:ascii="Arial" w:hAnsi="Arial" w:cs="Arial"/>
          <w:sz w:val="20"/>
          <w:szCs w:val="20"/>
        </w:rPr>
      </w:pPr>
    </w:p>
    <w:p w14:paraId="16849E1F" w14:textId="77777777" w:rsidR="00275F5A" w:rsidRDefault="00275F5A">
      <w:pPr>
        <w:spacing w:line="240" w:lineRule="auto"/>
        <w:jc w:val="both"/>
        <w:rPr>
          <w:rFonts w:ascii="Arial" w:hAnsi="Arial" w:cs="Arial"/>
          <w:sz w:val="20"/>
          <w:szCs w:val="20"/>
        </w:rPr>
      </w:pPr>
    </w:p>
    <w:p w14:paraId="78B2D404" w14:textId="77777777" w:rsidR="00275F5A" w:rsidRDefault="00275F5A">
      <w:pPr>
        <w:spacing w:line="240" w:lineRule="auto"/>
        <w:jc w:val="both"/>
        <w:rPr>
          <w:rFonts w:ascii="Arial" w:hAnsi="Arial" w:cs="Arial"/>
          <w:sz w:val="20"/>
          <w:szCs w:val="20"/>
        </w:rPr>
      </w:pPr>
    </w:p>
    <w:p w14:paraId="7F7C859A" w14:textId="77777777" w:rsidR="00275F5A" w:rsidRDefault="00275F5A">
      <w:pPr>
        <w:spacing w:line="240" w:lineRule="auto"/>
        <w:jc w:val="both"/>
        <w:rPr>
          <w:rFonts w:ascii="Arial" w:hAnsi="Arial" w:cs="Arial"/>
          <w:sz w:val="20"/>
          <w:szCs w:val="20"/>
        </w:rPr>
      </w:pPr>
    </w:p>
    <w:p w14:paraId="671E515D" w14:textId="77777777" w:rsidR="00275F5A" w:rsidRDefault="00275F5A">
      <w:pPr>
        <w:spacing w:line="240" w:lineRule="auto"/>
        <w:jc w:val="both"/>
        <w:rPr>
          <w:rFonts w:ascii="Arial" w:hAnsi="Arial" w:cs="Arial"/>
          <w:sz w:val="20"/>
          <w:szCs w:val="20"/>
        </w:rPr>
      </w:pPr>
    </w:p>
    <w:p w14:paraId="112456B2" w14:textId="77777777" w:rsidR="00275F5A" w:rsidRDefault="00275F5A">
      <w:pPr>
        <w:spacing w:line="240" w:lineRule="auto"/>
        <w:jc w:val="both"/>
        <w:rPr>
          <w:rFonts w:ascii="Arial" w:hAnsi="Arial" w:cs="Arial"/>
          <w:sz w:val="20"/>
          <w:szCs w:val="20"/>
        </w:rPr>
      </w:pPr>
    </w:p>
    <w:p w14:paraId="3A1EB272" w14:textId="77777777" w:rsidR="00275F5A" w:rsidRDefault="00275F5A">
      <w:pPr>
        <w:spacing w:line="240" w:lineRule="auto"/>
        <w:jc w:val="both"/>
        <w:rPr>
          <w:rFonts w:ascii="Arial" w:hAnsi="Arial" w:cs="Arial"/>
          <w:sz w:val="20"/>
          <w:szCs w:val="20"/>
        </w:rPr>
      </w:pPr>
    </w:p>
    <w:p w14:paraId="46B099B4" w14:textId="77777777" w:rsidR="00275F5A" w:rsidRDefault="00CF3A5E">
      <w:pPr>
        <w:spacing w:line="240" w:lineRule="auto"/>
        <w:jc w:val="both"/>
        <w:rPr>
          <w:rFonts w:ascii="Arial" w:hAnsi="Arial" w:cs="Arial"/>
          <w:b/>
          <w:bCs/>
          <w:sz w:val="20"/>
          <w:szCs w:val="20"/>
          <w:lang w:val="en-IN"/>
        </w:rPr>
      </w:pPr>
      <w:r>
        <w:rPr>
          <w:rFonts w:ascii="Arial" w:hAnsi="Arial" w:cs="Arial"/>
          <w:b/>
          <w:bCs/>
          <w:sz w:val="20"/>
          <w:szCs w:val="20"/>
          <w:lang w:val="en-IN"/>
        </w:rPr>
        <w:t>Table</w:t>
      </w:r>
      <w:bookmarkStart w:id="0" w:name="_Hlk202260526"/>
      <w:r>
        <w:rPr>
          <w:rFonts w:ascii="Arial" w:hAnsi="Arial" w:cs="Arial"/>
          <w:b/>
          <w:bCs/>
          <w:sz w:val="20"/>
          <w:szCs w:val="20"/>
          <w:lang w:val="en-IN"/>
        </w:rPr>
        <w:t xml:space="preserve"> </w:t>
      </w:r>
      <w:bookmarkEnd w:id="0"/>
      <w:r>
        <w:rPr>
          <w:rFonts w:ascii="Arial" w:hAnsi="Arial" w:cs="Arial"/>
          <w:b/>
          <w:bCs/>
          <w:sz w:val="20"/>
          <w:szCs w:val="20"/>
        </w:rPr>
        <w:t>4</w:t>
      </w:r>
      <w:r>
        <w:rPr>
          <w:rFonts w:ascii="Arial" w:hAnsi="Arial" w:cs="Arial"/>
          <w:b/>
          <w:bCs/>
          <w:sz w:val="20"/>
          <w:szCs w:val="20"/>
          <w:lang w:val="en-IN"/>
        </w:rPr>
        <w:t>: Weight and Length gain of fish during this experiment</w:t>
      </w:r>
    </w:p>
    <w:tbl>
      <w:tblPr>
        <w:tblStyle w:val="TableGrid"/>
        <w:tblW w:w="9776" w:type="dxa"/>
        <w:tblLook w:val="04A0" w:firstRow="1" w:lastRow="0" w:firstColumn="1" w:lastColumn="0" w:noHBand="0" w:noVBand="1"/>
      </w:tblPr>
      <w:tblGrid>
        <w:gridCol w:w="1764"/>
        <w:gridCol w:w="1922"/>
        <w:gridCol w:w="1875"/>
        <w:gridCol w:w="1724"/>
        <w:gridCol w:w="2491"/>
      </w:tblGrid>
      <w:tr w:rsidR="00275F5A" w14:paraId="53BEB1A8" w14:textId="77777777">
        <w:trPr>
          <w:trHeight w:val="853"/>
        </w:trPr>
        <w:tc>
          <w:tcPr>
            <w:tcW w:w="1764" w:type="dxa"/>
            <w:vMerge w:val="restart"/>
            <w:tcBorders>
              <w:top w:val="single" w:sz="4" w:space="0" w:color="auto"/>
              <w:left w:val="single" w:sz="4" w:space="0" w:color="auto"/>
              <w:bottom w:val="single" w:sz="4" w:space="0" w:color="auto"/>
              <w:right w:val="single" w:sz="4" w:space="0" w:color="auto"/>
              <w:tl2br w:val="single" w:sz="4" w:space="0" w:color="auto"/>
            </w:tcBorders>
          </w:tcPr>
          <w:p w14:paraId="00056383"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 xml:space="preserve">  Fish Species</w:t>
            </w:r>
          </w:p>
          <w:p w14:paraId="69C75940"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 xml:space="preserve">                →</w:t>
            </w:r>
          </w:p>
          <w:p w14:paraId="1FB7E317"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No. of</w:t>
            </w:r>
          </w:p>
          <w:p w14:paraId="6C8FADD6"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Weeks      ↓</w:t>
            </w:r>
          </w:p>
        </w:tc>
        <w:tc>
          <w:tcPr>
            <w:tcW w:w="3797" w:type="dxa"/>
            <w:gridSpan w:val="2"/>
            <w:tcBorders>
              <w:top w:val="single" w:sz="4" w:space="0" w:color="auto"/>
              <w:left w:val="single" w:sz="4" w:space="0" w:color="auto"/>
              <w:bottom w:val="single" w:sz="4" w:space="0" w:color="auto"/>
              <w:right w:val="single" w:sz="4" w:space="0" w:color="auto"/>
            </w:tcBorders>
          </w:tcPr>
          <w:p w14:paraId="5F0CEBB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 xml:space="preserve">Cyprinus carpio </w:t>
            </w:r>
            <w:r>
              <w:rPr>
                <w:rFonts w:ascii="Arial" w:hAnsi="Arial" w:cs="Arial"/>
                <w:b/>
                <w:bCs/>
                <w:kern w:val="0"/>
                <w:sz w:val="20"/>
                <w:szCs w:val="20"/>
                <w:lang w:val="en-IN"/>
                <w14:ligatures w14:val="none"/>
              </w:rPr>
              <w:t>(Tank – 1)</w:t>
            </w:r>
          </w:p>
        </w:tc>
        <w:tc>
          <w:tcPr>
            <w:tcW w:w="4215" w:type="dxa"/>
            <w:gridSpan w:val="2"/>
            <w:tcBorders>
              <w:top w:val="single" w:sz="4" w:space="0" w:color="auto"/>
              <w:left w:val="single" w:sz="4" w:space="0" w:color="auto"/>
              <w:bottom w:val="single" w:sz="4" w:space="0" w:color="auto"/>
              <w:right w:val="single" w:sz="4" w:space="0" w:color="auto"/>
            </w:tcBorders>
          </w:tcPr>
          <w:p w14:paraId="0DBAD65F"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 xml:space="preserve">Ctenapharyngodon idella </w:t>
            </w:r>
            <w:r>
              <w:rPr>
                <w:rFonts w:ascii="Arial" w:hAnsi="Arial" w:cs="Arial"/>
                <w:b/>
                <w:bCs/>
                <w:kern w:val="0"/>
                <w:sz w:val="20"/>
                <w:szCs w:val="20"/>
                <w:lang w:val="en-IN"/>
                <w14:ligatures w14:val="none"/>
              </w:rPr>
              <w:t>(Tank - 2)</w:t>
            </w:r>
          </w:p>
        </w:tc>
      </w:tr>
      <w:tr w:rsidR="00275F5A" w14:paraId="65AF8F25" w14:textId="77777777">
        <w:trPr>
          <w:trHeight w:val="719"/>
        </w:trPr>
        <w:tc>
          <w:tcPr>
            <w:tcW w:w="0" w:type="auto"/>
            <w:vMerge/>
            <w:tcBorders>
              <w:top w:val="single" w:sz="4" w:space="0" w:color="auto"/>
              <w:left w:val="single" w:sz="4" w:space="0" w:color="auto"/>
              <w:bottom w:val="single" w:sz="4" w:space="0" w:color="auto"/>
              <w:right w:val="single" w:sz="4" w:space="0" w:color="auto"/>
            </w:tcBorders>
            <w:vAlign w:val="center"/>
          </w:tcPr>
          <w:p w14:paraId="55B26E3E" w14:textId="77777777" w:rsidR="00275F5A" w:rsidRDefault="00275F5A">
            <w:pPr>
              <w:spacing w:line="240" w:lineRule="auto"/>
              <w:jc w:val="both"/>
              <w:rPr>
                <w:rFonts w:ascii="Arial" w:hAnsi="Arial" w:cs="Arial"/>
                <w:b/>
                <w:bCs/>
                <w:kern w:val="0"/>
                <w:sz w:val="20"/>
                <w:szCs w:val="20"/>
                <w:lang w:val="en-IN"/>
                <w14:ligatures w14:val="none"/>
              </w:rPr>
            </w:pPr>
          </w:p>
        </w:tc>
        <w:tc>
          <w:tcPr>
            <w:tcW w:w="1922" w:type="dxa"/>
            <w:tcBorders>
              <w:top w:val="single" w:sz="4" w:space="0" w:color="auto"/>
              <w:left w:val="single" w:sz="4" w:space="0" w:color="auto"/>
              <w:bottom w:val="single" w:sz="4" w:space="0" w:color="auto"/>
              <w:right w:val="single" w:sz="4" w:space="0" w:color="auto"/>
            </w:tcBorders>
          </w:tcPr>
          <w:p w14:paraId="393C3629"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Net length gain</w:t>
            </w:r>
          </w:p>
          <w:p w14:paraId="55F6A37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(cm)</w:t>
            </w:r>
          </w:p>
        </w:tc>
        <w:tc>
          <w:tcPr>
            <w:tcW w:w="1875" w:type="dxa"/>
            <w:tcBorders>
              <w:top w:val="single" w:sz="4" w:space="0" w:color="auto"/>
              <w:left w:val="single" w:sz="4" w:space="0" w:color="auto"/>
              <w:bottom w:val="single" w:sz="4" w:space="0" w:color="auto"/>
              <w:right w:val="single" w:sz="4" w:space="0" w:color="auto"/>
            </w:tcBorders>
          </w:tcPr>
          <w:p w14:paraId="71EA5E54"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Net weight gain</w:t>
            </w:r>
          </w:p>
          <w:p w14:paraId="4731A2A5"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(g)</w:t>
            </w:r>
          </w:p>
        </w:tc>
        <w:tc>
          <w:tcPr>
            <w:tcW w:w="1724" w:type="dxa"/>
            <w:tcBorders>
              <w:top w:val="single" w:sz="4" w:space="0" w:color="auto"/>
              <w:left w:val="single" w:sz="4" w:space="0" w:color="auto"/>
              <w:bottom w:val="single" w:sz="4" w:space="0" w:color="auto"/>
              <w:right w:val="single" w:sz="4" w:space="0" w:color="auto"/>
            </w:tcBorders>
          </w:tcPr>
          <w:p w14:paraId="56395D98"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Net length gain</w:t>
            </w:r>
          </w:p>
          <w:p w14:paraId="71C87F42"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(cm)</w:t>
            </w:r>
          </w:p>
        </w:tc>
        <w:tc>
          <w:tcPr>
            <w:tcW w:w="2491" w:type="dxa"/>
            <w:tcBorders>
              <w:top w:val="single" w:sz="4" w:space="0" w:color="auto"/>
              <w:left w:val="single" w:sz="4" w:space="0" w:color="auto"/>
              <w:bottom w:val="single" w:sz="4" w:space="0" w:color="auto"/>
              <w:right w:val="single" w:sz="4" w:space="0" w:color="auto"/>
            </w:tcBorders>
          </w:tcPr>
          <w:p w14:paraId="33C70E86"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Net weight gain</w:t>
            </w:r>
          </w:p>
          <w:p w14:paraId="7684F4C8"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(g)</w:t>
            </w:r>
          </w:p>
        </w:tc>
      </w:tr>
      <w:tr w:rsidR="00275F5A" w14:paraId="247AD4F3" w14:textId="77777777">
        <w:trPr>
          <w:trHeight w:val="764"/>
        </w:trPr>
        <w:tc>
          <w:tcPr>
            <w:tcW w:w="1764" w:type="dxa"/>
            <w:tcBorders>
              <w:top w:val="single" w:sz="4" w:space="0" w:color="auto"/>
              <w:left w:val="single" w:sz="4" w:space="0" w:color="auto"/>
              <w:bottom w:val="single" w:sz="4" w:space="0" w:color="auto"/>
              <w:right w:val="single" w:sz="4" w:space="0" w:color="auto"/>
            </w:tcBorders>
          </w:tcPr>
          <w:p w14:paraId="1B136D43"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Initial weight</w:t>
            </w:r>
          </w:p>
        </w:tc>
        <w:tc>
          <w:tcPr>
            <w:tcW w:w="1922" w:type="dxa"/>
            <w:tcBorders>
              <w:top w:val="single" w:sz="4" w:space="0" w:color="auto"/>
              <w:left w:val="single" w:sz="4" w:space="0" w:color="auto"/>
              <w:bottom w:val="single" w:sz="4" w:space="0" w:color="auto"/>
              <w:right w:val="single" w:sz="4" w:space="0" w:color="auto"/>
            </w:tcBorders>
          </w:tcPr>
          <w:p w14:paraId="53536F9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15.24±0.058</w:t>
            </w:r>
          </w:p>
          <w:p w14:paraId="42EDD6CA"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3955EDC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45.457±0.4314</w:t>
            </w:r>
          </w:p>
          <w:p w14:paraId="308FE8CD" w14:textId="77777777" w:rsidR="00275F5A" w:rsidRDefault="00275F5A">
            <w:pPr>
              <w:spacing w:line="240" w:lineRule="auto"/>
              <w:jc w:val="both"/>
              <w:rPr>
                <w:rFonts w:ascii="Arial" w:hAnsi="Arial" w:cs="Arial"/>
                <w:kern w:val="0"/>
                <w:sz w:val="20"/>
                <w:szCs w:val="20"/>
                <w:lang w:val="en-IN"/>
                <w14:ligatures w14:val="none"/>
              </w:rPr>
            </w:pPr>
          </w:p>
        </w:tc>
        <w:tc>
          <w:tcPr>
            <w:tcW w:w="1724" w:type="dxa"/>
            <w:tcBorders>
              <w:top w:val="single" w:sz="4" w:space="0" w:color="auto"/>
              <w:left w:val="single" w:sz="4" w:space="0" w:color="auto"/>
              <w:bottom w:val="single" w:sz="4" w:space="0" w:color="auto"/>
              <w:right w:val="single" w:sz="4" w:space="0" w:color="auto"/>
            </w:tcBorders>
          </w:tcPr>
          <w:p w14:paraId="1BE2BD7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17.11±0.113</w:t>
            </w:r>
          </w:p>
          <w:p w14:paraId="648B5286"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4FE9C5C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55.7±0.3872</w:t>
            </w:r>
          </w:p>
          <w:p w14:paraId="56556119" w14:textId="77777777" w:rsidR="00275F5A" w:rsidRDefault="00275F5A">
            <w:pPr>
              <w:spacing w:line="240" w:lineRule="auto"/>
              <w:jc w:val="both"/>
              <w:rPr>
                <w:rFonts w:ascii="Arial" w:hAnsi="Arial" w:cs="Arial"/>
                <w:kern w:val="0"/>
                <w:sz w:val="20"/>
                <w:szCs w:val="20"/>
                <w:lang w:val="en-IN"/>
                <w14:ligatures w14:val="none"/>
              </w:rPr>
            </w:pPr>
          </w:p>
        </w:tc>
      </w:tr>
      <w:tr w:rsidR="00275F5A" w14:paraId="3A1EC28D" w14:textId="77777777">
        <w:trPr>
          <w:trHeight w:val="854"/>
        </w:trPr>
        <w:tc>
          <w:tcPr>
            <w:tcW w:w="1764" w:type="dxa"/>
            <w:tcBorders>
              <w:top w:val="single" w:sz="4" w:space="0" w:color="auto"/>
              <w:left w:val="single" w:sz="4" w:space="0" w:color="auto"/>
              <w:bottom w:val="single" w:sz="4" w:space="0" w:color="auto"/>
              <w:right w:val="single" w:sz="4" w:space="0" w:color="auto"/>
            </w:tcBorders>
          </w:tcPr>
          <w:p w14:paraId="17483217"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1-2 weeks</w:t>
            </w:r>
          </w:p>
        </w:tc>
        <w:tc>
          <w:tcPr>
            <w:tcW w:w="1922" w:type="dxa"/>
            <w:tcBorders>
              <w:top w:val="single" w:sz="4" w:space="0" w:color="auto"/>
              <w:left w:val="single" w:sz="4" w:space="0" w:color="auto"/>
              <w:bottom w:val="single" w:sz="4" w:space="0" w:color="auto"/>
              <w:right w:val="single" w:sz="4" w:space="0" w:color="auto"/>
            </w:tcBorders>
          </w:tcPr>
          <w:p w14:paraId="47B65E9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16.33±0.212</w:t>
            </w:r>
          </w:p>
          <w:p w14:paraId="3A57B693"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5203F89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52.49±1.3536</w:t>
            </w:r>
          </w:p>
        </w:tc>
        <w:tc>
          <w:tcPr>
            <w:tcW w:w="1724" w:type="dxa"/>
            <w:tcBorders>
              <w:top w:val="single" w:sz="4" w:space="0" w:color="auto"/>
              <w:left w:val="single" w:sz="4" w:space="0" w:color="auto"/>
              <w:bottom w:val="single" w:sz="4" w:space="0" w:color="auto"/>
              <w:right w:val="single" w:sz="4" w:space="0" w:color="auto"/>
            </w:tcBorders>
          </w:tcPr>
          <w:p w14:paraId="7D63EAB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18.30±0.264</w:t>
            </w:r>
          </w:p>
          <w:p w14:paraId="7D2FEA48"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323BC5C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63.9±0.2943</w:t>
            </w:r>
          </w:p>
        </w:tc>
      </w:tr>
      <w:tr w:rsidR="00275F5A" w14:paraId="046A5990" w14:textId="77777777">
        <w:trPr>
          <w:trHeight w:val="737"/>
        </w:trPr>
        <w:tc>
          <w:tcPr>
            <w:tcW w:w="1764" w:type="dxa"/>
            <w:tcBorders>
              <w:top w:val="single" w:sz="4" w:space="0" w:color="auto"/>
              <w:left w:val="single" w:sz="4" w:space="0" w:color="auto"/>
              <w:bottom w:val="single" w:sz="4" w:space="0" w:color="auto"/>
              <w:right w:val="single" w:sz="4" w:space="0" w:color="auto"/>
            </w:tcBorders>
          </w:tcPr>
          <w:p w14:paraId="491A669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3-4 weeks</w:t>
            </w:r>
          </w:p>
        </w:tc>
        <w:tc>
          <w:tcPr>
            <w:tcW w:w="1922" w:type="dxa"/>
            <w:tcBorders>
              <w:top w:val="single" w:sz="4" w:space="0" w:color="auto"/>
              <w:left w:val="single" w:sz="4" w:space="0" w:color="auto"/>
              <w:bottom w:val="single" w:sz="4" w:space="0" w:color="auto"/>
              <w:right w:val="single" w:sz="4" w:space="0" w:color="auto"/>
            </w:tcBorders>
          </w:tcPr>
          <w:p w14:paraId="14DEF17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17.07±0.266</w:t>
            </w:r>
          </w:p>
          <w:p w14:paraId="47E1718A"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2ECD8DC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60.29±0.57997</w:t>
            </w:r>
          </w:p>
          <w:p w14:paraId="1EC4F28C" w14:textId="77777777" w:rsidR="00275F5A" w:rsidRDefault="00275F5A">
            <w:pPr>
              <w:spacing w:line="240" w:lineRule="auto"/>
              <w:jc w:val="both"/>
              <w:rPr>
                <w:rFonts w:ascii="Arial" w:hAnsi="Arial" w:cs="Arial"/>
                <w:kern w:val="0"/>
                <w:sz w:val="20"/>
                <w:szCs w:val="20"/>
                <w:lang w:val="en-IN"/>
                <w14:ligatures w14:val="none"/>
              </w:rPr>
            </w:pPr>
          </w:p>
        </w:tc>
        <w:tc>
          <w:tcPr>
            <w:tcW w:w="1724" w:type="dxa"/>
            <w:tcBorders>
              <w:top w:val="single" w:sz="4" w:space="0" w:color="auto"/>
              <w:left w:val="single" w:sz="4" w:space="0" w:color="auto"/>
              <w:bottom w:val="single" w:sz="4" w:space="0" w:color="auto"/>
              <w:right w:val="single" w:sz="4" w:space="0" w:color="auto"/>
            </w:tcBorders>
          </w:tcPr>
          <w:p w14:paraId="0499A3E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19.12±0.243</w:t>
            </w:r>
          </w:p>
        </w:tc>
        <w:tc>
          <w:tcPr>
            <w:tcW w:w="2491" w:type="dxa"/>
            <w:tcBorders>
              <w:top w:val="single" w:sz="4" w:space="0" w:color="auto"/>
              <w:left w:val="single" w:sz="4" w:space="0" w:color="auto"/>
              <w:bottom w:val="single" w:sz="4" w:space="0" w:color="auto"/>
              <w:right w:val="single" w:sz="4" w:space="0" w:color="auto"/>
            </w:tcBorders>
          </w:tcPr>
          <w:p w14:paraId="1530990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73.5±0.34156</w:t>
            </w:r>
          </w:p>
        </w:tc>
      </w:tr>
      <w:tr w:rsidR="00275F5A" w14:paraId="7D56855A" w14:textId="77777777">
        <w:trPr>
          <w:trHeight w:val="413"/>
        </w:trPr>
        <w:tc>
          <w:tcPr>
            <w:tcW w:w="1764" w:type="dxa"/>
            <w:tcBorders>
              <w:top w:val="single" w:sz="4" w:space="0" w:color="auto"/>
              <w:left w:val="single" w:sz="4" w:space="0" w:color="auto"/>
              <w:bottom w:val="single" w:sz="4" w:space="0" w:color="auto"/>
              <w:right w:val="single" w:sz="4" w:space="0" w:color="auto"/>
            </w:tcBorders>
          </w:tcPr>
          <w:p w14:paraId="7EFAA48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5-6 weeks</w:t>
            </w:r>
          </w:p>
        </w:tc>
        <w:tc>
          <w:tcPr>
            <w:tcW w:w="1922" w:type="dxa"/>
            <w:tcBorders>
              <w:top w:val="single" w:sz="4" w:space="0" w:color="auto"/>
              <w:left w:val="single" w:sz="4" w:space="0" w:color="auto"/>
              <w:bottom w:val="single" w:sz="4" w:space="0" w:color="auto"/>
              <w:right w:val="single" w:sz="4" w:space="0" w:color="auto"/>
            </w:tcBorders>
          </w:tcPr>
          <w:p w14:paraId="7085D5B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17.83±0.229</w:t>
            </w:r>
          </w:p>
          <w:p w14:paraId="5965644A"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21C5406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69.35±0.64743</w:t>
            </w:r>
          </w:p>
          <w:p w14:paraId="27438662" w14:textId="77777777" w:rsidR="00275F5A" w:rsidRDefault="00275F5A">
            <w:pPr>
              <w:spacing w:line="240" w:lineRule="auto"/>
              <w:jc w:val="both"/>
              <w:rPr>
                <w:rFonts w:ascii="Arial" w:hAnsi="Arial" w:cs="Arial"/>
                <w:kern w:val="0"/>
                <w:sz w:val="20"/>
                <w:szCs w:val="20"/>
                <w:lang w:val="en-IN"/>
                <w14:ligatures w14:val="none"/>
              </w:rPr>
            </w:pPr>
          </w:p>
        </w:tc>
        <w:tc>
          <w:tcPr>
            <w:tcW w:w="1724" w:type="dxa"/>
            <w:tcBorders>
              <w:top w:val="single" w:sz="4" w:space="0" w:color="auto"/>
              <w:left w:val="single" w:sz="4" w:space="0" w:color="auto"/>
              <w:bottom w:val="single" w:sz="4" w:space="0" w:color="auto"/>
              <w:right w:val="single" w:sz="4" w:space="0" w:color="auto"/>
            </w:tcBorders>
          </w:tcPr>
          <w:p w14:paraId="6487197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19.91±0.244</w:t>
            </w:r>
          </w:p>
          <w:p w14:paraId="2DE8EF74"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5C370D5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84.5±0.3559</w:t>
            </w:r>
          </w:p>
          <w:p w14:paraId="470747B3" w14:textId="77777777" w:rsidR="00275F5A" w:rsidRDefault="00275F5A">
            <w:pPr>
              <w:spacing w:line="240" w:lineRule="auto"/>
              <w:jc w:val="both"/>
              <w:rPr>
                <w:rFonts w:ascii="Arial" w:hAnsi="Arial" w:cs="Arial"/>
                <w:kern w:val="0"/>
                <w:sz w:val="20"/>
                <w:szCs w:val="20"/>
                <w:lang w:val="en-IN"/>
                <w14:ligatures w14:val="none"/>
              </w:rPr>
            </w:pPr>
          </w:p>
        </w:tc>
      </w:tr>
      <w:tr w:rsidR="00275F5A" w14:paraId="12E537C2" w14:textId="77777777">
        <w:trPr>
          <w:trHeight w:val="251"/>
        </w:trPr>
        <w:tc>
          <w:tcPr>
            <w:tcW w:w="1764" w:type="dxa"/>
            <w:tcBorders>
              <w:top w:val="single" w:sz="4" w:space="0" w:color="auto"/>
              <w:left w:val="single" w:sz="4" w:space="0" w:color="auto"/>
              <w:bottom w:val="single" w:sz="4" w:space="0" w:color="auto"/>
              <w:right w:val="single" w:sz="4" w:space="0" w:color="auto"/>
            </w:tcBorders>
          </w:tcPr>
          <w:p w14:paraId="7B46BA0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7-8 weeks</w:t>
            </w:r>
          </w:p>
        </w:tc>
        <w:tc>
          <w:tcPr>
            <w:tcW w:w="1922" w:type="dxa"/>
            <w:tcBorders>
              <w:top w:val="single" w:sz="4" w:space="0" w:color="auto"/>
              <w:left w:val="single" w:sz="4" w:space="0" w:color="auto"/>
              <w:bottom w:val="single" w:sz="4" w:space="0" w:color="auto"/>
              <w:right w:val="single" w:sz="4" w:space="0" w:color="auto"/>
            </w:tcBorders>
          </w:tcPr>
          <w:p w14:paraId="635C04A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18.57±0.241</w:t>
            </w:r>
          </w:p>
        </w:tc>
        <w:tc>
          <w:tcPr>
            <w:tcW w:w="1875" w:type="dxa"/>
            <w:tcBorders>
              <w:top w:val="single" w:sz="4" w:space="0" w:color="auto"/>
              <w:left w:val="single" w:sz="4" w:space="0" w:color="auto"/>
              <w:bottom w:val="single" w:sz="4" w:space="0" w:color="auto"/>
              <w:right w:val="single" w:sz="4" w:space="0" w:color="auto"/>
            </w:tcBorders>
          </w:tcPr>
          <w:p w14:paraId="5C2B274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79.55±0.64355</w:t>
            </w:r>
          </w:p>
        </w:tc>
        <w:tc>
          <w:tcPr>
            <w:tcW w:w="1724" w:type="dxa"/>
            <w:tcBorders>
              <w:top w:val="single" w:sz="4" w:space="0" w:color="auto"/>
              <w:left w:val="single" w:sz="4" w:space="0" w:color="auto"/>
              <w:bottom w:val="single" w:sz="4" w:space="0" w:color="auto"/>
              <w:right w:val="single" w:sz="4" w:space="0" w:color="auto"/>
            </w:tcBorders>
          </w:tcPr>
          <w:p w14:paraId="7E8D9F0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20.70±0.242</w:t>
            </w:r>
          </w:p>
          <w:p w14:paraId="1A1A0AFC"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742437B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97.057±0.59681</w:t>
            </w:r>
          </w:p>
          <w:p w14:paraId="2C7B57D4" w14:textId="77777777" w:rsidR="00275F5A" w:rsidRDefault="00275F5A">
            <w:pPr>
              <w:spacing w:line="240" w:lineRule="auto"/>
              <w:jc w:val="both"/>
              <w:rPr>
                <w:rFonts w:ascii="Arial" w:hAnsi="Arial" w:cs="Arial"/>
                <w:kern w:val="0"/>
                <w:sz w:val="20"/>
                <w:szCs w:val="20"/>
                <w:lang w:val="en-IN"/>
                <w14:ligatures w14:val="none"/>
              </w:rPr>
            </w:pPr>
          </w:p>
        </w:tc>
      </w:tr>
      <w:tr w:rsidR="00275F5A" w14:paraId="1B0CD77D" w14:textId="77777777">
        <w:trPr>
          <w:trHeight w:val="368"/>
        </w:trPr>
        <w:tc>
          <w:tcPr>
            <w:tcW w:w="1764" w:type="dxa"/>
            <w:tcBorders>
              <w:top w:val="single" w:sz="4" w:space="0" w:color="auto"/>
              <w:left w:val="single" w:sz="4" w:space="0" w:color="auto"/>
              <w:bottom w:val="single" w:sz="4" w:space="0" w:color="auto"/>
              <w:right w:val="single" w:sz="4" w:space="0" w:color="auto"/>
            </w:tcBorders>
          </w:tcPr>
          <w:p w14:paraId="7E98DBD9"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9-10 weeks</w:t>
            </w:r>
          </w:p>
        </w:tc>
        <w:tc>
          <w:tcPr>
            <w:tcW w:w="1922" w:type="dxa"/>
            <w:tcBorders>
              <w:top w:val="single" w:sz="4" w:space="0" w:color="auto"/>
              <w:left w:val="single" w:sz="4" w:space="0" w:color="auto"/>
              <w:bottom w:val="single" w:sz="4" w:space="0" w:color="auto"/>
              <w:right w:val="single" w:sz="4" w:space="0" w:color="auto"/>
            </w:tcBorders>
          </w:tcPr>
          <w:p w14:paraId="493713E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19.32±0.231</w:t>
            </w:r>
          </w:p>
          <w:p w14:paraId="6102AF46"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3F0AF90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91.505±0.61228</w:t>
            </w:r>
          </w:p>
          <w:p w14:paraId="23007143" w14:textId="77777777" w:rsidR="00275F5A" w:rsidRDefault="00275F5A">
            <w:pPr>
              <w:spacing w:line="240" w:lineRule="auto"/>
              <w:jc w:val="both"/>
              <w:rPr>
                <w:rFonts w:ascii="Arial" w:hAnsi="Arial" w:cs="Arial"/>
                <w:kern w:val="0"/>
                <w:sz w:val="20"/>
                <w:szCs w:val="20"/>
                <w:lang w:val="en-IN"/>
                <w14:ligatures w14:val="none"/>
              </w:rPr>
            </w:pPr>
          </w:p>
        </w:tc>
        <w:tc>
          <w:tcPr>
            <w:tcW w:w="1724" w:type="dxa"/>
            <w:tcBorders>
              <w:top w:val="single" w:sz="4" w:space="0" w:color="auto"/>
              <w:left w:val="single" w:sz="4" w:space="0" w:color="auto"/>
              <w:bottom w:val="single" w:sz="4" w:space="0" w:color="auto"/>
              <w:right w:val="single" w:sz="4" w:space="0" w:color="auto"/>
            </w:tcBorders>
          </w:tcPr>
          <w:p w14:paraId="6305EA8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21.49±0.244</w:t>
            </w:r>
          </w:p>
          <w:p w14:paraId="75026EE4"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79650FB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111.45±0.3994</w:t>
            </w:r>
          </w:p>
          <w:p w14:paraId="3518FF74" w14:textId="77777777" w:rsidR="00275F5A" w:rsidRDefault="00275F5A">
            <w:pPr>
              <w:spacing w:line="240" w:lineRule="auto"/>
              <w:jc w:val="both"/>
              <w:rPr>
                <w:rFonts w:ascii="Arial" w:hAnsi="Arial" w:cs="Arial"/>
                <w:kern w:val="0"/>
                <w:sz w:val="20"/>
                <w:szCs w:val="20"/>
                <w:lang w:val="en-IN"/>
                <w14:ligatures w14:val="none"/>
              </w:rPr>
            </w:pPr>
          </w:p>
        </w:tc>
      </w:tr>
      <w:tr w:rsidR="00275F5A" w14:paraId="39F95DB2" w14:textId="77777777">
        <w:trPr>
          <w:trHeight w:val="386"/>
        </w:trPr>
        <w:tc>
          <w:tcPr>
            <w:tcW w:w="1764" w:type="dxa"/>
            <w:tcBorders>
              <w:top w:val="single" w:sz="4" w:space="0" w:color="auto"/>
              <w:left w:val="single" w:sz="4" w:space="0" w:color="auto"/>
              <w:bottom w:val="single" w:sz="4" w:space="0" w:color="auto"/>
              <w:right w:val="single" w:sz="4" w:space="0" w:color="auto"/>
            </w:tcBorders>
          </w:tcPr>
          <w:p w14:paraId="56B3A1C9"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11-12 weeks</w:t>
            </w:r>
          </w:p>
        </w:tc>
        <w:tc>
          <w:tcPr>
            <w:tcW w:w="1922" w:type="dxa"/>
            <w:tcBorders>
              <w:top w:val="single" w:sz="4" w:space="0" w:color="auto"/>
              <w:left w:val="single" w:sz="4" w:space="0" w:color="auto"/>
              <w:bottom w:val="single" w:sz="4" w:space="0" w:color="auto"/>
              <w:right w:val="single" w:sz="4" w:space="0" w:color="auto"/>
            </w:tcBorders>
          </w:tcPr>
          <w:p w14:paraId="445291E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20.06±0.227</w:t>
            </w:r>
          </w:p>
          <w:p w14:paraId="2EB35A3A"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319935B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104.82±0.7674</w:t>
            </w:r>
          </w:p>
        </w:tc>
        <w:tc>
          <w:tcPr>
            <w:tcW w:w="1724" w:type="dxa"/>
            <w:tcBorders>
              <w:top w:val="single" w:sz="4" w:space="0" w:color="auto"/>
              <w:left w:val="single" w:sz="4" w:space="0" w:color="auto"/>
              <w:bottom w:val="single" w:sz="4" w:space="0" w:color="auto"/>
              <w:right w:val="single" w:sz="4" w:space="0" w:color="auto"/>
            </w:tcBorders>
          </w:tcPr>
          <w:p w14:paraId="5DAE94B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22.31±0.285</w:t>
            </w:r>
          </w:p>
          <w:p w14:paraId="0D8CAF51"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692E60A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128.53±0.5099</w:t>
            </w:r>
          </w:p>
          <w:p w14:paraId="3340047F" w14:textId="77777777" w:rsidR="00275F5A" w:rsidRDefault="00275F5A">
            <w:pPr>
              <w:spacing w:line="240" w:lineRule="auto"/>
              <w:jc w:val="both"/>
              <w:rPr>
                <w:rFonts w:ascii="Arial" w:hAnsi="Arial" w:cs="Arial"/>
                <w:kern w:val="0"/>
                <w:sz w:val="20"/>
                <w:szCs w:val="20"/>
                <w:lang w:val="en-IN"/>
                <w14:ligatures w14:val="none"/>
              </w:rPr>
            </w:pPr>
          </w:p>
        </w:tc>
      </w:tr>
      <w:tr w:rsidR="00275F5A" w14:paraId="589CAC02" w14:textId="77777777">
        <w:trPr>
          <w:trHeight w:val="50"/>
        </w:trPr>
        <w:tc>
          <w:tcPr>
            <w:tcW w:w="1764" w:type="dxa"/>
            <w:tcBorders>
              <w:top w:val="single" w:sz="4" w:space="0" w:color="auto"/>
              <w:left w:val="single" w:sz="4" w:space="0" w:color="auto"/>
              <w:bottom w:val="single" w:sz="4" w:space="0" w:color="auto"/>
              <w:right w:val="single" w:sz="4" w:space="0" w:color="auto"/>
            </w:tcBorders>
          </w:tcPr>
          <w:p w14:paraId="2E8C3C2C"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13-14 weeks</w:t>
            </w:r>
          </w:p>
        </w:tc>
        <w:tc>
          <w:tcPr>
            <w:tcW w:w="1922" w:type="dxa"/>
            <w:tcBorders>
              <w:top w:val="single" w:sz="4" w:space="0" w:color="auto"/>
              <w:left w:val="single" w:sz="4" w:space="0" w:color="auto"/>
              <w:bottom w:val="single" w:sz="4" w:space="0" w:color="auto"/>
              <w:right w:val="single" w:sz="4" w:space="0" w:color="auto"/>
            </w:tcBorders>
          </w:tcPr>
          <w:p w14:paraId="54ED3AE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20.79±0.237</w:t>
            </w:r>
          </w:p>
          <w:p w14:paraId="2BF97E5F"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1D71BCC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120.362±0.63429</w:t>
            </w:r>
          </w:p>
          <w:p w14:paraId="2F6510D1" w14:textId="77777777" w:rsidR="00275F5A" w:rsidRDefault="00275F5A">
            <w:pPr>
              <w:spacing w:line="240" w:lineRule="auto"/>
              <w:jc w:val="both"/>
              <w:rPr>
                <w:rFonts w:ascii="Arial" w:hAnsi="Arial" w:cs="Arial"/>
                <w:kern w:val="0"/>
                <w:sz w:val="20"/>
                <w:szCs w:val="20"/>
                <w:lang w:val="en-IN"/>
                <w14:ligatures w14:val="none"/>
              </w:rPr>
            </w:pPr>
          </w:p>
        </w:tc>
        <w:tc>
          <w:tcPr>
            <w:tcW w:w="1724" w:type="dxa"/>
            <w:tcBorders>
              <w:top w:val="single" w:sz="4" w:space="0" w:color="auto"/>
              <w:left w:val="single" w:sz="4" w:space="0" w:color="auto"/>
              <w:bottom w:val="single" w:sz="4" w:space="0" w:color="auto"/>
              <w:right w:val="single" w:sz="4" w:space="0" w:color="auto"/>
            </w:tcBorders>
          </w:tcPr>
          <w:p w14:paraId="5342DD9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22.07±0.243</w:t>
            </w:r>
          </w:p>
          <w:p w14:paraId="473AF3FE"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3BAF3BD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148.5±0.5099</w:t>
            </w:r>
          </w:p>
          <w:p w14:paraId="4C9704B7" w14:textId="77777777" w:rsidR="00275F5A" w:rsidRDefault="00275F5A">
            <w:pPr>
              <w:spacing w:line="240" w:lineRule="auto"/>
              <w:jc w:val="both"/>
              <w:rPr>
                <w:rFonts w:ascii="Arial" w:hAnsi="Arial" w:cs="Arial"/>
                <w:kern w:val="0"/>
                <w:sz w:val="20"/>
                <w:szCs w:val="20"/>
                <w:lang w:val="en-IN"/>
                <w14:ligatures w14:val="none"/>
              </w:rPr>
            </w:pPr>
          </w:p>
        </w:tc>
      </w:tr>
      <w:tr w:rsidR="00275F5A" w14:paraId="76F0D62E" w14:textId="77777777">
        <w:trPr>
          <w:trHeight w:val="350"/>
        </w:trPr>
        <w:tc>
          <w:tcPr>
            <w:tcW w:w="1764" w:type="dxa"/>
            <w:tcBorders>
              <w:top w:val="single" w:sz="4" w:space="0" w:color="auto"/>
              <w:left w:val="single" w:sz="4" w:space="0" w:color="auto"/>
              <w:bottom w:val="single" w:sz="4" w:space="0" w:color="auto"/>
              <w:right w:val="single" w:sz="4" w:space="0" w:color="auto"/>
            </w:tcBorders>
          </w:tcPr>
          <w:p w14:paraId="0D7FA62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lastRenderedPageBreak/>
              <w:t>15-16 weeks</w:t>
            </w:r>
          </w:p>
        </w:tc>
        <w:tc>
          <w:tcPr>
            <w:tcW w:w="1922" w:type="dxa"/>
            <w:tcBorders>
              <w:top w:val="single" w:sz="4" w:space="0" w:color="auto"/>
              <w:left w:val="single" w:sz="4" w:space="0" w:color="auto"/>
              <w:bottom w:val="single" w:sz="4" w:space="0" w:color="auto"/>
              <w:right w:val="single" w:sz="4" w:space="0" w:color="auto"/>
            </w:tcBorders>
          </w:tcPr>
          <w:p w14:paraId="7516602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21.58±0.181</w:t>
            </w:r>
          </w:p>
        </w:tc>
        <w:tc>
          <w:tcPr>
            <w:tcW w:w="1875" w:type="dxa"/>
            <w:tcBorders>
              <w:top w:val="single" w:sz="4" w:space="0" w:color="auto"/>
              <w:left w:val="single" w:sz="4" w:space="0" w:color="auto"/>
              <w:bottom w:val="single" w:sz="4" w:space="0" w:color="auto"/>
              <w:right w:val="single" w:sz="4" w:space="0" w:color="auto"/>
            </w:tcBorders>
          </w:tcPr>
          <w:p w14:paraId="7673187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138.13±0.7229</w:t>
            </w:r>
          </w:p>
        </w:tc>
        <w:tc>
          <w:tcPr>
            <w:tcW w:w="1724" w:type="dxa"/>
            <w:tcBorders>
              <w:top w:val="single" w:sz="4" w:space="0" w:color="auto"/>
              <w:left w:val="single" w:sz="4" w:space="0" w:color="auto"/>
              <w:bottom w:val="single" w:sz="4" w:space="0" w:color="auto"/>
              <w:right w:val="single" w:sz="4" w:space="0" w:color="auto"/>
            </w:tcBorders>
          </w:tcPr>
          <w:p w14:paraId="387EBA3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23.87±0.243</w:t>
            </w:r>
          </w:p>
          <w:p w14:paraId="70BB9FBB"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68EBC68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170.75±0.5563</w:t>
            </w:r>
          </w:p>
          <w:p w14:paraId="382B79EA" w14:textId="77777777" w:rsidR="00275F5A" w:rsidRDefault="00275F5A">
            <w:pPr>
              <w:spacing w:line="240" w:lineRule="auto"/>
              <w:jc w:val="both"/>
              <w:rPr>
                <w:rFonts w:ascii="Arial" w:hAnsi="Arial" w:cs="Arial"/>
                <w:kern w:val="0"/>
                <w:sz w:val="20"/>
                <w:szCs w:val="20"/>
                <w:lang w:val="en-IN"/>
                <w14:ligatures w14:val="none"/>
              </w:rPr>
            </w:pPr>
          </w:p>
        </w:tc>
      </w:tr>
      <w:tr w:rsidR="00275F5A" w14:paraId="589DBDA2" w14:textId="77777777">
        <w:trPr>
          <w:trHeight w:val="458"/>
        </w:trPr>
        <w:tc>
          <w:tcPr>
            <w:tcW w:w="1764" w:type="dxa"/>
            <w:tcBorders>
              <w:top w:val="single" w:sz="4" w:space="0" w:color="auto"/>
              <w:left w:val="single" w:sz="4" w:space="0" w:color="auto"/>
              <w:bottom w:val="single" w:sz="4" w:space="0" w:color="auto"/>
              <w:right w:val="single" w:sz="4" w:space="0" w:color="auto"/>
            </w:tcBorders>
          </w:tcPr>
          <w:p w14:paraId="10558A3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17-18 weeks</w:t>
            </w:r>
          </w:p>
        </w:tc>
        <w:tc>
          <w:tcPr>
            <w:tcW w:w="1922" w:type="dxa"/>
            <w:tcBorders>
              <w:top w:val="single" w:sz="4" w:space="0" w:color="auto"/>
              <w:left w:val="single" w:sz="4" w:space="0" w:color="auto"/>
              <w:bottom w:val="single" w:sz="4" w:space="0" w:color="auto"/>
              <w:right w:val="single" w:sz="4" w:space="0" w:color="auto"/>
            </w:tcBorders>
          </w:tcPr>
          <w:p w14:paraId="3CA3276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22.28±0.226</w:t>
            </w:r>
          </w:p>
          <w:p w14:paraId="5A2C988D" w14:textId="77777777" w:rsidR="00275F5A" w:rsidRDefault="00275F5A">
            <w:pPr>
              <w:spacing w:line="240" w:lineRule="auto"/>
              <w:jc w:val="both"/>
              <w:rPr>
                <w:rFonts w:ascii="Arial" w:hAnsi="Arial" w:cs="Arial"/>
                <w:kern w:val="0"/>
                <w:sz w:val="20"/>
                <w:szCs w:val="20"/>
                <w:lang w:val="en-IN"/>
                <w14:ligatures w14:val="none"/>
              </w:rPr>
            </w:pPr>
          </w:p>
        </w:tc>
        <w:tc>
          <w:tcPr>
            <w:tcW w:w="1875" w:type="dxa"/>
            <w:tcBorders>
              <w:top w:val="single" w:sz="4" w:space="0" w:color="auto"/>
              <w:left w:val="single" w:sz="4" w:space="0" w:color="auto"/>
              <w:bottom w:val="single" w:sz="4" w:space="0" w:color="auto"/>
              <w:right w:val="single" w:sz="4" w:space="0" w:color="auto"/>
            </w:tcBorders>
          </w:tcPr>
          <w:p w14:paraId="7BE5412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159.5±0.565</w:t>
            </w:r>
          </w:p>
        </w:tc>
        <w:tc>
          <w:tcPr>
            <w:tcW w:w="1724" w:type="dxa"/>
            <w:tcBorders>
              <w:top w:val="single" w:sz="4" w:space="0" w:color="auto"/>
              <w:left w:val="single" w:sz="4" w:space="0" w:color="auto"/>
              <w:bottom w:val="single" w:sz="4" w:space="0" w:color="auto"/>
              <w:right w:val="single" w:sz="4" w:space="0" w:color="auto"/>
            </w:tcBorders>
          </w:tcPr>
          <w:p w14:paraId="2501262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24.91±0.086</w:t>
            </w:r>
          </w:p>
          <w:p w14:paraId="38223808" w14:textId="77777777" w:rsidR="00275F5A" w:rsidRDefault="00275F5A">
            <w:pPr>
              <w:spacing w:line="240" w:lineRule="auto"/>
              <w:jc w:val="both"/>
              <w:rPr>
                <w:rFonts w:ascii="Arial" w:hAnsi="Arial" w:cs="Arial"/>
                <w:kern w:val="0"/>
                <w:sz w:val="20"/>
                <w:szCs w:val="20"/>
                <w:lang w:val="en-IN"/>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3CC60C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197±0.7937</w:t>
            </w:r>
          </w:p>
          <w:p w14:paraId="22A96BEA" w14:textId="77777777" w:rsidR="00275F5A" w:rsidRDefault="00275F5A">
            <w:pPr>
              <w:spacing w:line="240" w:lineRule="auto"/>
              <w:jc w:val="both"/>
              <w:rPr>
                <w:rFonts w:ascii="Arial" w:hAnsi="Arial" w:cs="Arial"/>
                <w:kern w:val="0"/>
                <w:sz w:val="20"/>
                <w:szCs w:val="20"/>
                <w:lang w:val="en-IN"/>
                <w14:ligatures w14:val="none"/>
              </w:rPr>
            </w:pPr>
          </w:p>
        </w:tc>
      </w:tr>
      <w:tr w:rsidR="00275F5A" w14:paraId="32B098E4" w14:textId="77777777">
        <w:trPr>
          <w:trHeight w:val="50"/>
        </w:trPr>
        <w:tc>
          <w:tcPr>
            <w:tcW w:w="1764" w:type="dxa"/>
            <w:tcBorders>
              <w:top w:val="single" w:sz="4" w:space="0" w:color="auto"/>
              <w:left w:val="single" w:sz="4" w:space="0" w:color="auto"/>
              <w:bottom w:val="single" w:sz="4" w:space="0" w:color="auto"/>
              <w:right w:val="single" w:sz="4" w:space="0" w:color="auto"/>
            </w:tcBorders>
          </w:tcPr>
          <w:p w14:paraId="3680D096" w14:textId="77777777" w:rsidR="00275F5A" w:rsidRDefault="00CF3A5E">
            <w:pPr>
              <w:spacing w:line="240" w:lineRule="auto"/>
              <w:jc w:val="both"/>
              <w:rPr>
                <w:rFonts w:ascii="Arial" w:hAnsi="Arial" w:cs="Arial"/>
                <w:b/>
                <w:bCs/>
                <w:kern w:val="0"/>
                <w:sz w:val="20"/>
                <w:szCs w:val="20"/>
                <w:lang w:val="en-IN"/>
                <w14:ligatures w14:val="none"/>
              </w:rPr>
            </w:pPr>
            <w:bookmarkStart w:id="1" w:name="_Hlk203046573"/>
            <w:r>
              <w:rPr>
                <w:rFonts w:ascii="Arial" w:hAnsi="Arial" w:cs="Arial"/>
                <w:b/>
                <w:bCs/>
                <w:kern w:val="0"/>
                <w:sz w:val="20"/>
                <w:szCs w:val="20"/>
                <w:lang w:val="en-IN"/>
                <w14:ligatures w14:val="none"/>
              </w:rPr>
              <w:t>Net gain</w:t>
            </w:r>
          </w:p>
        </w:tc>
        <w:tc>
          <w:tcPr>
            <w:tcW w:w="1922" w:type="dxa"/>
            <w:tcBorders>
              <w:top w:val="single" w:sz="4" w:space="0" w:color="auto"/>
              <w:left w:val="single" w:sz="4" w:space="0" w:color="auto"/>
              <w:bottom w:val="single" w:sz="4" w:space="0" w:color="auto"/>
              <w:right w:val="single" w:sz="4" w:space="0" w:color="auto"/>
            </w:tcBorders>
          </w:tcPr>
          <w:p w14:paraId="06CED114"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7.04</w:t>
            </w:r>
          </w:p>
        </w:tc>
        <w:tc>
          <w:tcPr>
            <w:tcW w:w="1875" w:type="dxa"/>
            <w:tcBorders>
              <w:top w:val="single" w:sz="4" w:space="0" w:color="auto"/>
              <w:left w:val="single" w:sz="4" w:space="0" w:color="auto"/>
              <w:bottom w:val="single" w:sz="4" w:space="0" w:color="auto"/>
              <w:right w:val="single" w:sz="4" w:space="0" w:color="auto"/>
            </w:tcBorders>
          </w:tcPr>
          <w:p w14:paraId="4737A3C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113.45</w:t>
            </w:r>
          </w:p>
          <w:p w14:paraId="3C9346B6" w14:textId="77777777" w:rsidR="00275F5A" w:rsidRDefault="00275F5A">
            <w:pPr>
              <w:spacing w:line="240" w:lineRule="auto"/>
              <w:jc w:val="both"/>
              <w:rPr>
                <w:rFonts w:ascii="Arial" w:hAnsi="Arial" w:cs="Arial"/>
                <w:b/>
                <w:bCs/>
                <w:kern w:val="0"/>
                <w:sz w:val="20"/>
                <w:szCs w:val="20"/>
                <w:lang w:val="en-IN"/>
                <w14:ligatures w14:val="none"/>
              </w:rPr>
            </w:pPr>
          </w:p>
        </w:tc>
        <w:tc>
          <w:tcPr>
            <w:tcW w:w="1724" w:type="dxa"/>
            <w:tcBorders>
              <w:top w:val="single" w:sz="4" w:space="0" w:color="auto"/>
              <w:left w:val="single" w:sz="4" w:space="0" w:color="auto"/>
              <w:bottom w:val="single" w:sz="4" w:space="0" w:color="auto"/>
              <w:right w:val="single" w:sz="4" w:space="0" w:color="auto"/>
            </w:tcBorders>
          </w:tcPr>
          <w:p w14:paraId="790C9525"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7.8</w:t>
            </w:r>
          </w:p>
        </w:tc>
        <w:tc>
          <w:tcPr>
            <w:tcW w:w="2491" w:type="dxa"/>
            <w:tcBorders>
              <w:top w:val="single" w:sz="4" w:space="0" w:color="auto"/>
              <w:left w:val="single" w:sz="4" w:space="0" w:color="auto"/>
              <w:bottom w:val="single" w:sz="4" w:space="0" w:color="auto"/>
              <w:right w:val="single" w:sz="4" w:space="0" w:color="auto"/>
            </w:tcBorders>
          </w:tcPr>
          <w:p w14:paraId="72C2B542"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141.3</w:t>
            </w:r>
          </w:p>
        </w:tc>
      </w:tr>
    </w:tbl>
    <w:p w14:paraId="3BE63CAB" w14:textId="77777777" w:rsidR="00275F5A" w:rsidRDefault="00275F5A">
      <w:pPr>
        <w:spacing w:line="240" w:lineRule="auto"/>
        <w:jc w:val="both"/>
        <w:rPr>
          <w:rFonts w:ascii="Arial" w:hAnsi="Arial" w:cs="Arial"/>
          <w:sz w:val="20"/>
          <w:szCs w:val="20"/>
          <w:lang w:val="en-IN"/>
        </w:rPr>
      </w:pPr>
    </w:p>
    <w:bookmarkEnd w:id="1"/>
    <w:p w14:paraId="0AB23DCC" w14:textId="77777777" w:rsidR="00275F5A" w:rsidRDefault="00CF3A5E">
      <w:pPr>
        <w:spacing w:line="240" w:lineRule="auto"/>
        <w:jc w:val="both"/>
        <w:rPr>
          <w:rFonts w:ascii="Arial" w:hAnsi="Arial" w:cs="Arial"/>
          <w:b/>
          <w:bCs/>
          <w:sz w:val="20"/>
          <w:szCs w:val="20"/>
          <w:lang w:val="en-IN"/>
        </w:rPr>
      </w:pPr>
      <w:r>
        <w:rPr>
          <w:rFonts w:ascii="Arial" w:hAnsi="Arial" w:cs="Arial"/>
          <w:b/>
          <w:bCs/>
          <w:sz w:val="20"/>
          <w:szCs w:val="20"/>
          <w:lang w:val="en-IN"/>
        </w:rPr>
        <w:t>3.4Assessment of Specific Growth Rate and Food Conversion Ratio</w:t>
      </w:r>
    </w:p>
    <w:p w14:paraId="72F96E22"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Under controlled experimental settings, the evaluation of Specific Growth Rate (SGR) and Food Conversion Ratio (FCR) offered thorough insights into the feed utilization and growth efficiency of </w:t>
      </w:r>
      <w:r>
        <w:rPr>
          <w:rFonts w:ascii="Arial" w:hAnsi="Arial" w:cs="Arial"/>
          <w:i/>
          <w:iCs/>
          <w:sz w:val="20"/>
          <w:szCs w:val="20"/>
        </w:rPr>
        <w:t>Cyprinus carpio</w:t>
      </w:r>
      <w:r>
        <w:rPr>
          <w:rFonts w:ascii="Arial" w:hAnsi="Arial" w:cs="Arial"/>
          <w:sz w:val="20"/>
          <w:szCs w:val="20"/>
        </w:rPr>
        <w:t xml:space="preserve"> and </w:t>
      </w:r>
      <w:r>
        <w:rPr>
          <w:rFonts w:ascii="Arial" w:hAnsi="Arial" w:cs="Arial"/>
          <w:i/>
          <w:iCs/>
          <w:sz w:val="20"/>
          <w:szCs w:val="20"/>
        </w:rPr>
        <w:t>Ctenopharyngodon idella</w:t>
      </w:r>
      <w:r>
        <w:rPr>
          <w:rFonts w:ascii="Arial" w:hAnsi="Arial" w:cs="Arial"/>
          <w:sz w:val="20"/>
          <w:szCs w:val="20"/>
        </w:rPr>
        <w:t xml:space="preserve">. In Tank 1, </w:t>
      </w:r>
      <w:r>
        <w:rPr>
          <w:rFonts w:ascii="Arial" w:hAnsi="Arial" w:cs="Arial"/>
          <w:i/>
          <w:iCs/>
          <w:sz w:val="20"/>
          <w:szCs w:val="20"/>
        </w:rPr>
        <w:t>Cyprinus carpio</w:t>
      </w:r>
      <w:r>
        <w:rPr>
          <w:rFonts w:ascii="Arial" w:hAnsi="Arial" w:cs="Arial"/>
          <w:sz w:val="20"/>
          <w:szCs w:val="20"/>
        </w:rPr>
        <w:t xml:space="preserve"> showed an SGR of 0.0098 and an FCR of 2.68, indicating modest growth efficiency and comparatively successful feed conversion. On the other hand, in Tank 2, </w:t>
      </w:r>
      <w:r>
        <w:rPr>
          <w:rFonts w:ascii="Arial" w:hAnsi="Arial" w:cs="Arial"/>
          <w:i/>
          <w:iCs/>
          <w:sz w:val="20"/>
          <w:szCs w:val="20"/>
        </w:rPr>
        <w:t>Ctenopharyngodon idella</w:t>
      </w:r>
      <w:r>
        <w:rPr>
          <w:rFonts w:ascii="Arial" w:hAnsi="Arial" w:cs="Arial"/>
          <w:sz w:val="20"/>
          <w:szCs w:val="20"/>
        </w:rPr>
        <w:t xml:space="preserve"> showed a somewhat higher SGR of 0.0100 but a less desirable FCR of 3.34, indicating faster development but lower feed efficiency. Growth performance and economical feed use must be balanced, as demonstrated by the interaction between SGR and FCR and the species-specific metabolic and nutritional responses. These findings underscored the importance of selecting species not only based on growth potential but also on their feed conversion efficiency to enhance the sustainability and profitability of aquaculture operations (Table</w:t>
      </w:r>
      <w:bookmarkStart w:id="2" w:name="_Hlk202260565"/>
      <w:r>
        <w:rPr>
          <w:rFonts w:ascii="Arial" w:hAnsi="Arial" w:cs="Arial"/>
          <w:sz w:val="20"/>
          <w:szCs w:val="20"/>
        </w:rPr>
        <w:t xml:space="preserve"> </w:t>
      </w:r>
      <w:bookmarkEnd w:id="2"/>
      <w:r>
        <w:rPr>
          <w:rFonts w:ascii="Arial" w:hAnsi="Arial" w:cs="Arial"/>
          <w:sz w:val="20"/>
          <w:szCs w:val="20"/>
        </w:rPr>
        <w:t>5).</w:t>
      </w:r>
    </w:p>
    <w:p w14:paraId="660302F0" w14:textId="77777777" w:rsidR="00275F5A" w:rsidRDefault="00275F5A">
      <w:pPr>
        <w:spacing w:line="240" w:lineRule="auto"/>
        <w:jc w:val="both"/>
        <w:rPr>
          <w:rFonts w:ascii="Arial" w:hAnsi="Arial" w:cs="Arial"/>
          <w:b/>
          <w:bCs/>
          <w:sz w:val="20"/>
          <w:szCs w:val="20"/>
          <w:lang w:val="en-IN"/>
        </w:rPr>
      </w:pPr>
    </w:p>
    <w:p w14:paraId="1C94A34E" w14:textId="77777777" w:rsidR="00275F5A" w:rsidRDefault="00CF3A5E">
      <w:pPr>
        <w:spacing w:line="240" w:lineRule="auto"/>
        <w:jc w:val="both"/>
        <w:rPr>
          <w:rFonts w:ascii="Arial" w:hAnsi="Arial" w:cs="Arial"/>
          <w:b/>
          <w:bCs/>
          <w:sz w:val="20"/>
          <w:szCs w:val="20"/>
          <w:lang w:val="en-IN"/>
        </w:rPr>
      </w:pPr>
      <w:r>
        <w:rPr>
          <w:rFonts w:ascii="Arial" w:hAnsi="Arial" w:cs="Arial"/>
          <w:b/>
          <w:bCs/>
          <w:sz w:val="20"/>
          <w:szCs w:val="20"/>
          <w:lang w:val="en-IN"/>
        </w:rPr>
        <w:t xml:space="preserve">Table </w:t>
      </w:r>
      <w:r>
        <w:rPr>
          <w:rFonts w:ascii="Arial" w:hAnsi="Arial" w:cs="Arial"/>
          <w:b/>
          <w:bCs/>
          <w:sz w:val="20"/>
          <w:szCs w:val="20"/>
        </w:rPr>
        <w:t>5</w:t>
      </w:r>
      <w:r>
        <w:rPr>
          <w:rFonts w:ascii="Arial" w:hAnsi="Arial" w:cs="Arial"/>
          <w:b/>
          <w:bCs/>
          <w:sz w:val="20"/>
          <w:szCs w:val="20"/>
          <w:lang w:val="en-IN"/>
        </w:rPr>
        <w:t>: SGR and FCR during this experiment</w:t>
      </w:r>
    </w:p>
    <w:tbl>
      <w:tblPr>
        <w:tblpPr w:leftFromText="180" w:rightFromText="180" w:vertAnchor="text" w:horzAnchor="margin" w:tblpY="51"/>
        <w:tblW w:w="9604" w:type="dxa"/>
        <w:tblLook w:val="04A0" w:firstRow="1" w:lastRow="0" w:firstColumn="1" w:lastColumn="0" w:noHBand="0" w:noVBand="1"/>
      </w:tblPr>
      <w:tblGrid>
        <w:gridCol w:w="1854"/>
        <w:gridCol w:w="1921"/>
        <w:gridCol w:w="1808"/>
        <w:gridCol w:w="1972"/>
        <w:gridCol w:w="2049"/>
      </w:tblGrid>
      <w:tr w:rsidR="00275F5A" w14:paraId="3C307DF9" w14:textId="77777777">
        <w:trPr>
          <w:trHeight w:val="408"/>
        </w:trPr>
        <w:tc>
          <w:tcPr>
            <w:tcW w:w="18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auto"/>
            </w:tcBorders>
          </w:tcPr>
          <w:p w14:paraId="0D49B351"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 xml:space="preserve">  Fish Species  →</w:t>
            </w:r>
          </w:p>
          <w:p w14:paraId="5F70E4F1"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No. of</w:t>
            </w:r>
          </w:p>
          <w:p w14:paraId="090BEC70"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Weeks ↓</w:t>
            </w:r>
          </w:p>
        </w:tc>
        <w:tc>
          <w:tcPr>
            <w:tcW w:w="3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A33F8" w14:textId="77777777" w:rsidR="00275F5A" w:rsidRDefault="00CF3A5E">
            <w:pPr>
              <w:spacing w:line="240" w:lineRule="auto"/>
              <w:jc w:val="both"/>
              <w:rPr>
                <w:rFonts w:ascii="Arial" w:hAnsi="Arial" w:cs="Arial"/>
                <w:b/>
                <w:bCs/>
                <w:sz w:val="20"/>
                <w:szCs w:val="20"/>
              </w:rPr>
            </w:pPr>
            <w:r>
              <w:rPr>
                <w:rFonts w:ascii="Arial" w:hAnsi="Arial" w:cs="Arial"/>
                <w:b/>
                <w:bCs/>
                <w:i/>
                <w:iCs/>
                <w:sz w:val="20"/>
                <w:szCs w:val="20"/>
              </w:rPr>
              <w:t xml:space="preserve">Cyprinus carpio </w:t>
            </w:r>
            <w:r>
              <w:rPr>
                <w:rFonts w:ascii="Arial" w:hAnsi="Arial" w:cs="Arial"/>
                <w:b/>
                <w:bCs/>
                <w:sz w:val="20"/>
                <w:szCs w:val="20"/>
              </w:rPr>
              <w:t>(Tank 1)</w:t>
            </w:r>
          </w:p>
        </w:tc>
        <w:tc>
          <w:tcPr>
            <w:tcW w:w="40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87C2C" w14:textId="77777777" w:rsidR="00275F5A" w:rsidRDefault="00CF3A5E">
            <w:pPr>
              <w:spacing w:line="240" w:lineRule="auto"/>
              <w:jc w:val="both"/>
              <w:rPr>
                <w:rFonts w:ascii="Arial" w:hAnsi="Arial" w:cs="Arial"/>
                <w:b/>
                <w:bCs/>
                <w:sz w:val="20"/>
                <w:szCs w:val="20"/>
              </w:rPr>
            </w:pPr>
            <w:r>
              <w:rPr>
                <w:rFonts w:ascii="Arial" w:hAnsi="Arial" w:cs="Arial"/>
                <w:b/>
                <w:bCs/>
                <w:i/>
                <w:iCs/>
                <w:sz w:val="20"/>
                <w:szCs w:val="20"/>
              </w:rPr>
              <w:t>Ctenopharyngodon idella</w:t>
            </w:r>
            <w:r>
              <w:rPr>
                <w:rFonts w:ascii="Arial" w:hAnsi="Arial" w:cs="Arial"/>
                <w:b/>
                <w:bCs/>
                <w:sz w:val="20"/>
                <w:szCs w:val="20"/>
              </w:rPr>
              <w:t xml:space="preserve">   (Tank – 2)</w:t>
            </w:r>
          </w:p>
        </w:tc>
      </w:tr>
      <w:tr w:rsidR="00275F5A" w14:paraId="3FAC9BB3" w14:textId="77777777">
        <w:trPr>
          <w:trHeight w:val="60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5D9911" w14:textId="77777777" w:rsidR="00275F5A" w:rsidRDefault="00275F5A">
            <w:pPr>
              <w:spacing w:line="240" w:lineRule="auto"/>
              <w:jc w:val="both"/>
              <w:rPr>
                <w:rFonts w:ascii="Arial" w:hAnsi="Arial" w:cs="Arial"/>
                <w:b/>
                <w:bCs/>
                <w:sz w:val="20"/>
                <w:szCs w:val="20"/>
              </w:rPr>
            </w:pPr>
          </w:p>
        </w:tc>
        <w:tc>
          <w:tcPr>
            <w:tcW w:w="3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5F253" w14:textId="77777777" w:rsidR="00275F5A" w:rsidRDefault="00CF3A5E">
            <w:pPr>
              <w:spacing w:line="240" w:lineRule="auto"/>
              <w:jc w:val="both"/>
              <w:rPr>
                <w:rFonts w:ascii="Arial" w:hAnsi="Arial" w:cs="Arial"/>
                <w:b/>
                <w:bCs/>
                <w:i/>
                <w:iCs/>
                <w:sz w:val="20"/>
                <w:szCs w:val="20"/>
              </w:rPr>
            </w:pPr>
            <w:r>
              <w:rPr>
                <w:rFonts w:ascii="Arial" w:hAnsi="Arial" w:cs="Arial"/>
                <w:b/>
                <w:bCs/>
                <w:sz w:val="20"/>
                <w:szCs w:val="20"/>
              </w:rPr>
              <w:t>SGR</w:t>
            </w:r>
            <w:r>
              <w:rPr>
                <w:rFonts w:ascii="Arial" w:hAnsi="Arial" w:cs="Arial"/>
                <w:sz w:val="20"/>
                <w:szCs w:val="20"/>
              </w:rPr>
              <w:t xml:space="preserve">                          </w:t>
            </w:r>
            <w:r>
              <w:rPr>
                <w:rFonts w:ascii="Arial" w:hAnsi="Arial" w:cs="Arial"/>
                <w:b/>
                <w:bCs/>
                <w:sz w:val="20"/>
                <w:szCs w:val="20"/>
              </w:rPr>
              <w:t>FCR</w:t>
            </w:r>
          </w:p>
        </w:tc>
        <w:tc>
          <w:tcPr>
            <w:tcW w:w="40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EE2921" w14:textId="77777777" w:rsidR="00275F5A" w:rsidRDefault="00CF3A5E">
            <w:pPr>
              <w:spacing w:line="240" w:lineRule="auto"/>
              <w:jc w:val="both"/>
              <w:rPr>
                <w:rFonts w:ascii="Arial" w:hAnsi="Arial" w:cs="Arial"/>
                <w:sz w:val="20"/>
                <w:szCs w:val="20"/>
              </w:rPr>
            </w:pPr>
            <w:r>
              <w:rPr>
                <w:rFonts w:ascii="Arial" w:hAnsi="Arial" w:cs="Arial"/>
                <w:b/>
                <w:bCs/>
                <w:sz w:val="20"/>
                <w:szCs w:val="20"/>
              </w:rPr>
              <w:t>SGR                             FCR</w:t>
            </w:r>
          </w:p>
        </w:tc>
      </w:tr>
      <w:tr w:rsidR="00275F5A" w14:paraId="4931B52C" w14:textId="77777777">
        <w:trPr>
          <w:trHeight w:val="276"/>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DEB28"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1-2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934228" w14:textId="77777777" w:rsidR="00275F5A" w:rsidRDefault="00CF3A5E">
            <w:pPr>
              <w:spacing w:line="240" w:lineRule="auto"/>
              <w:jc w:val="both"/>
              <w:rPr>
                <w:rFonts w:ascii="Arial" w:hAnsi="Arial" w:cs="Arial"/>
                <w:sz w:val="20"/>
                <w:szCs w:val="20"/>
              </w:rPr>
            </w:pPr>
            <w:r>
              <w:rPr>
                <w:rFonts w:ascii="Arial" w:hAnsi="Arial" w:cs="Arial"/>
                <w:sz w:val="20"/>
                <w:szCs w:val="20"/>
              </w:rPr>
              <w:t>1.31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DF690" w14:textId="77777777" w:rsidR="00275F5A" w:rsidRDefault="00CF3A5E">
            <w:pPr>
              <w:spacing w:line="240" w:lineRule="auto"/>
              <w:jc w:val="both"/>
              <w:rPr>
                <w:rFonts w:ascii="Arial" w:hAnsi="Arial" w:cs="Arial"/>
                <w:sz w:val="20"/>
                <w:szCs w:val="20"/>
              </w:rPr>
            </w:pPr>
            <w:r>
              <w:rPr>
                <w:rFonts w:ascii="Arial" w:hAnsi="Arial" w:cs="Arial"/>
                <w:sz w:val="20"/>
                <w:szCs w:val="20"/>
              </w:rPr>
              <w:t>2.5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8B9DF" w14:textId="77777777" w:rsidR="00275F5A" w:rsidRDefault="00CF3A5E">
            <w:pPr>
              <w:spacing w:line="240" w:lineRule="auto"/>
              <w:jc w:val="both"/>
              <w:rPr>
                <w:rFonts w:ascii="Arial" w:hAnsi="Arial" w:cs="Arial"/>
                <w:sz w:val="20"/>
                <w:szCs w:val="20"/>
              </w:rPr>
            </w:pPr>
            <w:r>
              <w:rPr>
                <w:rFonts w:ascii="Arial" w:hAnsi="Arial" w:cs="Arial"/>
                <w:sz w:val="20"/>
                <w:szCs w:val="20"/>
              </w:rPr>
              <w:t>1.15</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8F6565" w14:textId="77777777" w:rsidR="00275F5A" w:rsidRDefault="00CF3A5E">
            <w:pPr>
              <w:spacing w:line="240" w:lineRule="auto"/>
              <w:jc w:val="both"/>
              <w:rPr>
                <w:rFonts w:ascii="Arial" w:hAnsi="Arial" w:cs="Arial"/>
                <w:sz w:val="20"/>
                <w:szCs w:val="20"/>
              </w:rPr>
            </w:pPr>
            <w:r>
              <w:rPr>
                <w:rFonts w:ascii="Arial" w:hAnsi="Arial" w:cs="Arial"/>
                <w:sz w:val="20"/>
                <w:szCs w:val="20"/>
              </w:rPr>
              <w:t>3.2</w:t>
            </w:r>
          </w:p>
        </w:tc>
      </w:tr>
      <w:tr w:rsidR="00275F5A" w14:paraId="40980A48" w14:textId="77777777">
        <w:trPr>
          <w:trHeight w:val="258"/>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03EE4"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3-4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796582" w14:textId="77777777" w:rsidR="00275F5A" w:rsidRDefault="00CF3A5E">
            <w:pPr>
              <w:spacing w:line="240" w:lineRule="auto"/>
              <w:jc w:val="both"/>
              <w:rPr>
                <w:rFonts w:ascii="Arial" w:hAnsi="Arial" w:cs="Arial"/>
                <w:sz w:val="20"/>
                <w:szCs w:val="20"/>
              </w:rPr>
            </w:pPr>
            <w:r>
              <w:rPr>
                <w:rFonts w:ascii="Arial" w:hAnsi="Arial" w:cs="Arial"/>
                <w:sz w:val="20"/>
                <w:szCs w:val="20"/>
              </w:rPr>
              <w:t>1.14</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7D3F0" w14:textId="77777777" w:rsidR="00275F5A" w:rsidRDefault="00CF3A5E">
            <w:pPr>
              <w:spacing w:line="240" w:lineRule="auto"/>
              <w:jc w:val="both"/>
              <w:rPr>
                <w:rFonts w:ascii="Arial" w:hAnsi="Arial" w:cs="Arial"/>
                <w:sz w:val="20"/>
                <w:szCs w:val="20"/>
              </w:rPr>
            </w:pPr>
            <w:r>
              <w:rPr>
                <w:rFonts w:ascii="Arial" w:hAnsi="Arial" w:cs="Arial"/>
                <w:sz w:val="20"/>
                <w:szCs w:val="20"/>
              </w:rPr>
              <w:t>2.6</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A825E" w14:textId="77777777" w:rsidR="00275F5A" w:rsidRDefault="00CF3A5E">
            <w:pPr>
              <w:spacing w:line="240" w:lineRule="auto"/>
              <w:jc w:val="both"/>
              <w:rPr>
                <w:rFonts w:ascii="Arial" w:hAnsi="Arial" w:cs="Arial"/>
                <w:sz w:val="20"/>
                <w:szCs w:val="20"/>
              </w:rPr>
            </w:pPr>
            <w:r>
              <w:rPr>
                <w:rFonts w:ascii="Arial" w:hAnsi="Arial" w:cs="Arial"/>
                <w:sz w:val="20"/>
                <w:szCs w:val="20"/>
              </w:rPr>
              <w:t>1.07</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F8245E" w14:textId="77777777" w:rsidR="00275F5A" w:rsidRDefault="00CF3A5E">
            <w:pPr>
              <w:spacing w:line="240" w:lineRule="auto"/>
              <w:jc w:val="both"/>
              <w:rPr>
                <w:rFonts w:ascii="Arial" w:hAnsi="Arial" w:cs="Arial"/>
                <w:sz w:val="20"/>
                <w:szCs w:val="20"/>
              </w:rPr>
            </w:pPr>
            <w:r>
              <w:rPr>
                <w:rFonts w:ascii="Arial" w:hAnsi="Arial" w:cs="Arial"/>
                <w:sz w:val="20"/>
                <w:szCs w:val="20"/>
              </w:rPr>
              <w:t>3.25</w:t>
            </w:r>
          </w:p>
        </w:tc>
      </w:tr>
      <w:tr w:rsidR="00275F5A" w14:paraId="578F4BE8" w14:textId="77777777">
        <w:trPr>
          <w:trHeight w:val="69"/>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F47CC"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5-6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021634" w14:textId="77777777" w:rsidR="00275F5A" w:rsidRDefault="00CF3A5E">
            <w:pPr>
              <w:spacing w:line="240" w:lineRule="auto"/>
              <w:jc w:val="both"/>
              <w:rPr>
                <w:rFonts w:ascii="Arial" w:hAnsi="Arial" w:cs="Arial"/>
                <w:sz w:val="20"/>
                <w:szCs w:val="20"/>
              </w:rPr>
            </w:pPr>
            <w:r>
              <w:rPr>
                <w:rFonts w:ascii="Arial" w:hAnsi="Arial" w:cs="Arial"/>
                <w:sz w:val="20"/>
                <w:szCs w:val="20"/>
              </w:rPr>
              <w:t>1.07</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AB278" w14:textId="77777777" w:rsidR="00275F5A" w:rsidRDefault="00CF3A5E">
            <w:pPr>
              <w:spacing w:line="240" w:lineRule="auto"/>
              <w:jc w:val="both"/>
              <w:rPr>
                <w:rFonts w:ascii="Arial" w:hAnsi="Arial" w:cs="Arial"/>
                <w:sz w:val="20"/>
                <w:szCs w:val="20"/>
              </w:rPr>
            </w:pPr>
            <w:r>
              <w:rPr>
                <w:rFonts w:ascii="Arial" w:hAnsi="Arial" w:cs="Arial"/>
                <w:sz w:val="20"/>
                <w:szCs w:val="20"/>
              </w:rPr>
              <w:t>2.7</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D5672" w14:textId="77777777" w:rsidR="00275F5A" w:rsidRDefault="00CF3A5E">
            <w:pPr>
              <w:spacing w:line="240" w:lineRule="auto"/>
              <w:jc w:val="both"/>
              <w:rPr>
                <w:rFonts w:ascii="Arial" w:hAnsi="Arial" w:cs="Arial"/>
                <w:sz w:val="20"/>
                <w:szCs w:val="20"/>
              </w:rPr>
            </w:pPr>
            <w:r>
              <w:rPr>
                <w:rFonts w:ascii="Arial" w:hAnsi="Arial" w:cs="Arial"/>
                <w:sz w:val="20"/>
                <w:szCs w:val="20"/>
              </w:rPr>
              <w:t>1.23</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A3DBE" w14:textId="77777777" w:rsidR="00275F5A" w:rsidRDefault="00CF3A5E">
            <w:pPr>
              <w:spacing w:line="240" w:lineRule="auto"/>
              <w:jc w:val="both"/>
              <w:rPr>
                <w:rFonts w:ascii="Arial" w:hAnsi="Arial" w:cs="Arial"/>
                <w:sz w:val="20"/>
                <w:szCs w:val="20"/>
              </w:rPr>
            </w:pPr>
            <w:r>
              <w:rPr>
                <w:rFonts w:ascii="Arial" w:hAnsi="Arial" w:cs="Arial"/>
                <w:sz w:val="20"/>
                <w:szCs w:val="20"/>
              </w:rPr>
              <w:t>3.3</w:t>
            </w:r>
          </w:p>
        </w:tc>
      </w:tr>
      <w:tr w:rsidR="00275F5A" w14:paraId="0F6A4DFA" w14:textId="77777777">
        <w:trPr>
          <w:trHeight w:val="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5FF1BA"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7-8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93C5F" w14:textId="77777777" w:rsidR="00275F5A" w:rsidRDefault="00CF3A5E">
            <w:pPr>
              <w:spacing w:line="240" w:lineRule="auto"/>
              <w:jc w:val="both"/>
              <w:rPr>
                <w:rFonts w:ascii="Arial" w:hAnsi="Arial" w:cs="Arial"/>
                <w:sz w:val="20"/>
                <w:szCs w:val="20"/>
              </w:rPr>
            </w:pPr>
            <w:r>
              <w:rPr>
                <w:rFonts w:ascii="Arial" w:hAnsi="Arial" w:cs="Arial"/>
                <w:sz w:val="20"/>
                <w:szCs w:val="20"/>
              </w:rPr>
              <w:t>1.00</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1DCD25" w14:textId="77777777" w:rsidR="00275F5A" w:rsidRDefault="00CF3A5E">
            <w:pPr>
              <w:spacing w:line="240" w:lineRule="auto"/>
              <w:jc w:val="both"/>
              <w:rPr>
                <w:rFonts w:ascii="Arial" w:hAnsi="Arial" w:cs="Arial"/>
                <w:sz w:val="20"/>
                <w:szCs w:val="20"/>
              </w:rPr>
            </w:pPr>
            <w:r>
              <w:rPr>
                <w:rFonts w:ascii="Arial" w:hAnsi="Arial" w:cs="Arial"/>
                <w:sz w:val="20"/>
                <w:szCs w:val="20"/>
              </w:rPr>
              <w:t>2.65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3ECF7" w14:textId="77777777" w:rsidR="00275F5A" w:rsidRDefault="00CF3A5E">
            <w:pPr>
              <w:spacing w:line="240" w:lineRule="auto"/>
              <w:jc w:val="both"/>
              <w:rPr>
                <w:rFonts w:ascii="Arial" w:hAnsi="Arial" w:cs="Arial"/>
                <w:sz w:val="20"/>
                <w:szCs w:val="20"/>
              </w:rPr>
            </w:pPr>
            <w:r>
              <w:rPr>
                <w:rFonts w:ascii="Arial" w:hAnsi="Arial" w:cs="Arial"/>
                <w:sz w:val="20"/>
                <w:szCs w:val="20"/>
              </w:rPr>
              <w:t>1.32</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B6A87C" w14:textId="77777777" w:rsidR="00275F5A" w:rsidRDefault="00CF3A5E">
            <w:pPr>
              <w:spacing w:line="240" w:lineRule="auto"/>
              <w:jc w:val="both"/>
              <w:rPr>
                <w:rFonts w:ascii="Arial" w:hAnsi="Arial" w:cs="Arial"/>
                <w:sz w:val="20"/>
                <w:szCs w:val="20"/>
              </w:rPr>
            </w:pPr>
            <w:r>
              <w:rPr>
                <w:rFonts w:ascii="Arial" w:hAnsi="Arial" w:cs="Arial"/>
                <w:sz w:val="20"/>
                <w:szCs w:val="20"/>
              </w:rPr>
              <w:t>3.4</w:t>
            </w:r>
          </w:p>
        </w:tc>
      </w:tr>
      <w:tr w:rsidR="00275F5A" w14:paraId="4510FA53" w14:textId="77777777">
        <w:trPr>
          <w:trHeight w:val="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E3ABF"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9-10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0A3CD" w14:textId="77777777" w:rsidR="00275F5A" w:rsidRDefault="00CF3A5E">
            <w:pPr>
              <w:spacing w:line="240" w:lineRule="auto"/>
              <w:jc w:val="both"/>
              <w:rPr>
                <w:rFonts w:ascii="Arial" w:hAnsi="Arial" w:cs="Arial"/>
                <w:sz w:val="20"/>
                <w:szCs w:val="20"/>
              </w:rPr>
            </w:pPr>
            <w:r>
              <w:rPr>
                <w:rFonts w:ascii="Arial" w:hAnsi="Arial" w:cs="Arial"/>
                <w:sz w:val="20"/>
                <w:szCs w:val="20"/>
              </w:rPr>
              <w:t>1.51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8D765" w14:textId="77777777" w:rsidR="00275F5A" w:rsidRDefault="00CF3A5E">
            <w:pPr>
              <w:spacing w:line="240" w:lineRule="auto"/>
              <w:jc w:val="both"/>
              <w:rPr>
                <w:rFonts w:ascii="Arial" w:hAnsi="Arial" w:cs="Arial"/>
                <w:sz w:val="20"/>
                <w:szCs w:val="20"/>
              </w:rPr>
            </w:pPr>
            <w:r>
              <w:rPr>
                <w:rFonts w:ascii="Arial" w:hAnsi="Arial" w:cs="Arial"/>
                <w:sz w:val="20"/>
                <w:szCs w:val="20"/>
              </w:rPr>
              <w:t>2.8</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EC3B7E" w14:textId="77777777" w:rsidR="00275F5A" w:rsidRDefault="00CF3A5E">
            <w:pPr>
              <w:spacing w:line="240" w:lineRule="auto"/>
              <w:jc w:val="both"/>
              <w:rPr>
                <w:rFonts w:ascii="Arial" w:hAnsi="Arial" w:cs="Arial"/>
                <w:sz w:val="20"/>
                <w:szCs w:val="20"/>
              </w:rPr>
            </w:pPr>
            <w:r>
              <w:rPr>
                <w:rFonts w:ascii="Arial" w:hAnsi="Arial" w:cs="Arial"/>
                <w:sz w:val="20"/>
                <w:szCs w:val="20"/>
              </w:rPr>
              <w:t>1.00</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35000" w14:textId="77777777" w:rsidR="00275F5A" w:rsidRDefault="00CF3A5E">
            <w:pPr>
              <w:spacing w:line="240" w:lineRule="auto"/>
              <w:jc w:val="both"/>
              <w:rPr>
                <w:rFonts w:ascii="Arial" w:hAnsi="Arial" w:cs="Arial"/>
                <w:sz w:val="20"/>
                <w:szCs w:val="20"/>
              </w:rPr>
            </w:pPr>
            <w:r>
              <w:rPr>
                <w:rFonts w:ascii="Arial" w:hAnsi="Arial" w:cs="Arial"/>
                <w:sz w:val="20"/>
                <w:szCs w:val="20"/>
              </w:rPr>
              <w:t>3.35</w:t>
            </w:r>
          </w:p>
        </w:tc>
      </w:tr>
      <w:tr w:rsidR="00275F5A" w14:paraId="3F00B039" w14:textId="77777777">
        <w:trPr>
          <w:trHeight w:val="204"/>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01254"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11-12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BE1A0" w14:textId="77777777" w:rsidR="00275F5A" w:rsidRDefault="00CF3A5E">
            <w:pPr>
              <w:spacing w:line="240" w:lineRule="auto"/>
              <w:jc w:val="both"/>
              <w:rPr>
                <w:rFonts w:ascii="Arial" w:hAnsi="Arial" w:cs="Arial"/>
                <w:sz w:val="20"/>
                <w:szCs w:val="20"/>
              </w:rPr>
            </w:pPr>
            <w:r>
              <w:rPr>
                <w:rFonts w:ascii="Arial" w:hAnsi="Arial" w:cs="Arial"/>
                <w:sz w:val="20"/>
                <w:szCs w:val="20"/>
              </w:rPr>
              <w:t>1.23</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FBB169" w14:textId="77777777" w:rsidR="00275F5A" w:rsidRDefault="00CF3A5E">
            <w:pPr>
              <w:spacing w:line="240" w:lineRule="auto"/>
              <w:jc w:val="both"/>
              <w:rPr>
                <w:rFonts w:ascii="Arial" w:hAnsi="Arial" w:cs="Arial"/>
                <w:sz w:val="20"/>
                <w:szCs w:val="20"/>
              </w:rPr>
            </w:pPr>
            <w:r>
              <w:rPr>
                <w:rFonts w:ascii="Arial" w:hAnsi="Arial" w:cs="Arial"/>
                <w:sz w:val="20"/>
                <w:szCs w:val="20"/>
              </w:rPr>
              <w:t>2.75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1CD67" w14:textId="77777777" w:rsidR="00275F5A" w:rsidRDefault="00CF3A5E">
            <w:pPr>
              <w:spacing w:line="240" w:lineRule="auto"/>
              <w:jc w:val="both"/>
              <w:rPr>
                <w:rFonts w:ascii="Arial" w:hAnsi="Arial" w:cs="Arial"/>
                <w:sz w:val="20"/>
                <w:szCs w:val="20"/>
              </w:rPr>
            </w:pPr>
            <w:r>
              <w:rPr>
                <w:rFonts w:ascii="Arial" w:hAnsi="Arial" w:cs="Arial"/>
                <w:sz w:val="20"/>
                <w:szCs w:val="20"/>
              </w:rPr>
              <w:t>1.41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C1D476" w14:textId="77777777" w:rsidR="00275F5A" w:rsidRDefault="00CF3A5E">
            <w:pPr>
              <w:spacing w:line="240" w:lineRule="auto"/>
              <w:jc w:val="both"/>
              <w:rPr>
                <w:rFonts w:ascii="Arial" w:hAnsi="Arial" w:cs="Arial"/>
                <w:sz w:val="20"/>
                <w:szCs w:val="20"/>
              </w:rPr>
            </w:pPr>
            <w:r>
              <w:rPr>
                <w:rFonts w:ascii="Arial" w:hAnsi="Arial" w:cs="Arial"/>
                <w:sz w:val="20"/>
                <w:szCs w:val="20"/>
              </w:rPr>
              <w:t>3.5</w:t>
            </w:r>
          </w:p>
        </w:tc>
      </w:tr>
      <w:tr w:rsidR="00275F5A" w14:paraId="4814A1DB" w14:textId="77777777">
        <w:trPr>
          <w:trHeight w:val="222"/>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55034"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13-14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29808" w14:textId="77777777" w:rsidR="00275F5A" w:rsidRDefault="00CF3A5E">
            <w:pPr>
              <w:spacing w:line="240" w:lineRule="auto"/>
              <w:jc w:val="both"/>
              <w:rPr>
                <w:rFonts w:ascii="Arial" w:hAnsi="Arial" w:cs="Arial"/>
                <w:sz w:val="20"/>
                <w:szCs w:val="20"/>
              </w:rPr>
            </w:pPr>
            <w:r>
              <w:rPr>
                <w:rFonts w:ascii="Arial" w:hAnsi="Arial" w:cs="Arial"/>
                <w:sz w:val="20"/>
                <w:szCs w:val="20"/>
              </w:rPr>
              <w:t>1.41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F4D22" w14:textId="77777777" w:rsidR="00275F5A" w:rsidRDefault="00CF3A5E">
            <w:pPr>
              <w:spacing w:line="240" w:lineRule="auto"/>
              <w:jc w:val="both"/>
              <w:rPr>
                <w:rFonts w:ascii="Arial" w:hAnsi="Arial" w:cs="Arial"/>
                <w:sz w:val="20"/>
                <w:szCs w:val="20"/>
              </w:rPr>
            </w:pPr>
            <w:r>
              <w:rPr>
                <w:rFonts w:ascii="Arial" w:hAnsi="Arial" w:cs="Arial"/>
                <w:sz w:val="20"/>
                <w:szCs w:val="20"/>
              </w:rPr>
              <w:t>2.9</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F1692" w14:textId="77777777" w:rsidR="00275F5A" w:rsidRDefault="00CF3A5E">
            <w:pPr>
              <w:spacing w:line="240" w:lineRule="auto"/>
              <w:jc w:val="both"/>
              <w:rPr>
                <w:rFonts w:ascii="Arial" w:hAnsi="Arial" w:cs="Arial"/>
                <w:sz w:val="20"/>
                <w:szCs w:val="20"/>
              </w:rPr>
            </w:pPr>
            <w:r>
              <w:rPr>
                <w:rFonts w:ascii="Arial" w:hAnsi="Arial" w:cs="Arial"/>
                <w:sz w:val="20"/>
                <w:szCs w:val="20"/>
              </w:rPr>
              <w:t>1.64</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1DDBE" w14:textId="77777777" w:rsidR="00275F5A" w:rsidRDefault="00CF3A5E">
            <w:pPr>
              <w:spacing w:line="240" w:lineRule="auto"/>
              <w:jc w:val="both"/>
              <w:rPr>
                <w:rFonts w:ascii="Arial" w:hAnsi="Arial" w:cs="Arial"/>
                <w:sz w:val="20"/>
                <w:szCs w:val="20"/>
              </w:rPr>
            </w:pPr>
            <w:r>
              <w:rPr>
                <w:rFonts w:ascii="Arial" w:hAnsi="Arial" w:cs="Arial"/>
                <w:sz w:val="20"/>
                <w:szCs w:val="20"/>
              </w:rPr>
              <w:t>3.15</w:t>
            </w:r>
          </w:p>
        </w:tc>
      </w:tr>
      <w:tr w:rsidR="00275F5A" w14:paraId="00C6DD57" w14:textId="77777777">
        <w:trPr>
          <w:trHeight w:val="294"/>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2349C"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15-16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F92DA6" w14:textId="77777777" w:rsidR="00275F5A" w:rsidRDefault="00CF3A5E">
            <w:pPr>
              <w:spacing w:line="240" w:lineRule="auto"/>
              <w:jc w:val="both"/>
              <w:rPr>
                <w:rFonts w:ascii="Arial" w:hAnsi="Arial" w:cs="Arial"/>
                <w:sz w:val="20"/>
                <w:szCs w:val="20"/>
              </w:rPr>
            </w:pPr>
            <w:r>
              <w:rPr>
                <w:rFonts w:ascii="Arial" w:hAnsi="Arial" w:cs="Arial"/>
                <w:sz w:val="20"/>
                <w:szCs w:val="20"/>
              </w:rPr>
              <w:t>1.73</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8FF24" w14:textId="77777777" w:rsidR="00275F5A" w:rsidRDefault="00CF3A5E">
            <w:pPr>
              <w:spacing w:line="240" w:lineRule="auto"/>
              <w:jc w:val="both"/>
              <w:rPr>
                <w:rFonts w:ascii="Arial" w:hAnsi="Arial" w:cs="Arial"/>
                <w:sz w:val="20"/>
                <w:szCs w:val="20"/>
              </w:rPr>
            </w:pPr>
            <w:r>
              <w:rPr>
                <w:rFonts w:ascii="Arial" w:hAnsi="Arial" w:cs="Arial"/>
                <w:sz w:val="20"/>
                <w:szCs w:val="20"/>
              </w:rPr>
              <w:t>2.75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0C6A4" w14:textId="77777777" w:rsidR="00275F5A" w:rsidRDefault="00CF3A5E">
            <w:pPr>
              <w:spacing w:line="240" w:lineRule="auto"/>
              <w:jc w:val="both"/>
              <w:rPr>
                <w:rFonts w:ascii="Arial" w:hAnsi="Arial" w:cs="Arial"/>
                <w:sz w:val="20"/>
                <w:szCs w:val="20"/>
              </w:rPr>
            </w:pPr>
            <w:r>
              <w:rPr>
                <w:rFonts w:ascii="Arial" w:hAnsi="Arial" w:cs="Arial"/>
                <w:sz w:val="20"/>
                <w:szCs w:val="20"/>
              </w:rPr>
              <w:t>1.51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1751E" w14:textId="77777777" w:rsidR="00275F5A" w:rsidRDefault="00CF3A5E">
            <w:pPr>
              <w:spacing w:line="240" w:lineRule="auto"/>
              <w:jc w:val="both"/>
              <w:rPr>
                <w:rFonts w:ascii="Arial" w:hAnsi="Arial" w:cs="Arial"/>
                <w:sz w:val="20"/>
                <w:szCs w:val="20"/>
              </w:rPr>
            </w:pPr>
            <w:r>
              <w:rPr>
                <w:rFonts w:ascii="Arial" w:hAnsi="Arial" w:cs="Arial"/>
                <w:sz w:val="20"/>
                <w:szCs w:val="20"/>
              </w:rPr>
              <w:t>3.6</w:t>
            </w:r>
          </w:p>
        </w:tc>
      </w:tr>
      <w:tr w:rsidR="00275F5A" w14:paraId="17D8D224" w14:textId="77777777">
        <w:trPr>
          <w:trHeight w:val="168"/>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5F31F"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17-18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CE606" w14:textId="77777777" w:rsidR="00275F5A" w:rsidRDefault="00CF3A5E">
            <w:pPr>
              <w:spacing w:line="240" w:lineRule="auto"/>
              <w:jc w:val="both"/>
              <w:rPr>
                <w:rFonts w:ascii="Arial" w:hAnsi="Arial" w:cs="Arial"/>
                <w:sz w:val="20"/>
                <w:szCs w:val="20"/>
              </w:rPr>
            </w:pPr>
            <w:r>
              <w:rPr>
                <w:rFonts w:ascii="Arial" w:hAnsi="Arial" w:cs="Arial"/>
                <w:sz w:val="20"/>
                <w:szCs w:val="20"/>
              </w:rPr>
              <w:t>1.62</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1397E" w14:textId="77777777" w:rsidR="00275F5A" w:rsidRDefault="00CF3A5E">
            <w:pPr>
              <w:spacing w:line="240" w:lineRule="auto"/>
              <w:jc w:val="both"/>
              <w:rPr>
                <w:rFonts w:ascii="Arial" w:hAnsi="Arial" w:cs="Arial"/>
                <w:sz w:val="20"/>
                <w:szCs w:val="20"/>
              </w:rPr>
            </w:pPr>
            <w:r>
              <w:rPr>
                <w:rFonts w:ascii="Arial" w:hAnsi="Arial" w:cs="Arial"/>
                <w:sz w:val="20"/>
                <w:szCs w:val="20"/>
              </w:rPr>
              <w:t>2.57</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74AEC" w14:textId="77777777" w:rsidR="00275F5A" w:rsidRDefault="00CF3A5E">
            <w:pPr>
              <w:spacing w:line="240" w:lineRule="auto"/>
              <w:jc w:val="both"/>
              <w:rPr>
                <w:rFonts w:ascii="Arial" w:hAnsi="Arial" w:cs="Arial"/>
                <w:sz w:val="20"/>
                <w:szCs w:val="20"/>
              </w:rPr>
            </w:pPr>
            <w:r>
              <w:rPr>
                <w:rFonts w:ascii="Arial" w:hAnsi="Arial" w:cs="Arial"/>
                <w:sz w:val="20"/>
                <w:szCs w:val="20"/>
              </w:rPr>
              <w:t>1.71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229C3" w14:textId="77777777" w:rsidR="00275F5A" w:rsidRDefault="00CF3A5E">
            <w:pPr>
              <w:spacing w:line="240" w:lineRule="auto"/>
              <w:jc w:val="both"/>
              <w:rPr>
                <w:rFonts w:ascii="Arial" w:hAnsi="Arial" w:cs="Arial"/>
                <w:sz w:val="20"/>
                <w:szCs w:val="20"/>
              </w:rPr>
            </w:pPr>
            <w:r>
              <w:rPr>
                <w:rFonts w:ascii="Arial" w:hAnsi="Arial" w:cs="Arial"/>
                <w:sz w:val="20"/>
                <w:szCs w:val="20"/>
              </w:rPr>
              <w:t>3.31</w:t>
            </w:r>
          </w:p>
        </w:tc>
      </w:tr>
      <w:tr w:rsidR="00275F5A" w14:paraId="3F0A8ADB" w14:textId="77777777">
        <w:trPr>
          <w:trHeight w:val="1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280AC"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Average</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F3F45"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0.0098</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B0C6A"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2.68</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809E4"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0.0100</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018F7"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3.34</w:t>
            </w:r>
          </w:p>
        </w:tc>
      </w:tr>
    </w:tbl>
    <w:p w14:paraId="127DC635" w14:textId="77777777" w:rsidR="00275F5A" w:rsidRDefault="00275F5A">
      <w:pPr>
        <w:spacing w:line="240" w:lineRule="auto"/>
        <w:jc w:val="both"/>
        <w:rPr>
          <w:rFonts w:ascii="Arial" w:hAnsi="Arial" w:cs="Arial"/>
          <w:b/>
          <w:sz w:val="20"/>
          <w:szCs w:val="20"/>
        </w:rPr>
      </w:pPr>
    </w:p>
    <w:p w14:paraId="7E29A023" w14:textId="77777777" w:rsidR="00275F5A" w:rsidRDefault="00275F5A">
      <w:pPr>
        <w:spacing w:line="240" w:lineRule="auto"/>
        <w:jc w:val="both"/>
        <w:rPr>
          <w:rFonts w:ascii="Arial" w:hAnsi="Arial" w:cs="Arial"/>
          <w:b/>
          <w:bCs/>
          <w:sz w:val="20"/>
          <w:szCs w:val="20"/>
        </w:rPr>
      </w:pPr>
    </w:p>
    <w:p w14:paraId="1DF16A75"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3.5PLANT GROWTH PERFORMANCE</w:t>
      </w:r>
    </w:p>
    <w:p w14:paraId="518DDB33" w14:textId="77777777" w:rsidR="00275F5A" w:rsidRDefault="00CF3A5E">
      <w:pPr>
        <w:spacing w:line="240" w:lineRule="auto"/>
        <w:jc w:val="both"/>
        <w:rPr>
          <w:rFonts w:ascii="Arial" w:hAnsi="Arial" w:cs="Arial"/>
          <w:sz w:val="20"/>
          <w:szCs w:val="20"/>
        </w:rPr>
      </w:pPr>
      <w:r>
        <w:rPr>
          <w:rFonts w:ascii="Arial" w:hAnsi="Arial" w:cs="Arial"/>
          <w:sz w:val="20"/>
          <w:szCs w:val="20"/>
        </w:rPr>
        <w:lastRenderedPageBreak/>
        <w:t xml:space="preserve">Tank 1 </w:t>
      </w:r>
      <w:r>
        <w:rPr>
          <w:rFonts w:ascii="Arial" w:hAnsi="Arial" w:cs="Arial"/>
          <w:i/>
          <w:iCs/>
          <w:sz w:val="20"/>
          <w:szCs w:val="20"/>
        </w:rPr>
        <w:t>Coriandrum sativum</w:t>
      </w:r>
      <w:r>
        <w:rPr>
          <w:rFonts w:ascii="Arial" w:hAnsi="Arial" w:cs="Arial"/>
          <w:sz w:val="20"/>
          <w:szCs w:val="20"/>
        </w:rPr>
        <w:t xml:space="preserve">, </w:t>
      </w:r>
      <w:r>
        <w:rPr>
          <w:rFonts w:ascii="Arial" w:hAnsi="Arial" w:cs="Arial"/>
          <w:i/>
          <w:iCs/>
          <w:sz w:val="20"/>
          <w:szCs w:val="20"/>
        </w:rPr>
        <w:t>Spinacia oleracea</w:t>
      </w:r>
      <w:r>
        <w:rPr>
          <w:rFonts w:ascii="Arial" w:hAnsi="Arial" w:cs="Arial"/>
          <w:sz w:val="20"/>
          <w:szCs w:val="20"/>
        </w:rPr>
        <w:t xml:space="preserve">, and </w:t>
      </w:r>
      <w:r>
        <w:rPr>
          <w:rFonts w:ascii="Arial" w:hAnsi="Arial" w:cs="Arial"/>
          <w:i/>
          <w:iCs/>
          <w:sz w:val="20"/>
          <w:szCs w:val="20"/>
        </w:rPr>
        <w:t>Chenopodium album</w:t>
      </w:r>
      <w:r>
        <w:rPr>
          <w:rFonts w:ascii="Arial" w:hAnsi="Arial" w:cs="Arial"/>
          <w:sz w:val="20"/>
          <w:szCs w:val="20"/>
        </w:rPr>
        <w:t xml:space="preserve"> reached 40.35 cm, 23.43 cm and 43.19 cm respectively, Tank 2 showed similar growth. In contrast, the same plants in soil-based cultivation grew to 38.34 cm, 18.88 cm and 35.01 cm respectively, confirming superior performance in aquaponic systems (Table 6).</w:t>
      </w:r>
    </w:p>
    <w:p w14:paraId="4A1F256B" w14:textId="77777777" w:rsidR="00275F5A" w:rsidRDefault="00275F5A">
      <w:pPr>
        <w:spacing w:line="240" w:lineRule="auto"/>
        <w:jc w:val="both"/>
        <w:rPr>
          <w:rFonts w:ascii="Arial" w:hAnsi="Arial" w:cs="Arial"/>
          <w:sz w:val="20"/>
          <w:szCs w:val="20"/>
        </w:rPr>
      </w:pPr>
    </w:p>
    <w:p w14:paraId="27EB574F" w14:textId="77777777" w:rsidR="00275F5A" w:rsidRDefault="00275F5A">
      <w:pPr>
        <w:spacing w:line="240" w:lineRule="auto"/>
        <w:jc w:val="both"/>
        <w:rPr>
          <w:rFonts w:ascii="Arial" w:hAnsi="Arial" w:cs="Arial"/>
          <w:sz w:val="20"/>
          <w:szCs w:val="20"/>
        </w:rPr>
      </w:pPr>
    </w:p>
    <w:p w14:paraId="0A813896" w14:textId="77777777" w:rsidR="00275F5A" w:rsidRDefault="00275F5A">
      <w:pPr>
        <w:spacing w:line="240" w:lineRule="auto"/>
        <w:jc w:val="both"/>
        <w:rPr>
          <w:rFonts w:ascii="Arial" w:hAnsi="Arial" w:cs="Arial"/>
          <w:sz w:val="20"/>
          <w:szCs w:val="20"/>
        </w:rPr>
      </w:pPr>
    </w:p>
    <w:p w14:paraId="1A647F87" w14:textId="77777777" w:rsidR="00275F5A" w:rsidRDefault="00275F5A">
      <w:pPr>
        <w:spacing w:line="240" w:lineRule="auto"/>
        <w:jc w:val="both"/>
        <w:rPr>
          <w:rFonts w:ascii="Arial" w:hAnsi="Arial" w:cs="Arial"/>
          <w:sz w:val="20"/>
          <w:szCs w:val="20"/>
        </w:rPr>
      </w:pPr>
    </w:p>
    <w:p w14:paraId="1C7D17E4" w14:textId="77777777" w:rsidR="00275F5A" w:rsidRDefault="00275F5A">
      <w:pPr>
        <w:spacing w:line="240" w:lineRule="auto"/>
        <w:jc w:val="both"/>
        <w:rPr>
          <w:rFonts w:ascii="Arial" w:hAnsi="Arial" w:cs="Arial"/>
          <w:sz w:val="20"/>
          <w:szCs w:val="20"/>
        </w:rPr>
      </w:pPr>
    </w:p>
    <w:p w14:paraId="060A4200" w14:textId="77777777" w:rsidR="00275F5A" w:rsidRDefault="00275F5A">
      <w:pPr>
        <w:spacing w:line="240" w:lineRule="auto"/>
        <w:jc w:val="both"/>
        <w:rPr>
          <w:rFonts w:ascii="Arial" w:hAnsi="Arial" w:cs="Arial"/>
          <w:sz w:val="20"/>
          <w:szCs w:val="20"/>
        </w:rPr>
      </w:pPr>
    </w:p>
    <w:p w14:paraId="5292A801" w14:textId="77777777" w:rsidR="00275F5A" w:rsidRDefault="00275F5A">
      <w:pPr>
        <w:spacing w:line="240" w:lineRule="auto"/>
        <w:jc w:val="both"/>
        <w:rPr>
          <w:rFonts w:ascii="Arial" w:hAnsi="Arial" w:cs="Arial"/>
          <w:sz w:val="20"/>
          <w:szCs w:val="20"/>
        </w:rPr>
      </w:pPr>
    </w:p>
    <w:p w14:paraId="5F441C6E" w14:textId="77777777" w:rsidR="00275F5A" w:rsidRDefault="00275F5A">
      <w:pPr>
        <w:spacing w:line="240" w:lineRule="auto"/>
        <w:jc w:val="both"/>
        <w:rPr>
          <w:rFonts w:ascii="Arial" w:hAnsi="Arial" w:cs="Arial"/>
          <w:sz w:val="20"/>
          <w:szCs w:val="20"/>
        </w:rPr>
      </w:pPr>
    </w:p>
    <w:p w14:paraId="5303A1A5"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TABLE 6: PLANT LENGTH GAIN DURING EXPERIMENT (Tank 1,2 and Field )</w:t>
      </w:r>
    </w:p>
    <w:p w14:paraId="4D5D102E" w14:textId="77777777" w:rsidR="00275F5A" w:rsidRDefault="00275F5A">
      <w:pPr>
        <w:spacing w:line="240" w:lineRule="auto"/>
        <w:jc w:val="both"/>
        <w:rPr>
          <w:rFonts w:ascii="Arial" w:hAnsi="Arial" w:cs="Arial"/>
          <w:b/>
          <w:bCs/>
          <w:sz w:val="20"/>
          <w:szCs w:val="20"/>
        </w:rPr>
      </w:pPr>
    </w:p>
    <w:tbl>
      <w:tblPr>
        <w:tblStyle w:val="TableGrid"/>
        <w:tblW w:w="5000" w:type="pct"/>
        <w:jc w:val="center"/>
        <w:tblLayout w:type="fixed"/>
        <w:tblLook w:val="04A0" w:firstRow="1" w:lastRow="0" w:firstColumn="1" w:lastColumn="0" w:noHBand="0" w:noVBand="1"/>
      </w:tblPr>
      <w:tblGrid>
        <w:gridCol w:w="945"/>
        <w:gridCol w:w="777"/>
        <w:gridCol w:w="792"/>
        <w:gridCol w:w="1093"/>
        <w:gridCol w:w="952"/>
        <w:gridCol w:w="864"/>
        <w:gridCol w:w="1092"/>
        <w:gridCol w:w="952"/>
        <w:gridCol w:w="791"/>
        <w:gridCol w:w="1092"/>
      </w:tblGrid>
      <w:tr w:rsidR="00275F5A" w14:paraId="419546E9" w14:textId="77777777">
        <w:trPr>
          <w:trHeight w:val="262"/>
          <w:jc w:val="center"/>
        </w:trPr>
        <w:tc>
          <w:tcPr>
            <w:tcW w:w="505" w:type="pct"/>
            <w:tcBorders>
              <w:top w:val="single" w:sz="4" w:space="0" w:color="auto"/>
              <w:left w:val="single" w:sz="4" w:space="0" w:color="auto"/>
              <w:bottom w:val="single" w:sz="4" w:space="0" w:color="auto"/>
              <w:right w:val="single" w:sz="4" w:space="0" w:color="auto"/>
            </w:tcBorders>
          </w:tcPr>
          <w:p w14:paraId="06429B5E" w14:textId="77777777" w:rsidR="00275F5A" w:rsidRDefault="00275F5A">
            <w:pPr>
              <w:spacing w:line="240" w:lineRule="auto"/>
              <w:jc w:val="both"/>
              <w:rPr>
                <w:rFonts w:ascii="Arial" w:hAnsi="Arial" w:cs="Arial"/>
                <w:kern w:val="0"/>
                <w:sz w:val="20"/>
                <w:szCs w:val="20"/>
                <w:lang w:val="en-IN"/>
                <w14:ligatures w14:val="none"/>
              </w:rPr>
            </w:pPr>
          </w:p>
        </w:tc>
        <w:tc>
          <w:tcPr>
            <w:tcW w:w="1422" w:type="pct"/>
            <w:gridSpan w:val="3"/>
            <w:tcBorders>
              <w:top w:val="single" w:sz="4" w:space="0" w:color="auto"/>
              <w:left w:val="single" w:sz="4" w:space="0" w:color="auto"/>
              <w:bottom w:val="single" w:sz="4" w:space="0" w:color="auto"/>
              <w:right w:val="single" w:sz="4" w:space="0" w:color="auto"/>
            </w:tcBorders>
          </w:tcPr>
          <w:p w14:paraId="444F12C8"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TANK – 1</w:t>
            </w:r>
          </w:p>
        </w:tc>
        <w:tc>
          <w:tcPr>
            <w:tcW w:w="1555" w:type="pct"/>
            <w:gridSpan w:val="3"/>
            <w:tcBorders>
              <w:top w:val="single" w:sz="4" w:space="0" w:color="auto"/>
              <w:left w:val="single" w:sz="4" w:space="0" w:color="auto"/>
              <w:bottom w:val="single" w:sz="4" w:space="0" w:color="auto"/>
              <w:right w:val="single" w:sz="4" w:space="0" w:color="auto"/>
            </w:tcBorders>
          </w:tcPr>
          <w:p w14:paraId="28904DE3"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TANK – 2</w:t>
            </w:r>
          </w:p>
        </w:tc>
        <w:tc>
          <w:tcPr>
            <w:tcW w:w="1516" w:type="pct"/>
            <w:gridSpan w:val="3"/>
            <w:tcBorders>
              <w:top w:val="single" w:sz="4" w:space="0" w:color="auto"/>
              <w:left w:val="single" w:sz="4" w:space="0" w:color="auto"/>
              <w:bottom w:val="single" w:sz="4" w:space="0" w:color="auto"/>
              <w:right w:val="single" w:sz="4" w:space="0" w:color="auto"/>
            </w:tcBorders>
          </w:tcPr>
          <w:p w14:paraId="4308BF07"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FIELD</w:t>
            </w:r>
          </w:p>
        </w:tc>
      </w:tr>
      <w:tr w:rsidR="00275F5A" w14:paraId="61A2C7B5" w14:textId="77777777">
        <w:trPr>
          <w:trHeight w:val="1952"/>
          <w:jc w:val="center"/>
        </w:trPr>
        <w:tc>
          <w:tcPr>
            <w:tcW w:w="505" w:type="pct"/>
            <w:tcBorders>
              <w:top w:val="single" w:sz="4" w:space="0" w:color="auto"/>
              <w:left w:val="single" w:sz="4" w:space="0" w:color="auto"/>
              <w:bottom w:val="single" w:sz="4" w:space="0" w:color="auto"/>
              <w:right w:val="single" w:sz="4" w:space="0" w:color="auto"/>
              <w:tl2br w:val="single" w:sz="4" w:space="0" w:color="auto"/>
            </w:tcBorders>
          </w:tcPr>
          <w:p w14:paraId="16CE2A8B"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 xml:space="preserve">             Plant</w:t>
            </w:r>
          </w:p>
          <w:p w14:paraId="7E42DE6C"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 xml:space="preserve">   Species</w:t>
            </w:r>
          </w:p>
          <w:p w14:paraId="665BE3D2"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No.          →</w:t>
            </w:r>
          </w:p>
          <w:p w14:paraId="6E3FE29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of weeks</w:t>
            </w:r>
          </w:p>
          <w:p w14:paraId="23E51CB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w:t>
            </w:r>
          </w:p>
        </w:tc>
        <w:tc>
          <w:tcPr>
            <w:tcW w:w="415" w:type="pct"/>
            <w:tcBorders>
              <w:top w:val="single" w:sz="4" w:space="0" w:color="auto"/>
              <w:left w:val="single" w:sz="4" w:space="0" w:color="auto"/>
              <w:bottom w:val="single" w:sz="4" w:space="0" w:color="auto"/>
              <w:right w:val="single" w:sz="4" w:space="0" w:color="auto"/>
            </w:tcBorders>
          </w:tcPr>
          <w:p w14:paraId="278A77C3"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Coriandrum</w:t>
            </w:r>
          </w:p>
          <w:p w14:paraId="062135EE"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sativum</w:t>
            </w:r>
          </w:p>
        </w:tc>
        <w:tc>
          <w:tcPr>
            <w:tcW w:w="423" w:type="pct"/>
            <w:tcBorders>
              <w:top w:val="single" w:sz="4" w:space="0" w:color="auto"/>
              <w:left w:val="single" w:sz="4" w:space="0" w:color="auto"/>
              <w:bottom w:val="single" w:sz="4" w:space="0" w:color="auto"/>
              <w:right w:val="single" w:sz="4" w:space="0" w:color="auto"/>
            </w:tcBorders>
          </w:tcPr>
          <w:p w14:paraId="431EA6E1"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Spinacia</w:t>
            </w:r>
          </w:p>
          <w:p w14:paraId="09F4E128"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oleracea</w:t>
            </w:r>
          </w:p>
        </w:tc>
        <w:tc>
          <w:tcPr>
            <w:tcW w:w="583" w:type="pct"/>
            <w:tcBorders>
              <w:top w:val="single" w:sz="4" w:space="0" w:color="auto"/>
              <w:left w:val="single" w:sz="4" w:space="0" w:color="auto"/>
              <w:bottom w:val="single" w:sz="4" w:space="0" w:color="auto"/>
              <w:right w:val="single" w:sz="4" w:space="0" w:color="auto"/>
            </w:tcBorders>
          </w:tcPr>
          <w:p w14:paraId="126E5FBA"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Chenopodium</w:t>
            </w:r>
          </w:p>
          <w:p w14:paraId="2F5B0BC8"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album</w:t>
            </w:r>
          </w:p>
        </w:tc>
        <w:tc>
          <w:tcPr>
            <w:tcW w:w="509" w:type="pct"/>
            <w:tcBorders>
              <w:top w:val="single" w:sz="4" w:space="0" w:color="auto"/>
              <w:left w:val="single" w:sz="4" w:space="0" w:color="auto"/>
              <w:bottom w:val="single" w:sz="4" w:space="0" w:color="auto"/>
              <w:right w:val="single" w:sz="4" w:space="0" w:color="auto"/>
            </w:tcBorders>
          </w:tcPr>
          <w:p w14:paraId="52DFCDBF"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Coriandrum</w:t>
            </w:r>
          </w:p>
          <w:p w14:paraId="6EE50D46"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sativum</w:t>
            </w:r>
          </w:p>
        </w:tc>
        <w:tc>
          <w:tcPr>
            <w:tcW w:w="462" w:type="pct"/>
            <w:tcBorders>
              <w:top w:val="single" w:sz="4" w:space="0" w:color="auto"/>
              <w:left w:val="single" w:sz="4" w:space="0" w:color="auto"/>
              <w:bottom w:val="single" w:sz="4" w:space="0" w:color="auto"/>
              <w:right w:val="single" w:sz="4" w:space="0" w:color="auto"/>
            </w:tcBorders>
          </w:tcPr>
          <w:p w14:paraId="643B1E0E"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Spinacia</w:t>
            </w:r>
          </w:p>
          <w:p w14:paraId="4AFCE104"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oleracea</w:t>
            </w:r>
          </w:p>
        </w:tc>
        <w:tc>
          <w:tcPr>
            <w:tcW w:w="583" w:type="pct"/>
            <w:tcBorders>
              <w:top w:val="single" w:sz="4" w:space="0" w:color="auto"/>
              <w:left w:val="single" w:sz="4" w:space="0" w:color="auto"/>
              <w:bottom w:val="single" w:sz="4" w:space="0" w:color="auto"/>
              <w:right w:val="single" w:sz="4" w:space="0" w:color="auto"/>
            </w:tcBorders>
          </w:tcPr>
          <w:p w14:paraId="62513FCD"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Chenopodium</w:t>
            </w:r>
          </w:p>
          <w:p w14:paraId="62098425"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i/>
                <w:iCs/>
                <w:kern w:val="0"/>
                <w:sz w:val="20"/>
                <w:szCs w:val="20"/>
                <w:lang w:val="en-IN"/>
                <w14:ligatures w14:val="none"/>
              </w:rPr>
              <w:t>album</w:t>
            </w:r>
          </w:p>
          <w:p w14:paraId="221F7621" w14:textId="77777777" w:rsidR="00275F5A" w:rsidRDefault="00275F5A">
            <w:pPr>
              <w:spacing w:line="240" w:lineRule="auto"/>
              <w:jc w:val="both"/>
              <w:rPr>
                <w:rFonts w:ascii="Arial" w:hAnsi="Arial" w:cs="Arial"/>
                <w:b/>
                <w:bCs/>
                <w:kern w:val="0"/>
                <w:sz w:val="20"/>
                <w:szCs w:val="20"/>
                <w:lang w:val="en-IN"/>
                <w14:ligatures w14:val="none"/>
              </w:rPr>
            </w:pPr>
          </w:p>
        </w:tc>
        <w:tc>
          <w:tcPr>
            <w:tcW w:w="509" w:type="pct"/>
            <w:tcBorders>
              <w:top w:val="single" w:sz="4" w:space="0" w:color="auto"/>
              <w:left w:val="single" w:sz="4" w:space="0" w:color="auto"/>
              <w:bottom w:val="single" w:sz="4" w:space="0" w:color="auto"/>
              <w:right w:val="single" w:sz="4" w:space="0" w:color="auto"/>
            </w:tcBorders>
          </w:tcPr>
          <w:p w14:paraId="2C039F0A"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Coriandrum</w:t>
            </w:r>
          </w:p>
          <w:p w14:paraId="21F90E50"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sativum</w:t>
            </w:r>
          </w:p>
        </w:tc>
        <w:tc>
          <w:tcPr>
            <w:tcW w:w="423" w:type="pct"/>
            <w:tcBorders>
              <w:top w:val="single" w:sz="4" w:space="0" w:color="auto"/>
              <w:left w:val="single" w:sz="4" w:space="0" w:color="auto"/>
              <w:bottom w:val="single" w:sz="4" w:space="0" w:color="auto"/>
              <w:right w:val="single" w:sz="4" w:space="0" w:color="auto"/>
            </w:tcBorders>
          </w:tcPr>
          <w:p w14:paraId="6AA6D812"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Spinacia</w:t>
            </w:r>
          </w:p>
          <w:p w14:paraId="1DBC0F8B"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oleracea</w:t>
            </w:r>
          </w:p>
        </w:tc>
        <w:tc>
          <w:tcPr>
            <w:tcW w:w="583" w:type="pct"/>
            <w:tcBorders>
              <w:top w:val="single" w:sz="4" w:space="0" w:color="auto"/>
              <w:left w:val="single" w:sz="4" w:space="0" w:color="auto"/>
              <w:bottom w:val="single" w:sz="4" w:space="0" w:color="auto"/>
              <w:right w:val="single" w:sz="4" w:space="0" w:color="auto"/>
            </w:tcBorders>
          </w:tcPr>
          <w:p w14:paraId="52AD1BA4"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Chenopodium</w:t>
            </w:r>
          </w:p>
          <w:p w14:paraId="560A3BBE" w14:textId="77777777" w:rsidR="00275F5A" w:rsidRDefault="00CF3A5E">
            <w:pPr>
              <w:spacing w:line="240" w:lineRule="auto"/>
              <w:jc w:val="both"/>
              <w:rPr>
                <w:rFonts w:ascii="Arial" w:hAnsi="Arial" w:cs="Arial"/>
                <w:b/>
                <w:bCs/>
                <w:i/>
                <w:iCs/>
                <w:kern w:val="0"/>
                <w:sz w:val="20"/>
                <w:szCs w:val="20"/>
                <w:lang w:val="en-IN"/>
                <w14:ligatures w14:val="none"/>
              </w:rPr>
            </w:pPr>
            <w:r>
              <w:rPr>
                <w:rFonts w:ascii="Arial" w:hAnsi="Arial" w:cs="Arial"/>
                <w:b/>
                <w:bCs/>
                <w:i/>
                <w:iCs/>
                <w:kern w:val="0"/>
                <w:sz w:val="20"/>
                <w:szCs w:val="20"/>
                <w:lang w:val="en-IN"/>
                <w14:ligatures w14:val="none"/>
              </w:rPr>
              <w:t>album</w:t>
            </w:r>
          </w:p>
        </w:tc>
      </w:tr>
      <w:tr w:rsidR="00275F5A" w14:paraId="2972B60A" w14:textId="77777777">
        <w:trPr>
          <w:trHeight w:val="764"/>
          <w:jc w:val="center"/>
        </w:trPr>
        <w:tc>
          <w:tcPr>
            <w:tcW w:w="505" w:type="pct"/>
            <w:tcBorders>
              <w:top w:val="single" w:sz="4" w:space="0" w:color="auto"/>
              <w:left w:val="single" w:sz="4" w:space="0" w:color="auto"/>
              <w:bottom w:val="single" w:sz="4" w:space="0" w:color="auto"/>
              <w:right w:val="single" w:sz="4" w:space="0" w:color="auto"/>
            </w:tcBorders>
          </w:tcPr>
          <w:p w14:paraId="3CD442DF"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Initial height</w:t>
            </w:r>
          </w:p>
        </w:tc>
        <w:tc>
          <w:tcPr>
            <w:tcW w:w="415" w:type="pct"/>
            <w:tcBorders>
              <w:top w:val="single" w:sz="4" w:space="0" w:color="auto"/>
              <w:left w:val="single" w:sz="4" w:space="0" w:color="auto"/>
              <w:bottom w:val="single" w:sz="4" w:space="0" w:color="auto"/>
              <w:right w:val="single" w:sz="4" w:space="0" w:color="auto"/>
            </w:tcBorders>
          </w:tcPr>
          <w:p w14:paraId="36162FD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1.26±0.15</w:t>
            </w:r>
          </w:p>
        </w:tc>
        <w:tc>
          <w:tcPr>
            <w:tcW w:w="423" w:type="pct"/>
            <w:tcBorders>
              <w:top w:val="single" w:sz="4" w:space="0" w:color="auto"/>
              <w:left w:val="single" w:sz="4" w:space="0" w:color="auto"/>
              <w:bottom w:val="single" w:sz="4" w:space="0" w:color="auto"/>
              <w:right w:val="single" w:sz="4" w:space="0" w:color="auto"/>
            </w:tcBorders>
          </w:tcPr>
          <w:p w14:paraId="0C371CB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1.37±0.06</w:t>
            </w:r>
          </w:p>
        </w:tc>
        <w:tc>
          <w:tcPr>
            <w:tcW w:w="583" w:type="pct"/>
            <w:tcBorders>
              <w:top w:val="single" w:sz="4" w:space="0" w:color="auto"/>
              <w:left w:val="single" w:sz="4" w:space="0" w:color="auto"/>
              <w:bottom w:val="single" w:sz="4" w:space="0" w:color="auto"/>
              <w:right w:val="single" w:sz="4" w:space="0" w:color="auto"/>
            </w:tcBorders>
          </w:tcPr>
          <w:p w14:paraId="39561DE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1.37±0.06</w:t>
            </w:r>
          </w:p>
        </w:tc>
        <w:tc>
          <w:tcPr>
            <w:tcW w:w="509" w:type="pct"/>
            <w:tcBorders>
              <w:top w:val="single" w:sz="4" w:space="0" w:color="auto"/>
              <w:left w:val="single" w:sz="4" w:space="0" w:color="auto"/>
              <w:bottom w:val="single" w:sz="4" w:space="0" w:color="auto"/>
              <w:right w:val="single" w:sz="4" w:space="0" w:color="auto"/>
            </w:tcBorders>
          </w:tcPr>
          <w:p w14:paraId="37C61D4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1.25±0.16</w:t>
            </w:r>
          </w:p>
        </w:tc>
        <w:tc>
          <w:tcPr>
            <w:tcW w:w="462" w:type="pct"/>
            <w:tcBorders>
              <w:top w:val="single" w:sz="4" w:space="0" w:color="auto"/>
              <w:left w:val="single" w:sz="4" w:space="0" w:color="auto"/>
              <w:bottom w:val="single" w:sz="4" w:space="0" w:color="auto"/>
              <w:right w:val="single" w:sz="4" w:space="0" w:color="auto"/>
            </w:tcBorders>
          </w:tcPr>
          <w:p w14:paraId="465F12E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1.38±0.07</w:t>
            </w:r>
          </w:p>
        </w:tc>
        <w:tc>
          <w:tcPr>
            <w:tcW w:w="583" w:type="pct"/>
            <w:tcBorders>
              <w:top w:val="single" w:sz="4" w:space="0" w:color="auto"/>
              <w:left w:val="single" w:sz="4" w:space="0" w:color="auto"/>
              <w:bottom w:val="single" w:sz="4" w:space="0" w:color="auto"/>
              <w:right w:val="single" w:sz="4" w:space="0" w:color="auto"/>
            </w:tcBorders>
          </w:tcPr>
          <w:p w14:paraId="4863F78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1.39±0.06</w:t>
            </w:r>
          </w:p>
        </w:tc>
        <w:tc>
          <w:tcPr>
            <w:tcW w:w="509" w:type="pct"/>
            <w:tcBorders>
              <w:top w:val="single" w:sz="4" w:space="0" w:color="auto"/>
              <w:left w:val="single" w:sz="4" w:space="0" w:color="auto"/>
              <w:bottom w:val="single" w:sz="4" w:space="0" w:color="auto"/>
              <w:right w:val="single" w:sz="4" w:space="0" w:color="auto"/>
            </w:tcBorders>
          </w:tcPr>
          <w:p w14:paraId="3E1C2CA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1.26±0.14</w:t>
            </w:r>
          </w:p>
        </w:tc>
        <w:tc>
          <w:tcPr>
            <w:tcW w:w="423" w:type="pct"/>
            <w:tcBorders>
              <w:top w:val="single" w:sz="4" w:space="0" w:color="auto"/>
              <w:left w:val="single" w:sz="4" w:space="0" w:color="auto"/>
              <w:bottom w:val="single" w:sz="4" w:space="0" w:color="auto"/>
              <w:right w:val="single" w:sz="4" w:space="0" w:color="auto"/>
            </w:tcBorders>
          </w:tcPr>
          <w:p w14:paraId="59E982A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1.22±0.05</w:t>
            </w:r>
          </w:p>
        </w:tc>
        <w:tc>
          <w:tcPr>
            <w:tcW w:w="583" w:type="pct"/>
            <w:tcBorders>
              <w:top w:val="single" w:sz="4" w:space="0" w:color="auto"/>
              <w:left w:val="single" w:sz="4" w:space="0" w:color="auto"/>
              <w:bottom w:val="single" w:sz="4" w:space="0" w:color="auto"/>
              <w:right w:val="single" w:sz="4" w:space="0" w:color="auto"/>
            </w:tcBorders>
          </w:tcPr>
          <w:p w14:paraId="6E46B3F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1.29±0.06</w:t>
            </w:r>
          </w:p>
        </w:tc>
      </w:tr>
      <w:tr w:rsidR="00275F5A" w14:paraId="64D64C43" w14:textId="77777777">
        <w:trPr>
          <w:trHeight w:val="359"/>
          <w:jc w:val="center"/>
        </w:trPr>
        <w:tc>
          <w:tcPr>
            <w:tcW w:w="505" w:type="pct"/>
            <w:tcBorders>
              <w:top w:val="single" w:sz="4" w:space="0" w:color="auto"/>
              <w:left w:val="single" w:sz="4" w:space="0" w:color="auto"/>
              <w:bottom w:val="single" w:sz="4" w:space="0" w:color="auto"/>
              <w:right w:val="single" w:sz="4" w:space="0" w:color="auto"/>
            </w:tcBorders>
          </w:tcPr>
          <w:p w14:paraId="30BE772C"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7 days</w:t>
            </w:r>
          </w:p>
        </w:tc>
        <w:tc>
          <w:tcPr>
            <w:tcW w:w="415" w:type="pct"/>
            <w:tcBorders>
              <w:top w:val="single" w:sz="4" w:space="0" w:color="auto"/>
              <w:left w:val="single" w:sz="4" w:space="0" w:color="auto"/>
              <w:bottom w:val="single" w:sz="4" w:space="0" w:color="auto"/>
              <w:right w:val="single" w:sz="4" w:space="0" w:color="auto"/>
            </w:tcBorders>
          </w:tcPr>
          <w:p w14:paraId="15EEAF2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1.77±0.20</w:t>
            </w:r>
          </w:p>
        </w:tc>
        <w:tc>
          <w:tcPr>
            <w:tcW w:w="423" w:type="pct"/>
            <w:tcBorders>
              <w:top w:val="single" w:sz="4" w:space="0" w:color="auto"/>
              <w:left w:val="single" w:sz="4" w:space="0" w:color="auto"/>
              <w:bottom w:val="single" w:sz="4" w:space="0" w:color="auto"/>
              <w:right w:val="single" w:sz="4" w:space="0" w:color="auto"/>
            </w:tcBorders>
          </w:tcPr>
          <w:p w14:paraId="00C2085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1.76±0.19</w:t>
            </w:r>
          </w:p>
        </w:tc>
        <w:tc>
          <w:tcPr>
            <w:tcW w:w="583" w:type="pct"/>
            <w:tcBorders>
              <w:top w:val="single" w:sz="4" w:space="0" w:color="auto"/>
              <w:left w:val="single" w:sz="4" w:space="0" w:color="auto"/>
              <w:bottom w:val="single" w:sz="4" w:space="0" w:color="auto"/>
              <w:right w:val="single" w:sz="4" w:space="0" w:color="auto"/>
            </w:tcBorders>
          </w:tcPr>
          <w:p w14:paraId="2EC5D82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2.10±0.37</w:t>
            </w:r>
          </w:p>
        </w:tc>
        <w:tc>
          <w:tcPr>
            <w:tcW w:w="509" w:type="pct"/>
            <w:tcBorders>
              <w:top w:val="single" w:sz="4" w:space="0" w:color="auto"/>
              <w:left w:val="single" w:sz="4" w:space="0" w:color="auto"/>
              <w:bottom w:val="single" w:sz="4" w:space="0" w:color="auto"/>
              <w:right w:val="single" w:sz="4" w:space="0" w:color="auto"/>
            </w:tcBorders>
          </w:tcPr>
          <w:p w14:paraId="77022A0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1.75±0.18</w:t>
            </w:r>
          </w:p>
        </w:tc>
        <w:tc>
          <w:tcPr>
            <w:tcW w:w="462" w:type="pct"/>
            <w:tcBorders>
              <w:top w:val="single" w:sz="4" w:space="0" w:color="auto"/>
              <w:left w:val="single" w:sz="4" w:space="0" w:color="auto"/>
              <w:bottom w:val="single" w:sz="4" w:space="0" w:color="auto"/>
              <w:right w:val="single" w:sz="4" w:space="0" w:color="auto"/>
            </w:tcBorders>
          </w:tcPr>
          <w:p w14:paraId="29126BE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1.79±0.17</w:t>
            </w:r>
          </w:p>
        </w:tc>
        <w:tc>
          <w:tcPr>
            <w:tcW w:w="583" w:type="pct"/>
            <w:tcBorders>
              <w:top w:val="single" w:sz="4" w:space="0" w:color="auto"/>
              <w:left w:val="single" w:sz="4" w:space="0" w:color="auto"/>
              <w:bottom w:val="single" w:sz="4" w:space="0" w:color="auto"/>
              <w:right w:val="single" w:sz="4" w:space="0" w:color="auto"/>
            </w:tcBorders>
          </w:tcPr>
          <w:p w14:paraId="42C23EA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2.16±0.37</w:t>
            </w:r>
          </w:p>
        </w:tc>
        <w:tc>
          <w:tcPr>
            <w:tcW w:w="509" w:type="pct"/>
            <w:tcBorders>
              <w:top w:val="single" w:sz="4" w:space="0" w:color="auto"/>
              <w:left w:val="single" w:sz="4" w:space="0" w:color="auto"/>
              <w:bottom w:val="single" w:sz="4" w:space="0" w:color="auto"/>
              <w:right w:val="single" w:sz="4" w:space="0" w:color="auto"/>
            </w:tcBorders>
          </w:tcPr>
          <w:p w14:paraId="30E98BC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1.72±0.18</w:t>
            </w:r>
          </w:p>
        </w:tc>
        <w:tc>
          <w:tcPr>
            <w:tcW w:w="423" w:type="pct"/>
            <w:tcBorders>
              <w:top w:val="single" w:sz="4" w:space="0" w:color="auto"/>
              <w:left w:val="single" w:sz="4" w:space="0" w:color="auto"/>
              <w:bottom w:val="single" w:sz="4" w:space="0" w:color="auto"/>
              <w:right w:val="single" w:sz="4" w:space="0" w:color="auto"/>
            </w:tcBorders>
          </w:tcPr>
          <w:p w14:paraId="0AA4B46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1.45±0.03</w:t>
            </w:r>
          </w:p>
        </w:tc>
        <w:tc>
          <w:tcPr>
            <w:tcW w:w="583" w:type="pct"/>
            <w:tcBorders>
              <w:top w:val="single" w:sz="4" w:space="0" w:color="auto"/>
              <w:left w:val="single" w:sz="4" w:space="0" w:color="auto"/>
              <w:bottom w:val="single" w:sz="4" w:space="0" w:color="auto"/>
              <w:right w:val="single" w:sz="4" w:space="0" w:color="auto"/>
            </w:tcBorders>
          </w:tcPr>
          <w:p w14:paraId="6BA99C1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1.76±0.13</w:t>
            </w:r>
          </w:p>
        </w:tc>
      </w:tr>
      <w:tr w:rsidR="00275F5A" w14:paraId="086E348F" w14:textId="77777777">
        <w:trPr>
          <w:trHeight w:val="341"/>
          <w:jc w:val="center"/>
        </w:trPr>
        <w:tc>
          <w:tcPr>
            <w:tcW w:w="505" w:type="pct"/>
            <w:tcBorders>
              <w:top w:val="single" w:sz="4" w:space="0" w:color="auto"/>
              <w:left w:val="single" w:sz="4" w:space="0" w:color="auto"/>
              <w:bottom w:val="single" w:sz="4" w:space="0" w:color="auto"/>
              <w:right w:val="single" w:sz="4" w:space="0" w:color="auto"/>
            </w:tcBorders>
          </w:tcPr>
          <w:p w14:paraId="0C3896D0"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21 days</w:t>
            </w:r>
          </w:p>
        </w:tc>
        <w:tc>
          <w:tcPr>
            <w:tcW w:w="415" w:type="pct"/>
            <w:tcBorders>
              <w:top w:val="single" w:sz="4" w:space="0" w:color="auto"/>
              <w:left w:val="single" w:sz="4" w:space="0" w:color="auto"/>
              <w:bottom w:val="single" w:sz="4" w:space="0" w:color="auto"/>
              <w:right w:val="single" w:sz="4" w:space="0" w:color="auto"/>
            </w:tcBorders>
          </w:tcPr>
          <w:p w14:paraId="71FE4F5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6.03±0.70</w:t>
            </w:r>
          </w:p>
        </w:tc>
        <w:tc>
          <w:tcPr>
            <w:tcW w:w="423" w:type="pct"/>
            <w:tcBorders>
              <w:top w:val="single" w:sz="4" w:space="0" w:color="auto"/>
              <w:left w:val="single" w:sz="4" w:space="0" w:color="auto"/>
              <w:bottom w:val="single" w:sz="4" w:space="0" w:color="auto"/>
              <w:right w:val="single" w:sz="4" w:space="0" w:color="auto"/>
            </w:tcBorders>
          </w:tcPr>
          <w:p w14:paraId="443611F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7.01±0.27</w:t>
            </w:r>
          </w:p>
        </w:tc>
        <w:tc>
          <w:tcPr>
            <w:tcW w:w="583" w:type="pct"/>
            <w:tcBorders>
              <w:top w:val="single" w:sz="4" w:space="0" w:color="auto"/>
              <w:left w:val="single" w:sz="4" w:space="0" w:color="auto"/>
              <w:bottom w:val="single" w:sz="4" w:space="0" w:color="auto"/>
              <w:right w:val="single" w:sz="4" w:space="0" w:color="auto"/>
            </w:tcBorders>
          </w:tcPr>
          <w:p w14:paraId="695C49C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7.57±0.26</w:t>
            </w:r>
          </w:p>
        </w:tc>
        <w:tc>
          <w:tcPr>
            <w:tcW w:w="509" w:type="pct"/>
            <w:tcBorders>
              <w:top w:val="single" w:sz="4" w:space="0" w:color="auto"/>
              <w:left w:val="single" w:sz="4" w:space="0" w:color="auto"/>
              <w:bottom w:val="single" w:sz="4" w:space="0" w:color="auto"/>
              <w:right w:val="single" w:sz="4" w:space="0" w:color="auto"/>
            </w:tcBorders>
          </w:tcPr>
          <w:p w14:paraId="1488679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6.04±0.67</w:t>
            </w:r>
          </w:p>
        </w:tc>
        <w:tc>
          <w:tcPr>
            <w:tcW w:w="462" w:type="pct"/>
            <w:tcBorders>
              <w:top w:val="single" w:sz="4" w:space="0" w:color="auto"/>
              <w:left w:val="single" w:sz="4" w:space="0" w:color="auto"/>
              <w:bottom w:val="single" w:sz="4" w:space="0" w:color="auto"/>
              <w:right w:val="single" w:sz="4" w:space="0" w:color="auto"/>
            </w:tcBorders>
          </w:tcPr>
          <w:p w14:paraId="4FF9BF3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7.04±0.27</w:t>
            </w:r>
          </w:p>
        </w:tc>
        <w:tc>
          <w:tcPr>
            <w:tcW w:w="583" w:type="pct"/>
            <w:tcBorders>
              <w:top w:val="single" w:sz="4" w:space="0" w:color="auto"/>
              <w:left w:val="single" w:sz="4" w:space="0" w:color="auto"/>
              <w:bottom w:val="single" w:sz="4" w:space="0" w:color="auto"/>
              <w:right w:val="single" w:sz="4" w:space="0" w:color="auto"/>
            </w:tcBorders>
          </w:tcPr>
          <w:p w14:paraId="3B29EB96"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7.62±0.26</w:t>
            </w:r>
          </w:p>
        </w:tc>
        <w:tc>
          <w:tcPr>
            <w:tcW w:w="509" w:type="pct"/>
            <w:tcBorders>
              <w:top w:val="single" w:sz="4" w:space="0" w:color="auto"/>
              <w:left w:val="single" w:sz="4" w:space="0" w:color="auto"/>
              <w:bottom w:val="single" w:sz="4" w:space="0" w:color="auto"/>
              <w:right w:val="single" w:sz="4" w:space="0" w:color="auto"/>
            </w:tcBorders>
          </w:tcPr>
          <w:p w14:paraId="523FB95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5.75±0.13</w:t>
            </w:r>
          </w:p>
        </w:tc>
        <w:tc>
          <w:tcPr>
            <w:tcW w:w="423" w:type="pct"/>
            <w:tcBorders>
              <w:top w:val="single" w:sz="4" w:space="0" w:color="auto"/>
              <w:left w:val="single" w:sz="4" w:space="0" w:color="auto"/>
              <w:bottom w:val="single" w:sz="4" w:space="0" w:color="auto"/>
              <w:right w:val="single" w:sz="4" w:space="0" w:color="auto"/>
            </w:tcBorders>
          </w:tcPr>
          <w:p w14:paraId="71B58B3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4.68±0.24</w:t>
            </w:r>
          </w:p>
        </w:tc>
        <w:tc>
          <w:tcPr>
            <w:tcW w:w="583" w:type="pct"/>
            <w:tcBorders>
              <w:top w:val="single" w:sz="4" w:space="0" w:color="auto"/>
              <w:left w:val="single" w:sz="4" w:space="0" w:color="auto"/>
              <w:bottom w:val="single" w:sz="4" w:space="0" w:color="auto"/>
              <w:right w:val="single" w:sz="4" w:space="0" w:color="auto"/>
            </w:tcBorders>
          </w:tcPr>
          <w:p w14:paraId="5CAA32D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4.26±006</w:t>
            </w:r>
          </w:p>
        </w:tc>
      </w:tr>
      <w:tr w:rsidR="00275F5A" w14:paraId="238F8627" w14:textId="77777777">
        <w:trPr>
          <w:trHeight w:val="539"/>
          <w:jc w:val="center"/>
        </w:trPr>
        <w:tc>
          <w:tcPr>
            <w:tcW w:w="505" w:type="pct"/>
            <w:tcBorders>
              <w:top w:val="single" w:sz="4" w:space="0" w:color="auto"/>
              <w:left w:val="single" w:sz="4" w:space="0" w:color="auto"/>
              <w:bottom w:val="single" w:sz="4" w:space="0" w:color="auto"/>
              <w:right w:val="single" w:sz="4" w:space="0" w:color="auto"/>
            </w:tcBorders>
          </w:tcPr>
          <w:p w14:paraId="06E3177D"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35 days</w:t>
            </w:r>
          </w:p>
          <w:p w14:paraId="5108B91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w:t>
            </w:r>
            <w:r>
              <w:rPr>
                <w:rFonts w:ascii="Arial" w:hAnsi="Arial" w:cs="Arial"/>
                <w:b/>
                <w:bCs/>
                <w:kern w:val="0"/>
                <w:sz w:val="20"/>
                <w:szCs w:val="20"/>
                <w:vertAlign w:val="superscript"/>
                <w:lang w:val="en-IN"/>
                <w14:ligatures w14:val="none"/>
              </w:rPr>
              <w:t xml:space="preserve">st </w:t>
            </w:r>
            <w:r>
              <w:rPr>
                <w:rFonts w:ascii="Arial" w:hAnsi="Arial" w:cs="Arial"/>
                <w:b/>
                <w:bCs/>
                <w:kern w:val="0"/>
                <w:sz w:val="20"/>
                <w:szCs w:val="20"/>
                <w:lang w:val="en-IN"/>
                <w14:ligatures w14:val="none"/>
              </w:rPr>
              <w:t>harvest)</w:t>
            </w:r>
          </w:p>
        </w:tc>
        <w:tc>
          <w:tcPr>
            <w:tcW w:w="415" w:type="pct"/>
            <w:tcBorders>
              <w:top w:val="single" w:sz="4" w:space="0" w:color="auto"/>
              <w:left w:val="single" w:sz="4" w:space="0" w:color="auto"/>
              <w:bottom w:val="single" w:sz="4" w:space="0" w:color="auto"/>
              <w:right w:val="single" w:sz="4" w:space="0" w:color="auto"/>
            </w:tcBorders>
          </w:tcPr>
          <w:p w14:paraId="56B1F81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14.71±0.20</w:t>
            </w:r>
          </w:p>
        </w:tc>
        <w:tc>
          <w:tcPr>
            <w:tcW w:w="423" w:type="pct"/>
            <w:tcBorders>
              <w:top w:val="single" w:sz="4" w:space="0" w:color="auto"/>
              <w:left w:val="single" w:sz="4" w:space="0" w:color="auto"/>
              <w:bottom w:val="single" w:sz="4" w:space="0" w:color="auto"/>
              <w:right w:val="single" w:sz="4" w:space="0" w:color="auto"/>
            </w:tcBorders>
          </w:tcPr>
          <w:p w14:paraId="0487FF9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17.5±0.28</w:t>
            </w:r>
          </w:p>
        </w:tc>
        <w:tc>
          <w:tcPr>
            <w:tcW w:w="583" w:type="pct"/>
            <w:tcBorders>
              <w:top w:val="single" w:sz="4" w:space="0" w:color="auto"/>
              <w:left w:val="single" w:sz="4" w:space="0" w:color="auto"/>
              <w:bottom w:val="single" w:sz="4" w:space="0" w:color="auto"/>
              <w:right w:val="single" w:sz="4" w:space="0" w:color="auto"/>
            </w:tcBorders>
          </w:tcPr>
          <w:p w14:paraId="7065579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16.55±0.25</w:t>
            </w:r>
          </w:p>
        </w:tc>
        <w:tc>
          <w:tcPr>
            <w:tcW w:w="509" w:type="pct"/>
            <w:tcBorders>
              <w:top w:val="single" w:sz="4" w:space="0" w:color="auto"/>
              <w:left w:val="single" w:sz="4" w:space="0" w:color="auto"/>
              <w:bottom w:val="single" w:sz="4" w:space="0" w:color="auto"/>
              <w:right w:val="single" w:sz="4" w:space="0" w:color="auto"/>
            </w:tcBorders>
          </w:tcPr>
          <w:p w14:paraId="7ADF035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14.72±0.20</w:t>
            </w:r>
          </w:p>
        </w:tc>
        <w:tc>
          <w:tcPr>
            <w:tcW w:w="462" w:type="pct"/>
            <w:tcBorders>
              <w:top w:val="single" w:sz="4" w:space="0" w:color="auto"/>
              <w:left w:val="single" w:sz="4" w:space="0" w:color="auto"/>
              <w:bottom w:val="single" w:sz="4" w:space="0" w:color="auto"/>
              <w:right w:val="single" w:sz="4" w:space="0" w:color="auto"/>
            </w:tcBorders>
          </w:tcPr>
          <w:p w14:paraId="5891053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17.66±0.21</w:t>
            </w:r>
          </w:p>
        </w:tc>
        <w:tc>
          <w:tcPr>
            <w:tcW w:w="583" w:type="pct"/>
            <w:tcBorders>
              <w:top w:val="single" w:sz="4" w:space="0" w:color="auto"/>
              <w:left w:val="single" w:sz="4" w:space="0" w:color="auto"/>
              <w:bottom w:val="single" w:sz="4" w:space="0" w:color="auto"/>
              <w:right w:val="single" w:sz="4" w:space="0" w:color="auto"/>
            </w:tcBorders>
          </w:tcPr>
          <w:p w14:paraId="4E80ECC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16.60±0.22</w:t>
            </w:r>
          </w:p>
        </w:tc>
        <w:tc>
          <w:tcPr>
            <w:tcW w:w="509" w:type="pct"/>
            <w:tcBorders>
              <w:top w:val="single" w:sz="4" w:space="0" w:color="auto"/>
              <w:left w:val="single" w:sz="4" w:space="0" w:color="auto"/>
              <w:bottom w:val="single" w:sz="4" w:space="0" w:color="auto"/>
              <w:right w:val="single" w:sz="4" w:space="0" w:color="auto"/>
            </w:tcBorders>
          </w:tcPr>
          <w:p w14:paraId="4307C50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13.7±0.14</w:t>
            </w:r>
          </w:p>
        </w:tc>
        <w:tc>
          <w:tcPr>
            <w:tcW w:w="423" w:type="pct"/>
            <w:tcBorders>
              <w:top w:val="single" w:sz="4" w:space="0" w:color="auto"/>
              <w:left w:val="single" w:sz="4" w:space="0" w:color="auto"/>
              <w:bottom w:val="single" w:sz="4" w:space="0" w:color="auto"/>
              <w:right w:val="single" w:sz="4" w:space="0" w:color="auto"/>
            </w:tcBorders>
          </w:tcPr>
          <w:p w14:paraId="1C1DEB9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10.0±0.08</w:t>
            </w:r>
          </w:p>
        </w:tc>
        <w:tc>
          <w:tcPr>
            <w:tcW w:w="583" w:type="pct"/>
            <w:tcBorders>
              <w:top w:val="single" w:sz="4" w:space="0" w:color="auto"/>
              <w:left w:val="single" w:sz="4" w:space="0" w:color="auto"/>
              <w:bottom w:val="single" w:sz="4" w:space="0" w:color="auto"/>
              <w:right w:val="single" w:sz="4" w:space="0" w:color="auto"/>
            </w:tcBorders>
          </w:tcPr>
          <w:p w14:paraId="42E2ED98"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8.33±0.14</w:t>
            </w:r>
          </w:p>
          <w:p w14:paraId="16C1CAD8" w14:textId="77777777" w:rsidR="00275F5A" w:rsidRDefault="00275F5A">
            <w:pPr>
              <w:spacing w:line="240" w:lineRule="auto"/>
              <w:jc w:val="both"/>
              <w:rPr>
                <w:rFonts w:ascii="Arial" w:hAnsi="Arial" w:cs="Arial"/>
                <w:kern w:val="0"/>
                <w:sz w:val="20"/>
                <w:szCs w:val="20"/>
                <w:lang w:val="en-IN"/>
                <w14:ligatures w14:val="none"/>
              </w:rPr>
            </w:pPr>
          </w:p>
        </w:tc>
      </w:tr>
      <w:tr w:rsidR="00275F5A" w14:paraId="6A5A67CE" w14:textId="77777777">
        <w:trPr>
          <w:trHeight w:val="107"/>
          <w:jc w:val="center"/>
        </w:trPr>
        <w:tc>
          <w:tcPr>
            <w:tcW w:w="505" w:type="pct"/>
            <w:tcBorders>
              <w:top w:val="single" w:sz="4" w:space="0" w:color="auto"/>
              <w:left w:val="single" w:sz="4" w:space="0" w:color="auto"/>
              <w:bottom w:val="single" w:sz="4" w:space="0" w:color="auto"/>
              <w:right w:val="single" w:sz="4" w:space="0" w:color="auto"/>
            </w:tcBorders>
          </w:tcPr>
          <w:p w14:paraId="541A5D29"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56  days</w:t>
            </w:r>
          </w:p>
          <w:p w14:paraId="1274C351"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lastRenderedPageBreak/>
              <w:t>(2</w:t>
            </w:r>
            <w:r>
              <w:rPr>
                <w:rFonts w:ascii="Arial" w:hAnsi="Arial" w:cs="Arial"/>
                <w:b/>
                <w:bCs/>
                <w:kern w:val="0"/>
                <w:sz w:val="20"/>
                <w:szCs w:val="20"/>
                <w:vertAlign w:val="superscript"/>
                <w:lang w:val="en-IN"/>
                <w14:ligatures w14:val="none"/>
              </w:rPr>
              <w:t xml:space="preserve">nd </w:t>
            </w:r>
            <w:r>
              <w:rPr>
                <w:rFonts w:ascii="Arial" w:hAnsi="Arial" w:cs="Arial"/>
                <w:b/>
                <w:bCs/>
                <w:kern w:val="0"/>
                <w:sz w:val="20"/>
                <w:szCs w:val="20"/>
                <w:lang w:val="en-IN"/>
                <w14:ligatures w14:val="none"/>
              </w:rPr>
              <w:t>harvest)</w:t>
            </w:r>
          </w:p>
        </w:tc>
        <w:tc>
          <w:tcPr>
            <w:tcW w:w="415" w:type="pct"/>
            <w:tcBorders>
              <w:top w:val="single" w:sz="4" w:space="0" w:color="auto"/>
              <w:left w:val="single" w:sz="4" w:space="0" w:color="auto"/>
              <w:bottom w:val="single" w:sz="4" w:space="0" w:color="auto"/>
              <w:right w:val="single" w:sz="4" w:space="0" w:color="auto"/>
            </w:tcBorders>
          </w:tcPr>
          <w:p w14:paraId="2475B09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lastRenderedPageBreak/>
              <w:t>21.6±0.29</w:t>
            </w:r>
          </w:p>
        </w:tc>
        <w:tc>
          <w:tcPr>
            <w:tcW w:w="423" w:type="pct"/>
            <w:tcBorders>
              <w:top w:val="single" w:sz="4" w:space="0" w:color="auto"/>
              <w:left w:val="single" w:sz="4" w:space="0" w:color="auto"/>
              <w:bottom w:val="single" w:sz="4" w:space="0" w:color="auto"/>
              <w:right w:val="single" w:sz="4" w:space="0" w:color="auto"/>
            </w:tcBorders>
          </w:tcPr>
          <w:p w14:paraId="5204C3E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15.4±0.32</w:t>
            </w:r>
          </w:p>
        </w:tc>
        <w:tc>
          <w:tcPr>
            <w:tcW w:w="583" w:type="pct"/>
            <w:tcBorders>
              <w:top w:val="single" w:sz="4" w:space="0" w:color="auto"/>
              <w:left w:val="single" w:sz="4" w:space="0" w:color="auto"/>
              <w:bottom w:val="single" w:sz="4" w:space="0" w:color="auto"/>
              <w:right w:val="single" w:sz="4" w:space="0" w:color="auto"/>
            </w:tcBorders>
          </w:tcPr>
          <w:p w14:paraId="1BDD8650"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14.7±0.13</w:t>
            </w:r>
          </w:p>
        </w:tc>
        <w:tc>
          <w:tcPr>
            <w:tcW w:w="509" w:type="pct"/>
            <w:tcBorders>
              <w:top w:val="single" w:sz="4" w:space="0" w:color="auto"/>
              <w:left w:val="single" w:sz="4" w:space="0" w:color="auto"/>
              <w:bottom w:val="single" w:sz="4" w:space="0" w:color="auto"/>
              <w:right w:val="single" w:sz="4" w:space="0" w:color="auto"/>
            </w:tcBorders>
          </w:tcPr>
          <w:p w14:paraId="1C76606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21.6±0.28</w:t>
            </w:r>
          </w:p>
        </w:tc>
        <w:tc>
          <w:tcPr>
            <w:tcW w:w="462" w:type="pct"/>
            <w:tcBorders>
              <w:top w:val="single" w:sz="4" w:space="0" w:color="auto"/>
              <w:left w:val="single" w:sz="4" w:space="0" w:color="auto"/>
              <w:bottom w:val="single" w:sz="4" w:space="0" w:color="auto"/>
              <w:right w:val="single" w:sz="4" w:space="0" w:color="auto"/>
            </w:tcBorders>
          </w:tcPr>
          <w:p w14:paraId="045D829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15.6±0.31</w:t>
            </w:r>
          </w:p>
        </w:tc>
        <w:tc>
          <w:tcPr>
            <w:tcW w:w="583" w:type="pct"/>
            <w:tcBorders>
              <w:top w:val="single" w:sz="4" w:space="0" w:color="auto"/>
              <w:left w:val="single" w:sz="4" w:space="0" w:color="auto"/>
              <w:bottom w:val="single" w:sz="4" w:space="0" w:color="auto"/>
              <w:right w:val="single" w:sz="4" w:space="0" w:color="auto"/>
            </w:tcBorders>
          </w:tcPr>
          <w:p w14:paraId="1267007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14.7±0.12</w:t>
            </w:r>
          </w:p>
        </w:tc>
        <w:tc>
          <w:tcPr>
            <w:tcW w:w="509" w:type="pct"/>
            <w:tcBorders>
              <w:top w:val="single" w:sz="4" w:space="0" w:color="auto"/>
              <w:left w:val="single" w:sz="4" w:space="0" w:color="auto"/>
              <w:bottom w:val="single" w:sz="4" w:space="0" w:color="auto"/>
              <w:right w:val="single" w:sz="4" w:space="0" w:color="auto"/>
            </w:tcBorders>
          </w:tcPr>
          <w:p w14:paraId="148AB95E"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19.5±0.31</w:t>
            </w:r>
          </w:p>
        </w:tc>
        <w:tc>
          <w:tcPr>
            <w:tcW w:w="423" w:type="pct"/>
            <w:tcBorders>
              <w:top w:val="single" w:sz="4" w:space="0" w:color="auto"/>
              <w:left w:val="single" w:sz="4" w:space="0" w:color="auto"/>
              <w:bottom w:val="single" w:sz="4" w:space="0" w:color="auto"/>
              <w:right w:val="single" w:sz="4" w:space="0" w:color="auto"/>
            </w:tcBorders>
          </w:tcPr>
          <w:p w14:paraId="28F60B9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14.7±0.12</w:t>
            </w:r>
          </w:p>
        </w:tc>
        <w:tc>
          <w:tcPr>
            <w:tcW w:w="583" w:type="pct"/>
            <w:tcBorders>
              <w:top w:val="single" w:sz="4" w:space="0" w:color="auto"/>
              <w:left w:val="single" w:sz="4" w:space="0" w:color="auto"/>
              <w:bottom w:val="single" w:sz="4" w:space="0" w:color="auto"/>
              <w:right w:val="single" w:sz="4" w:space="0" w:color="auto"/>
            </w:tcBorders>
          </w:tcPr>
          <w:p w14:paraId="02275B6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16.2±0.08</w:t>
            </w:r>
          </w:p>
          <w:p w14:paraId="3AEB2796" w14:textId="77777777" w:rsidR="00275F5A" w:rsidRDefault="00275F5A">
            <w:pPr>
              <w:spacing w:line="240" w:lineRule="auto"/>
              <w:jc w:val="both"/>
              <w:rPr>
                <w:rFonts w:ascii="Arial" w:hAnsi="Arial" w:cs="Arial"/>
                <w:kern w:val="0"/>
                <w:sz w:val="20"/>
                <w:szCs w:val="20"/>
                <w:lang w:val="en-IN"/>
                <w14:ligatures w14:val="none"/>
              </w:rPr>
            </w:pPr>
          </w:p>
        </w:tc>
      </w:tr>
      <w:tr w:rsidR="00275F5A" w14:paraId="6725EF34" w14:textId="77777777">
        <w:trPr>
          <w:trHeight w:val="1097"/>
          <w:jc w:val="center"/>
        </w:trPr>
        <w:tc>
          <w:tcPr>
            <w:tcW w:w="505" w:type="pct"/>
            <w:tcBorders>
              <w:top w:val="single" w:sz="4" w:space="0" w:color="auto"/>
              <w:left w:val="single" w:sz="4" w:space="0" w:color="auto"/>
              <w:bottom w:val="single" w:sz="4" w:space="0" w:color="auto"/>
              <w:right w:val="single" w:sz="4" w:space="0" w:color="auto"/>
            </w:tcBorders>
          </w:tcPr>
          <w:p w14:paraId="294D312A"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77 days</w:t>
            </w:r>
          </w:p>
          <w:p w14:paraId="1163DE3E"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(Slow growth)</w:t>
            </w:r>
          </w:p>
        </w:tc>
        <w:tc>
          <w:tcPr>
            <w:tcW w:w="415" w:type="pct"/>
            <w:tcBorders>
              <w:top w:val="single" w:sz="4" w:space="0" w:color="auto"/>
              <w:left w:val="single" w:sz="4" w:space="0" w:color="auto"/>
              <w:bottom w:val="single" w:sz="4" w:space="0" w:color="auto"/>
              <w:right w:val="single" w:sz="4" w:space="0" w:color="auto"/>
            </w:tcBorders>
          </w:tcPr>
          <w:p w14:paraId="3F51BD0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24.5±0.29</w:t>
            </w:r>
          </w:p>
        </w:tc>
        <w:tc>
          <w:tcPr>
            <w:tcW w:w="423" w:type="pct"/>
            <w:tcBorders>
              <w:top w:val="single" w:sz="4" w:space="0" w:color="auto"/>
              <w:left w:val="single" w:sz="4" w:space="0" w:color="auto"/>
              <w:bottom w:val="single" w:sz="4" w:space="0" w:color="auto"/>
              <w:right w:val="single" w:sz="4" w:space="0" w:color="auto"/>
            </w:tcBorders>
          </w:tcPr>
          <w:p w14:paraId="3DCD7A7A"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14.0±0.41</w:t>
            </w:r>
          </w:p>
        </w:tc>
        <w:tc>
          <w:tcPr>
            <w:tcW w:w="583" w:type="pct"/>
            <w:tcBorders>
              <w:top w:val="single" w:sz="4" w:space="0" w:color="auto"/>
              <w:left w:val="single" w:sz="4" w:space="0" w:color="auto"/>
              <w:bottom w:val="single" w:sz="4" w:space="0" w:color="auto"/>
              <w:right w:val="single" w:sz="4" w:space="0" w:color="auto"/>
            </w:tcBorders>
          </w:tcPr>
          <w:p w14:paraId="0EE0785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21.5±0.30</w:t>
            </w:r>
          </w:p>
        </w:tc>
        <w:tc>
          <w:tcPr>
            <w:tcW w:w="509" w:type="pct"/>
            <w:tcBorders>
              <w:top w:val="single" w:sz="4" w:space="0" w:color="auto"/>
              <w:left w:val="single" w:sz="4" w:space="0" w:color="auto"/>
              <w:bottom w:val="single" w:sz="4" w:space="0" w:color="auto"/>
              <w:right w:val="single" w:sz="4" w:space="0" w:color="auto"/>
            </w:tcBorders>
          </w:tcPr>
          <w:p w14:paraId="5476135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24.4±0.27</w:t>
            </w:r>
          </w:p>
        </w:tc>
        <w:tc>
          <w:tcPr>
            <w:tcW w:w="462" w:type="pct"/>
            <w:tcBorders>
              <w:top w:val="single" w:sz="4" w:space="0" w:color="auto"/>
              <w:left w:val="single" w:sz="4" w:space="0" w:color="auto"/>
              <w:bottom w:val="single" w:sz="4" w:space="0" w:color="auto"/>
              <w:right w:val="single" w:sz="4" w:space="0" w:color="auto"/>
            </w:tcBorders>
          </w:tcPr>
          <w:p w14:paraId="50D02FF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14.1±0.45</w:t>
            </w:r>
          </w:p>
        </w:tc>
        <w:tc>
          <w:tcPr>
            <w:tcW w:w="583" w:type="pct"/>
            <w:tcBorders>
              <w:top w:val="single" w:sz="4" w:space="0" w:color="auto"/>
              <w:left w:val="single" w:sz="4" w:space="0" w:color="auto"/>
              <w:bottom w:val="single" w:sz="4" w:space="0" w:color="auto"/>
              <w:right w:val="single" w:sz="4" w:space="0" w:color="auto"/>
            </w:tcBorders>
          </w:tcPr>
          <w:p w14:paraId="5DCC13C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21.6±0.24</w:t>
            </w:r>
          </w:p>
        </w:tc>
        <w:tc>
          <w:tcPr>
            <w:tcW w:w="509" w:type="pct"/>
            <w:tcBorders>
              <w:top w:val="single" w:sz="4" w:space="0" w:color="auto"/>
              <w:left w:val="single" w:sz="4" w:space="0" w:color="auto"/>
              <w:bottom w:val="single" w:sz="4" w:space="0" w:color="auto"/>
              <w:right w:val="single" w:sz="4" w:space="0" w:color="auto"/>
            </w:tcBorders>
          </w:tcPr>
          <w:p w14:paraId="791EBFD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20.3±0.15</w:t>
            </w:r>
          </w:p>
        </w:tc>
        <w:tc>
          <w:tcPr>
            <w:tcW w:w="423" w:type="pct"/>
            <w:tcBorders>
              <w:top w:val="single" w:sz="4" w:space="0" w:color="auto"/>
              <w:left w:val="single" w:sz="4" w:space="0" w:color="auto"/>
              <w:bottom w:val="single" w:sz="4" w:space="0" w:color="auto"/>
              <w:right w:val="single" w:sz="4" w:space="0" w:color="auto"/>
            </w:tcBorders>
          </w:tcPr>
          <w:p w14:paraId="2BB23DB9"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16.7±0.16</w:t>
            </w:r>
          </w:p>
        </w:tc>
        <w:tc>
          <w:tcPr>
            <w:tcW w:w="583" w:type="pct"/>
            <w:tcBorders>
              <w:top w:val="single" w:sz="4" w:space="0" w:color="auto"/>
              <w:left w:val="single" w:sz="4" w:space="0" w:color="auto"/>
              <w:bottom w:val="single" w:sz="4" w:space="0" w:color="auto"/>
              <w:right w:val="single" w:sz="4" w:space="0" w:color="auto"/>
            </w:tcBorders>
          </w:tcPr>
          <w:p w14:paraId="6FF6B90C"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24.4±0.24</w:t>
            </w:r>
          </w:p>
        </w:tc>
      </w:tr>
      <w:tr w:rsidR="00275F5A" w14:paraId="6F912922" w14:textId="77777777">
        <w:trPr>
          <w:trHeight w:val="467"/>
          <w:jc w:val="center"/>
        </w:trPr>
        <w:tc>
          <w:tcPr>
            <w:tcW w:w="505" w:type="pct"/>
            <w:tcBorders>
              <w:top w:val="single" w:sz="4" w:space="0" w:color="auto"/>
              <w:left w:val="single" w:sz="4" w:space="0" w:color="auto"/>
              <w:bottom w:val="single" w:sz="4" w:space="0" w:color="auto"/>
              <w:right w:val="single" w:sz="4" w:space="0" w:color="auto"/>
            </w:tcBorders>
          </w:tcPr>
          <w:p w14:paraId="355682D2"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105 days</w:t>
            </w:r>
          </w:p>
        </w:tc>
        <w:tc>
          <w:tcPr>
            <w:tcW w:w="415" w:type="pct"/>
            <w:tcBorders>
              <w:top w:val="single" w:sz="4" w:space="0" w:color="auto"/>
              <w:left w:val="single" w:sz="4" w:space="0" w:color="auto"/>
              <w:bottom w:val="single" w:sz="4" w:space="0" w:color="auto"/>
              <w:right w:val="single" w:sz="4" w:space="0" w:color="auto"/>
            </w:tcBorders>
          </w:tcPr>
          <w:p w14:paraId="52E57F7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39.5±0.36</w:t>
            </w:r>
          </w:p>
        </w:tc>
        <w:tc>
          <w:tcPr>
            <w:tcW w:w="423" w:type="pct"/>
            <w:tcBorders>
              <w:top w:val="single" w:sz="4" w:space="0" w:color="auto"/>
              <w:left w:val="single" w:sz="4" w:space="0" w:color="auto"/>
              <w:bottom w:val="single" w:sz="4" w:space="0" w:color="auto"/>
              <w:right w:val="single" w:sz="4" w:space="0" w:color="auto"/>
            </w:tcBorders>
          </w:tcPr>
          <w:p w14:paraId="4957D584"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18.3±0.51</w:t>
            </w:r>
          </w:p>
        </w:tc>
        <w:tc>
          <w:tcPr>
            <w:tcW w:w="583" w:type="pct"/>
            <w:tcBorders>
              <w:top w:val="single" w:sz="4" w:space="0" w:color="auto"/>
              <w:left w:val="single" w:sz="4" w:space="0" w:color="auto"/>
              <w:bottom w:val="single" w:sz="4" w:space="0" w:color="auto"/>
              <w:right w:val="single" w:sz="4" w:space="0" w:color="auto"/>
            </w:tcBorders>
          </w:tcPr>
          <w:p w14:paraId="49A7084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29.4±0.38</w:t>
            </w:r>
          </w:p>
        </w:tc>
        <w:tc>
          <w:tcPr>
            <w:tcW w:w="509" w:type="pct"/>
            <w:tcBorders>
              <w:top w:val="single" w:sz="4" w:space="0" w:color="auto"/>
              <w:left w:val="single" w:sz="4" w:space="0" w:color="auto"/>
              <w:bottom w:val="single" w:sz="4" w:space="0" w:color="auto"/>
              <w:right w:val="single" w:sz="4" w:space="0" w:color="auto"/>
            </w:tcBorders>
          </w:tcPr>
          <w:p w14:paraId="27F4CDF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39.6±0.36</w:t>
            </w:r>
          </w:p>
        </w:tc>
        <w:tc>
          <w:tcPr>
            <w:tcW w:w="462" w:type="pct"/>
            <w:tcBorders>
              <w:top w:val="single" w:sz="4" w:space="0" w:color="auto"/>
              <w:left w:val="single" w:sz="4" w:space="0" w:color="auto"/>
              <w:bottom w:val="single" w:sz="4" w:space="0" w:color="auto"/>
              <w:right w:val="single" w:sz="4" w:space="0" w:color="auto"/>
            </w:tcBorders>
          </w:tcPr>
          <w:p w14:paraId="758ECF47"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18.4±0.47</w:t>
            </w:r>
          </w:p>
        </w:tc>
        <w:tc>
          <w:tcPr>
            <w:tcW w:w="583" w:type="pct"/>
            <w:tcBorders>
              <w:top w:val="single" w:sz="4" w:space="0" w:color="auto"/>
              <w:left w:val="single" w:sz="4" w:space="0" w:color="auto"/>
              <w:bottom w:val="single" w:sz="4" w:space="0" w:color="auto"/>
              <w:right w:val="single" w:sz="4" w:space="0" w:color="auto"/>
            </w:tcBorders>
          </w:tcPr>
          <w:p w14:paraId="02B2C05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29.7±0.31</w:t>
            </w:r>
          </w:p>
        </w:tc>
        <w:tc>
          <w:tcPr>
            <w:tcW w:w="509" w:type="pct"/>
            <w:tcBorders>
              <w:top w:val="single" w:sz="4" w:space="0" w:color="auto"/>
              <w:left w:val="single" w:sz="4" w:space="0" w:color="auto"/>
              <w:bottom w:val="single" w:sz="4" w:space="0" w:color="auto"/>
              <w:right w:val="single" w:sz="4" w:space="0" w:color="auto"/>
            </w:tcBorders>
          </w:tcPr>
          <w:p w14:paraId="1E8AAD71"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31.6±0.19</w:t>
            </w:r>
          </w:p>
          <w:p w14:paraId="492C92FB" w14:textId="77777777" w:rsidR="00275F5A" w:rsidRDefault="00275F5A">
            <w:pPr>
              <w:spacing w:line="240" w:lineRule="auto"/>
              <w:jc w:val="both"/>
              <w:rPr>
                <w:rFonts w:ascii="Arial" w:hAnsi="Arial" w:cs="Arial"/>
                <w:kern w:val="0"/>
                <w:sz w:val="20"/>
                <w:szCs w:val="20"/>
                <w:lang w:val="en-IN"/>
                <w14:ligatures w14:val="none"/>
              </w:rPr>
            </w:pPr>
          </w:p>
        </w:tc>
        <w:tc>
          <w:tcPr>
            <w:tcW w:w="423" w:type="pct"/>
            <w:tcBorders>
              <w:top w:val="single" w:sz="4" w:space="0" w:color="auto"/>
              <w:left w:val="single" w:sz="4" w:space="0" w:color="auto"/>
              <w:bottom w:val="single" w:sz="4" w:space="0" w:color="auto"/>
              <w:right w:val="single" w:sz="4" w:space="0" w:color="auto"/>
            </w:tcBorders>
          </w:tcPr>
          <w:p w14:paraId="4E0F8A3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18.6±0.24</w:t>
            </w:r>
          </w:p>
        </w:tc>
        <w:tc>
          <w:tcPr>
            <w:tcW w:w="583" w:type="pct"/>
            <w:tcBorders>
              <w:top w:val="single" w:sz="4" w:space="0" w:color="auto"/>
              <w:left w:val="single" w:sz="4" w:space="0" w:color="auto"/>
              <w:bottom w:val="single" w:sz="4" w:space="0" w:color="auto"/>
              <w:right w:val="single" w:sz="4" w:space="0" w:color="auto"/>
            </w:tcBorders>
          </w:tcPr>
          <w:p w14:paraId="453724F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32.2±0.11</w:t>
            </w:r>
          </w:p>
        </w:tc>
      </w:tr>
      <w:tr w:rsidR="00275F5A" w14:paraId="4E0EC2FA" w14:textId="77777777">
        <w:trPr>
          <w:trHeight w:val="58"/>
          <w:jc w:val="center"/>
        </w:trPr>
        <w:tc>
          <w:tcPr>
            <w:tcW w:w="505" w:type="pct"/>
            <w:tcBorders>
              <w:top w:val="single" w:sz="4" w:space="0" w:color="auto"/>
              <w:left w:val="single" w:sz="4" w:space="0" w:color="auto"/>
              <w:bottom w:val="single" w:sz="4" w:space="0" w:color="auto"/>
              <w:right w:val="single" w:sz="4" w:space="0" w:color="auto"/>
            </w:tcBorders>
          </w:tcPr>
          <w:p w14:paraId="2EE3F9A9"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126 days</w:t>
            </w:r>
          </w:p>
          <w:p w14:paraId="7AED890E"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(full maturity)</w:t>
            </w:r>
          </w:p>
        </w:tc>
        <w:tc>
          <w:tcPr>
            <w:tcW w:w="415" w:type="pct"/>
            <w:tcBorders>
              <w:top w:val="single" w:sz="4" w:space="0" w:color="auto"/>
              <w:left w:val="single" w:sz="4" w:space="0" w:color="auto"/>
              <w:bottom w:val="single" w:sz="4" w:space="0" w:color="auto"/>
              <w:right w:val="single" w:sz="4" w:space="0" w:color="auto"/>
            </w:tcBorders>
          </w:tcPr>
          <w:p w14:paraId="05AFD4ED"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41.6±02.9</w:t>
            </w:r>
          </w:p>
        </w:tc>
        <w:tc>
          <w:tcPr>
            <w:tcW w:w="423" w:type="pct"/>
            <w:tcBorders>
              <w:top w:val="single" w:sz="4" w:space="0" w:color="auto"/>
              <w:left w:val="single" w:sz="4" w:space="0" w:color="auto"/>
              <w:bottom w:val="single" w:sz="4" w:space="0" w:color="auto"/>
              <w:right w:val="single" w:sz="4" w:space="0" w:color="auto"/>
            </w:tcBorders>
          </w:tcPr>
          <w:p w14:paraId="45883EDF"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24.8±0.17</w:t>
            </w:r>
          </w:p>
        </w:tc>
        <w:tc>
          <w:tcPr>
            <w:tcW w:w="583" w:type="pct"/>
            <w:tcBorders>
              <w:top w:val="single" w:sz="4" w:space="0" w:color="auto"/>
              <w:left w:val="single" w:sz="4" w:space="0" w:color="auto"/>
              <w:bottom w:val="single" w:sz="4" w:space="0" w:color="auto"/>
              <w:right w:val="single" w:sz="4" w:space="0" w:color="auto"/>
            </w:tcBorders>
          </w:tcPr>
          <w:p w14:paraId="16E0C263"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44.5±0.27</w:t>
            </w:r>
          </w:p>
        </w:tc>
        <w:tc>
          <w:tcPr>
            <w:tcW w:w="509" w:type="pct"/>
            <w:tcBorders>
              <w:top w:val="single" w:sz="4" w:space="0" w:color="auto"/>
              <w:left w:val="single" w:sz="4" w:space="0" w:color="auto"/>
              <w:bottom w:val="single" w:sz="4" w:space="0" w:color="auto"/>
              <w:right w:val="single" w:sz="4" w:space="0" w:color="auto"/>
            </w:tcBorders>
          </w:tcPr>
          <w:p w14:paraId="478E0D7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41.6±0.24</w:t>
            </w:r>
          </w:p>
        </w:tc>
        <w:tc>
          <w:tcPr>
            <w:tcW w:w="462" w:type="pct"/>
            <w:tcBorders>
              <w:top w:val="single" w:sz="4" w:space="0" w:color="auto"/>
              <w:left w:val="single" w:sz="4" w:space="0" w:color="auto"/>
              <w:bottom w:val="single" w:sz="4" w:space="0" w:color="auto"/>
              <w:right w:val="single" w:sz="4" w:space="0" w:color="auto"/>
            </w:tcBorders>
          </w:tcPr>
          <w:p w14:paraId="2FA8066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24.6±0.23</w:t>
            </w:r>
          </w:p>
        </w:tc>
        <w:tc>
          <w:tcPr>
            <w:tcW w:w="583" w:type="pct"/>
            <w:tcBorders>
              <w:top w:val="single" w:sz="4" w:space="0" w:color="auto"/>
              <w:left w:val="single" w:sz="4" w:space="0" w:color="auto"/>
              <w:bottom w:val="single" w:sz="4" w:space="0" w:color="auto"/>
              <w:right w:val="single" w:sz="4" w:space="0" w:color="auto"/>
            </w:tcBorders>
          </w:tcPr>
          <w:p w14:paraId="5C0A1AF2"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44.7±0.20</w:t>
            </w:r>
          </w:p>
        </w:tc>
        <w:tc>
          <w:tcPr>
            <w:tcW w:w="509" w:type="pct"/>
            <w:tcBorders>
              <w:top w:val="single" w:sz="4" w:space="0" w:color="auto"/>
              <w:left w:val="single" w:sz="4" w:space="0" w:color="auto"/>
              <w:bottom w:val="single" w:sz="4" w:space="0" w:color="auto"/>
              <w:right w:val="single" w:sz="4" w:space="0" w:color="auto"/>
            </w:tcBorders>
          </w:tcPr>
          <w:p w14:paraId="0AB88FFB"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39.7±0.14</w:t>
            </w:r>
          </w:p>
        </w:tc>
        <w:tc>
          <w:tcPr>
            <w:tcW w:w="423" w:type="pct"/>
            <w:tcBorders>
              <w:top w:val="single" w:sz="4" w:space="0" w:color="auto"/>
              <w:left w:val="single" w:sz="4" w:space="0" w:color="auto"/>
              <w:bottom w:val="single" w:sz="4" w:space="0" w:color="auto"/>
              <w:right w:val="single" w:sz="4" w:space="0" w:color="auto"/>
            </w:tcBorders>
          </w:tcPr>
          <w:p w14:paraId="6578506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20.1±0.14</w:t>
            </w:r>
          </w:p>
        </w:tc>
        <w:tc>
          <w:tcPr>
            <w:tcW w:w="583" w:type="pct"/>
            <w:tcBorders>
              <w:top w:val="single" w:sz="4" w:space="0" w:color="auto"/>
              <w:left w:val="single" w:sz="4" w:space="0" w:color="auto"/>
              <w:bottom w:val="single" w:sz="4" w:space="0" w:color="auto"/>
              <w:right w:val="single" w:sz="4" w:space="0" w:color="auto"/>
            </w:tcBorders>
          </w:tcPr>
          <w:p w14:paraId="53B12615" w14:textId="77777777" w:rsidR="00275F5A" w:rsidRDefault="00CF3A5E">
            <w:pPr>
              <w:spacing w:line="240" w:lineRule="auto"/>
              <w:jc w:val="both"/>
              <w:rPr>
                <w:rFonts w:ascii="Arial" w:hAnsi="Arial" w:cs="Arial"/>
                <w:kern w:val="0"/>
                <w:sz w:val="20"/>
                <w:szCs w:val="20"/>
                <w:lang w:val="en-IN"/>
                <w14:ligatures w14:val="none"/>
              </w:rPr>
            </w:pPr>
            <w:r>
              <w:rPr>
                <w:rFonts w:ascii="Arial" w:hAnsi="Arial" w:cs="Arial"/>
                <w:kern w:val="0"/>
                <w:sz w:val="20"/>
                <w:szCs w:val="20"/>
                <w:lang w:val="en-IN"/>
                <w14:ligatures w14:val="none"/>
              </w:rPr>
              <w:t>36.3±0.22</w:t>
            </w:r>
          </w:p>
        </w:tc>
      </w:tr>
      <w:tr w:rsidR="00275F5A" w14:paraId="584B7547" w14:textId="77777777">
        <w:trPr>
          <w:trHeight w:val="334"/>
          <w:jc w:val="center"/>
        </w:trPr>
        <w:tc>
          <w:tcPr>
            <w:tcW w:w="505" w:type="pct"/>
            <w:tcBorders>
              <w:top w:val="single" w:sz="4" w:space="0" w:color="auto"/>
              <w:left w:val="single" w:sz="4" w:space="0" w:color="auto"/>
              <w:bottom w:val="single" w:sz="4" w:space="0" w:color="auto"/>
              <w:right w:val="single" w:sz="4" w:space="0" w:color="auto"/>
            </w:tcBorders>
          </w:tcPr>
          <w:p w14:paraId="275AD85F"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Net length gain</w:t>
            </w:r>
          </w:p>
        </w:tc>
        <w:tc>
          <w:tcPr>
            <w:tcW w:w="415" w:type="pct"/>
            <w:tcBorders>
              <w:top w:val="single" w:sz="4" w:space="0" w:color="auto"/>
              <w:left w:val="single" w:sz="4" w:space="0" w:color="auto"/>
              <w:bottom w:val="single" w:sz="4" w:space="0" w:color="auto"/>
              <w:right w:val="single" w:sz="4" w:space="0" w:color="auto"/>
            </w:tcBorders>
          </w:tcPr>
          <w:p w14:paraId="632B8F66"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40.35</w:t>
            </w:r>
          </w:p>
        </w:tc>
        <w:tc>
          <w:tcPr>
            <w:tcW w:w="423" w:type="pct"/>
            <w:tcBorders>
              <w:top w:val="single" w:sz="4" w:space="0" w:color="auto"/>
              <w:left w:val="single" w:sz="4" w:space="0" w:color="auto"/>
              <w:bottom w:val="single" w:sz="4" w:space="0" w:color="auto"/>
              <w:right w:val="single" w:sz="4" w:space="0" w:color="auto"/>
            </w:tcBorders>
          </w:tcPr>
          <w:p w14:paraId="1929228F"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23.43</w:t>
            </w:r>
          </w:p>
        </w:tc>
        <w:tc>
          <w:tcPr>
            <w:tcW w:w="583" w:type="pct"/>
            <w:tcBorders>
              <w:top w:val="single" w:sz="4" w:space="0" w:color="auto"/>
              <w:left w:val="single" w:sz="4" w:space="0" w:color="auto"/>
              <w:bottom w:val="single" w:sz="4" w:space="0" w:color="auto"/>
              <w:right w:val="single" w:sz="4" w:space="0" w:color="auto"/>
            </w:tcBorders>
          </w:tcPr>
          <w:p w14:paraId="5A1F8E02"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43.19</w:t>
            </w:r>
          </w:p>
        </w:tc>
        <w:tc>
          <w:tcPr>
            <w:tcW w:w="509" w:type="pct"/>
            <w:tcBorders>
              <w:top w:val="single" w:sz="4" w:space="0" w:color="auto"/>
              <w:left w:val="single" w:sz="4" w:space="0" w:color="auto"/>
              <w:bottom w:val="single" w:sz="4" w:space="0" w:color="auto"/>
              <w:right w:val="single" w:sz="4" w:space="0" w:color="auto"/>
            </w:tcBorders>
          </w:tcPr>
          <w:p w14:paraId="0797B633"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40.39</w:t>
            </w:r>
          </w:p>
        </w:tc>
        <w:tc>
          <w:tcPr>
            <w:tcW w:w="462" w:type="pct"/>
            <w:tcBorders>
              <w:top w:val="single" w:sz="4" w:space="0" w:color="auto"/>
              <w:left w:val="single" w:sz="4" w:space="0" w:color="auto"/>
              <w:bottom w:val="single" w:sz="4" w:space="0" w:color="auto"/>
              <w:right w:val="single" w:sz="4" w:space="0" w:color="auto"/>
            </w:tcBorders>
          </w:tcPr>
          <w:p w14:paraId="62358357"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23.3</w:t>
            </w:r>
          </w:p>
        </w:tc>
        <w:tc>
          <w:tcPr>
            <w:tcW w:w="583" w:type="pct"/>
            <w:tcBorders>
              <w:top w:val="single" w:sz="4" w:space="0" w:color="auto"/>
              <w:left w:val="single" w:sz="4" w:space="0" w:color="auto"/>
              <w:bottom w:val="single" w:sz="4" w:space="0" w:color="auto"/>
              <w:right w:val="single" w:sz="4" w:space="0" w:color="auto"/>
            </w:tcBorders>
          </w:tcPr>
          <w:p w14:paraId="39FC7F04"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43.32</w:t>
            </w:r>
          </w:p>
        </w:tc>
        <w:tc>
          <w:tcPr>
            <w:tcW w:w="509" w:type="pct"/>
            <w:tcBorders>
              <w:top w:val="single" w:sz="4" w:space="0" w:color="auto"/>
              <w:left w:val="single" w:sz="4" w:space="0" w:color="auto"/>
              <w:bottom w:val="single" w:sz="4" w:space="0" w:color="auto"/>
              <w:right w:val="single" w:sz="4" w:space="0" w:color="auto"/>
            </w:tcBorders>
          </w:tcPr>
          <w:p w14:paraId="26A19133"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38.34</w:t>
            </w:r>
          </w:p>
        </w:tc>
        <w:tc>
          <w:tcPr>
            <w:tcW w:w="423" w:type="pct"/>
            <w:tcBorders>
              <w:top w:val="single" w:sz="4" w:space="0" w:color="auto"/>
              <w:left w:val="single" w:sz="4" w:space="0" w:color="auto"/>
              <w:bottom w:val="single" w:sz="4" w:space="0" w:color="auto"/>
              <w:right w:val="single" w:sz="4" w:space="0" w:color="auto"/>
            </w:tcBorders>
          </w:tcPr>
          <w:p w14:paraId="1F4C15B7"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18.88</w:t>
            </w:r>
          </w:p>
        </w:tc>
        <w:tc>
          <w:tcPr>
            <w:tcW w:w="583" w:type="pct"/>
            <w:tcBorders>
              <w:top w:val="single" w:sz="4" w:space="0" w:color="auto"/>
              <w:left w:val="single" w:sz="4" w:space="0" w:color="auto"/>
              <w:bottom w:val="single" w:sz="4" w:space="0" w:color="auto"/>
              <w:right w:val="single" w:sz="4" w:space="0" w:color="auto"/>
            </w:tcBorders>
          </w:tcPr>
          <w:p w14:paraId="44E9CC32" w14:textId="77777777" w:rsidR="00275F5A" w:rsidRDefault="00CF3A5E">
            <w:pPr>
              <w:spacing w:line="240" w:lineRule="auto"/>
              <w:jc w:val="both"/>
              <w:rPr>
                <w:rFonts w:ascii="Arial" w:hAnsi="Arial" w:cs="Arial"/>
                <w:b/>
                <w:bCs/>
                <w:kern w:val="0"/>
                <w:sz w:val="20"/>
                <w:szCs w:val="20"/>
                <w:lang w:val="en-IN"/>
                <w14:ligatures w14:val="none"/>
              </w:rPr>
            </w:pPr>
            <w:r>
              <w:rPr>
                <w:rFonts w:ascii="Arial" w:hAnsi="Arial" w:cs="Arial"/>
                <w:b/>
                <w:bCs/>
                <w:kern w:val="0"/>
                <w:sz w:val="20"/>
                <w:szCs w:val="20"/>
                <w:lang w:val="en-IN"/>
                <w14:ligatures w14:val="none"/>
              </w:rPr>
              <w:t>35.01</w:t>
            </w:r>
          </w:p>
        </w:tc>
      </w:tr>
    </w:tbl>
    <w:p w14:paraId="61DEF9D6" w14:textId="77777777" w:rsidR="00275F5A" w:rsidRDefault="00275F5A">
      <w:pPr>
        <w:spacing w:line="240" w:lineRule="auto"/>
        <w:jc w:val="both"/>
        <w:rPr>
          <w:rFonts w:ascii="Arial" w:hAnsi="Arial" w:cs="Arial"/>
          <w:b/>
          <w:bCs/>
          <w:sz w:val="20"/>
          <w:szCs w:val="20"/>
        </w:rPr>
      </w:pPr>
    </w:p>
    <w:p w14:paraId="422366CD"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3.6Comparative Analysis of Plant species</w:t>
      </w:r>
    </w:p>
    <w:p w14:paraId="632B9B11" w14:textId="77777777" w:rsidR="00275F5A" w:rsidRDefault="00CF3A5E">
      <w:pPr>
        <w:spacing w:line="240" w:lineRule="auto"/>
        <w:jc w:val="both"/>
        <w:rPr>
          <w:rFonts w:ascii="Arial" w:hAnsi="Arial" w:cs="Arial"/>
          <w:i/>
          <w:iCs/>
          <w:sz w:val="20"/>
          <w:szCs w:val="20"/>
        </w:rPr>
      </w:pPr>
      <w:r>
        <w:rPr>
          <w:rFonts w:ascii="Arial" w:hAnsi="Arial" w:cs="Arial"/>
          <w:sz w:val="20"/>
          <w:szCs w:val="20"/>
        </w:rPr>
        <w:t xml:space="preserve">The comparative analysis of plant species growth under aquaponics and field conditions revealed a consistent trend of enhanced development within the aquaponic environment. </w:t>
      </w:r>
      <w:r>
        <w:rPr>
          <w:rFonts w:ascii="Arial" w:hAnsi="Arial" w:cs="Arial"/>
          <w:i/>
          <w:iCs/>
          <w:sz w:val="20"/>
          <w:szCs w:val="20"/>
        </w:rPr>
        <w:t xml:space="preserve">Chenopodium album </w:t>
      </w:r>
      <w:r>
        <w:rPr>
          <w:rFonts w:ascii="Arial" w:hAnsi="Arial" w:cs="Arial"/>
          <w:sz w:val="20"/>
          <w:szCs w:val="20"/>
        </w:rPr>
        <w:t xml:space="preserve">exhibited the most pronounced difference with a substantial height increase of approximately 9 cm compared to its field counterpart highlighted the benefits of continuous nutrient availability and optimal water conditions in the aquaponic system. Similarly, </w:t>
      </w:r>
      <w:r>
        <w:rPr>
          <w:rFonts w:ascii="Arial" w:hAnsi="Arial" w:cs="Arial"/>
          <w:i/>
          <w:iCs/>
          <w:sz w:val="20"/>
          <w:szCs w:val="20"/>
        </w:rPr>
        <w:t>Coriandrum sativum</w:t>
      </w:r>
      <w:r>
        <w:rPr>
          <w:rFonts w:ascii="Arial" w:hAnsi="Arial" w:cs="Arial"/>
          <w:sz w:val="20"/>
          <w:szCs w:val="20"/>
        </w:rPr>
        <w:t xml:space="preserve"> thrived slightly better in aquaponics, suggesting that even moderately demanding crops respond positively to the system's balanced ecological setup. Although </w:t>
      </w:r>
      <w:r>
        <w:rPr>
          <w:rFonts w:ascii="Arial" w:hAnsi="Arial" w:cs="Arial"/>
          <w:i/>
          <w:iCs/>
          <w:sz w:val="20"/>
          <w:szCs w:val="20"/>
        </w:rPr>
        <w:t>Spinacia oleracea</w:t>
      </w:r>
      <w:r>
        <w:rPr>
          <w:rFonts w:ascii="Arial" w:hAnsi="Arial" w:cs="Arial"/>
          <w:sz w:val="20"/>
          <w:szCs w:val="20"/>
        </w:rPr>
        <w:t xml:space="preserve"> displayed the least variation in height its improved performance in aquaponics still underscored the system’s efficiency in supporting diverse plant types. Overall, the data affirmed aquaponics as a promising alternative to conventional agriculture capable of boosting plant productivity through resource-efficient and environmentally controlled cultivation practices (Fig. 5).</w:t>
      </w:r>
    </w:p>
    <w:p w14:paraId="1AE8B7CA" w14:textId="77777777" w:rsidR="00275F5A" w:rsidRDefault="00CF3A5E">
      <w:pPr>
        <w:spacing w:line="240" w:lineRule="auto"/>
        <w:jc w:val="both"/>
        <w:rPr>
          <w:rFonts w:ascii="Arial" w:hAnsi="Arial" w:cs="Arial"/>
          <w:i/>
          <w:iCs/>
          <w:sz w:val="20"/>
          <w:szCs w:val="20"/>
        </w:rPr>
      </w:pPr>
      <w:r>
        <w:rPr>
          <w:rFonts w:ascii="Arial" w:hAnsi="Arial" w:cs="Arial"/>
          <w:i/>
          <w:noProof/>
          <w:sz w:val="20"/>
          <w:szCs w:val="20"/>
        </w:rPr>
        <w:drawing>
          <wp:inline distT="0" distB="0" distL="0" distR="0" wp14:anchorId="21FFAF32" wp14:editId="68F0CCF4">
            <wp:extent cx="5501640" cy="2141220"/>
            <wp:effectExtent l="0" t="0" r="3810" b="11430"/>
            <wp:docPr id="19480159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DF8756" w14:textId="77777777" w:rsidR="00275F5A" w:rsidRDefault="00CF3A5E">
      <w:pPr>
        <w:spacing w:line="240" w:lineRule="auto"/>
        <w:jc w:val="both"/>
        <w:rPr>
          <w:rFonts w:ascii="Arial" w:hAnsi="Arial" w:cs="Arial"/>
          <w:b/>
          <w:bCs/>
          <w:sz w:val="20"/>
          <w:szCs w:val="20"/>
          <w:lang w:val="en-IN"/>
        </w:rPr>
      </w:pPr>
      <w:r>
        <w:rPr>
          <w:rFonts w:ascii="Arial" w:hAnsi="Arial" w:cs="Arial"/>
          <w:b/>
          <w:bCs/>
          <w:sz w:val="20"/>
          <w:szCs w:val="20"/>
          <w:lang w:val="en-IN"/>
        </w:rPr>
        <w:t>Fig. 5: Comparison of plant growth in Aquaponics Tanks and Field</w:t>
      </w:r>
    </w:p>
    <w:p w14:paraId="5657EEF8" w14:textId="77777777" w:rsidR="00275F5A" w:rsidRDefault="00275F5A">
      <w:pPr>
        <w:spacing w:line="240" w:lineRule="auto"/>
        <w:jc w:val="both"/>
        <w:rPr>
          <w:rFonts w:ascii="Arial" w:hAnsi="Arial" w:cs="Arial"/>
          <w:b/>
          <w:bCs/>
          <w:i/>
          <w:iCs/>
          <w:sz w:val="20"/>
          <w:szCs w:val="20"/>
          <w:lang w:val="en-IN"/>
        </w:rPr>
      </w:pPr>
    </w:p>
    <w:p w14:paraId="06777C56" w14:textId="77777777" w:rsidR="00275F5A" w:rsidRDefault="00CF3A5E">
      <w:pPr>
        <w:spacing w:line="240" w:lineRule="auto"/>
        <w:jc w:val="both"/>
        <w:rPr>
          <w:rFonts w:ascii="Arial" w:hAnsi="Arial" w:cs="Arial"/>
          <w:b/>
          <w:bCs/>
          <w:sz w:val="20"/>
          <w:szCs w:val="20"/>
          <w:lang w:val="en-IN"/>
        </w:rPr>
      </w:pPr>
      <w:r>
        <w:rPr>
          <w:rFonts w:ascii="Arial" w:hAnsi="Arial" w:cs="Arial"/>
          <w:b/>
          <w:bCs/>
          <w:sz w:val="20"/>
          <w:szCs w:val="20"/>
          <w:lang w:val="en-IN"/>
        </w:rPr>
        <w:lastRenderedPageBreak/>
        <w:t>4.DISCUSSION</w:t>
      </w:r>
    </w:p>
    <w:p w14:paraId="30E9935C" w14:textId="77777777" w:rsidR="00275F5A" w:rsidRDefault="00CF3A5E">
      <w:pPr>
        <w:spacing w:line="240" w:lineRule="auto"/>
        <w:jc w:val="both"/>
        <w:rPr>
          <w:rFonts w:ascii="Arial" w:hAnsi="Arial" w:cs="Arial"/>
          <w:sz w:val="20"/>
          <w:szCs w:val="20"/>
        </w:rPr>
      </w:pPr>
      <w:r>
        <w:rPr>
          <w:rFonts w:ascii="Arial" w:hAnsi="Arial" w:cs="Arial"/>
          <w:color w:val="FF0000"/>
          <w:sz w:val="20"/>
          <w:szCs w:val="20"/>
        </w:rPr>
        <w:t xml:space="preserve">The findings of this study indicate that aquaponic systems outperform traditional pond and field methods in sustaining optimal water parameters, facilitating better fish growth, and enhancing overall plant yield. </w:t>
      </w:r>
      <w:r>
        <w:rPr>
          <w:rFonts w:ascii="Arial" w:hAnsi="Arial" w:cs="Arial"/>
          <w:sz w:val="20"/>
          <w:szCs w:val="20"/>
        </w:rPr>
        <w:t>Throughout the experimental period, key water parameters in the aquaponic system—such as pH (7.4–7.9), electrical conductivity (153.9–162.8 µS/cm), dissolved oxygen (6.59 ± 0.16 mg/L), and alkalinity (114.28 ± 7.04 mg/L)—remained within optimal ranges for aquaculture and plant cultivation. These findings aligned with the recommended standards for recirculating aquaculture systems and highlighted aquaponics’ capability to regulate water conditions through natural filtration and nutrient cycling (Rakocy et al., 2006; Boyd,2015). The pH range, although slightly higher than ideal for plants remained within the tolerable limits for both fish and flora thereby ensuring system sustainability (Sharma et al., 2025).</w:t>
      </w:r>
    </w:p>
    <w:p w14:paraId="0BC6F908"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In terms of fish performance, </w:t>
      </w:r>
      <w:r>
        <w:rPr>
          <w:rFonts w:ascii="Arial" w:hAnsi="Arial" w:cs="Arial"/>
          <w:i/>
          <w:iCs/>
          <w:sz w:val="20"/>
          <w:szCs w:val="20"/>
        </w:rPr>
        <w:t xml:space="preserve">Cyprinus carpio </w:t>
      </w:r>
      <w:r>
        <w:rPr>
          <w:rFonts w:ascii="Arial" w:hAnsi="Arial" w:cs="Arial"/>
          <w:sz w:val="20"/>
          <w:szCs w:val="20"/>
        </w:rPr>
        <w:t>and</w:t>
      </w:r>
      <w:r>
        <w:rPr>
          <w:rFonts w:ascii="Arial" w:hAnsi="Arial" w:cs="Arial"/>
          <w:i/>
          <w:iCs/>
          <w:sz w:val="20"/>
          <w:szCs w:val="20"/>
        </w:rPr>
        <w:t xml:space="preserve"> Ctenopharyngodon idella</w:t>
      </w:r>
      <w:r>
        <w:rPr>
          <w:rFonts w:ascii="Arial" w:hAnsi="Arial" w:cs="Arial"/>
          <w:sz w:val="20"/>
          <w:szCs w:val="20"/>
        </w:rPr>
        <w:t xml:space="preserve"> both showed steady growth throughout the 18-week experimental period </w:t>
      </w:r>
      <w:r>
        <w:rPr>
          <w:rFonts w:ascii="Arial" w:hAnsi="Arial" w:cs="Arial"/>
          <w:i/>
          <w:iCs/>
          <w:sz w:val="20"/>
          <w:szCs w:val="20"/>
        </w:rPr>
        <w:t>Ctenopharyngodon idella</w:t>
      </w:r>
      <w:r>
        <w:rPr>
          <w:rFonts w:ascii="Arial" w:hAnsi="Arial" w:cs="Arial"/>
          <w:sz w:val="20"/>
          <w:szCs w:val="20"/>
        </w:rPr>
        <w:t xml:space="preserve"> attained a higher net weight gain (141.3 g) and SGR (0.0100), while </w:t>
      </w:r>
      <w:r>
        <w:rPr>
          <w:rFonts w:ascii="Arial" w:hAnsi="Arial" w:cs="Arial"/>
          <w:i/>
          <w:iCs/>
          <w:sz w:val="20"/>
          <w:szCs w:val="20"/>
        </w:rPr>
        <w:t>Cyprinus carpio</w:t>
      </w:r>
      <w:r>
        <w:rPr>
          <w:rFonts w:ascii="Arial" w:hAnsi="Arial" w:cs="Arial"/>
          <w:sz w:val="20"/>
          <w:szCs w:val="20"/>
        </w:rPr>
        <w:t xml:space="preserve"> demonstrated more efficient feed utilization with a lower FCR of 2.68 compared to 3.34. These results indicate species-specific metabolic efficiencies and suggested that carp particularly </w:t>
      </w:r>
      <w:r>
        <w:rPr>
          <w:rFonts w:ascii="Arial" w:hAnsi="Arial" w:cs="Arial"/>
          <w:i/>
          <w:iCs/>
          <w:sz w:val="20"/>
          <w:szCs w:val="20"/>
        </w:rPr>
        <w:t>Cyprinus carpio</w:t>
      </w:r>
      <w:r>
        <w:rPr>
          <w:rFonts w:ascii="Arial" w:hAnsi="Arial" w:cs="Arial"/>
          <w:sz w:val="20"/>
          <w:szCs w:val="20"/>
        </w:rPr>
        <w:t xml:space="preserve"> may be more economically viable for aquaponic systems due to their better feed conversion ratio.</w:t>
      </w:r>
    </w:p>
    <w:p w14:paraId="6B4C5BC1"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Plant performance also significantly favored the aquaponic system over field-based cultivation. Among the tested species, </w:t>
      </w:r>
      <w:r>
        <w:rPr>
          <w:rFonts w:ascii="Arial" w:hAnsi="Arial" w:cs="Arial"/>
          <w:i/>
          <w:iCs/>
          <w:sz w:val="20"/>
          <w:szCs w:val="20"/>
        </w:rPr>
        <w:t>Chenopodium album</w:t>
      </w:r>
      <w:r>
        <w:rPr>
          <w:rFonts w:ascii="Arial" w:hAnsi="Arial" w:cs="Arial"/>
          <w:sz w:val="20"/>
          <w:szCs w:val="20"/>
        </w:rPr>
        <w:t xml:space="preserve"> exhibited the highest growth, reaching an average of 44.5 cm in aquaponic tanks compared to 35.01 cm in field conditions. </w:t>
      </w:r>
      <w:r>
        <w:rPr>
          <w:rFonts w:ascii="Arial" w:hAnsi="Arial" w:cs="Arial"/>
          <w:i/>
          <w:iCs/>
          <w:sz w:val="20"/>
          <w:szCs w:val="20"/>
        </w:rPr>
        <w:t>Coriandrum sativum</w:t>
      </w:r>
      <w:r>
        <w:rPr>
          <w:rFonts w:ascii="Arial" w:hAnsi="Arial" w:cs="Arial"/>
          <w:sz w:val="20"/>
          <w:szCs w:val="20"/>
        </w:rPr>
        <w:t xml:space="preserve"> followed with growth of ~41.6 cm in aquaponics versus 38.34 cm in the field, while </w:t>
      </w:r>
      <w:r>
        <w:rPr>
          <w:rFonts w:ascii="Arial" w:hAnsi="Arial" w:cs="Arial"/>
          <w:i/>
          <w:iCs/>
          <w:sz w:val="20"/>
          <w:szCs w:val="20"/>
        </w:rPr>
        <w:t>Spinacia oleracea</w:t>
      </w:r>
      <w:r>
        <w:rPr>
          <w:rFonts w:ascii="Arial" w:hAnsi="Arial" w:cs="Arial"/>
          <w:sz w:val="20"/>
          <w:szCs w:val="20"/>
        </w:rPr>
        <w:t xml:space="preserve"> although showed the least difference still performed better in aquaponics (23.43 cm vs. 18.88 cm). This enhanced growth can be attributed to the consistent nutrient supply, stable water pH, and minimized environmental stresses in aquaponic systems (Somerville et al., 2014; Delaide et al., 2017). The selection of leafy vegetables, which are known for their rapid growth and high nutrient uptake efficiency, further contributed to these outcomes (Endut et al., 2010; Rakocy et al., 2006).</w:t>
      </w:r>
    </w:p>
    <w:p w14:paraId="6B68EFA0" w14:textId="77777777" w:rsidR="00275F5A" w:rsidRDefault="00CF3A5E">
      <w:pPr>
        <w:spacing w:line="240" w:lineRule="auto"/>
        <w:jc w:val="both"/>
        <w:rPr>
          <w:rFonts w:ascii="Arial" w:hAnsi="Arial" w:cs="Arial"/>
          <w:sz w:val="20"/>
          <w:szCs w:val="20"/>
        </w:rPr>
      </w:pPr>
      <w:r>
        <w:rPr>
          <w:rFonts w:ascii="Arial" w:hAnsi="Arial" w:cs="Arial"/>
          <w:sz w:val="20"/>
          <w:szCs w:val="20"/>
        </w:rPr>
        <w:t>The correlation analysis between aquaponics and pond systems revealed interesting insights. Strong positive correlations were observed for most physicochemical parameters such as pH (R² = 0.93), EC (R² = 0.97), DO (R² = 0.89), alkalinity (R² = 0.93), and nitrate (R² = 0.93), indicating consistent system performance in these aspects. However, negligible correlations were seen for ammonia (R² = 0.02) and nitrite (R² = 0.00), reflecting the more efficient nitrogen cycling and microbial activity in aquaponics, likely due to the presence of biofilters and plant uptake (Lennard &amp; Leonard, 2006; Endut et al., 2010). This variation emphasized the importance of microbial-driven transformations in maintaining water quality and underscores aquaponics’ advantage in managing nitrogenous waste more effectively than conventional pond systems (Rakocy et al., 2006; Roe &amp; Midmore, 2008). These results aligned with recent studies that show aquaponic systems promote more stable microbial nitrification communities, which improve nitrogen cycling and lessen the buildup of harmful substances (Palm et al., 2022).</w:t>
      </w:r>
    </w:p>
    <w:p w14:paraId="33BDB859" w14:textId="77777777" w:rsidR="00275F5A" w:rsidRDefault="00CF3A5E">
      <w:pPr>
        <w:spacing w:line="240" w:lineRule="auto"/>
        <w:jc w:val="both"/>
        <w:rPr>
          <w:rFonts w:ascii="Arial" w:hAnsi="Arial" w:cs="Arial"/>
          <w:sz w:val="20"/>
          <w:szCs w:val="20"/>
        </w:rPr>
      </w:pPr>
      <w:r>
        <w:rPr>
          <w:rFonts w:ascii="Arial" w:hAnsi="Arial" w:cs="Arial"/>
          <w:sz w:val="20"/>
          <w:szCs w:val="20"/>
        </w:rPr>
        <w:t>Moreover, regular monitoring of fish weight and plant height provided valuable insights into health, system efficiency, and overall productivity. This real-time data allowed for proactive adjustments in feeding and management strategies, helping to maintain optimal conditions and improve outcomes (Tidwell &amp; Coyle, 2007; Sallenave, 2016). The enhanced plant and fish performance observed in the integrated setup confirmed the mutual benefits derived from nutrient cycling and biological symbiosis, a core principle of aquaponics.</w:t>
      </w:r>
    </w:p>
    <w:p w14:paraId="1056057A" w14:textId="77777777" w:rsidR="00275F5A" w:rsidRDefault="00CF3A5E">
      <w:pPr>
        <w:spacing w:line="240" w:lineRule="auto"/>
        <w:jc w:val="both"/>
        <w:rPr>
          <w:rFonts w:ascii="Arial" w:hAnsi="Arial" w:cs="Arial"/>
          <w:sz w:val="20"/>
          <w:szCs w:val="20"/>
        </w:rPr>
      </w:pPr>
      <w:r>
        <w:rPr>
          <w:rFonts w:ascii="Arial" w:hAnsi="Arial" w:cs="Arial"/>
          <w:sz w:val="20"/>
          <w:szCs w:val="20"/>
        </w:rPr>
        <w:t>Finally, the study contributed to the growing body of evidence supporting aquaponics as a viable solution for sustainable food production, especially in water-stressed or land-limited regions such as Himachal Pradesh. National reports and international studies (Goddek et al., 2015; Love et al., 2015) have acknowledged aquaponics for its potential to reduce water usage by over 90%, recycle waste, and meet the increasing demand for fresh, locally produced food. According to recent research, aquaponic systems have shown increased nutrient cycling efficiency through optimized microbial communities (Palm et al., 2022), scalability for both urban and rural food systems (Goddek et al., 2023) and resilience to climate variability. The study's strong performance on biological and environmental criteria supports the idea that aquaponics should be used more widely in integrated land-use planning and sustainable agricultural policy.</w:t>
      </w:r>
    </w:p>
    <w:p w14:paraId="4F1CD650" w14:textId="77777777" w:rsidR="00275F5A" w:rsidRDefault="00275F5A">
      <w:pPr>
        <w:spacing w:line="240" w:lineRule="auto"/>
        <w:jc w:val="both"/>
        <w:rPr>
          <w:rFonts w:ascii="Arial" w:hAnsi="Arial" w:cs="Arial"/>
          <w:sz w:val="20"/>
          <w:szCs w:val="20"/>
        </w:rPr>
      </w:pPr>
    </w:p>
    <w:p w14:paraId="20568F5C" w14:textId="77777777" w:rsidR="00275F5A" w:rsidRDefault="00CF3A5E">
      <w:pPr>
        <w:spacing w:line="240" w:lineRule="auto"/>
        <w:jc w:val="both"/>
        <w:rPr>
          <w:rFonts w:ascii="Arial" w:hAnsi="Arial" w:cs="Arial"/>
          <w:sz w:val="20"/>
          <w:szCs w:val="20"/>
        </w:rPr>
      </w:pPr>
      <w:r>
        <w:rPr>
          <w:rFonts w:ascii="Arial" w:hAnsi="Arial" w:cs="Arial"/>
          <w:b/>
          <w:bCs/>
          <w:sz w:val="20"/>
          <w:szCs w:val="20"/>
        </w:rPr>
        <w:t>5.CONCLUSION</w:t>
      </w:r>
      <w:r>
        <w:rPr>
          <w:rFonts w:ascii="Arial" w:hAnsi="Arial" w:cs="Arial"/>
          <w:sz w:val="20"/>
          <w:szCs w:val="20"/>
        </w:rPr>
        <w:t xml:space="preserve"> </w:t>
      </w:r>
      <w:r>
        <w:rPr>
          <w:rFonts w:ascii="Arial" w:hAnsi="Arial" w:cs="Arial"/>
          <w:sz w:val="20"/>
          <w:szCs w:val="20"/>
        </w:rPr>
        <w:br/>
        <w:t>The current study validated the aquaponic system's efficacy and sustainability as an integrated fish and plant production approach. With the exception of ammonia and nitrite, which demonstrated the improved nitrogen management in aquaponics, key water quality measurements stayed within ideal ranges and demonstrated substantial relationships between aquaponics and pond systems. Fish species with healthy growth were</w:t>
      </w:r>
      <w:r>
        <w:rPr>
          <w:rFonts w:ascii="Arial" w:hAnsi="Arial" w:cs="Arial"/>
          <w:i/>
          <w:iCs/>
          <w:sz w:val="20"/>
          <w:szCs w:val="20"/>
        </w:rPr>
        <w:t xml:space="preserve"> Ctenopharyngodon idella </w:t>
      </w:r>
      <w:r>
        <w:rPr>
          <w:rFonts w:ascii="Arial" w:hAnsi="Arial" w:cs="Arial"/>
          <w:sz w:val="20"/>
          <w:szCs w:val="20"/>
        </w:rPr>
        <w:t xml:space="preserve">and </w:t>
      </w:r>
      <w:r>
        <w:rPr>
          <w:rFonts w:ascii="Arial" w:hAnsi="Arial" w:cs="Arial"/>
          <w:i/>
          <w:iCs/>
          <w:sz w:val="20"/>
          <w:szCs w:val="20"/>
        </w:rPr>
        <w:t>Cyprinus carpio</w:t>
      </w:r>
      <w:r>
        <w:rPr>
          <w:rFonts w:ascii="Arial" w:hAnsi="Arial" w:cs="Arial"/>
          <w:sz w:val="20"/>
          <w:szCs w:val="20"/>
        </w:rPr>
        <w:t xml:space="preserve">, with </w:t>
      </w:r>
      <w:r>
        <w:rPr>
          <w:rFonts w:ascii="Arial" w:hAnsi="Arial" w:cs="Arial"/>
          <w:i/>
          <w:iCs/>
          <w:sz w:val="20"/>
          <w:szCs w:val="20"/>
        </w:rPr>
        <w:t>Cyprinus carpio</w:t>
      </w:r>
      <w:r>
        <w:rPr>
          <w:rFonts w:ascii="Arial" w:hAnsi="Arial" w:cs="Arial"/>
          <w:sz w:val="20"/>
          <w:szCs w:val="20"/>
        </w:rPr>
        <w:t xml:space="preserve"> demonstrating superior feed efficiency. Certain plant species, such as</w:t>
      </w:r>
      <w:r>
        <w:rPr>
          <w:rFonts w:ascii="Arial" w:hAnsi="Arial" w:cs="Arial"/>
          <w:i/>
          <w:iCs/>
          <w:sz w:val="20"/>
          <w:szCs w:val="20"/>
        </w:rPr>
        <w:t xml:space="preserve"> Coriandrum sativum</w:t>
      </w:r>
      <w:r>
        <w:rPr>
          <w:rFonts w:ascii="Arial" w:hAnsi="Arial" w:cs="Arial"/>
          <w:sz w:val="20"/>
          <w:szCs w:val="20"/>
        </w:rPr>
        <w:t xml:space="preserve"> and </w:t>
      </w:r>
      <w:r>
        <w:rPr>
          <w:rFonts w:ascii="Arial" w:hAnsi="Arial" w:cs="Arial"/>
          <w:i/>
          <w:iCs/>
          <w:sz w:val="20"/>
          <w:szCs w:val="20"/>
        </w:rPr>
        <w:t>Chenopodium album</w:t>
      </w:r>
      <w:r>
        <w:rPr>
          <w:rFonts w:ascii="Arial" w:hAnsi="Arial" w:cs="Arial"/>
          <w:sz w:val="20"/>
          <w:szCs w:val="20"/>
        </w:rPr>
        <w:t xml:space="preserve">, performed better than those cultivated in the field, highlighting the advantages of nutrient-rich, controlled conditions. </w:t>
      </w:r>
      <w:r>
        <w:rPr>
          <w:rFonts w:ascii="Arial" w:hAnsi="Arial" w:cs="Arial"/>
          <w:sz w:val="20"/>
          <w:szCs w:val="20"/>
        </w:rPr>
        <w:br/>
        <w:t>These results encouraged the use of aquaponics, especially in areas like Himachal Pradesh where conventional farming is becoming less viable as a result of urbanization and declining arable land.</w:t>
      </w:r>
    </w:p>
    <w:p w14:paraId="33C67D29" w14:textId="77777777" w:rsidR="00275F5A" w:rsidRDefault="00275F5A">
      <w:pPr>
        <w:spacing w:line="240" w:lineRule="auto"/>
        <w:jc w:val="both"/>
        <w:rPr>
          <w:rFonts w:ascii="Arial" w:hAnsi="Arial" w:cs="Arial"/>
          <w:b/>
          <w:bCs/>
          <w:sz w:val="20"/>
          <w:szCs w:val="20"/>
        </w:rPr>
      </w:pPr>
    </w:p>
    <w:p w14:paraId="60BC6556" w14:textId="77777777" w:rsidR="00275F5A" w:rsidRDefault="00CF3A5E">
      <w:pPr>
        <w:jc w:val="both"/>
        <w:outlineLvl w:val="0"/>
        <w:rPr>
          <w:rFonts w:ascii="Arial" w:hAnsi="Arial" w:cs="Arial"/>
          <w:sz w:val="20"/>
          <w:szCs w:val="20"/>
        </w:rPr>
      </w:pPr>
      <w:r>
        <w:rPr>
          <w:rFonts w:ascii="Arial" w:hAnsi="Arial" w:cs="Arial"/>
          <w:b/>
          <w:bCs/>
          <w:sz w:val="20"/>
          <w:szCs w:val="20"/>
        </w:rPr>
        <w:t>COMPETING INTERESTS DISCLAIMER:</w:t>
      </w:r>
    </w:p>
    <w:p w14:paraId="36886D1C" w14:textId="77777777" w:rsidR="00275F5A" w:rsidRDefault="00CF3A5E">
      <w:pPr>
        <w:rPr>
          <w:rFonts w:ascii="Arial" w:hAnsi="Arial" w:cs="Arial"/>
          <w:sz w:val="20"/>
          <w:szCs w:val="20"/>
        </w:rPr>
      </w:pPr>
      <w:r>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CE8EFC" w14:textId="77777777" w:rsidR="00275F5A" w:rsidRDefault="00275F5A">
      <w:pPr>
        <w:spacing w:line="240" w:lineRule="auto"/>
        <w:jc w:val="both"/>
        <w:rPr>
          <w:rFonts w:ascii="Arial" w:hAnsi="Arial" w:cs="Arial"/>
          <w:b/>
          <w:bCs/>
          <w:sz w:val="20"/>
          <w:szCs w:val="20"/>
        </w:rPr>
      </w:pPr>
    </w:p>
    <w:p w14:paraId="51501BC8" w14:textId="77777777" w:rsidR="00275F5A" w:rsidRDefault="00275F5A">
      <w:pPr>
        <w:spacing w:line="240" w:lineRule="auto"/>
        <w:jc w:val="both"/>
        <w:rPr>
          <w:rFonts w:ascii="Arial" w:hAnsi="Arial" w:cs="Arial"/>
          <w:b/>
          <w:bCs/>
          <w:sz w:val="20"/>
          <w:szCs w:val="20"/>
        </w:rPr>
      </w:pPr>
    </w:p>
    <w:p w14:paraId="0946B761"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ETHICS STATEMENT</w:t>
      </w:r>
    </w:p>
    <w:p w14:paraId="78F5B10B" w14:textId="77777777" w:rsidR="00275F5A" w:rsidRDefault="00CF3A5E">
      <w:pPr>
        <w:spacing w:line="240" w:lineRule="auto"/>
        <w:jc w:val="both"/>
        <w:rPr>
          <w:rFonts w:ascii="Arial" w:hAnsi="Arial" w:cs="Arial"/>
          <w:sz w:val="20"/>
          <w:szCs w:val="20"/>
        </w:rPr>
      </w:pPr>
      <w:r>
        <w:rPr>
          <w:rFonts w:ascii="Arial" w:hAnsi="Arial" w:cs="Arial"/>
          <w:sz w:val="20"/>
          <w:szCs w:val="20"/>
        </w:rPr>
        <w:t>All procedures involving fish handling and care complied with institutional and national ethical standards.</w:t>
      </w:r>
    </w:p>
    <w:p w14:paraId="0495E4AB" w14:textId="77777777" w:rsidR="00275F5A" w:rsidRDefault="00275F5A">
      <w:pPr>
        <w:spacing w:line="240" w:lineRule="auto"/>
        <w:jc w:val="both"/>
        <w:rPr>
          <w:rFonts w:ascii="Arial" w:hAnsi="Arial" w:cs="Arial"/>
          <w:sz w:val="20"/>
          <w:szCs w:val="20"/>
        </w:rPr>
      </w:pPr>
    </w:p>
    <w:p w14:paraId="0572165E" w14:textId="77777777" w:rsidR="00275F5A" w:rsidRDefault="00CF3A5E">
      <w:pPr>
        <w:rPr>
          <w:rFonts w:ascii="Arial" w:eastAsia="Calibri" w:hAnsi="Arial" w:cs="Arial"/>
          <w:sz w:val="20"/>
          <w:szCs w:val="20"/>
          <w:highlight w:val="yellow"/>
        </w:rPr>
      </w:pPr>
      <w:bookmarkStart w:id="3" w:name="_Hlk204003461"/>
      <w:bookmarkStart w:id="4" w:name="_Hlk209007716"/>
      <w:r>
        <w:rPr>
          <w:rFonts w:ascii="Arial" w:eastAsia="Calibri" w:hAnsi="Arial" w:cs="Arial"/>
          <w:sz w:val="20"/>
          <w:szCs w:val="20"/>
          <w:highlight w:val="yellow"/>
        </w:rPr>
        <w:t>Disclaimer (Artificial intelligence)</w:t>
      </w:r>
    </w:p>
    <w:p w14:paraId="04D0C801" w14:textId="77777777" w:rsidR="00275F5A" w:rsidRDefault="00CF3A5E">
      <w:pPr>
        <w:rPr>
          <w:rFonts w:ascii="Arial" w:eastAsia="Calibri" w:hAnsi="Arial" w:cs="Arial"/>
          <w:sz w:val="20"/>
          <w:szCs w:val="20"/>
          <w:highlight w:val="yellow"/>
        </w:rPr>
      </w:pPr>
      <w:r>
        <w:rPr>
          <w:rFonts w:ascii="Arial" w:eastAsia="Calibri" w:hAnsi="Arial" w:cs="Arial"/>
          <w:sz w:val="20"/>
          <w:szCs w:val="20"/>
          <w:highlight w:val="yellow"/>
        </w:rPr>
        <w:t>Option 1:</w:t>
      </w:r>
    </w:p>
    <w:p w14:paraId="58957626" w14:textId="77777777" w:rsidR="00275F5A" w:rsidRDefault="00CF3A5E">
      <w:pPr>
        <w:rPr>
          <w:rFonts w:ascii="Arial" w:eastAsia="Calibri" w:hAnsi="Arial" w:cs="Arial"/>
          <w:sz w:val="20"/>
          <w:szCs w:val="20"/>
          <w:highlight w:val="yellow"/>
        </w:rPr>
      </w:pPr>
      <w:r>
        <w:rPr>
          <w:rFonts w:ascii="Arial" w:eastAsia="Calibri"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64D8A468" w14:textId="77777777" w:rsidR="00275F5A" w:rsidRDefault="00275F5A">
      <w:pPr>
        <w:spacing w:line="240" w:lineRule="auto"/>
        <w:jc w:val="both"/>
        <w:rPr>
          <w:rFonts w:ascii="Arial" w:hAnsi="Arial" w:cs="Arial"/>
          <w:sz w:val="20"/>
          <w:szCs w:val="20"/>
        </w:rPr>
      </w:pPr>
    </w:p>
    <w:p w14:paraId="66280F15" w14:textId="77777777" w:rsidR="00275F5A" w:rsidRDefault="00CF3A5E">
      <w:pPr>
        <w:spacing w:line="240" w:lineRule="auto"/>
        <w:jc w:val="both"/>
        <w:rPr>
          <w:rFonts w:ascii="Arial" w:hAnsi="Arial" w:cs="Arial"/>
          <w:b/>
          <w:bCs/>
          <w:sz w:val="20"/>
          <w:szCs w:val="20"/>
        </w:rPr>
      </w:pPr>
      <w:r>
        <w:rPr>
          <w:rFonts w:ascii="Arial" w:hAnsi="Arial" w:cs="Arial"/>
          <w:b/>
          <w:bCs/>
          <w:sz w:val="20"/>
          <w:szCs w:val="20"/>
        </w:rPr>
        <w:t>REFERENCES</w:t>
      </w:r>
    </w:p>
    <w:p w14:paraId="29D788A6"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Anita, R. &amp; Pooja, M. (2013). Physico-chemical analysis of fish pond water quality in relation to fish growth. </w:t>
      </w:r>
      <w:r>
        <w:rPr>
          <w:rFonts w:ascii="Arial" w:hAnsi="Arial" w:cs="Arial"/>
          <w:i/>
          <w:iCs/>
          <w:sz w:val="20"/>
          <w:szCs w:val="20"/>
        </w:rPr>
        <w:t>International Journal of Environmental Science, 3</w:t>
      </w:r>
      <w:r>
        <w:rPr>
          <w:rFonts w:ascii="Arial" w:hAnsi="Arial" w:cs="Arial"/>
          <w:sz w:val="20"/>
          <w:szCs w:val="20"/>
        </w:rPr>
        <w:t>(4), 1234–1240.</w:t>
      </w:r>
    </w:p>
    <w:p w14:paraId="4CA210FC" w14:textId="77777777" w:rsidR="00275F5A" w:rsidRDefault="00CF3A5E">
      <w:pPr>
        <w:spacing w:line="240" w:lineRule="auto"/>
        <w:jc w:val="both"/>
        <w:rPr>
          <w:rFonts w:ascii="Arial" w:hAnsi="Arial" w:cs="Arial"/>
          <w:color w:val="FF0000"/>
          <w:sz w:val="20"/>
          <w:szCs w:val="20"/>
        </w:rPr>
      </w:pPr>
      <w:r>
        <w:rPr>
          <w:rFonts w:ascii="Arial" w:hAnsi="Arial" w:cs="Arial"/>
          <w:color w:val="FF0000"/>
          <w:sz w:val="20"/>
          <w:szCs w:val="20"/>
        </w:rPr>
        <w:t>APHA (2005) Standard Methods for the Examination of Water and Wastewater. 21st Edition, American Public Health Association/American Water Works Association/Water Environment Federation, Washington DC.</w:t>
      </w:r>
    </w:p>
    <w:p w14:paraId="007274BC"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Azad, A.K. (2015). Comparative performance of aquaponic and pond culture systems for fish and vegetable production. </w:t>
      </w:r>
      <w:r>
        <w:rPr>
          <w:rFonts w:ascii="Arial" w:hAnsi="Arial" w:cs="Arial"/>
          <w:i/>
          <w:iCs/>
          <w:sz w:val="20"/>
          <w:szCs w:val="20"/>
        </w:rPr>
        <w:t>International Journal of Aquatic Science, 6</w:t>
      </w:r>
      <w:r>
        <w:rPr>
          <w:rFonts w:ascii="Arial" w:hAnsi="Arial" w:cs="Arial"/>
          <w:sz w:val="20"/>
          <w:szCs w:val="20"/>
        </w:rPr>
        <w:t>(2), 45–54.</w:t>
      </w:r>
    </w:p>
    <w:p w14:paraId="41F4F3F7"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Azad, A.K., Hasan, M.R. &amp; Rahman, M.S. (2016). Assessment of water quality parameters and fish growth in aquaponic and pond systems. </w:t>
      </w:r>
      <w:r>
        <w:rPr>
          <w:rFonts w:ascii="Arial" w:hAnsi="Arial" w:cs="Arial"/>
          <w:i/>
          <w:iCs/>
          <w:sz w:val="20"/>
          <w:szCs w:val="20"/>
        </w:rPr>
        <w:t>Aquaculture Research</w:t>
      </w:r>
      <w:r>
        <w:rPr>
          <w:rFonts w:ascii="Arial" w:hAnsi="Arial" w:cs="Arial"/>
          <w:sz w:val="20"/>
          <w:szCs w:val="20"/>
        </w:rPr>
        <w:t xml:space="preserve">, </w:t>
      </w:r>
      <w:r>
        <w:rPr>
          <w:rFonts w:ascii="Arial" w:hAnsi="Arial" w:cs="Arial"/>
          <w:i/>
          <w:iCs/>
          <w:sz w:val="20"/>
          <w:szCs w:val="20"/>
        </w:rPr>
        <w:t>47</w:t>
      </w:r>
      <w:r>
        <w:rPr>
          <w:rFonts w:ascii="Arial" w:hAnsi="Arial" w:cs="Arial"/>
          <w:sz w:val="20"/>
          <w:szCs w:val="20"/>
        </w:rPr>
        <w:t>(8), 2453–2463.</w:t>
      </w:r>
    </w:p>
    <w:p w14:paraId="6D400FE3"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Boyd, C.E. (2015). </w:t>
      </w:r>
      <w:r>
        <w:rPr>
          <w:rFonts w:ascii="Arial" w:hAnsi="Arial" w:cs="Arial"/>
          <w:i/>
          <w:iCs/>
          <w:sz w:val="20"/>
          <w:szCs w:val="20"/>
        </w:rPr>
        <w:t>Water Quality: An Introduction</w:t>
      </w:r>
      <w:r>
        <w:rPr>
          <w:rFonts w:ascii="Arial" w:hAnsi="Arial" w:cs="Arial"/>
          <w:sz w:val="20"/>
          <w:szCs w:val="20"/>
        </w:rPr>
        <w:t xml:space="preserve"> (3rd ed.). Springer, New York.</w:t>
      </w:r>
    </w:p>
    <w:p w14:paraId="4DAE75DE" w14:textId="77777777" w:rsidR="00275F5A" w:rsidRDefault="00CF3A5E">
      <w:pPr>
        <w:spacing w:line="240" w:lineRule="auto"/>
        <w:jc w:val="both"/>
        <w:rPr>
          <w:rFonts w:ascii="Arial" w:hAnsi="Arial" w:cs="Arial"/>
          <w:sz w:val="20"/>
          <w:szCs w:val="20"/>
        </w:rPr>
      </w:pPr>
      <w:r>
        <w:rPr>
          <w:rFonts w:ascii="Arial" w:hAnsi="Arial" w:cs="Arial"/>
          <w:sz w:val="20"/>
          <w:szCs w:val="20"/>
        </w:rPr>
        <w:t>Delaide, B., Goddek, S., Gott, J., Soyeurt, H. &amp; Jijakli, M.H. (2017). Lettuce (</w:t>
      </w:r>
      <w:r>
        <w:rPr>
          <w:rFonts w:ascii="Arial" w:hAnsi="Arial" w:cs="Arial"/>
          <w:i/>
          <w:iCs/>
          <w:sz w:val="20"/>
          <w:szCs w:val="20"/>
        </w:rPr>
        <w:t>Lactuca sativa</w:t>
      </w:r>
      <w:r>
        <w:rPr>
          <w:rFonts w:ascii="Arial" w:hAnsi="Arial" w:cs="Arial"/>
          <w:sz w:val="20"/>
          <w:szCs w:val="20"/>
        </w:rPr>
        <w:t xml:space="preserve"> L. var. </w:t>
      </w:r>
      <w:r>
        <w:rPr>
          <w:rFonts w:ascii="Arial" w:hAnsi="Arial" w:cs="Arial"/>
          <w:i/>
          <w:iCs/>
          <w:sz w:val="20"/>
          <w:szCs w:val="20"/>
        </w:rPr>
        <w:t>Sucrine</w:t>
      </w:r>
      <w:r>
        <w:rPr>
          <w:rFonts w:ascii="Arial" w:hAnsi="Arial" w:cs="Arial"/>
          <w:sz w:val="20"/>
          <w:szCs w:val="20"/>
        </w:rPr>
        <w:t xml:space="preserve">) growth performance in complemented aquaponic solution outperforms hydroponics. </w:t>
      </w:r>
      <w:r>
        <w:rPr>
          <w:rFonts w:ascii="Arial" w:hAnsi="Arial" w:cs="Arial"/>
          <w:i/>
          <w:iCs/>
          <w:sz w:val="20"/>
          <w:szCs w:val="20"/>
        </w:rPr>
        <w:t>Water, 9</w:t>
      </w:r>
      <w:r>
        <w:rPr>
          <w:rFonts w:ascii="Arial" w:hAnsi="Arial" w:cs="Arial"/>
          <w:sz w:val="20"/>
          <w:szCs w:val="20"/>
        </w:rPr>
        <w:t>(3), 156.</w:t>
      </w:r>
    </w:p>
    <w:p w14:paraId="38ECAFF9" w14:textId="77777777" w:rsidR="00275F5A" w:rsidRDefault="00CF3A5E">
      <w:pPr>
        <w:spacing w:line="240" w:lineRule="auto"/>
        <w:jc w:val="both"/>
        <w:rPr>
          <w:rFonts w:ascii="Arial" w:hAnsi="Arial" w:cs="Arial"/>
          <w:sz w:val="20"/>
          <w:szCs w:val="20"/>
        </w:rPr>
      </w:pPr>
      <w:r>
        <w:rPr>
          <w:rFonts w:ascii="Arial" w:hAnsi="Arial" w:cs="Arial"/>
          <w:sz w:val="20"/>
          <w:szCs w:val="20"/>
        </w:rPr>
        <w:lastRenderedPageBreak/>
        <w:t xml:space="preserve">Eissa, M.A., Ghanem, M.H. &amp; El-Naggar, A.M. (2015). Water quality and fish performance under different alkalinity levels in recirculating aquaculture systems. </w:t>
      </w:r>
      <w:r>
        <w:rPr>
          <w:rFonts w:ascii="Arial" w:hAnsi="Arial" w:cs="Arial"/>
          <w:i/>
          <w:iCs/>
          <w:sz w:val="20"/>
          <w:szCs w:val="20"/>
        </w:rPr>
        <w:t>Egyptian Journal of Aquatic Research</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(3), 233–239.</w:t>
      </w:r>
    </w:p>
    <w:p w14:paraId="6B27B3A1"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Endut, A., Jusoh, A., Ali, N., Wan Nik, W.B. &amp; Hassan, A. (2010). A study on the optimal hydraulic loading rate and plant ratios in recirculating aquaponic systems. </w:t>
      </w:r>
      <w:r>
        <w:rPr>
          <w:rFonts w:ascii="Arial" w:hAnsi="Arial" w:cs="Arial"/>
          <w:i/>
          <w:iCs/>
          <w:sz w:val="20"/>
          <w:szCs w:val="20"/>
        </w:rPr>
        <w:t>Bioresource Technology</w:t>
      </w:r>
      <w:r>
        <w:rPr>
          <w:rFonts w:ascii="Arial" w:hAnsi="Arial" w:cs="Arial"/>
          <w:sz w:val="20"/>
          <w:szCs w:val="20"/>
        </w:rPr>
        <w:t xml:space="preserve">, </w:t>
      </w:r>
      <w:r>
        <w:rPr>
          <w:rFonts w:ascii="Arial" w:hAnsi="Arial" w:cs="Arial"/>
          <w:i/>
          <w:iCs/>
          <w:sz w:val="20"/>
          <w:szCs w:val="20"/>
        </w:rPr>
        <w:t>101</w:t>
      </w:r>
      <w:r>
        <w:rPr>
          <w:rFonts w:ascii="Arial" w:hAnsi="Arial" w:cs="Arial"/>
          <w:sz w:val="20"/>
          <w:szCs w:val="20"/>
        </w:rPr>
        <w:t>(5), 1511–1517.</w:t>
      </w:r>
    </w:p>
    <w:p w14:paraId="6D230EF6"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Goddek, S., Delaide, B., Mankasingh, U., Ragnarsdottir, K.V., Jijakli, M.H. &amp; Thorarinsdottir, R. (2015). Challenges of sustainable and commercial aquaponics. </w:t>
      </w:r>
      <w:r>
        <w:rPr>
          <w:rFonts w:ascii="Arial" w:hAnsi="Arial" w:cs="Arial"/>
          <w:i/>
          <w:iCs/>
          <w:sz w:val="20"/>
          <w:szCs w:val="20"/>
        </w:rPr>
        <w:t>Sustainability, 7</w:t>
      </w:r>
      <w:r>
        <w:rPr>
          <w:rFonts w:ascii="Arial" w:hAnsi="Arial" w:cs="Arial"/>
          <w:sz w:val="20"/>
          <w:szCs w:val="20"/>
        </w:rPr>
        <w:t>(4), 4199–4224.</w:t>
      </w:r>
    </w:p>
    <w:p w14:paraId="7501EDB9"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Goddek, S., Joyce, A., Kotzen, B. &amp; Burnell, G.M. (2023). </w:t>
      </w:r>
      <w:r>
        <w:rPr>
          <w:rFonts w:ascii="Arial" w:hAnsi="Arial" w:cs="Arial"/>
          <w:i/>
          <w:iCs/>
          <w:sz w:val="20"/>
          <w:szCs w:val="20"/>
        </w:rPr>
        <w:t>Aquaponics Food Production Systems: Combined Aquaculture and Hydroponic Production Technologies for the Future.</w:t>
      </w:r>
      <w:r>
        <w:rPr>
          <w:rFonts w:ascii="Arial" w:hAnsi="Arial" w:cs="Arial"/>
          <w:sz w:val="20"/>
          <w:szCs w:val="20"/>
        </w:rPr>
        <w:t xml:space="preserve"> Springer, Cham.</w:t>
      </w:r>
    </w:p>
    <w:p w14:paraId="6609C3DF"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Lennard, W.A. &amp; Leonard, B.V. (2006). A comparison of three different hydroponic subsystems (gravel bed, floating and nutrient film technique) in an aquaponic test system. </w:t>
      </w:r>
      <w:r>
        <w:rPr>
          <w:rFonts w:ascii="Arial" w:hAnsi="Arial" w:cs="Arial"/>
          <w:i/>
          <w:iCs/>
          <w:sz w:val="20"/>
          <w:szCs w:val="20"/>
        </w:rPr>
        <w:t>Aquaculture International</w:t>
      </w:r>
      <w:r>
        <w:rPr>
          <w:rFonts w:ascii="Arial" w:hAnsi="Arial" w:cs="Arial"/>
          <w:sz w:val="20"/>
          <w:szCs w:val="20"/>
        </w:rPr>
        <w:t xml:space="preserve">, </w:t>
      </w:r>
      <w:r>
        <w:rPr>
          <w:rFonts w:ascii="Arial" w:hAnsi="Arial" w:cs="Arial"/>
          <w:i/>
          <w:iCs/>
          <w:sz w:val="20"/>
          <w:szCs w:val="20"/>
        </w:rPr>
        <w:t>14</w:t>
      </w:r>
      <w:r>
        <w:rPr>
          <w:rFonts w:ascii="Arial" w:hAnsi="Arial" w:cs="Arial"/>
          <w:sz w:val="20"/>
          <w:szCs w:val="20"/>
        </w:rPr>
        <w:t>(6), 539–550.</w:t>
      </w:r>
    </w:p>
    <w:p w14:paraId="1FAC30FC"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Love, D.C., Fry, J.P., Genello, L., Hill, E.S., Frederick, J.A., Li, X. &amp; Semmens, K. (2015). An international survey of aquaponics practitioners. </w:t>
      </w:r>
      <w:r>
        <w:rPr>
          <w:rFonts w:ascii="Arial" w:hAnsi="Arial" w:cs="Arial"/>
          <w:i/>
          <w:iCs/>
          <w:sz w:val="20"/>
          <w:szCs w:val="20"/>
        </w:rPr>
        <w:t>PLoS ONE</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7), e102662.</w:t>
      </w:r>
    </w:p>
    <w:p w14:paraId="2BDFE766"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Masser, M.P., Rakocy, J.E. &amp; Losordo, T.M. (1999). </w:t>
      </w:r>
      <w:r>
        <w:rPr>
          <w:rFonts w:ascii="Arial" w:hAnsi="Arial" w:cs="Arial"/>
          <w:i/>
          <w:iCs/>
          <w:sz w:val="20"/>
          <w:szCs w:val="20"/>
        </w:rPr>
        <w:t>Recirculating Aquaculture Tank Production Systems: Management of Recirculating Systems.</w:t>
      </w:r>
      <w:r>
        <w:rPr>
          <w:rFonts w:ascii="Arial" w:hAnsi="Arial" w:cs="Arial"/>
          <w:sz w:val="20"/>
          <w:szCs w:val="20"/>
        </w:rPr>
        <w:t xml:space="preserve"> SRAC Publication No. 452.</w:t>
      </w:r>
    </w:p>
    <w:p w14:paraId="47BD0234"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Nijhof, M. &amp; Bovendeur, J. (1990). Fixed film nitrification characteristics at high ammonia loading rates in airlift reactors. </w:t>
      </w:r>
      <w:r>
        <w:rPr>
          <w:rFonts w:ascii="Arial" w:hAnsi="Arial" w:cs="Arial"/>
          <w:i/>
          <w:iCs/>
          <w:sz w:val="20"/>
          <w:szCs w:val="20"/>
        </w:rPr>
        <w:t>Aquacultural Engineering</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(3), 237–254.</w:t>
      </w:r>
    </w:p>
    <w:p w14:paraId="390A700A"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Palm, H.W., Strauch, S.M. &amp; Goddek, S. (2022). The role of microbial communities in aquaponic nutrient cycling. </w:t>
      </w:r>
      <w:r>
        <w:rPr>
          <w:rFonts w:ascii="Arial" w:hAnsi="Arial" w:cs="Arial"/>
          <w:i/>
          <w:iCs/>
          <w:sz w:val="20"/>
          <w:szCs w:val="20"/>
        </w:rPr>
        <w:t>Aquaculture Reports, 25</w:t>
      </w:r>
      <w:r>
        <w:rPr>
          <w:rFonts w:ascii="Arial" w:hAnsi="Arial" w:cs="Arial"/>
          <w:sz w:val="20"/>
          <w:szCs w:val="20"/>
        </w:rPr>
        <w:t>, 101273.</w:t>
      </w:r>
    </w:p>
    <w:p w14:paraId="6078FFBB"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Rakocy, J.E., Bailey, D.S., Shultz, R.C. &amp; Thoman, E.S. (2000). Update on tilapia and vegetable production in the UVI aquaponic system. In: </w:t>
      </w:r>
      <w:r>
        <w:rPr>
          <w:rFonts w:ascii="Arial" w:hAnsi="Arial" w:cs="Arial"/>
          <w:i/>
          <w:iCs/>
          <w:sz w:val="20"/>
          <w:szCs w:val="20"/>
        </w:rPr>
        <w:t>New Dimensions on Farmed Tilapia: Proceedings of the Fifth International Symposium on Tilapia in Aquaculture</w:t>
      </w:r>
      <w:r>
        <w:rPr>
          <w:rFonts w:ascii="Arial" w:hAnsi="Arial" w:cs="Arial"/>
          <w:sz w:val="20"/>
          <w:szCs w:val="20"/>
        </w:rPr>
        <w:t>, Rio de Janeiro, Brazil, 624–632.</w:t>
      </w:r>
    </w:p>
    <w:p w14:paraId="1CF78972"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Rakocy, J.E., Masser, M.P. &amp; Losordo, T.M. (2006). </w:t>
      </w:r>
      <w:r>
        <w:rPr>
          <w:rFonts w:ascii="Arial" w:hAnsi="Arial" w:cs="Arial"/>
          <w:i/>
          <w:iCs/>
          <w:sz w:val="20"/>
          <w:szCs w:val="20"/>
        </w:rPr>
        <w:t>Recirculating Aquaculture Tank Production Systems: Aquaponics—Integrating Fish and Plant Culture.</w:t>
      </w:r>
      <w:r>
        <w:rPr>
          <w:rFonts w:ascii="Arial" w:hAnsi="Arial" w:cs="Arial"/>
          <w:sz w:val="20"/>
          <w:szCs w:val="20"/>
        </w:rPr>
        <w:t xml:space="preserve"> SRAC Publication No. 454.</w:t>
      </w:r>
    </w:p>
    <w:p w14:paraId="5F608C17"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Roe, S.C. &amp; Midmore, D.J. (2008). Sustainable aquaponics: An evaluation of the environmental impact of integrated fish and plant production systems. </w:t>
      </w:r>
      <w:r>
        <w:rPr>
          <w:rFonts w:ascii="Arial" w:hAnsi="Arial" w:cs="Arial"/>
          <w:i/>
          <w:iCs/>
          <w:sz w:val="20"/>
          <w:szCs w:val="20"/>
        </w:rPr>
        <w:t>Aquaculture International</w:t>
      </w:r>
      <w:r>
        <w:rPr>
          <w:rFonts w:ascii="Arial" w:hAnsi="Arial" w:cs="Arial"/>
          <w:sz w:val="20"/>
          <w:szCs w:val="20"/>
        </w:rPr>
        <w:t xml:space="preserve">, </w:t>
      </w:r>
      <w:r>
        <w:rPr>
          <w:rFonts w:ascii="Arial" w:hAnsi="Arial" w:cs="Arial"/>
          <w:i/>
          <w:iCs/>
          <w:sz w:val="20"/>
          <w:szCs w:val="20"/>
        </w:rPr>
        <w:t>16</w:t>
      </w:r>
      <w:r>
        <w:rPr>
          <w:rFonts w:ascii="Arial" w:hAnsi="Arial" w:cs="Arial"/>
          <w:sz w:val="20"/>
          <w:szCs w:val="20"/>
        </w:rPr>
        <w:t>(6), 447–458.</w:t>
      </w:r>
    </w:p>
    <w:p w14:paraId="15EB389B"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Sallenave, R. (2016). </w:t>
      </w:r>
      <w:r>
        <w:rPr>
          <w:rFonts w:ascii="Arial" w:hAnsi="Arial" w:cs="Arial"/>
          <w:i/>
          <w:iCs/>
          <w:sz w:val="20"/>
          <w:szCs w:val="20"/>
        </w:rPr>
        <w:t>Understanding and Maintaining Dissolved Oxygen in Aquaculture Ponds.</w:t>
      </w:r>
      <w:r>
        <w:rPr>
          <w:rFonts w:ascii="Arial" w:hAnsi="Arial" w:cs="Arial"/>
          <w:sz w:val="20"/>
          <w:szCs w:val="20"/>
        </w:rPr>
        <w:t xml:space="preserve"> New Mexico State University, Guide A-129.</w:t>
      </w:r>
    </w:p>
    <w:p w14:paraId="7BE75B83"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Sharma, M., Verma, T., &amp; Sharma, A. (2025). Aquaponic innovations: Optimizing carp growth in polyculture tank with plant diversity in Himachal Pradesh. </w:t>
      </w:r>
      <w:r>
        <w:rPr>
          <w:rFonts w:ascii="Arial" w:hAnsi="Arial" w:cs="Arial"/>
          <w:i/>
          <w:iCs/>
          <w:sz w:val="20"/>
          <w:szCs w:val="20"/>
        </w:rPr>
        <w:t>Indian Journal of Animal Sciences, 95</w:t>
      </w:r>
      <w:r>
        <w:rPr>
          <w:rFonts w:ascii="Arial" w:hAnsi="Arial" w:cs="Arial"/>
          <w:sz w:val="20"/>
          <w:szCs w:val="20"/>
        </w:rPr>
        <w:t>(4), 344–347.</w:t>
      </w:r>
    </w:p>
    <w:p w14:paraId="75AE9C2F"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Somerville, C., Cohen, M., Pantanella, E., Stankus, A. &amp; Lovatelli, A. (2014). </w:t>
      </w:r>
      <w:r>
        <w:rPr>
          <w:rFonts w:ascii="Arial" w:hAnsi="Arial" w:cs="Arial"/>
          <w:i/>
          <w:iCs/>
          <w:sz w:val="20"/>
          <w:szCs w:val="20"/>
        </w:rPr>
        <w:t>Small-scale Aquaponic Food Production: Integrated Fish and Plant Farming.</w:t>
      </w:r>
      <w:r>
        <w:rPr>
          <w:rFonts w:ascii="Arial" w:hAnsi="Arial" w:cs="Arial"/>
          <w:sz w:val="20"/>
          <w:szCs w:val="20"/>
        </w:rPr>
        <w:t xml:space="preserve"> FAO Fisheries and Aquaculture Technical Paper No. 589. Rome: FAO.</w:t>
      </w:r>
    </w:p>
    <w:p w14:paraId="46AAB0FC"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Stone, N.M. &amp; Thomforde, H.K. (2004). </w:t>
      </w:r>
      <w:r>
        <w:rPr>
          <w:rFonts w:ascii="Arial" w:hAnsi="Arial" w:cs="Arial"/>
          <w:i/>
          <w:iCs/>
          <w:sz w:val="20"/>
          <w:szCs w:val="20"/>
        </w:rPr>
        <w:t>Understanding Your Fish Pond Water Analysis Report.</w:t>
      </w:r>
      <w:r>
        <w:rPr>
          <w:rFonts w:ascii="Arial" w:hAnsi="Arial" w:cs="Arial"/>
          <w:sz w:val="20"/>
          <w:szCs w:val="20"/>
        </w:rPr>
        <w:t xml:space="preserve"> University of Arkansas Cooperative Extension Service, FSA 9090.</w:t>
      </w:r>
    </w:p>
    <w:p w14:paraId="1D547B68"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Tidwell, J.H. &amp; Coyle, S.D. (2007). Aquaculture production systems. In: Tidwell, J.H. (Ed.), </w:t>
      </w:r>
      <w:r>
        <w:rPr>
          <w:rFonts w:ascii="Arial" w:hAnsi="Arial" w:cs="Arial"/>
          <w:i/>
          <w:iCs/>
          <w:sz w:val="20"/>
          <w:szCs w:val="20"/>
        </w:rPr>
        <w:t>Aquaculture Production Systems.</w:t>
      </w:r>
      <w:r>
        <w:rPr>
          <w:rFonts w:ascii="Arial" w:hAnsi="Arial" w:cs="Arial"/>
          <w:sz w:val="20"/>
          <w:szCs w:val="20"/>
        </w:rPr>
        <w:t xml:space="preserve"> Wiley-Blackwell, Ames, IA, pp. 1–30.</w:t>
      </w:r>
    </w:p>
    <w:p w14:paraId="4D0EFFAD" w14:textId="77777777" w:rsidR="00275F5A" w:rsidRDefault="00CF3A5E">
      <w:pPr>
        <w:spacing w:line="240" w:lineRule="auto"/>
        <w:jc w:val="both"/>
        <w:rPr>
          <w:rFonts w:ascii="Arial" w:hAnsi="Arial" w:cs="Arial"/>
          <w:sz w:val="20"/>
          <w:szCs w:val="20"/>
        </w:rPr>
      </w:pPr>
      <w:r>
        <w:rPr>
          <w:rFonts w:ascii="Arial" w:hAnsi="Arial" w:cs="Arial"/>
          <w:sz w:val="20"/>
          <w:szCs w:val="20"/>
        </w:rPr>
        <w:t xml:space="preserve">Zou, Y., Hu, Z., Zhang, J., Xie, H., Guimbaud, C. &amp; Fang, Y. (2016). Effect of pH on nitrogen transformations in media-based aquaponics. </w:t>
      </w:r>
      <w:r>
        <w:rPr>
          <w:rFonts w:ascii="Arial" w:hAnsi="Arial" w:cs="Arial"/>
          <w:i/>
          <w:iCs/>
          <w:sz w:val="20"/>
          <w:szCs w:val="20"/>
        </w:rPr>
        <w:t>Bioresource Technology</w:t>
      </w:r>
      <w:r>
        <w:rPr>
          <w:rFonts w:ascii="Arial" w:hAnsi="Arial" w:cs="Arial"/>
          <w:sz w:val="20"/>
          <w:szCs w:val="20"/>
        </w:rPr>
        <w:t xml:space="preserve">, </w:t>
      </w:r>
      <w:r>
        <w:rPr>
          <w:rFonts w:ascii="Arial" w:hAnsi="Arial" w:cs="Arial"/>
          <w:i/>
          <w:iCs/>
          <w:sz w:val="20"/>
          <w:szCs w:val="20"/>
        </w:rPr>
        <w:t>210</w:t>
      </w:r>
      <w:r>
        <w:rPr>
          <w:rFonts w:ascii="Arial" w:hAnsi="Arial" w:cs="Arial"/>
          <w:sz w:val="20"/>
          <w:szCs w:val="20"/>
        </w:rPr>
        <w:t>, 81–87.</w:t>
      </w:r>
    </w:p>
    <w:p w14:paraId="537360D8" w14:textId="77777777" w:rsidR="00275F5A" w:rsidRDefault="00275F5A">
      <w:pPr>
        <w:spacing w:line="240" w:lineRule="auto"/>
        <w:jc w:val="both"/>
        <w:rPr>
          <w:rFonts w:ascii="Arial" w:hAnsi="Arial" w:cs="Arial"/>
          <w:sz w:val="20"/>
          <w:szCs w:val="20"/>
        </w:rPr>
      </w:pPr>
    </w:p>
    <w:p w14:paraId="0C5725E0" w14:textId="77777777" w:rsidR="00275F5A" w:rsidRDefault="00275F5A">
      <w:pPr>
        <w:spacing w:line="240" w:lineRule="auto"/>
        <w:jc w:val="both"/>
        <w:rPr>
          <w:rFonts w:ascii="Arial" w:hAnsi="Arial" w:cs="Arial"/>
          <w:sz w:val="20"/>
          <w:szCs w:val="20"/>
        </w:rPr>
      </w:pPr>
    </w:p>
    <w:p w14:paraId="0654A8F8" w14:textId="77777777" w:rsidR="00275F5A" w:rsidRDefault="00275F5A">
      <w:pPr>
        <w:spacing w:line="240" w:lineRule="auto"/>
        <w:jc w:val="both"/>
        <w:rPr>
          <w:rFonts w:ascii="Arial" w:hAnsi="Arial" w:cs="Arial"/>
          <w:sz w:val="20"/>
          <w:szCs w:val="20"/>
          <w:lang w:val="en-IN"/>
        </w:rPr>
      </w:pPr>
    </w:p>
    <w:p w14:paraId="78E2D41C" w14:textId="77777777" w:rsidR="00275F5A" w:rsidRDefault="00275F5A">
      <w:pPr>
        <w:spacing w:line="240" w:lineRule="auto"/>
        <w:jc w:val="both"/>
        <w:rPr>
          <w:rFonts w:ascii="Arial" w:hAnsi="Arial" w:cs="Arial"/>
          <w:sz w:val="20"/>
          <w:szCs w:val="20"/>
        </w:rPr>
      </w:pPr>
    </w:p>
    <w:sectPr w:rsidR="00275F5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E7A4" w14:textId="77777777" w:rsidR="00F44ECE" w:rsidRDefault="00F44ECE">
      <w:pPr>
        <w:spacing w:line="240" w:lineRule="auto"/>
      </w:pPr>
      <w:r>
        <w:separator/>
      </w:r>
    </w:p>
  </w:endnote>
  <w:endnote w:type="continuationSeparator" w:id="0">
    <w:p w14:paraId="0A231D35" w14:textId="77777777" w:rsidR="00F44ECE" w:rsidRDefault="00F44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04BA" w14:textId="77777777" w:rsidR="00275F5A" w:rsidRDefault="00275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04C3" w14:textId="77777777" w:rsidR="00275F5A" w:rsidRDefault="00275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F8B0" w14:textId="77777777" w:rsidR="00275F5A" w:rsidRDefault="00275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CBA1" w14:textId="77777777" w:rsidR="00F44ECE" w:rsidRDefault="00F44ECE">
      <w:pPr>
        <w:spacing w:after="0"/>
      </w:pPr>
      <w:r>
        <w:separator/>
      </w:r>
    </w:p>
  </w:footnote>
  <w:footnote w:type="continuationSeparator" w:id="0">
    <w:p w14:paraId="3D116A70" w14:textId="77777777" w:rsidR="00F44ECE" w:rsidRDefault="00F44E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35C8" w14:textId="77777777" w:rsidR="00275F5A" w:rsidRDefault="00000000">
    <w:pPr>
      <w:pStyle w:val="Header"/>
    </w:pPr>
    <w:r>
      <w:pict w14:anchorId="1B327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8" o:spid="_x0000_s1026"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9466" w14:textId="77777777" w:rsidR="00275F5A" w:rsidRDefault="00000000">
    <w:pPr>
      <w:pStyle w:val="Header"/>
    </w:pPr>
    <w:r>
      <w:pict w14:anchorId="791D8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9" o:spid="_x0000_s1027"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1587" w14:textId="77777777" w:rsidR="00275F5A" w:rsidRDefault="00000000">
    <w:pPr>
      <w:pStyle w:val="Header"/>
    </w:pPr>
    <w:r>
      <w:pict w14:anchorId="7BCAF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7" o:spid="_x0000_s1025"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D1C11"/>
    <w:multiLevelType w:val="multilevel"/>
    <w:tmpl w:val="215D1C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37A0E17"/>
    <w:multiLevelType w:val="multilevel"/>
    <w:tmpl w:val="637A0E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545294594">
    <w:abstractNumId w:val="0"/>
  </w:num>
  <w:num w:numId="2" w16cid:durableId="69330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2"/>
    <w:rsid w:val="00094FA7"/>
    <w:rsid w:val="000E6D20"/>
    <w:rsid w:val="000F6B22"/>
    <w:rsid w:val="0012530F"/>
    <w:rsid w:val="00134E5B"/>
    <w:rsid w:val="00171CDA"/>
    <w:rsid w:val="00173E0C"/>
    <w:rsid w:val="001A3A55"/>
    <w:rsid w:val="001A3A63"/>
    <w:rsid w:val="001D78B5"/>
    <w:rsid w:val="00217FF0"/>
    <w:rsid w:val="00254422"/>
    <w:rsid w:val="00275F5A"/>
    <w:rsid w:val="002901A4"/>
    <w:rsid w:val="00322895"/>
    <w:rsid w:val="00345CA1"/>
    <w:rsid w:val="00362AC5"/>
    <w:rsid w:val="0038135D"/>
    <w:rsid w:val="003A762B"/>
    <w:rsid w:val="0040187D"/>
    <w:rsid w:val="00433CE1"/>
    <w:rsid w:val="00456FB4"/>
    <w:rsid w:val="0048651F"/>
    <w:rsid w:val="004A19A6"/>
    <w:rsid w:val="004E68DE"/>
    <w:rsid w:val="004E7994"/>
    <w:rsid w:val="00504003"/>
    <w:rsid w:val="00505AF8"/>
    <w:rsid w:val="00520998"/>
    <w:rsid w:val="00587F8A"/>
    <w:rsid w:val="005D1915"/>
    <w:rsid w:val="005E39E1"/>
    <w:rsid w:val="00616577"/>
    <w:rsid w:val="0062582C"/>
    <w:rsid w:val="00645718"/>
    <w:rsid w:val="0067439F"/>
    <w:rsid w:val="006A03AB"/>
    <w:rsid w:val="006C5D1A"/>
    <w:rsid w:val="007364DD"/>
    <w:rsid w:val="007401D3"/>
    <w:rsid w:val="0075087F"/>
    <w:rsid w:val="00767E22"/>
    <w:rsid w:val="007E04E5"/>
    <w:rsid w:val="007E4158"/>
    <w:rsid w:val="008321B2"/>
    <w:rsid w:val="00842215"/>
    <w:rsid w:val="0087157A"/>
    <w:rsid w:val="0088340A"/>
    <w:rsid w:val="008844B6"/>
    <w:rsid w:val="00891909"/>
    <w:rsid w:val="008C4F01"/>
    <w:rsid w:val="009103D3"/>
    <w:rsid w:val="00921C66"/>
    <w:rsid w:val="00A150ED"/>
    <w:rsid w:val="00A5139B"/>
    <w:rsid w:val="00A6785D"/>
    <w:rsid w:val="00A77E61"/>
    <w:rsid w:val="00A86391"/>
    <w:rsid w:val="00AA64A3"/>
    <w:rsid w:val="00AC5B9D"/>
    <w:rsid w:val="00AE13FE"/>
    <w:rsid w:val="00AE7014"/>
    <w:rsid w:val="00B129BB"/>
    <w:rsid w:val="00B33FCD"/>
    <w:rsid w:val="00B34059"/>
    <w:rsid w:val="00B436FD"/>
    <w:rsid w:val="00BA31C9"/>
    <w:rsid w:val="00CD692D"/>
    <w:rsid w:val="00CF1C8B"/>
    <w:rsid w:val="00CF3A5E"/>
    <w:rsid w:val="00D0637A"/>
    <w:rsid w:val="00D177E8"/>
    <w:rsid w:val="00D21C62"/>
    <w:rsid w:val="00D3064F"/>
    <w:rsid w:val="00D37FDB"/>
    <w:rsid w:val="00D63EC2"/>
    <w:rsid w:val="00D707BB"/>
    <w:rsid w:val="00D75D62"/>
    <w:rsid w:val="00D844E3"/>
    <w:rsid w:val="00DB3547"/>
    <w:rsid w:val="00DD2FBA"/>
    <w:rsid w:val="00DE6400"/>
    <w:rsid w:val="00E649A4"/>
    <w:rsid w:val="00E86F8E"/>
    <w:rsid w:val="00EB2058"/>
    <w:rsid w:val="00EB71CA"/>
    <w:rsid w:val="00EB75F7"/>
    <w:rsid w:val="00F00145"/>
    <w:rsid w:val="00F0688F"/>
    <w:rsid w:val="00F34F60"/>
    <w:rsid w:val="00F427E9"/>
    <w:rsid w:val="00F44ECE"/>
    <w:rsid w:val="00F71369"/>
    <w:rsid w:val="00F84E33"/>
    <w:rsid w:val="00FB3C04"/>
    <w:rsid w:val="00FC684C"/>
    <w:rsid w:val="1F760F69"/>
    <w:rsid w:val="422B1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1C5B"/>
  <w15:docId w15:val="{21E76E54-37AE-403B-81DE-EBE34DAB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Tank 1</c:v>
                </c:pt>
              </c:strCache>
            </c:strRef>
          </c:tx>
          <c:spPr>
            <a:solidFill>
              <a:schemeClr val="accent1"/>
            </a:solidFill>
            <a:ln>
              <a:noFill/>
            </a:ln>
            <a:effectLst/>
          </c:spPr>
          <c:invertIfNegative val="0"/>
          <c:cat>
            <c:strRef>
              <c:f>Sheet1!$A$2:$A$5</c:f>
              <c:strCache>
                <c:ptCount val="3"/>
                <c:pt idx="0">
                  <c:v>Coriandrum sativum</c:v>
                </c:pt>
                <c:pt idx="1">
                  <c:v>Spinacia oleracea</c:v>
                </c:pt>
                <c:pt idx="2">
                  <c:v>Chenopodium album</c:v>
                </c:pt>
              </c:strCache>
            </c:strRef>
          </c:cat>
          <c:val>
            <c:numRef>
              <c:f>Sheet1!$B$2:$B$5</c:f>
              <c:numCache>
                <c:formatCode>General</c:formatCode>
                <c:ptCount val="4"/>
                <c:pt idx="0">
                  <c:v>40.35</c:v>
                </c:pt>
                <c:pt idx="1">
                  <c:v>23.43</c:v>
                </c:pt>
                <c:pt idx="2">
                  <c:v>43.19</c:v>
                </c:pt>
              </c:numCache>
            </c:numRef>
          </c:val>
          <c:extLst>
            <c:ext xmlns:c16="http://schemas.microsoft.com/office/drawing/2014/chart" uri="{C3380CC4-5D6E-409C-BE32-E72D297353CC}">
              <c16:uniqueId val="{00000000-37F1-43B6-87C3-4319595B2F1D}"/>
            </c:ext>
          </c:extLst>
        </c:ser>
        <c:ser>
          <c:idx val="1"/>
          <c:order val="1"/>
          <c:tx>
            <c:strRef>
              <c:f>Sheet1!$C$1</c:f>
              <c:strCache>
                <c:ptCount val="1"/>
                <c:pt idx="0">
                  <c:v>Tank 2</c:v>
                </c:pt>
              </c:strCache>
            </c:strRef>
          </c:tx>
          <c:spPr>
            <a:solidFill>
              <a:schemeClr val="accent2"/>
            </a:solidFill>
            <a:ln>
              <a:noFill/>
            </a:ln>
            <a:effectLst/>
          </c:spPr>
          <c:invertIfNegative val="0"/>
          <c:cat>
            <c:strRef>
              <c:f>Sheet1!$A$2:$A$5</c:f>
              <c:strCache>
                <c:ptCount val="3"/>
                <c:pt idx="0">
                  <c:v>Coriandrum sativum</c:v>
                </c:pt>
                <c:pt idx="1">
                  <c:v>Spinacia oleracea</c:v>
                </c:pt>
                <c:pt idx="2">
                  <c:v>Chenopodium album</c:v>
                </c:pt>
              </c:strCache>
            </c:strRef>
          </c:cat>
          <c:val>
            <c:numRef>
              <c:f>Sheet1!$C$2:$C$5</c:f>
              <c:numCache>
                <c:formatCode>General</c:formatCode>
                <c:ptCount val="4"/>
                <c:pt idx="0">
                  <c:v>40.39</c:v>
                </c:pt>
                <c:pt idx="1">
                  <c:v>23.3</c:v>
                </c:pt>
                <c:pt idx="2">
                  <c:v>43.32</c:v>
                </c:pt>
              </c:numCache>
            </c:numRef>
          </c:val>
          <c:extLst>
            <c:ext xmlns:c16="http://schemas.microsoft.com/office/drawing/2014/chart" uri="{C3380CC4-5D6E-409C-BE32-E72D297353CC}">
              <c16:uniqueId val="{00000001-37F1-43B6-87C3-4319595B2F1D}"/>
            </c:ext>
          </c:extLst>
        </c:ser>
        <c:ser>
          <c:idx val="2"/>
          <c:order val="2"/>
          <c:tx>
            <c:strRef>
              <c:f>Sheet1!$D$1</c:f>
              <c:strCache>
                <c:ptCount val="1"/>
                <c:pt idx="0">
                  <c:v>Field</c:v>
                </c:pt>
              </c:strCache>
            </c:strRef>
          </c:tx>
          <c:spPr>
            <a:solidFill>
              <a:schemeClr val="accent3"/>
            </a:solidFill>
            <a:ln>
              <a:noFill/>
            </a:ln>
            <a:effectLst/>
          </c:spPr>
          <c:invertIfNegative val="0"/>
          <c:cat>
            <c:strRef>
              <c:f>Sheet1!$A$2:$A$5</c:f>
              <c:strCache>
                <c:ptCount val="3"/>
                <c:pt idx="0">
                  <c:v>Coriandrum sativum</c:v>
                </c:pt>
                <c:pt idx="1">
                  <c:v>Spinacia oleracea</c:v>
                </c:pt>
                <c:pt idx="2">
                  <c:v>Chenopodium album</c:v>
                </c:pt>
              </c:strCache>
            </c:strRef>
          </c:cat>
          <c:val>
            <c:numRef>
              <c:f>Sheet1!$D$2:$D$5</c:f>
              <c:numCache>
                <c:formatCode>General</c:formatCode>
                <c:ptCount val="4"/>
                <c:pt idx="0">
                  <c:v>38.340000000000003</c:v>
                </c:pt>
                <c:pt idx="1">
                  <c:v>18.88</c:v>
                </c:pt>
                <c:pt idx="2">
                  <c:v>35.01</c:v>
                </c:pt>
              </c:numCache>
            </c:numRef>
          </c:val>
          <c:extLst>
            <c:ext xmlns:c16="http://schemas.microsoft.com/office/drawing/2014/chart" uri="{C3380CC4-5D6E-409C-BE32-E72D297353CC}">
              <c16:uniqueId val="{00000002-37F1-43B6-87C3-4319595B2F1D}"/>
            </c:ext>
          </c:extLst>
        </c:ser>
        <c:dLbls>
          <c:showLegendKey val="0"/>
          <c:showVal val="0"/>
          <c:showCatName val="0"/>
          <c:showSerName val="0"/>
          <c:showPercent val="0"/>
          <c:showBubbleSize val="0"/>
        </c:dLbls>
        <c:gapWidth val="219"/>
        <c:overlap val="-27"/>
        <c:axId val="1791262351"/>
        <c:axId val="1791255151"/>
      </c:barChart>
      <c:catAx>
        <c:axId val="1791262351"/>
        <c:scaling>
          <c:orientation val="minMax"/>
        </c:scaling>
        <c:delete val="0"/>
        <c:axPos val="b"/>
        <c:title>
          <c:tx>
            <c:rich>
              <a:bodyPr rot="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1">
                    <a:latin typeface="Times New Roman" panose="02020603050405020304" charset="0"/>
                    <a:cs typeface="Times New Roman" panose="02020603050405020304" charset="0"/>
                  </a:rPr>
                  <a:t>Plant</a:t>
                </a:r>
                <a:r>
                  <a:rPr lang="en-US" sz="1200" b="1" baseline="0">
                    <a:latin typeface="Times New Roman" panose="02020603050405020304" charset="0"/>
                    <a:cs typeface="Times New Roman" panose="02020603050405020304" charset="0"/>
                  </a:rPr>
                  <a:t> Species</a:t>
                </a:r>
                <a:endParaRPr lang="en-US" sz="1200" b="1">
                  <a:latin typeface="Times New Roman" panose="02020603050405020304" charset="0"/>
                  <a:cs typeface="Times New Roman" panose="02020603050405020304" charset="0"/>
                </a:endParaRPr>
              </a:p>
            </c:rich>
          </c:tx>
          <c:layout>
            <c:manualLayout>
              <c:xMode val="edge"/>
              <c:yMode val="edge"/>
              <c:x val="0.41762448964712701"/>
              <c:y val="0.84355200376072403"/>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crossAx val="1791255151"/>
        <c:crosses val="autoZero"/>
        <c:auto val="1"/>
        <c:lblAlgn val="ctr"/>
        <c:lblOffset val="100"/>
        <c:noMultiLvlLbl val="0"/>
      </c:catAx>
      <c:valAx>
        <c:axId val="1791255151"/>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Growth</a:t>
                </a:r>
                <a:r>
                  <a:rPr lang="en-US" sz="1200" b="1" baseline="0">
                    <a:latin typeface="Times New Roman" panose="02020603050405020304" charset="0"/>
                    <a:cs typeface="Times New Roman" panose="02020603050405020304" charset="0"/>
                  </a:rPr>
                  <a:t> (cm)</a:t>
                </a:r>
                <a:endParaRPr lang="en-US" sz="12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912623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bcb547-d37b-4fe1-aaef-a0f42c1f611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A63CC-9C7A-4C49-B7D0-B360A185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4237</Words>
  <Characters>24155</Characters>
  <Application>Microsoft Office Word</Application>
  <DocSecurity>0</DocSecurity>
  <Lines>201</Lines>
  <Paragraphs>56</Paragraphs>
  <ScaleCrop>false</ScaleCrop>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 Rana</dc:creator>
  <cp:lastModifiedBy>Editor-90</cp:lastModifiedBy>
  <cp:revision>3</cp:revision>
  <dcterms:created xsi:type="dcterms:W3CDTF">2025-10-30T08:12:00Z</dcterms:created>
  <dcterms:modified xsi:type="dcterms:W3CDTF">2025-10-30T10:08:00Z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0BE709E76276477E887351F3268859C7_13</vt:lpwstr>
  </property>
</Properties>
</file>