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0A3BD" w14:textId="77777777" w:rsidR="00754C9A" w:rsidRDefault="00754C9A" w:rsidP="00441B6F">
      <w:pPr>
        <w:pStyle w:val="Title"/>
        <w:spacing w:after="0"/>
        <w:jc w:val="both"/>
        <w:rPr>
          <w:rFonts w:ascii="Arial" w:hAnsi="Arial" w:cs="Arial"/>
        </w:rPr>
      </w:pPr>
    </w:p>
    <w:p w14:paraId="74C21623" w14:textId="078FDD59" w:rsidR="009022D5" w:rsidRPr="008955D3" w:rsidRDefault="009022D5" w:rsidP="009022D5">
      <w:pPr>
        <w:jc w:val="center"/>
        <w:rPr>
          <w:rFonts w:cstheme="minorHAnsi"/>
          <w:b/>
          <w:bCs/>
          <w:sz w:val="28"/>
          <w:szCs w:val="28"/>
        </w:rPr>
      </w:pPr>
      <w:bookmarkStart w:id="0" w:name="_Hlk208148479"/>
      <w:r w:rsidRPr="008955D3">
        <w:rPr>
          <w:rFonts w:cstheme="minorHAnsi"/>
          <w:b/>
          <w:bCs/>
          <w:sz w:val="28"/>
          <w:szCs w:val="28"/>
        </w:rPr>
        <w:t>Withhold</w:t>
      </w:r>
      <w:r>
        <w:rPr>
          <w:rFonts w:cstheme="minorHAnsi"/>
          <w:b/>
          <w:bCs/>
          <w:sz w:val="28"/>
          <w:szCs w:val="28"/>
        </w:rPr>
        <w:t>ing</w:t>
      </w:r>
      <w:r w:rsidRPr="008955D3">
        <w:rPr>
          <w:rFonts w:cstheme="minorHAnsi"/>
          <w:b/>
          <w:bCs/>
          <w:sz w:val="28"/>
          <w:szCs w:val="28"/>
        </w:rPr>
        <w:t xml:space="preserve"> and withdrawal </w:t>
      </w:r>
      <w:r w:rsidR="00F80E89" w:rsidRPr="00F80E89">
        <w:rPr>
          <w:rFonts w:cstheme="minorHAnsi"/>
          <w:b/>
          <w:bCs/>
          <w:sz w:val="28"/>
          <w:szCs w:val="28"/>
        </w:rPr>
        <w:t>of Life-Sustaining Treatment in Palliative Care: Ethical, Legal, and Cultural Perspectives in Indonesia</w:t>
      </w:r>
    </w:p>
    <w:bookmarkEnd w:id="0"/>
    <w:p w14:paraId="0B0E41D6" w14:textId="77777777" w:rsidR="00A258C3" w:rsidRPr="00790ADA" w:rsidRDefault="00A258C3" w:rsidP="00441B6F">
      <w:pPr>
        <w:pStyle w:val="Author"/>
        <w:spacing w:line="240" w:lineRule="auto"/>
        <w:jc w:val="both"/>
        <w:rPr>
          <w:rFonts w:ascii="Arial" w:hAnsi="Arial" w:cs="Arial"/>
          <w:sz w:val="36"/>
        </w:rPr>
      </w:pPr>
    </w:p>
    <w:p w14:paraId="7FB37490" w14:textId="77777777" w:rsidR="002C57D2" w:rsidRPr="00FB3A86" w:rsidRDefault="002C57D2" w:rsidP="00441B6F">
      <w:pPr>
        <w:pStyle w:val="Affiliation"/>
        <w:spacing w:after="0" w:line="240" w:lineRule="auto"/>
        <w:jc w:val="both"/>
        <w:rPr>
          <w:rFonts w:ascii="Arial" w:hAnsi="Arial" w:cs="Arial"/>
        </w:rPr>
      </w:pPr>
    </w:p>
    <w:p w14:paraId="228BB49F" w14:textId="4FF6925D" w:rsidR="00B01FCD" w:rsidRPr="00FB3A86" w:rsidRDefault="006A7FC4"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7A2FEE7B" wp14:editId="0E9D9F57">
                <wp:extent cx="5303520" cy="635"/>
                <wp:effectExtent l="9525" t="10795" r="11430" b="17780"/>
                <wp:docPr id="8284656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890C24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9CF86C" w14:textId="728FAC7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F33E1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3335A9F" w14:textId="77777777" w:rsidTr="001E44FE">
        <w:tc>
          <w:tcPr>
            <w:tcW w:w="9576" w:type="dxa"/>
            <w:shd w:val="clear" w:color="auto" w:fill="F2F2F2"/>
          </w:tcPr>
          <w:p w14:paraId="4D5F119C" w14:textId="70EE1127" w:rsidR="00505F06" w:rsidRPr="009022D5" w:rsidRDefault="009022D5" w:rsidP="009022D5">
            <w:pPr>
              <w:jc w:val="both"/>
              <w:rPr>
                <w:rFonts w:cstheme="minorHAnsi"/>
              </w:rPr>
            </w:pPr>
            <w:r w:rsidRPr="008955D3">
              <w:rPr>
                <w:rFonts w:cstheme="minorHAnsi"/>
              </w:rPr>
              <w:t>Withholding and withdraw</w:t>
            </w:r>
            <w:r w:rsidR="001F536B">
              <w:rPr>
                <w:rFonts w:cstheme="minorHAnsi"/>
              </w:rPr>
              <w:t>al</w:t>
            </w:r>
            <w:r w:rsidRPr="008955D3">
              <w:rPr>
                <w:rFonts w:cstheme="minorHAnsi"/>
              </w:rPr>
              <w:t xml:space="preserve"> in palliative care is a dilemma frequently faced by medical personnel, patients, and their families. For palliative care patients, therapy and interventions deemed ineffective should be avoided. This is done by considering the patient's wishes and comfort, especially as they approach the end of life. Competent patients can </w:t>
            </w:r>
            <w:r>
              <w:rPr>
                <w:rFonts w:cstheme="minorHAnsi"/>
              </w:rPr>
              <w:t>decide</w:t>
            </w:r>
            <w:r w:rsidRPr="008955D3">
              <w:rPr>
                <w:rFonts w:cstheme="minorHAnsi"/>
              </w:rPr>
              <w:t xml:space="preserve"> about the treatment and intervention options to receive. However, many palliative care patients are incompetent, requiring others to take over decision-making. Ethical, legal, cultural, religious, and social issues always accompany medical decision-making.</w:t>
            </w:r>
            <w:r w:rsidR="0032235F">
              <w:rPr>
                <w:rFonts w:cstheme="minorHAnsi"/>
              </w:rPr>
              <w:t xml:space="preserve"> Every person involved, whether clinicians, nurses, families, or even society, has their own views about medical care, especially when the decision of withholding and withdrawal of life-sustaining therapy is </w:t>
            </w:r>
            <w:r w:rsidR="003330AC">
              <w:rPr>
                <w:rFonts w:cstheme="minorHAnsi"/>
              </w:rPr>
              <w:t>inevitable</w:t>
            </w:r>
            <w:r w:rsidR="0032235F">
              <w:rPr>
                <w:rFonts w:cstheme="minorHAnsi"/>
              </w:rPr>
              <w:t>.</w:t>
            </w:r>
            <w:r w:rsidRPr="008955D3">
              <w:rPr>
                <w:rFonts w:cstheme="minorHAnsi"/>
              </w:rPr>
              <w:t xml:space="preserve"> Discussions about death with living individuals are considered taboo in some cultures, including Indonesia. Therefore, planning for advanced medical therapy and all discussions related to end-of-life patient care, such as Advanced Care Planning, present a unique challenge for palliative care clinicians.</w:t>
            </w:r>
            <w:r w:rsidR="00076E74">
              <w:rPr>
                <w:rFonts w:cstheme="minorHAnsi"/>
              </w:rPr>
              <w:t xml:space="preserve"> We reviewed some papers related to this topic because it is still becoming ‘a grey area’ for clinicians.</w:t>
            </w:r>
            <w:r w:rsidR="00F80E89">
              <w:rPr>
                <w:rFonts w:cstheme="minorHAnsi"/>
              </w:rPr>
              <w:t xml:space="preserve"> This review focused on the multifactorial challenges that should be addressed by clinicians before </w:t>
            </w:r>
            <w:proofErr w:type="gramStart"/>
            <w:r w:rsidR="00F80E89">
              <w:rPr>
                <w:rFonts w:cstheme="minorHAnsi"/>
              </w:rPr>
              <w:t>making a decision</w:t>
            </w:r>
            <w:proofErr w:type="gramEnd"/>
            <w:r w:rsidR="00F80E89">
              <w:rPr>
                <w:rFonts w:cstheme="minorHAnsi"/>
              </w:rPr>
              <w:t xml:space="preserve"> to withhold or withdraw care in palliative care patients, especially in Indonesia. </w:t>
            </w:r>
          </w:p>
        </w:tc>
      </w:tr>
    </w:tbl>
    <w:p w14:paraId="74287481" w14:textId="77777777" w:rsidR="00636EB2" w:rsidRDefault="00636EB2" w:rsidP="00441B6F">
      <w:pPr>
        <w:pStyle w:val="Body"/>
        <w:spacing w:after="0"/>
        <w:rPr>
          <w:rFonts w:ascii="Arial" w:hAnsi="Arial" w:cs="Arial"/>
          <w:i/>
        </w:rPr>
      </w:pPr>
    </w:p>
    <w:p w14:paraId="4F0A6489" w14:textId="11C48769" w:rsidR="00A24E7E" w:rsidRDefault="00A24E7E" w:rsidP="00441B6F">
      <w:pPr>
        <w:pStyle w:val="Body"/>
        <w:spacing w:after="0"/>
        <w:rPr>
          <w:rFonts w:ascii="Arial" w:hAnsi="Arial" w:cs="Arial"/>
          <w:i/>
        </w:rPr>
      </w:pPr>
      <w:r>
        <w:rPr>
          <w:rFonts w:ascii="Arial" w:hAnsi="Arial" w:cs="Arial"/>
          <w:i/>
        </w:rPr>
        <w:t xml:space="preserve">Keywords: </w:t>
      </w:r>
      <w:r w:rsidR="003566B6" w:rsidRPr="003566B6">
        <w:rPr>
          <w:rFonts w:ascii="Arial" w:hAnsi="Arial" w:cs="Arial"/>
          <w:i/>
        </w:rPr>
        <w:t>withhold, withdrawal, palliative, advance care planning, ethics</w:t>
      </w:r>
      <w:r w:rsidR="00C66EA1">
        <w:rPr>
          <w:rFonts w:ascii="Arial" w:hAnsi="Arial" w:cs="Arial"/>
          <w:i/>
        </w:rPr>
        <w:t>, legal, cultural</w:t>
      </w:r>
    </w:p>
    <w:p w14:paraId="5EB1C0BF" w14:textId="77777777" w:rsidR="0024282C" w:rsidRDefault="0024282C" w:rsidP="00441B6F">
      <w:pPr>
        <w:pStyle w:val="Body"/>
        <w:spacing w:after="0"/>
        <w:rPr>
          <w:rFonts w:ascii="Arial" w:hAnsi="Arial" w:cs="Arial"/>
          <w:i/>
          <w:sz w:val="18"/>
        </w:rPr>
      </w:pPr>
    </w:p>
    <w:p w14:paraId="643C437D" w14:textId="77777777" w:rsidR="00505F06" w:rsidRPr="00A24E7E" w:rsidRDefault="00505F06" w:rsidP="00441B6F">
      <w:pPr>
        <w:pStyle w:val="Body"/>
        <w:spacing w:after="0"/>
        <w:rPr>
          <w:rFonts w:ascii="Arial" w:hAnsi="Arial" w:cs="Arial"/>
          <w:i/>
        </w:rPr>
      </w:pPr>
    </w:p>
    <w:p w14:paraId="76F60605" w14:textId="6EE3855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751F86F" w14:textId="77777777" w:rsidR="00790ADA" w:rsidRPr="00FB3A86" w:rsidRDefault="00790ADA" w:rsidP="00441B6F">
      <w:pPr>
        <w:pStyle w:val="AbstHead"/>
        <w:spacing w:after="0"/>
        <w:jc w:val="both"/>
        <w:rPr>
          <w:rFonts w:ascii="Arial" w:hAnsi="Arial" w:cs="Arial"/>
        </w:rPr>
      </w:pPr>
    </w:p>
    <w:p w14:paraId="28457B96" w14:textId="0E4C931C" w:rsidR="00561A37" w:rsidRPr="00561A37" w:rsidRDefault="009F6051" w:rsidP="00561A37">
      <w:pPr>
        <w:pStyle w:val="AbstHead"/>
        <w:ind w:firstLine="720"/>
        <w:jc w:val="both"/>
        <w:rPr>
          <w:rFonts w:ascii="Arial" w:hAnsi="Arial" w:cs="Arial"/>
          <w:b w:val="0"/>
          <w:caps w:val="0"/>
          <w:sz w:val="20"/>
        </w:rPr>
      </w:pPr>
      <w:r>
        <w:rPr>
          <w:rFonts w:ascii="Arial" w:hAnsi="Arial" w:cs="Arial"/>
          <w:b w:val="0"/>
          <w:caps w:val="0"/>
          <w:sz w:val="20"/>
        </w:rPr>
        <w:t>“</w:t>
      </w:r>
      <w:r w:rsidR="00561A37" w:rsidRPr="00561A37">
        <w:rPr>
          <w:rFonts w:ascii="Arial" w:hAnsi="Arial" w:cs="Arial"/>
          <w:b w:val="0"/>
          <w:caps w:val="0"/>
          <w:sz w:val="20"/>
        </w:rPr>
        <w:t xml:space="preserve">The </w:t>
      </w:r>
      <w:r w:rsidR="001D514E">
        <w:rPr>
          <w:rFonts w:ascii="Arial" w:hAnsi="Arial" w:cs="Arial"/>
          <w:b w:val="0"/>
          <w:caps w:val="0"/>
          <w:sz w:val="20"/>
        </w:rPr>
        <w:t>withholding</w:t>
      </w:r>
      <w:r w:rsidR="00561A37" w:rsidRPr="00561A37">
        <w:rPr>
          <w:rFonts w:ascii="Arial" w:hAnsi="Arial" w:cs="Arial"/>
          <w:b w:val="0"/>
          <w:caps w:val="0"/>
          <w:sz w:val="20"/>
        </w:rPr>
        <w:t xml:space="preserve"> and withdrawal approach can be used in handling cases involving patients receiving palliative care, especially those approaching the end of life. However, this approach often presents a dilemma for healthcare professionals, patients, and their families. The general public, from various backgrounds with different cultures and customs, has its own understanding of the </w:t>
      </w:r>
      <w:r w:rsidR="001D514E">
        <w:rPr>
          <w:rFonts w:ascii="Arial" w:hAnsi="Arial" w:cs="Arial"/>
          <w:b w:val="0"/>
          <w:caps w:val="0"/>
          <w:sz w:val="20"/>
        </w:rPr>
        <w:t>withholding</w:t>
      </w:r>
      <w:r w:rsidR="00561A37" w:rsidRPr="00561A37">
        <w:rPr>
          <w:rFonts w:ascii="Arial" w:hAnsi="Arial" w:cs="Arial"/>
          <w:b w:val="0"/>
          <w:caps w:val="0"/>
          <w:sz w:val="20"/>
        </w:rPr>
        <w:t xml:space="preserve"> and withdrawal approaches. Furthermore, clinicians in the same hospital or intensive care unit can have differing views</w:t>
      </w:r>
      <w:proofErr w:type="gramStart"/>
      <w:r w:rsidR="00561A37" w:rsidRPr="00561A37">
        <w:rPr>
          <w:rFonts w:ascii="Arial" w:hAnsi="Arial" w:cs="Arial"/>
          <w:b w:val="0"/>
          <w:caps w:val="0"/>
          <w:sz w:val="20"/>
        </w:rPr>
        <w:t>.</w:t>
      </w:r>
      <w:r>
        <w:rPr>
          <w:rFonts w:ascii="Arial" w:hAnsi="Arial" w:cs="Arial"/>
          <w:b w:val="0"/>
          <w:caps w:val="0"/>
          <w:sz w:val="20"/>
        </w:rPr>
        <w:t>”</w:t>
      </w:r>
      <w:r w:rsidR="00561A37" w:rsidRPr="00561A37">
        <w:rPr>
          <w:rFonts w:ascii="Arial" w:hAnsi="Arial" w:cs="Arial"/>
          <w:b w:val="0"/>
          <w:caps w:val="0"/>
          <w:sz w:val="20"/>
        </w:rPr>
        <w:t>(</w:t>
      </w:r>
      <w:proofErr w:type="gramEnd"/>
      <w:r w:rsidR="00561A37" w:rsidRPr="00561A37">
        <w:rPr>
          <w:rFonts w:ascii="Arial" w:hAnsi="Arial" w:cs="Arial"/>
          <w:b w:val="0"/>
          <w:caps w:val="0"/>
          <w:sz w:val="20"/>
        </w:rPr>
        <w:t>Connolly et al., 2016; Feldman et al., 2022; Manalo, 2013; G. Piscitello &amp; Huber, 2025)</w:t>
      </w:r>
    </w:p>
    <w:p w14:paraId="0CA2F9E5" w14:textId="613674F6" w:rsidR="00561A37" w:rsidRPr="00561A37" w:rsidRDefault="009F6051" w:rsidP="00561A37">
      <w:pPr>
        <w:pStyle w:val="AbstHead"/>
        <w:ind w:firstLine="720"/>
        <w:jc w:val="both"/>
        <w:rPr>
          <w:rFonts w:ascii="Arial" w:hAnsi="Arial" w:cs="Arial"/>
          <w:b w:val="0"/>
          <w:caps w:val="0"/>
          <w:sz w:val="20"/>
        </w:rPr>
      </w:pPr>
      <w:r>
        <w:rPr>
          <w:rFonts w:ascii="Arial" w:hAnsi="Arial" w:cs="Arial"/>
          <w:b w:val="0"/>
          <w:caps w:val="0"/>
          <w:sz w:val="20"/>
        </w:rPr>
        <w:t>“</w:t>
      </w:r>
      <w:r w:rsidR="00561A37" w:rsidRPr="00561A37">
        <w:rPr>
          <w:rFonts w:ascii="Arial" w:hAnsi="Arial" w:cs="Arial"/>
          <w:b w:val="0"/>
          <w:caps w:val="0"/>
          <w:sz w:val="20"/>
        </w:rPr>
        <w:t xml:space="preserve">According to studies in Europe and the United States, a significant number of hospitals have implemented regulations regarding </w:t>
      </w:r>
      <w:r w:rsidR="001D514E">
        <w:rPr>
          <w:rFonts w:ascii="Arial" w:hAnsi="Arial" w:cs="Arial"/>
          <w:b w:val="0"/>
          <w:caps w:val="0"/>
          <w:sz w:val="20"/>
        </w:rPr>
        <w:t>withholding</w:t>
      </w:r>
      <w:r w:rsidR="00561A37" w:rsidRPr="00561A37">
        <w:rPr>
          <w:rFonts w:ascii="Arial" w:hAnsi="Arial" w:cs="Arial"/>
          <w:b w:val="0"/>
          <w:caps w:val="0"/>
          <w:sz w:val="20"/>
        </w:rPr>
        <w:t xml:space="preserve"> and withdrawal, with 92% stating that they have guidelines on this matter. Indonesia already has Minister of Health Regulation (Permenkes) Number 37 of 2014 concerning the Determination of Death and the Utilization of Donor Organs. This regulation covers discontinuing and postponing "futile" life-sustaining therapy. Although this regulation is in place and legally valid, many factors must be considered before a healthcare professional can choose a withhold or withdrawal approach for a patient. These factors include the patient's medical condition, the patient's and family's wishes, professional ethics and health law, and social, cultural, and religious considerations</w:t>
      </w:r>
      <w:proofErr w:type="gramStart"/>
      <w:r>
        <w:rPr>
          <w:rFonts w:ascii="Arial" w:hAnsi="Arial" w:cs="Arial"/>
          <w:b w:val="0"/>
          <w:caps w:val="0"/>
          <w:sz w:val="20"/>
        </w:rPr>
        <w:t>”</w:t>
      </w:r>
      <w:r w:rsidR="00561A37" w:rsidRPr="00561A37">
        <w:rPr>
          <w:rFonts w:ascii="Arial" w:hAnsi="Arial" w:cs="Arial"/>
          <w:b w:val="0"/>
          <w:caps w:val="0"/>
          <w:sz w:val="20"/>
        </w:rPr>
        <w:t>.(</w:t>
      </w:r>
      <w:proofErr w:type="spellStart"/>
      <w:proofErr w:type="gramEnd"/>
      <w:r w:rsidR="00561A37" w:rsidRPr="00561A37">
        <w:rPr>
          <w:rFonts w:ascii="Arial" w:hAnsi="Arial" w:cs="Arial"/>
          <w:b w:val="0"/>
          <w:caps w:val="0"/>
          <w:sz w:val="20"/>
        </w:rPr>
        <w:t>Nnate</w:t>
      </w:r>
      <w:proofErr w:type="spellEnd"/>
      <w:r w:rsidR="00561A37" w:rsidRPr="00561A37">
        <w:rPr>
          <w:rFonts w:ascii="Arial" w:hAnsi="Arial" w:cs="Arial"/>
          <w:b w:val="0"/>
          <w:caps w:val="0"/>
          <w:sz w:val="20"/>
        </w:rPr>
        <w:t xml:space="preserve">, 2021; </w:t>
      </w:r>
      <w:proofErr w:type="spellStart"/>
      <w:r w:rsidR="00561A37" w:rsidRPr="00561A37">
        <w:rPr>
          <w:rFonts w:ascii="Arial" w:hAnsi="Arial" w:cs="Arial"/>
          <w:b w:val="0"/>
          <w:caps w:val="0"/>
          <w:sz w:val="20"/>
        </w:rPr>
        <w:t>Penentuan</w:t>
      </w:r>
      <w:proofErr w:type="spellEnd"/>
      <w:r w:rsidR="00561A37" w:rsidRPr="00561A37">
        <w:rPr>
          <w:rFonts w:ascii="Arial" w:hAnsi="Arial" w:cs="Arial"/>
          <w:b w:val="0"/>
          <w:caps w:val="0"/>
          <w:sz w:val="20"/>
        </w:rPr>
        <w:t xml:space="preserve"> </w:t>
      </w:r>
      <w:proofErr w:type="spellStart"/>
      <w:r w:rsidR="00561A37" w:rsidRPr="00561A37">
        <w:rPr>
          <w:rFonts w:ascii="Arial" w:hAnsi="Arial" w:cs="Arial"/>
          <w:b w:val="0"/>
          <w:caps w:val="0"/>
          <w:sz w:val="20"/>
        </w:rPr>
        <w:t>Kematian</w:t>
      </w:r>
      <w:proofErr w:type="spellEnd"/>
      <w:r w:rsidR="00561A37" w:rsidRPr="00561A37">
        <w:rPr>
          <w:rFonts w:ascii="Arial" w:hAnsi="Arial" w:cs="Arial"/>
          <w:b w:val="0"/>
          <w:caps w:val="0"/>
          <w:sz w:val="20"/>
        </w:rPr>
        <w:t xml:space="preserve"> Dan </w:t>
      </w:r>
      <w:proofErr w:type="spellStart"/>
      <w:r w:rsidR="00561A37" w:rsidRPr="00561A37">
        <w:rPr>
          <w:rFonts w:ascii="Arial" w:hAnsi="Arial" w:cs="Arial"/>
          <w:b w:val="0"/>
          <w:caps w:val="0"/>
          <w:sz w:val="20"/>
        </w:rPr>
        <w:t>Pemanfaatan</w:t>
      </w:r>
      <w:proofErr w:type="spellEnd"/>
      <w:r w:rsidR="00561A37" w:rsidRPr="00561A37">
        <w:rPr>
          <w:rFonts w:ascii="Arial" w:hAnsi="Arial" w:cs="Arial"/>
          <w:b w:val="0"/>
          <w:caps w:val="0"/>
          <w:sz w:val="20"/>
        </w:rPr>
        <w:t xml:space="preserve"> Organ Donor, 2014; G. Piscitello &amp; Huber, 2025; G. M. Piscitello et al., 2024; Pradipta et al., n.d.) An analysis of </w:t>
      </w:r>
      <w:r w:rsidR="00561A37" w:rsidRPr="00561A37">
        <w:rPr>
          <w:rFonts w:ascii="Arial" w:hAnsi="Arial" w:cs="Arial"/>
          <w:b w:val="0"/>
          <w:caps w:val="0"/>
          <w:sz w:val="20"/>
        </w:rPr>
        <w:lastRenderedPageBreak/>
        <w:t>these factors is necessary for subsequent discussion with the relevant medical personnel, the patient, and their family, so that the decision to choose a withhold or withdrawal approach can be made clearly and in a focused manner, without harming any party.</w:t>
      </w:r>
    </w:p>
    <w:p w14:paraId="24BEB205" w14:textId="5E4F6DAD" w:rsidR="007F7B32" w:rsidRDefault="00902823" w:rsidP="00441B6F">
      <w:pPr>
        <w:pStyle w:val="AbstHead"/>
        <w:spacing w:after="0"/>
        <w:jc w:val="both"/>
        <w:rPr>
          <w:rFonts w:ascii="Arial" w:hAnsi="Arial" w:cs="Arial"/>
        </w:rPr>
      </w:pPr>
      <w:r>
        <w:rPr>
          <w:rFonts w:ascii="Arial" w:hAnsi="Arial" w:cs="Arial"/>
        </w:rPr>
        <w:t xml:space="preserve">2. </w:t>
      </w:r>
      <w:r w:rsidR="003566B6" w:rsidRPr="003566B6">
        <w:rPr>
          <w:rFonts w:ascii="Arial" w:hAnsi="Arial" w:cs="Arial"/>
        </w:rPr>
        <w:t>Definition of Withhold</w:t>
      </w:r>
      <w:r w:rsidR="0064677F">
        <w:rPr>
          <w:rFonts w:ascii="Arial" w:hAnsi="Arial" w:cs="Arial"/>
        </w:rPr>
        <w:t>ING</w:t>
      </w:r>
      <w:r w:rsidR="003566B6" w:rsidRPr="003566B6">
        <w:rPr>
          <w:rFonts w:ascii="Arial" w:hAnsi="Arial" w:cs="Arial"/>
        </w:rPr>
        <w:t xml:space="preserve"> and Withdrawal in Palliative Patients</w:t>
      </w:r>
    </w:p>
    <w:p w14:paraId="42C03C50" w14:textId="77777777" w:rsidR="00790ADA" w:rsidRPr="00FB3A86" w:rsidRDefault="00790ADA" w:rsidP="00441B6F">
      <w:pPr>
        <w:pStyle w:val="AbstHead"/>
        <w:spacing w:after="0"/>
        <w:jc w:val="both"/>
        <w:rPr>
          <w:rFonts w:ascii="Arial" w:hAnsi="Arial" w:cs="Arial"/>
        </w:rPr>
      </w:pPr>
    </w:p>
    <w:p w14:paraId="7957FDE5" w14:textId="6EC66CEB" w:rsidR="00561A37" w:rsidRPr="00561A37" w:rsidRDefault="00561A37" w:rsidP="00561A37">
      <w:pPr>
        <w:pStyle w:val="Body"/>
        <w:ind w:firstLine="720"/>
        <w:rPr>
          <w:rFonts w:ascii="Arial" w:hAnsi="Arial" w:cs="Arial"/>
        </w:rPr>
      </w:pPr>
      <w:r w:rsidRPr="00561A37">
        <w:rPr>
          <w:rFonts w:ascii="Arial" w:hAnsi="Arial" w:cs="Arial"/>
        </w:rPr>
        <w:t xml:space="preserve">Withhold and withdrawal in palliative care refer to the postponement or discontinuation of life-support therapy in terminally ill patients who are deemed futile. According to Indonesian Minister of Health Regulation No. 37 of 2014, the definition of withholding life support is “delaying the provision of new or advanced life-support therapy without discontinuing ongoing life-support therapy.” Meanwhile, withdrawal of life support is “stopping some or all of the life-support therapy already provided to the patient.” Decision-making must be based on the patient’s consent (if the patient is still competent to make decisions) or consent given by a substitute (family member), also known as a “surrogate,” who represents the incompetent patient to make choices for </w:t>
      </w:r>
      <w:proofErr w:type="spellStart"/>
      <w:proofErr w:type="gramStart"/>
      <w:r w:rsidR="001D514E">
        <w:rPr>
          <w:rFonts w:ascii="Arial" w:hAnsi="Arial" w:cs="Arial"/>
        </w:rPr>
        <w:t>them</w:t>
      </w:r>
      <w:r w:rsidRPr="00561A37">
        <w:rPr>
          <w:rFonts w:ascii="Arial" w:hAnsi="Arial" w:cs="Arial"/>
        </w:rPr>
        <w:t>self</w:t>
      </w:r>
      <w:proofErr w:type="spellEnd"/>
      <w:r w:rsidRPr="00561A37">
        <w:rPr>
          <w:rFonts w:ascii="Arial" w:hAnsi="Arial" w:cs="Arial"/>
        </w:rPr>
        <w:t>.(</w:t>
      </w:r>
      <w:proofErr w:type="spellStart"/>
      <w:proofErr w:type="gramEnd"/>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2014; Pradipta et al., n.d.) </w:t>
      </w:r>
    </w:p>
    <w:p w14:paraId="21F66B1E" w14:textId="3FB43EE4" w:rsidR="00790ADA" w:rsidRDefault="00561A37" w:rsidP="00561A37">
      <w:pPr>
        <w:pStyle w:val="Body"/>
        <w:spacing w:after="0"/>
        <w:rPr>
          <w:rFonts w:ascii="Arial" w:hAnsi="Arial" w:cs="Arial"/>
        </w:rPr>
      </w:pPr>
      <w:r w:rsidRPr="00561A37">
        <w:rPr>
          <w:rFonts w:ascii="Arial" w:hAnsi="Arial" w:cs="Arial"/>
        </w:rPr>
        <w:tab/>
        <w:t xml:space="preserve">Life support therapies that can be postponed or stopped are extraordinary ones, including intensive care unit (ICU), cardiopulmonary resuscitation (CPR), dysrhythmia control, tracheal intubation, mechanical ventilation, vasoactive drugs, parenteral nutrition, artificial organs, transplantation, blood transfusions, invasive monitoring, antibiotics, and actions stipulated in medical service standards. Meanwhile, oxygen, enteral nutrition, and crystalloid fluids are life support therapies that cannot be stopped or </w:t>
      </w:r>
      <w:proofErr w:type="gramStart"/>
      <w:r w:rsidRPr="00561A37">
        <w:rPr>
          <w:rFonts w:ascii="Arial" w:hAnsi="Arial" w:cs="Arial"/>
        </w:rPr>
        <w:t>postponed.(</w:t>
      </w:r>
      <w:proofErr w:type="spellStart"/>
      <w:proofErr w:type="gramEnd"/>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2014; Pradipta et al., n.d.)</w:t>
      </w:r>
    </w:p>
    <w:p w14:paraId="0A60AA0D" w14:textId="77777777" w:rsidR="00561A37" w:rsidRPr="00FB3A86" w:rsidRDefault="00561A37" w:rsidP="00561A37">
      <w:pPr>
        <w:pStyle w:val="Body"/>
        <w:spacing w:after="0"/>
        <w:rPr>
          <w:rFonts w:ascii="Arial" w:hAnsi="Arial" w:cs="Arial"/>
        </w:rPr>
      </w:pPr>
    </w:p>
    <w:p w14:paraId="05781B6B" w14:textId="0370A45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566B6" w:rsidRPr="003566B6">
        <w:rPr>
          <w:rFonts w:ascii="Arial" w:hAnsi="Arial" w:cs="Arial"/>
        </w:rPr>
        <w:t>Withhold</w:t>
      </w:r>
      <w:r w:rsidR="0064677F">
        <w:rPr>
          <w:rFonts w:ascii="Arial" w:hAnsi="Arial" w:cs="Arial"/>
        </w:rPr>
        <w:t>ING</w:t>
      </w:r>
      <w:r w:rsidR="003566B6" w:rsidRPr="003566B6">
        <w:rPr>
          <w:rFonts w:ascii="Arial" w:hAnsi="Arial" w:cs="Arial"/>
        </w:rPr>
        <w:t xml:space="preserve"> and withdrawal from a legal and ethical perspective</w:t>
      </w:r>
    </w:p>
    <w:p w14:paraId="6BC09BB7" w14:textId="77777777" w:rsidR="00790ADA" w:rsidRPr="00FB3A86" w:rsidRDefault="00790ADA" w:rsidP="00441B6F">
      <w:pPr>
        <w:pStyle w:val="Head1"/>
        <w:spacing w:after="0"/>
        <w:jc w:val="both"/>
        <w:rPr>
          <w:rFonts w:ascii="Arial" w:hAnsi="Arial" w:cs="Arial"/>
        </w:rPr>
      </w:pPr>
    </w:p>
    <w:p w14:paraId="3879E2CC" w14:textId="77777777" w:rsidR="00561A37" w:rsidRPr="00561A37" w:rsidRDefault="00561A37" w:rsidP="00561A37">
      <w:pPr>
        <w:pStyle w:val="Body"/>
        <w:ind w:firstLine="720"/>
        <w:rPr>
          <w:rFonts w:ascii="Arial" w:hAnsi="Arial" w:cs="Arial"/>
        </w:rPr>
      </w:pPr>
      <w:r w:rsidRPr="00561A37">
        <w:rPr>
          <w:rFonts w:ascii="Arial" w:hAnsi="Arial" w:cs="Arial"/>
        </w:rPr>
        <w:t xml:space="preserve">The choice of withholding and withdrawal in palliative care patients in France is considered "ethically neutral" and is considered very different from lethal injection (voluntary euthanasia). Unlike lethal injection, which is regarded as an active measure, withholding and withdrawal are considered passive. They believe that by delaying and discontinuing supportive therapy, the patient is allowed to die naturally, without prolonging their suffering. A study in Hong Kong reported that during palliative care, life-sustaining therapy is restricted, but a lengthy time is required before such a decision can be made. This aligns with local Hong Kong guidelines and the international consensus on palliative </w:t>
      </w:r>
      <w:proofErr w:type="gramStart"/>
      <w:r w:rsidRPr="00561A37">
        <w:rPr>
          <w:rFonts w:ascii="Arial" w:hAnsi="Arial" w:cs="Arial"/>
        </w:rPr>
        <w:t>care.(</w:t>
      </w:r>
      <w:proofErr w:type="gramEnd"/>
      <w:r w:rsidRPr="00561A37">
        <w:rPr>
          <w:rFonts w:ascii="Arial" w:hAnsi="Arial" w:cs="Arial"/>
        </w:rPr>
        <w:t xml:space="preserve">Joynt et al., 2024; Penders et al., 2020; </w:t>
      </w:r>
      <w:proofErr w:type="spellStart"/>
      <w:r w:rsidRPr="00561A37">
        <w:rPr>
          <w:rFonts w:ascii="Arial" w:hAnsi="Arial" w:cs="Arial"/>
        </w:rPr>
        <w:t>Spranzi</w:t>
      </w:r>
      <w:proofErr w:type="spellEnd"/>
      <w:r w:rsidRPr="00561A37">
        <w:rPr>
          <w:rFonts w:ascii="Arial" w:hAnsi="Arial" w:cs="Arial"/>
        </w:rPr>
        <w:t xml:space="preserve"> et al., 2025) </w:t>
      </w:r>
    </w:p>
    <w:p w14:paraId="36FE740B" w14:textId="77777777" w:rsidR="00561A37" w:rsidRPr="00561A37" w:rsidRDefault="00561A37" w:rsidP="00561A37">
      <w:pPr>
        <w:pStyle w:val="Body"/>
        <w:rPr>
          <w:rFonts w:ascii="Arial" w:hAnsi="Arial" w:cs="Arial"/>
        </w:rPr>
      </w:pPr>
      <w:r w:rsidRPr="00561A37">
        <w:rPr>
          <w:rFonts w:ascii="Arial" w:hAnsi="Arial" w:cs="Arial"/>
        </w:rPr>
        <w:tab/>
        <w:t xml:space="preserve">The termination or postponement of life-sustaining therapy in Indonesia is actually regulated in the Minister of Health Regulation Number 37 of 2014. It is also stated in the Decree of the Minister of Health of the Republic of Indonesia Number HK.01.07/MENKES/2180/2023 concerning guidelines for the implementation of palliative care. The Minister of Health Regulation Number 37 of 2014 also discusses patient conditions in which life-sustaining therapy can be discontinued or postponed, namely in patients in the terminal (incurable) phase of the disease, and medical treatment is deemed futile. Terminal illness is defined as the presence of a life-threatening, progressive, incurable disease that causes a decline in the patient's quality of life and a life expectancy of less than 1 year. All these conditions must be met to be considered a terminal </w:t>
      </w:r>
      <w:proofErr w:type="gramStart"/>
      <w:r w:rsidRPr="00561A37">
        <w:rPr>
          <w:rFonts w:ascii="Arial" w:hAnsi="Arial" w:cs="Arial"/>
        </w:rPr>
        <w:t>illness.(</w:t>
      </w:r>
      <w:proofErr w:type="spellStart"/>
      <w:proofErr w:type="gramEnd"/>
      <w:r w:rsidRPr="00561A37">
        <w:rPr>
          <w:rFonts w:ascii="Arial" w:hAnsi="Arial" w:cs="Arial"/>
        </w:rPr>
        <w:t>Peraturan</w:t>
      </w:r>
      <w:proofErr w:type="spellEnd"/>
      <w:r w:rsidRPr="00561A37">
        <w:rPr>
          <w:rFonts w:ascii="Arial" w:hAnsi="Arial" w:cs="Arial"/>
        </w:rPr>
        <w:t xml:space="preserve"> Menteri </w:t>
      </w:r>
      <w:proofErr w:type="spellStart"/>
      <w:r w:rsidRPr="00561A37">
        <w:rPr>
          <w:rFonts w:ascii="Arial" w:hAnsi="Arial" w:cs="Arial"/>
        </w:rPr>
        <w:t>Kesehatan</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37 </w:t>
      </w:r>
      <w:proofErr w:type="spellStart"/>
      <w:r w:rsidRPr="00561A37">
        <w:rPr>
          <w:rFonts w:ascii="Arial" w:hAnsi="Arial" w:cs="Arial"/>
        </w:rPr>
        <w:t>Tahun</w:t>
      </w:r>
      <w:proofErr w:type="spellEnd"/>
      <w:r w:rsidRPr="00561A37">
        <w:rPr>
          <w:rFonts w:ascii="Arial" w:hAnsi="Arial" w:cs="Arial"/>
        </w:rPr>
        <w:t xml:space="preserve"> 2014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2014; Pradipta et al., n.d.)</w:t>
      </w:r>
    </w:p>
    <w:p w14:paraId="5AB68BDB" w14:textId="77777777" w:rsidR="00561A37" w:rsidRPr="00561A37" w:rsidRDefault="00561A37" w:rsidP="00561A37">
      <w:pPr>
        <w:pStyle w:val="Body"/>
        <w:rPr>
          <w:rFonts w:ascii="Arial" w:hAnsi="Arial" w:cs="Arial"/>
        </w:rPr>
      </w:pPr>
      <w:r w:rsidRPr="00561A37">
        <w:rPr>
          <w:rFonts w:ascii="Arial" w:hAnsi="Arial" w:cs="Arial"/>
        </w:rPr>
        <w:lastRenderedPageBreak/>
        <w:tab/>
        <w:t xml:space="preserve">Whether a medical procedure is to be performed, stopped, or postponed, it requires written consent or refusal. This is generally referred to as approval or refusal of medical treatment and is given in the form of Informed Consent. The person giving consent must be competent to </w:t>
      </w:r>
      <w:proofErr w:type="gramStart"/>
      <w:r w:rsidRPr="00561A37">
        <w:rPr>
          <w:rFonts w:ascii="Arial" w:hAnsi="Arial" w:cs="Arial"/>
        </w:rPr>
        <w:t>make a decision</w:t>
      </w:r>
      <w:proofErr w:type="gramEnd"/>
      <w:r w:rsidRPr="00561A37">
        <w:rPr>
          <w:rFonts w:ascii="Arial" w:hAnsi="Arial" w:cs="Arial"/>
        </w:rPr>
        <w:t xml:space="preserve">, have been provided with sufficient information, have been allowed to decide without coercion or deception, and have the Informed Consent still valid (not revoked). The criteria for a competent patient are that the patient is an adult or has been married, has no impaired physical consciousness, can communicate normally, and does not suffer from intellectual disability or mental illness. If these conditions are not met, the decision-making process can be carried out by a surrogate decision-maker. The right to act as a surrogate decision-maker usually rests with the patient's family, including the patient's husband or wife, biological father or mother, biological children, and </w:t>
      </w:r>
      <w:proofErr w:type="gramStart"/>
      <w:r w:rsidRPr="00561A37">
        <w:rPr>
          <w:rFonts w:ascii="Arial" w:hAnsi="Arial" w:cs="Arial"/>
        </w:rPr>
        <w:t>siblings.(</w:t>
      </w:r>
      <w:proofErr w:type="spellStart"/>
      <w:proofErr w:type="gramEnd"/>
      <w:r w:rsidRPr="00561A37">
        <w:rPr>
          <w:rFonts w:ascii="Arial" w:hAnsi="Arial" w:cs="Arial"/>
        </w:rPr>
        <w:t>Nnate</w:t>
      </w:r>
      <w:proofErr w:type="spellEnd"/>
      <w:r w:rsidRPr="00561A37">
        <w:rPr>
          <w:rFonts w:ascii="Arial" w:hAnsi="Arial" w:cs="Arial"/>
        </w:rPr>
        <w:t xml:space="preserve">, 2021; </w:t>
      </w:r>
      <w:proofErr w:type="spellStart"/>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2014; Pradipta et al., n.d.) </w:t>
      </w:r>
    </w:p>
    <w:p w14:paraId="282043CD" w14:textId="77777777" w:rsidR="00561A37" w:rsidRPr="00561A37" w:rsidRDefault="00561A37" w:rsidP="00561A37">
      <w:pPr>
        <w:pStyle w:val="Body"/>
        <w:rPr>
          <w:rFonts w:ascii="Arial" w:hAnsi="Arial" w:cs="Arial"/>
        </w:rPr>
      </w:pPr>
      <w:r w:rsidRPr="00561A37">
        <w:rPr>
          <w:rFonts w:ascii="Arial" w:hAnsi="Arial" w:cs="Arial"/>
        </w:rPr>
        <w:tab/>
        <w:t>According to Indonesian Constitution Law Number 36 of 2009 concerning Health, Article 56 paragraphs 1-3 states that 'patients have the right to refuse some or all of the assistance that will be provided after receiving complete medical information'. Meanwhile, Law Number 29 of 2004 concerning Medical Practice in Article 51 letter d states that 'doctors are obliged to respect patient rights'. One of the provisions of Law Number 44 of 2009 concerning Hospitals in Article 32 states that 'patients have the right to receive services according to professional standards and refuse medical treatment'. In the same article, point (</w:t>
      </w:r>
      <w:proofErr w:type="spellStart"/>
      <w:r w:rsidRPr="00561A37">
        <w:rPr>
          <w:rFonts w:ascii="Arial" w:hAnsi="Arial" w:cs="Arial"/>
        </w:rPr>
        <w:t>i</w:t>
      </w:r>
      <w:proofErr w:type="spellEnd"/>
      <w:r w:rsidRPr="00561A37">
        <w:rPr>
          <w:rFonts w:ascii="Arial" w:hAnsi="Arial" w:cs="Arial"/>
        </w:rPr>
        <w:t xml:space="preserve">) states that patients have the right to refuse some or all of the treatment that will be given. Law Number 17 of 2023 concerning Health, which has now replaced Law Number 36 of 2009, strengthens patients' rights in accepting or refusing medical </w:t>
      </w:r>
      <w:proofErr w:type="gramStart"/>
      <w:r w:rsidRPr="00561A37">
        <w:rPr>
          <w:rFonts w:ascii="Arial" w:hAnsi="Arial" w:cs="Arial"/>
        </w:rPr>
        <w:t>treatment.(</w:t>
      </w:r>
      <w:proofErr w:type="spellStart"/>
      <w:proofErr w:type="gramEnd"/>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2014; </w:t>
      </w: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17 </w:t>
      </w:r>
      <w:proofErr w:type="spellStart"/>
      <w:r w:rsidRPr="00561A37">
        <w:rPr>
          <w:rFonts w:ascii="Arial" w:hAnsi="Arial" w:cs="Arial"/>
        </w:rPr>
        <w:t>Tahun</w:t>
      </w:r>
      <w:proofErr w:type="spellEnd"/>
      <w:r w:rsidRPr="00561A37">
        <w:rPr>
          <w:rFonts w:ascii="Arial" w:hAnsi="Arial" w:cs="Arial"/>
        </w:rPr>
        <w:t xml:space="preserve"> 2023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Kesehatan</w:t>
      </w:r>
      <w:proofErr w:type="spellEnd"/>
      <w:r w:rsidRPr="00561A37">
        <w:rPr>
          <w:rFonts w:ascii="Arial" w:hAnsi="Arial" w:cs="Arial"/>
        </w:rPr>
        <w:t xml:space="preserve">., 2023; </w:t>
      </w: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29 </w:t>
      </w:r>
      <w:proofErr w:type="spellStart"/>
      <w:r w:rsidRPr="00561A37">
        <w:rPr>
          <w:rFonts w:ascii="Arial" w:hAnsi="Arial" w:cs="Arial"/>
        </w:rPr>
        <w:t>Tahun</w:t>
      </w:r>
      <w:proofErr w:type="spellEnd"/>
      <w:r w:rsidRPr="00561A37">
        <w:rPr>
          <w:rFonts w:ascii="Arial" w:hAnsi="Arial" w:cs="Arial"/>
        </w:rPr>
        <w:t xml:space="preserve"> 2004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Praktik</w:t>
      </w:r>
      <w:proofErr w:type="spellEnd"/>
      <w:r w:rsidRPr="00561A37">
        <w:rPr>
          <w:rFonts w:ascii="Arial" w:hAnsi="Arial" w:cs="Arial"/>
        </w:rPr>
        <w:t xml:space="preserve"> </w:t>
      </w:r>
      <w:proofErr w:type="spellStart"/>
      <w:r w:rsidRPr="00561A37">
        <w:rPr>
          <w:rFonts w:ascii="Arial" w:hAnsi="Arial" w:cs="Arial"/>
        </w:rPr>
        <w:t>Kedokteran</w:t>
      </w:r>
      <w:proofErr w:type="spellEnd"/>
      <w:r w:rsidRPr="00561A37">
        <w:rPr>
          <w:rFonts w:ascii="Arial" w:hAnsi="Arial" w:cs="Arial"/>
        </w:rPr>
        <w:t xml:space="preserve">., 2004; </w:t>
      </w: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36 </w:t>
      </w:r>
      <w:proofErr w:type="spellStart"/>
      <w:r w:rsidRPr="00561A37">
        <w:rPr>
          <w:rFonts w:ascii="Arial" w:hAnsi="Arial" w:cs="Arial"/>
        </w:rPr>
        <w:t>Tahun</w:t>
      </w:r>
      <w:proofErr w:type="spellEnd"/>
      <w:r w:rsidRPr="00561A37">
        <w:rPr>
          <w:rFonts w:ascii="Arial" w:hAnsi="Arial" w:cs="Arial"/>
        </w:rPr>
        <w:t xml:space="preserve"> 2009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Kesehatan</w:t>
      </w:r>
      <w:proofErr w:type="spellEnd"/>
      <w:r w:rsidRPr="00561A37">
        <w:rPr>
          <w:rFonts w:ascii="Arial" w:hAnsi="Arial" w:cs="Arial"/>
        </w:rPr>
        <w:t>., 2009)</w:t>
      </w:r>
    </w:p>
    <w:p w14:paraId="78D5D0E2" w14:textId="77777777" w:rsidR="00561A37" w:rsidRPr="00561A37" w:rsidRDefault="00561A37" w:rsidP="00561A37">
      <w:pPr>
        <w:pStyle w:val="Body"/>
        <w:ind w:firstLine="720"/>
        <w:rPr>
          <w:rFonts w:ascii="Arial" w:hAnsi="Arial" w:cs="Arial"/>
        </w:rPr>
      </w:pPr>
      <w:r w:rsidRPr="00561A37">
        <w:rPr>
          <w:rFonts w:ascii="Arial" w:hAnsi="Arial" w:cs="Arial"/>
        </w:rPr>
        <w:t xml:space="preserve">Physicians caring for patients need legal protection when performing withhold and withdrawal procedures for palliative care. Ideally, patients are expected to have created an advanced directive or "will" regarding their choices during terminal illness. Therefore, if the patient becomes incompetent to give consent, the family can consider this “will” when deciding whether to discontinue or postpone therapy. However, discussions about the end of life, leading to death, remain taboo in Indonesia. This is influenced by cultural, religious, and social factors. In addition to legal considerations, medical ethics must also be considered before a doctor decides to withhold or withdraw care from a terminally ill patient. The ethics of discontinuing and postponing life-sustaining therapy are beginning to be widely discussed, but cultural differences across countries influence differing perspectives among medical personnel, patients, families, and the general public. Given that the basic ethics of medical law stem from Hippocrates' principle of "first, do no harm," decision-making regarding patients is closely linked to medical ethics, particularly in palliative care. The Indonesian Code of Medical Ethics (KODEKI) mentions the principles of non-maleficence (not harm) and autonomy (respecting patient choice), which can be used as ethical references when doctors are faced with requests or termination of </w:t>
      </w:r>
      <w:proofErr w:type="gramStart"/>
      <w:r w:rsidRPr="00561A37">
        <w:rPr>
          <w:rFonts w:ascii="Arial" w:hAnsi="Arial" w:cs="Arial"/>
        </w:rPr>
        <w:t>therapy.(</w:t>
      </w:r>
      <w:proofErr w:type="gramEnd"/>
      <w:r w:rsidRPr="00561A37">
        <w:rPr>
          <w:rFonts w:ascii="Arial" w:hAnsi="Arial" w:cs="Arial"/>
        </w:rPr>
        <w:t xml:space="preserve">G. Piscitello &amp; Huber, 2025; Stigall, 2022; Strand et al., 2022; Surat Keputusan </w:t>
      </w:r>
      <w:proofErr w:type="spellStart"/>
      <w:r w:rsidRPr="00561A37">
        <w:rPr>
          <w:rFonts w:ascii="Arial" w:hAnsi="Arial" w:cs="Arial"/>
        </w:rPr>
        <w:t>Pengurus</w:t>
      </w:r>
      <w:proofErr w:type="spellEnd"/>
      <w:r w:rsidRPr="00561A37">
        <w:rPr>
          <w:rFonts w:ascii="Arial" w:hAnsi="Arial" w:cs="Arial"/>
        </w:rPr>
        <w:t xml:space="preserve"> </w:t>
      </w:r>
      <w:proofErr w:type="spellStart"/>
      <w:r w:rsidRPr="00561A37">
        <w:rPr>
          <w:rFonts w:ascii="Arial" w:hAnsi="Arial" w:cs="Arial"/>
        </w:rPr>
        <w:t>Besar</w:t>
      </w:r>
      <w:proofErr w:type="spellEnd"/>
      <w:r w:rsidRPr="00561A37">
        <w:rPr>
          <w:rFonts w:ascii="Arial" w:hAnsi="Arial" w:cs="Arial"/>
        </w:rPr>
        <w:t xml:space="preserve"> </w:t>
      </w:r>
      <w:proofErr w:type="spellStart"/>
      <w:r w:rsidRPr="00561A37">
        <w:rPr>
          <w:rFonts w:ascii="Arial" w:hAnsi="Arial" w:cs="Arial"/>
        </w:rPr>
        <w:t>Ikatan</w:t>
      </w:r>
      <w:proofErr w:type="spellEnd"/>
      <w:r w:rsidRPr="00561A37">
        <w:rPr>
          <w:rFonts w:ascii="Arial" w:hAnsi="Arial" w:cs="Arial"/>
        </w:rPr>
        <w:t xml:space="preserve"> </w:t>
      </w:r>
      <w:proofErr w:type="spellStart"/>
      <w:r w:rsidRPr="00561A37">
        <w:rPr>
          <w:rFonts w:ascii="Arial" w:hAnsi="Arial" w:cs="Arial"/>
        </w:rPr>
        <w:t>Dokter</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221/PB/A.4/04/2002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Penerapan</w:t>
      </w:r>
      <w:proofErr w:type="spellEnd"/>
      <w:r w:rsidRPr="00561A37">
        <w:rPr>
          <w:rFonts w:ascii="Arial" w:hAnsi="Arial" w:cs="Arial"/>
        </w:rPr>
        <w:t xml:space="preserve"> </w:t>
      </w:r>
      <w:proofErr w:type="spellStart"/>
      <w:r w:rsidRPr="00561A37">
        <w:rPr>
          <w:rFonts w:ascii="Arial" w:hAnsi="Arial" w:cs="Arial"/>
        </w:rPr>
        <w:t>Kode</w:t>
      </w:r>
      <w:proofErr w:type="spellEnd"/>
      <w:r w:rsidRPr="00561A37">
        <w:rPr>
          <w:rFonts w:ascii="Arial" w:hAnsi="Arial" w:cs="Arial"/>
        </w:rPr>
        <w:t xml:space="preserve"> </w:t>
      </w:r>
      <w:proofErr w:type="spellStart"/>
      <w:r w:rsidRPr="00561A37">
        <w:rPr>
          <w:rFonts w:ascii="Arial" w:hAnsi="Arial" w:cs="Arial"/>
        </w:rPr>
        <w:t>Etik</w:t>
      </w:r>
      <w:proofErr w:type="spellEnd"/>
      <w:r w:rsidRPr="00561A37">
        <w:rPr>
          <w:rFonts w:ascii="Arial" w:hAnsi="Arial" w:cs="Arial"/>
        </w:rPr>
        <w:t xml:space="preserve"> </w:t>
      </w:r>
      <w:proofErr w:type="spellStart"/>
      <w:r w:rsidRPr="00561A37">
        <w:rPr>
          <w:rFonts w:ascii="Arial" w:hAnsi="Arial" w:cs="Arial"/>
        </w:rPr>
        <w:t>Kedokteran</w:t>
      </w:r>
      <w:proofErr w:type="spellEnd"/>
      <w:r w:rsidRPr="00561A37">
        <w:rPr>
          <w:rFonts w:ascii="Arial" w:hAnsi="Arial" w:cs="Arial"/>
        </w:rPr>
        <w:t xml:space="preserve"> Indonesia., 2002; </w:t>
      </w:r>
      <w:proofErr w:type="spellStart"/>
      <w:r w:rsidRPr="00561A37">
        <w:rPr>
          <w:rFonts w:ascii="Arial" w:hAnsi="Arial" w:cs="Arial"/>
        </w:rPr>
        <w:t>Suryo</w:t>
      </w:r>
      <w:proofErr w:type="spellEnd"/>
      <w:r w:rsidRPr="00561A37">
        <w:rPr>
          <w:rFonts w:ascii="Arial" w:hAnsi="Arial" w:cs="Arial"/>
        </w:rPr>
        <w:t xml:space="preserve"> et al., 2023)</w:t>
      </w:r>
    </w:p>
    <w:p w14:paraId="45C449E6" w14:textId="3BB6D419" w:rsidR="00561A37" w:rsidRDefault="00561A37" w:rsidP="00561A37">
      <w:pPr>
        <w:pStyle w:val="Body"/>
        <w:spacing w:after="0"/>
        <w:ind w:firstLine="720"/>
        <w:rPr>
          <w:rFonts w:ascii="Arial" w:hAnsi="Arial" w:cs="Arial"/>
        </w:rPr>
      </w:pPr>
      <w:r w:rsidRPr="00561A37">
        <w:rPr>
          <w:rFonts w:ascii="Arial" w:hAnsi="Arial" w:cs="Arial"/>
        </w:rPr>
        <w:t xml:space="preserve">According to a study conducted in Sweden, withholding and withdrawal are still considered differently. Discontinuing therapy is considered more "immoral" than postponing therapy, as it is perceived as eliminating hope for the patient. A 2023 legal study in Indonesia found unclear legal definitions, inconsistencies between provisions, and the absence of specific regulations governing advance directives. This indicates that legal protection for </w:t>
      </w:r>
      <w:r w:rsidRPr="00561A37">
        <w:rPr>
          <w:rFonts w:ascii="Arial" w:hAnsi="Arial" w:cs="Arial"/>
        </w:rPr>
        <w:lastRenderedPageBreak/>
        <w:t xml:space="preserve">doctors in making decisions to discontinue or delay life-sustaining therapy that is not beneficial for terminally ill patients remains inadequate. If more comprehensive regulations are not immediately implemented, this situation can potentially violate patients' rights. Therefore, it can be concluded that discontinuing life support for palliative patients is not yet fully implemented in hospitals in </w:t>
      </w:r>
      <w:proofErr w:type="gramStart"/>
      <w:r w:rsidRPr="00561A37">
        <w:rPr>
          <w:rFonts w:ascii="Arial" w:hAnsi="Arial" w:cs="Arial"/>
        </w:rPr>
        <w:t>Indonesia.(</w:t>
      </w:r>
      <w:proofErr w:type="gramEnd"/>
      <w:r w:rsidRPr="00561A37">
        <w:rPr>
          <w:rFonts w:ascii="Arial" w:hAnsi="Arial" w:cs="Arial"/>
        </w:rPr>
        <w:t xml:space="preserve">G. Piscitello &amp; Huber, 2025; Stigall, 2022; Strand et al., 2022; </w:t>
      </w:r>
      <w:proofErr w:type="spellStart"/>
      <w:r w:rsidRPr="00561A37">
        <w:rPr>
          <w:rFonts w:ascii="Arial" w:hAnsi="Arial" w:cs="Arial"/>
        </w:rPr>
        <w:t>Suryo</w:t>
      </w:r>
      <w:proofErr w:type="spellEnd"/>
      <w:r w:rsidRPr="00561A37">
        <w:rPr>
          <w:rFonts w:ascii="Arial" w:hAnsi="Arial" w:cs="Arial"/>
        </w:rPr>
        <w:t xml:space="preserve"> et al., 2023)</w:t>
      </w:r>
    </w:p>
    <w:p w14:paraId="6E0C4222" w14:textId="77777777" w:rsidR="00790ADA" w:rsidRPr="00FB3A86" w:rsidRDefault="00790ADA" w:rsidP="00441B6F">
      <w:pPr>
        <w:pStyle w:val="Body"/>
        <w:spacing w:after="0"/>
        <w:rPr>
          <w:rFonts w:ascii="Arial" w:hAnsi="Arial" w:cs="Arial"/>
        </w:rPr>
      </w:pPr>
    </w:p>
    <w:p w14:paraId="6751FCBF" w14:textId="6B132DD2" w:rsidR="00B01FCD" w:rsidRDefault="00000F8F" w:rsidP="00441B6F">
      <w:pPr>
        <w:pStyle w:val="ConcHead"/>
        <w:spacing w:after="0"/>
        <w:jc w:val="both"/>
        <w:rPr>
          <w:rFonts w:ascii="Arial" w:hAnsi="Arial" w:cs="Arial"/>
        </w:rPr>
      </w:pPr>
      <w:r>
        <w:rPr>
          <w:rFonts w:ascii="Arial" w:hAnsi="Arial" w:cs="Arial"/>
        </w:rPr>
        <w:t xml:space="preserve">4. </w:t>
      </w:r>
      <w:r w:rsidR="003566B6" w:rsidRPr="003566B6">
        <w:rPr>
          <w:rFonts w:ascii="Arial" w:hAnsi="Arial" w:cs="Arial"/>
        </w:rPr>
        <w:t>Withhold</w:t>
      </w:r>
      <w:r w:rsidR="0064677F">
        <w:rPr>
          <w:rFonts w:ascii="Arial" w:hAnsi="Arial" w:cs="Arial"/>
        </w:rPr>
        <w:t>ING</w:t>
      </w:r>
      <w:r w:rsidR="003566B6" w:rsidRPr="003566B6">
        <w:rPr>
          <w:rFonts w:ascii="Arial" w:hAnsi="Arial" w:cs="Arial"/>
        </w:rPr>
        <w:t xml:space="preserve"> and withdrawal from the perspective of medical personnel</w:t>
      </w:r>
    </w:p>
    <w:p w14:paraId="4F5A28E4" w14:textId="77777777" w:rsidR="00790ADA" w:rsidRPr="00FB3A86" w:rsidRDefault="00790ADA" w:rsidP="00441B6F">
      <w:pPr>
        <w:pStyle w:val="ConcHead"/>
        <w:spacing w:after="0"/>
        <w:jc w:val="both"/>
        <w:rPr>
          <w:rFonts w:ascii="Arial" w:hAnsi="Arial" w:cs="Arial"/>
        </w:rPr>
      </w:pPr>
    </w:p>
    <w:p w14:paraId="68146E99" w14:textId="77777777" w:rsidR="00561A37" w:rsidRPr="00561A37" w:rsidRDefault="00561A37" w:rsidP="00561A37">
      <w:pPr>
        <w:pStyle w:val="Body"/>
        <w:ind w:firstLine="720"/>
        <w:rPr>
          <w:rFonts w:ascii="Arial" w:hAnsi="Arial" w:cs="Arial"/>
        </w:rPr>
      </w:pPr>
      <w:r w:rsidRPr="00561A37">
        <w:rPr>
          <w:rFonts w:ascii="Arial" w:hAnsi="Arial" w:cs="Arial"/>
        </w:rPr>
        <w:t xml:space="preserve">According to medical and legal guidelines, the choice of withholding and withdrawal in palliative care patients is ethical and understandable. When an intervention no longer helps the patient achieve therapeutic goals or improves quality of life as expected, ethically delaying and discontinuing therapy is acceptable. However, in everyday life, this is often considered "intentional" and morally unconscionable. Consequently, differing perceptions arise among medical professionals, particularly physicians. For healthcare professionals involved in decision-making, this becomes complex and challenging, given the numerous factors involved and the variety of patient cases. A French study interviewed 39 intensive care physicians, and the results revealed three groups: those who considered the withholding and withdrawal approach passive and unproblematic; those who considered it active and problematic; and those who considered it active but unproblematic. Interestingly, all respondents were divided into these three camps with almost equal numbers. These differences highlight the moral dilemmas clinicians face when considering whether to delay or discontinue therapy. A 2024 study in Thailand found that factors influencing physicians' decision-making regarding delaying and discontinuing therapy included patient preference, prognosis, quality of life, treatment burden, and family requests. In patients with chronic illnesses in a coma, the majority of physicians chose to continue therapy, including CPR. Advance care planning is a concept that needs to be developed and introduced early in palliative care </w:t>
      </w:r>
      <w:proofErr w:type="gramStart"/>
      <w:r w:rsidRPr="00561A37">
        <w:rPr>
          <w:rFonts w:ascii="Arial" w:hAnsi="Arial" w:cs="Arial"/>
        </w:rPr>
        <w:t>patients.(</w:t>
      </w:r>
      <w:proofErr w:type="spellStart"/>
      <w:proofErr w:type="gramEnd"/>
      <w:r w:rsidRPr="00561A37">
        <w:rPr>
          <w:rFonts w:ascii="Arial" w:hAnsi="Arial" w:cs="Arial"/>
        </w:rPr>
        <w:t>Ketchaikosol</w:t>
      </w:r>
      <w:proofErr w:type="spellEnd"/>
      <w:r w:rsidRPr="00561A37">
        <w:rPr>
          <w:rFonts w:ascii="Arial" w:hAnsi="Arial" w:cs="Arial"/>
        </w:rPr>
        <w:t xml:space="preserve"> et al., 2024; </w:t>
      </w:r>
      <w:proofErr w:type="spellStart"/>
      <w:r w:rsidRPr="00561A37">
        <w:rPr>
          <w:rFonts w:ascii="Arial" w:hAnsi="Arial" w:cs="Arial"/>
        </w:rPr>
        <w:t>Spranzi</w:t>
      </w:r>
      <w:proofErr w:type="spellEnd"/>
      <w:r w:rsidRPr="00561A37">
        <w:rPr>
          <w:rFonts w:ascii="Arial" w:hAnsi="Arial" w:cs="Arial"/>
        </w:rPr>
        <w:t xml:space="preserve"> et al., 2025; Strand et al., 2022) </w:t>
      </w:r>
    </w:p>
    <w:p w14:paraId="049A9CA6" w14:textId="6D40919B" w:rsidR="00561A37" w:rsidRDefault="00561A37" w:rsidP="00561A37">
      <w:pPr>
        <w:pStyle w:val="Body"/>
        <w:spacing w:after="0"/>
        <w:ind w:firstLine="720"/>
        <w:rPr>
          <w:rFonts w:ascii="Arial" w:hAnsi="Arial" w:cs="Arial"/>
        </w:rPr>
      </w:pPr>
      <w:r w:rsidRPr="00561A37">
        <w:rPr>
          <w:rFonts w:ascii="Arial" w:hAnsi="Arial" w:cs="Arial"/>
        </w:rPr>
        <w:t xml:space="preserve">It should be remembered that terminally ill patients experience symptoms that cause suffering. Managing these symptoms is essential to help provide a sense of comfort and security for patients nearing the end of life. Discomforting symptoms such as pain, shortness of breath, agitation, and delirium, nausea and vomiting, constipation, oropharyngeal discharge, and fever are common. Pain is generally managed with painkillers. Another particularly bothersome symptom in patients receiving palliative care is shortness of breath. Other symptoms can be managed based on the principle of effective symptom control. If the patient or family decides to withhold mechanical ventilation, then maximal non-invasive oxygenation, such as with a nasal cannula, is administered to the patient according to </w:t>
      </w:r>
      <w:proofErr w:type="gramStart"/>
      <w:r w:rsidRPr="00561A37">
        <w:rPr>
          <w:rFonts w:ascii="Arial" w:hAnsi="Arial" w:cs="Arial"/>
        </w:rPr>
        <w:t>comfort.(</w:t>
      </w:r>
      <w:proofErr w:type="gramEnd"/>
      <w:r w:rsidRPr="00561A37">
        <w:rPr>
          <w:rFonts w:ascii="Arial" w:hAnsi="Arial" w:cs="Arial"/>
        </w:rPr>
        <w:t>Albert, 2017; Obarzanek &amp; Campbell, 2021)</w:t>
      </w:r>
    </w:p>
    <w:p w14:paraId="5B2CC3DE" w14:textId="77777777" w:rsidR="00561A37" w:rsidRPr="00FB3A86" w:rsidRDefault="00561A37" w:rsidP="00561A37">
      <w:pPr>
        <w:pStyle w:val="Body"/>
        <w:spacing w:after="0"/>
        <w:rPr>
          <w:rFonts w:ascii="Arial" w:hAnsi="Arial" w:cs="Arial"/>
        </w:rPr>
      </w:pPr>
    </w:p>
    <w:p w14:paraId="79FD5ADD" w14:textId="378D18BE" w:rsidR="003566B6" w:rsidRDefault="003566B6" w:rsidP="00441B6F">
      <w:pPr>
        <w:pStyle w:val="AcknHead"/>
        <w:spacing w:after="0"/>
        <w:jc w:val="both"/>
        <w:rPr>
          <w:rFonts w:ascii="Arial" w:hAnsi="Arial" w:cs="Arial"/>
        </w:rPr>
      </w:pPr>
      <w:r>
        <w:rPr>
          <w:rFonts w:ascii="Arial" w:hAnsi="Arial" w:cs="Arial"/>
        </w:rPr>
        <w:t xml:space="preserve">5. </w:t>
      </w:r>
      <w:r w:rsidRPr="003566B6">
        <w:rPr>
          <w:rFonts w:ascii="Arial" w:hAnsi="Arial" w:cs="Arial"/>
        </w:rPr>
        <w:t>Withhold</w:t>
      </w:r>
      <w:r w:rsidR="0064677F">
        <w:rPr>
          <w:rFonts w:ascii="Arial" w:hAnsi="Arial" w:cs="Arial"/>
        </w:rPr>
        <w:t>ING</w:t>
      </w:r>
      <w:r w:rsidRPr="003566B6">
        <w:rPr>
          <w:rFonts w:ascii="Arial" w:hAnsi="Arial" w:cs="Arial"/>
        </w:rPr>
        <w:t xml:space="preserve"> and withdrawal from the perspective of patients and families</w:t>
      </w:r>
    </w:p>
    <w:p w14:paraId="60140945" w14:textId="77777777" w:rsidR="003566B6" w:rsidRDefault="003566B6" w:rsidP="00441B6F">
      <w:pPr>
        <w:pStyle w:val="AcknHead"/>
        <w:spacing w:after="0"/>
        <w:jc w:val="both"/>
        <w:rPr>
          <w:rFonts w:ascii="Arial" w:hAnsi="Arial" w:cs="Arial"/>
        </w:rPr>
      </w:pPr>
    </w:p>
    <w:p w14:paraId="48DD9780" w14:textId="77777777" w:rsidR="00561A37" w:rsidRPr="00561A37" w:rsidRDefault="00561A37" w:rsidP="00561A37">
      <w:pPr>
        <w:pStyle w:val="AcknHead"/>
        <w:ind w:firstLine="720"/>
        <w:jc w:val="both"/>
        <w:rPr>
          <w:rFonts w:ascii="Arial" w:hAnsi="Arial" w:cs="Arial"/>
          <w:b w:val="0"/>
          <w:caps w:val="0"/>
          <w:sz w:val="20"/>
        </w:rPr>
      </w:pPr>
      <w:r w:rsidRPr="00561A37">
        <w:rPr>
          <w:rFonts w:ascii="Arial" w:hAnsi="Arial" w:cs="Arial"/>
          <w:b w:val="0"/>
          <w:caps w:val="0"/>
          <w:sz w:val="20"/>
        </w:rPr>
        <w:t xml:space="preserve">Patients have the right to control themselves and their own bodies. Therefore, even if they are competent to make informed decisions about their treatment options, they have the right to choose. However, in terminally ill patients, the patient is often no longer competent to make decisions regarding their own life. Many patients in palliative care experience decreased consciousness, delirium, agitation, and decreased mental capacity (intellectual retardation or dementia). Therefore, decision-making is transferred to a surrogate decision-maker, usually a close relative. For patients who have expressed their wishes (advanced directive) while still competent, the family or surrogate may consider following the patient's wishes. This advanced directive can take the form of a will that the patient clearly desires or rejects, or the appointment </w:t>
      </w:r>
      <w:r w:rsidRPr="00561A37">
        <w:rPr>
          <w:rFonts w:ascii="Arial" w:hAnsi="Arial" w:cs="Arial"/>
          <w:b w:val="0"/>
          <w:caps w:val="0"/>
          <w:sz w:val="20"/>
        </w:rPr>
        <w:lastRenderedPageBreak/>
        <w:t xml:space="preserve">of someone to act as the surrogate decision-maker for the patient (proxy directive). Patients have the freedom to make advance directives, but if the patient is incompetent, the effectiveness of these directives depends on the consent of a close </w:t>
      </w:r>
      <w:proofErr w:type="gramStart"/>
      <w:r w:rsidRPr="00561A37">
        <w:rPr>
          <w:rFonts w:ascii="Arial" w:hAnsi="Arial" w:cs="Arial"/>
          <w:b w:val="0"/>
          <w:caps w:val="0"/>
          <w:sz w:val="20"/>
        </w:rPr>
        <w:t>relative.(</w:t>
      </w:r>
      <w:proofErr w:type="gramEnd"/>
      <w:r w:rsidRPr="00561A37">
        <w:rPr>
          <w:rFonts w:ascii="Arial" w:hAnsi="Arial" w:cs="Arial"/>
          <w:b w:val="0"/>
          <w:caps w:val="0"/>
          <w:sz w:val="20"/>
        </w:rPr>
        <w:t>Joynt et al., 2024; Pradipta et al., n.d.)</w:t>
      </w:r>
    </w:p>
    <w:p w14:paraId="4742F98D" w14:textId="7809E9EE" w:rsidR="003566B6" w:rsidRDefault="00561A37" w:rsidP="00561A37">
      <w:pPr>
        <w:pStyle w:val="AcknHead"/>
        <w:spacing w:after="0"/>
        <w:ind w:firstLine="720"/>
        <w:jc w:val="both"/>
        <w:rPr>
          <w:rFonts w:ascii="Arial" w:hAnsi="Arial" w:cs="Arial"/>
          <w:b w:val="0"/>
          <w:caps w:val="0"/>
          <w:sz w:val="20"/>
        </w:rPr>
      </w:pPr>
      <w:r w:rsidRPr="00561A37">
        <w:rPr>
          <w:rFonts w:ascii="Arial" w:hAnsi="Arial" w:cs="Arial"/>
          <w:b w:val="0"/>
          <w:caps w:val="0"/>
          <w:sz w:val="20"/>
        </w:rPr>
        <w:t xml:space="preserve">Therapy selection is always based on discussions and direct communication with the patient and family, whenever possible. The patient's wishes are prioritized when there are conflicting views that cannot be reconciled. Consensus between medical personnel and family members is very high in Hong Kong (&gt;95%), and disagreements that could delay patient care are rare. Research in Ireland indicates that the general public has minimal knowledge about cardiopulmonary resuscitation (CPR), including its prognosis. The average respondent lacks knowledge of established medical regulations. This results in high public expectations and hopes regarding patient survival following </w:t>
      </w:r>
      <w:proofErr w:type="gramStart"/>
      <w:r w:rsidRPr="00561A37">
        <w:rPr>
          <w:rFonts w:ascii="Arial" w:hAnsi="Arial" w:cs="Arial"/>
          <w:b w:val="0"/>
          <w:caps w:val="0"/>
          <w:sz w:val="20"/>
        </w:rPr>
        <w:t>CPR.(</w:t>
      </w:r>
      <w:proofErr w:type="gramEnd"/>
      <w:r w:rsidRPr="00561A37">
        <w:rPr>
          <w:rFonts w:ascii="Arial" w:hAnsi="Arial" w:cs="Arial"/>
          <w:b w:val="0"/>
          <w:caps w:val="0"/>
          <w:sz w:val="20"/>
        </w:rPr>
        <w:t>Joynt et al., 2024; Lombard et al., 2025; Song et al., 2024)</w:t>
      </w:r>
    </w:p>
    <w:p w14:paraId="4B8A1781" w14:textId="77777777" w:rsidR="00561A37" w:rsidRDefault="00561A37" w:rsidP="00561A37">
      <w:pPr>
        <w:pStyle w:val="AcknHead"/>
        <w:spacing w:after="0"/>
        <w:jc w:val="both"/>
        <w:rPr>
          <w:rFonts w:ascii="Arial" w:hAnsi="Arial" w:cs="Arial"/>
        </w:rPr>
      </w:pPr>
    </w:p>
    <w:p w14:paraId="38BB64B0" w14:textId="44978CE3" w:rsidR="003566B6" w:rsidRDefault="003566B6" w:rsidP="00441B6F">
      <w:pPr>
        <w:pStyle w:val="AcknHead"/>
        <w:spacing w:after="0"/>
        <w:jc w:val="both"/>
        <w:rPr>
          <w:rFonts w:ascii="Arial" w:hAnsi="Arial" w:cs="Arial"/>
        </w:rPr>
      </w:pPr>
      <w:r>
        <w:rPr>
          <w:rFonts w:ascii="Arial" w:hAnsi="Arial" w:cs="Arial"/>
        </w:rPr>
        <w:t xml:space="preserve">6. </w:t>
      </w:r>
      <w:r w:rsidRPr="003566B6">
        <w:rPr>
          <w:rFonts w:ascii="Arial" w:hAnsi="Arial" w:cs="Arial"/>
        </w:rPr>
        <w:t>Withhold</w:t>
      </w:r>
      <w:r w:rsidR="0064677F">
        <w:rPr>
          <w:rFonts w:ascii="Arial" w:hAnsi="Arial" w:cs="Arial"/>
        </w:rPr>
        <w:t>ING</w:t>
      </w:r>
      <w:r w:rsidRPr="003566B6">
        <w:rPr>
          <w:rFonts w:ascii="Arial" w:hAnsi="Arial" w:cs="Arial"/>
        </w:rPr>
        <w:t xml:space="preserve"> and withdrawal from social, cultural</w:t>
      </w:r>
      <w:r w:rsidR="0064677F">
        <w:rPr>
          <w:rFonts w:ascii="Arial" w:hAnsi="Arial" w:cs="Arial"/>
        </w:rPr>
        <w:t>,</w:t>
      </w:r>
      <w:r w:rsidRPr="003566B6">
        <w:rPr>
          <w:rFonts w:ascii="Arial" w:hAnsi="Arial" w:cs="Arial"/>
        </w:rPr>
        <w:t xml:space="preserve"> and religious perspectives</w:t>
      </w:r>
    </w:p>
    <w:p w14:paraId="3B3EAD3D" w14:textId="77777777" w:rsidR="003566B6" w:rsidRDefault="003566B6" w:rsidP="00441B6F">
      <w:pPr>
        <w:pStyle w:val="AcknHead"/>
        <w:spacing w:after="0"/>
        <w:jc w:val="both"/>
        <w:rPr>
          <w:rFonts w:ascii="Arial" w:hAnsi="Arial" w:cs="Arial"/>
        </w:rPr>
      </w:pPr>
    </w:p>
    <w:p w14:paraId="66616848" w14:textId="2F1B5294" w:rsidR="00561A37" w:rsidRPr="00561A37" w:rsidRDefault="00561A37" w:rsidP="00561A37">
      <w:pPr>
        <w:pStyle w:val="AcknHead"/>
        <w:ind w:firstLine="720"/>
        <w:jc w:val="both"/>
        <w:rPr>
          <w:rFonts w:ascii="Arial" w:hAnsi="Arial" w:cs="Arial"/>
          <w:b w:val="0"/>
          <w:caps w:val="0"/>
          <w:sz w:val="20"/>
        </w:rPr>
      </w:pPr>
      <w:r w:rsidRPr="00561A37">
        <w:rPr>
          <w:rFonts w:ascii="Arial" w:hAnsi="Arial" w:cs="Arial"/>
          <w:b w:val="0"/>
          <w:caps w:val="0"/>
          <w:sz w:val="20"/>
        </w:rPr>
        <w:t xml:space="preserve">A study in the United States found that 8% of hospitals have policies addressing sociodemographic differences in </w:t>
      </w:r>
      <w:r w:rsidR="0064677F">
        <w:rPr>
          <w:rFonts w:ascii="Arial" w:hAnsi="Arial" w:cs="Arial"/>
          <w:b w:val="0"/>
          <w:caps w:val="0"/>
          <w:sz w:val="20"/>
        </w:rPr>
        <w:t>withholding</w:t>
      </w:r>
      <w:r w:rsidRPr="00561A37">
        <w:rPr>
          <w:rFonts w:ascii="Arial" w:hAnsi="Arial" w:cs="Arial"/>
          <w:b w:val="0"/>
          <w:caps w:val="0"/>
          <w:sz w:val="20"/>
        </w:rPr>
        <w:t xml:space="preserve"> and withdrawal decisions. Meanwhile, two respondents from different hospitals reported that their hospital policies disregarded race, ethnicity, socioeconomic status, or other factors for </w:t>
      </w:r>
      <w:r w:rsidR="0064677F">
        <w:rPr>
          <w:rFonts w:ascii="Arial" w:hAnsi="Arial" w:cs="Arial"/>
          <w:b w:val="0"/>
          <w:caps w:val="0"/>
          <w:sz w:val="20"/>
        </w:rPr>
        <w:t>withholding</w:t>
      </w:r>
      <w:r w:rsidRPr="00561A37">
        <w:rPr>
          <w:rFonts w:ascii="Arial" w:hAnsi="Arial" w:cs="Arial"/>
          <w:b w:val="0"/>
          <w:caps w:val="0"/>
          <w:sz w:val="20"/>
        </w:rPr>
        <w:t xml:space="preserve"> and withdrawal decisions. In other hospitals, many still consider these factors when considering </w:t>
      </w:r>
      <w:r w:rsidR="0064677F">
        <w:rPr>
          <w:rFonts w:ascii="Arial" w:hAnsi="Arial" w:cs="Arial"/>
          <w:b w:val="0"/>
          <w:caps w:val="0"/>
          <w:sz w:val="20"/>
        </w:rPr>
        <w:t>withholding</w:t>
      </w:r>
      <w:r w:rsidRPr="00561A37">
        <w:rPr>
          <w:rFonts w:ascii="Arial" w:hAnsi="Arial" w:cs="Arial"/>
          <w:b w:val="0"/>
          <w:caps w:val="0"/>
          <w:sz w:val="20"/>
        </w:rPr>
        <w:t xml:space="preserve"> and withdrawal decisions. A study in Hong Kong found that social and religious factors were not influential and did not hinder decisions about withholding or discontinuing life-sustaining therapy. </w:t>
      </w:r>
      <w:r w:rsidR="0064677F">
        <w:rPr>
          <w:rFonts w:ascii="Arial" w:hAnsi="Arial" w:cs="Arial"/>
          <w:b w:val="0"/>
          <w:caps w:val="0"/>
          <w:sz w:val="20"/>
        </w:rPr>
        <w:t>Advance</w:t>
      </w:r>
      <w:r w:rsidRPr="00561A37">
        <w:rPr>
          <w:rFonts w:ascii="Arial" w:hAnsi="Arial" w:cs="Arial"/>
          <w:b w:val="0"/>
          <w:caps w:val="0"/>
          <w:sz w:val="20"/>
        </w:rPr>
        <w:t xml:space="preserve"> directives are becoming increasingly common in North America, with approximately 50% of ICU patients already having them. However, in Hong Kong, they are less common; in one study, 86% of respondents were unfamiliar with or did not understand them. However, those who had been educated about advance directives acknowledged that they were reasonable and </w:t>
      </w:r>
      <w:proofErr w:type="gramStart"/>
      <w:r w:rsidRPr="00561A37">
        <w:rPr>
          <w:rFonts w:ascii="Arial" w:hAnsi="Arial" w:cs="Arial"/>
          <w:b w:val="0"/>
          <w:caps w:val="0"/>
          <w:sz w:val="20"/>
        </w:rPr>
        <w:t>acceptable.(</w:t>
      </w:r>
      <w:proofErr w:type="gramEnd"/>
      <w:r w:rsidRPr="00561A37">
        <w:rPr>
          <w:rFonts w:ascii="Arial" w:hAnsi="Arial" w:cs="Arial"/>
          <w:b w:val="0"/>
          <w:caps w:val="0"/>
          <w:sz w:val="20"/>
        </w:rPr>
        <w:t xml:space="preserve">Chung et al., 2017; Feldman et al., 2022; Joynt et al., 2024; G. Piscitello &amp; Huber, 2025; G. M. Piscitello et al., 2024) </w:t>
      </w:r>
    </w:p>
    <w:p w14:paraId="41EA7403" w14:textId="000D03D0" w:rsidR="00561A37" w:rsidRPr="00561A37" w:rsidRDefault="00561A37" w:rsidP="00561A37">
      <w:pPr>
        <w:pStyle w:val="AcknHead"/>
        <w:ind w:firstLine="720"/>
        <w:jc w:val="both"/>
        <w:rPr>
          <w:rFonts w:ascii="Arial" w:hAnsi="Arial" w:cs="Arial"/>
          <w:b w:val="0"/>
          <w:caps w:val="0"/>
          <w:sz w:val="20"/>
        </w:rPr>
      </w:pPr>
      <w:r w:rsidRPr="00561A37">
        <w:rPr>
          <w:rFonts w:ascii="Arial" w:hAnsi="Arial" w:cs="Arial"/>
          <w:b w:val="0"/>
          <w:caps w:val="0"/>
          <w:sz w:val="20"/>
        </w:rPr>
        <w:t>Six religions in Indonesia agree to reject active euthanasia as a violation of the dignity of life. However, there is limited acceptance of withholding or withdrawal if therapy is deemed futile. Islam permits the termination of futile therapy based on objective medical considerations. Catholicism rejects euthanasia but permits the termination of disproportionate extraordinary measures. Protestant traditions emphasize natural death and accept the termination of therapies that prolong suffering. Hinduism and Buddhism reject euthanasia due to the principles of ahimsa (non-harming) and the law of karma (the law of cause and effect), but permit palliative care and natural death. Confucianism rejects active termination of life but leaves the decision to the family within the framework of devotion and the dignity of life.(Chakraborty et al., 2017; Declaration on Euthanasia (</w:t>
      </w:r>
      <w:proofErr w:type="spellStart"/>
      <w:r w:rsidRPr="00561A37">
        <w:rPr>
          <w:rFonts w:ascii="Arial" w:hAnsi="Arial" w:cs="Arial"/>
          <w:b w:val="0"/>
          <w:caps w:val="0"/>
          <w:sz w:val="20"/>
        </w:rPr>
        <w:t>Iura</w:t>
      </w:r>
      <w:proofErr w:type="spellEnd"/>
      <w:r w:rsidRPr="00561A37">
        <w:rPr>
          <w:rFonts w:ascii="Arial" w:hAnsi="Arial" w:cs="Arial"/>
          <w:b w:val="0"/>
          <w:caps w:val="0"/>
          <w:sz w:val="20"/>
        </w:rPr>
        <w:t xml:space="preserve"> et Bona)., 1980; </w:t>
      </w:r>
      <w:proofErr w:type="spellStart"/>
      <w:r w:rsidR="0083512A">
        <w:rPr>
          <w:rFonts w:ascii="Arial" w:hAnsi="Arial" w:cs="Arial"/>
          <w:b w:val="0"/>
          <w:caps w:val="0"/>
          <w:sz w:val="20"/>
        </w:rPr>
        <w:t>Suprayitno</w:t>
      </w:r>
      <w:proofErr w:type="spellEnd"/>
      <w:r w:rsidR="0083512A">
        <w:rPr>
          <w:rFonts w:ascii="Arial" w:hAnsi="Arial" w:cs="Arial"/>
          <w:b w:val="0"/>
          <w:caps w:val="0"/>
          <w:sz w:val="20"/>
        </w:rPr>
        <w:t xml:space="preserve"> E., </w:t>
      </w:r>
      <w:proofErr w:type="spellStart"/>
      <w:r w:rsidR="0083512A">
        <w:rPr>
          <w:rFonts w:ascii="Arial" w:hAnsi="Arial" w:cs="Arial"/>
          <w:b w:val="0"/>
          <w:caps w:val="0"/>
          <w:sz w:val="20"/>
        </w:rPr>
        <w:t>Setiawan</w:t>
      </w:r>
      <w:proofErr w:type="spellEnd"/>
      <w:r w:rsidR="0083512A">
        <w:rPr>
          <w:rFonts w:ascii="Arial" w:hAnsi="Arial" w:cs="Arial"/>
          <w:b w:val="0"/>
          <w:caps w:val="0"/>
          <w:sz w:val="20"/>
        </w:rPr>
        <w:t xml:space="preserve"> I, 2021</w:t>
      </w:r>
      <w:r w:rsidRPr="00561A37">
        <w:rPr>
          <w:rFonts w:ascii="Arial" w:hAnsi="Arial" w:cs="Arial"/>
          <w:b w:val="0"/>
          <w:caps w:val="0"/>
          <w:sz w:val="20"/>
        </w:rPr>
        <w:t xml:space="preserve">; </w:t>
      </w:r>
      <w:proofErr w:type="spellStart"/>
      <w:r w:rsidRPr="00561A37">
        <w:rPr>
          <w:rFonts w:ascii="Arial" w:hAnsi="Arial" w:cs="Arial"/>
          <w:b w:val="0"/>
          <w:caps w:val="0"/>
          <w:sz w:val="20"/>
        </w:rPr>
        <w:t>Pedoman</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Etika</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Pelayanan</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Paliatif</w:t>
      </w:r>
      <w:proofErr w:type="spellEnd"/>
      <w:r w:rsidRPr="00561A37">
        <w:rPr>
          <w:rFonts w:ascii="Arial" w:hAnsi="Arial" w:cs="Arial"/>
          <w:b w:val="0"/>
          <w:caps w:val="0"/>
          <w:sz w:val="20"/>
        </w:rPr>
        <w:t xml:space="preserve">, 2019; </w:t>
      </w:r>
      <w:proofErr w:type="spellStart"/>
      <w:r w:rsidRPr="00561A37">
        <w:rPr>
          <w:rFonts w:ascii="Arial" w:hAnsi="Arial" w:cs="Arial"/>
          <w:b w:val="0"/>
          <w:caps w:val="0"/>
          <w:sz w:val="20"/>
        </w:rPr>
        <w:t>Samaritanus</w:t>
      </w:r>
      <w:proofErr w:type="spellEnd"/>
      <w:r w:rsidRPr="00561A37">
        <w:rPr>
          <w:rFonts w:ascii="Arial" w:hAnsi="Arial" w:cs="Arial"/>
          <w:b w:val="0"/>
          <w:caps w:val="0"/>
          <w:sz w:val="20"/>
        </w:rPr>
        <w:t xml:space="preserve"> Bonus: On the Care of Persons in the Critical and Terminal Phases of Life., 2020; Gede Arya Juni Arta &amp; Agama Hindu Negeri </w:t>
      </w:r>
      <w:proofErr w:type="spellStart"/>
      <w:r w:rsidRPr="00561A37">
        <w:rPr>
          <w:rFonts w:ascii="Arial" w:hAnsi="Arial" w:cs="Arial"/>
          <w:b w:val="0"/>
          <w:caps w:val="0"/>
          <w:sz w:val="20"/>
        </w:rPr>
        <w:t>Tampung</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Penyang</w:t>
      </w:r>
      <w:proofErr w:type="spellEnd"/>
      <w:r w:rsidRPr="00561A37">
        <w:rPr>
          <w:rFonts w:ascii="Arial" w:hAnsi="Arial" w:cs="Arial"/>
          <w:b w:val="0"/>
          <w:caps w:val="0"/>
          <w:sz w:val="20"/>
        </w:rPr>
        <w:t xml:space="preserve"> </w:t>
      </w:r>
      <w:proofErr w:type="spellStart"/>
      <w:r w:rsidRPr="00561A37">
        <w:rPr>
          <w:rFonts w:ascii="Arial" w:hAnsi="Arial" w:cs="Arial"/>
          <w:b w:val="0"/>
          <w:caps w:val="0"/>
          <w:sz w:val="20"/>
        </w:rPr>
        <w:t>Palangka</w:t>
      </w:r>
      <w:proofErr w:type="spellEnd"/>
      <w:r w:rsidRPr="00561A37">
        <w:rPr>
          <w:rFonts w:ascii="Arial" w:hAnsi="Arial" w:cs="Arial"/>
          <w:b w:val="0"/>
          <w:caps w:val="0"/>
          <w:sz w:val="20"/>
        </w:rPr>
        <w:t xml:space="preserve"> Raya, n.d.; Phua et al., 2015; Ping-</w:t>
      </w:r>
      <w:proofErr w:type="spellStart"/>
      <w:r w:rsidRPr="00561A37">
        <w:rPr>
          <w:rFonts w:ascii="Arial" w:hAnsi="Arial" w:cs="Arial"/>
          <w:b w:val="0"/>
          <w:caps w:val="0"/>
          <w:sz w:val="20"/>
        </w:rPr>
        <w:t>cheung</w:t>
      </w:r>
      <w:proofErr w:type="spellEnd"/>
      <w:r w:rsidRPr="00561A37">
        <w:rPr>
          <w:rFonts w:ascii="Arial" w:hAnsi="Arial" w:cs="Arial"/>
          <w:b w:val="0"/>
          <w:caps w:val="0"/>
          <w:sz w:val="20"/>
        </w:rPr>
        <w:t>, 2010)</w:t>
      </w:r>
      <w:sdt>
        <w:sdtPr>
          <w:rPr>
            <w:rFonts w:ascii="Arial" w:hAnsi="Arial" w:cs="Arial"/>
            <w:b w:val="0"/>
            <w:caps w:val="0"/>
            <w:sz w:val="20"/>
          </w:rPr>
          <w:tag w:val="MENDELEY_CITATION_TEMP"/>
          <w:id w:val="219878713"/>
          <w:placeholder>
            <w:docPart w:val="DefaultPlaceholder_-1854013440"/>
          </w:placeholder>
          <w15:appearance w15:val="hidden"/>
        </w:sdtPr>
        <w:sdtEndPr/>
        <w:sdtContent>
          <w:r w:rsidR="0083512A">
            <w:rPr>
              <w:rFonts w:ascii="Arial" w:hAnsi="Arial" w:cs="Arial"/>
              <w:b w:val="0"/>
              <w:caps w:val="0"/>
              <w:sz w:val="20"/>
            </w:rPr>
            <w:t xml:space="preserve"> </w:t>
          </w:r>
        </w:sdtContent>
      </w:sdt>
    </w:p>
    <w:p w14:paraId="48CD5B1B" w14:textId="2687B2FA" w:rsidR="003566B6" w:rsidRDefault="00561A37" w:rsidP="00561A37">
      <w:pPr>
        <w:pStyle w:val="AcknHead"/>
        <w:spacing w:after="0"/>
        <w:ind w:firstLine="720"/>
        <w:jc w:val="both"/>
        <w:rPr>
          <w:rFonts w:ascii="Arial" w:hAnsi="Arial" w:cs="Arial"/>
          <w:b w:val="0"/>
          <w:caps w:val="0"/>
          <w:sz w:val="20"/>
        </w:rPr>
      </w:pPr>
      <w:r w:rsidRPr="00561A37">
        <w:rPr>
          <w:rFonts w:ascii="Arial" w:hAnsi="Arial" w:cs="Arial"/>
          <w:b w:val="0"/>
          <w:caps w:val="0"/>
          <w:sz w:val="20"/>
        </w:rPr>
        <w:t xml:space="preserve">Cultural and religious elements in Indonesia influence </w:t>
      </w:r>
      <w:r w:rsidR="0064677F">
        <w:rPr>
          <w:rFonts w:ascii="Arial" w:hAnsi="Arial" w:cs="Arial"/>
          <w:b w:val="0"/>
          <w:caps w:val="0"/>
          <w:sz w:val="20"/>
        </w:rPr>
        <w:t>withholding</w:t>
      </w:r>
      <w:r w:rsidRPr="00561A37">
        <w:rPr>
          <w:rFonts w:ascii="Arial" w:hAnsi="Arial" w:cs="Arial"/>
          <w:b w:val="0"/>
          <w:caps w:val="0"/>
          <w:sz w:val="20"/>
        </w:rPr>
        <w:t xml:space="preserve"> and withdrawal decisions in palliative care patients. Wills or </w:t>
      </w:r>
      <w:r w:rsidR="0064677F">
        <w:rPr>
          <w:rFonts w:ascii="Arial" w:hAnsi="Arial" w:cs="Arial"/>
          <w:b w:val="0"/>
          <w:caps w:val="0"/>
          <w:sz w:val="20"/>
        </w:rPr>
        <w:t>advance</w:t>
      </w:r>
      <w:r w:rsidRPr="00561A37">
        <w:rPr>
          <w:rFonts w:ascii="Arial" w:hAnsi="Arial" w:cs="Arial"/>
          <w:b w:val="0"/>
          <w:caps w:val="0"/>
          <w:sz w:val="20"/>
        </w:rPr>
        <w:t xml:space="preserve"> directives are generally rare. Discussions about "planning" for the possibility of death are considered taboo and are determined by God. This understanding of death as taboo is also found in other Asian countries, such as South Korea. Taiwan is one country that considers withholding and withdrawal in palliative care patients to be the responsibility of the physician and not illegal. Japan adheres to a policy that for palliative care patients, decisions about delaying or discontinuing therapy must be </w:t>
      </w:r>
      <w:r w:rsidRPr="00561A37">
        <w:rPr>
          <w:rFonts w:ascii="Arial" w:hAnsi="Arial" w:cs="Arial"/>
          <w:b w:val="0"/>
          <w:caps w:val="0"/>
          <w:sz w:val="20"/>
        </w:rPr>
        <w:lastRenderedPageBreak/>
        <w:t xml:space="preserve">discussed with the patient's family and must be the result of mutual agreement between medical personnel and the family. Appointing a proxy directive, which is included in a will, is also rare, as the family is considered the ultimate decision-maker for the </w:t>
      </w:r>
      <w:proofErr w:type="gramStart"/>
      <w:r w:rsidRPr="00561A37">
        <w:rPr>
          <w:rFonts w:ascii="Arial" w:hAnsi="Arial" w:cs="Arial"/>
          <w:b w:val="0"/>
          <w:caps w:val="0"/>
          <w:sz w:val="20"/>
        </w:rPr>
        <w:t>patient.(</w:t>
      </w:r>
      <w:proofErr w:type="gramEnd"/>
      <w:r w:rsidRPr="00561A37">
        <w:rPr>
          <w:rFonts w:ascii="Arial" w:hAnsi="Arial" w:cs="Arial"/>
          <w:b w:val="0"/>
          <w:caps w:val="0"/>
          <w:sz w:val="20"/>
        </w:rPr>
        <w:t>Pradipta et al., n.d.; Song et al., 2024; Tanaka et al., 2020)</w:t>
      </w:r>
    </w:p>
    <w:p w14:paraId="6589E8AB" w14:textId="77777777" w:rsidR="00561A37" w:rsidRDefault="00561A37" w:rsidP="00561A37">
      <w:pPr>
        <w:pStyle w:val="AcknHead"/>
        <w:spacing w:after="0"/>
        <w:jc w:val="both"/>
        <w:rPr>
          <w:rFonts w:ascii="Arial" w:hAnsi="Arial" w:cs="Arial"/>
        </w:rPr>
      </w:pPr>
    </w:p>
    <w:p w14:paraId="3742ED61" w14:textId="15059977" w:rsidR="003566B6" w:rsidRDefault="003566B6" w:rsidP="00441B6F">
      <w:pPr>
        <w:pStyle w:val="AcknHead"/>
        <w:spacing w:after="0"/>
        <w:jc w:val="both"/>
        <w:rPr>
          <w:rFonts w:ascii="Arial" w:hAnsi="Arial" w:cs="Arial"/>
        </w:rPr>
      </w:pPr>
      <w:r>
        <w:rPr>
          <w:rFonts w:ascii="Arial" w:hAnsi="Arial" w:cs="Arial"/>
        </w:rPr>
        <w:t xml:space="preserve">7. </w:t>
      </w:r>
      <w:r w:rsidR="0064677F">
        <w:rPr>
          <w:rFonts w:ascii="Arial" w:hAnsi="Arial" w:cs="Arial"/>
        </w:rPr>
        <w:t>Withholding</w:t>
      </w:r>
      <w:r w:rsidRPr="003566B6">
        <w:rPr>
          <w:rFonts w:ascii="Arial" w:hAnsi="Arial" w:cs="Arial"/>
        </w:rPr>
        <w:t xml:space="preserve"> and withdrawal and their relationship in </w:t>
      </w:r>
      <w:r w:rsidR="0064677F">
        <w:rPr>
          <w:rFonts w:ascii="Arial" w:hAnsi="Arial" w:cs="Arial"/>
        </w:rPr>
        <w:t>Advanced</w:t>
      </w:r>
      <w:r w:rsidRPr="003566B6">
        <w:rPr>
          <w:rFonts w:ascii="Arial" w:hAnsi="Arial" w:cs="Arial"/>
        </w:rPr>
        <w:t xml:space="preserve"> Care Planning</w:t>
      </w:r>
    </w:p>
    <w:p w14:paraId="2EBA26C0" w14:textId="77777777" w:rsidR="003566B6" w:rsidRDefault="003566B6" w:rsidP="00441B6F">
      <w:pPr>
        <w:pStyle w:val="AcknHead"/>
        <w:spacing w:after="0"/>
        <w:jc w:val="both"/>
        <w:rPr>
          <w:rFonts w:ascii="Arial" w:hAnsi="Arial" w:cs="Arial"/>
        </w:rPr>
      </w:pPr>
    </w:p>
    <w:p w14:paraId="1CC3A876" w14:textId="77777777" w:rsidR="00561A37" w:rsidRPr="00561A37" w:rsidRDefault="00561A37" w:rsidP="00561A37">
      <w:pPr>
        <w:pStyle w:val="AcknHead"/>
        <w:ind w:firstLine="720"/>
        <w:jc w:val="both"/>
        <w:rPr>
          <w:rFonts w:ascii="Arial" w:hAnsi="Arial" w:cs="Arial"/>
          <w:b w:val="0"/>
          <w:caps w:val="0"/>
          <w:sz w:val="20"/>
        </w:rPr>
      </w:pPr>
      <w:r w:rsidRPr="00561A37">
        <w:rPr>
          <w:rFonts w:ascii="Arial" w:hAnsi="Arial" w:cs="Arial"/>
          <w:b w:val="0"/>
          <w:caps w:val="0"/>
          <w:sz w:val="20"/>
        </w:rPr>
        <w:t xml:space="preserve">Advance Care Planning (ACP) is a discussion and planning process undertaken by an individual to decide on their future medical care and treatment. According to the 2017 Delphi panel, ACP is defined as a process that supports adults of varying age and health in understanding and sharing personal values, life goals, and preferences regarding future medical care. Advance Care Planning is useful when a patient is in critical condition and unable to communicate their wishes. This discussion involves the patient, their family, and medical personnel. Many patients include their wishes in a legal document called ‘Advance Directives’. Patients with terminal illnesses generally require advanced care planning for their future. However, in some countries, this is still rarely discussed and is not considered commonplace. This relates to two important issues: determining a surrogate decision-maker (proxy directive) who will be responsible for making decisions when the patient is incompetent and the patient's preferences regarding end-of-life therapy. Advance Care Planning also analyzes and can prevent various factors that could become problems in the future, related to the patient's family and </w:t>
      </w:r>
      <w:proofErr w:type="gramStart"/>
      <w:r w:rsidRPr="00561A37">
        <w:rPr>
          <w:rFonts w:ascii="Arial" w:hAnsi="Arial" w:cs="Arial"/>
          <w:b w:val="0"/>
          <w:caps w:val="0"/>
          <w:sz w:val="20"/>
        </w:rPr>
        <w:t>legacy.(</w:t>
      </w:r>
      <w:proofErr w:type="gramEnd"/>
      <w:r w:rsidRPr="00561A37">
        <w:rPr>
          <w:rFonts w:ascii="Arial" w:hAnsi="Arial" w:cs="Arial"/>
          <w:b w:val="0"/>
          <w:caps w:val="0"/>
          <w:sz w:val="20"/>
        </w:rPr>
        <w:t xml:space="preserve">Hickman et al., 2023; Hyson &amp; Fritz, 2024; </w:t>
      </w:r>
      <w:proofErr w:type="spellStart"/>
      <w:r w:rsidRPr="00561A37">
        <w:rPr>
          <w:rFonts w:ascii="Arial" w:hAnsi="Arial" w:cs="Arial"/>
          <w:b w:val="0"/>
          <w:caps w:val="0"/>
          <w:sz w:val="20"/>
        </w:rPr>
        <w:t>Sedini</w:t>
      </w:r>
      <w:proofErr w:type="spellEnd"/>
      <w:r w:rsidRPr="00561A37">
        <w:rPr>
          <w:rFonts w:ascii="Arial" w:hAnsi="Arial" w:cs="Arial"/>
          <w:b w:val="0"/>
          <w:caps w:val="0"/>
          <w:sz w:val="20"/>
        </w:rPr>
        <w:t xml:space="preserve"> et al., 2022; Toledo-Franco et al., n.d.; Universal Principles for Advance Care Planning (ACP), 2022) </w:t>
      </w:r>
    </w:p>
    <w:p w14:paraId="192284DF" w14:textId="40FAE986" w:rsidR="00561A37" w:rsidRPr="00561A37" w:rsidRDefault="00561A37" w:rsidP="00561A37">
      <w:pPr>
        <w:pStyle w:val="AcknHead"/>
        <w:ind w:firstLine="720"/>
        <w:jc w:val="both"/>
        <w:rPr>
          <w:rFonts w:ascii="Arial" w:hAnsi="Arial" w:cs="Arial"/>
          <w:b w:val="0"/>
          <w:caps w:val="0"/>
          <w:sz w:val="20"/>
        </w:rPr>
      </w:pPr>
      <w:r w:rsidRPr="00561A37">
        <w:rPr>
          <w:rFonts w:ascii="Arial" w:hAnsi="Arial" w:cs="Arial"/>
          <w:b w:val="0"/>
          <w:caps w:val="0"/>
          <w:sz w:val="20"/>
        </w:rPr>
        <w:t>Advance Care Planning (ACP) is a discussion process between patients, families, and healthcare professionals regarding the patient's wishes, preferences, fears, values, and beliefs regarding current and future medical care. ACP includes explaining the diagnosis, prognosis, and goals of care (curative, palliative, or comfort), planning for resuscitation and emergency interventions such as CPR, and the possibility of accessing and transferring services to palliative care or other facilities. Benefits of ACP include facilitating early decision-making, designating a trusted surrogate decision-maker, and ensuring the patient's preferences are formally documented for use when the patient is no longer competent. Additionally, ACP addresses the patient's choice of care setting, spiritual needs and personal support, and end-of-life wishes, such as burial, culturally appropriate funeral arrangements, and decisions regarding organ or tissue donation.</w:t>
      </w:r>
      <w:r w:rsidR="0064677F">
        <w:rPr>
          <w:rFonts w:ascii="Arial" w:hAnsi="Arial" w:cs="Arial"/>
          <w:b w:val="0"/>
          <w:caps w:val="0"/>
          <w:sz w:val="20"/>
        </w:rPr>
        <w:t xml:space="preserve"> </w:t>
      </w:r>
      <w:r w:rsidRPr="00561A37">
        <w:rPr>
          <w:rFonts w:ascii="Arial" w:hAnsi="Arial" w:cs="Arial"/>
          <w:b w:val="0"/>
          <w:caps w:val="0"/>
          <w:sz w:val="20"/>
        </w:rPr>
        <w:t>(Department of Health, 2018)</w:t>
      </w:r>
    </w:p>
    <w:p w14:paraId="2D9E20AE" w14:textId="337327DB" w:rsidR="003566B6" w:rsidRDefault="00561A37" w:rsidP="00561A37">
      <w:pPr>
        <w:pStyle w:val="AcknHead"/>
        <w:spacing w:after="0"/>
        <w:ind w:firstLine="720"/>
        <w:jc w:val="both"/>
        <w:rPr>
          <w:rFonts w:ascii="Arial" w:hAnsi="Arial" w:cs="Arial"/>
          <w:b w:val="0"/>
          <w:caps w:val="0"/>
          <w:sz w:val="20"/>
        </w:rPr>
      </w:pPr>
      <w:r w:rsidRPr="00561A37">
        <w:rPr>
          <w:rFonts w:ascii="Arial" w:hAnsi="Arial" w:cs="Arial"/>
          <w:b w:val="0"/>
          <w:caps w:val="0"/>
          <w:sz w:val="20"/>
        </w:rPr>
        <w:t xml:space="preserve">Advance Care Planning reflects a sense of respect and appreciation for patients' choices regarding their lives. </w:t>
      </w:r>
      <w:r w:rsidR="0064677F">
        <w:rPr>
          <w:rFonts w:ascii="Arial" w:hAnsi="Arial" w:cs="Arial"/>
          <w:b w:val="0"/>
          <w:caps w:val="0"/>
          <w:sz w:val="20"/>
        </w:rPr>
        <w:t>Withholding</w:t>
      </w:r>
      <w:r w:rsidRPr="00561A37">
        <w:rPr>
          <w:rFonts w:ascii="Arial" w:hAnsi="Arial" w:cs="Arial"/>
          <w:b w:val="0"/>
          <w:caps w:val="0"/>
          <w:sz w:val="20"/>
        </w:rPr>
        <w:t xml:space="preserve"> and withdrawal are medical decisions that can be made more clearly and purposefully if the patient has a will from an Advance Care Plan. Advance care planning has been increasingly discussed and developed in recent decades. However, its implementation can be hampered by various factors, including beliefs, culture, religion, and social factors. Misconceptions about ACP remain widespread, especially among patients, caregivers, families, and the general public. (Canny et al., 2023; Hickman et al., 2023; Hyson &amp; Fritz, 2024; </w:t>
      </w:r>
      <w:proofErr w:type="spellStart"/>
      <w:r w:rsidRPr="00561A37">
        <w:rPr>
          <w:rFonts w:ascii="Arial" w:hAnsi="Arial" w:cs="Arial"/>
          <w:b w:val="0"/>
          <w:caps w:val="0"/>
          <w:sz w:val="20"/>
        </w:rPr>
        <w:t>Sedini</w:t>
      </w:r>
      <w:proofErr w:type="spellEnd"/>
      <w:r w:rsidRPr="00561A37">
        <w:rPr>
          <w:rFonts w:ascii="Arial" w:hAnsi="Arial" w:cs="Arial"/>
          <w:b w:val="0"/>
          <w:caps w:val="0"/>
          <w:sz w:val="20"/>
        </w:rPr>
        <w:t xml:space="preserve"> et al., 2022; Toledo-Franco et al., n.d.; Universal Principles for Advance Care Planning (ACP), 2022)</w:t>
      </w:r>
    </w:p>
    <w:p w14:paraId="055B4D58" w14:textId="77777777" w:rsidR="00561A37" w:rsidRDefault="00561A37" w:rsidP="00561A37">
      <w:pPr>
        <w:pStyle w:val="AcknHead"/>
        <w:spacing w:after="0"/>
        <w:jc w:val="both"/>
        <w:rPr>
          <w:rFonts w:ascii="Arial" w:hAnsi="Arial" w:cs="Arial"/>
        </w:rPr>
      </w:pPr>
    </w:p>
    <w:p w14:paraId="7830034B" w14:textId="77777777" w:rsidR="003566B6" w:rsidRDefault="003566B6" w:rsidP="00441B6F">
      <w:pPr>
        <w:pStyle w:val="AcknHead"/>
        <w:spacing w:after="0"/>
        <w:jc w:val="both"/>
        <w:rPr>
          <w:rFonts w:ascii="Arial" w:hAnsi="Arial" w:cs="Arial"/>
        </w:rPr>
      </w:pPr>
      <w:r>
        <w:rPr>
          <w:rFonts w:ascii="Arial" w:hAnsi="Arial" w:cs="Arial"/>
        </w:rPr>
        <w:t>8. Conclusion</w:t>
      </w:r>
    </w:p>
    <w:p w14:paraId="62B44ECE" w14:textId="10571792" w:rsidR="003566B6" w:rsidRDefault="003566B6" w:rsidP="00441B6F">
      <w:pPr>
        <w:pStyle w:val="AcknHead"/>
        <w:spacing w:after="0"/>
        <w:jc w:val="both"/>
        <w:rPr>
          <w:rFonts w:ascii="Arial" w:hAnsi="Arial" w:cs="Arial"/>
        </w:rPr>
      </w:pPr>
      <w:r>
        <w:rPr>
          <w:rFonts w:ascii="Arial" w:hAnsi="Arial" w:cs="Arial"/>
        </w:rPr>
        <w:t xml:space="preserve"> </w:t>
      </w:r>
    </w:p>
    <w:p w14:paraId="69C3722C" w14:textId="11CB8E59" w:rsidR="003566B6" w:rsidRDefault="003566B6" w:rsidP="003566B6">
      <w:pPr>
        <w:pStyle w:val="AcknHead"/>
        <w:spacing w:after="0"/>
        <w:ind w:firstLine="720"/>
        <w:jc w:val="both"/>
        <w:rPr>
          <w:rFonts w:ascii="Arial" w:hAnsi="Arial" w:cs="Arial"/>
        </w:rPr>
      </w:pPr>
      <w:r w:rsidRPr="003566B6">
        <w:rPr>
          <w:rFonts w:ascii="Arial" w:hAnsi="Arial" w:cs="Arial"/>
          <w:b w:val="0"/>
          <w:caps w:val="0"/>
          <w:sz w:val="20"/>
        </w:rPr>
        <w:t xml:space="preserve">Withholding and withdrawal in palliative care have garnered increasing interest and debate in the medical community. Many issues are associated with decision-making in the care of palliative care patients, especially near the end of life. Ethical, legal, social, cultural, religious, acceptance, and patient and family wishes must be considered to avoid future problems for all parties involved. Doctors must possess sound ethical and legal knowledge </w:t>
      </w:r>
      <w:r w:rsidRPr="003566B6">
        <w:rPr>
          <w:rFonts w:ascii="Arial" w:hAnsi="Arial" w:cs="Arial"/>
          <w:b w:val="0"/>
          <w:caps w:val="0"/>
          <w:sz w:val="20"/>
        </w:rPr>
        <w:lastRenderedPageBreak/>
        <w:t>before recommending or implementing therapy delays or discontinuations. Patients and families must be fully informed about the patient's medical condition and prognosis before discussing the continuation of care. Patients in palliative care who are still competent to make decisions can plan their own options regarding medical treatment. However, patients who are no longer competent require decision-making by a surrogate. A plan regarding the continuation of treatment and the extent of medical interventions needs to be considered and discussed between medical personnel, the patient, and their family. This planning is known as Advanced Care Planning. Advance Care Planning is an integral part of the decision-making process for delaying and discontinuing therapy. Thus, it is hoped that in the future it can help medical personnel, patients, and families in reaching the best decisions for patients, without disregarding the patient's preferences or wishes for their lives.</w:t>
      </w:r>
    </w:p>
    <w:p w14:paraId="3621E601" w14:textId="77777777" w:rsidR="003566B6" w:rsidRDefault="003566B6" w:rsidP="00441B6F">
      <w:pPr>
        <w:pStyle w:val="AcknHead"/>
        <w:spacing w:after="0"/>
        <w:jc w:val="both"/>
        <w:rPr>
          <w:rFonts w:ascii="Arial" w:hAnsi="Arial" w:cs="Arial"/>
        </w:rPr>
      </w:pPr>
    </w:p>
    <w:p w14:paraId="5FB7C640" w14:textId="021109DF"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6DF645AA" w14:textId="77777777" w:rsidR="00315186" w:rsidRDefault="00315186" w:rsidP="00441B6F"/>
    <w:p w14:paraId="1F1332DD" w14:textId="72E891DA" w:rsidR="003566B6" w:rsidRDefault="003566B6" w:rsidP="00441B6F">
      <w:r>
        <w:t>Not Applicable</w:t>
      </w:r>
    </w:p>
    <w:p w14:paraId="700B823B" w14:textId="77777777" w:rsidR="00561A37" w:rsidRPr="00315186" w:rsidRDefault="00561A37" w:rsidP="00441B6F"/>
    <w:p w14:paraId="4F6EFCB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FE1357E" w14:textId="77777777" w:rsidR="00860000" w:rsidRPr="00786D36" w:rsidRDefault="00860000" w:rsidP="00441B6F">
      <w:pPr>
        <w:pStyle w:val="ReferHead"/>
        <w:spacing w:after="0"/>
        <w:jc w:val="both"/>
        <w:rPr>
          <w:rFonts w:ascii="Arial" w:hAnsi="Arial" w:cs="Arial"/>
        </w:rPr>
      </w:pPr>
    </w:p>
    <w:p w14:paraId="2DCE1424" w14:textId="33D3BB86" w:rsidR="00860000" w:rsidRPr="003566B6" w:rsidRDefault="00E66E10" w:rsidP="00441B6F">
      <w:pPr>
        <w:pStyle w:val="ReferHead"/>
        <w:spacing w:after="0"/>
        <w:jc w:val="both"/>
        <w:rPr>
          <w:rFonts w:ascii="Arial" w:hAnsi="Arial" w:cs="Arial"/>
          <w:b w:val="0"/>
          <w:caps w:val="0"/>
          <w:sz w:val="20"/>
        </w:rPr>
      </w:pPr>
      <w:r w:rsidRPr="003566B6">
        <w:rPr>
          <w:rFonts w:ascii="Arial" w:hAnsi="Arial" w:cs="Arial"/>
          <w:b w:val="0"/>
          <w:caps w:val="0"/>
          <w:sz w:val="20"/>
        </w:rPr>
        <w:t>Authors have declared that no competing interests exist.</w:t>
      </w:r>
    </w:p>
    <w:p w14:paraId="55E77C2C" w14:textId="77777777" w:rsidR="00371FB6" w:rsidRDefault="00371FB6" w:rsidP="00441B6F">
      <w:pPr>
        <w:pStyle w:val="ReferHead"/>
        <w:spacing w:after="0"/>
        <w:jc w:val="both"/>
        <w:rPr>
          <w:rFonts w:ascii="Arial" w:hAnsi="Arial" w:cs="Arial"/>
          <w:b w:val="0"/>
          <w:caps w:val="0"/>
          <w:sz w:val="20"/>
        </w:rPr>
      </w:pPr>
    </w:p>
    <w:p w14:paraId="2C938EAF"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33D59C3A" w14:textId="77777777" w:rsidR="00371FB6" w:rsidRPr="003566B6" w:rsidRDefault="00371FB6" w:rsidP="00441B6F">
      <w:pPr>
        <w:pStyle w:val="ReferHead"/>
        <w:spacing w:after="0"/>
        <w:jc w:val="both"/>
        <w:rPr>
          <w:rFonts w:ascii="Arial" w:hAnsi="Arial" w:cs="Arial"/>
          <w:bCs/>
        </w:rPr>
      </w:pPr>
    </w:p>
    <w:p w14:paraId="6E570657" w14:textId="5089FE3C" w:rsidR="002B685A" w:rsidRPr="003566B6" w:rsidRDefault="003566B6" w:rsidP="00561A37">
      <w:pPr>
        <w:pStyle w:val="ReferHead"/>
        <w:spacing w:after="0"/>
        <w:ind w:firstLine="720"/>
        <w:jc w:val="both"/>
        <w:rPr>
          <w:rFonts w:ascii="Arial" w:hAnsi="Arial" w:cs="Arial"/>
          <w:b w:val="0"/>
          <w:caps w:val="0"/>
          <w:sz w:val="20"/>
        </w:rPr>
      </w:pPr>
      <w:r w:rsidRPr="003566B6">
        <w:rPr>
          <w:rFonts w:ascii="Arial" w:hAnsi="Arial" w:cs="Arial"/>
          <w:b w:val="0"/>
          <w:caps w:val="0"/>
          <w:sz w:val="20"/>
        </w:rPr>
        <w:t xml:space="preserve">Putu </w:t>
      </w:r>
      <w:proofErr w:type="spellStart"/>
      <w:r w:rsidRPr="003566B6">
        <w:rPr>
          <w:rFonts w:ascii="Arial" w:hAnsi="Arial" w:cs="Arial"/>
          <w:b w:val="0"/>
          <w:caps w:val="0"/>
          <w:sz w:val="20"/>
        </w:rPr>
        <w:t>Dewinta</w:t>
      </w:r>
      <w:proofErr w:type="spellEnd"/>
      <w:r w:rsidRPr="003566B6">
        <w:rPr>
          <w:rFonts w:ascii="Arial" w:hAnsi="Arial" w:cs="Arial"/>
          <w:b w:val="0"/>
          <w:caps w:val="0"/>
          <w:sz w:val="20"/>
        </w:rPr>
        <w:t xml:space="preserve"> </w:t>
      </w:r>
      <w:proofErr w:type="spellStart"/>
      <w:r w:rsidRPr="003566B6">
        <w:rPr>
          <w:rFonts w:ascii="Arial" w:hAnsi="Arial" w:cs="Arial"/>
          <w:b w:val="0"/>
          <w:caps w:val="0"/>
          <w:sz w:val="20"/>
        </w:rPr>
        <w:t>Darmada</w:t>
      </w:r>
      <w:proofErr w:type="spellEnd"/>
      <w:r w:rsidRPr="003566B6">
        <w:rPr>
          <w:rFonts w:ascii="Arial" w:hAnsi="Arial" w:cs="Arial"/>
          <w:b w:val="0"/>
          <w:caps w:val="0"/>
          <w:sz w:val="20"/>
        </w:rPr>
        <w:t xml:space="preserve"> contributed to the data collection, literature review, analysis of the topic, and writing the manuscript. Muhammad </w:t>
      </w:r>
      <w:proofErr w:type="spellStart"/>
      <w:r w:rsidRPr="003566B6">
        <w:rPr>
          <w:rFonts w:ascii="Arial" w:hAnsi="Arial" w:cs="Arial"/>
          <w:b w:val="0"/>
          <w:caps w:val="0"/>
          <w:sz w:val="20"/>
        </w:rPr>
        <w:t>Awaludin</w:t>
      </w:r>
      <w:proofErr w:type="spellEnd"/>
      <w:r w:rsidRPr="003566B6">
        <w:rPr>
          <w:rFonts w:ascii="Arial" w:hAnsi="Arial" w:cs="Arial"/>
          <w:b w:val="0"/>
          <w:caps w:val="0"/>
          <w:sz w:val="20"/>
        </w:rPr>
        <w:t xml:space="preserve"> gave the idea of the manuscript, analyzed the topic, reviewed, advised, and supervised the writing of the manuscript. </w:t>
      </w:r>
      <w:proofErr w:type="spellStart"/>
      <w:r w:rsidRPr="003566B6">
        <w:rPr>
          <w:rFonts w:ascii="Arial" w:hAnsi="Arial" w:cs="Arial"/>
          <w:b w:val="0"/>
          <w:caps w:val="0"/>
          <w:sz w:val="20"/>
        </w:rPr>
        <w:t>Ventje</w:t>
      </w:r>
      <w:proofErr w:type="spellEnd"/>
      <w:r w:rsidRPr="003566B6">
        <w:rPr>
          <w:rFonts w:ascii="Arial" w:hAnsi="Arial" w:cs="Arial"/>
          <w:b w:val="0"/>
          <w:caps w:val="0"/>
          <w:sz w:val="20"/>
        </w:rPr>
        <w:t xml:space="preserve"> Raymond </w:t>
      </w:r>
      <w:proofErr w:type="spellStart"/>
      <w:r w:rsidRPr="003566B6">
        <w:rPr>
          <w:rFonts w:ascii="Arial" w:hAnsi="Arial" w:cs="Arial"/>
          <w:b w:val="0"/>
          <w:caps w:val="0"/>
          <w:sz w:val="20"/>
        </w:rPr>
        <w:t>Kawengian</w:t>
      </w:r>
      <w:proofErr w:type="spellEnd"/>
      <w:r w:rsidRPr="003566B6">
        <w:rPr>
          <w:rFonts w:ascii="Arial" w:hAnsi="Arial" w:cs="Arial"/>
          <w:b w:val="0"/>
          <w:caps w:val="0"/>
          <w:sz w:val="20"/>
        </w:rPr>
        <w:t xml:space="preserve"> contributed to reviewing and supervising the manuscript.</w:t>
      </w:r>
    </w:p>
    <w:p w14:paraId="39464744" w14:textId="77777777" w:rsidR="003566B6" w:rsidRDefault="003566B6" w:rsidP="00441B6F">
      <w:pPr>
        <w:pStyle w:val="ReferHead"/>
        <w:spacing w:after="0"/>
        <w:jc w:val="both"/>
        <w:rPr>
          <w:rFonts w:ascii="Arial" w:hAnsi="Arial" w:cs="Arial"/>
          <w:bCs/>
        </w:rPr>
      </w:pPr>
    </w:p>
    <w:p w14:paraId="2C7579DD" w14:textId="77777777" w:rsidR="00000DDB" w:rsidRDefault="00000DDB" w:rsidP="00441B6F">
      <w:pPr>
        <w:pStyle w:val="ReferHead"/>
        <w:spacing w:after="0"/>
        <w:jc w:val="both"/>
        <w:rPr>
          <w:rFonts w:ascii="Arial" w:hAnsi="Arial" w:cs="Arial"/>
          <w:b w:val="0"/>
          <w:caps w:val="0"/>
          <w:sz w:val="20"/>
        </w:rPr>
      </w:pPr>
    </w:p>
    <w:p w14:paraId="48A28A58" w14:textId="77777777" w:rsidR="00000DDB" w:rsidRDefault="00000DDB" w:rsidP="00000DDB">
      <w:r>
        <w:t>Disclaimer (Artificial intelligence)</w:t>
      </w:r>
    </w:p>
    <w:p w14:paraId="1EA23ACC" w14:textId="77777777" w:rsidR="00000DDB" w:rsidRDefault="00000DDB" w:rsidP="00000DDB">
      <w:r>
        <w:t xml:space="preserve">Option 1: </w:t>
      </w:r>
    </w:p>
    <w:p w14:paraId="50B65C01" w14:textId="77777777" w:rsidR="00000DDB" w:rsidRDefault="00000DDB" w:rsidP="00000DDB">
      <w:r>
        <w:t xml:space="preserve">Author(s) hereby declare that NO generative AI technologies such as Large Language Models (ChatGPT, COPILOT, etc.) and text-to-image generators have been used during the writing or editing of this manuscript. </w:t>
      </w:r>
    </w:p>
    <w:p w14:paraId="7EF47F88" w14:textId="77777777" w:rsidR="00000DDB" w:rsidRDefault="00000DDB" w:rsidP="00000DDB">
      <w:r>
        <w:t xml:space="preserve">Option 2: </w:t>
      </w:r>
    </w:p>
    <w:p w14:paraId="04CD7733" w14:textId="77777777" w:rsidR="00000DDB" w:rsidRDefault="00000DDB" w:rsidP="00000DD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629D7E" w14:textId="77777777" w:rsidR="00000DDB" w:rsidRDefault="00000DDB" w:rsidP="00000DDB">
      <w:r>
        <w:t>Details of the AI usage are given below:</w:t>
      </w:r>
    </w:p>
    <w:p w14:paraId="3740CCEE" w14:textId="77777777" w:rsidR="00000DDB" w:rsidRDefault="00000DDB" w:rsidP="00000DDB">
      <w:r>
        <w:t>1.</w:t>
      </w:r>
    </w:p>
    <w:p w14:paraId="4C029E5A" w14:textId="77777777" w:rsidR="00000DDB" w:rsidRDefault="00000DDB" w:rsidP="00000DDB">
      <w:r>
        <w:t>2.</w:t>
      </w:r>
    </w:p>
    <w:p w14:paraId="1B81BF02" w14:textId="77777777" w:rsidR="00000DDB" w:rsidRPr="0053103C" w:rsidRDefault="00000DDB" w:rsidP="00000DDB">
      <w:r>
        <w:t>3.</w:t>
      </w:r>
    </w:p>
    <w:p w14:paraId="4800C682" w14:textId="77777777" w:rsidR="00000DDB" w:rsidRDefault="00000DDB" w:rsidP="00441B6F">
      <w:pPr>
        <w:pStyle w:val="ReferHead"/>
        <w:spacing w:after="0"/>
        <w:jc w:val="both"/>
        <w:rPr>
          <w:rFonts w:ascii="Arial" w:hAnsi="Arial" w:cs="Arial"/>
          <w:b w:val="0"/>
          <w:caps w:val="0"/>
          <w:sz w:val="20"/>
        </w:rPr>
      </w:pPr>
    </w:p>
    <w:p w14:paraId="1ADDE850" w14:textId="77777777" w:rsidR="003566B6" w:rsidRDefault="003566B6" w:rsidP="00441B6F">
      <w:pPr>
        <w:pStyle w:val="ReferHead"/>
        <w:spacing w:after="0"/>
        <w:jc w:val="both"/>
        <w:rPr>
          <w:rFonts w:ascii="Arial" w:hAnsi="Arial" w:cs="Arial"/>
        </w:rPr>
      </w:pPr>
    </w:p>
    <w:p w14:paraId="50D1142A" w14:textId="3F7439FC" w:rsidR="00790ADA" w:rsidRPr="002C57D2" w:rsidRDefault="00B01FCD" w:rsidP="00756B2B">
      <w:pPr>
        <w:pStyle w:val="ReferHead"/>
        <w:spacing w:after="0"/>
        <w:jc w:val="both"/>
        <w:rPr>
          <w:rFonts w:ascii="Arial" w:hAnsi="Arial" w:cs="Arial"/>
        </w:rPr>
      </w:pPr>
      <w:r w:rsidRPr="00FB3A86">
        <w:rPr>
          <w:rFonts w:ascii="Arial" w:hAnsi="Arial" w:cs="Arial"/>
        </w:rPr>
        <w:t>References</w:t>
      </w:r>
    </w:p>
    <w:p w14:paraId="6AB6346C" w14:textId="77777777" w:rsidR="00441B6F" w:rsidRDefault="00441B6F" w:rsidP="00441B6F">
      <w:pPr>
        <w:pStyle w:val="Body"/>
        <w:spacing w:after="0"/>
        <w:jc w:val="left"/>
        <w:rPr>
          <w:rFonts w:ascii="Arial" w:hAnsi="Arial" w:cs="Arial"/>
        </w:rPr>
      </w:pPr>
    </w:p>
    <w:p w14:paraId="1AB4B6A9" w14:textId="77777777" w:rsidR="00561A37" w:rsidRPr="00561A37" w:rsidRDefault="00561A37" w:rsidP="00561A37">
      <w:pPr>
        <w:pStyle w:val="Reference"/>
        <w:rPr>
          <w:rFonts w:ascii="Arial" w:hAnsi="Arial" w:cs="Arial"/>
        </w:rPr>
      </w:pPr>
      <w:r w:rsidRPr="00561A37">
        <w:rPr>
          <w:rFonts w:ascii="Arial" w:hAnsi="Arial" w:cs="Arial"/>
        </w:rPr>
        <w:t>Albert, R. H. (2017). End-of-Life Care: Managing Common Symptoms (Vol. 95, Issue 6). www.aafp.org/afp.</w:t>
      </w:r>
    </w:p>
    <w:p w14:paraId="21D039B4" w14:textId="77777777" w:rsidR="00561A37" w:rsidRPr="00561A37" w:rsidRDefault="00561A37" w:rsidP="00561A37">
      <w:pPr>
        <w:pStyle w:val="Reference"/>
        <w:rPr>
          <w:rFonts w:ascii="Arial" w:hAnsi="Arial" w:cs="Arial"/>
        </w:rPr>
      </w:pPr>
      <w:r w:rsidRPr="00561A37">
        <w:rPr>
          <w:rFonts w:ascii="Arial" w:hAnsi="Arial" w:cs="Arial"/>
        </w:rPr>
        <w:t>Canny, A., Mason, B., &amp; Boyd, K. (2023). Public perceptions of advance care planning (ACP) from an international perspective: a scoping review. BMC Palliative Care, 22(1). https://doi.org/10.1186/s12904-023-01230-4</w:t>
      </w:r>
    </w:p>
    <w:p w14:paraId="4C426CBB" w14:textId="77777777" w:rsidR="00561A37" w:rsidRPr="00561A37" w:rsidRDefault="00561A37" w:rsidP="00561A37">
      <w:pPr>
        <w:pStyle w:val="Reference"/>
        <w:rPr>
          <w:rFonts w:ascii="Arial" w:hAnsi="Arial" w:cs="Arial"/>
        </w:rPr>
      </w:pPr>
      <w:r w:rsidRPr="00561A37">
        <w:rPr>
          <w:rFonts w:ascii="Arial" w:hAnsi="Arial" w:cs="Arial"/>
        </w:rPr>
        <w:lastRenderedPageBreak/>
        <w:t>Chakraborty, R., El-</w:t>
      </w:r>
      <w:proofErr w:type="spellStart"/>
      <w:r w:rsidRPr="00561A37">
        <w:rPr>
          <w:rFonts w:ascii="Arial" w:hAnsi="Arial" w:cs="Arial"/>
        </w:rPr>
        <w:t>Jawahri</w:t>
      </w:r>
      <w:proofErr w:type="spellEnd"/>
      <w:r w:rsidRPr="00561A37">
        <w:rPr>
          <w:rFonts w:ascii="Arial" w:hAnsi="Arial" w:cs="Arial"/>
        </w:rPr>
        <w:t>, A. R., Litzow, M. R., Syrjala, K. L., Parnes, A. D., &amp; Hashmi, S. K. (2017). A systematic review of religious beliefs about major end-of-life issues in the five major world religions. Palliative and Supportive Care, 15(5), 609–622. https://doi.org/10.1017/S1478951516001061</w:t>
      </w:r>
    </w:p>
    <w:p w14:paraId="2B522092" w14:textId="77777777" w:rsidR="00561A37" w:rsidRPr="00561A37" w:rsidRDefault="00561A37" w:rsidP="00561A37">
      <w:pPr>
        <w:pStyle w:val="Reference"/>
        <w:rPr>
          <w:rFonts w:ascii="Arial" w:hAnsi="Arial" w:cs="Arial"/>
        </w:rPr>
      </w:pPr>
      <w:r w:rsidRPr="00561A37">
        <w:rPr>
          <w:rFonts w:ascii="Arial" w:hAnsi="Arial" w:cs="Arial"/>
        </w:rPr>
        <w:t>Chung, R. Y.-N., Wong, E. L.-Y., Kiang, N., Chau, P. Y.-K., Lau, J. Y. C., Wong, S. Y.-S., Yeoh, E.-K., &amp; Woo, J. W. (2017). Knowledge, Attitudes, and Preferences of Advance Decisions, End-of-Life Care, and Place of Care and Death in Hong Kong. A Population-Based Telephone Survey of 1067 Adults. Journal of the American Medical Directors Association, 18(4), 367.e19-367.e27. https://doi.org/10.1016/j.jamda.2016.12.066</w:t>
      </w:r>
    </w:p>
    <w:p w14:paraId="08B84454" w14:textId="77777777" w:rsidR="00561A37" w:rsidRPr="00561A37" w:rsidRDefault="00561A37" w:rsidP="00561A37">
      <w:pPr>
        <w:pStyle w:val="Reference"/>
        <w:rPr>
          <w:rFonts w:ascii="Arial" w:hAnsi="Arial" w:cs="Arial"/>
        </w:rPr>
      </w:pPr>
      <w:r w:rsidRPr="00561A37">
        <w:rPr>
          <w:rFonts w:ascii="Arial" w:hAnsi="Arial" w:cs="Arial"/>
        </w:rPr>
        <w:t xml:space="preserve">Connolly, C., </w:t>
      </w:r>
      <w:proofErr w:type="spellStart"/>
      <w:r w:rsidRPr="00561A37">
        <w:rPr>
          <w:rFonts w:ascii="Arial" w:hAnsi="Arial" w:cs="Arial"/>
        </w:rPr>
        <w:t>Miskolci</w:t>
      </w:r>
      <w:proofErr w:type="spellEnd"/>
      <w:r w:rsidRPr="00561A37">
        <w:rPr>
          <w:rFonts w:ascii="Arial" w:hAnsi="Arial" w:cs="Arial"/>
        </w:rPr>
        <w:t>, O., Phelan, D., &amp; Buggy, D. J. (2016). End-of-life in the ICU: Moving from “withdrawal of care” to a palliative care, patient-</w:t>
      </w:r>
      <w:proofErr w:type="spellStart"/>
      <w:r w:rsidRPr="00561A37">
        <w:rPr>
          <w:rFonts w:ascii="Arial" w:hAnsi="Arial" w:cs="Arial"/>
        </w:rPr>
        <w:t>centred</w:t>
      </w:r>
      <w:proofErr w:type="spellEnd"/>
      <w:r w:rsidRPr="00561A37">
        <w:rPr>
          <w:rFonts w:ascii="Arial" w:hAnsi="Arial" w:cs="Arial"/>
        </w:rPr>
        <w:t xml:space="preserve"> approach. In British Journal of </w:t>
      </w:r>
      <w:proofErr w:type="spellStart"/>
      <w:r w:rsidRPr="00561A37">
        <w:rPr>
          <w:rFonts w:ascii="Arial" w:hAnsi="Arial" w:cs="Arial"/>
        </w:rPr>
        <w:t>Anaesthesia</w:t>
      </w:r>
      <w:proofErr w:type="spellEnd"/>
      <w:r w:rsidRPr="00561A37">
        <w:rPr>
          <w:rFonts w:ascii="Arial" w:hAnsi="Arial" w:cs="Arial"/>
        </w:rPr>
        <w:t xml:space="preserve"> (Vol. 117, Issue 2, pp. 143–145). Oxford University Press. https://doi.org/10.1093/bja/aew109</w:t>
      </w:r>
    </w:p>
    <w:p w14:paraId="20220257" w14:textId="77777777" w:rsidR="00561A37" w:rsidRPr="00561A37" w:rsidRDefault="00561A37" w:rsidP="00561A37">
      <w:pPr>
        <w:pStyle w:val="Reference"/>
        <w:rPr>
          <w:rFonts w:ascii="Arial" w:hAnsi="Arial" w:cs="Arial"/>
        </w:rPr>
      </w:pPr>
      <w:r w:rsidRPr="00561A37">
        <w:rPr>
          <w:rFonts w:ascii="Arial" w:hAnsi="Arial" w:cs="Arial"/>
        </w:rPr>
        <w:t>Declaration on Euthanasia (</w:t>
      </w:r>
      <w:proofErr w:type="spellStart"/>
      <w:r w:rsidRPr="00561A37">
        <w:rPr>
          <w:rFonts w:ascii="Arial" w:hAnsi="Arial" w:cs="Arial"/>
        </w:rPr>
        <w:t>Iura</w:t>
      </w:r>
      <w:proofErr w:type="spellEnd"/>
      <w:r w:rsidRPr="00561A37">
        <w:rPr>
          <w:rFonts w:ascii="Arial" w:hAnsi="Arial" w:cs="Arial"/>
        </w:rPr>
        <w:t xml:space="preserve"> et Bona)., Rome: Sacred Congregation for the Doctrine of the Faith (1980).</w:t>
      </w:r>
    </w:p>
    <w:p w14:paraId="53C08372" w14:textId="77777777" w:rsidR="00561A37" w:rsidRPr="00561A37" w:rsidRDefault="00561A37" w:rsidP="00561A37">
      <w:pPr>
        <w:pStyle w:val="Reference"/>
        <w:rPr>
          <w:rFonts w:ascii="Arial" w:hAnsi="Arial" w:cs="Arial"/>
        </w:rPr>
      </w:pPr>
      <w:r w:rsidRPr="00561A37">
        <w:rPr>
          <w:rFonts w:ascii="Arial" w:hAnsi="Arial" w:cs="Arial"/>
        </w:rPr>
        <w:t>Department of Health. (2018). Advance Care Planning Clinical Guidelines. In State of Queensland. State of Queensland.</w:t>
      </w:r>
    </w:p>
    <w:p w14:paraId="2EEE50EA" w14:textId="77777777" w:rsidR="0083512A" w:rsidRDefault="0083512A" w:rsidP="00561A37">
      <w:pPr>
        <w:pStyle w:val="Reference"/>
        <w:rPr>
          <w:rFonts w:ascii="Arial" w:hAnsi="Arial" w:cs="Arial"/>
        </w:rPr>
      </w:pPr>
      <w:proofErr w:type="spellStart"/>
      <w:r w:rsidRPr="0083512A">
        <w:rPr>
          <w:rFonts w:ascii="Arial" w:hAnsi="Arial" w:cs="Arial"/>
        </w:rPr>
        <w:t>Suprayitno</w:t>
      </w:r>
      <w:proofErr w:type="spellEnd"/>
      <w:r w:rsidRPr="0083512A">
        <w:rPr>
          <w:rFonts w:ascii="Arial" w:hAnsi="Arial" w:cs="Arial"/>
        </w:rPr>
        <w:t xml:space="preserve">, E., &amp; Setiawan, I. (2021). Nurses' roles in palliative care: An Islamic perspective. Belitung nursing journal, 7(1), 50–54. https://doi.org/10.33546/bnj.1254 </w:t>
      </w:r>
    </w:p>
    <w:p w14:paraId="04E9CD53" w14:textId="4322F3C3" w:rsidR="00561A37" w:rsidRPr="00561A37" w:rsidRDefault="00561A37" w:rsidP="00561A37">
      <w:pPr>
        <w:pStyle w:val="Reference"/>
        <w:rPr>
          <w:rFonts w:ascii="Arial" w:hAnsi="Arial" w:cs="Arial"/>
        </w:rPr>
      </w:pPr>
      <w:r w:rsidRPr="00561A37">
        <w:rPr>
          <w:rFonts w:ascii="Arial" w:hAnsi="Arial" w:cs="Arial"/>
        </w:rPr>
        <w:t xml:space="preserve">Feldman, C., Sprung, C. L., </w:t>
      </w:r>
      <w:proofErr w:type="spellStart"/>
      <w:r w:rsidRPr="00561A37">
        <w:rPr>
          <w:rFonts w:ascii="Arial" w:hAnsi="Arial" w:cs="Arial"/>
        </w:rPr>
        <w:t>Mentzelopoulos</w:t>
      </w:r>
      <w:proofErr w:type="spellEnd"/>
      <w:r w:rsidRPr="00561A37">
        <w:rPr>
          <w:rFonts w:ascii="Arial" w:hAnsi="Arial" w:cs="Arial"/>
        </w:rPr>
        <w:t xml:space="preserve">, S. D., </w:t>
      </w:r>
      <w:proofErr w:type="spellStart"/>
      <w:r w:rsidRPr="00561A37">
        <w:rPr>
          <w:rFonts w:ascii="Arial" w:hAnsi="Arial" w:cs="Arial"/>
        </w:rPr>
        <w:t>Pohrt</w:t>
      </w:r>
      <w:proofErr w:type="spellEnd"/>
      <w:r w:rsidRPr="00561A37">
        <w:rPr>
          <w:rFonts w:ascii="Arial" w:hAnsi="Arial" w:cs="Arial"/>
        </w:rPr>
        <w:t xml:space="preserve">, A., Hartog, C. S., Danbury, C., Weiss, M., Avidan, A., Estella, A., Joynt, G. M., Lautrette, A., </w:t>
      </w:r>
      <w:proofErr w:type="spellStart"/>
      <w:r w:rsidRPr="00561A37">
        <w:rPr>
          <w:rFonts w:ascii="Arial" w:hAnsi="Arial" w:cs="Arial"/>
        </w:rPr>
        <w:t>Geat</w:t>
      </w:r>
      <w:proofErr w:type="spellEnd"/>
      <w:r w:rsidRPr="00561A37">
        <w:rPr>
          <w:rFonts w:ascii="Arial" w:hAnsi="Arial" w:cs="Arial"/>
        </w:rPr>
        <w:t>, E., Élő, G., Søreide, E., Lesieur, O., Bocci, M. G., Mullick, S., Robertsen, A., Sreedharan, R., … Richards, G. A. (2022). Global Comparison of Communication of End-of-Life Decisions in the ICU. CHEST, 162(5), 1074–1085. https://doi.org/10.1016/j.chest.2022.05.007</w:t>
      </w:r>
    </w:p>
    <w:p w14:paraId="1876A878" w14:textId="04A06446" w:rsidR="00561A37" w:rsidRPr="00561A37" w:rsidRDefault="00561A37" w:rsidP="00561A37">
      <w:pPr>
        <w:pStyle w:val="Reference"/>
        <w:rPr>
          <w:rFonts w:ascii="Arial" w:hAnsi="Arial" w:cs="Arial"/>
        </w:rPr>
      </w:pPr>
      <w:r w:rsidRPr="00561A37">
        <w:rPr>
          <w:rFonts w:ascii="Arial" w:hAnsi="Arial" w:cs="Arial"/>
        </w:rPr>
        <w:t xml:space="preserve">Gede Arya Juni Arta, O. I., &amp; Agama Hindu Negeri </w:t>
      </w:r>
      <w:proofErr w:type="spellStart"/>
      <w:r w:rsidRPr="00561A37">
        <w:rPr>
          <w:rFonts w:ascii="Arial" w:hAnsi="Arial" w:cs="Arial"/>
        </w:rPr>
        <w:t>Tampung</w:t>
      </w:r>
      <w:proofErr w:type="spellEnd"/>
      <w:r w:rsidRPr="00561A37">
        <w:rPr>
          <w:rFonts w:ascii="Arial" w:hAnsi="Arial" w:cs="Arial"/>
        </w:rPr>
        <w:t xml:space="preserve"> </w:t>
      </w:r>
      <w:proofErr w:type="spellStart"/>
      <w:r w:rsidRPr="00561A37">
        <w:rPr>
          <w:rFonts w:ascii="Arial" w:hAnsi="Arial" w:cs="Arial"/>
        </w:rPr>
        <w:t>Penyang</w:t>
      </w:r>
      <w:proofErr w:type="spellEnd"/>
      <w:r w:rsidRPr="00561A37">
        <w:rPr>
          <w:rFonts w:ascii="Arial" w:hAnsi="Arial" w:cs="Arial"/>
        </w:rPr>
        <w:t xml:space="preserve"> </w:t>
      </w:r>
      <w:proofErr w:type="spellStart"/>
      <w:r w:rsidRPr="00561A37">
        <w:rPr>
          <w:rFonts w:ascii="Arial" w:hAnsi="Arial" w:cs="Arial"/>
        </w:rPr>
        <w:t>Palangka</w:t>
      </w:r>
      <w:proofErr w:type="spellEnd"/>
      <w:r w:rsidRPr="00561A37">
        <w:rPr>
          <w:rFonts w:ascii="Arial" w:hAnsi="Arial" w:cs="Arial"/>
        </w:rPr>
        <w:t xml:space="preserve"> Raya, I. (n.d.). Dharma </w:t>
      </w:r>
      <w:proofErr w:type="gramStart"/>
      <w:r w:rsidRPr="00561A37">
        <w:rPr>
          <w:rFonts w:ascii="Arial" w:hAnsi="Arial" w:cs="Arial"/>
        </w:rPr>
        <w:t>Duta :</w:t>
      </w:r>
      <w:proofErr w:type="gramEnd"/>
      <w:r w:rsidRPr="00561A37">
        <w:rPr>
          <w:rFonts w:ascii="Arial" w:hAnsi="Arial" w:cs="Arial"/>
        </w:rPr>
        <w:t xml:space="preserve"> </w:t>
      </w:r>
      <w:proofErr w:type="spellStart"/>
      <w:r w:rsidRPr="00561A37">
        <w:rPr>
          <w:rFonts w:ascii="Arial" w:hAnsi="Arial" w:cs="Arial"/>
        </w:rPr>
        <w:t>Jurnal</w:t>
      </w:r>
      <w:proofErr w:type="spellEnd"/>
      <w:r w:rsidRPr="00561A37">
        <w:rPr>
          <w:rFonts w:ascii="Arial" w:hAnsi="Arial" w:cs="Arial"/>
        </w:rPr>
        <w:t xml:space="preserve"> </w:t>
      </w:r>
      <w:proofErr w:type="spellStart"/>
      <w:r w:rsidRPr="00561A37">
        <w:rPr>
          <w:rFonts w:ascii="Arial" w:hAnsi="Arial" w:cs="Arial"/>
        </w:rPr>
        <w:t>Penerangan</w:t>
      </w:r>
      <w:proofErr w:type="spellEnd"/>
      <w:r w:rsidRPr="00561A37">
        <w:rPr>
          <w:rFonts w:ascii="Arial" w:hAnsi="Arial" w:cs="Arial"/>
        </w:rPr>
        <w:t xml:space="preserve"> Agama Hindu EUTHANASIA DALAM EPOS WIRACARITA RĀMĀYANA SEBAGAI JALAN PEMBEBASAN. </w:t>
      </w:r>
      <w:r w:rsidR="007137BD" w:rsidRPr="007137BD">
        <w:rPr>
          <w:rFonts w:ascii="Arial" w:hAnsi="Arial" w:cs="Arial"/>
        </w:rPr>
        <w:t>https://ejournal.iahntp.ac.id/index.php/Dharma-duta/article/view/697</w:t>
      </w:r>
    </w:p>
    <w:p w14:paraId="1B29C9BB" w14:textId="77777777" w:rsidR="00561A37" w:rsidRPr="00561A37" w:rsidRDefault="00561A37" w:rsidP="00561A37">
      <w:pPr>
        <w:pStyle w:val="Reference"/>
        <w:rPr>
          <w:rFonts w:ascii="Arial" w:hAnsi="Arial" w:cs="Arial"/>
        </w:rPr>
      </w:pPr>
      <w:r w:rsidRPr="00561A37">
        <w:rPr>
          <w:rFonts w:ascii="Arial" w:hAnsi="Arial" w:cs="Arial"/>
        </w:rPr>
        <w:t xml:space="preserve">Hickman, S. E., Lum, H. D., Walling, A. M., Savoy, A., &amp; </w:t>
      </w:r>
      <w:proofErr w:type="spellStart"/>
      <w:r w:rsidRPr="00561A37">
        <w:rPr>
          <w:rFonts w:ascii="Arial" w:hAnsi="Arial" w:cs="Arial"/>
        </w:rPr>
        <w:t>Sudore</w:t>
      </w:r>
      <w:proofErr w:type="spellEnd"/>
      <w:r w:rsidRPr="00561A37">
        <w:rPr>
          <w:rFonts w:ascii="Arial" w:hAnsi="Arial" w:cs="Arial"/>
        </w:rPr>
        <w:t>, R. L. (2023). The care planning umbrella: The evolution of advance care planning. In Journal of the American Geriatrics Society (Vol. 71, Issue 7, pp. 2350–2356). John Wiley and Sons Inc. https://doi.org/10.1111/jgs.18287</w:t>
      </w:r>
    </w:p>
    <w:p w14:paraId="2D2CBF03" w14:textId="77777777" w:rsidR="00561A37" w:rsidRPr="00561A37" w:rsidRDefault="00561A37" w:rsidP="00561A37">
      <w:pPr>
        <w:pStyle w:val="Reference"/>
        <w:rPr>
          <w:rFonts w:ascii="Arial" w:hAnsi="Arial" w:cs="Arial"/>
        </w:rPr>
      </w:pPr>
      <w:r w:rsidRPr="00561A37">
        <w:rPr>
          <w:rFonts w:ascii="Arial" w:hAnsi="Arial" w:cs="Arial"/>
        </w:rPr>
        <w:t>Hyson, L., &amp; Fritz, Z. (2024). Advance and future care planning. BMJ, e074797. https://doi.org/10.1136/bmj-2023-074797</w:t>
      </w:r>
    </w:p>
    <w:p w14:paraId="28A892C9" w14:textId="77777777" w:rsidR="00561A37" w:rsidRPr="00561A37" w:rsidRDefault="00561A37" w:rsidP="00561A37">
      <w:pPr>
        <w:pStyle w:val="Reference"/>
        <w:rPr>
          <w:rFonts w:ascii="Arial" w:hAnsi="Arial" w:cs="Arial"/>
        </w:rPr>
      </w:pPr>
      <w:r w:rsidRPr="00561A37">
        <w:rPr>
          <w:rFonts w:ascii="Arial" w:hAnsi="Arial" w:cs="Arial"/>
        </w:rPr>
        <w:t>Joynt, G. M., Ling, S. K. H., Chang, L. L., Tsai, P. N. W., Au, G. K. F., So, D. H. K., Chow, F. L., Lam, P. K. N., Avidan, A., Sprung, C. L., &amp; Lee, A. (2024). End-of-life practices in Hong Kong intensive care units: results from the Ethicus-2 study. Hong Kong Medical Journal, 30(4), 300–309. https://doi.org/10.12809/hkmj2310944</w:t>
      </w:r>
    </w:p>
    <w:p w14:paraId="6613E170" w14:textId="77777777" w:rsidR="00561A37" w:rsidRPr="00561A37" w:rsidRDefault="00561A37" w:rsidP="00561A37">
      <w:pPr>
        <w:pStyle w:val="Reference"/>
        <w:rPr>
          <w:rFonts w:ascii="Arial" w:hAnsi="Arial" w:cs="Arial"/>
        </w:rPr>
      </w:pPr>
      <w:proofErr w:type="spellStart"/>
      <w:r w:rsidRPr="00561A37">
        <w:rPr>
          <w:rFonts w:ascii="Arial" w:hAnsi="Arial" w:cs="Arial"/>
        </w:rPr>
        <w:t>Ketchaikosol</w:t>
      </w:r>
      <w:proofErr w:type="spellEnd"/>
      <w:r w:rsidRPr="00561A37">
        <w:rPr>
          <w:rFonts w:ascii="Arial" w:hAnsi="Arial" w:cs="Arial"/>
        </w:rPr>
        <w:t xml:space="preserve">, N., </w:t>
      </w:r>
      <w:proofErr w:type="spellStart"/>
      <w:r w:rsidRPr="00561A37">
        <w:rPr>
          <w:rFonts w:ascii="Arial" w:hAnsi="Arial" w:cs="Arial"/>
        </w:rPr>
        <w:t>Pinyopornpanish</w:t>
      </w:r>
      <w:proofErr w:type="spellEnd"/>
      <w:r w:rsidRPr="00561A37">
        <w:rPr>
          <w:rFonts w:ascii="Arial" w:hAnsi="Arial" w:cs="Arial"/>
        </w:rPr>
        <w:t xml:space="preserve">, K., </w:t>
      </w:r>
      <w:proofErr w:type="spellStart"/>
      <w:r w:rsidRPr="00561A37">
        <w:rPr>
          <w:rFonts w:ascii="Arial" w:hAnsi="Arial" w:cs="Arial"/>
        </w:rPr>
        <w:t>Angkurawaranon</w:t>
      </w:r>
      <w:proofErr w:type="spellEnd"/>
      <w:r w:rsidRPr="00561A37">
        <w:rPr>
          <w:rFonts w:ascii="Arial" w:hAnsi="Arial" w:cs="Arial"/>
        </w:rPr>
        <w:t xml:space="preserve">, C., </w:t>
      </w:r>
      <w:proofErr w:type="spellStart"/>
      <w:r w:rsidRPr="00561A37">
        <w:rPr>
          <w:rFonts w:ascii="Arial" w:hAnsi="Arial" w:cs="Arial"/>
        </w:rPr>
        <w:t>Dejkriengkraikul</w:t>
      </w:r>
      <w:proofErr w:type="spellEnd"/>
      <w:r w:rsidRPr="00561A37">
        <w:rPr>
          <w:rFonts w:ascii="Arial" w:hAnsi="Arial" w:cs="Arial"/>
        </w:rPr>
        <w:t xml:space="preserve">, N., &amp; </w:t>
      </w:r>
      <w:proofErr w:type="spellStart"/>
      <w:r w:rsidRPr="00561A37">
        <w:rPr>
          <w:rFonts w:ascii="Arial" w:hAnsi="Arial" w:cs="Arial"/>
        </w:rPr>
        <w:t>Chutarattanakul</w:t>
      </w:r>
      <w:proofErr w:type="spellEnd"/>
      <w:r w:rsidRPr="00561A37">
        <w:rPr>
          <w:rFonts w:ascii="Arial" w:hAnsi="Arial" w:cs="Arial"/>
        </w:rPr>
        <w:t>, L. (2024). Physicians’ experiences and perceptions about withholding and withdrawal life-sustaining treatment in Chiang Mai University Hospital: a cross-sectional study. BMC Palliative Care, 23(1). https://doi.org/10.1186/s12904-024-01511-6</w:t>
      </w:r>
    </w:p>
    <w:p w14:paraId="23BC7D46" w14:textId="77777777" w:rsidR="00561A37" w:rsidRPr="00561A37" w:rsidRDefault="00561A37" w:rsidP="00561A37">
      <w:pPr>
        <w:pStyle w:val="Reference"/>
        <w:rPr>
          <w:rFonts w:ascii="Arial" w:hAnsi="Arial" w:cs="Arial"/>
        </w:rPr>
      </w:pPr>
      <w:r w:rsidRPr="00561A37">
        <w:rPr>
          <w:rFonts w:ascii="Arial" w:hAnsi="Arial" w:cs="Arial"/>
        </w:rPr>
        <w:t>Lombard, J., Davidson, H., &amp; Doody, O. (2025). Do not attempt cardiopulmonary resuscitation practice and policy in Ireland: a mixed-methods study of service user and advocacy group perspectives. Health Research Policy and Systems, 23(1). https://doi.org/10.1186/s12961-025-01315-x</w:t>
      </w:r>
    </w:p>
    <w:p w14:paraId="111EBC60" w14:textId="77777777" w:rsidR="00561A37" w:rsidRPr="00561A37" w:rsidRDefault="00561A37" w:rsidP="00561A37">
      <w:pPr>
        <w:pStyle w:val="Reference"/>
        <w:rPr>
          <w:rFonts w:ascii="Arial" w:hAnsi="Arial" w:cs="Arial"/>
        </w:rPr>
      </w:pPr>
      <w:r w:rsidRPr="00561A37">
        <w:rPr>
          <w:rFonts w:ascii="Arial" w:hAnsi="Arial" w:cs="Arial"/>
        </w:rPr>
        <w:t>Manalo, M. F. C. (2013). End-of-life decisions about withholding or withdrawing therapy: Medical, ethical, and religio-cultural considerations. Palliative Care, 7(1), 1–5. https://doi.org/10.4137/PCRT.S10796</w:t>
      </w:r>
    </w:p>
    <w:p w14:paraId="632D6F76" w14:textId="77777777" w:rsidR="00561A37" w:rsidRPr="00561A37" w:rsidRDefault="00561A37" w:rsidP="00561A37">
      <w:pPr>
        <w:pStyle w:val="Reference"/>
        <w:rPr>
          <w:rFonts w:ascii="Arial" w:hAnsi="Arial" w:cs="Arial"/>
        </w:rPr>
      </w:pPr>
      <w:proofErr w:type="spellStart"/>
      <w:r w:rsidRPr="00561A37">
        <w:rPr>
          <w:rFonts w:ascii="Arial" w:hAnsi="Arial" w:cs="Arial"/>
        </w:rPr>
        <w:lastRenderedPageBreak/>
        <w:t>Nnate</w:t>
      </w:r>
      <w:proofErr w:type="spellEnd"/>
      <w:r w:rsidRPr="00561A37">
        <w:rPr>
          <w:rFonts w:ascii="Arial" w:hAnsi="Arial" w:cs="Arial"/>
        </w:rPr>
        <w:t>, D. A. (2021). Treatment withdrawal of the patient on end of life: An analysis of values, ethics and guidelines in palliative care. Nursing Open, 8(3), 1023–1029. https://doi.org/10.1002/nop2.777</w:t>
      </w:r>
    </w:p>
    <w:p w14:paraId="6119F1BC" w14:textId="77777777" w:rsidR="00561A37" w:rsidRPr="00561A37" w:rsidRDefault="00561A37" w:rsidP="00561A37">
      <w:pPr>
        <w:pStyle w:val="Reference"/>
        <w:rPr>
          <w:rFonts w:ascii="Arial" w:hAnsi="Arial" w:cs="Arial"/>
        </w:rPr>
      </w:pPr>
      <w:r w:rsidRPr="00561A37">
        <w:rPr>
          <w:rFonts w:ascii="Arial" w:hAnsi="Arial" w:cs="Arial"/>
        </w:rPr>
        <w:t>Obarzanek, L., &amp; Campbell, M. L. (2021). Withholding and withdrawal of life support in critically ill patients at the end of life: pain is not the only symptom to manage. In Intensive Care Medicine (Vol. 47, Issue 4, pp. 489–490). Springer Science and Business Media Deutschland GmbH. https://doi.org/10.1007/s00134-020-06345-3</w:t>
      </w:r>
    </w:p>
    <w:p w14:paraId="3B5B9A68" w14:textId="02551044" w:rsidR="00561A37" w:rsidRPr="0058699C" w:rsidRDefault="0058699C" w:rsidP="0058699C">
      <w:pPr>
        <w:pStyle w:val="Reference"/>
        <w:rPr>
          <w:rFonts w:ascii="Arial" w:hAnsi="Arial" w:cs="Arial"/>
        </w:rPr>
      </w:pPr>
      <w:r>
        <w:rPr>
          <w:rFonts w:ascii="Arial" w:hAnsi="Arial" w:cs="Arial"/>
        </w:rPr>
        <w:t>Keputusan</w:t>
      </w:r>
      <w:r w:rsidRPr="00561A37">
        <w:rPr>
          <w:rFonts w:ascii="Arial" w:hAnsi="Arial" w:cs="Arial"/>
        </w:rPr>
        <w:t xml:space="preserve"> Menteri </w:t>
      </w:r>
      <w:proofErr w:type="spellStart"/>
      <w:r w:rsidRPr="00561A37">
        <w:rPr>
          <w:rFonts w:ascii="Arial" w:hAnsi="Arial" w:cs="Arial"/>
        </w:rPr>
        <w:t>Kesehatan</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w:t>
      </w:r>
      <w:r>
        <w:rPr>
          <w:rFonts w:ascii="Arial" w:hAnsi="Arial" w:cs="Arial"/>
        </w:rPr>
        <w:t>HK.01.07/MENKES/2180/2023</w:t>
      </w:r>
      <w:r w:rsidRPr="00561A37">
        <w:rPr>
          <w:rFonts w:ascii="Arial" w:hAnsi="Arial" w:cs="Arial"/>
        </w:rPr>
        <w:t xml:space="preserve">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Pe</w:t>
      </w:r>
      <w:r>
        <w:rPr>
          <w:rFonts w:ascii="Arial" w:hAnsi="Arial" w:cs="Arial"/>
        </w:rPr>
        <w:t>doman</w:t>
      </w:r>
      <w:proofErr w:type="spellEnd"/>
      <w:r>
        <w:rPr>
          <w:rFonts w:ascii="Arial" w:hAnsi="Arial" w:cs="Arial"/>
        </w:rPr>
        <w:t xml:space="preserve"> </w:t>
      </w:r>
      <w:proofErr w:type="spellStart"/>
      <w:r>
        <w:rPr>
          <w:rFonts w:ascii="Arial" w:hAnsi="Arial" w:cs="Arial"/>
        </w:rPr>
        <w:t>Penyelenggaraan</w:t>
      </w:r>
      <w:proofErr w:type="spellEnd"/>
      <w:r>
        <w:rPr>
          <w:rFonts w:ascii="Arial" w:hAnsi="Arial" w:cs="Arial"/>
        </w:rPr>
        <w:t xml:space="preserve"> </w:t>
      </w:r>
      <w:proofErr w:type="spellStart"/>
      <w:r>
        <w:rPr>
          <w:rFonts w:ascii="Arial" w:hAnsi="Arial" w:cs="Arial"/>
        </w:rPr>
        <w:t>Pelayanan</w:t>
      </w:r>
      <w:proofErr w:type="spellEnd"/>
      <w:r>
        <w:rPr>
          <w:rFonts w:ascii="Arial" w:hAnsi="Arial" w:cs="Arial"/>
        </w:rPr>
        <w:t xml:space="preserve"> </w:t>
      </w:r>
      <w:proofErr w:type="spellStart"/>
      <w:r>
        <w:rPr>
          <w:rFonts w:ascii="Arial" w:hAnsi="Arial" w:cs="Arial"/>
        </w:rPr>
        <w:t>Paliatif</w:t>
      </w:r>
      <w:proofErr w:type="spellEnd"/>
      <w:r>
        <w:rPr>
          <w:rFonts w:ascii="Arial" w:hAnsi="Arial" w:cs="Arial"/>
        </w:rPr>
        <w:t>.</w:t>
      </w:r>
      <w:r w:rsidRPr="00561A37">
        <w:rPr>
          <w:rFonts w:ascii="Arial" w:hAnsi="Arial" w:cs="Arial"/>
        </w:rPr>
        <w:t xml:space="preserve"> </w:t>
      </w:r>
      <w:proofErr w:type="spellStart"/>
      <w:r w:rsidRPr="00561A37">
        <w:rPr>
          <w:rFonts w:ascii="Arial" w:hAnsi="Arial" w:cs="Arial"/>
        </w:rPr>
        <w:t>Tahun</w:t>
      </w:r>
      <w:proofErr w:type="spellEnd"/>
      <w:r w:rsidRPr="00561A37">
        <w:rPr>
          <w:rFonts w:ascii="Arial" w:hAnsi="Arial" w:cs="Arial"/>
        </w:rPr>
        <w:t xml:space="preserve"> </w:t>
      </w:r>
      <w:r>
        <w:rPr>
          <w:rFonts w:ascii="Arial" w:hAnsi="Arial" w:cs="Arial"/>
        </w:rPr>
        <w:t>2023 (2023)</w:t>
      </w:r>
      <w:r w:rsidRPr="00561A37">
        <w:rPr>
          <w:rFonts w:ascii="Arial" w:hAnsi="Arial" w:cs="Arial"/>
        </w:rPr>
        <w:t>.</w:t>
      </w:r>
      <w:r>
        <w:rPr>
          <w:rFonts w:ascii="Arial" w:hAnsi="Arial" w:cs="Arial"/>
        </w:rPr>
        <w:t xml:space="preserve"> </w:t>
      </w:r>
      <w:r w:rsidR="007137BD" w:rsidRPr="00AA750E">
        <w:t>https://keslan.kemkes.go.id/unduhan/fileunduhan_1704762056_668774.pdf</w:t>
      </w:r>
    </w:p>
    <w:p w14:paraId="443F4AD8" w14:textId="77777777" w:rsidR="00561A37" w:rsidRPr="00561A37" w:rsidRDefault="00561A37" w:rsidP="00561A37">
      <w:pPr>
        <w:pStyle w:val="Reference"/>
        <w:rPr>
          <w:rFonts w:ascii="Arial" w:hAnsi="Arial" w:cs="Arial"/>
        </w:rPr>
      </w:pPr>
      <w:r w:rsidRPr="00000DDB">
        <w:rPr>
          <w:rFonts w:ascii="Arial" w:hAnsi="Arial" w:cs="Arial"/>
          <w:lang w:val="nl-BE"/>
        </w:rPr>
        <w:t xml:space="preserve">Penders, Y. W. H., Bopp, M., Zellweger, U., &amp; Bosshard, G. (2020). </w:t>
      </w:r>
      <w:r w:rsidRPr="00561A37">
        <w:rPr>
          <w:rFonts w:ascii="Arial" w:hAnsi="Arial" w:cs="Arial"/>
        </w:rPr>
        <w:t xml:space="preserve">Continuing, Withdrawing, and Withholding Medical Treatment at the End of Life and Associated Characteristics: </w:t>
      </w:r>
      <w:proofErr w:type="gramStart"/>
      <w:r w:rsidRPr="00561A37">
        <w:rPr>
          <w:rFonts w:ascii="Arial" w:hAnsi="Arial" w:cs="Arial"/>
        </w:rPr>
        <w:t>a</w:t>
      </w:r>
      <w:proofErr w:type="gramEnd"/>
      <w:r w:rsidRPr="00561A37">
        <w:rPr>
          <w:rFonts w:ascii="Arial" w:hAnsi="Arial" w:cs="Arial"/>
        </w:rPr>
        <w:t xml:space="preserve"> Mortality Follow-back Study. Journal of General Internal Medicine, 35(1), 126–132. https://doi.org/10.1007/s11606-019-05344-5</w:t>
      </w:r>
    </w:p>
    <w:p w14:paraId="4B2709C0" w14:textId="17204F06" w:rsidR="00561A37" w:rsidRPr="00561A37" w:rsidRDefault="00561A37" w:rsidP="00561A37">
      <w:pPr>
        <w:pStyle w:val="Reference"/>
        <w:rPr>
          <w:rFonts w:ascii="Arial" w:hAnsi="Arial" w:cs="Arial"/>
        </w:rPr>
      </w:pPr>
      <w:proofErr w:type="spellStart"/>
      <w:r w:rsidRPr="00561A37">
        <w:rPr>
          <w:rFonts w:ascii="Arial" w:hAnsi="Arial" w:cs="Arial"/>
        </w:rPr>
        <w:t>Penentuan</w:t>
      </w:r>
      <w:proofErr w:type="spellEnd"/>
      <w:r w:rsidRPr="00561A37">
        <w:rPr>
          <w:rFonts w:ascii="Arial" w:hAnsi="Arial" w:cs="Arial"/>
        </w:rPr>
        <w:t xml:space="preserve"> </w:t>
      </w:r>
      <w:proofErr w:type="spellStart"/>
      <w:r w:rsidRPr="00561A37">
        <w:rPr>
          <w:rFonts w:ascii="Arial" w:hAnsi="Arial" w:cs="Arial"/>
        </w:rPr>
        <w:t>Kematian</w:t>
      </w:r>
      <w:proofErr w:type="spellEnd"/>
      <w:r w:rsidRPr="00561A37">
        <w:rPr>
          <w:rFonts w:ascii="Arial" w:hAnsi="Arial" w:cs="Arial"/>
        </w:rPr>
        <w:t xml:space="preserve"> Dan </w:t>
      </w:r>
      <w:proofErr w:type="spellStart"/>
      <w:r w:rsidRPr="00561A37">
        <w:rPr>
          <w:rFonts w:ascii="Arial" w:hAnsi="Arial" w:cs="Arial"/>
        </w:rPr>
        <w:t>Pemanfaatan</w:t>
      </w:r>
      <w:proofErr w:type="spellEnd"/>
      <w:r w:rsidRPr="00561A37">
        <w:rPr>
          <w:rFonts w:ascii="Arial" w:hAnsi="Arial" w:cs="Arial"/>
        </w:rPr>
        <w:t xml:space="preserve"> Organ Donor, Pub. L. No. 37, </w:t>
      </w:r>
      <w:proofErr w:type="spellStart"/>
      <w:r w:rsidRPr="00561A37">
        <w:rPr>
          <w:rFonts w:ascii="Arial" w:hAnsi="Arial" w:cs="Arial"/>
        </w:rPr>
        <w:t>Peraturan</w:t>
      </w:r>
      <w:proofErr w:type="spellEnd"/>
      <w:r w:rsidRPr="00561A37">
        <w:rPr>
          <w:rFonts w:ascii="Arial" w:hAnsi="Arial" w:cs="Arial"/>
        </w:rPr>
        <w:t xml:space="preserve"> </w:t>
      </w:r>
      <w:proofErr w:type="spellStart"/>
      <w:r w:rsidRPr="00561A37">
        <w:rPr>
          <w:rFonts w:ascii="Arial" w:hAnsi="Arial" w:cs="Arial"/>
        </w:rPr>
        <w:t>Mentri</w:t>
      </w:r>
      <w:proofErr w:type="spellEnd"/>
      <w:r w:rsidRPr="00561A37">
        <w:rPr>
          <w:rFonts w:ascii="Arial" w:hAnsi="Arial" w:cs="Arial"/>
        </w:rPr>
        <w:t xml:space="preserve"> </w:t>
      </w:r>
      <w:proofErr w:type="spellStart"/>
      <w:r w:rsidRPr="00561A37">
        <w:rPr>
          <w:rFonts w:ascii="Arial" w:hAnsi="Arial" w:cs="Arial"/>
        </w:rPr>
        <w:t>Kesehatan</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(2014).</w:t>
      </w:r>
      <w:r w:rsidR="00452E06">
        <w:rPr>
          <w:rFonts w:ascii="Arial" w:hAnsi="Arial" w:cs="Arial"/>
        </w:rPr>
        <w:t xml:space="preserve"> </w:t>
      </w:r>
      <w:r w:rsidR="00452E06" w:rsidRPr="00797F3B">
        <w:t>https://peraturan.bpk.go.id/Details/117619/permenkes-no-37-tahun-2014</w:t>
      </w:r>
    </w:p>
    <w:p w14:paraId="2F1C1E11" w14:textId="77777777" w:rsidR="00561A37" w:rsidRPr="00561A37" w:rsidRDefault="00561A37" w:rsidP="00561A37">
      <w:pPr>
        <w:pStyle w:val="Reference"/>
        <w:rPr>
          <w:rFonts w:ascii="Arial" w:hAnsi="Arial" w:cs="Arial"/>
        </w:rPr>
      </w:pPr>
      <w:r w:rsidRPr="00561A37">
        <w:rPr>
          <w:rFonts w:ascii="Arial" w:hAnsi="Arial" w:cs="Arial"/>
        </w:rPr>
        <w:t xml:space="preserve">Phua, J., Joynt, G. M., Nishimura, M., Deng, Y., </w:t>
      </w:r>
      <w:proofErr w:type="spellStart"/>
      <w:r w:rsidRPr="00561A37">
        <w:rPr>
          <w:rFonts w:ascii="Arial" w:hAnsi="Arial" w:cs="Arial"/>
        </w:rPr>
        <w:t>Myatra</w:t>
      </w:r>
      <w:proofErr w:type="spellEnd"/>
      <w:r w:rsidRPr="00561A37">
        <w:rPr>
          <w:rFonts w:ascii="Arial" w:hAnsi="Arial" w:cs="Arial"/>
        </w:rPr>
        <w:t xml:space="preserve">, S. N., Chan, Y. H., Binh, N. G., Tan, C. C., Faruq, M. O., Arabi, Y. M., </w:t>
      </w:r>
      <w:proofErr w:type="spellStart"/>
      <w:r w:rsidRPr="00561A37">
        <w:rPr>
          <w:rFonts w:ascii="Arial" w:hAnsi="Arial" w:cs="Arial"/>
        </w:rPr>
        <w:t>Wahjuprajitno</w:t>
      </w:r>
      <w:proofErr w:type="spellEnd"/>
      <w:r w:rsidRPr="00561A37">
        <w:rPr>
          <w:rFonts w:ascii="Arial" w:hAnsi="Arial" w:cs="Arial"/>
        </w:rPr>
        <w:t xml:space="preserve">, B., Liu, S.-F., Hashemian, S. M. R., Kashif, W., </w:t>
      </w:r>
      <w:proofErr w:type="spellStart"/>
      <w:r w:rsidRPr="00561A37">
        <w:rPr>
          <w:rFonts w:ascii="Arial" w:hAnsi="Arial" w:cs="Arial"/>
        </w:rPr>
        <w:t>Staworn</w:t>
      </w:r>
      <w:proofErr w:type="spellEnd"/>
      <w:r w:rsidRPr="00561A37">
        <w:rPr>
          <w:rFonts w:ascii="Arial" w:hAnsi="Arial" w:cs="Arial"/>
        </w:rPr>
        <w:t>, D., Palo, J. E., &amp; Koh, Y. (2015). Withholding and Withdrawal of Life-Sustaining Treatments in Intensive Care Units in Asia. JAMA Internal Medicine, 175(3), 363. https://doi.org/10.1001/jamainternmed.2014.7386</w:t>
      </w:r>
    </w:p>
    <w:p w14:paraId="64BA3A54" w14:textId="77777777" w:rsidR="00561A37" w:rsidRPr="00561A37" w:rsidRDefault="00561A37" w:rsidP="00561A37">
      <w:pPr>
        <w:pStyle w:val="Reference"/>
        <w:rPr>
          <w:rFonts w:ascii="Arial" w:hAnsi="Arial" w:cs="Arial"/>
        </w:rPr>
      </w:pPr>
      <w:r w:rsidRPr="00561A37">
        <w:rPr>
          <w:rFonts w:ascii="Arial" w:hAnsi="Arial" w:cs="Arial"/>
        </w:rPr>
        <w:t>Ping-</w:t>
      </w:r>
      <w:proofErr w:type="spellStart"/>
      <w:r w:rsidRPr="00561A37">
        <w:rPr>
          <w:rFonts w:ascii="Arial" w:hAnsi="Arial" w:cs="Arial"/>
        </w:rPr>
        <w:t>cheung</w:t>
      </w:r>
      <w:proofErr w:type="spellEnd"/>
      <w:r w:rsidRPr="00561A37">
        <w:rPr>
          <w:rFonts w:ascii="Arial" w:hAnsi="Arial" w:cs="Arial"/>
        </w:rPr>
        <w:t>, L. (2010). Euthanasia and Assisted Suicide from Confucian Moral Perspectives. Dao, 9(1), 53–77. https://doi.org/10.1007/s11712-009-9147-4</w:t>
      </w:r>
    </w:p>
    <w:p w14:paraId="575CA5A5" w14:textId="77777777" w:rsidR="00561A37" w:rsidRPr="00561A37" w:rsidRDefault="00561A37" w:rsidP="00561A37">
      <w:pPr>
        <w:pStyle w:val="Reference"/>
        <w:rPr>
          <w:rFonts w:ascii="Arial" w:hAnsi="Arial" w:cs="Arial"/>
        </w:rPr>
      </w:pPr>
      <w:r w:rsidRPr="00561A37">
        <w:rPr>
          <w:rFonts w:ascii="Arial" w:hAnsi="Arial" w:cs="Arial"/>
        </w:rPr>
        <w:t>Piscitello, G., &amp; Huber, M. (2025). Sociodemographic Disparities in Decisions to Withhold or Withdraw Life-Sustaining Treatment. Journal of Pain and Symptom Management, 69(5), e505. https://doi.org/10.1016/j.jpainsymman.2025.02.146</w:t>
      </w:r>
    </w:p>
    <w:p w14:paraId="184B91D2" w14:textId="77777777" w:rsidR="00561A37" w:rsidRPr="00561A37" w:rsidRDefault="00561A37" w:rsidP="00561A37">
      <w:pPr>
        <w:pStyle w:val="Reference"/>
        <w:rPr>
          <w:rFonts w:ascii="Arial" w:hAnsi="Arial" w:cs="Arial"/>
        </w:rPr>
      </w:pPr>
      <w:r w:rsidRPr="00000DDB">
        <w:rPr>
          <w:rFonts w:ascii="Arial" w:hAnsi="Arial" w:cs="Arial"/>
          <w:lang w:val="nl-BE"/>
        </w:rPr>
        <w:t xml:space="preserve">Piscitello, G. M., Lyons, P. G., Koch, V. G., Parker, W. F., &amp; Huber, M. T. (2024). </w:t>
      </w:r>
      <w:r w:rsidRPr="00561A37">
        <w:rPr>
          <w:rFonts w:ascii="Arial" w:hAnsi="Arial" w:cs="Arial"/>
        </w:rPr>
        <w:t>Hospital Policy Variation in Addressing Decisions to Withhold and Withdraw Life-Sustaining Treatment. Chest, 165(4), 950–958. https://doi.org/10.1016/j.chest.2023.12.028</w:t>
      </w:r>
    </w:p>
    <w:p w14:paraId="2625E7D4" w14:textId="77777777" w:rsidR="00561A37" w:rsidRPr="00561A37" w:rsidRDefault="00561A37" w:rsidP="00561A37">
      <w:pPr>
        <w:pStyle w:val="Reference"/>
        <w:rPr>
          <w:rFonts w:ascii="Arial" w:hAnsi="Arial" w:cs="Arial"/>
        </w:rPr>
      </w:pPr>
      <w:r w:rsidRPr="00561A37">
        <w:rPr>
          <w:rFonts w:ascii="Arial" w:hAnsi="Arial" w:cs="Arial"/>
        </w:rPr>
        <w:t xml:space="preserve">Pradipta, A., </w:t>
      </w:r>
      <w:proofErr w:type="spellStart"/>
      <w:r w:rsidRPr="00561A37">
        <w:rPr>
          <w:rFonts w:ascii="Arial" w:hAnsi="Arial" w:cs="Arial"/>
        </w:rPr>
        <w:t>Trihoni</w:t>
      </w:r>
      <w:proofErr w:type="spellEnd"/>
      <w:r w:rsidRPr="00561A37">
        <w:rPr>
          <w:rFonts w:ascii="Arial" w:hAnsi="Arial" w:cs="Arial"/>
        </w:rPr>
        <w:t xml:space="preserve">, </w:t>
      </w:r>
      <w:proofErr w:type="gramStart"/>
      <w:r w:rsidRPr="00561A37">
        <w:rPr>
          <w:rFonts w:ascii="Arial" w:hAnsi="Arial" w:cs="Arial"/>
        </w:rPr>
        <w:t>S. ;</w:t>
      </w:r>
      <w:proofErr w:type="gramEnd"/>
      <w:r w:rsidRPr="00561A37">
        <w:rPr>
          <w:rFonts w:ascii="Arial" w:hAnsi="Arial" w:cs="Arial"/>
        </w:rPr>
        <w:t xml:space="preserve">, </w:t>
      </w:r>
      <w:proofErr w:type="spellStart"/>
      <w:r w:rsidRPr="00561A37">
        <w:rPr>
          <w:rFonts w:ascii="Arial" w:hAnsi="Arial" w:cs="Arial"/>
        </w:rPr>
        <w:t>Dewi</w:t>
      </w:r>
      <w:proofErr w:type="spellEnd"/>
      <w:r w:rsidRPr="00561A37">
        <w:rPr>
          <w:rFonts w:ascii="Arial" w:hAnsi="Arial" w:cs="Arial"/>
        </w:rPr>
        <w:t xml:space="preserve">, N., </w:t>
      </w:r>
      <w:proofErr w:type="spellStart"/>
      <w:r w:rsidRPr="00561A37">
        <w:rPr>
          <w:rFonts w:ascii="Arial" w:hAnsi="Arial" w:cs="Arial"/>
        </w:rPr>
        <w:t>Dhanardhono</w:t>
      </w:r>
      <w:proofErr w:type="spellEnd"/>
      <w:r w:rsidRPr="00561A37">
        <w:rPr>
          <w:rFonts w:ascii="Arial" w:hAnsi="Arial" w:cs="Arial"/>
        </w:rPr>
        <w:t xml:space="preserve">, T., Kesehatan, M. H., Hukum, F., &amp; </w:t>
      </w:r>
      <w:proofErr w:type="spellStart"/>
      <w:r w:rsidRPr="00561A37">
        <w:rPr>
          <w:rFonts w:ascii="Arial" w:hAnsi="Arial" w:cs="Arial"/>
        </w:rPr>
        <w:t>Komunikasi</w:t>
      </w:r>
      <w:proofErr w:type="spellEnd"/>
      <w:r w:rsidRPr="00561A37">
        <w:rPr>
          <w:rFonts w:ascii="Arial" w:hAnsi="Arial" w:cs="Arial"/>
        </w:rPr>
        <w:t xml:space="preserve">, D. (n.d.). </w:t>
      </w:r>
      <w:proofErr w:type="spellStart"/>
      <w:r w:rsidRPr="00561A37">
        <w:rPr>
          <w:rFonts w:ascii="Arial" w:hAnsi="Arial" w:cs="Arial"/>
        </w:rPr>
        <w:t>Pelindungan</w:t>
      </w:r>
      <w:proofErr w:type="spellEnd"/>
      <w:r w:rsidRPr="00561A37">
        <w:rPr>
          <w:rFonts w:ascii="Arial" w:hAnsi="Arial" w:cs="Arial"/>
        </w:rPr>
        <w:t xml:space="preserve"> </w:t>
      </w:r>
      <w:proofErr w:type="spellStart"/>
      <w:r w:rsidRPr="00561A37">
        <w:rPr>
          <w:rFonts w:ascii="Arial" w:hAnsi="Arial" w:cs="Arial"/>
        </w:rPr>
        <w:t>Hukum</w:t>
      </w:r>
      <w:proofErr w:type="spellEnd"/>
      <w:r w:rsidRPr="00561A37">
        <w:rPr>
          <w:rFonts w:ascii="Arial" w:hAnsi="Arial" w:cs="Arial"/>
        </w:rPr>
        <w:t xml:space="preserve"> </w:t>
      </w:r>
      <w:proofErr w:type="spellStart"/>
      <w:r w:rsidRPr="00561A37">
        <w:rPr>
          <w:rFonts w:ascii="Arial" w:hAnsi="Arial" w:cs="Arial"/>
        </w:rPr>
        <w:t>bagi</w:t>
      </w:r>
      <w:proofErr w:type="spellEnd"/>
      <w:r w:rsidRPr="00561A37">
        <w:rPr>
          <w:rFonts w:ascii="Arial" w:hAnsi="Arial" w:cs="Arial"/>
        </w:rPr>
        <w:t xml:space="preserve"> </w:t>
      </w:r>
      <w:proofErr w:type="spellStart"/>
      <w:r w:rsidRPr="00561A37">
        <w:rPr>
          <w:rFonts w:ascii="Arial" w:hAnsi="Arial" w:cs="Arial"/>
        </w:rPr>
        <w:t>Dokter</w:t>
      </w:r>
      <w:proofErr w:type="spellEnd"/>
      <w:r w:rsidRPr="00561A37">
        <w:rPr>
          <w:rFonts w:ascii="Arial" w:hAnsi="Arial" w:cs="Arial"/>
        </w:rPr>
        <w:t xml:space="preserve"> </w:t>
      </w:r>
      <w:proofErr w:type="spellStart"/>
      <w:r w:rsidRPr="00561A37">
        <w:rPr>
          <w:rFonts w:ascii="Arial" w:hAnsi="Arial" w:cs="Arial"/>
        </w:rPr>
        <w:t>atas</w:t>
      </w:r>
      <w:proofErr w:type="spellEnd"/>
      <w:r w:rsidRPr="00561A37">
        <w:rPr>
          <w:rFonts w:ascii="Arial" w:hAnsi="Arial" w:cs="Arial"/>
        </w:rPr>
        <w:t xml:space="preserve"> </w:t>
      </w:r>
      <w:proofErr w:type="spellStart"/>
      <w:r w:rsidRPr="00561A37">
        <w:rPr>
          <w:rFonts w:ascii="Arial" w:hAnsi="Arial" w:cs="Arial"/>
        </w:rPr>
        <w:t>Tindakan</w:t>
      </w:r>
      <w:proofErr w:type="spellEnd"/>
      <w:r w:rsidRPr="00561A37">
        <w:rPr>
          <w:rFonts w:ascii="Arial" w:hAnsi="Arial" w:cs="Arial"/>
        </w:rPr>
        <w:t xml:space="preserve"> </w:t>
      </w:r>
      <w:proofErr w:type="spellStart"/>
      <w:r w:rsidRPr="00561A37">
        <w:rPr>
          <w:rFonts w:ascii="Arial" w:hAnsi="Arial" w:cs="Arial"/>
        </w:rPr>
        <w:t>Penghentian</w:t>
      </w:r>
      <w:proofErr w:type="spellEnd"/>
      <w:r w:rsidRPr="00561A37">
        <w:rPr>
          <w:rFonts w:ascii="Arial" w:hAnsi="Arial" w:cs="Arial"/>
        </w:rPr>
        <w:t xml:space="preserve"> </w:t>
      </w:r>
      <w:proofErr w:type="spellStart"/>
      <w:r w:rsidRPr="00561A37">
        <w:rPr>
          <w:rFonts w:ascii="Arial" w:hAnsi="Arial" w:cs="Arial"/>
        </w:rPr>
        <w:t>atau</w:t>
      </w:r>
      <w:proofErr w:type="spellEnd"/>
      <w:r w:rsidRPr="00561A37">
        <w:rPr>
          <w:rFonts w:ascii="Arial" w:hAnsi="Arial" w:cs="Arial"/>
        </w:rPr>
        <w:t xml:space="preserve"> </w:t>
      </w:r>
      <w:proofErr w:type="spellStart"/>
      <w:r w:rsidRPr="00561A37">
        <w:rPr>
          <w:rFonts w:ascii="Arial" w:hAnsi="Arial" w:cs="Arial"/>
        </w:rPr>
        <w:t>Penundaan</w:t>
      </w:r>
      <w:proofErr w:type="spellEnd"/>
      <w:r w:rsidRPr="00561A37">
        <w:rPr>
          <w:rFonts w:ascii="Arial" w:hAnsi="Arial" w:cs="Arial"/>
        </w:rPr>
        <w:t xml:space="preserve"> </w:t>
      </w:r>
      <w:proofErr w:type="spellStart"/>
      <w:r w:rsidRPr="00561A37">
        <w:rPr>
          <w:rFonts w:ascii="Arial" w:hAnsi="Arial" w:cs="Arial"/>
        </w:rPr>
        <w:t>Terapi</w:t>
      </w:r>
      <w:proofErr w:type="spellEnd"/>
      <w:r w:rsidRPr="00561A37">
        <w:rPr>
          <w:rFonts w:ascii="Arial" w:hAnsi="Arial" w:cs="Arial"/>
        </w:rPr>
        <w:t xml:space="preserve"> </w:t>
      </w:r>
      <w:proofErr w:type="spellStart"/>
      <w:r w:rsidRPr="00561A37">
        <w:rPr>
          <w:rFonts w:ascii="Arial" w:hAnsi="Arial" w:cs="Arial"/>
        </w:rPr>
        <w:t>Bantuan</w:t>
      </w:r>
      <w:proofErr w:type="spellEnd"/>
      <w:r w:rsidRPr="00561A37">
        <w:rPr>
          <w:rFonts w:ascii="Arial" w:hAnsi="Arial" w:cs="Arial"/>
        </w:rPr>
        <w:t xml:space="preserve"> </w:t>
      </w:r>
      <w:proofErr w:type="spellStart"/>
      <w:r w:rsidRPr="00561A37">
        <w:rPr>
          <w:rFonts w:ascii="Arial" w:hAnsi="Arial" w:cs="Arial"/>
        </w:rPr>
        <w:t>Hidup</w:t>
      </w:r>
      <w:proofErr w:type="spellEnd"/>
      <w:r w:rsidRPr="00561A37">
        <w:rPr>
          <w:rFonts w:ascii="Arial" w:hAnsi="Arial" w:cs="Arial"/>
        </w:rPr>
        <w:t xml:space="preserve"> yang Sia-Sia (Futile) pada </w:t>
      </w:r>
      <w:proofErr w:type="spellStart"/>
      <w:r w:rsidRPr="00561A37">
        <w:rPr>
          <w:rFonts w:ascii="Arial" w:hAnsi="Arial" w:cs="Arial"/>
        </w:rPr>
        <w:t>Pasien</w:t>
      </w:r>
      <w:proofErr w:type="spellEnd"/>
      <w:r w:rsidRPr="00561A37">
        <w:rPr>
          <w:rFonts w:ascii="Arial" w:hAnsi="Arial" w:cs="Arial"/>
        </w:rPr>
        <w:t xml:space="preserve"> Terminal Legal Protection for Doctors on Withdrawing or Withholding Futile Therapy in Terminally ill Patients. https://doi.org/10.24167/shk.v9i2.7156</w:t>
      </w:r>
    </w:p>
    <w:p w14:paraId="173B6EE2" w14:textId="77777777" w:rsidR="00561A37" w:rsidRPr="00561A37" w:rsidRDefault="00561A37" w:rsidP="00561A37">
      <w:pPr>
        <w:pStyle w:val="Reference"/>
        <w:rPr>
          <w:rFonts w:ascii="Arial" w:hAnsi="Arial" w:cs="Arial"/>
        </w:rPr>
      </w:pPr>
      <w:proofErr w:type="spellStart"/>
      <w:r w:rsidRPr="00561A37">
        <w:rPr>
          <w:rFonts w:ascii="Arial" w:hAnsi="Arial" w:cs="Arial"/>
        </w:rPr>
        <w:t>Samaritanus</w:t>
      </w:r>
      <w:proofErr w:type="spellEnd"/>
      <w:r w:rsidRPr="00561A37">
        <w:rPr>
          <w:rFonts w:ascii="Arial" w:hAnsi="Arial" w:cs="Arial"/>
        </w:rPr>
        <w:t xml:space="preserve"> Bonus: On the Care of Persons in the Critical and Terminal Phases of Life., Vatican City: Congregation for the Doctrine of the Faith (2020).</w:t>
      </w:r>
    </w:p>
    <w:p w14:paraId="5E1996C9" w14:textId="77777777" w:rsidR="00561A37" w:rsidRPr="00561A37" w:rsidRDefault="00561A37" w:rsidP="00561A37">
      <w:pPr>
        <w:pStyle w:val="Reference"/>
        <w:rPr>
          <w:rFonts w:ascii="Arial" w:hAnsi="Arial" w:cs="Arial"/>
        </w:rPr>
      </w:pPr>
      <w:proofErr w:type="spellStart"/>
      <w:r w:rsidRPr="00561A37">
        <w:rPr>
          <w:rFonts w:ascii="Arial" w:hAnsi="Arial" w:cs="Arial"/>
        </w:rPr>
        <w:t>Sedini</w:t>
      </w:r>
      <w:proofErr w:type="spellEnd"/>
      <w:r w:rsidRPr="00561A37">
        <w:rPr>
          <w:rFonts w:ascii="Arial" w:hAnsi="Arial" w:cs="Arial"/>
        </w:rPr>
        <w:t xml:space="preserve">, C., </w:t>
      </w:r>
      <w:proofErr w:type="spellStart"/>
      <w:r w:rsidRPr="00561A37">
        <w:rPr>
          <w:rFonts w:ascii="Arial" w:hAnsi="Arial" w:cs="Arial"/>
        </w:rPr>
        <w:t>Biotto</w:t>
      </w:r>
      <w:proofErr w:type="spellEnd"/>
      <w:r w:rsidRPr="00561A37">
        <w:rPr>
          <w:rFonts w:ascii="Arial" w:hAnsi="Arial" w:cs="Arial"/>
        </w:rPr>
        <w:t>, M., Crespi Bel’skij, L. M., Moroni Grandini, R. E., &amp; Cesari, M. (2022). Advance care planning and advance directives: an overview of the main critical issues. In Aging Clinical and Experimental Research (Vol. 34, Issue 2, pp. 325–330). Springer Science and Business Media Deutschland GmbH. https://doi.org/10.1007/s40520-021-02001-y</w:t>
      </w:r>
    </w:p>
    <w:p w14:paraId="16BA9030" w14:textId="77777777" w:rsidR="00561A37" w:rsidRPr="00561A37" w:rsidRDefault="00561A37" w:rsidP="00561A37">
      <w:pPr>
        <w:pStyle w:val="Reference"/>
        <w:rPr>
          <w:rFonts w:ascii="Arial" w:hAnsi="Arial" w:cs="Arial"/>
        </w:rPr>
      </w:pPr>
      <w:r w:rsidRPr="00561A37">
        <w:rPr>
          <w:rFonts w:ascii="Arial" w:hAnsi="Arial" w:cs="Arial"/>
        </w:rPr>
        <w:t>Song, E., Shin, D., Lee, J., Yun, S., Eom, M., Oh, S., Lee, H., Lee, J., &amp; Song, R. (2024). Issues and implications of the life-sustaining treatment decision act: comparing the data from the survey and clinical data of inpatients at the end-of-life process. BMC Medical Ethics, 25(1). https://doi.org/10.1186/s12910-024-01088-y</w:t>
      </w:r>
    </w:p>
    <w:p w14:paraId="0E3A3BE3" w14:textId="77777777" w:rsidR="00561A37" w:rsidRPr="00561A37" w:rsidRDefault="00561A37" w:rsidP="00561A37">
      <w:pPr>
        <w:pStyle w:val="Reference"/>
        <w:rPr>
          <w:rFonts w:ascii="Arial" w:hAnsi="Arial" w:cs="Arial"/>
        </w:rPr>
      </w:pPr>
      <w:r w:rsidRPr="00561A37">
        <w:rPr>
          <w:rFonts w:ascii="Arial" w:hAnsi="Arial" w:cs="Arial"/>
        </w:rPr>
        <w:t xml:space="preserve">Spranzi, M., </w:t>
      </w:r>
      <w:proofErr w:type="spellStart"/>
      <w:r w:rsidRPr="00561A37">
        <w:rPr>
          <w:rFonts w:ascii="Arial" w:hAnsi="Arial" w:cs="Arial"/>
        </w:rPr>
        <w:t>Morinet</w:t>
      </w:r>
      <w:proofErr w:type="spellEnd"/>
      <w:r w:rsidRPr="00561A37">
        <w:rPr>
          <w:rFonts w:ascii="Arial" w:hAnsi="Arial" w:cs="Arial"/>
        </w:rPr>
        <w:t xml:space="preserve">, S., &amp; </w:t>
      </w:r>
      <w:proofErr w:type="spellStart"/>
      <w:r w:rsidRPr="00561A37">
        <w:rPr>
          <w:rFonts w:ascii="Arial" w:hAnsi="Arial" w:cs="Arial"/>
        </w:rPr>
        <w:t>Foureur</w:t>
      </w:r>
      <w:proofErr w:type="spellEnd"/>
      <w:r w:rsidRPr="00561A37">
        <w:rPr>
          <w:rFonts w:ascii="Arial" w:hAnsi="Arial" w:cs="Arial"/>
        </w:rPr>
        <w:t>, N. (2025). Intensivists’ ethical perceptions about decisions to withhold or withdraw treatment: A clinical ethics empirical investigation. Journal of Critical Care, 85. https://doi.org/10.1016/j.jcrc.2024.154931</w:t>
      </w:r>
    </w:p>
    <w:p w14:paraId="6B181AA6" w14:textId="77777777" w:rsidR="00561A37" w:rsidRPr="00561A37" w:rsidRDefault="00561A37" w:rsidP="00561A37">
      <w:pPr>
        <w:pStyle w:val="Reference"/>
        <w:rPr>
          <w:rFonts w:ascii="Arial" w:hAnsi="Arial" w:cs="Arial"/>
        </w:rPr>
      </w:pPr>
      <w:r w:rsidRPr="00561A37">
        <w:rPr>
          <w:rFonts w:ascii="Arial" w:hAnsi="Arial" w:cs="Arial"/>
        </w:rPr>
        <w:t>Stigall, W. (2022). The Hippocratic Oath. Linacre Quarterly, 89(3), 275–286. https://doi.org/10.1177/00243639211069431</w:t>
      </w:r>
    </w:p>
    <w:p w14:paraId="16C3526F" w14:textId="77777777" w:rsidR="00561A37" w:rsidRPr="00561A37" w:rsidRDefault="00561A37" w:rsidP="00561A37">
      <w:pPr>
        <w:pStyle w:val="Reference"/>
        <w:rPr>
          <w:rFonts w:ascii="Arial" w:hAnsi="Arial" w:cs="Arial"/>
        </w:rPr>
      </w:pPr>
      <w:r w:rsidRPr="00561A37">
        <w:rPr>
          <w:rFonts w:ascii="Arial" w:hAnsi="Arial" w:cs="Arial"/>
        </w:rPr>
        <w:lastRenderedPageBreak/>
        <w:t xml:space="preserve">Strand, L., Sandman, L., </w:t>
      </w:r>
      <w:proofErr w:type="spellStart"/>
      <w:r w:rsidRPr="00561A37">
        <w:rPr>
          <w:rFonts w:ascii="Arial" w:hAnsi="Arial" w:cs="Arial"/>
        </w:rPr>
        <w:t>Tinghög</w:t>
      </w:r>
      <w:proofErr w:type="spellEnd"/>
      <w:r w:rsidRPr="00561A37">
        <w:rPr>
          <w:rFonts w:ascii="Arial" w:hAnsi="Arial" w:cs="Arial"/>
        </w:rPr>
        <w:t xml:space="preserve">, G., &amp; </w:t>
      </w:r>
      <w:proofErr w:type="spellStart"/>
      <w:r w:rsidRPr="00561A37">
        <w:rPr>
          <w:rFonts w:ascii="Arial" w:hAnsi="Arial" w:cs="Arial"/>
        </w:rPr>
        <w:t>Nedlund</w:t>
      </w:r>
      <w:proofErr w:type="spellEnd"/>
      <w:r w:rsidRPr="00561A37">
        <w:rPr>
          <w:rFonts w:ascii="Arial" w:hAnsi="Arial" w:cs="Arial"/>
        </w:rPr>
        <w:t>, A. C. (2022). Withdrawing or withholding treatments in health care rationing: an interview study on ethical views and implications. BMC Medical Ethics, 23(1). https://doi.org/10.1186/s12910-022-00805-9</w:t>
      </w:r>
    </w:p>
    <w:p w14:paraId="5E3E372D" w14:textId="1AB5172D" w:rsidR="00561A37" w:rsidRPr="00561A37" w:rsidRDefault="00561A37" w:rsidP="00561A37">
      <w:pPr>
        <w:pStyle w:val="Reference"/>
        <w:rPr>
          <w:rFonts w:ascii="Arial" w:hAnsi="Arial" w:cs="Arial"/>
        </w:rPr>
      </w:pPr>
      <w:r w:rsidRPr="00561A37">
        <w:rPr>
          <w:rFonts w:ascii="Arial" w:hAnsi="Arial" w:cs="Arial"/>
        </w:rPr>
        <w:t xml:space="preserve">Surat Keputusan </w:t>
      </w:r>
      <w:proofErr w:type="spellStart"/>
      <w:r w:rsidRPr="00561A37">
        <w:rPr>
          <w:rFonts w:ascii="Arial" w:hAnsi="Arial" w:cs="Arial"/>
        </w:rPr>
        <w:t>Pengurus</w:t>
      </w:r>
      <w:proofErr w:type="spellEnd"/>
      <w:r w:rsidRPr="00561A37">
        <w:rPr>
          <w:rFonts w:ascii="Arial" w:hAnsi="Arial" w:cs="Arial"/>
        </w:rPr>
        <w:t xml:space="preserve"> </w:t>
      </w:r>
      <w:proofErr w:type="spellStart"/>
      <w:r w:rsidRPr="00561A37">
        <w:rPr>
          <w:rFonts w:ascii="Arial" w:hAnsi="Arial" w:cs="Arial"/>
        </w:rPr>
        <w:t>Besar</w:t>
      </w:r>
      <w:proofErr w:type="spellEnd"/>
      <w:r w:rsidRPr="00561A37">
        <w:rPr>
          <w:rFonts w:ascii="Arial" w:hAnsi="Arial" w:cs="Arial"/>
        </w:rPr>
        <w:t xml:space="preserve"> </w:t>
      </w:r>
      <w:proofErr w:type="spellStart"/>
      <w:r w:rsidRPr="00561A37">
        <w:rPr>
          <w:rFonts w:ascii="Arial" w:hAnsi="Arial" w:cs="Arial"/>
        </w:rPr>
        <w:t>Ikatan</w:t>
      </w:r>
      <w:proofErr w:type="spellEnd"/>
      <w:r w:rsidRPr="00561A37">
        <w:rPr>
          <w:rFonts w:ascii="Arial" w:hAnsi="Arial" w:cs="Arial"/>
        </w:rPr>
        <w:t xml:space="preserve"> </w:t>
      </w:r>
      <w:proofErr w:type="spellStart"/>
      <w:r w:rsidRPr="00561A37">
        <w:rPr>
          <w:rFonts w:ascii="Arial" w:hAnsi="Arial" w:cs="Arial"/>
        </w:rPr>
        <w:t>Dokter</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221/PB/A.4/04/2002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Penerapan</w:t>
      </w:r>
      <w:proofErr w:type="spellEnd"/>
      <w:r w:rsidRPr="00561A37">
        <w:rPr>
          <w:rFonts w:ascii="Arial" w:hAnsi="Arial" w:cs="Arial"/>
        </w:rPr>
        <w:t xml:space="preserve"> </w:t>
      </w:r>
      <w:proofErr w:type="spellStart"/>
      <w:r w:rsidRPr="00561A37">
        <w:rPr>
          <w:rFonts w:ascii="Arial" w:hAnsi="Arial" w:cs="Arial"/>
        </w:rPr>
        <w:t>Kode</w:t>
      </w:r>
      <w:proofErr w:type="spellEnd"/>
      <w:r w:rsidRPr="00561A37">
        <w:rPr>
          <w:rFonts w:ascii="Arial" w:hAnsi="Arial" w:cs="Arial"/>
        </w:rPr>
        <w:t xml:space="preserve"> </w:t>
      </w:r>
      <w:proofErr w:type="spellStart"/>
      <w:r w:rsidRPr="00561A37">
        <w:rPr>
          <w:rFonts w:ascii="Arial" w:hAnsi="Arial" w:cs="Arial"/>
        </w:rPr>
        <w:t>Etik</w:t>
      </w:r>
      <w:proofErr w:type="spellEnd"/>
      <w:r w:rsidRPr="00561A37">
        <w:rPr>
          <w:rFonts w:ascii="Arial" w:hAnsi="Arial" w:cs="Arial"/>
        </w:rPr>
        <w:t xml:space="preserve"> </w:t>
      </w:r>
      <w:proofErr w:type="spellStart"/>
      <w:r w:rsidRPr="00561A37">
        <w:rPr>
          <w:rFonts w:ascii="Arial" w:hAnsi="Arial" w:cs="Arial"/>
        </w:rPr>
        <w:t>Kedokteran</w:t>
      </w:r>
      <w:proofErr w:type="spellEnd"/>
      <w:r w:rsidRPr="00561A37">
        <w:rPr>
          <w:rFonts w:ascii="Arial" w:hAnsi="Arial" w:cs="Arial"/>
        </w:rPr>
        <w:t xml:space="preserve"> Indonesia., Pub. L. No. 221, </w:t>
      </w:r>
      <w:proofErr w:type="spellStart"/>
      <w:r w:rsidRPr="00561A37">
        <w:rPr>
          <w:rFonts w:ascii="Arial" w:hAnsi="Arial" w:cs="Arial"/>
        </w:rPr>
        <w:t>Ikatan</w:t>
      </w:r>
      <w:proofErr w:type="spellEnd"/>
      <w:r w:rsidRPr="00561A37">
        <w:rPr>
          <w:rFonts w:ascii="Arial" w:hAnsi="Arial" w:cs="Arial"/>
        </w:rPr>
        <w:t xml:space="preserve"> </w:t>
      </w:r>
      <w:proofErr w:type="spellStart"/>
      <w:r w:rsidRPr="00561A37">
        <w:rPr>
          <w:rFonts w:ascii="Arial" w:hAnsi="Arial" w:cs="Arial"/>
        </w:rPr>
        <w:t>Dokter</w:t>
      </w:r>
      <w:proofErr w:type="spellEnd"/>
      <w:r w:rsidRPr="00561A37">
        <w:rPr>
          <w:rFonts w:ascii="Arial" w:hAnsi="Arial" w:cs="Arial"/>
        </w:rPr>
        <w:t xml:space="preserve"> Indonesia (2002).</w:t>
      </w:r>
      <w:r w:rsidR="00452E06">
        <w:rPr>
          <w:rFonts w:ascii="Arial" w:hAnsi="Arial" w:cs="Arial"/>
        </w:rPr>
        <w:t xml:space="preserve"> </w:t>
      </w:r>
      <w:r w:rsidR="00452E06" w:rsidRPr="00452E06">
        <w:rPr>
          <w:rFonts w:ascii="Arial" w:hAnsi="Arial" w:cs="Arial"/>
        </w:rPr>
        <w:t>https://luk.staff.ugm.ac.id/atur/sehat/Kode-Etik-Kedokteran.pdf</w:t>
      </w:r>
    </w:p>
    <w:p w14:paraId="13D7A4CC" w14:textId="77777777" w:rsidR="00561A37" w:rsidRPr="00561A37" w:rsidRDefault="00561A37" w:rsidP="00561A37">
      <w:pPr>
        <w:pStyle w:val="Reference"/>
        <w:rPr>
          <w:rFonts w:ascii="Arial" w:hAnsi="Arial" w:cs="Arial"/>
        </w:rPr>
      </w:pPr>
      <w:proofErr w:type="spellStart"/>
      <w:r w:rsidRPr="00561A37">
        <w:rPr>
          <w:rFonts w:ascii="Arial" w:hAnsi="Arial" w:cs="Arial"/>
        </w:rPr>
        <w:t>Suryo</w:t>
      </w:r>
      <w:proofErr w:type="spellEnd"/>
      <w:r w:rsidRPr="00561A37">
        <w:rPr>
          <w:rFonts w:ascii="Arial" w:hAnsi="Arial" w:cs="Arial"/>
        </w:rPr>
        <w:t xml:space="preserve">, A. P., Dewi, T. N., &amp; </w:t>
      </w:r>
      <w:proofErr w:type="spellStart"/>
      <w:r w:rsidRPr="00561A37">
        <w:rPr>
          <w:rFonts w:ascii="Arial" w:hAnsi="Arial" w:cs="Arial"/>
        </w:rPr>
        <w:t>Dhanardhono</w:t>
      </w:r>
      <w:proofErr w:type="spellEnd"/>
      <w:r w:rsidRPr="00561A37">
        <w:rPr>
          <w:rFonts w:ascii="Arial" w:hAnsi="Arial" w:cs="Arial"/>
        </w:rPr>
        <w:t>, T. (2023). Legal Protection for Doctors on Withdrawing or Withholding Futile Therapy in Terminally ill Patients. SOEPRA, 9(2), 229–245. https://doi.org/10.24167/sjhk.v9i2.7156</w:t>
      </w:r>
    </w:p>
    <w:p w14:paraId="52D9EBB8" w14:textId="77777777" w:rsidR="00561A37" w:rsidRPr="00561A37" w:rsidRDefault="00561A37" w:rsidP="00561A37">
      <w:pPr>
        <w:pStyle w:val="Reference"/>
        <w:rPr>
          <w:rFonts w:ascii="Arial" w:hAnsi="Arial" w:cs="Arial"/>
        </w:rPr>
      </w:pPr>
      <w:r w:rsidRPr="00561A37">
        <w:rPr>
          <w:rFonts w:ascii="Arial" w:hAnsi="Arial" w:cs="Arial"/>
        </w:rPr>
        <w:t>Tanaka, M., Kodama, S., Lee, I., Huxtable, R., &amp; Chung, Y. (2020). Forgoing life-sustaining treatment – a comparative analysis of regulations in Japan, Korea, Taiwan, and England. BMC Medical Ethics, 21(1). https://doi.org/10.1186/s12910-020-00535-w</w:t>
      </w:r>
    </w:p>
    <w:p w14:paraId="5A792A5D" w14:textId="442AC677" w:rsidR="00452E06" w:rsidRDefault="00452E06" w:rsidP="00561A37">
      <w:pPr>
        <w:pStyle w:val="Reference"/>
        <w:rPr>
          <w:rFonts w:ascii="Arial" w:hAnsi="Arial" w:cs="Arial"/>
        </w:rPr>
      </w:pPr>
      <w:r w:rsidRPr="00452E06">
        <w:rPr>
          <w:rFonts w:ascii="Arial" w:hAnsi="Arial" w:cs="Arial"/>
        </w:rPr>
        <w:t xml:space="preserve">Toledo-Franco, L., Peters, J., Kamal, A. F., &amp; Traber, C. (2025). Advance Care Planning: What, When, and </w:t>
      </w:r>
      <w:proofErr w:type="gramStart"/>
      <w:r w:rsidRPr="00452E06">
        <w:rPr>
          <w:rFonts w:ascii="Arial" w:hAnsi="Arial" w:cs="Arial"/>
        </w:rPr>
        <w:t>How?.</w:t>
      </w:r>
      <w:proofErr w:type="gramEnd"/>
      <w:r w:rsidRPr="00452E06">
        <w:rPr>
          <w:rFonts w:ascii="Arial" w:hAnsi="Arial" w:cs="Arial"/>
        </w:rPr>
        <w:t xml:space="preserve"> Missouri medicine, 122(2), 129–137.</w:t>
      </w:r>
      <w:r>
        <w:rPr>
          <w:rFonts w:ascii="Arial" w:hAnsi="Arial" w:cs="Arial"/>
        </w:rPr>
        <w:t xml:space="preserve"> </w:t>
      </w:r>
      <w:r w:rsidRPr="00452E06">
        <w:rPr>
          <w:rFonts w:ascii="Arial" w:hAnsi="Arial" w:cs="Arial"/>
        </w:rPr>
        <w:t>https://pmc.ncbi.nlm.nih.gov/articles/PMC12021385/</w:t>
      </w:r>
    </w:p>
    <w:p w14:paraId="3BFE3B30" w14:textId="5FB814B1" w:rsidR="00561A37" w:rsidRPr="00561A37" w:rsidRDefault="00561A37" w:rsidP="00561A37">
      <w:pPr>
        <w:pStyle w:val="Reference"/>
        <w:rPr>
          <w:rFonts w:ascii="Arial" w:hAnsi="Arial" w:cs="Arial"/>
        </w:rPr>
      </w:pP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17 </w:t>
      </w:r>
      <w:proofErr w:type="spellStart"/>
      <w:r w:rsidRPr="00561A37">
        <w:rPr>
          <w:rFonts w:ascii="Arial" w:hAnsi="Arial" w:cs="Arial"/>
        </w:rPr>
        <w:t>Tahun</w:t>
      </w:r>
      <w:proofErr w:type="spellEnd"/>
      <w:r w:rsidRPr="00561A37">
        <w:rPr>
          <w:rFonts w:ascii="Arial" w:hAnsi="Arial" w:cs="Arial"/>
        </w:rPr>
        <w:t xml:space="preserve"> 2023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Kesehatan</w:t>
      </w:r>
      <w:proofErr w:type="spellEnd"/>
      <w:r w:rsidRPr="00561A37">
        <w:rPr>
          <w:rFonts w:ascii="Arial" w:hAnsi="Arial" w:cs="Arial"/>
        </w:rPr>
        <w:t xml:space="preserve">., Pub. L. No. 17, </w:t>
      </w:r>
      <w:proofErr w:type="spellStart"/>
      <w:r w:rsidRPr="00561A37">
        <w:rPr>
          <w:rFonts w:ascii="Arial" w:hAnsi="Arial" w:cs="Arial"/>
        </w:rPr>
        <w:t>Lembaran</w:t>
      </w:r>
      <w:proofErr w:type="spellEnd"/>
      <w:r w:rsidRPr="00561A37">
        <w:rPr>
          <w:rFonts w:ascii="Arial" w:hAnsi="Arial" w:cs="Arial"/>
        </w:rPr>
        <w:t xml:space="preserve"> Negara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Tahun</w:t>
      </w:r>
      <w:proofErr w:type="spellEnd"/>
      <w:r w:rsidRPr="00561A37">
        <w:rPr>
          <w:rFonts w:ascii="Arial" w:hAnsi="Arial" w:cs="Arial"/>
        </w:rPr>
        <w:t xml:space="preserve"> 2023 </w:t>
      </w:r>
      <w:proofErr w:type="spellStart"/>
      <w:r w:rsidRPr="00561A37">
        <w:rPr>
          <w:rFonts w:ascii="Arial" w:hAnsi="Arial" w:cs="Arial"/>
        </w:rPr>
        <w:t>Nomor</w:t>
      </w:r>
      <w:proofErr w:type="spellEnd"/>
      <w:r w:rsidRPr="00561A37">
        <w:rPr>
          <w:rFonts w:ascii="Arial" w:hAnsi="Arial" w:cs="Arial"/>
        </w:rPr>
        <w:t xml:space="preserve"> 134. (2023).</w:t>
      </w:r>
      <w:r w:rsidR="00452E06">
        <w:rPr>
          <w:rFonts w:ascii="Arial" w:hAnsi="Arial" w:cs="Arial"/>
        </w:rPr>
        <w:t xml:space="preserve"> </w:t>
      </w:r>
      <w:r w:rsidR="00452E06" w:rsidRPr="00452E06">
        <w:rPr>
          <w:rFonts w:ascii="Arial" w:hAnsi="Arial" w:cs="Arial"/>
        </w:rPr>
        <w:t>https://peraturan.bpk.go.id/details/258028/uu-no-17-tahun-2023</w:t>
      </w:r>
    </w:p>
    <w:p w14:paraId="23317C9A" w14:textId="217C2CD7" w:rsidR="00561A37" w:rsidRPr="00561A37" w:rsidRDefault="00561A37" w:rsidP="00561A37">
      <w:pPr>
        <w:pStyle w:val="Reference"/>
        <w:rPr>
          <w:rFonts w:ascii="Arial" w:hAnsi="Arial" w:cs="Arial"/>
        </w:rPr>
      </w:pP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29 </w:t>
      </w:r>
      <w:proofErr w:type="spellStart"/>
      <w:r w:rsidRPr="00561A37">
        <w:rPr>
          <w:rFonts w:ascii="Arial" w:hAnsi="Arial" w:cs="Arial"/>
        </w:rPr>
        <w:t>Tahun</w:t>
      </w:r>
      <w:proofErr w:type="spellEnd"/>
      <w:r w:rsidRPr="00561A37">
        <w:rPr>
          <w:rFonts w:ascii="Arial" w:hAnsi="Arial" w:cs="Arial"/>
        </w:rPr>
        <w:t xml:space="preserve"> 2004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Praktik</w:t>
      </w:r>
      <w:proofErr w:type="spellEnd"/>
      <w:r w:rsidRPr="00561A37">
        <w:rPr>
          <w:rFonts w:ascii="Arial" w:hAnsi="Arial" w:cs="Arial"/>
        </w:rPr>
        <w:t xml:space="preserve"> </w:t>
      </w:r>
      <w:proofErr w:type="spellStart"/>
      <w:r w:rsidRPr="00561A37">
        <w:rPr>
          <w:rFonts w:ascii="Arial" w:hAnsi="Arial" w:cs="Arial"/>
        </w:rPr>
        <w:t>Kedokteran</w:t>
      </w:r>
      <w:proofErr w:type="spellEnd"/>
      <w:r w:rsidRPr="00561A37">
        <w:rPr>
          <w:rFonts w:ascii="Arial" w:hAnsi="Arial" w:cs="Arial"/>
        </w:rPr>
        <w:t xml:space="preserve">., Pub. L. No. 29, </w:t>
      </w:r>
      <w:proofErr w:type="spellStart"/>
      <w:r w:rsidRPr="00561A37">
        <w:rPr>
          <w:rFonts w:ascii="Arial" w:hAnsi="Arial" w:cs="Arial"/>
        </w:rPr>
        <w:t>Lembaran</w:t>
      </w:r>
      <w:proofErr w:type="spellEnd"/>
      <w:r w:rsidRPr="00561A37">
        <w:rPr>
          <w:rFonts w:ascii="Arial" w:hAnsi="Arial" w:cs="Arial"/>
        </w:rPr>
        <w:t xml:space="preserve"> Negara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Tahun</w:t>
      </w:r>
      <w:proofErr w:type="spellEnd"/>
      <w:r w:rsidRPr="00561A37">
        <w:rPr>
          <w:rFonts w:ascii="Arial" w:hAnsi="Arial" w:cs="Arial"/>
        </w:rPr>
        <w:t xml:space="preserve"> 2004 </w:t>
      </w:r>
      <w:proofErr w:type="spellStart"/>
      <w:r w:rsidRPr="00561A37">
        <w:rPr>
          <w:rFonts w:ascii="Arial" w:hAnsi="Arial" w:cs="Arial"/>
        </w:rPr>
        <w:t>Nomor</w:t>
      </w:r>
      <w:proofErr w:type="spellEnd"/>
      <w:r w:rsidRPr="00561A37">
        <w:rPr>
          <w:rFonts w:ascii="Arial" w:hAnsi="Arial" w:cs="Arial"/>
        </w:rPr>
        <w:t xml:space="preserve"> 116. (2004).</w:t>
      </w:r>
      <w:r w:rsidR="00452E06">
        <w:rPr>
          <w:rFonts w:ascii="Arial" w:hAnsi="Arial" w:cs="Arial"/>
        </w:rPr>
        <w:t xml:space="preserve"> </w:t>
      </w:r>
      <w:r w:rsidR="00452E06" w:rsidRPr="00452E06">
        <w:rPr>
          <w:rFonts w:ascii="Arial" w:hAnsi="Arial" w:cs="Arial"/>
        </w:rPr>
        <w:t>https://peraturan.bpk.go.id/Details/40752/uu-no-29-tahun-2004#:~:text=Dalam%20UU%20ini%20diatur%20mengenai%20asas%20dan%20tujuan,Dokter%20Indonesia%2C%20serta%20pembinaan%20dan%20pengawasan%20praktik%20kedokteran.</w:t>
      </w:r>
    </w:p>
    <w:p w14:paraId="3E431736" w14:textId="27957EF6" w:rsidR="00561A37" w:rsidRDefault="00561A37" w:rsidP="00561A37">
      <w:pPr>
        <w:pStyle w:val="Reference"/>
        <w:rPr>
          <w:rFonts w:ascii="Arial" w:hAnsi="Arial" w:cs="Arial"/>
        </w:rPr>
      </w:pPr>
      <w:proofErr w:type="spellStart"/>
      <w:r w:rsidRPr="00561A37">
        <w:rPr>
          <w:rFonts w:ascii="Arial" w:hAnsi="Arial" w:cs="Arial"/>
        </w:rPr>
        <w:t>Undang-Undang</w:t>
      </w:r>
      <w:proofErr w:type="spellEnd"/>
      <w:r w:rsidRPr="00561A37">
        <w:rPr>
          <w:rFonts w:ascii="Arial" w:hAnsi="Arial" w:cs="Arial"/>
        </w:rPr>
        <w:t xml:space="preserve">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Nomor</w:t>
      </w:r>
      <w:proofErr w:type="spellEnd"/>
      <w:r w:rsidRPr="00561A37">
        <w:rPr>
          <w:rFonts w:ascii="Arial" w:hAnsi="Arial" w:cs="Arial"/>
        </w:rPr>
        <w:t xml:space="preserve"> 36 </w:t>
      </w:r>
      <w:proofErr w:type="spellStart"/>
      <w:r w:rsidRPr="00561A37">
        <w:rPr>
          <w:rFonts w:ascii="Arial" w:hAnsi="Arial" w:cs="Arial"/>
        </w:rPr>
        <w:t>Tahun</w:t>
      </w:r>
      <w:proofErr w:type="spellEnd"/>
      <w:r w:rsidRPr="00561A37">
        <w:rPr>
          <w:rFonts w:ascii="Arial" w:hAnsi="Arial" w:cs="Arial"/>
        </w:rPr>
        <w:t xml:space="preserve"> 2009 </w:t>
      </w:r>
      <w:proofErr w:type="spellStart"/>
      <w:r w:rsidRPr="00561A37">
        <w:rPr>
          <w:rFonts w:ascii="Arial" w:hAnsi="Arial" w:cs="Arial"/>
        </w:rPr>
        <w:t>Tentang</w:t>
      </w:r>
      <w:proofErr w:type="spellEnd"/>
      <w:r w:rsidRPr="00561A37">
        <w:rPr>
          <w:rFonts w:ascii="Arial" w:hAnsi="Arial" w:cs="Arial"/>
        </w:rPr>
        <w:t xml:space="preserve"> </w:t>
      </w:r>
      <w:proofErr w:type="spellStart"/>
      <w:r w:rsidRPr="00561A37">
        <w:rPr>
          <w:rFonts w:ascii="Arial" w:hAnsi="Arial" w:cs="Arial"/>
        </w:rPr>
        <w:t>Kesehatan</w:t>
      </w:r>
      <w:proofErr w:type="spellEnd"/>
      <w:r w:rsidRPr="00561A37">
        <w:rPr>
          <w:rFonts w:ascii="Arial" w:hAnsi="Arial" w:cs="Arial"/>
        </w:rPr>
        <w:t xml:space="preserve">., Pub. L. No. 36, </w:t>
      </w:r>
      <w:proofErr w:type="spellStart"/>
      <w:r w:rsidRPr="00561A37">
        <w:rPr>
          <w:rFonts w:ascii="Arial" w:hAnsi="Arial" w:cs="Arial"/>
        </w:rPr>
        <w:t>Lembaran</w:t>
      </w:r>
      <w:proofErr w:type="spellEnd"/>
      <w:r w:rsidRPr="00561A37">
        <w:rPr>
          <w:rFonts w:ascii="Arial" w:hAnsi="Arial" w:cs="Arial"/>
        </w:rPr>
        <w:t xml:space="preserve"> Negara </w:t>
      </w:r>
      <w:proofErr w:type="spellStart"/>
      <w:r w:rsidRPr="00561A37">
        <w:rPr>
          <w:rFonts w:ascii="Arial" w:hAnsi="Arial" w:cs="Arial"/>
        </w:rPr>
        <w:t>Republik</w:t>
      </w:r>
      <w:proofErr w:type="spellEnd"/>
      <w:r w:rsidRPr="00561A37">
        <w:rPr>
          <w:rFonts w:ascii="Arial" w:hAnsi="Arial" w:cs="Arial"/>
        </w:rPr>
        <w:t xml:space="preserve"> Indonesia </w:t>
      </w:r>
      <w:proofErr w:type="spellStart"/>
      <w:r w:rsidRPr="00561A37">
        <w:rPr>
          <w:rFonts w:ascii="Arial" w:hAnsi="Arial" w:cs="Arial"/>
        </w:rPr>
        <w:t>Tahun</w:t>
      </w:r>
      <w:proofErr w:type="spellEnd"/>
      <w:r w:rsidRPr="00561A37">
        <w:rPr>
          <w:rFonts w:ascii="Arial" w:hAnsi="Arial" w:cs="Arial"/>
        </w:rPr>
        <w:t xml:space="preserve"> 2009 </w:t>
      </w:r>
      <w:proofErr w:type="spellStart"/>
      <w:r w:rsidRPr="00561A37">
        <w:rPr>
          <w:rFonts w:ascii="Arial" w:hAnsi="Arial" w:cs="Arial"/>
        </w:rPr>
        <w:t>Nomor</w:t>
      </w:r>
      <w:proofErr w:type="spellEnd"/>
      <w:r w:rsidRPr="00561A37">
        <w:rPr>
          <w:rFonts w:ascii="Arial" w:hAnsi="Arial" w:cs="Arial"/>
        </w:rPr>
        <w:t xml:space="preserve"> 144. (2009).</w:t>
      </w:r>
      <w:r w:rsidR="00452E06">
        <w:rPr>
          <w:rFonts w:ascii="Arial" w:hAnsi="Arial" w:cs="Arial"/>
        </w:rPr>
        <w:t xml:space="preserve"> </w:t>
      </w:r>
      <w:r w:rsidR="00452E06" w:rsidRPr="00AA750E">
        <w:t>https://peraturan.bpk.go.id/Details/38778/uu-no-36-tahun-2009</w:t>
      </w:r>
    </w:p>
    <w:p w14:paraId="6B060BCB" w14:textId="54D1191A" w:rsidR="00B01FCD" w:rsidRPr="00561A37" w:rsidRDefault="00561A37" w:rsidP="00561A37">
      <w:pPr>
        <w:pStyle w:val="Reference"/>
        <w:rPr>
          <w:rFonts w:ascii="Arial" w:hAnsi="Arial" w:cs="Arial"/>
        </w:rPr>
      </w:pPr>
      <w:r w:rsidRPr="00561A37">
        <w:rPr>
          <w:rFonts w:ascii="Arial" w:hAnsi="Arial" w:cs="Arial"/>
        </w:rPr>
        <w:t xml:space="preserve">Universal Principles for Advance Care Planning (ACP). (2022). </w:t>
      </w:r>
      <w:r w:rsidR="00452E06" w:rsidRPr="00AA750E">
        <w:t>https://www.england.nhs.uk/wp-content/uploads/2022/03/universal-principles-for-advance-care-planning.pdf</w:t>
      </w:r>
    </w:p>
    <w:p w14:paraId="12887CB3" w14:textId="77777777" w:rsidR="00561A37" w:rsidRDefault="00561A37" w:rsidP="00561A37">
      <w:pPr>
        <w:pStyle w:val="Reference"/>
        <w:numPr>
          <w:ilvl w:val="0"/>
          <w:numId w:val="0"/>
        </w:numPr>
        <w:spacing w:line="240" w:lineRule="auto"/>
        <w:rPr>
          <w:rFonts w:ascii="Arial" w:hAnsi="Arial" w:cs="Arial"/>
        </w:rPr>
      </w:pPr>
    </w:p>
    <w:p w14:paraId="4E9057D6" w14:textId="77777777" w:rsidR="00561A37" w:rsidRPr="00FB3A86" w:rsidRDefault="00561A37" w:rsidP="00561A37">
      <w:pPr>
        <w:pStyle w:val="Reference"/>
        <w:numPr>
          <w:ilvl w:val="0"/>
          <w:numId w:val="0"/>
        </w:numPr>
        <w:spacing w:line="240" w:lineRule="auto"/>
        <w:rPr>
          <w:rFonts w:ascii="Arial" w:hAnsi="Arial" w:cs="Arial"/>
        </w:rPr>
      </w:pPr>
    </w:p>
    <w:p w14:paraId="61FF4E8D" w14:textId="4525534E" w:rsidR="00B01FCD" w:rsidRDefault="00B01FCD" w:rsidP="00441B6F">
      <w:pPr>
        <w:pStyle w:val="DefAcrHead"/>
        <w:spacing w:after="0"/>
        <w:jc w:val="both"/>
        <w:rPr>
          <w:rFonts w:ascii="Arial" w:hAnsi="Arial" w:cs="Arial"/>
        </w:rPr>
      </w:pPr>
      <w:r w:rsidRPr="00FB3A86">
        <w:rPr>
          <w:rFonts w:ascii="Arial" w:hAnsi="Arial" w:cs="Arial"/>
        </w:rPr>
        <w:t>Abbreviations</w:t>
      </w:r>
    </w:p>
    <w:p w14:paraId="74066D7F" w14:textId="77777777" w:rsidR="00790ADA" w:rsidRDefault="00790ADA" w:rsidP="00441B6F">
      <w:pPr>
        <w:pStyle w:val="Body"/>
        <w:spacing w:after="0"/>
        <w:rPr>
          <w:rFonts w:ascii="Arial" w:hAnsi="Arial" w:cs="Arial"/>
        </w:rPr>
      </w:pPr>
    </w:p>
    <w:p w14:paraId="6B3C31BA" w14:textId="665C2F7C" w:rsidR="00561A37" w:rsidRDefault="00561A37" w:rsidP="00441B6F">
      <w:pPr>
        <w:pStyle w:val="Body"/>
        <w:spacing w:after="0"/>
        <w:rPr>
          <w:rFonts w:ascii="Arial" w:hAnsi="Arial" w:cs="Arial"/>
        </w:rPr>
      </w:pPr>
      <w:r>
        <w:rPr>
          <w:rFonts w:ascii="Arial" w:hAnsi="Arial" w:cs="Arial"/>
        </w:rPr>
        <w:t>ACP: Advanced Care Planning</w:t>
      </w:r>
    </w:p>
    <w:p w14:paraId="5DB6F2D3" w14:textId="33621386" w:rsidR="00561A37" w:rsidRDefault="00561A37" w:rsidP="00441B6F">
      <w:pPr>
        <w:pStyle w:val="Body"/>
        <w:spacing w:after="0"/>
        <w:rPr>
          <w:rFonts w:ascii="Arial" w:hAnsi="Arial" w:cs="Arial"/>
        </w:rPr>
      </w:pPr>
      <w:r w:rsidRPr="00561A37">
        <w:rPr>
          <w:rFonts w:ascii="Arial" w:hAnsi="Arial" w:cs="Arial"/>
        </w:rPr>
        <w:t>CPR</w:t>
      </w:r>
      <w:r>
        <w:rPr>
          <w:rFonts w:ascii="Arial" w:hAnsi="Arial" w:cs="Arial"/>
        </w:rPr>
        <w:t>: C</w:t>
      </w:r>
      <w:r w:rsidRPr="00561A37">
        <w:rPr>
          <w:rFonts w:ascii="Arial" w:hAnsi="Arial" w:cs="Arial"/>
        </w:rPr>
        <w:t xml:space="preserve">ardiopulmonary </w:t>
      </w:r>
      <w:r>
        <w:rPr>
          <w:rFonts w:ascii="Arial" w:hAnsi="Arial" w:cs="Arial"/>
        </w:rPr>
        <w:t>R</w:t>
      </w:r>
      <w:r w:rsidRPr="00561A37">
        <w:rPr>
          <w:rFonts w:ascii="Arial" w:hAnsi="Arial" w:cs="Arial"/>
        </w:rPr>
        <w:t>esuscitation</w:t>
      </w:r>
    </w:p>
    <w:p w14:paraId="585CB48B" w14:textId="5655E6FF" w:rsidR="00561A37" w:rsidRDefault="00561A37" w:rsidP="00441B6F">
      <w:pPr>
        <w:pStyle w:val="Body"/>
        <w:spacing w:after="0"/>
        <w:rPr>
          <w:rFonts w:ascii="Arial" w:hAnsi="Arial" w:cs="Arial"/>
        </w:rPr>
      </w:pPr>
      <w:r w:rsidRPr="00561A37">
        <w:rPr>
          <w:rFonts w:ascii="Arial" w:hAnsi="Arial" w:cs="Arial"/>
        </w:rPr>
        <w:t>ICU</w:t>
      </w:r>
      <w:r>
        <w:rPr>
          <w:rFonts w:ascii="Arial" w:hAnsi="Arial" w:cs="Arial"/>
        </w:rPr>
        <w:t>: I</w:t>
      </w:r>
      <w:r w:rsidRPr="00561A37">
        <w:rPr>
          <w:rFonts w:ascii="Arial" w:hAnsi="Arial" w:cs="Arial"/>
        </w:rPr>
        <w:t xml:space="preserve">ntensive </w:t>
      </w:r>
      <w:r>
        <w:rPr>
          <w:rFonts w:ascii="Arial" w:hAnsi="Arial" w:cs="Arial"/>
        </w:rPr>
        <w:t>C</w:t>
      </w:r>
      <w:r w:rsidRPr="00561A37">
        <w:rPr>
          <w:rFonts w:ascii="Arial" w:hAnsi="Arial" w:cs="Arial"/>
        </w:rPr>
        <w:t xml:space="preserve">are </w:t>
      </w:r>
      <w:r>
        <w:rPr>
          <w:rFonts w:ascii="Arial" w:hAnsi="Arial" w:cs="Arial"/>
        </w:rPr>
        <w:t>U</w:t>
      </w:r>
      <w:r w:rsidRPr="00561A37">
        <w:rPr>
          <w:rFonts w:ascii="Arial" w:hAnsi="Arial" w:cs="Arial"/>
        </w:rPr>
        <w:t>nit</w:t>
      </w:r>
    </w:p>
    <w:p w14:paraId="0E24A243" w14:textId="4FA70B05" w:rsidR="00561A37" w:rsidRDefault="00561A37" w:rsidP="00441B6F">
      <w:pPr>
        <w:pStyle w:val="Body"/>
        <w:spacing w:after="0"/>
        <w:rPr>
          <w:rFonts w:ascii="Arial" w:hAnsi="Arial" w:cs="Arial"/>
        </w:rPr>
      </w:pPr>
      <w:r w:rsidRPr="00561A37">
        <w:rPr>
          <w:rFonts w:ascii="Arial" w:hAnsi="Arial" w:cs="Arial"/>
        </w:rPr>
        <w:t>KODEKI</w:t>
      </w:r>
      <w:r>
        <w:rPr>
          <w:rFonts w:ascii="Arial" w:hAnsi="Arial" w:cs="Arial"/>
        </w:rPr>
        <w:t xml:space="preserve">: </w:t>
      </w:r>
      <w:proofErr w:type="spellStart"/>
      <w:r>
        <w:rPr>
          <w:rFonts w:ascii="Arial" w:hAnsi="Arial" w:cs="Arial"/>
        </w:rPr>
        <w:t>Kode</w:t>
      </w:r>
      <w:proofErr w:type="spellEnd"/>
      <w:r>
        <w:rPr>
          <w:rFonts w:ascii="Arial" w:hAnsi="Arial" w:cs="Arial"/>
        </w:rPr>
        <w:t xml:space="preserve"> </w:t>
      </w:r>
      <w:proofErr w:type="spellStart"/>
      <w:r>
        <w:rPr>
          <w:rFonts w:ascii="Arial" w:hAnsi="Arial" w:cs="Arial"/>
        </w:rPr>
        <w:t>Etik</w:t>
      </w:r>
      <w:proofErr w:type="spellEnd"/>
      <w:r>
        <w:rPr>
          <w:rFonts w:ascii="Arial" w:hAnsi="Arial" w:cs="Arial"/>
        </w:rPr>
        <w:t xml:space="preserve"> </w:t>
      </w:r>
      <w:proofErr w:type="spellStart"/>
      <w:r>
        <w:rPr>
          <w:rFonts w:ascii="Arial" w:hAnsi="Arial" w:cs="Arial"/>
        </w:rPr>
        <w:t>Kedokteran</w:t>
      </w:r>
      <w:proofErr w:type="spellEnd"/>
      <w:r>
        <w:rPr>
          <w:rFonts w:ascii="Arial" w:hAnsi="Arial" w:cs="Arial"/>
        </w:rPr>
        <w:t xml:space="preserve"> Indonesia (</w:t>
      </w:r>
      <w:r w:rsidRPr="00561A37">
        <w:rPr>
          <w:rFonts w:ascii="Arial" w:hAnsi="Arial" w:cs="Arial"/>
        </w:rPr>
        <w:t>The Indonesian Code of Medical Ethics</w:t>
      </w:r>
      <w:r>
        <w:rPr>
          <w:rFonts w:ascii="Arial" w:hAnsi="Arial" w:cs="Arial"/>
        </w:rPr>
        <w:t>)</w:t>
      </w:r>
    </w:p>
    <w:p w14:paraId="50F52438" w14:textId="401A50D1" w:rsidR="00136A64" w:rsidRPr="00FB3A86" w:rsidRDefault="00136A64" w:rsidP="00441B6F">
      <w:pPr>
        <w:pStyle w:val="Body"/>
        <w:spacing w:after="0"/>
        <w:rPr>
          <w:rFonts w:ascii="Arial" w:hAnsi="Arial" w:cs="Arial"/>
        </w:rPr>
      </w:pPr>
      <w:proofErr w:type="spellStart"/>
      <w:r w:rsidRPr="00561A37">
        <w:rPr>
          <w:rFonts w:ascii="Arial" w:hAnsi="Arial" w:cs="Arial"/>
        </w:rPr>
        <w:t>Permenkes</w:t>
      </w:r>
      <w:proofErr w:type="spellEnd"/>
      <w:r>
        <w:rPr>
          <w:rFonts w:ascii="Arial" w:hAnsi="Arial" w:cs="Arial"/>
        </w:rPr>
        <w:t xml:space="preserve">: </w:t>
      </w:r>
      <w:proofErr w:type="spellStart"/>
      <w:r>
        <w:rPr>
          <w:rFonts w:ascii="Arial" w:hAnsi="Arial" w:cs="Arial"/>
        </w:rPr>
        <w:t>Peraturan</w:t>
      </w:r>
      <w:proofErr w:type="spellEnd"/>
      <w:r>
        <w:rPr>
          <w:rFonts w:ascii="Arial" w:hAnsi="Arial" w:cs="Arial"/>
        </w:rPr>
        <w:t xml:space="preserve"> Menteri </w:t>
      </w:r>
      <w:proofErr w:type="spellStart"/>
      <w:r>
        <w:rPr>
          <w:rFonts w:ascii="Arial" w:hAnsi="Arial" w:cs="Arial"/>
        </w:rPr>
        <w:t>Kesehatan</w:t>
      </w:r>
      <w:proofErr w:type="spellEnd"/>
      <w:r>
        <w:rPr>
          <w:rFonts w:ascii="Arial" w:hAnsi="Arial" w:cs="Arial"/>
        </w:rPr>
        <w:t xml:space="preserve"> (</w:t>
      </w:r>
      <w:r w:rsidRPr="00561A37">
        <w:rPr>
          <w:rFonts w:ascii="Arial" w:hAnsi="Arial" w:cs="Arial"/>
        </w:rPr>
        <w:t>Minister of Health Regulation</w:t>
      </w:r>
      <w:r>
        <w:rPr>
          <w:rFonts w:ascii="Arial" w:hAnsi="Arial" w:cs="Arial"/>
        </w:rPr>
        <w:t>)</w:t>
      </w:r>
    </w:p>
    <w:p w14:paraId="72AFEA4C" w14:textId="77777777" w:rsidR="00561A37" w:rsidRDefault="00561A37" w:rsidP="00441B6F">
      <w:pPr>
        <w:pStyle w:val="Appendix"/>
        <w:spacing w:after="0"/>
        <w:jc w:val="both"/>
        <w:rPr>
          <w:rFonts w:ascii="Arial" w:hAnsi="Arial" w:cs="Arial"/>
        </w:rPr>
      </w:pPr>
    </w:p>
    <w:p w14:paraId="35A38B3C" w14:textId="3D0208FA" w:rsidR="004D4277" w:rsidRPr="00FB3A86" w:rsidRDefault="004D4277" w:rsidP="00441B6F">
      <w:pPr>
        <w:pStyle w:val="Appendix"/>
        <w:spacing w:after="0"/>
        <w:jc w:val="both"/>
        <w:rPr>
          <w:rFonts w:ascii="Arial" w:hAnsi="Arial" w:cs="Arial"/>
          <w:b w:val="0"/>
        </w:rPr>
        <w:sectPr w:rsidR="004D4277" w:rsidRPr="00FB3A86" w:rsidSect="000B1E33">
          <w:footerReference w:type="default" r:id="rId10"/>
          <w:type w:val="continuous"/>
          <w:pgSz w:w="12240" w:h="15840"/>
          <w:pgMar w:top="1440" w:right="2016" w:bottom="2016" w:left="2016" w:header="720" w:footer="1123" w:gutter="0"/>
          <w:lnNumType w:countBy="1" w:restart="continuous"/>
          <w:cols w:space="720"/>
          <w:docGrid w:linePitch="272"/>
        </w:sectPr>
      </w:pPr>
    </w:p>
    <w:p w14:paraId="5E215E6D" w14:textId="77777777" w:rsidR="00B01FCD" w:rsidRPr="00FB3A86" w:rsidRDefault="00B01FCD" w:rsidP="00441B6F">
      <w:pPr>
        <w:pStyle w:val="Appendix"/>
        <w:spacing w:after="0"/>
        <w:jc w:val="both"/>
        <w:rPr>
          <w:rFonts w:ascii="Arial" w:hAnsi="Arial" w:cs="Arial"/>
          <w:b w:val="0"/>
        </w:rPr>
      </w:pPr>
      <w:bookmarkStart w:id="1" w:name="_GoBack"/>
      <w:bookmarkEnd w:id="1"/>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E2489" w14:textId="77777777" w:rsidR="00032C8E" w:rsidRDefault="00032C8E" w:rsidP="00C37E61">
      <w:r>
        <w:separator/>
      </w:r>
    </w:p>
  </w:endnote>
  <w:endnote w:type="continuationSeparator" w:id="0">
    <w:p w14:paraId="1678D8C8" w14:textId="77777777" w:rsidR="00032C8E" w:rsidRDefault="00032C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DB2F" w14:textId="77777777" w:rsidR="009E048A" w:rsidRDefault="009E048A">
    <w:pPr>
      <w:pStyle w:val="Footer"/>
      <w:rPr>
        <w:rFonts w:ascii="Arial" w:hAnsi="Arial" w:cs="Arial"/>
        <w:sz w:val="16"/>
      </w:rPr>
    </w:pPr>
  </w:p>
  <w:p w14:paraId="456C5A2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CAD62A" w14:textId="77777777" w:rsidR="009E048A" w:rsidRDefault="009E048A">
    <w:pPr>
      <w:pStyle w:val="Footer"/>
      <w:rPr>
        <w:rFonts w:ascii="Arial" w:hAnsi="Arial" w:cs="Arial"/>
        <w:sz w:val="16"/>
      </w:rPr>
    </w:pPr>
  </w:p>
  <w:p w14:paraId="4887073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AF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2AC78" w14:textId="77777777" w:rsidR="00032C8E" w:rsidRDefault="00032C8E" w:rsidP="00C37E61">
      <w:r>
        <w:separator/>
      </w:r>
    </w:p>
  </w:footnote>
  <w:footnote w:type="continuationSeparator" w:id="0">
    <w:p w14:paraId="3064F69C" w14:textId="77777777" w:rsidR="00032C8E" w:rsidRDefault="00032C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F5BC7" w14:textId="77777777" w:rsidR="00296529" w:rsidRPr="00296529" w:rsidRDefault="00296529" w:rsidP="00296529">
    <w:pPr>
      <w:ind w:left="2160"/>
      <w:jc w:val="center"/>
      <w:rPr>
        <w:rFonts w:ascii="Times New Roman" w:eastAsia="Calibri" w:hAnsi="Times New Roman"/>
        <w:i/>
        <w:sz w:val="18"/>
        <w:szCs w:val="22"/>
      </w:rPr>
    </w:pPr>
  </w:p>
  <w:p w14:paraId="6BC0C2D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FFEB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022F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E0980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34D45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C3670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DDB"/>
    <w:rsid w:val="00000F8F"/>
    <w:rsid w:val="00030174"/>
    <w:rsid w:val="00032C8E"/>
    <w:rsid w:val="0004579C"/>
    <w:rsid w:val="00076E74"/>
    <w:rsid w:val="000A47FA"/>
    <w:rsid w:val="000A65D3"/>
    <w:rsid w:val="000B1E33"/>
    <w:rsid w:val="000D689F"/>
    <w:rsid w:val="000E7B7B"/>
    <w:rsid w:val="000E7D62"/>
    <w:rsid w:val="00103357"/>
    <w:rsid w:val="00123C9F"/>
    <w:rsid w:val="00126190"/>
    <w:rsid w:val="00130F17"/>
    <w:rsid w:val="001320BF"/>
    <w:rsid w:val="00136A64"/>
    <w:rsid w:val="00163BC4"/>
    <w:rsid w:val="00191062"/>
    <w:rsid w:val="00192B72"/>
    <w:rsid w:val="001A29D8"/>
    <w:rsid w:val="001A5CAA"/>
    <w:rsid w:val="001B0427"/>
    <w:rsid w:val="001D3A51"/>
    <w:rsid w:val="001D514E"/>
    <w:rsid w:val="001E10D2"/>
    <w:rsid w:val="001E25B4"/>
    <w:rsid w:val="001E44FE"/>
    <w:rsid w:val="001F536B"/>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224C"/>
    <w:rsid w:val="0032235F"/>
    <w:rsid w:val="003330AC"/>
    <w:rsid w:val="0033343E"/>
    <w:rsid w:val="00347D3B"/>
    <w:rsid w:val="003512C2"/>
    <w:rsid w:val="003566B6"/>
    <w:rsid w:val="00371FB6"/>
    <w:rsid w:val="003763C1"/>
    <w:rsid w:val="00376BBE"/>
    <w:rsid w:val="00382BD1"/>
    <w:rsid w:val="0039224F"/>
    <w:rsid w:val="003A43A4"/>
    <w:rsid w:val="003A7E18"/>
    <w:rsid w:val="003C4C86"/>
    <w:rsid w:val="003C6258"/>
    <w:rsid w:val="003E2904"/>
    <w:rsid w:val="00401927"/>
    <w:rsid w:val="0041027F"/>
    <w:rsid w:val="00412475"/>
    <w:rsid w:val="00423789"/>
    <w:rsid w:val="00437F3B"/>
    <w:rsid w:val="00440F43"/>
    <w:rsid w:val="00441B6F"/>
    <w:rsid w:val="00446221"/>
    <w:rsid w:val="00450E62"/>
    <w:rsid w:val="00452E06"/>
    <w:rsid w:val="004539DB"/>
    <w:rsid w:val="00471A80"/>
    <w:rsid w:val="004D305E"/>
    <w:rsid w:val="004D4277"/>
    <w:rsid w:val="00502516"/>
    <w:rsid w:val="00505F06"/>
    <w:rsid w:val="00506828"/>
    <w:rsid w:val="0053056E"/>
    <w:rsid w:val="00554FDA"/>
    <w:rsid w:val="00561A37"/>
    <w:rsid w:val="0058699C"/>
    <w:rsid w:val="005C784C"/>
    <w:rsid w:val="005D17F6"/>
    <w:rsid w:val="005E5539"/>
    <w:rsid w:val="00602BF5"/>
    <w:rsid w:val="00617FDD"/>
    <w:rsid w:val="00633614"/>
    <w:rsid w:val="00633F68"/>
    <w:rsid w:val="00636EB2"/>
    <w:rsid w:val="006375B8"/>
    <w:rsid w:val="0064677F"/>
    <w:rsid w:val="00647036"/>
    <w:rsid w:val="0066510A"/>
    <w:rsid w:val="00673F9F"/>
    <w:rsid w:val="00686953"/>
    <w:rsid w:val="00687DEA"/>
    <w:rsid w:val="00687E67"/>
    <w:rsid w:val="006967F7"/>
    <w:rsid w:val="006A250C"/>
    <w:rsid w:val="006A618C"/>
    <w:rsid w:val="006A7FC4"/>
    <w:rsid w:val="006B21D3"/>
    <w:rsid w:val="006B57D0"/>
    <w:rsid w:val="006D30FF"/>
    <w:rsid w:val="006D53B3"/>
    <w:rsid w:val="006D6940"/>
    <w:rsid w:val="006F11EC"/>
    <w:rsid w:val="0070082C"/>
    <w:rsid w:val="007137BD"/>
    <w:rsid w:val="007369E6"/>
    <w:rsid w:val="00746E59"/>
    <w:rsid w:val="00754C9A"/>
    <w:rsid w:val="0075599A"/>
    <w:rsid w:val="00756B2B"/>
    <w:rsid w:val="00761D52"/>
    <w:rsid w:val="0077749E"/>
    <w:rsid w:val="00790ADA"/>
    <w:rsid w:val="007D2288"/>
    <w:rsid w:val="007E088F"/>
    <w:rsid w:val="007F7B32"/>
    <w:rsid w:val="00804BC2"/>
    <w:rsid w:val="0081431A"/>
    <w:rsid w:val="0083216F"/>
    <w:rsid w:val="0083512A"/>
    <w:rsid w:val="00860000"/>
    <w:rsid w:val="00863BD3"/>
    <w:rsid w:val="008641ED"/>
    <w:rsid w:val="00866D66"/>
    <w:rsid w:val="008671C6"/>
    <w:rsid w:val="00875803"/>
    <w:rsid w:val="008931C5"/>
    <w:rsid w:val="008B459E"/>
    <w:rsid w:val="008E13AE"/>
    <w:rsid w:val="008E1506"/>
    <w:rsid w:val="008E710C"/>
    <w:rsid w:val="008F69D6"/>
    <w:rsid w:val="009002E9"/>
    <w:rsid w:val="009022D5"/>
    <w:rsid w:val="00902823"/>
    <w:rsid w:val="00915CA6"/>
    <w:rsid w:val="00927834"/>
    <w:rsid w:val="009500A6"/>
    <w:rsid w:val="0095510F"/>
    <w:rsid w:val="00957C18"/>
    <w:rsid w:val="009659BA"/>
    <w:rsid w:val="00983040"/>
    <w:rsid w:val="009B3FB9"/>
    <w:rsid w:val="009C2465"/>
    <w:rsid w:val="009D35A0"/>
    <w:rsid w:val="009D7EB7"/>
    <w:rsid w:val="009E048A"/>
    <w:rsid w:val="009E08E9"/>
    <w:rsid w:val="009E3DB9"/>
    <w:rsid w:val="009E6E35"/>
    <w:rsid w:val="009F0EDA"/>
    <w:rsid w:val="009F6051"/>
    <w:rsid w:val="00A03B96"/>
    <w:rsid w:val="00A05B19"/>
    <w:rsid w:val="00A1134E"/>
    <w:rsid w:val="00A24E7E"/>
    <w:rsid w:val="00A258C3"/>
    <w:rsid w:val="00A347C0"/>
    <w:rsid w:val="00A51431"/>
    <w:rsid w:val="00A539AD"/>
    <w:rsid w:val="00A94063"/>
    <w:rsid w:val="00AA6219"/>
    <w:rsid w:val="00AA74E0"/>
    <w:rsid w:val="00AB3F7F"/>
    <w:rsid w:val="00AB703F"/>
    <w:rsid w:val="00AC6BB8"/>
    <w:rsid w:val="00AE008F"/>
    <w:rsid w:val="00B01FCD"/>
    <w:rsid w:val="00B0279D"/>
    <w:rsid w:val="00B1776C"/>
    <w:rsid w:val="00B3224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4E59"/>
    <w:rsid w:val="00C66EA1"/>
    <w:rsid w:val="00C70F1B"/>
    <w:rsid w:val="00C71A47"/>
    <w:rsid w:val="00C7464C"/>
    <w:rsid w:val="00C85588"/>
    <w:rsid w:val="00CD6755"/>
    <w:rsid w:val="00CD6856"/>
    <w:rsid w:val="00CE0089"/>
    <w:rsid w:val="00CE793C"/>
    <w:rsid w:val="00CF193C"/>
    <w:rsid w:val="00D173F1"/>
    <w:rsid w:val="00D34198"/>
    <w:rsid w:val="00D57A6C"/>
    <w:rsid w:val="00D74CB0"/>
    <w:rsid w:val="00D8295D"/>
    <w:rsid w:val="00DA390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7868"/>
    <w:rsid w:val="00EE52CB"/>
    <w:rsid w:val="00EF581D"/>
    <w:rsid w:val="00EF7FD8"/>
    <w:rsid w:val="00F06F59"/>
    <w:rsid w:val="00F17988"/>
    <w:rsid w:val="00F469F0"/>
    <w:rsid w:val="00F53273"/>
    <w:rsid w:val="00F755E4"/>
    <w:rsid w:val="00F77D02"/>
    <w:rsid w:val="00F80E8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DEA05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8351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B03A9CC-45D3-4640-B88E-64CF8AF7B6CB}"/>
      </w:docPartPr>
      <w:docPartBody>
        <w:p w:rsidR="007239E1" w:rsidRDefault="002C6847">
          <w:r w:rsidRPr="00A171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47"/>
    <w:rsid w:val="002053AF"/>
    <w:rsid w:val="002C6847"/>
    <w:rsid w:val="002E7E50"/>
    <w:rsid w:val="00437F3B"/>
    <w:rsid w:val="006A618C"/>
    <w:rsid w:val="007239E1"/>
    <w:rsid w:val="009D5437"/>
    <w:rsid w:val="00B0279D"/>
    <w:rsid w:val="00FB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84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D13B1B-2484-408B-8321-4F00959FC114}">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3034703329"/>
    <we:property name="MENDELEY_CITATIONS" value="[{&quot;citationID&quot;:&quot;MENDELEY_CITATION_bfffda0c-1394-4294-82e9-609bec932766&quot;,&quot;properties&quot;:{&quot;noteIndex&quot;:0},&quot;isEdited&quot;:false,&quot;manualOverride&quot;:{&quot;isManuallyOverridden&quot;:false,&quot;citeprocText&quot;:&quot;(Suprayitno &amp;#38; Setiawan, 2021)&quot;,&quot;manualOverrideText&quot;:&quot;&quot;},&quot;citationTag&quot;:&quot;MENDELEY_CITATION_v3_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&quot;,&quot;citationItems&quot;:[{&quot;id&quot;:&quot;c7c748f4-4def-3532-a1b1-99415d197ee8&quot;,&quot;itemData&quot;:{&quot;type&quot;:&quot;article-journal&quot;,&quot;id&quot;:&quot;c7c748f4-4def-3532-a1b1-99415d197ee8&quot;,&quot;title&quot;:&quot;Nurses’ roles in palliative care: An Islamic perspective&quot;,&quot;author&quot;:[{&quot;family&quot;:&quot;Suprayitno&quot;,&quot;given&quot;:&quot;Edy&quot;,&quot;parse-names&quot;:false,&quot;dropping-particle&quot;:&quot;&quot;,&quot;non-dropping-particle&quot;:&quot;&quot;},{&quot;family&quot;:&quot;Setiawan&quot;,&quot;given&quot;:&quot;Iwan&quot;,&quot;parse-names&quot;:false,&quot;dropping-particle&quot;:&quot;&quot;,&quot;non-dropping-particle&quot;:&quot;&quot;}],&quot;container-title&quot;:&quot;Belitung Nursing Journal&quot;,&quot;container-title-short&quot;:&quot;Belitung Nurs J&quot;,&quot;DOI&quot;:&quot;10.33546/bnj.1254&quot;,&quot;ISSN&quot;:&quot;2477-4073&quot;,&quot;issued&quot;:{&quot;date-parts&quot;:[[2021,2,22]]},&quot;page&quot;:&quot;50-54&quot;,&quot;abstract&quot;:&quot;&lt;p&gt;Palliative care is an important approach for nurses to improve the quality of life of patients holistically and mitigate suffering among the patients in critical condition and near to death. This article provides an Islamic perspective about nurses’ roles in palliative care, which can be applied worldwide, especially in Muslim-majority countries. Understanding Islamic beliefs will help nurses provide professional and culturally sensitive nursing care. In its principle, Islam always respects the process of life until death comes. So, the application of Islamic values in palliative care will make the patients accept their ill condition completely, keep being close to Allah SWT (God), and die peacefully. The concepts of illness, death, early action on the dead, and palliative care application in nursing are explained in this article to open up new ideas rather than provide definitive answers. We hope that this perspective will highlight healthcare policymakers the need to integrate Islamic values in nursing practice.&lt;/p&gt;&quot;,&quot;issue&quot;:&quot;1&quot;,&quot;volume&quot;:&quot;7&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5BA99-CEB7-49DA-8FCF-8CDF448F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10</Pages>
  <Words>5345</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cp:revision>
  <cp:lastPrinted>1999-07-06T11:00:00Z</cp:lastPrinted>
  <dcterms:created xsi:type="dcterms:W3CDTF">2025-11-13T12:50:00Z</dcterms:created>
  <dcterms:modified xsi:type="dcterms:W3CDTF">2025-11-15T11:55:00Z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5efd3177-b308-4055-a1ea-7d8da25af4df</vt:lpwstr>
  </property>
</Properties>
</file>