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FE9" w:rsidRDefault="00150C36">
      <w:pPr>
        <w:pBdr>
          <w:top w:val="nil"/>
          <w:left w:val="nil"/>
          <w:bottom w:val="nil"/>
          <w:right w:val="nil"/>
          <w:between w:val="nil"/>
        </w:pBdr>
        <w:ind w:left="0" w:firstLine="0"/>
        <w:jc w:val="center"/>
        <w:rPr>
          <w:rFonts w:ascii="Arial" w:eastAsia="Arial" w:hAnsi="Arial" w:cs="Arial"/>
          <w:color w:val="000000"/>
        </w:rPr>
      </w:pPr>
      <w:r>
        <w:rPr>
          <w:rFonts w:ascii="Arial" w:eastAsia="Arial" w:hAnsi="Arial" w:cs="Arial"/>
          <w:b/>
          <w:bCs/>
          <w:color w:val="000000"/>
        </w:rPr>
        <w:t xml:space="preserve">Mitochondrial DNA and Its Applications in Forensic Medicine and Medical Diagnosis </w:t>
      </w:r>
      <w:r w:rsidR="00C1288F">
        <w:rPr>
          <w:rFonts w:ascii="Arial" w:eastAsia="Arial" w:hAnsi="Arial" w:cs="Arial"/>
          <w:b/>
          <w:bCs/>
          <w:color w:val="000000"/>
        </w:rPr>
        <w:t>:</w:t>
      </w:r>
      <w:bookmarkStart w:id="0" w:name="_GoBack"/>
      <w:bookmarkEnd w:id="0"/>
      <w:r>
        <w:rPr>
          <w:rFonts w:ascii="Arial" w:eastAsia="Arial" w:hAnsi="Arial" w:cs="Arial"/>
          <w:b/>
          <w:bCs/>
          <w:color w:val="000000"/>
        </w:rPr>
        <w:t xml:space="preserve"> A Comprehensive Analysis</w:t>
      </w: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b/>
          <w:bCs/>
          <w:color w:val="000000"/>
        </w:rPr>
        <w:t>Abstract:</w:t>
      </w: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Mitochondrial DNA (</w:t>
      </w:r>
      <w:proofErr w:type="spellStart"/>
      <w:r>
        <w:rPr>
          <w:rFonts w:ascii="Arial" w:eastAsia="Arial" w:hAnsi="Arial" w:cs="Arial"/>
          <w:color w:val="000000"/>
        </w:rPr>
        <w:t>mtDNA</w:t>
      </w:r>
      <w:proofErr w:type="spellEnd"/>
      <w:r>
        <w:rPr>
          <w:rFonts w:ascii="Arial" w:eastAsia="Arial" w:hAnsi="Arial" w:cs="Arial"/>
          <w:color w:val="000000"/>
        </w:rPr>
        <w:t>) research holds crucial significance for understanding fundamental biological mechanisms and has wide-ranging applications in forensic science and clinical diagnosis. This paper offers an extensive overview of mitochondria, the str</w:t>
      </w:r>
      <w:r>
        <w:rPr>
          <w:rFonts w:ascii="Arial" w:eastAsia="Arial" w:hAnsi="Arial" w:cs="Arial"/>
          <w:color w:val="000000"/>
        </w:rPr>
        <w:t xml:space="preserve">ucture of mitochondrial DNA, the D-Loop control region, the 12S gene, </w:t>
      </w:r>
      <w:proofErr w:type="spellStart"/>
      <w:r>
        <w:rPr>
          <w:rFonts w:ascii="Arial" w:eastAsia="Arial" w:hAnsi="Arial" w:cs="Arial"/>
          <w:color w:val="000000"/>
        </w:rPr>
        <w:t>mtDNA</w:t>
      </w:r>
      <w:proofErr w:type="spellEnd"/>
      <w:r>
        <w:rPr>
          <w:rFonts w:ascii="Arial" w:eastAsia="Arial" w:hAnsi="Arial" w:cs="Arial"/>
          <w:color w:val="000000"/>
        </w:rPr>
        <w:t xml:space="preserve"> copy number, </w:t>
      </w:r>
      <w:proofErr w:type="spellStart"/>
      <w:r>
        <w:rPr>
          <w:rFonts w:ascii="Arial" w:eastAsia="Arial" w:hAnsi="Arial" w:cs="Arial"/>
          <w:color w:val="000000"/>
        </w:rPr>
        <w:t>heteroplasmy</w:t>
      </w:r>
      <w:proofErr w:type="spellEnd"/>
      <w:r>
        <w:rPr>
          <w:rFonts w:ascii="Arial" w:eastAsia="Arial" w:hAnsi="Arial" w:cs="Arial"/>
          <w:color w:val="000000"/>
        </w:rPr>
        <w:t xml:space="preserve">, maternal inheritance, </w:t>
      </w:r>
      <w:proofErr w:type="spellStart"/>
      <w:r>
        <w:rPr>
          <w:rFonts w:ascii="Arial" w:eastAsia="Arial" w:hAnsi="Arial" w:cs="Arial"/>
          <w:color w:val="000000"/>
        </w:rPr>
        <w:t>mtDNA</w:t>
      </w:r>
      <w:proofErr w:type="spellEnd"/>
      <w:r>
        <w:rPr>
          <w:rFonts w:ascii="Arial" w:eastAsia="Arial" w:hAnsi="Arial" w:cs="Arial"/>
          <w:color w:val="000000"/>
        </w:rPr>
        <w:t xml:space="preserve"> replication processes, the genetics of mitochondrial diseases, genome analysis, and Next-Generation Sequencing (NGS) platform</w:t>
      </w:r>
      <w:r>
        <w:rPr>
          <w:rFonts w:ascii="Arial" w:eastAsia="Arial" w:hAnsi="Arial" w:cs="Arial"/>
          <w:color w:val="000000"/>
        </w:rPr>
        <w:t xml:space="preserve">s. Furthermore, the review explores the forensic utility of </w:t>
      </w:r>
      <w:proofErr w:type="spellStart"/>
      <w:r>
        <w:rPr>
          <w:rFonts w:ascii="Arial" w:eastAsia="Arial" w:hAnsi="Arial" w:cs="Arial"/>
          <w:color w:val="000000"/>
        </w:rPr>
        <w:t>mtDNA</w:t>
      </w:r>
      <w:proofErr w:type="spellEnd"/>
      <w:r>
        <w:rPr>
          <w:rFonts w:ascii="Arial" w:eastAsia="Arial" w:hAnsi="Arial" w:cs="Arial"/>
          <w:color w:val="000000"/>
        </w:rPr>
        <w:t xml:space="preserve">, covering kinship analysis, investigative applications, medical diagnostics, </w:t>
      </w:r>
      <w:proofErr w:type="spellStart"/>
      <w:r>
        <w:rPr>
          <w:rFonts w:ascii="Arial" w:eastAsia="Arial" w:hAnsi="Arial" w:cs="Arial"/>
          <w:color w:val="000000"/>
        </w:rPr>
        <w:t>mtDNA</w:t>
      </w:r>
      <w:proofErr w:type="spellEnd"/>
      <w:r>
        <w:rPr>
          <w:rFonts w:ascii="Arial" w:eastAsia="Arial" w:hAnsi="Arial" w:cs="Arial"/>
          <w:color w:val="000000"/>
        </w:rPr>
        <w:t xml:space="preserve"> quantification, differentiation between human and animal blood, Polymerase Chain Reaction (PCR), and </w:t>
      </w:r>
      <w:proofErr w:type="spellStart"/>
      <w:r>
        <w:rPr>
          <w:rFonts w:ascii="Arial" w:eastAsia="Arial" w:hAnsi="Arial" w:cs="Arial"/>
          <w:color w:val="000000"/>
        </w:rPr>
        <w:t>mtDNA</w:t>
      </w:r>
      <w:proofErr w:type="spellEnd"/>
      <w:r>
        <w:rPr>
          <w:rFonts w:ascii="Arial" w:eastAsia="Arial" w:hAnsi="Arial" w:cs="Arial"/>
          <w:color w:val="000000"/>
        </w:rPr>
        <w:t xml:space="preserve"> </w:t>
      </w:r>
      <w:r>
        <w:rPr>
          <w:rFonts w:ascii="Arial" w:eastAsia="Arial" w:hAnsi="Arial" w:cs="Arial"/>
          <w:color w:val="000000"/>
        </w:rPr>
        <w:t>sequencing. The analysis indicates that mitochondrial DNA serves as a reliable marker for tracing the ancestry of various populations. It is a vital area of research across disciplines such as evolutionary anthropology, population genetics, medical genetic</w:t>
      </w:r>
      <w:r>
        <w:rPr>
          <w:rFonts w:ascii="Arial" w:eastAsia="Arial" w:hAnsi="Arial" w:cs="Arial"/>
          <w:color w:val="000000"/>
        </w:rPr>
        <w:t xml:space="preserve">s, genetic genealogy, and forensic science. The expression of </w:t>
      </w:r>
      <w:proofErr w:type="spellStart"/>
      <w:r>
        <w:rPr>
          <w:rFonts w:ascii="Arial" w:eastAsia="Arial" w:hAnsi="Arial" w:cs="Arial"/>
          <w:color w:val="000000"/>
        </w:rPr>
        <w:t>mtDNA</w:t>
      </w:r>
      <w:proofErr w:type="spellEnd"/>
      <w:r>
        <w:rPr>
          <w:rFonts w:ascii="Arial" w:eastAsia="Arial" w:hAnsi="Arial" w:cs="Arial"/>
          <w:color w:val="000000"/>
        </w:rPr>
        <w:t xml:space="preserve"> is essential for generating ATP via oxidative phosphorylation across all eukaryotic organisms. These mitochondrial structures are thought to link </w:t>
      </w:r>
      <w:proofErr w:type="spellStart"/>
      <w:r>
        <w:rPr>
          <w:rFonts w:ascii="Arial" w:eastAsia="Arial" w:hAnsi="Arial" w:cs="Arial"/>
          <w:color w:val="000000"/>
        </w:rPr>
        <w:t>mtDNA</w:t>
      </w:r>
      <w:proofErr w:type="spellEnd"/>
      <w:r>
        <w:rPr>
          <w:rFonts w:ascii="Arial" w:eastAsia="Arial" w:hAnsi="Arial" w:cs="Arial"/>
          <w:color w:val="000000"/>
        </w:rPr>
        <w:t xml:space="preserve"> replication and transcription mechan</w:t>
      </w:r>
      <w:r>
        <w:rPr>
          <w:rFonts w:ascii="Arial" w:eastAsia="Arial" w:hAnsi="Arial" w:cs="Arial"/>
          <w:color w:val="000000"/>
        </w:rPr>
        <w:t>isms. Research involving ancient DNA has established a strong correlation between the availability and nutritional composition of diet and diversity in natural populations. In recent years, the emergence of Next-Generation Sequencing (NGS) technologies has</w:t>
      </w:r>
      <w:r>
        <w:rPr>
          <w:rFonts w:ascii="Arial" w:eastAsia="Arial" w:hAnsi="Arial" w:cs="Arial"/>
          <w:color w:val="000000"/>
        </w:rPr>
        <w:t xml:space="preserve"> instigated a fast and definitive shift, advancing scientific inquiry and contributing substantially to deeper biological understanding. This comprehensive review concludes that mitochondrial DNA is a highly effective and potent instrument for individual i</w:t>
      </w:r>
      <w:r>
        <w:rPr>
          <w:rFonts w:ascii="Arial" w:eastAsia="Arial" w:hAnsi="Arial" w:cs="Arial"/>
          <w:color w:val="000000"/>
        </w:rPr>
        <w:t>dentification, tracing population origins, and diagnosing genetic disorders, thereby pioneering new research and practical applications in these critical areas.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i/>
          <w:iCs/>
          <w:color w:val="000000"/>
        </w:rPr>
      </w:pPr>
      <w:r>
        <w:rPr>
          <w:rFonts w:ascii="Arial" w:eastAsia="Arial" w:hAnsi="Arial" w:cs="Arial"/>
          <w:b/>
          <w:bCs/>
          <w:color w:val="000000"/>
        </w:rPr>
        <w:t>Keywords:</w:t>
      </w:r>
      <w:r>
        <w:rPr>
          <w:rFonts w:ascii="Arial" w:eastAsia="Arial" w:hAnsi="Arial" w:cs="Arial"/>
          <w:color w:val="000000"/>
        </w:rPr>
        <w:t xml:space="preserve"> </w:t>
      </w:r>
      <w:r>
        <w:rPr>
          <w:rFonts w:ascii="Arial" w:eastAsia="Arial" w:hAnsi="Arial" w:cs="Arial"/>
          <w:i/>
          <w:iCs/>
          <w:color w:val="000000"/>
        </w:rPr>
        <w:t xml:space="preserve">Mitochondrial DNA, Forensic Medicine, Medical Diagnosis, </w:t>
      </w:r>
      <w:proofErr w:type="spellStart"/>
      <w:r>
        <w:rPr>
          <w:rFonts w:ascii="Arial" w:eastAsia="Arial" w:hAnsi="Arial" w:cs="Arial"/>
          <w:i/>
          <w:iCs/>
          <w:color w:val="000000"/>
        </w:rPr>
        <w:t>Heteroplasmy</w:t>
      </w:r>
      <w:proofErr w:type="spellEnd"/>
      <w:r>
        <w:rPr>
          <w:rFonts w:ascii="Arial" w:eastAsia="Arial" w:hAnsi="Arial" w:cs="Arial"/>
          <w:i/>
          <w:iCs/>
          <w:color w:val="000000"/>
        </w:rPr>
        <w:t>, Polymerase Ch</w:t>
      </w:r>
      <w:r>
        <w:rPr>
          <w:rFonts w:ascii="Arial" w:eastAsia="Arial" w:hAnsi="Arial" w:cs="Arial"/>
          <w:i/>
          <w:iCs/>
          <w:color w:val="000000"/>
        </w:rPr>
        <w:t>ain Reaction, Next-Generation Sequencing</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Introduction:</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 crucial organelles found within eukaryotic cells, are frequently termed the 'cellular power plants' due to their critical function in generating adenosine triphosphate (ATP) via oxidati</w:t>
      </w:r>
      <w:r>
        <w:rPr>
          <w:rFonts w:ascii="Arial" w:eastAsia="Arial" w:hAnsi="Arial" w:cs="Arial"/>
          <w:color w:val="000000"/>
        </w:rPr>
        <w:t xml:space="preserve">ve phosphorylation (Lavrov and </w:t>
      </w:r>
      <w:proofErr w:type="spellStart"/>
      <w:r>
        <w:rPr>
          <w:rFonts w:ascii="Arial" w:eastAsia="Arial" w:hAnsi="Arial" w:cs="Arial"/>
          <w:color w:val="000000"/>
        </w:rPr>
        <w:t>Pett</w:t>
      </w:r>
      <w:proofErr w:type="spellEnd"/>
      <w:r>
        <w:rPr>
          <w:rFonts w:ascii="Arial" w:eastAsia="Arial" w:hAnsi="Arial" w:cs="Arial"/>
          <w:color w:val="000000"/>
        </w:rPr>
        <w:t>, 2016). Nevertheless, their roles encompass more than just energy generation, extending to the synthesis of amino acids and steroids, oxidation of fatty acids, iron-sulfur metabolism, and triggering apoptosis. The quanti</w:t>
      </w:r>
      <w:r>
        <w:rPr>
          <w:rFonts w:ascii="Arial" w:eastAsia="Arial" w:hAnsi="Arial" w:cs="Arial"/>
          <w:color w:val="000000"/>
        </w:rPr>
        <w:t>ty of mitochondrial DNA (</w:t>
      </w:r>
      <w:proofErr w:type="spellStart"/>
      <w:r>
        <w:rPr>
          <w:rFonts w:ascii="Arial" w:eastAsia="Arial" w:hAnsi="Arial" w:cs="Arial"/>
          <w:color w:val="000000"/>
        </w:rPr>
        <w:t>mtDNA</w:t>
      </w:r>
      <w:proofErr w:type="spellEnd"/>
      <w:r>
        <w:rPr>
          <w:rFonts w:ascii="Arial" w:eastAsia="Arial" w:hAnsi="Arial" w:cs="Arial"/>
          <w:color w:val="000000"/>
        </w:rPr>
        <w:t xml:space="preserve">) copies per mitochondrion and the total number of mitochondria per cell fluctuate depending on the cell type. Typically, each mitochondrion contains 2-10 </w:t>
      </w:r>
      <w:proofErr w:type="spellStart"/>
      <w:r>
        <w:rPr>
          <w:rFonts w:ascii="Arial" w:eastAsia="Arial" w:hAnsi="Arial" w:cs="Arial"/>
          <w:color w:val="000000"/>
        </w:rPr>
        <w:t>mtDNA</w:t>
      </w:r>
      <w:proofErr w:type="spellEnd"/>
      <w:r>
        <w:rPr>
          <w:rFonts w:ascii="Arial" w:eastAsia="Arial" w:hAnsi="Arial" w:cs="Arial"/>
          <w:color w:val="000000"/>
        </w:rPr>
        <w:t xml:space="preserve"> copies, and a single cell can contain hundreds to thousands of mi</w:t>
      </w:r>
      <w:r>
        <w:rPr>
          <w:rFonts w:ascii="Arial" w:eastAsia="Arial" w:hAnsi="Arial" w:cs="Arial"/>
          <w:color w:val="000000"/>
        </w:rPr>
        <w:t>tochondria</w:t>
      </w:r>
      <w:hyperlink r:id="rId7">
        <w:r>
          <w:rPr>
            <w:rFonts w:ascii="Arial" w:eastAsia="Arial" w:hAnsi="Arial" w:cs="Arial"/>
            <w:color w:val="000000"/>
          </w:rPr>
          <w:t xml:space="preserve"> </w:t>
        </w:r>
      </w:hyperlink>
      <w:hyperlink r:id="rId8">
        <w:r>
          <w:rPr>
            <w:rFonts w:ascii="Arial" w:eastAsia="Arial" w:hAnsi="Arial" w:cs="Arial"/>
            <w:color w:val="1155CC"/>
            <w:u w:val="single"/>
          </w:rPr>
          <w:t>(Du et al. 2025)</w:t>
        </w:r>
      </w:hyperlink>
      <w:r>
        <w:rPr>
          <w:rFonts w:ascii="Arial" w:eastAsia="Arial" w:hAnsi="Arial" w:cs="Arial"/>
          <w:color w:val="000000"/>
        </w:rPr>
        <w:t xml:space="preserve">. </w:t>
      </w:r>
      <w:r>
        <w:rPr>
          <w:rFonts w:ascii="Arial" w:eastAsia="Arial" w:hAnsi="Arial" w:cs="Arial"/>
          <w:color w:val="000000"/>
        </w:rPr>
        <w:t>The human mitochondrial genome is a circular molecule of approximately 16,569 base pairs, which codes for 13 proteins, 22 tRNAs, and 2 rRNAs, and is inherited exclusively from the mother (</w:t>
      </w:r>
      <w:proofErr w:type="spellStart"/>
      <w:r>
        <w:rPr>
          <w:rFonts w:ascii="Arial" w:eastAsia="Arial" w:hAnsi="Arial" w:cs="Arial"/>
          <w:color w:val="000000"/>
        </w:rPr>
        <w:t>Árnadóttir</w:t>
      </w:r>
      <w:proofErr w:type="spellEnd"/>
      <w:r>
        <w:rPr>
          <w:rFonts w:ascii="Arial" w:eastAsia="Arial" w:hAnsi="Arial" w:cs="Arial"/>
          <w:color w:val="000000"/>
        </w:rPr>
        <w:t xml:space="preserve"> et al., 2024).</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 are central to the processes</w:t>
      </w:r>
      <w:r>
        <w:rPr>
          <w:rFonts w:ascii="Arial" w:eastAsia="Arial" w:hAnsi="Arial" w:cs="Arial"/>
          <w:color w:val="000000"/>
        </w:rPr>
        <w:t xml:space="preserve"> of cellular survival and death, possessing their own distinct, small genome separate from the nuclear DNA (Liang et al., 2024). Mitochondrial DNA is highly effective for establishing the ancestry of diverse populations and represents a vital area of inves</w:t>
      </w:r>
      <w:r>
        <w:rPr>
          <w:rFonts w:ascii="Arial" w:eastAsia="Arial" w:hAnsi="Arial" w:cs="Arial"/>
          <w:color w:val="000000"/>
        </w:rPr>
        <w:t>tigation in disciplines including evolutionary anthropology, population genetics, medical genetics, genetic genealogy, and forensic science (</w:t>
      </w:r>
      <w:proofErr w:type="spellStart"/>
      <w:r>
        <w:rPr>
          <w:rFonts w:ascii="Arial" w:eastAsia="Arial" w:hAnsi="Arial" w:cs="Arial"/>
          <w:color w:val="000000"/>
        </w:rPr>
        <w:t>Pakendorf</w:t>
      </w:r>
      <w:proofErr w:type="spellEnd"/>
      <w:r>
        <w:rPr>
          <w:rFonts w:ascii="Arial" w:eastAsia="Arial" w:hAnsi="Arial" w:cs="Arial"/>
          <w:color w:val="000000"/>
        </w:rPr>
        <w:t xml:space="preserve"> and </w:t>
      </w:r>
      <w:proofErr w:type="spellStart"/>
      <w:r>
        <w:rPr>
          <w:rFonts w:ascii="Arial" w:eastAsia="Arial" w:hAnsi="Arial" w:cs="Arial"/>
          <w:color w:val="000000"/>
        </w:rPr>
        <w:t>Stoneking</w:t>
      </w:r>
      <w:proofErr w:type="spellEnd"/>
      <w:r>
        <w:rPr>
          <w:rFonts w:ascii="Arial" w:eastAsia="Arial" w:hAnsi="Arial" w:cs="Arial"/>
          <w:color w:val="000000"/>
        </w:rPr>
        <w:t>, 2005; Shriver and Kittles, 2004). Their main role is producing energy as ATP through the c</w:t>
      </w:r>
      <w:r>
        <w:rPr>
          <w:rFonts w:ascii="Arial" w:eastAsia="Arial" w:hAnsi="Arial" w:cs="Arial"/>
          <w:color w:val="000000"/>
        </w:rPr>
        <w:t>itric acid cycle and the oxidative phosphorylation system (OXPHOS). The widespread use of mitochondrial DNA in phylogeographical research stems from its key characteristics: strictly maternal inheritance, a consistent substitution rate resembling a molecul</w:t>
      </w:r>
      <w:r>
        <w:rPr>
          <w:rFonts w:ascii="Arial" w:eastAsia="Arial" w:hAnsi="Arial" w:cs="Arial"/>
          <w:color w:val="000000"/>
        </w:rPr>
        <w:t>ar clock, a high copy number, and an elevated mutation rate coupled with a lack of recombination (</w:t>
      </w:r>
      <w:proofErr w:type="spellStart"/>
      <w:r>
        <w:rPr>
          <w:rFonts w:ascii="Arial" w:eastAsia="Arial" w:hAnsi="Arial" w:cs="Arial"/>
          <w:color w:val="000000"/>
        </w:rPr>
        <w:t>Diwedi</w:t>
      </w:r>
      <w:proofErr w:type="spellEnd"/>
      <w:r>
        <w:rPr>
          <w:rFonts w:ascii="Arial" w:eastAsia="Arial" w:hAnsi="Arial" w:cs="Arial"/>
          <w:color w:val="000000"/>
        </w:rPr>
        <w:t xml:space="preserve"> et al., 2020).</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 are also involved in the biosynthesis of many metabolites, such as pyrimidines, amino acids, or cellular iron-sulfur clust</w:t>
      </w:r>
      <w:r>
        <w:rPr>
          <w:rFonts w:ascii="Arial" w:eastAsia="Arial" w:hAnsi="Arial" w:cs="Arial"/>
          <w:color w:val="000000"/>
        </w:rPr>
        <w:t xml:space="preserve">er proteins (Bereiter-Hahn, 1990; </w:t>
      </w:r>
      <w:proofErr w:type="spellStart"/>
      <w:r>
        <w:rPr>
          <w:rFonts w:ascii="Arial" w:eastAsia="Arial" w:hAnsi="Arial" w:cs="Arial"/>
          <w:color w:val="000000"/>
        </w:rPr>
        <w:t>Lill</w:t>
      </w:r>
      <w:proofErr w:type="spellEnd"/>
      <w:r>
        <w:rPr>
          <w:rFonts w:ascii="Arial" w:eastAsia="Arial" w:hAnsi="Arial" w:cs="Arial"/>
          <w:color w:val="000000"/>
        </w:rPr>
        <w:t xml:space="preserve"> et al., 1999). ATP synthesis occurs through the process of oxidative phosphorylation (OXPHOS) via the respiratory or electron transport chain (ETC), located in the inner mitochondrial membrane and composed of five pro</w:t>
      </w:r>
      <w:r>
        <w:rPr>
          <w:rFonts w:ascii="Arial" w:eastAsia="Arial" w:hAnsi="Arial" w:cs="Arial"/>
          <w:color w:val="000000"/>
        </w:rPr>
        <w:t>tein complexes (</w:t>
      </w:r>
      <w:proofErr w:type="spellStart"/>
      <w:r>
        <w:rPr>
          <w:rFonts w:ascii="Arial" w:eastAsia="Arial" w:hAnsi="Arial" w:cs="Arial"/>
          <w:color w:val="000000"/>
        </w:rPr>
        <w:t>Zapico</w:t>
      </w:r>
      <w:proofErr w:type="spellEnd"/>
      <w:r>
        <w:rPr>
          <w:rFonts w:ascii="Arial" w:eastAsia="Arial" w:hAnsi="Arial" w:cs="Arial"/>
          <w:color w:val="000000"/>
        </w:rPr>
        <w:t xml:space="preserve"> and </w:t>
      </w:r>
      <w:proofErr w:type="spellStart"/>
      <w:r>
        <w:rPr>
          <w:rFonts w:ascii="Arial" w:eastAsia="Arial" w:hAnsi="Arial" w:cs="Arial"/>
          <w:color w:val="000000"/>
        </w:rPr>
        <w:t>Ubelaker</w:t>
      </w:r>
      <w:proofErr w:type="spellEnd"/>
      <w:r>
        <w:rPr>
          <w:rFonts w:ascii="Arial" w:eastAsia="Arial" w:hAnsi="Arial" w:cs="Arial"/>
          <w:color w:val="000000"/>
        </w:rPr>
        <w:t xml:space="preserve">, 2013). Dysfunction in OXPHOS leads to increased production of reactive oxygen species </w:t>
      </w:r>
      <w:r>
        <w:rPr>
          <w:rFonts w:ascii="Arial" w:eastAsia="Arial" w:hAnsi="Arial" w:cs="Arial"/>
          <w:color w:val="000000"/>
        </w:rPr>
        <w:lastRenderedPageBreak/>
        <w:t>(ROS) (</w:t>
      </w:r>
      <w:proofErr w:type="spellStart"/>
      <w:r>
        <w:rPr>
          <w:rFonts w:ascii="Arial" w:eastAsia="Arial" w:hAnsi="Arial" w:cs="Arial"/>
          <w:color w:val="000000"/>
        </w:rPr>
        <w:t>Camello</w:t>
      </w:r>
      <w:proofErr w:type="spellEnd"/>
      <w:r>
        <w:rPr>
          <w:rFonts w:ascii="Arial" w:eastAsia="Arial" w:hAnsi="Arial" w:cs="Arial"/>
          <w:color w:val="000000"/>
        </w:rPr>
        <w:t>-Almaraz et al., 2006), and mitochondria control the cell's ability to generate and detoxify ROS (Nicholls et al., 2003</w:t>
      </w:r>
      <w:r>
        <w:rPr>
          <w:rFonts w:ascii="Arial" w:eastAsia="Arial" w:hAnsi="Arial" w:cs="Arial"/>
          <w:color w:val="000000"/>
        </w:rPr>
        <w:t>).</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The importance of this study lies in highlighting the increasing role of mitochondrial DNA in understanding diseases and developing diagnostic and criminal investigation techniques. With the rising mortality and losses caused by mitochondrial-related g</w:t>
      </w:r>
      <w:r>
        <w:rPr>
          <w:rFonts w:ascii="Arial" w:eastAsia="Arial" w:hAnsi="Arial" w:cs="Arial"/>
          <w:color w:val="000000"/>
        </w:rPr>
        <w:t>enetic diseases, research in this area becomes crucial for developing more accurate and effective therapeutic and diagnostic solutions. For example, these studies can contribute to identifying individuals at risk of certain diseases or understanding drug r</w:t>
      </w:r>
      <w:r>
        <w:rPr>
          <w:rFonts w:ascii="Arial" w:eastAsia="Arial" w:hAnsi="Arial" w:cs="Arial"/>
          <w:color w:val="000000"/>
        </w:rPr>
        <w:t>esistance mechanisms (Gorman et al., 2015).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Traditional solutions in identification and medical diagnosis show limitations, especially when dealing with degraded samples or small amounts of DNA. In contrast, recent studies on mitochondrial DNA offer innov</w:t>
      </w:r>
      <w:r>
        <w:rPr>
          <w:rFonts w:ascii="Arial" w:eastAsia="Arial" w:hAnsi="Arial" w:cs="Arial"/>
          <w:color w:val="000000"/>
        </w:rPr>
        <w:t xml:space="preserve">ative solutions due to its unique characteristics, such as high copy number and maternal inheritance, making it ideal for </w:t>
      </w:r>
      <w:proofErr w:type="spellStart"/>
      <w:r>
        <w:rPr>
          <w:rFonts w:ascii="Arial" w:eastAsia="Arial" w:hAnsi="Arial" w:cs="Arial"/>
          <w:color w:val="000000"/>
        </w:rPr>
        <w:t>analysing</w:t>
      </w:r>
      <w:proofErr w:type="spellEnd"/>
      <w:r>
        <w:rPr>
          <w:rFonts w:ascii="Arial" w:eastAsia="Arial" w:hAnsi="Arial" w:cs="Arial"/>
          <w:color w:val="000000"/>
        </w:rPr>
        <w:t xml:space="preserve"> challenging samples (Amorim et al., 2019). This comparison highlights the feasibility of adopting modern mitochondrial DNA-b</w:t>
      </w:r>
      <w:r>
        <w:rPr>
          <w:rFonts w:ascii="Arial" w:eastAsia="Arial" w:hAnsi="Arial" w:cs="Arial"/>
          <w:color w:val="000000"/>
        </w:rPr>
        <w:t>ased technologies.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Previous studies have addressed various aspects of mitochondrial DNA. For instance, a study by </w:t>
      </w:r>
      <w:proofErr w:type="spellStart"/>
      <w:r>
        <w:rPr>
          <w:rFonts w:ascii="Arial" w:eastAsia="Arial" w:hAnsi="Arial" w:cs="Arial"/>
          <w:color w:val="000000"/>
        </w:rPr>
        <w:t>Pakendorf</w:t>
      </w:r>
      <w:proofErr w:type="spellEnd"/>
      <w:r>
        <w:rPr>
          <w:rFonts w:ascii="Arial" w:eastAsia="Arial" w:hAnsi="Arial" w:cs="Arial"/>
          <w:color w:val="000000"/>
        </w:rPr>
        <w:t xml:space="preserve"> and </w:t>
      </w:r>
      <w:proofErr w:type="spellStart"/>
      <w:r>
        <w:rPr>
          <w:rFonts w:ascii="Arial" w:eastAsia="Arial" w:hAnsi="Arial" w:cs="Arial"/>
          <w:color w:val="000000"/>
        </w:rPr>
        <w:t>Stoneking</w:t>
      </w:r>
      <w:proofErr w:type="spellEnd"/>
      <w:r>
        <w:rPr>
          <w:rFonts w:ascii="Arial" w:eastAsia="Arial" w:hAnsi="Arial" w:cs="Arial"/>
          <w:color w:val="000000"/>
        </w:rPr>
        <w:t xml:space="preserve"> (2005) focused on using </w:t>
      </w:r>
      <w:proofErr w:type="spellStart"/>
      <w:r>
        <w:rPr>
          <w:rFonts w:ascii="Arial" w:eastAsia="Arial" w:hAnsi="Arial" w:cs="Arial"/>
          <w:color w:val="000000"/>
        </w:rPr>
        <w:t>mtDNA</w:t>
      </w:r>
      <w:proofErr w:type="spellEnd"/>
      <w:r>
        <w:rPr>
          <w:rFonts w:ascii="Arial" w:eastAsia="Arial" w:hAnsi="Arial" w:cs="Arial"/>
          <w:color w:val="000000"/>
        </w:rPr>
        <w:t xml:space="preserve"> to determine the origins of populations, while a study by </w:t>
      </w:r>
      <w:proofErr w:type="spellStart"/>
      <w:r>
        <w:rPr>
          <w:rFonts w:ascii="Arial" w:eastAsia="Arial" w:hAnsi="Arial" w:cs="Arial"/>
          <w:color w:val="000000"/>
        </w:rPr>
        <w:t>Galtier</w:t>
      </w:r>
      <w:proofErr w:type="spellEnd"/>
      <w:r>
        <w:rPr>
          <w:rFonts w:ascii="Arial" w:eastAsia="Arial" w:hAnsi="Arial" w:cs="Arial"/>
          <w:color w:val="000000"/>
        </w:rPr>
        <w:t xml:space="preserve"> et al. (2009) investigated the use of </w:t>
      </w:r>
      <w:proofErr w:type="spellStart"/>
      <w:r>
        <w:rPr>
          <w:rFonts w:ascii="Arial" w:eastAsia="Arial" w:hAnsi="Arial" w:cs="Arial"/>
          <w:color w:val="000000"/>
        </w:rPr>
        <w:t>mtD</w:t>
      </w:r>
      <w:r>
        <w:rPr>
          <w:rFonts w:ascii="Arial" w:eastAsia="Arial" w:hAnsi="Arial" w:cs="Arial"/>
          <w:color w:val="000000"/>
        </w:rPr>
        <w:t>NA</w:t>
      </w:r>
      <w:proofErr w:type="spellEnd"/>
      <w:r>
        <w:rPr>
          <w:rFonts w:ascii="Arial" w:eastAsia="Arial" w:hAnsi="Arial" w:cs="Arial"/>
          <w:color w:val="000000"/>
        </w:rPr>
        <w:t xml:space="preserve"> genes as molecular markers in molecular ecology. These studies pave the way for a deeper understanding and broader applications of mitochondrial DNA.</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This current study aims to provide a comprehensive and updated review of the latest developments in un</w:t>
      </w:r>
      <w:r>
        <w:rPr>
          <w:rFonts w:ascii="Arial" w:eastAsia="Arial" w:hAnsi="Arial" w:cs="Arial"/>
          <w:color w:val="000000"/>
        </w:rPr>
        <w:t xml:space="preserve">derstanding mitochondrial DNA and its applications, with a focus on aspects not sufficiently explored in previous studies. It also aims to clarify how technologies like Next-Generation Sequencing (NGS) can </w:t>
      </w:r>
      <w:proofErr w:type="spellStart"/>
      <w:r>
        <w:rPr>
          <w:rFonts w:ascii="Arial" w:eastAsia="Arial" w:hAnsi="Arial" w:cs="Arial"/>
          <w:color w:val="000000"/>
        </w:rPr>
        <w:t>revolutionise</w:t>
      </w:r>
      <w:proofErr w:type="spellEnd"/>
      <w:r>
        <w:rPr>
          <w:rFonts w:ascii="Arial" w:eastAsia="Arial" w:hAnsi="Arial" w:cs="Arial"/>
          <w:color w:val="000000"/>
        </w:rPr>
        <w:t xml:space="preserve"> the fields of forensic medicine and </w:t>
      </w:r>
      <w:r>
        <w:rPr>
          <w:rFonts w:ascii="Arial" w:eastAsia="Arial" w:hAnsi="Arial" w:cs="Arial"/>
          <w:color w:val="000000"/>
        </w:rPr>
        <w:t>medical diagnosis, providing a reference framework for researchers and practitioners in these areas.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 Mitochondria</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Mitochondria are organelles enclosed by a double membrane and are present in the majority of eukaryotic cells. They are widely known as </w:t>
      </w:r>
      <w:r>
        <w:rPr>
          <w:rFonts w:ascii="Arial" w:eastAsia="Arial" w:hAnsi="Arial" w:cs="Arial"/>
          <w:color w:val="000000"/>
        </w:rPr>
        <w:t xml:space="preserve">the cell's 'power plants' due to their function in generating ATP via oxidative phosphorylation, but they also execute several other cellular tasks, including the biosynthesis of amino acids and steroids, $\beta$-oxidation of fatty acids, </w:t>
      </w:r>
      <w:proofErr w:type="spellStart"/>
      <w:r>
        <w:rPr>
          <w:rFonts w:ascii="Arial" w:eastAsia="Arial" w:hAnsi="Arial" w:cs="Arial"/>
          <w:color w:val="000000"/>
        </w:rPr>
        <w:t>FeS</w:t>
      </w:r>
      <w:proofErr w:type="spellEnd"/>
      <w:r>
        <w:rPr>
          <w:rFonts w:ascii="Arial" w:eastAsia="Arial" w:hAnsi="Arial" w:cs="Arial"/>
          <w:color w:val="000000"/>
        </w:rPr>
        <w:t xml:space="preserve"> metabolism, a</w:t>
      </w:r>
      <w:r>
        <w:rPr>
          <w:rFonts w:ascii="Arial" w:eastAsia="Arial" w:hAnsi="Arial" w:cs="Arial"/>
          <w:color w:val="000000"/>
        </w:rPr>
        <w:t xml:space="preserve">nd the induction of apoptosis (Lavrov and </w:t>
      </w:r>
      <w:proofErr w:type="spellStart"/>
      <w:r>
        <w:rPr>
          <w:rFonts w:ascii="Arial" w:eastAsia="Arial" w:hAnsi="Arial" w:cs="Arial"/>
          <w:color w:val="000000"/>
        </w:rPr>
        <w:t>Pett</w:t>
      </w:r>
      <w:proofErr w:type="spellEnd"/>
      <w:r>
        <w:rPr>
          <w:rFonts w:ascii="Arial" w:eastAsia="Arial" w:hAnsi="Arial" w:cs="Arial"/>
          <w:color w:val="000000"/>
        </w:rPr>
        <w:t xml:space="preserve">, 2016). The number of </w:t>
      </w:r>
      <w:proofErr w:type="spellStart"/>
      <w:r>
        <w:rPr>
          <w:rFonts w:ascii="Arial" w:eastAsia="Arial" w:hAnsi="Arial" w:cs="Arial"/>
          <w:color w:val="000000"/>
        </w:rPr>
        <w:t>mtDNA</w:t>
      </w:r>
      <w:proofErr w:type="spellEnd"/>
      <w:r>
        <w:rPr>
          <w:rFonts w:ascii="Arial" w:eastAsia="Arial" w:hAnsi="Arial" w:cs="Arial"/>
          <w:color w:val="000000"/>
        </w:rPr>
        <w:t xml:space="preserve"> copies per mitochondrion and the total mitochondria count per cell is cell-type dependent. Specifically, each mitochondrion typically holds 2–10 </w:t>
      </w:r>
      <w:proofErr w:type="spellStart"/>
      <w:r>
        <w:rPr>
          <w:rFonts w:ascii="Arial" w:eastAsia="Arial" w:hAnsi="Arial" w:cs="Arial"/>
          <w:color w:val="000000"/>
        </w:rPr>
        <w:t>mtDNA</w:t>
      </w:r>
      <w:proofErr w:type="spellEnd"/>
      <w:r>
        <w:rPr>
          <w:rFonts w:ascii="Arial" w:eastAsia="Arial" w:hAnsi="Arial" w:cs="Arial"/>
          <w:color w:val="000000"/>
        </w:rPr>
        <w:t xml:space="preserve"> copies, and a cell can contain</w:t>
      </w:r>
      <w:r>
        <w:rPr>
          <w:rFonts w:ascii="Arial" w:eastAsia="Arial" w:hAnsi="Arial" w:cs="Arial"/>
          <w:color w:val="000000"/>
        </w:rPr>
        <w:t xml:space="preserve"> between hundreds and thousands of mitochondria (Manuscript, 2014). These organelles are pivotal to the cycle of cellular life and death and possess a small genome, </w:t>
      </w:r>
      <w:proofErr w:type="spellStart"/>
      <w:r>
        <w:rPr>
          <w:rFonts w:ascii="Arial" w:eastAsia="Arial" w:hAnsi="Arial" w:cs="Arial"/>
          <w:color w:val="000000"/>
        </w:rPr>
        <w:t>mtDNA</w:t>
      </w:r>
      <w:proofErr w:type="spellEnd"/>
      <w:r>
        <w:rPr>
          <w:rFonts w:ascii="Arial" w:eastAsia="Arial" w:hAnsi="Arial" w:cs="Arial"/>
          <w:color w:val="000000"/>
        </w:rPr>
        <w:t>, that is distinct from the nuclear DNA. Mitochondrial DNA serves as an effective inst</w:t>
      </w:r>
      <w:r>
        <w:rPr>
          <w:rFonts w:ascii="Arial" w:eastAsia="Arial" w:hAnsi="Arial" w:cs="Arial"/>
          <w:color w:val="000000"/>
        </w:rPr>
        <w:t>rument for ascertaining the geographic origins of various populations. It constitutes a key area of investigation in diverse fields such as evolutionary anthropology, population genetics, medical genetics, genetic genealogy, and forensic science (</w:t>
      </w:r>
      <w:proofErr w:type="spellStart"/>
      <w:r>
        <w:rPr>
          <w:rFonts w:ascii="Arial" w:eastAsia="Arial" w:hAnsi="Arial" w:cs="Arial"/>
          <w:color w:val="000000"/>
        </w:rPr>
        <w:t>Pakendorf</w:t>
      </w:r>
      <w:proofErr w:type="spellEnd"/>
      <w:r>
        <w:rPr>
          <w:rFonts w:ascii="Arial" w:eastAsia="Arial" w:hAnsi="Arial" w:cs="Arial"/>
          <w:color w:val="000000"/>
        </w:rPr>
        <w:t xml:space="preserve"> and </w:t>
      </w:r>
      <w:proofErr w:type="spellStart"/>
      <w:r>
        <w:rPr>
          <w:rFonts w:ascii="Arial" w:eastAsia="Arial" w:hAnsi="Arial" w:cs="Arial"/>
          <w:color w:val="000000"/>
        </w:rPr>
        <w:t>Stoneking</w:t>
      </w:r>
      <w:proofErr w:type="spellEnd"/>
      <w:r>
        <w:rPr>
          <w:rFonts w:ascii="Arial" w:eastAsia="Arial" w:hAnsi="Arial" w:cs="Arial"/>
          <w:color w:val="000000"/>
        </w:rPr>
        <w:t xml:space="preserve"> 2005; Shriver and Kittles, 2004). While their primary role is energy synthesis in the form of ATP through the citric acid cycle and the oxidative phosphorylation system (OXPHOS), they additionally participate in the production of various met</w:t>
      </w:r>
      <w:r>
        <w:rPr>
          <w:rFonts w:ascii="Arial" w:eastAsia="Arial" w:hAnsi="Arial" w:cs="Arial"/>
          <w:color w:val="000000"/>
        </w:rPr>
        <w:t xml:space="preserve">abolites, such as pyrimidines, amino acids, or cellular iron-sulfur cluster proteins (Bereiter-Hahn, 1990; </w:t>
      </w:r>
      <w:proofErr w:type="spellStart"/>
      <w:r>
        <w:rPr>
          <w:rFonts w:ascii="Arial" w:eastAsia="Arial" w:hAnsi="Arial" w:cs="Arial"/>
          <w:color w:val="000000"/>
        </w:rPr>
        <w:t>Lill</w:t>
      </w:r>
      <w:proofErr w:type="spellEnd"/>
      <w:r>
        <w:rPr>
          <w:rFonts w:ascii="Arial" w:eastAsia="Arial" w:hAnsi="Arial" w:cs="Arial"/>
          <w:color w:val="000000"/>
        </w:rPr>
        <w:t xml:space="preserve"> et al., 1999). ATP is synthesized through oxidative phosphorylation (OXPHOS) within the respiratory or electron transport chain (ETC), which is </w:t>
      </w:r>
      <w:r>
        <w:rPr>
          <w:rFonts w:ascii="Arial" w:eastAsia="Arial" w:hAnsi="Arial" w:cs="Arial"/>
          <w:color w:val="000000"/>
        </w:rPr>
        <w:t>situated in the inner mitochondrial membrane and comprises five protein complexes (</w:t>
      </w:r>
      <w:proofErr w:type="spellStart"/>
      <w:r>
        <w:rPr>
          <w:rFonts w:ascii="Arial" w:eastAsia="Arial" w:hAnsi="Arial" w:cs="Arial"/>
          <w:color w:val="000000"/>
        </w:rPr>
        <w:t>Zapico</w:t>
      </w:r>
      <w:proofErr w:type="spellEnd"/>
      <w:r>
        <w:rPr>
          <w:rFonts w:ascii="Arial" w:eastAsia="Arial" w:hAnsi="Arial" w:cs="Arial"/>
          <w:color w:val="000000"/>
        </w:rPr>
        <w:t xml:space="preserve"> and </w:t>
      </w:r>
      <w:proofErr w:type="spellStart"/>
      <w:r>
        <w:rPr>
          <w:rFonts w:ascii="Arial" w:eastAsia="Arial" w:hAnsi="Arial" w:cs="Arial"/>
          <w:color w:val="000000"/>
        </w:rPr>
        <w:t>Ubelaker</w:t>
      </w:r>
      <w:proofErr w:type="spellEnd"/>
      <w:r>
        <w:rPr>
          <w:rFonts w:ascii="Arial" w:eastAsia="Arial" w:hAnsi="Arial" w:cs="Arial"/>
          <w:color w:val="000000"/>
        </w:rPr>
        <w:t>, 2013).</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2.2 Mitochondrial DNA Genome</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The genetic regulation of mitochondria is overseen by both the mitochondrial and nuclear genomes. The mitochondria</w:t>
      </w:r>
      <w:r>
        <w:rPr>
          <w:rFonts w:ascii="Arial" w:eastAsia="Arial" w:hAnsi="Arial" w:cs="Arial"/>
          <w:color w:val="000000"/>
        </w:rPr>
        <w:t>l genome is composed of numerous copies of the double-stranded mitochondrial DNA (</w:t>
      </w:r>
      <w:proofErr w:type="spellStart"/>
      <w:r>
        <w:rPr>
          <w:rFonts w:ascii="Arial" w:eastAsia="Arial" w:hAnsi="Arial" w:cs="Arial"/>
          <w:color w:val="000000"/>
        </w:rPr>
        <w:t>mtDNA</w:t>
      </w:r>
      <w:proofErr w:type="spellEnd"/>
      <w:r>
        <w:rPr>
          <w:rFonts w:ascii="Arial" w:eastAsia="Arial" w:hAnsi="Arial" w:cs="Arial"/>
          <w:color w:val="000000"/>
        </w:rPr>
        <w:t>) molecule, which is 16,569 base pairs long and is situated near the OXPHOS system within the matrix (</w:t>
      </w:r>
      <w:proofErr w:type="spellStart"/>
      <w:r>
        <w:rPr>
          <w:rFonts w:ascii="Arial" w:eastAsia="Arial" w:hAnsi="Arial" w:cs="Arial"/>
          <w:color w:val="000000"/>
        </w:rPr>
        <w:t>Shiau</w:t>
      </w:r>
      <w:proofErr w:type="spellEnd"/>
      <w:r>
        <w:rPr>
          <w:rFonts w:ascii="Arial" w:eastAsia="Arial" w:hAnsi="Arial" w:cs="Arial"/>
          <w:color w:val="000000"/>
        </w:rPr>
        <w:t xml:space="preserve"> and Doug, 2016). A </w:t>
      </w:r>
      <w:r>
        <w:rPr>
          <w:rFonts w:ascii="Arial" w:eastAsia="Arial" w:hAnsi="Arial" w:cs="Arial"/>
          <w:color w:val="000000"/>
        </w:rPr>
        <w:lastRenderedPageBreak/>
        <w:t>strong collaborative relationship exists b</w:t>
      </w:r>
      <w:r>
        <w:rPr>
          <w:rFonts w:ascii="Arial" w:eastAsia="Arial" w:hAnsi="Arial" w:cs="Arial"/>
          <w:color w:val="000000"/>
        </w:rPr>
        <w:t xml:space="preserve">etween the mitochondrial and nuclear genomes in encoding the subunits for the various electron transport system (ETS) complexes: Complex I (CI) subunits—seven in total (ND1, ND2, ND3, ND4, ND4L, ND5, ND6)—are encoded by the </w:t>
      </w:r>
      <w:proofErr w:type="spellStart"/>
      <w:r>
        <w:rPr>
          <w:rFonts w:ascii="Arial" w:eastAsia="Arial" w:hAnsi="Arial" w:cs="Arial"/>
          <w:color w:val="000000"/>
        </w:rPr>
        <w:t>mtDNA</w:t>
      </w:r>
      <w:proofErr w:type="spellEnd"/>
      <w:r>
        <w:rPr>
          <w:rFonts w:ascii="Arial" w:eastAsia="Arial" w:hAnsi="Arial" w:cs="Arial"/>
          <w:color w:val="000000"/>
        </w:rPr>
        <w:t>; Complex II (CII) is solel</w:t>
      </w:r>
      <w:r>
        <w:rPr>
          <w:rFonts w:ascii="Arial" w:eastAsia="Arial" w:hAnsi="Arial" w:cs="Arial"/>
          <w:color w:val="000000"/>
        </w:rPr>
        <w:t>y encoded by the nuclear DNA; Complex III (CIII) includes cytochrome b (</w:t>
      </w:r>
      <w:proofErr w:type="spellStart"/>
      <w:r>
        <w:rPr>
          <w:rFonts w:ascii="Arial" w:eastAsia="Arial" w:hAnsi="Arial" w:cs="Arial"/>
          <w:color w:val="000000"/>
        </w:rPr>
        <w:t>cyt</w:t>
      </w:r>
      <w:proofErr w:type="spellEnd"/>
      <w:r>
        <w:rPr>
          <w:rFonts w:ascii="Arial" w:eastAsia="Arial" w:hAnsi="Arial" w:cs="Arial"/>
          <w:color w:val="000000"/>
        </w:rPr>
        <w:t xml:space="preserve"> b), a single mitochondrial subunit; Complex IV has three subunits (COI, COII, COIII) encoded by the </w:t>
      </w:r>
      <w:proofErr w:type="spellStart"/>
      <w:r>
        <w:rPr>
          <w:rFonts w:ascii="Arial" w:eastAsia="Arial" w:hAnsi="Arial" w:cs="Arial"/>
          <w:color w:val="000000"/>
        </w:rPr>
        <w:t>mtDNA</w:t>
      </w:r>
      <w:proofErr w:type="spellEnd"/>
      <w:r>
        <w:rPr>
          <w:rFonts w:ascii="Arial" w:eastAsia="Arial" w:hAnsi="Arial" w:cs="Arial"/>
          <w:color w:val="000000"/>
        </w:rPr>
        <w:t>; and Complex V is also partially encoded by the mitochondria with two subu</w:t>
      </w:r>
      <w:r>
        <w:rPr>
          <w:rFonts w:ascii="Arial" w:eastAsia="Arial" w:hAnsi="Arial" w:cs="Arial"/>
          <w:color w:val="000000"/>
        </w:rPr>
        <w:t>nits.</w:t>
      </w:r>
    </w:p>
    <w:p w:rsidR="003A6FE9" w:rsidRDefault="00150C36">
      <w:pPr>
        <w:widowControl w:val="0"/>
        <w:spacing w:line="240" w:lineRule="auto"/>
        <w:ind w:left="0" w:right="142" w:firstLine="0"/>
        <w:jc w:val="center"/>
        <w:rPr>
          <w:rFonts w:ascii="Arial" w:eastAsia="Arial" w:hAnsi="Arial" w:cs="Arial"/>
          <w:color w:val="000000"/>
        </w:rPr>
      </w:pPr>
      <w:r>
        <w:rPr>
          <w:noProof/>
        </w:rPr>
        <w:drawing>
          <wp:inline distT="0" distB="0" distL="0" distR="0">
            <wp:extent cx="4448175" cy="3314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48175" cy="3314700"/>
                    </a:xfrm>
                    <a:prstGeom prst="rect">
                      <a:avLst/>
                    </a:prstGeom>
                    <a:ln/>
                  </pic:spPr>
                </pic:pic>
              </a:graphicData>
            </a:graphic>
          </wp:inline>
        </w:drawing>
      </w: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Figure (1) </w:t>
      </w:r>
      <w:proofErr w:type="spellStart"/>
      <w:r>
        <w:rPr>
          <w:rFonts w:ascii="Arial" w:eastAsia="Arial" w:hAnsi="Arial" w:cs="Arial"/>
          <w:b/>
          <w:bCs/>
          <w:color w:val="000000"/>
        </w:rPr>
        <w:t>Organisation</w:t>
      </w:r>
      <w:proofErr w:type="spellEnd"/>
      <w:r>
        <w:rPr>
          <w:rFonts w:ascii="Arial" w:eastAsia="Arial" w:hAnsi="Arial" w:cs="Arial"/>
          <w:b/>
          <w:bCs/>
          <w:color w:val="000000"/>
        </w:rPr>
        <w:t xml:space="preserve"> the Human Mitochondrial Genome (Wai and Bachelor, 2018).</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2.3 Control Region of </w:t>
      </w:r>
      <w:proofErr w:type="spellStart"/>
      <w:r>
        <w:rPr>
          <w:rFonts w:ascii="Arial" w:eastAsia="Arial" w:hAnsi="Arial" w:cs="Arial"/>
          <w:b/>
          <w:bCs/>
          <w:color w:val="000000"/>
        </w:rPr>
        <w:t>mtDNA</w:t>
      </w:r>
      <w:proofErr w:type="spellEnd"/>
      <w:r>
        <w:rPr>
          <w:rFonts w:ascii="Arial" w:eastAsia="Arial" w:hAnsi="Arial" w:cs="Arial"/>
          <w:b/>
          <w:bCs/>
          <w:color w:val="000000"/>
        </w:rPr>
        <w:t xml:space="preserve"> D-Loop</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function of OXPHOS can be compromised by damage to </w:t>
      </w:r>
      <w:proofErr w:type="spellStart"/>
      <w:r>
        <w:rPr>
          <w:rFonts w:ascii="Arial" w:eastAsia="Arial" w:hAnsi="Arial" w:cs="Arial"/>
          <w:color w:val="000000"/>
        </w:rPr>
        <w:t>mtDNA</w:t>
      </w:r>
      <w:proofErr w:type="spellEnd"/>
      <w:r>
        <w:rPr>
          <w:rFonts w:ascii="Arial" w:eastAsia="Arial" w:hAnsi="Arial" w:cs="Arial"/>
          <w:color w:val="000000"/>
        </w:rPr>
        <w:t xml:space="preserve"> or alterations in its copy number. The susceptibility of </w:t>
      </w:r>
      <w:proofErr w:type="spellStart"/>
      <w:r>
        <w:rPr>
          <w:rFonts w:ascii="Arial" w:eastAsia="Arial" w:hAnsi="Arial" w:cs="Arial"/>
          <w:color w:val="000000"/>
        </w:rPr>
        <w:t>mtDNA</w:t>
      </w:r>
      <w:proofErr w:type="spellEnd"/>
      <w:r>
        <w:rPr>
          <w:rFonts w:ascii="Arial" w:eastAsia="Arial" w:hAnsi="Arial" w:cs="Arial"/>
          <w:color w:val="000000"/>
        </w:rPr>
        <w:t xml:space="preserve"> to dam</w:t>
      </w:r>
      <w:r>
        <w:rPr>
          <w:rFonts w:ascii="Arial" w:eastAsia="Arial" w:hAnsi="Arial" w:cs="Arial"/>
          <w:color w:val="000000"/>
        </w:rPr>
        <w:t xml:space="preserve">age, and consequently to mutations, is heightened by numerous contributing factors. During the replication process, </w:t>
      </w:r>
      <w:proofErr w:type="spellStart"/>
      <w:r>
        <w:rPr>
          <w:rFonts w:ascii="Arial" w:eastAsia="Arial" w:hAnsi="Arial" w:cs="Arial"/>
          <w:color w:val="000000"/>
        </w:rPr>
        <w:t>mtDNA</w:t>
      </w:r>
      <w:proofErr w:type="spellEnd"/>
      <w:r>
        <w:rPr>
          <w:rFonts w:ascii="Arial" w:eastAsia="Arial" w:hAnsi="Arial" w:cs="Arial"/>
          <w:color w:val="000000"/>
        </w:rPr>
        <w:t xml:space="preserve"> features a brief triple-stranded DNA formation, termed the D-loop, where one strand of the </w:t>
      </w:r>
      <w:proofErr w:type="spellStart"/>
      <w:r>
        <w:rPr>
          <w:rFonts w:ascii="Arial" w:eastAsia="Arial" w:hAnsi="Arial" w:cs="Arial"/>
          <w:color w:val="000000"/>
        </w:rPr>
        <w:t>mtDNA</w:t>
      </w:r>
      <w:proofErr w:type="spellEnd"/>
      <w:r>
        <w:rPr>
          <w:rFonts w:ascii="Arial" w:eastAsia="Arial" w:hAnsi="Arial" w:cs="Arial"/>
          <w:color w:val="000000"/>
        </w:rPr>
        <w:t xml:space="preserve"> is temporarily displaced (Manuscript,</w:t>
      </w:r>
      <w:r>
        <w:rPr>
          <w:rFonts w:ascii="Arial" w:eastAsia="Arial" w:hAnsi="Arial" w:cs="Arial"/>
          <w:color w:val="000000"/>
        </w:rPr>
        <w:t xml:space="preserve"> 2014). The control region, also known as the D-loop, is the most variable segment of the </w:t>
      </w:r>
      <w:proofErr w:type="spellStart"/>
      <w:r>
        <w:rPr>
          <w:rFonts w:ascii="Arial" w:eastAsia="Arial" w:hAnsi="Arial" w:cs="Arial"/>
          <w:color w:val="000000"/>
        </w:rPr>
        <w:t>mtDNA</w:t>
      </w:r>
      <w:proofErr w:type="spellEnd"/>
      <w:r>
        <w:rPr>
          <w:rFonts w:ascii="Arial" w:eastAsia="Arial" w:hAnsi="Arial" w:cs="Arial"/>
          <w:color w:val="000000"/>
        </w:rPr>
        <w:t>. As the largest non-</w:t>
      </w:r>
      <w:r>
        <w:rPr>
          <w:rFonts w:ascii="Arial" w:eastAsia="Arial" w:hAnsi="Arial" w:cs="Arial"/>
          <w:color w:val="000000"/>
        </w:rPr>
        <w:lastRenderedPageBreak/>
        <w:t xml:space="preserve">coding section of the </w:t>
      </w:r>
      <w:proofErr w:type="spellStart"/>
      <w:r>
        <w:rPr>
          <w:rFonts w:ascii="Arial" w:eastAsia="Arial" w:hAnsi="Arial" w:cs="Arial"/>
          <w:color w:val="000000"/>
        </w:rPr>
        <w:t>mtDNA</w:t>
      </w:r>
      <w:proofErr w:type="spellEnd"/>
      <w:r>
        <w:rPr>
          <w:rFonts w:ascii="Arial" w:eastAsia="Arial" w:hAnsi="Arial" w:cs="Arial"/>
          <w:color w:val="000000"/>
        </w:rPr>
        <w:t>, it is instrumental in governing and initiating both replication and transcription. The control region's most po</w:t>
      </w:r>
      <w:r>
        <w:rPr>
          <w:rFonts w:ascii="Arial" w:eastAsia="Arial" w:hAnsi="Arial" w:cs="Arial"/>
          <w:color w:val="000000"/>
        </w:rPr>
        <w:t xml:space="preserve">lymorphic sequences are Hypervariable Segment I (HVS I) and Hypervariable Segment II (HVS II). These segments are frequently studied in research concerning population origins and human evolutionary history (Tully et al., 2000; </w:t>
      </w:r>
      <w:proofErr w:type="spellStart"/>
      <w:r>
        <w:rPr>
          <w:rFonts w:ascii="Arial" w:eastAsia="Arial" w:hAnsi="Arial" w:cs="Arial"/>
          <w:color w:val="000000"/>
        </w:rPr>
        <w:t>Horai</w:t>
      </w:r>
      <w:proofErr w:type="spellEnd"/>
      <w:r>
        <w:rPr>
          <w:rFonts w:ascii="Arial" w:eastAsia="Arial" w:hAnsi="Arial" w:cs="Arial"/>
          <w:color w:val="000000"/>
        </w:rPr>
        <w:t xml:space="preserve"> et al., 1995).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2.4 Gen</w:t>
      </w:r>
      <w:r>
        <w:rPr>
          <w:rFonts w:ascii="Arial" w:eastAsia="Arial" w:hAnsi="Arial" w:cs="Arial"/>
          <w:b/>
          <w:bCs/>
          <w:color w:val="000000"/>
        </w:rPr>
        <w:t>e 12S and its uses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For ATP generation via oxidative phosphorylation to occur in all eukaryotes, </w:t>
      </w:r>
      <w:proofErr w:type="spellStart"/>
      <w:r>
        <w:rPr>
          <w:rFonts w:ascii="Arial" w:eastAsia="Arial" w:hAnsi="Arial" w:cs="Arial"/>
          <w:color w:val="000000"/>
        </w:rPr>
        <w:t>mtDNA</w:t>
      </w:r>
      <w:proofErr w:type="spellEnd"/>
      <w:r>
        <w:rPr>
          <w:rFonts w:ascii="Arial" w:eastAsia="Arial" w:hAnsi="Arial" w:cs="Arial"/>
          <w:color w:val="000000"/>
        </w:rPr>
        <w:t xml:space="preserve"> expression is indispensable. Mammalian </w:t>
      </w:r>
      <w:proofErr w:type="spellStart"/>
      <w:r>
        <w:rPr>
          <w:rFonts w:ascii="Arial" w:eastAsia="Arial" w:hAnsi="Arial" w:cs="Arial"/>
          <w:color w:val="000000"/>
        </w:rPr>
        <w:t>mtDNA</w:t>
      </w:r>
      <w:proofErr w:type="spellEnd"/>
      <w:r>
        <w:rPr>
          <w:rFonts w:ascii="Arial" w:eastAsia="Arial" w:hAnsi="Arial" w:cs="Arial"/>
          <w:color w:val="000000"/>
        </w:rPr>
        <w:t xml:space="preserve"> codes for 13 polypeptides, which are synthesized by mitochondrial ribosomes (MIT ribosomes) and are vital fo</w:t>
      </w:r>
      <w:r>
        <w:rPr>
          <w:rFonts w:ascii="Arial" w:eastAsia="Arial" w:hAnsi="Arial" w:cs="Arial"/>
          <w:color w:val="000000"/>
        </w:rPr>
        <w:t xml:space="preserve">r the oxidative phosphorylation process. The MIT ribosomes in mammals consist of the </w:t>
      </w:r>
      <w:proofErr w:type="spellStart"/>
      <w:r>
        <w:rPr>
          <w:rFonts w:ascii="Arial" w:eastAsia="Arial" w:hAnsi="Arial" w:cs="Arial"/>
          <w:color w:val="000000"/>
        </w:rPr>
        <w:t>mtDNA</w:t>
      </w:r>
      <w:proofErr w:type="spellEnd"/>
      <w:r>
        <w:rPr>
          <w:rFonts w:ascii="Arial" w:eastAsia="Arial" w:hAnsi="Arial" w:cs="Arial"/>
          <w:color w:val="000000"/>
        </w:rPr>
        <w:t>-encoded 12S and 16S rRNAs, alongside over one hundred distinct ribosomal proteins encoded by the nuclear genome. In bacterial systems, modifications to rRNA are impl</w:t>
      </w:r>
      <w:r>
        <w:rPr>
          <w:rFonts w:ascii="Arial" w:eastAsia="Arial" w:hAnsi="Arial" w:cs="Arial"/>
          <w:color w:val="000000"/>
        </w:rPr>
        <w:t>emented at specific stages of ribosomal assembly and contribute to rRNA processing, folding, and interactions with adjacent proteins (Grainne et al., 2015).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2.5 Mitochondrial DNA Copy Number</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estimated count of </w:t>
      </w:r>
      <w:proofErr w:type="spellStart"/>
      <w:r>
        <w:rPr>
          <w:rFonts w:ascii="Arial" w:eastAsia="Arial" w:hAnsi="Arial" w:cs="Arial"/>
          <w:color w:val="000000"/>
        </w:rPr>
        <w:t>mtDNA</w:t>
      </w:r>
      <w:proofErr w:type="spellEnd"/>
      <w:r>
        <w:rPr>
          <w:rFonts w:ascii="Arial" w:eastAsia="Arial" w:hAnsi="Arial" w:cs="Arial"/>
          <w:color w:val="000000"/>
        </w:rPr>
        <w:t xml:space="preserve"> copies per mitochondrion ranges from two to ten. The </w:t>
      </w:r>
      <w:proofErr w:type="spellStart"/>
      <w:r>
        <w:rPr>
          <w:rFonts w:ascii="Arial" w:eastAsia="Arial" w:hAnsi="Arial" w:cs="Arial"/>
          <w:color w:val="000000"/>
        </w:rPr>
        <w:t>mtDNA</w:t>
      </w:r>
      <w:proofErr w:type="spellEnd"/>
      <w:r>
        <w:rPr>
          <w:rFonts w:ascii="Arial" w:eastAsia="Arial" w:hAnsi="Arial" w:cs="Arial"/>
          <w:color w:val="000000"/>
        </w:rPr>
        <w:t xml:space="preserve"> is condensed into nucleoids, which are protein-DNA complexes. Each mitochondrion can house anywhere from one to over ten nucleoids. It is hypothesized that nucleoids re</w:t>
      </w:r>
      <w:r>
        <w:rPr>
          <w:rFonts w:ascii="Arial" w:eastAsia="Arial" w:hAnsi="Arial" w:cs="Arial"/>
          <w:color w:val="000000"/>
        </w:rPr>
        <w:t xml:space="preserve">side in specific membrane-spanning entities called mitochondrial replisomes. These formations are believed to offer a means of coupling </w:t>
      </w:r>
      <w:proofErr w:type="spellStart"/>
      <w:r>
        <w:rPr>
          <w:rFonts w:ascii="Arial" w:eastAsia="Arial" w:hAnsi="Arial" w:cs="Arial"/>
          <w:color w:val="000000"/>
        </w:rPr>
        <w:t>mtDNA</w:t>
      </w:r>
      <w:proofErr w:type="spellEnd"/>
      <w:r>
        <w:rPr>
          <w:rFonts w:ascii="Arial" w:eastAsia="Arial" w:hAnsi="Arial" w:cs="Arial"/>
          <w:color w:val="000000"/>
        </w:rPr>
        <w:t xml:space="preserve"> replication with transcription. While the exact makeup of nucleoids remains largely unclear, a significant number </w:t>
      </w:r>
      <w:r>
        <w:rPr>
          <w:rFonts w:ascii="Arial" w:eastAsia="Arial" w:hAnsi="Arial" w:cs="Arial"/>
          <w:color w:val="000000"/>
        </w:rPr>
        <w:t xml:space="preserve">of nuclear-encoded proteins have been identified that regulate </w:t>
      </w:r>
      <w:proofErr w:type="spellStart"/>
      <w:r>
        <w:rPr>
          <w:rFonts w:ascii="Arial" w:eastAsia="Arial" w:hAnsi="Arial" w:cs="Arial"/>
          <w:color w:val="000000"/>
        </w:rPr>
        <w:t>mtDNA</w:t>
      </w:r>
      <w:proofErr w:type="spellEnd"/>
      <w:r>
        <w:rPr>
          <w:rFonts w:ascii="Arial" w:eastAsia="Arial" w:hAnsi="Arial" w:cs="Arial"/>
          <w:color w:val="000000"/>
        </w:rPr>
        <w:t xml:space="preserve"> replication, </w:t>
      </w:r>
      <w:proofErr w:type="spellStart"/>
      <w:r>
        <w:rPr>
          <w:rFonts w:ascii="Arial" w:eastAsia="Arial" w:hAnsi="Arial" w:cs="Arial"/>
          <w:color w:val="000000"/>
        </w:rPr>
        <w:t>mtDNA</w:t>
      </w:r>
      <w:proofErr w:type="spellEnd"/>
      <w:r>
        <w:rPr>
          <w:rFonts w:ascii="Arial" w:eastAsia="Arial" w:hAnsi="Arial" w:cs="Arial"/>
          <w:color w:val="000000"/>
        </w:rPr>
        <w:t xml:space="preserve"> transcription, mitochondrial fusion, and the anchoring of nucleoids to the cytoskeleton (Baron, 2010).</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 xml:space="preserve">2.6 </w:t>
      </w:r>
      <w:proofErr w:type="spellStart"/>
      <w:r>
        <w:rPr>
          <w:rFonts w:ascii="Arial" w:eastAsia="Arial" w:hAnsi="Arial" w:cs="Arial"/>
          <w:b/>
          <w:bCs/>
          <w:color w:val="000000"/>
        </w:rPr>
        <w:t>Heteroplasmy</w:t>
      </w:r>
      <w:proofErr w:type="spellEnd"/>
      <w:r>
        <w:rPr>
          <w:rFonts w:ascii="Arial" w:eastAsia="Arial" w:hAnsi="Arial" w:cs="Arial"/>
          <w:b/>
          <w:bCs/>
          <w:color w:val="000000"/>
        </w:rPr>
        <w:t xml:space="preserve"> of </w:t>
      </w:r>
      <w:proofErr w:type="spellStart"/>
      <w:r>
        <w:rPr>
          <w:rFonts w:ascii="Arial" w:eastAsia="Arial" w:hAnsi="Arial" w:cs="Arial"/>
          <w:b/>
          <w:bCs/>
          <w:color w:val="000000"/>
        </w:rPr>
        <w:t>MtDNA</w:t>
      </w:r>
      <w:proofErr w:type="spellEnd"/>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Mitochondrial heterogeneity is define</w:t>
      </w:r>
      <w:r>
        <w:rPr>
          <w:rFonts w:ascii="Arial" w:eastAsia="Arial" w:hAnsi="Arial" w:cs="Arial"/>
          <w:color w:val="000000"/>
        </w:rPr>
        <w:t xml:space="preserve">d as variations in a mitochondrial characteristic both within the mitochondrial population of a single cell and, potentially when aggregated at the cellular level, among cells that are otherwise considered identical. This heterogeneity has been identified </w:t>
      </w:r>
      <w:r>
        <w:rPr>
          <w:rFonts w:ascii="Arial" w:eastAsia="Arial" w:hAnsi="Arial" w:cs="Arial"/>
          <w:color w:val="000000"/>
        </w:rPr>
        <w:t>as a significant factor correlating with extrinsic cellular noise. Research revealed that mitochondrial mass, when normalized to the mitochondrial membrane potential, shows a strong correlation with the global transcription rate at the single-cell level, a</w:t>
      </w:r>
      <w:r>
        <w:rPr>
          <w:rFonts w:ascii="Arial" w:eastAsia="Arial" w:hAnsi="Arial" w:cs="Arial"/>
          <w:color w:val="000000"/>
        </w:rPr>
        <w:t>nd this factor accounts for approximately 50% of the variability observed in protein levels. Given that the global transcription rate influences various aspects of cellular function, this connection provides strong support for the critical role of mitochon</w:t>
      </w:r>
      <w:r>
        <w:rPr>
          <w:rFonts w:ascii="Arial" w:eastAsia="Arial" w:hAnsi="Arial" w:cs="Arial"/>
          <w:color w:val="000000"/>
        </w:rPr>
        <w:t>drial heterogeneity in contributing to cellular noise (Aryaman et al., 2019).</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2.7 Mitochondrial Maternity</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Within a spermatozoon, mitochondria are situated in the midpiece. During fertilization, only the sperm head, which carries the nucleus but lacks mit</w:t>
      </w:r>
      <w:r>
        <w:rPr>
          <w:rFonts w:ascii="Arial" w:eastAsia="Arial" w:hAnsi="Arial" w:cs="Arial"/>
          <w:color w:val="000000"/>
        </w:rPr>
        <w:t>ochondria, penetrates the egg. The resulting zygote thus inherits the maternal mitochondria, which are then passed on to the progeny. Although paternal mitochondria might occasionally enter the cell, those from the spermatozoon are typically degraded by th</w:t>
      </w:r>
      <w:r>
        <w:rPr>
          <w:rFonts w:ascii="Arial" w:eastAsia="Arial" w:hAnsi="Arial" w:cs="Arial"/>
          <w:color w:val="000000"/>
        </w:rPr>
        <w:t xml:space="preserve">e egg cell following fertilization. Consequently, the simultaneous inheritance of both maternal and paternal mitochondrial DNA within one person is exceptionally uncommon in humans. A valuable characteristic for forensic identification is that the </w:t>
      </w:r>
      <w:proofErr w:type="spellStart"/>
      <w:r>
        <w:rPr>
          <w:rFonts w:ascii="Arial" w:eastAsia="Arial" w:hAnsi="Arial" w:cs="Arial"/>
          <w:color w:val="000000"/>
        </w:rPr>
        <w:t>mtDNA</w:t>
      </w:r>
      <w:proofErr w:type="spellEnd"/>
      <w:r>
        <w:rPr>
          <w:rFonts w:ascii="Arial" w:eastAsia="Arial" w:hAnsi="Arial" w:cs="Arial"/>
          <w:color w:val="000000"/>
        </w:rPr>
        <w:t xml:space="preserve"> se</w:t>
      </w:r>
      <w:r>
        <w:rPr>
          <w:rFonts w:ascii="Arial" w:eastAsia="Arial" w:hAnsi="Arial" w:cs="Arial"/>
          <w:color w:val="000000"/>
        </w:rPr>
        <w:t>quence remains identical for individuals who share the same maternal line, allowing for their identification by comparison with maternal relatives (Richard et al., 2015).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2.8 Replication of Mitochondrial DNA Molecules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At the onset of replication at the i</w:t>
      </w:r>
      <w:r>
        <w:rPr>
          <w:rFonts w:ascii="Arial" w:eastAsia="Arial" w:hAnsi="Arial" w:cs="Arial"/>
          <w:color w:val="000000"/>
        </w:rPr>
        <w:t xml:space="preserve">nitial origin, both strands of </w:t>
      </w:r>
      <w:proofErr w:type="spellStart"/>
      <w:r>
        <w:rPr>
          <w:rFonts w:ascii="Arial" w:eastAsia="Arial" w:hAnsi="Arial" w:cs="Arial"/>
          <w:color w:val="000000"/>
        </w:rPr>
        <w:t>mtDNA</w:t>
      </w:r>
      <w:proofErr w:type="spellEnd"/>
      <w:r>
        <w:rPr>
          <w:rFonts w:ascii="Arial" w:eastAsia="Arial" w:hAnsi="Arial" w:cs="Arial"/>
          <w:color w:val="000000"/>
        </w:rPr>
        <w:t xml:space="preserve"> separate. DNA synthesis then proceeds in one direction along a single strand, while the opposing single strand is kept excluded until the second replication origin becomes accessible. </w:t>
      </w:r>
      <w:r>
        <w:rPr>
          <w:rFonts w:ascii="Arial" w:eastAsia="Arial" w:hAnsi="Arial" w:cs="Arial"/>
          <w:color w:val="000000"/>
        </w:rPr>
        <w:lastRenderedPageBreak/>
        <w:t>Subsequently, replication commences</w:t>
      </w:r>
      <w:r>
        <w:rPr>
          <w:rFonts w:ascii="Arial" w:eastAsia="Arial" w:hAnsi="Arial" w:cs="Arial"/>
          <w:color w:val="000000"/>
        </w:rPr>
        <w:t xml:space="preserve"> in the reverse direction (Krishnan et al., 2008; </w:t>
      </w:r>
      <w:proofErr w:type="spellStart"/>
      <w:r>
        <w:rPr>
          <w:rFonts w:ascii="Arial" w:eastAsia="Arial" w:hAnsi="Arial" w:cs="Arial"/>
          <w:color w:val="000000"/>
        </w:rPr>
        <w:t>Shadel</w:t>
      </w:r>
      <w:proofErr w:type="spellEnd"/>
      <w:r>
        <w:rPr>
          <w:rFonts w:ascii="Arial" w:eastAsia="Arial" w:hAnsi="Arial" w:cs="Arial"/>
          <w:color w:val="000000"/>
        </w:rPr>
        <w:t xml:space="preserve"> and Clayton, 1997). An alternative strand-coupled mechanism is described by the bidirectional replication model. In this model, replication begins at a single replication zone and advances symmetrica</w:t>
      </w:r>
      <w:r>
        <w:rPr>
          <w:rFonts w:ascii="Arial" w:eastAsia="Arial" w:hAnsi="Arial" w:cs="Arial"/>
          <w:color w:val="000000"/>
        </w:rPr>
        <w:t>lly in both directions (Bowmaker et al., 2003; Holt et al., 2000; Krishnan et al., 2008; Yao Yang et al., 2002).</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2.9 Genetics of Mitochondrial Diseases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Ascertaining the exact prevalence of mitochondrial disease is challenging, primarily due to the wide c</w:t>
      </w:r>
      <w:r>
        <w:rPr>
          <w:rFonts w:ascii="Arial" w:eastAsia="Arial" w:hAnsi="Arial" w:cs="Arial"/>
          <w:color w:val="000000"/>
        </w:rPr>
        <w:t>linical and genetic diversity observed. The range of phenotypes associated with mitochondrial disease has broadened considerably since the initial descriptions linking classical clinical syndromes to point mutations and rearrangements in mitochondrial DNA.</w:t>
      </w:r>
      <w:r>
        <w:rPr>
          <w:rFonts w:ascii="Arial" w:eastAsia="Arial" w:hAnsi="Arial" w:cs="Arial"/>
          <w:color w:val="000000"/>
        </w:rPr>
        <w:t xml:space="preserve"> Advances in genetic technologies have enabled a detailed analysis of the nuclear genome, which has significantly enhanced the diagnostic process for mitochondrial disorders (Gorman et al., 2015). These diseases are characterized by impaired function of th</w:t>
      </w:r>
      <w:r>
        <w:rPr>
          <w:rFonts w:ascii="Arial" w:eastAsia="Arial" w:hAnsi="Arial" w:cs="Arial"/>
          <w:color w:val="000000"/>
        </w:rPr>
        <w:t>e respiratory chain and typically manifest as multi-system and multi-organ conditions, with the muscles and nerves being predominantly affected.</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2.10 Mitochondrial Genome Analysis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Over the course of evolution, the human genome, including its mitochondria</w:t>
      </w:r>
      <w:r>
        <w:rPr>
          <w:rFonts w:ascii="Arial" w:eastAsia="Arial" w:hAnsi="Arial" w:cs="Arial"/>
          <w:color w:val="000000"/>
        </w:rPr>
        <w:t>l component, has developed genetic adaptations related to dietary intake; these adaptations are instrumental for mapping evolutionary trajectories across space and time. Investigations into ancient DNA have established a robust connection between the dieta</w:t>
      </w:r>
      <w:r>
        <w:rPr>
          <w:rFonts w:ascii="Arial" w:eastAsia="Arial" w:hAnsi="Arial" w:cs="Arial"/>
          <w:color w:val="000000"/>
        </w:rPr>
        <w:t xml:space="preserve">ry availability, nutritional composition, and diversity within natural populations (Perry et al., 2007; </w:t>
      </w:r>
      <w:proofErr w:type="spellStart"/>
      <w:r>
        <w:rPr>
          <w:rFonts w:ascii="Arial" w:eastAsia="Arial" w:hAnsi="Arial" w:cs="Arial"/>
          <w:color w:val="000000"/>
        </w:rPr>
        <w:t>Sjöstrand</w:t>
      </w:r>
      <w:proofErr w:type="spellEnd"/>
      <w:r>
        <w:rPr>
          <w:rFonts w:ascii="Arial" w:eastAsia="Arial" w:hAnsi="Arial" w:cs="Arial"/>
          <w:color w:val="000000"/>
        </w:rPr>
        <w:t xml:space="preserve"> et al., 2014; </w:t>
      </w:r>
      <w:proofErr w:type="spellStart"/>
      <w:r>
        <w:rPr>
          <w:rFonts w:ascii="Arial" w:eastAsia="Arial" w:hAnsi="Arial" w:cs="Arial"/>
          <w:color w:val="000000"/>
        </w:rPr>
        <w:t>Tishkoff</w:t>
      </w:r>
      <w:proofErr w:type="spellEnd"/>
      <w:r>
        <w:rPr>
          <w:rFonts w:ascii="Arial" w:eastAsia="Arial" w:hAnsi="Arial" w:cs="Arial"/>
          <w:color w:val="000000"/>
        </w:rPr>
        <w:t xml:space="preserve"> et al., 2007; </w:t>
      </w:r>
      <w:proofErr w:type="spellStart"/>
      <w:r>
        <w:rPr>
          <w:rFonts w:ascii="Arial" w:eastAsia="Arial" w:hAnsi="Arial" w:cs="Arial"/>
          <w:color w:val="000000"/>
        </w:rPr>
        <w:t>Schlebusch</w:t>
      </w:r>
      <w:proofErr w:type="spellEnd"/>
      <w:r>
        <w:rPr>
          <w:rFonts w:ascii="Arial" w:eastAsia="Arial" w:hAnsi="Arial" w:cs="Arial"/>
          <w:color w:val="000000"/>
        </w:rPr>
        <w:t xml:space="preserve"> et al., 2013). Furthermore, the metabolic function of mitochondria offers another crucial pers</w:t>
      </w:r>
      <w:r>
        <w:rPr>
          <w:rFonts w:ascii="Arial" w:eastAsia="Arial" w:hAnsi="Arial" w:cs="Arial"/>
          <w:color w:val="000000"/>
        </w:rPr>
        <w:t>pective for the analysis of ancient mitochondrial DNA to determine the historical origins of a population (</w:t>
      </w:r>
      <w:proofErr w:type="spellStart"/>
      <w:r>
        <w:rPr>
          <w:rFonts w:ascii="Arial" w:eastAsia="Arial" w:hAnsi="Arial" w:cs="Arial"/>
          <w:color w:val="000000"/>
        </w:rPr>
        <w:t>Nesheva</w:t>
      </w:r>
      <w:proofErr w:type="spellEnd"/>
      <w:r>
        <w:rPr>
          <w:rFonts w:ascii="Arial" w:eastAsia="Arial" w:hAnsi="Arial" w:cs="Arial"/>
          <w:color w:val="000000"/>
        </w:rPr>
        <w:t>, 2014).</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lastRenderedPageBreak/>
        <w:t>2.11 Next-generation Sequencing Technology (NGS)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The introduction of Next-Generation Sequencing (NGS) technologies in recent years has instigated a fast and definitive shift, addressing the evolving requirements of the scientific community and profoundly advancing the comprehension of biological processe</w:t>
      </w:r>
      <w:r>
        <w:rPr>
          <w:rFonts w:ascii="Arial" w:eastAsia="Arial" w:hAnsi="Arial" w:cs="Arial"/>
          <w:color w:val="000000"/>
        </w:rPr>
        <w:t>s. These innovative methodologies have transformed how researchers acquire genetic data from biological specimens, fostering new research areas dedicated to the complete characterization of the biological subject under investigation (</w:t>
      </w:r>
      <w:proofErr w:type="spellStart"/>
      <w:r>
        <w:rPr>
          <w:rFonts w:ascii="Arial" w:eastAsia="Arial" w:hAnsi="Arial" w:cs="Arial"/>
          <w:color w:val="000000"/>
        </w:rPr>
        <w:t>Cocozza</w:t>
      </w:r>
      <w:proofErr w:type="spellEnd"/>
      <w:r>
        <w:rPr>
          <w:rFonts w:ascii="Arial" w:eastAsia="Arial" w:hAnsi="Arial" w:cs="Arial"/>
          <w:color w:val="000000"/>
        </w:rPr>
        <w:t xml:space="preserve"> et al., 2014).</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2.12 Mitochondrial DNA in Forensics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Mitochondrial DNA possesses several properties that make it highly valuable for forensic analysis, particularly its lack of recombination, high copy number, and matrilineal inheritance pattern. </w:t>
      </w:r>
      <w:proofErr w:type="spellStart"/>
      <w:r>
        <w:rPr>
          <w:rFonts w:ascii="Arial" w:eastAsia="Arial" w:hAnsi="Arial" w:cs="Arial"/>
          <w:color w:val="000000"/>
        </w:rPr>
        <w:t>mtDNA</w:t>
      </w:r>
      <w:proofErr w:type="spellEnd"/>
      <w:r>
        <w:rPr>
          <w:rFonts w:ascii="Arial" w:eastAsia="Arial" w:hAnsi="Arial" w:cs="Arial"/>
          <w:color w:val="000000"/>
        </w:rPr>
        <w:t xml:space="preserve"> profiling, which </w:t>
      </w:r>
      <w:r>
        <w:rPr>
          <w:rFonts w:ascii="Arial" w:eastAsia="Arial" w:hAnsi="Arial" w:cs="Arial"/>
          <w:color w:val="000000"/>
        </w:rPr>
        <w:t>relies on sequencing the control region or performing full genomic sequence analysis, is employed for the examination of challenging forensic samples, including ancient bones, teeth, and hair, in addition to other biological samples with limited DNA conten</w:t>
      </w:r>
      <w:r>
        <w:rPr>
          <w:rFonts w:ascii="Arial" w:eastAsia="Arial" w:hAnsi="Arial" w:cs="Arial"/>
          <w:color w:val="000000"/>
        </w:rPr>
        <w:t>t. The careful interpretation and presentation of results necessitate thorough consideration of biological factors, as well as matters concerning nomenclature and the use of reference population databases (Amorim et al., 2019).</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2.13 Differentiation betwee</w:t>
      </w:r>
      <w:r>
        <w:rPr>
          <w:rFonts w:ascii="Arial" w:eastAsia="Arial" w:hAnsi="Arial" w:cs="Arial"/>
          <w:b/>
          <w:bCs/>
          <w:color w:val="000000"/>
        </w:rPr>
        <w:t>n Human Blood and Animal Blood</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The original researchers propose that utilizing a specific sequence could precisely solve the problem of species differentiation, though they caution that this must be executed with care to prevent overfitting. Subsequently,</w:t>
      </w:r>
      <w:r>
        <w:rPr>
          <w:rFonts w:ascii="Arial" w:eastAsia="Arial" w:hAnsi="Arial" w:cs="Arial"/>
          <w:color w:val="000000"/>
        </w:rPr>
        <w:t xml:space="preserve"> they conducted external validation using bovine (cow) samples and ten blindly selected unknown samples (comprising 5 human and 5 animal samples), achieving 100% accuracy, even for a small number of samples that were borderline. These same authors later br</w:t>
      </w:r>
      <w:r>
        <w:rPr>
          <w:rFonts w:ascii="Arial" w:eastAsia="Arial" w:hAnsi="Arial" w:cs="Arial"/>
          <w:color w:val="000000"/>
        </w:rPr>
        <w:t xml:space="preserve">oadened their </w:t>
      </w:r>
      <w:r>
        <w:rPr>
          <w:rFonts w:ascii="Arial" w:eastAsia="Arial" w:hAnsi="Arial" w:cs="Arial"/>
          <w:color w:val="000000"/>
        </w:rPr>
        <w:lastRenderedPageBreak/>
        <w:t>dataset to incorporate blood samples from six additional animal species: chimpanzee, deer, elk, ferret, fish, and macaque (Silva et al., 2019).</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2.14 Polymerase Chain Reaction (PCR)</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Polymerase Chain Reaction (PCR) stands out among the DNA-ba</w:t>
      </w:r>
      <w:r>
        <w:rPr>
          <w:rFonts w:ascii="Arial" w:eastAsia="Arial" w:hAnsi="Arial" w:cs="Arial"/>
          <w:color w:val="000000"/>
        </w:rPr>
        <w:t>sed methods utilized for species identification. This technique allows for the detection of minute quantities of nucleic acid probes and the determination of their sequence by amplifying DNA or RNA from specific strains. PCR offers several advantages, such</w:t>
      </w:r>
      <w:r>
        <w:rPr>
          <w:rFonts w:ascii="Arial" w:eastAsia="Arial" w:hAnsi="Arial" w:cs="Arial"/>
          <w:color w:val="000000"/>
        </w:rPr>
        <w:t xml:space="preserve"> as exceptional sensitivity and rapid execution even with a large throughput of samples (Rodríguez et al., 2004).</w:t>
      </w:r>
    </w:p>
    <w:p w:rsidR="003A6FE9" w:rsidRDefault="00150C36">
      <w:pPr>
        <w:ind w:left="0" w:right="142" w:firstLine="0"/>
        <w:rPr>
          <w:rFonts w:ascii="Arial" w:eastAsia="Arial" w:hAnsi="Arial" w:cs="Arial"/>
        </w:rPr>
      </w:pPr>
      <w:r>
        <w:rPr>
          <w:noProof/>
          <w:sz w:val="28"/>
          <w:szCs w:val="28"/>
        </w:rPr>
        <w:drawing>
          <wp:inline distT="0" distB="0" distL="0" distR="0">
            <wp:extent cx="5274310" cy="2163445"/>
            <wp:effectExtent l="0" t="0" r="0" b="0"/>
            <wp:docPr id="1" name="image1.png" descr="C:\Users\AL-AMen\Desktop\بحثي\مقدمه بحث\New folder\Capture.PNG"/>
            <wp:cNvGraphicFramePr/>
            <a:graphic xmlns:a="http://schemas.openxmlformats.org/drawingml/2006/main">
              <a:graphicData uri="http://schemas.openxmlformats.org/drawingml/2006/picture">
                <pic:pic xmlns:pic="http://schemas.openxmlformats.org/drawingml/2006/picture">
                  <pic:nvPicPr>
                    <pic:cNvPr id="0" name="image1.png" descr="C:\Users\AL-AMen\Desktop\بحثي\مقدمه بحث\New folder\Capture.PNG"/>
                    <pic:cNvPicPr preferRelativeResize="0"/>
                  </pic:nvPicPr>
                  <pic:blipFill>
                    <a:blip r:embed="rId10"/>
                    <a:srcRect/>
                    <a:stretch>
                      <a:fillRect/>
                    </a:stretch>
                  </pic:blipFill>
                  <pic:spPr>
                    <a:xfrm>
                      <a:off x="0" y="0"/>
                      <a:ext cx="5274310" cy="2163445"/>
                    </a:xfrm>
                    <a:prstGeom prst="rect">
                      <a:avLst/>
                    </a:prstGeom>
                    <a:ln/>
                  </pic:spPr>
                </pic:pic>
              </a:graphicData>
            </a:graphic>
          </wp:inline>
        </w:drawing>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Figure 2: Temperature parameters during thermal cycling of the PCR process (Richard et al., 2015).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2.15 Sequencing Mitochondrial DNA</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process of sequencing a particular mitochondrial DNA region involves employing a combination of PCR amplification and DNA sequencing methods. This integrated approach aims to minimize the time and manual effort required to acquire DNA sequences </w:t>
      </w:r>
      <w:r>
        <w:rPr>
          <w:rFonts w:ascii="Arial" w:eastAsia="Arial" w:hAnsi="Arial" w:cs="Arial"/>
          <w:color w:val="000000"/>
        </w:rPr>
        <w:lastRenderedPageBreak/>
        <w:t>from ge</w:t>
      </w:r>
      <w:r>
        <w:rPr>
          <w:rFonts w:ascii="Arial" w:eastAsia="Arial" w:hAnsi="Arial" w:cs="Arial"/>
          <w:color w:val="000000"/>
        </w:rPr>
        <w:t xml:space="preserve">nomic DNA templates. Typically, </w:t>
      </w:r>
      <w:proofErr w:type="spellStart"/>
      <w:r>
        <w:rPr>
          <w:rFonts w:ascii="Arial" w:eastAsia="Arial" w:hAnsi="Arial" w:cs="Arial"/>
          <w:color w:val="000000"/>
        </w:rPr>
        <w:t>mtDNA</w:t>
      </w:r>
      <w:proofErr w:type="spellEnd"/>
      <w:r>
        <w:rPr>
          <w:rFonts w:ascii="Arial" w:eastAsia="Arial" w:hAnsi="Arial" w:cs="Arial"/>
          <w:color w:val="000000"/>
        </w:rPr>
        <w:t xml:space="preserve"> sequencing involves several steps: PCR amplification, followed by DNA sequencing reactions, separation via electrophoresis, and finally, data collection and sequence analysis (Richard </w:t>
      </w:r>
      <w:proofErr w:type="spellStart"/>
      <w:r>
        <w:rPr>
          <w:rFonts w:ascii="Arial" w:eastAsia="Arial" w:hAnsi="Arial" w:cs="Arial"/>
          <w:color w:val="000000"/>
        </w:rPr>
        <w:t>ets</w:t>
      </w:r>
      <w:proofErr w:type="spellEnd"/>
      <w:r>
        <w:rPr>
          <w:rFonts w:ascii="Arial" w:eastAsia="Arial" w:hAnsi="Arial" w:cs="Arial"/>
          <w:color w:val="000000"/>
        </w:rPr>
        <w:t xml:space="preserve"> al., 2015).</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2.16 Forensic Uses of Mitochondrial DNA</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2.16.1 Kinship Matching</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Mitochondrial DNA profiling is routinely applied in scenarios involving mass disasters, missing persons investigations, and the analysis of historical remains. Such cases often involve degra</w:t>
      </w:r>
      <w:r>
        <w:rPr>
          <w:rFonts w:ascii="Arial" w:eastAsia="Arial" w:hAnsi="Arial" w:cs="Arial"/>
          <w:color w:val="000000"/>
        </w:rPr>
        <w:t xml:space="preserve">ded or aged samples, and </w:t>
      </w:r>
      <w:proofErr w:type="spellStart"/>
      <w:r>
        <w:rPr>
          <w:rFonts w:ascii="Arial" w:eastAsia="Arial" w:hAnsi="Arial" w:cs="Arial"/>
          <w:color w:val="000000"/>
        </w:rPr>
        <w:t>mtDNA</w:t>
      </w:r>
      <w:proofErr w:type="spellEnd"/>
      <w:r>
        <w:rPr>
          <w:rFonts w:ascii="Arial" w:eastAsia="Arial" w:hAnsi="Arial" w:cs="Arial"/>
          <w:color w:val="000000"/>
        </w:rPr>
        <w:t xml:space="preserve"> provides a means to determine an individual's identity by tracing their maternal lineage. Therefore, identifying individuals is commonly supported by cross-referencing samples from their maternal relatives (Wai and Bachelor, </w:t>
      </w:r>
      <w:r>
        <w:rPr>
          <w:rFonts w:ascii="Arial" w:eastAsia="Arial" w:hAnsi="Arial" w:cs="Arial"/>
          <w:color w:val="000000"/>
        </w:rPr>
        <w:t>2018).</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2.16.2 Investigative Use</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Direct comparison of an </w:t>
      </w:r>
      <w:proofErr w:type="spellStart"/>
      <w:r>
        <w:rPr>
          <w:rFonts w:ascii="Arial" w:eastAsia="Arial" w:hAnsi="Arial" w:cs="Arial"/>
          <w:color w:val="000000"/>
        </w:rPr>
        <w:t>mtDNA</w:t>
      </w:r>
      <w:proofErr w:type="spellEnd"/>
      <w:r>
        <w:rPr>
          <w:rFonts w:ascii="Arial" w:eastAsia="Arial" w:hAnsi="Arial" w:cs="Arial"/>
          <w:color w:val="000000"/>
        </w:rPr>
        <w:t xml:space="preserve"> sequence with a reference sample can help identify an individual, but this method may be insufficient when only an unknown </w:t>
      </w:r>
      <w:proofErr w:type="spellStart"/>
      <w:r>
        <w:rPr>
          <w:rFonts w:ascii="Arial" w:eastAsia="Arial" w:hAnsi="Arial" w:cs="Arial"/>
          <w:color w:val="000000"/>
        </w:rPr>
        <w:t>mtDNA</w:t>
      </w:r>
      <w:proofErr w:type="spellEnd"/>
      <w:r>
        <w:rPr>
          <w:rFonts w:ascii="Arial" w:eastAsia="Arial" w:hAnsi="Arial" w:cs="Arial"/>
          <w:color w:val="000000"/>
        </w:rPr>
        <w:t xml:space="preserve"> profile is available. In such instances, obtaining information </w:t>
      </w:r>
      <w:r>
        <w:rPr>
          <w:rFonts w:ascii="Arial" w:eastAsia="Arial" w:hAnsi="Arial" w:cs="Arial"/>
          <w:color w:val="000000"/>
        </w:rPr>
        <w:t xml:space="preserve">about the unknown source’s ancestry and ethnicity is highly beneficial. Inferring maternal Biogeographical Ancestry (BGA) from </w:t>
      </w:r>
      <w:proofErr w:type="spellStart"/>
      <w:r>
        <w:rPr>
          <w:rFonts w:ascii="Arial" w:eastAsia="Arial" w:hAnsi="Arial" w:cs="Arial"/>
          <w:color w:val="000000"/>
        </w:rPr>
        <w:t>mtDNA</w:t>
      </w:r>
      <w:proofErr w:type="spellEnd"/>
      <w:r>
        <w:rPr>
          <w:rFonts w:ascii="Arial" w:eastAsia="Arial" w:hAnsi="Arial" w:cs="Arial"/>
          <w:color w:val="000000"/>
        </w:rPr>
        <w:t xml:space="preserve"> offers valuable investigative leads regarding potential suspect identities. Similar to forensic DNA phenotyping (FDP) techn</w:t>
      </w:r>
      <w:r>
        <w:rPr>
          <w:rFonts w:ascii="Arial" w:eastAsia="Arial" w:hAnsi="Arial" w:cs="Arial"/>
          <w:color w:val="000000"/>
        </w:rPr>
        <w:t xml:space="preserve">iques, BGA is particularly useful in situations where crime scene samples do not match any known person in a database, and in the review of 'cold cases' (Stephen LR Ellison and Claire </w:t>
      </w:r>
      <w:proofErr w:type="gramStart"/>
      <w:r>
        <w:rPr>
          <w:rFonts w:ascii="Arial" w:eastAsia="Arial" w:hAnsi="Arial" w:cs="Arial"/>
          <w:color w:val="000000"/>
        </w:rPr>
        <w:t>A</w:t>
      </w:r>
      <w:proofErr w:type="gramEnd"/>
      <w:r>
        <w:rPr>
          <w:rFonts w:ascii="Arial" w:eastAsia="Arial" w:hAnsi="Arial" w:cs="Arial"/>
          <w:color w:val="000000"/>
        </w:rPr>
        <w:t xml:space="preserve"> English, 2006).</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2.16.3 Medical Diagnostics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Mitochondria are organell</w:t>
      </w:r>
      <w:r>
        <w:rPr>
          <w:rFonts w:ascii="Arial" w:eastAsia="Arial" w:hAnsi="Arial" w:cs="Arial"/>
          <w:color w:val="000000"/>
        </w:rPr>
        <w:t xml:space="preserve">es situated within eukaryotic organisms. Their functions at the cellular level encompass energy generation, the metabolism of amino acids, fatty acids, and cofactors, as well as cell </w:t>
      </w:r>
      <w:proofErr w:type="spellStart"/>
      <w:r>
        <w:rPr>
          <w:rFonts w:ascii="Arial" w:eastAsia="Arial" w:hAnsi="Arial" w:cs="Arial"/>
          <w:color w:val="000000"/>
        </w:rPr>
        <w:t>signalling</w:t>
      </w:r>
      <w:proofErr w:type="spellEnd"/>
      <w:r>
        <w:rPr>
          <w:rFonts w:ascii="Arial" w:eastAsia="Arial" w:hAnsi="Arial" w:cs="Arial"/>
          <w:color w:val="000000"/>
        </w:rPr>
        <w:t xml:space="preserve"> pathways. Variations (polymorphisms) within the mitochondrial </w:t>
      </w:r>
      <w:r>
        <w:rPr>
          <w:rFonts w:ascii="Arial" w:eastAsia="Arial" w:hAnsi="Arial" w:cs="Arial"/>
          <w:color w:val="000000"/>
        </w:rPr>
        <w:t>genome have been associated with differences in endurance capacity and trainability, in addition to various mitochondrial diseases. The clinical diagnosis of these diseases integrates maternal genetic history, clinical signs, biochemical testing, and speci</w:t>
      </w:r>
      <w:r>
        <w:rPr>
          <w:rFonts w:ascii="Arial" w:eastAsia="Arial" w:hAnsi="Arial" w:cs="Arial"/>
          <w:color w:val="000000"/>
        </w:rPr>
        <w:t>fic targeted sequencing assays (Wai and Bachelor, 2018).</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2.16.4 Quantification of Mitochondrial DNA</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MtDNA</w:t>
      </w:r>
      <w:proofErr w:type="spellEnd"/>
      <w:r>
        <w:rPr>
          <w:rFonts w:ascii="Arial" w:eastAsia="Arial" w:hAnsi="Arial" w:cs="Arial"/>
          <w:color w:val="000000"/>
        </w:rPr>
        <w:t xml:space="preserve"> quantification is performed to establish the amount of 'amplifiable' DNA present in a biological extract. This measurement is crucial for optimizing</w:t>
      </w:r>
      <w:r>
        <w:rPr>
          <w:rFonts w:ascii="Arial" w:eastAsia="Arial" w:hAnsi="Arial" w:cs="Arial"/>
          <w:color w:val="000000"/>
        </w:rPr>
        <w:t xml:space="preserve"> the DNA input for amplification, thereby ensuring the process's overall success. Insufficient DNA amplification risks causing allele dropouts, heterozygote imbalance, and inadequate sequence coverage. Conversely, excessive DNA amplification can result in </w:t>
      </w:r>
      <w:r>
        <w:rPr>
          <w:rFonts w:ascii="Arial" w:eastAsia="Arial" w:hAnsi="Arial" w:cs="Arial"/>
          <w:color w:val="000000"/>
        </w:rPr>
        <w:t>the appearance of stutter peaks, non-specific amplification, and a reduction in the consistent representation of coverage across different samples (Jerome D. Robin et al., 2016).</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Conclusions:</w:t>
      </w:r>
    </w:p>
    <w:p w:rsidR="003A6FE9" w:rsidRDefault="003A6FE9">
      <w:pPr>
        <w:pBdr>
          <w:top w:val="nil"/>
          <w:left w:val="nil"/>
          <w:bottom w:val="nil"/>
          <w:right w:val="nil"/>
          <w:between w:val="nil"/>
        </w:pBdr>
        <w:rPr>
          <w:rFonts w:ascii="Arial" w:eastAsia="Arial" w:hAnsi="Arial" w:cs="Arial"/>
          <w:color w:val="000000"/>
        </w:rPr>
      </w:pPr>
    </w:p>
    <w:p w:rsidR="003A6FE9" w:rsidRDefault="00150C36">
      <w:pPr>
        <w:pBdr>
          <w:top w:val="nil"/>
          <w:left w:val="nil"/>
          <w:bottom w:val="nil"/>
          <w:right w:val="nil"/>
          <w:between w:val="nil"/>
        </w:pBdr>
        <w:rPr>
          <w:rFonts w:ascii="Arial" w:eastAsia="Arial" w:hAnsi="Arial" w:cs="Arial"/>
        </w:rPr>
      </w:pPr>
      <w:r>
        <w:rPr>
          <w:rFonts w:ascii="Arial" w:eastAsia="Arial" w:hAnsi="Arial" w:cs="Arial"/>
          <w:color w:val="000000"/>
        </w:rPr>
        <w:t>In summary, this comprehensive review establishes mitochondria</w:t>
      </w:r>
      <w:r>
        <w:rPr>
          <w:rFonts w:ascii="Arial" w:eastAsia="Arial" w:hAnsi="Arial" w:cs="Arial"/>
          <w:color w:val="000000"/>
        </w:rPr>
        <w:t>l DNA as an exceptionally valuable genetic asset for forensic medicine and clinical diagnosis. It offers distinctive perspectives on population origins, personal identification, and the mechanisms of disease, thus paving the way for exciting new avenues in</w:t>
      </w:r>
      <w:r>
        <w:rPr>
          <w:rFonts w:ascii="Arial" w:eastAsia="Arial" w:hAnsi="Arial" w:cs="Arial"/>
          <w:color w:val="000000"/>
        </w:rPr>
        <w:t xml:space="preserve"> scientific research and development.</w:t>
      </w:r>
    </w:p>
    <w:p w:rsidR="003A6FE9" w:rsidRDefault="003A6FE9">
      <w:pPr>
        <w:pBdr>
          <w:top w:val="nil"/>
          <w:left w:val="nil"/>
          <w:bottom w:val="nil"/>
          <w:right w:val="nil"/>
          <w:between w:val="nil"/>
        </w:pBdr>
        <w:rPr>
          <w:rFonts w:ascii="Arial" w:eastAsia="Arial" w:hAnsi="Arial" w:cs="Arial"/>
        </w:rPr>
      </w:pPr>
    </w:p>
    <w:p w:rsidR="003A6FE9" w:rsidRDefault="003A6FE9">
      <w:pPr>
        <w:pBdr>
          <w:top w:val="nil"/>
          <w:left w:val="nil"/>
          <w:bottom w:val="nil"/>
          <w:right w:val="nil"/>
          <w:between w:val="nil"/>
        </w:pBdr>
        <w:rPr>
          <w:rFonts w:ascii="Arial" w:eastAsia="Arial" w:hAnsi="Arial" w:cs="Arial"/>
        </w:rPr>
      </w:pPr>
    </w:p>
    <w:p w:rsidR="003A6FE9" w:rsidRDefault="003A6FE9">
      <w:pPr>
        <w:rPr>
          <w:rFonts w:ascii="Calibri" w:eastAsia="Calibri" w:hAnsi="Calibri" w:cs="Calibri"/>
        </w:rPr>
      </w:pPr>
      <w:bookmarkStart w:id="1" w:name="_oby8a9erxjlx" w:colFirst="0" w:colLast="0"/>
      <w:bookmarkEnd w:id="1"/>
    </w:p>
    <w:p w:rsidR="003A6FE9" w:rsidRDefault="00150C36">
      <w:pPr>
        <w:rPr>
          <w:rFonts w:ascii="Calibri" w:eastAsia="Calibri" w:hAnsi="Calibri" w:cs="Calibri"/>
          <w:highlight w:val="yellow"/>
        </w:rPr>
      </w:pPr>
      <w:bookmarkStart w:id="2" w:name="_vn67c0qn4sne" w:colFirst="0" w:colLast="0"/>
      <w:bookmarkEnd w:id="2"/>
      <w:r>
        <w:rPr>
          <w:rFonts w:ascii="Calibri" w:eastAsia="Calibri" w:hAnsi="Calibri" w:cs="Calibri"/>
          <w:highlight w:val="yellow"/>
        </w:rPr>
        <w:t>Disclaimer (Artificial intelligence)</w:t>
      </w:r>
    </w:p>
    <w:p w:rsidR="003A6FE9" w:rsidRDefault="00150C36">
      <w:pPr>
        <w:rPr>
          <w:rFonts w:ascii="Calibri" w:eastAsia="Calibri" w:hAnsi="Calibri" w:cs="Calibri"/>
          <w:highlight w:val="yellow"/>
        </w:rPr>
      </w:pPr>
      <w:r>
        <w:rPr>
          <w:rFonts w:ascii="Calibri" w:eastAsia="Calibri" w:hAnsi="Calibri" w:cs="Calibri"/>
          <w:highlight w:val="yellow"/>
        </w:rPr>
        <w:lastRenderedPageBreak/>
        <w:t>Option 1:</w:t>
      </w:r>
    </w:p>
    <w:p w:rsidR="003A6FE9" w:rsidRDefault="00150C36">
      <w:pPr>
        <w:rPr>
          <w:rFonts w:ascii="Calibri" w:eastAsia="Calibri" w:hAnsi="Calibri" w:cs="Calibri"/>
          <w:highlight w:val="yellow"/>
        </w:rPr>
      </w:pPr>
      <w:r>
        <w:rPr>
          <w:rFonts w:ascii="Calibri" w:eastAsia="Calibri" w:hAnsi="Calibri" w:cs="Calibri"/>
          <w:highlight w:val="yellow"/>
        </w:rPr>
        <w:t>Author(s) hereby declare that NO generative AI technologies such as Large Language Models (</w:t>
      </w:r>
      <w:proofErr w:type="spellStart"/>
      <w:r>
        <w:rPr>
          <w:rFonts w:ascii="Calibri" w:eastAsia="Calibri" w:hAnsi="Calibri" w:cs="Calibri"/>
          <w:highlight w:val="yellow"/>
        </w:rPr>
        <w:t>ChatGPT</w:t>
      </w:r>
      <w:proofErr w:type="spellEnd"/>
      <w:r>
        <w:rPr>
          <w:rFonts w:ascii="Calibri" w:eastAsia="Calibri" w:hAnsi="Calibri" w:cs="Calibri"/>
          <w:highlight w:val="yellow"/>
        </w:rPr>
        <w:t xml:space="preserve">, COPILOT, etc.) and text-to-image generators have been used during the writing or editing of this manuscript. </w:t>
      </w:r>
    </w:p>
    <w:p w:rsidR="003A6FE9" w:rsidRDefault="00150C36">
      <w:pPr>
        <w:rPr>
          <w:rFonts w:ascii="Calibri" w:eastAsia="Calibri" w:hAnsi="Calibri" w:cs="Calibri"/>
          <w:highlight w:val="yellow"/>
        </w:rPr>
      </w:pPr>
      <w:r>
        <w:rPr>
          <w:rFonts w:ascii="Calibri" w:eastAsia="Calibri" w:hAnsi="Calibri" w:cs="Calibri"/>
          <w:highlight w:val="yellow"/>
        </w:rPr>
        <w:t>.</w:t>
      </w:r>
    </w:p>
    <w:p w:rsidR="003A6FE9" w:rsidRDefault="003A6FE9"/>
    <w:p w:rsidR="003A6FE9" w:rsidRDefault="003A6FE9">
      <w:pPr>
        <w:pBdr>
          <w:top w:val="nil"/>
          <w:left w:val="nil"/>
          <w:bottom w:val="nil"/>
          <w:right w:val="nil"/>
          <w:between w:val="nil"/>
        </w:pBdr>
        <w:jc w:val="left"/>
        <w:rPr>
          <w:rFonts w:ascii="Arial" w:eastAsia="Arial" w:hAnsi="Arial" w:cs="Arial"/>
          <w:color w:val="000000"/>
        </w:rPr>
      </w:pPr>
    </w:p>
    <w:p w:rsidR="003A6FE9" w:rsidRDefault="00150C36">
      <w:pPr>
        <w:pBdr>
          <w:top w:val="nil"/>
          <w:left w:val="nil"/>
          <w:bottom w:val="nil"/>
          <w:right w:val="nil"/>
          <w:between w:val="nil"/>
        </w:pBdr>
        <w:jc w:val="left"/>
        <w:rPr>
          <w:rFonts w:ascii="Arial" w:eastAsia="Arial" w:hAnsi="Arial" w:cs="Arial"/>
          <w:b/>
          <w:bCs/>
          <w:color w:val="000000"/>
        </w:rPr>
      </w:pPr>
      <w:r>
        <w:rPr>
          <w:rFonts w:ascii="Arial" w:eastAsia="Arial" w:hAnsi="Arial" w:cs="Arial"/>
          <w:b/>
          <w:bCs/>
          <w:color w:val="000000"/>
        </w:rPr>
        <w:t>References:</w:t>
      </w:r>
    </w:p>
    <w:p w:rsidR="003A6FE9" w:rsidRDefault="00150C36">
      <w:pPr>
        <w:widowControl w:val="0"/>
        <w:numPr>
          <w:ilvl w:val="0"/>
          <w:numId w:val="1"/>
        </w:numPr>
        <w:spacing w:before="240" w:after="0" w:line="276" w:lineRule="auto"/>
        <w:ind w:firstLine="360"/>
        <w:rPr>
          <w:rFonts w:ascii="Arial" w:eastAsia="Arial" w:hAnsi="Arial" w:cs="Arial"/>
          <w:sz w:val="28"/>
          <w:szCs w:val="28"/>
        </w:rPr>
      </w:pPr>
      <w:r>
        <w:rPr>
          <w:b/>
          <w:bCs/>
          <w:sz w:val="28"/>
          <w:szCs w:val="28"/>
        </w:rPr>
        <w:t xml:space="preserve">Amorim, A., Fernandes, T. and </w:t>
      </w:r>
      <w:proofErr w:type="spellStart"/>
      <w:r>
        <w:rPr>
          <w:b/>
          <w:bCs/>
          <w:sz w:val="28"/>
          <w:szCs w:val="28"/>
        </w:rPr>
        <w:t>Taveira</w:t>
      </w:r>
      <w:proofErr w:type="spellEnd"/>
      <w:r>
        <w:rPr>
          <w:b/>
          <w:bCs/>
          <w:sz w:val="28"/>
          <w:szCs w:val="28"/>
        </w:rPr>
        <w:t xml:space="preserve">, N., 2019. Mitochondrial DNA in human identification: a review. </w:t>
      </w:r>
      <w:proofErr w:type="spellStart"/>
      <w:r>
        <w:rPr>
          <w:rFonts w:ascii="Arial" w:eastAsia="Arial" w:hAnsi="Arial" w:cs="Arial"/>
          <w:i/>
          <w:iCs/>
          <w:sz w:val="28"/>
          <w:szCs w:val="28"/>
        </w:rPr>
        <w:t>PeerJ</w:t>
      </w:r>
      <w:proofErr w:type="spellEnd"/>
      <w:r>
        <w:rPr>
          <w:rFonts w:ascii="Arial" w:eastAsia="Arial" w:hAnsi="Arial" w:cs="Arial"/>
          <w:i/>
          <w:iCs/>
          <w:sz w:val="28"/>
          <w:szCs w:val="28"/>
        </w:rPr>
        <w:t xml:space="preserve"> Preprints</w:t>
      </w:r>
      <w:r>
        <w:rPr>
          <w:rFonts w:ascii="Arial" w:eastAsia="Arial" w:hAnsi="Arial" w:cs="Arial"/>
          <w:sz w:val="28"/>
          <w:szCs w:val="28"/>
        </w:rPr>
        <w:t xml:space="preserve">, </w:t>
      </w:r>
      <w:r>
        <w:rPr>
          <w:rFonts w:ascii="Arial" w:eastAsia="Arial" w:hAnsi="Arial" w:cs="Arial"/>
          <w:i/>
          <w:iCs/>
          <w:sz w:val="28"/>
          <w:szCs w:val="28"/>
        </w:rPr>
        <w:t>7</w:t>
      </w:r>
      <w:r>
        <w:rPr>
          <w:rFonts w:ascii="Arial" w:eastAsia="Arial" w:hAnsi="Arial" w:cs="Arial"/>
          <w:sz w:val="28"/>
          <w:szCs w:val="28"/>
        </w:rPr>
        <w:t>, p.e27500v1.</w:t>
      </w:r>
      <w:hyperlink r:id="rId11">
        <w:r>
          <w:rPr>
            <w:rFonts w:ascii="Arial" w:eastAsia="Arial" w:hAnsi="Arial" w:cs="Arial"/>
            <w:sz w:val="28"/>
            <w:szCs w:val="28"/>
          </w:rPr>
          <w:t xml:space="preserve"> </w:t>
        </w:r>
      </w:hyperlink>
      <w:hyperlink r:id="rId12">
        <w:r>
          <w:rPr>
            <w:rFonts w:ascii="Arial" w:eastAsia="Arial" w:hAnsi="Arial" w:cs="Arial"/>
            <w:color w:val="1155CC"/>
            <w:sz w:val="28"/>
            <w:szCs w:val="28"/>
            <w:u w:val="single"/>
          </w:rPr>
          <w:t>https://doi.org/10</w:t>
        </w:r>
        <w:r>
          <w:rPr>
            <w:rFonts w:ascii="Arial" w:eastAsia="Arial" w:hAnsi="Arial" w:cs="Arial"/>
            <w:color w:val="1155CC"/>
            <w:sz w:val="28"/>
            <w:szCs w:val="28"/>
            <w:u w:val="single"/>
          </w:rPr>
          <w:t>.7287/peerj.preprints.27500v1</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Aryaman, J.; Johnston, I. G. and Jones, N. S. (2019) ‘Mitochondrial heterogeneity’, 9(January) pp.1-16. doi:10.3389/fgene.2018.00718.</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Bowmaker, M.; Yao Yang M.; Yasukawa, T.; Reyes, A.; Jacobs, H. T.; Huberman, J. A., and Hol</w:t>
      </w:r>
      <w:r>
        <w:rPr>
          <w:rFonts w:ascii="Arial" w:eastAsia="Arial" w:hAnsi="Arial" w:cs="Arial"/>
          <w:sz w:val="28"/>
          <w:szCs w:val="28"/>
        </w:rPr>
        <w:t>t I. J., 2003. Mammalian mitochondrial DNA replicates bidirectionally from an initiation zone. J. Biol. Chem. 278, 50961–50969.</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Butnariu</w:t>
      </w:r>
      <w:proofErr w:type="spellEnd"/>
      <w:r>
        <w:rPr>
          <w:rFonts w:ascii="Arial" w:eastAsia="Arial" w:hAnsi="Arial" w:cs="Arial"/>
          <w:sz w:val="28"/>
          <w:szCs w:val="28"/>
        </w:rPr>
        <w:t xml:space="preserve">, M.; </w:t>
      </w:r>
      <w:proofErr w:type="spellStart"/>
      <w:r>
        <w:rPr>
          <w:rFonts w:ascii="Arial" w:eastAsia="Arial" w:hAnsi="Arial" w:cs="Arial"/>
          <w:sz w:val="28"/>
          <w:szCs w:val="28"/>
        </w:rPr>
        <w:t>Rodino</w:t>
      </w:r>
      <w:proofErr w:type="spellEnd"/>
      <w:r>
        <w:rPr>
          <w:rFonts w:ascii="Arial" w:eastAsia="Arial" w:hAnsi="Arial" w:cs="Arial"/>
          <w:sz w:val="28"/>
          <w:szCs w:val="28"/>
        </w:rPr>
        <w:t xml:space="preserve">, S.; </w:t>
      </w:r>
      <w:proofErr w:type="spellStart"/>
      <w:r>
        <w:rPr>
          <w:rFonts w:ascii="Arial" w:eastAsia="Arial" w:hAnsi="Arial" w:cs="Arial"/>
          <w:sz w:val="28"/>
          <w:szCs w:val="28"/>
        </w:rPr>
        <w:t>Petrache</w:t>
      </w:r>
      <w:proofErr w:type="spellEnd"/>
      <w:r>
        <w:rPr>
          <w:rFonts w:ascii="Arial" w:eastAsia="Arial" w:hAnsi="Arial" w:cs="Arial"/>
          <w:sz w:val="28"/>
          <w:szCs w:val="28"/>
        </w:rPr>
        <w:t xml:space="preserve">, P.; </w:t>
      </w:r>
      <w:proofErr w:type="spellStart"/>
      <w:r>
        <w:rPr>
          <w:rFonts w:ascii="Arial" w:eastAsia="Arial" w:hAnsi="Arial" w:cs="Arial"/>
          <w:sz w:val="28"/>
          <w:szCs w:val="28"/>
        </w:rPr>
        <w:t>Negoescu</w:t>
      </w:r>
      <w:proofErr w:type="spellEnd"/>
      <w:r>
        <w:rPr>
          <w:rFonts w:ascii="Arial" w:eastAsia="Arial" w:hAnsi="Arial" w:cs="Arial"/>
          <w:sz w:val="28"/>
          <w:szCs w:val="28"/>
        </w:rPr>
        <w:t xml:space="preserve">, C. and </w:t>
      </w:r>
      <w:proofErr w:type="spellStart"/>
      <w:r>
        <w:rPr>
          <w:rFonts w:ascii="Arial" w:eastAsia="Arial" w:hAnsi="Arial" w:cs="Arial"/>
          <w:sz w:val="28"/>
          <w:szCs w:val="28"/>
        </w:rPr>
        <w:t>Butu</w:t>
      </w:r>
      <w:proofErr w:type="spellEnd"/>
      <w:r>
        <w:rPr>
          <w:rFonts w:ascii="Arial" w:eastAsia="Arial" w:hAnsi="Arial" w:cs="Arial"/>
          <w:sz w:val="28"/>
          <w:szCs w:val="28"/>
        </w:rPr>
        <w:t>, M., 2014. Determination and quantification of maize zeaxanthin st</w:t>
      </w:r>
      <w:r>
        <w:rPr>
          <w:rFonts w:ascii="Arial" w:eastAsia="Arial" w:hAnsi="Arial" w:cs="Arial"/>
          <w:sz w:val="28"/>
          <w:szCs w:val="28"/>
        </w:rPr>
        <w:t xml:space="preserve">ability. </w:t>
      </w:r>
      <w:r>
        <w:rPr>
          <w:rFonts w:ascii="Arial" w:eastAsia="Arial" w:hAnsi="Arial" w:cs="Arial"/>
          <w:i/>
          <w:iCs/>
          <w:sz w:val="28"/>
          <w:szCs w:val="28"/>
        </w:rPr>
        <w:t>Digest journal of nanomaterials and biostructures</w:t>
      </w:r>
      <w:r>
        <w:rPr>
          <w:rFonts w:ascii="Arial" w:eastAsia="Arial" w:hAnsi="Arial" w:cs="Arial"/>
          <w:sz w:val="28"/>
          <w:szCs w:val="28"/>
        </w:rPr>
        <w:t xml:space="preserve">, </w:t>
      </w:r>
      <w:r>
        <w:rPr>
          <w:rFonts w:ascii="Arial" w:eastAsia="Arial" w:hAnsi="Arial" w:cs="Arial"/>
          <w:i/>
          <w:iCs/>
          <w:sz w:val="28"/>
          <w:szCs w:val="28"/>
        </w:rPr>
        <w:t>9</w:t>
      </w:r>
      <w:r>
        <w:rPr>
          <w:rFonts w:ascii="Arial" w:eastAsia="Arial" w:hAnsi="Arial" w:cs="Arial"/>
          <w:sz w:val="28"/>
          <w:szCs w:val="28"/>
        </w:rPr>
        <w:t>(2), pp.745-755.</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Camello</w:t>
      </w:r>
      <w:proofErr w:type="spellEnd"/>
      <w:r>
        <w:rPr>
          <w:rFonts w:ascii="Arial" w:eastAsia="Arial" w:hAnsi="Arial" w:cs="Arial"/>
          <w:sz w:val="28"/>
          <w:szCs w:val="28"/>
        </w:rPr>
        <w:t xml:space="preserve">-Almaraz, C.; Gomez-Pinilla, P.J.; </w:t>
      </w:r>
      <w:proofErr w:type="spellStart"/>
      <w:r>
        <w:rPr>
          <w:rFonts w:ascii="Arial" w:eastAsia="Arial" w:hAnsi="Arial" w:cs="Arial"/>
          <w:sz w:val="28"/>
          <w:szCs w:val="28"/>
        </w:rPr>
        <w:t>Pozo</w:t>
      </w:r>
      <w:proofErr w:type="spellEnd"/>
      <w:r>
        <w:rPr>
          <w:rFonts w:ascii="Arial" w:eastAsia="Arial" w:hAnsi="Arial" w:cs="Arial"/>
          <w:sz w:val="28"/>
          <w:szCs w:val="28"/>
        </w:rPr>
        <w:t xml:space="preserve">, M.J. and </w:t>
      </w:r>
      <w:proofErr w:type="spellStart"/>
      <w:r>
        <w:rPr>
          <w:rFonts w:ascii="Arial" w:eastAsia="Arial" w:hAnsi="Arial" w:cs="Arial"/>
          <w:sz w:val="28"/>
          <w:szCs w:val="28"/>
        </w:rPr>
        <w:t>Camello</w:t>
      </w:r>
      <w:proofErr w:type="spellEnd"/>
      <w:r>
        <w:rPr>
          <w:rFonts w:ascii="Arial" w:eastAsia="Arial" w:hAnsi="Arial" w:cs="Arial"/>
          <w:sz w:val="28"/>
          <w:szCs w:val="28"/>
        </w:rPr>
        <w:t xml:space="preserve">, P.J., 2006. Mitochondrial reactive oxygen species and Ca2+ signaling. </w:t>
      </w:r>
      <w:r>
        <w:rPr>
          <w:rFonts w:ascii="Arial" w:eastAsia="Arial" w:hAnsi="Arial" w:cs="Arial"/>
          <w:i/>
          <w:iCs/>
          <w:sz w:val="28"/>
          <w:szCs w:val="28"/>
        </w:rPr>
        <w:t>American Journal of Physiology-Cell Physiology</w:t>
      </w:r>
      <w:r>
        <w:rPr>
          <w:rFonts w:ascii="Arial" w:eastAsia="Arial" w:hAnsi="Arial" w:cs="Arial"/>
          <w:sz w:val="28"/>
          <w:szCs w:val="28"/>
        </w:rPr>
        <w:t xml:space="preserve">, </w:t>
      </w:r>
      <w:r>
        <w:rPr>
          <w:rFonts w:ascii="Arial" w:eastAsia="Arial" w:hAnsi="Arial" w:cs="Arial"/>
          <w:i/>
          <w:iCs/>
          <w:sz w:val="28"/>
          <w:szCs w:val="28"/>
        </w:rPr>
        <w:t>291</w:t>
      </w:r>
      <w:r>
        <w:rPr>
          <w:rFonts w:ascii="Arial" w:eastAsia="Arial" w:hAnsi="Arial" w:cs="Arial"/>
          <w:sz w:val="28"/>
          <w:szCs w:val="28"/>
        </w:rPr>
        <w:t>(5), pp.C1082-C1088.</w:t>
      </w:r>
      <w:hyperlink r:id="rId13">
        <w:r>
          <w:rPr>
            <w:rFonts w:ascii="Arial" w:eastAsia="Arial" w:hAnsi="Arial" w:cs="Arial"/>
            <w:sz w:val="28"/>
            <w:szCs w:val="28"/>
          </w:rPr>
          <w:t xml:space="preserve"> </w:t>
        </w:r>
      </w:hyperlink>
      <w:hyperlink r:id="rId14">
        <w:r>
          <w:rPr>
            <w:rFonts w:ascii="Arial" w:eastAsia="Arial" w:hAnsi="Arial" w:cs="Arial"/>
            <w:color w:val="1155CC"/>
            <w:sz w:val="28"/>
            <w:szCs w:val="28"/>
            <w:u w:val="single"/>
          </w:rPr>
          <w:t>https://doi.org/10.1152/ajpcell.00217.2006</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Chikuni</w:t>
      </w:r>
      <w:proofErr w:type="spellEnd"/>
      <w:r>
        <w:rPr>
          <w:rFonts w:ascii="Arial" w:eastAsia="Arial" w:hAnsi="Arial" w:cs="Arial"/>
          <w:sz w:val="28"/>
          <w:szCs w:val="28"/>
        </w:rPr>
        <w:t>, K.; Tab</w:t>
      </w:r>
      <w:r>
        <w:rPr>
          <w:rFonts w:ascii="Arial" w:eastAsia="Arial" w:hAnsi="Arial" w:cs="Arial"/>
          <w:sz w:val="28"/>
          <w:szCs w:val="28"/>
        </w:rPr>
        <w:t xml:space="preserve">ata, T.; </w:t>
      </w:r>
      <w:proofErr w:type="spellStart"/>
      <w:r>
        <w:rPr>
          <w:rFonts w:ascii="Arial" w:eastAsia="Arial" w:hAnsi="Arial" w:cs="Arial"/>
          <w:sz w:val="28"/>
          <w:szCs w:val="28"/>
        </w:rPr>
        <w:t>Kosugiyama</w:t>
      </w:r>
      <w:proofErr w:type="spellEnd"/>
      <w:r>
        <w:rPr>
          <w:rFonts w:ascii="Arial" w:eastAsia="Arial" w:hAnsi="Arial" w:cs="Arial"/>
          <w:sz w:val="28"/>
          <w:szCs w:val="28"/>
        </w:rPr>
        <w:t xml:space="preserve">, M.; </w:t>
      </w:r>
      <w:proofErr w:type="spellStart"/>
      <w:r>
        <w:rPr>
          <w:rFonts w:ascii="Arial" w:eastAsia="Arial" w:hAnsi="Arial" w:cs="Arial"/>
          <w:sz w:val="28"/>
          <w:szCs w:val="28"/>
        </w:rPr>
        <w:t>Monma</w:t>
      </w:r>
      <w:proofErr w:type="spellEnd"/>
      <w:r>
        <w:rPr>
          <w:rFonts w:ascii="Arial" w:eastAsia="Arial" w:hAnsi="Arial" w:cs="Arial"/>
          <w:sz w:val="28"/>
          <w:szCs w:val="28"/>
        </w:rPr>
        <w:t>, M., &amp; Saito, M., 1994. Polymerase chain reaction assay for detection of sheep and goat meats. Meat Science, 37(3), 337-345.</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Chinnery, P. F. and Schon, E. A., 2003. Mitochondria. J. Neurol. </w:t>
      </w:r>
      <w:proofErr w:type="spellStart"/>
      <w:r>
        <w:rPr>
          <w:rFonts w:ascii="Arial" w:eastAsia="Arial" w:hAnsi="Arial" w:cs="Arial"/>
          <w:sz w:val="28"/>
          <w:szCs w:val="28"/>
        </w:rPr>
        <w:t>Neurosurg</w:t>
      </w:r>
      <w:proofErr w:type="spellEnd"/>
      <w:r>
        <w:rPr>
          <w:rFonts w:ascii="Arial" w:eastAsia="Arial" w:hAnsi="Arial" w:cs="Arial"/>
          <w:sz w:val="28"/>
          <w:szCs w:val="28"/>
        </w:rPr>
        <w:t xml:space="preserve">. </w:t>
      </w:r>
      <w:proofErr w:type="spellStart"/>
      <w:r>
        <w:rPr>
          <w:rFonts w:ascii="Arial" w:eastAsia="Arial" w:hAnsi="Arial" w:cs="Arial"/>
          <w:sz w:val="28"/>
          <w:szCs w:val="28"/>
        </w:rPr>
        <w:t>Psychiatr</w:t>
      </w:r>
      <w:proofErr w:type="spellEnd"/>
      <w:r>
        <w:rPr>
          <w:rFonts w:ascii="Arial" w:eastAsia="Arial" w:hAnsi="Arial" w:cs="Arial"/>
          <w:sz w:val="28"/>
          <w:szCs w:val="28"/>
        </w:rPr>
        <w:t>. 74, 1188– 119</w:t>
      </w:r>
      <w:r>
        <w:rPr>
          <w:rFonts w:ascii="Arial" w:eastAsia="Arial" w:hAnsi="Arial" w:cs="Arial"/>
          <w:sz w:val="28"/>
          <w:szCs w:val="28"/>
        </w:rPr>
        <w:t>9.</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lastRenderedPageBreak/>
        <w:t>Cocozza</w:t>
      </w:r>
      <w:proofErr w:type="spellEnd"/>
      <w:r>
        <w:rPr>
          <w:rFonts w:ascii="Arial" w:eastAsia="Arial" w:hAnsi="Arial" w:cs="Arial"/>
          <w:sz w:val="28"/>
          <w:szCs w:val="28"/>
        </w:rPr>
        <w:t xml:space="preserve">, S.; </w:t>
      </w:r>
      <w:proofErr w:type="spellStart"/>
      <w:r>
        <w:rPr>
          <w:rFonts w:ascii="Arial" w:eastAsia="Arial" w:hAnsi="Arial" w:cs="Arial"/>
          <w:sz w:val="28"/>
          <w:szCs w:val="28"/>
        </w:rPr>
        <w:t>Casaburi</w:t>
      </w:r>
      <w:proofErr w:type="spellEnd"/>
      <w:r>
        <w:rPr>
          <w:rFonts w:ascii="Arial" w:eastAsia="Arial" w:hAnsi="Arial" w:cs="Arial"/>
          <w:sz w:val="28"/>
          <w:szCs w:val="28"/>
        </w:rPr>
        <w:t>, D.G. and Salvatore, F., 2014. ‘“Next generation genomic sequencing and bioinformatics approaches for the study of the human gut microbiome in selected diseases of the human gut”.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Copeland, W.C., 2008. Inherited mitochondrial disea</w:t>
      </w:r>
      <w:r>
        <w:rPr>
          <w:rFonts w:ascii="Arial" w:eastAsia="Arial" w:hAnsi="Arial" w:cs="Arial"/>
          <w:sz w:val="28"/>
          <w:szCs w:val="28"/>
        </w:rPr>
        <w:t xml:space="preserve">ses of DNA replication. </w:t>
      </w:r>
      <w:proofErr w:type="spellStart"/>
      <w:r>
        <w:rPr>
          <w:rFonts w:ascii="Arial" w:eastAsia="Arial" w:hAnsi="Arial" w:cs="Arial"/>
          <w:i/>
          <w:iCs/>
          <w:sz w:val="28"/>
          <w:szCs w:val="28"/>
        </w:rPr>
        <w:t>Annu</w:t>
      </w:r>
      <w:proofErr w:type="spellEnd"/>
      <w:r>
        <w:rPr>
          <w:rFonts w:ascii="Arial" w:eastAsia="Arial" w:hAnsi="Arial" w:cs="Arial"/>
          <w:i/>
          <w:iCs/>
          <w:sz w:val="28"/>
          <w:szCs w:val="28"/>
        </w:rPr>
        <w:t>. Rev. Med.</w:t>
      </w:r>
      <w:r>
        <w:rPr>
          <w:rFonts w:ascii="Arial" w:eastAsia="Arial" w:hAnsi="Arial" w:cs="Arial"/>
          <w:sz w:val="28"/>
          <w:szCs w:val="28"/>
        </w:rPr>
        <w:t xml:space="preserve">, </w:t>
      </w:r>
      <w:r>
        <w:rPr>
          <w:rFonts w:ascii="Arial" w:eastAsia="Arial" w:hAnsi="Arial" w:cs="Arial"/>
          <w:i/>
          <w:iCs/>
          <w:sz w:val="28"/>
          <w:szCs w:val="28"/>
        </w:rPr>
        <w:t>59</w:t>
      </w:r>
      <w:r>
        <w:rPr>
          <w:rFonts w:ascii="Arial" w:eastAsia="Arial" w:hAnsi="Arial" w:cs="Arial"/>
          <w:sz w:val="28"/>
          <w:szCs w:val="28"/>
        </w:rPr>
        <w:t>, pp.131-146.</w:t>
      </w:r>
      <w:hyperlink r:id="rId15">
        <w:r>
          <w:rPr>
            <w:rFonts w:ascii="Arial" w:eastAsia="Arial" w:hAnsi="Arial" w:cs="Arial"/>
            <w:sz w:val="28"/>
            <w:szCs w:val="28"/>
          </w:rPr>
          <w:t xml:space="preserve"> </w:t>
        </w:r>
      </w:hyperlink>
      <w:hyperlink r:id="rId16">
        <w:r>
          <w:rPr>
            <w:rFonts w:ascii="Arial" w:eastAsia="Arial" w:hAnsi="Arial" w:cs="Arial"/>
            <w:color w:val="1155CC"/>
            <w:sz w:val="28"/>
            <w:szCs w:val="28"/>
            <w:u w:val="single"/>
          </w:rPr>
          <w:t>https://doi.org/10.1146/annurev.med.59.053006.104646</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D</w:t>
      </w:r>
      <w:r>
        <w:rPr>
          <w:rFonts w:ascii="Arial" w:eastAsia="Arial" w:hAnsi="Arial" w:cs="Arial"/>
          <w:sz w:val="28"/>
          <w:szCs w:val="28"/>
        </w:rPr>
        <w:t xml:space="preserve">avid, J.A.; Guan, z.; Daniel, P. L.; Fred, W. and </w:t>
      </w:r>
      <w:proofErr w:type="spellStart"/>
      <w:r>
        <w:rPr>
          <w:rFonts w:ascii="Arial" w:eastAsia="Arial" w:hAnsi="Arial" w:cs="Arial"/>
          <w:sz w:val="28"/>
          <w:szCs w:val="28"/>
        </w:rPr>
        <w:t>McLafferty</w:t>
      </w:r>
      <w:proofErr w:type="spellEnd"/>
      <w:r>
        <w:rPr>
          <w:rFonts w:ascii="Arial" w:eastAsia="Arial" w:hAnsi="Arial" w:cs="Arial"/>
          <w:sz w:val="28"/>
          <w:szCs w:val="28"/>
        </w:rPr>
        <w:t xml:space="preserve">, 1997. DNA Sequencing with </w:t>
      </w:r>
      <w:proofErr w:type="spellStart"/>
      <w:r>
        <w:rPr>
          <w:rFonts w:ascii="Arial" w:eastAsia="Arial" w:hAnsi="Arial" w:cs="Arial"/>
          <w:sz w:val="28"/>
          <w:szCs w:val="28"/>
        </w:rPr>
        <w:t>Balckbody</w:t>
      </w:r>
      <w:proofErr w:type="spellEnd"/>
      <w:r>
        <w:rPr>
          <w:rFonts w:ascii="Arial" w:eastAsia="Arial" w:hAnsi="Arial" w:cs="Arial"/>
          <w:sz w:val="28"/>
          <w:szCs w:val="28"/>
        </w:rPr>
        <w:t xml:space="preserve"> Infrared Radioactive Dissociation of </w:t>
      </w:r>
      <w:proofErr w:type="spellStart"/>
      <w:r>
        <w:rPr>
          <w:rFonts w:ascii="Arial" w:eastAsia="Arial" w:hAnsi="Arial" w:cs="Arial"/>
          <w:sz w:val="28"/>
          <w:szCs w:val="28"/>
        </w:rPr>
        <w:t>Electrosprayed</w:t>
      </w:r>
      <w:proofErr w:type="spellEnd"/>
      <w:r>
        <w:rPr>
          <w:rFonts w:ascii="Arial" w:eastAsia="Arial" w:hAnsi="Arial" w:cs="Arial"/>
          <w:sz w:val="28"/>
          <w:szCs w:val="28"/>
        </w:rPr>
        <w:t xml:space="preserve"> Ions. International Journal of Mass Spectrometry and Icon Processes 167-168: 705-712. doi.org/10.1016/S016</w:t>
      </w:r>
      <w:r>
        <w:rPr>
          <w:rFonts w:ascii="Arial" w:eastAsia="Arial" w:hAnsi="Arial" w:cs="Arial"/>
          <w:sz w:val="28"/>
          <w:szCs w:val="28"/>
        </w:rPr>
        <w:t>8-1176 (97) 00130-4.</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DeSalle</w:t>
      </w:r>
      <w:proofErr w:type="spellEnd"/>
      <w:r>
        <w:rPr>
          <w:rFonts w:ascii="Arial" w:eastAsia="Arial" w:hAnsi="Arial" w:cs="Arial"/>
          <w:sz w:val="28"/>
          <w:szCs w:val="28"/>
        </w:rPr>
        <w:t xml:space="preserve">, R., </w:t>
      </w:r>
      <w:proofErr w:type="spellStart"/>
      <w:r>
        <w:rPr>
          <w:rFonts w:ascii="Arial" w:eastAsia="Arial" w:hAnsi="Arial" w:cs="Arial"/>
          <w:sz w:val="28"/>
          <w:szCs w:val="28"/>
        </w:rPr>
        <w:t>Schierwater</w:t>
      </w:r>
      <w:proofErr w:type="spellEnd"/>
      <w:r>
        <w:rPr>
          <w:rFonts w:ascii="Arial" w:eastAsia="Arial" w:hAnsi="Arial" w:cs="Arial"/>
          <w:sz w:val="28"/>
          <w:szCs w:val="28"/>
        </w:rPr>
        <w:t xml:space="preserve">, B. and </w:t>
      </w:r>
      <w:proofErr w:type="spellStart"/>
      <w:r>
        <w:rPr>
          <w:rFonts w:ascii="Arial" w:eastAsia="Arial" w:hAnsi="Arial" w:cs="Arial"/>
          <w:sz w:val="28"/>
          <w:szCs w:val="28"/>
        </w:rPr>
        <w:t>Hadrys</w:t>
      </w:r>
      <w:proofErr w:type="spellEnd"/>
      <w:r>
        <w:rPr>
          <w:rFonts w:ascii="Arial" w:eastAsia="Arial" w:hAnsi="Arial" w:cs="Arial"/>
          <w:sz w:val="28"/>
          <w:szCs w:val="28"/>
        </w:rPr>
        <w:t xml:space="preserve">, H., 2017. </w:t>
      </w:r>
      <w:proofErr w:type="spellStart"/>
      <w:r>
        <w:rPr>
          <w:rFonts w:ascii="Arial" w:eastAsia="Arial" w:hAnsi="Arial" w:cs="Arial"/>
          <w:sz w:val="28"/>
          <w:szCs w:val="28"/>
        </w:rPr>
        <w:t>MtDNA</w:t>
      </w:r>
      <w:proofErr w:type="spellEnd"/>
      <w:r>
        <w:rPr>
          <w:rFonts w:ascii="Arial" w:eastAsia="Arial" w:hAnsi="Arial" w:cs="Arial"/>
          <w:sz w:val="28"/>
          <w:szCs w:val="28"/>
        </w:rPr>
        <w:t xml:space="preserve">: The small workhorse of evolutionary studies. </w:t>
      </w:r>
      <w:r>
        <w:rPr>
          <w:rFonts w:ascii="Arial" w:eastAsia="Arial" w:hAnsi="Arial" w:cs="Arial"/>
          <w:i/>
          <w:iCs/>
          <w:sz w:val="28"/>
          <w:szCs w:val="28"/>
        </w:rPr>
        <w:t>Frontiers in Bioscience</w:t>
      </w:r>
      <w:r>
        <w:rPr>
          <w:rFonts w:ascii="Arial" w:eastAsia="Arial" w:hAnsi="Arial" w:cs="Arial"/>
          <w:sz w:val="28"/>
          <w:szCs w:val="28"/>
        </w:rPr>
        <w:t xml:space="preserve">, </w:t>
      </w:r>
      <w:r>
        <w:rPr>
          <w:rFonts w:ascii="Arial" w:eastAsia="Arial" w:hAnsi="Arial" w:cs="Arial"/>
          <w:i/>
          <w:iCs/>
          <w:sz w:val="28"/>
          <w:szCs w:val="28"/>
        </w:rPr>
        <w:t>22</w:t>
      </w:r>
      <w:r>
        <w:rPr>
          <w:rFonts w:ascii="Arial" w:eastAsia="Arial" w:hAnsi="Arial" w:cs="Arial"/>
          <w:sz w:val="28"/>
          <w:szCs w:val="28"/>
        </w:rPr>
        <w:t>, pp.873-887.</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Galtier</w:t>
      </w:r>
      <w:proofErr w:type="spellEnd"/>
      <w:r>
        <w:rPr>
          <w:rFonts w:ascii="Arial" w:eastAsia="Arial" w:hAnsi="Arial" w:cs="Arial"/>
          <w:sz w:val="28"/>
          <w:szCs w:val="28"/>
        </w:rPr>
        <w:t xml:space="preserve">, N., </w:t>
      </w:r>
      <w:proofErr w:type="spellStart"/>
      <w:r>
        <w:rPr>
          <w:rFonts w:ascii="Arial" w:eastAsia="Arial" w:hAnsi="Arial" w:cs="Arial"/>
          <w:sz w:val="28"/>
          <w:szCs w:val="28"/>
        </w:rPr>
        <w:t>Nabholz</w:t>
      </w:r>
      <w:proofErr w:type="spellEnd"/>
      <w:r>
        <w:rPr>
          <w:rFonts w:ascii="Arial" w:eastAsia="Arial" w:hAnsi="Arial" w:cs="Arial"/>
          <w:sz w:val="28"/>
          <w:szCs w:val="28"/>
        </w:rPr>
        <w:t xml:space="preserve">, B., </w:t>
      </w:r>
      <w:proofErr w:type="spellStart"/>
      <w:r>
        <w:rPr>
          <w:rFonts w:ascii="Arial" w:eastAsia="Arial" w:hAnsi="Arial" w:cs="Arial"/>
          <w:sz w:val="28"/>
          <w:szCs w:val="28"/>
        </w:rPr>
        <w:t>Glémin</w:t>
      </w:r>
      <w:proofErr w:type="spellEnd"/>
      <w:r>
        <w:rPr>
          <w:rFonts w:ascii="Arial" w:eastAsia="Arial" w:hAnsi="Arial" w:cs="Arial"/>
          <w:sz w:val="28"/>
          <w:szCs w:val="28"/>
        </w:rPr>
        <w:t>, S. and Hurst, G.D.D., 2009. Mitochondrial DNA as a marker</w:t>
      </w:r>
      <w:r>
        <w:rPr>
          <w:rFonts w:ascii="Arial" w:eastAsia="Arial" w:hAnsi="Arial" w:cs="Arial"/>
          <w:sz w:val="28"/>
          <w:szCs w:val="28"/>
        </w:rPr>
        <w:t xml:space="preserve"> of molecular diversity: a reappraisal. </w:t>
      </w:r>
      <w:r>
        <w:rPr>
          <w:rFonts w:ascii="Arial" w:eastAsia="Arial" w:hAnsi="Arial" w:cs="Arial"/>
          <w:i/>
          <w:iCs/>
          <w:sz w:val="28"/>
          <w:szCs w:val="28"/>
        </w:rPr>
        <w:t>Molecular ecology</w:t>
      </w:r>
      <w:r>
        <w:rPr>
          <w:rFonts w:ascii="Arial" w:eastAsia="Arial" w:hAnsi="Arial" w:cs="Arial"/>
          <w:sz w:val="28"/>
          <w:szCs w:val="28"/>
        </w:rPr>
        <w:t xml:space="preserve">, </w:t>
      </w:r>
      <w:r>
        <w:rPr>
          <w:rFonts w:ascii="Arial" w:eastAsia="Arial" w:hAnsi="Arial" w:cs="Arial"/>
          <w:i/>
          <w:iCs/>
          <w:sz w:val="28"/>
          <w:szCs w:val="28"/>
        </w:rPr>
        <w:t>18</w:t>
      </w:r>
      <w:r>
        <w:rPr>
          <w:rFonts w:ascii="Arial" w:eastAsia="Arial" w:hAnsi="Arial" w:cs="Arial"/>
          <w:sz w:val="28"/>
          <w:szCs w:val="28"/>
        </w:rPr>
        <w:t xml:space="preserve">(22), pp.4541-4550. </w:t>
      </w:r>
      <w:proofErr w:type="spellStart"/>
      <w:r>
        <w:rPr>
          <w:rFonts w:ascii="Arial" w:eastAsia="Arial" w:hAnsi="Arial" w:cs="Arial"/>
          <w:sz w:val="28"/>
          <w:szCs w:val="28"/>
        </w:rPr>
        <w:t>doi</w:t>
      </w:r>
      <w:proofErr w:type="spellEnd"/>
      <w:r>
        <w:rPr>
          <w:rFonts w:ascii="Arial" w:eastAsia="Arial" w:hAnsi="Arial" w:cs="Arial"/>
          <w:sz w:val="28"/>
          <w:szCs w:val="28"/>
        </w:rPr>
        <w:t>: 10.1111/j.1365-294X.2009.</w:t>
      </w:r>
      <w:proofErr w:type="gramStart"/>
      <w:r>
        <w:rPr>
          <w:rFonts w:ascii="Arial" w:eastAsia="Arial" w:hAnsi="Arial" w:cs="Arial"/>
          <w:sz w:val="28"/>
          <w:szCs w:val="28"/>
        </w:rPr>
        <w:t>04380.x.</w:t>
      </w:r>
      <w:proofErr w:type="gramEnd"/>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Gauthier-Villars, M.; Landrieu, P.; Cormier-</w:t>
      </w:r>
      <w:proofErr w:type="spellStart"/>
      <w:r>
        <w:rPr>
          <w:rFonts w:ascii="Arial" w:eastAsia="Arial" w:hAnsi="Arial" w:cs="Arial"/>
          <w:sz w:val="28"/>
          <w:szCs w:val="28"/>
        </w:rPr>
        <w:t>Daire</w:t>
      </w:r>
      <w:proofErr w:type="spellEnd"/>
      <w:r>
        <w:rPr>
          <w:rFonts w:ascii="Arial" w:eastAsia="Arial" w:hAnsi="Arial" w:cs="Arial"/>
          <w:sz w:val="28"/>
          <w:szCs w:val="28"/>
        </w:rPr>
        <w:t xml:space="preserve">, V.; </w:t>
      </w:r>
      <w:proofErr w:type="spellStart"/>
      <w:r>
        <w:rPr>
          <w:rFonts w:ascii="Arial" w:eastAsia="Arial" w:hAnsi="Arial" w:cs="Arial"/>
          <w:sz w:val="28"/>
          <w:szCs w:val="28"/>
        </w:rPr>
        <w:t>Jacquemin</w:t>
      </w:r>
      <w:proofErr w:type="spellEnd"/>
      <w:r>
        <w:rPr>
          <w:rFonts w:ascii="Arial" w:eastAsia="Arial" w:hAnsi="Arial" w:cs="Arial"/>
          <w:sz w:val="28"/>
          <w:szCs w:val="28"/>
        </w:rPr>
        <w:t xml:space="preserve">, E.; Chretien, D.; </w:t>
      </w:r>
      <w:proofErr w:type="spellStart"/>
      <w:r>
        <w:rPr>
          <w:rFonts w:ascii="Arial" w:eastAsia="Arial" w:hAnsi="Arial" w:cs="Arial"/>
          <w:sz w:val="28"/>
          <w:szCs w:val="28"/>
        </w:rPr>
        <w:t>Rötig</w:t>
      </w:r>
      <w:proofErr w:type="spellEnd"/>
      <w:r>
        <w:rPr>
          <w:rFonts w:ascii="Arial" w:eastAsia="Arial" w:hAnsi="Arial" w:cs="Arial"/>
          <w:sz w:val="28"/>
          <w:szCs w:val="28"/>
        </w:rPr>
        <w:t xml:space="preserve">, A.; Rustin, P.; </w:t>
      </w:r>
      <w:proofErr w:type="spellStart"/>
      <w:r>
        <w:rPr>
          <w:rFonts w:ascii="Arial" w:eastAsia="Arial" w:hAnsi="Arial" w:cs="Arial"/>
          <w:sz w:val="28"/>
          <w:szCs w:val="28"/>
        </w:rPr>
        <w:t>Munnich</w:t>
      </w:r>
      <w:proofErr w:type="spellEnd"/>
      <w:r>
        <w:rPr>
          <w:rFonts w:ascii="Arial" w:eastAsia="Arial" w:hAnsi="Arial" w:cs="Arial"/>
          <w:sz w:val="28"/>
          <w:szCs w:val="28"/>
        </w:rPr>
        <w:t xml:space="preserve">, A. and de </w:t>
      </w:r>
      <w:proofErr w:type="spellStart"/>
      <w:r>
        <w:rPr>
          <w:rFonts w:ascii="Arial" w:eastAsia="Arial" w:hAnsi="Arial" w:cs="Arial"/>
          <w:sz w:val="28"/>
          <w:szCs w:val="28"/>
        </w:rPr>
        <w:t>Lonlay</w:t>
      </w:r>
      <w:proofErr w:type="spellEnd"/>
      <w:r>
        <w:rPr>
          <w:rFonts w:ascii="Arial" w:eastAsia="Arial" w:hAnsi="Arial" w:cs="Arial"/>
          <w:sz w:val="28"/>
          <w:szCs w:val="28"/>
        </w:rPr>
        <w:t>, P., 2001. Respiratory chain deficiency in Alpers syndrome.</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Girish, P.S.; Anjaneyulu, A.S.R.; </w:t>
      </w:r>
      <w:proofErr w:type="spellStart"/>
      <w:r>
        <w:rPr>
          <w:rFonts w:ascii="Arial" w:eastAsia="Arial" w:hAnsi="Arial" w:cs="Arial"/>
          <w:sz w:val="28"/>
          <w:szCs w:val="28"/>
        </w:rPr>
        <w:t>Viswas</w:t>
      </w:r>
      <w:proofErr w:type="spellEnd"/>
      <w:r>
        <w:rPr>
          <w:rFonts w:ascii="Arial" w:eastAsia="Arial" w:hAnsi="Arial" w:cs="Arial"/>
          <w:sz w:val="28"/>
          <w:szCs w:val="28"/>
        </w:rPr>
        <w:t>, K.N.; Santhosh, F.H.;</w:t>
      </w:r>
      <w:r>
        <w:rPr>
          <w:rFonts w:ascii="Arial" w:eastAsia="Arial" w:hAnsi="Arial" w:cs="Arial"/>
          <w:sz w:val="28"/>
          <w:szCs w:val="28"/>
        </w:rPr>
        <w:t xml:space="preserve"> </w:t>
      </w:r>
      <w:proofErr w:type="spellStart"/>
      <w:r>
        <w:rPr>
          <w:rFonts w:ascii="Arial" w:eastAsia="Arial" w:hAnsi="Arial" w:cs="Arial"/>
          <w:sz w:val="28"/>
          <w:szCs w:val="28"/>
        </w:rPr>
        <w:t>Bhilegaonkar</w:t>
      </w:r>
      <w:proofErr w:type="spellEnd"/>
      <w:r>
        <w:rPr>
          <w:rFonts w:ascii="Arial" w:eastAsia="Arial" w:hAnsi="Arial" w:cs="Arial"/>
          <w:sz w:val="28"/>
          <w:szCs w:val="28"/>
        </w:rPr>
        <w:t>, K.N.; Agarwal, R.K., 2007. Polymerase chain reaction–restriction fragment length polymorphism of mitochondrial 12S rRNA gene: a simple method for identification of poultry meat species. Veterinary Research Communications. 31(4), 447e455.</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Gor</w:t>
      </w:r>
      <w:r>
        <w:rPr>
          <w:rFonts w:ascii="Arial" w:eastAsia="Arial" w:hAnsi="Arial" w:cs="Arial"/>
          <w:sz w:val="28"/>
          <w:szCs w:val="28"/>
        </w:rPr>
        <w:t xml:space="preserve">man, G.S.; Schaefer, A.M.; Ng, Y.; Gomez, N.; Blakely, E.L.; Alston, C.L.; Feeney, C.; Horvath, R.; Yu‐Wai‐Man, P.; Chinnery, P.F. and Taylor, R.W., 2015. Prevalence of nuclear and mitochondrial DNA mutations related to adult mitochondrial disease. </w:t>
      </w:r>
      <w:r>
        <w:rPr>
          <w:rFonts w:ascii="Arial" w:eastAsia="Arial" w:hAnsi="Arial" w:cs="Arial"/>
          <w:i/>
          <w:iCs/>
          <w:sz w:val="28"/>
          <w:szCs w:val="28"/>
        </w:rPr>
        <w:t xml:space="preserve">Annals </w:t>
      </w:r>
      <w:r>
        <w:rPr>
          <w:rFonts w:ascii="Arial" w:eastAsia="Arial" w:hAnsi="Arial" w:cs="Arial"/>
          <w:i/>
          <w:iCs/>
          <w:sz w:val="28"/>
          <w:szCs w:val="28"/>
        </w:rPr>
        <w:t>of neurology</w:t>
      </w:r>
      <w:r>
        <w:rPr>
          <w:rFonts w:ascii="Arial" w:eastAsia="Arial" w:hAnsi="Arial" w:cs="Arial"/>
          <w:sz w:val="28"/>
          <w:szCs w:val="28"/>
        </w:rPr>
        <w:t xml:space="preserve">, </w:t>
      </w:r>
      <w:r>
        <w:rPr>
          <w:rFonts w:ascii="Arial" w:eastAsia="Arial" w:hAnsi="Arial" w:cs="Arial"/>
          <w:i/>
          <w:iCs/>
          <w:sz w:val="28"/>
          <w:szCs w:val="28"/>
        </w:rPr>
        <w:t>77</w:t>
      </w:r>
      <w:r>
        <w:rPr>
          <w:rFonts w:ascii="Arial" w:eastAsia="Arial" w:hAnsi="Arial" w:cs="Arial"/>
          <w:sz w:val="28"/>
          <w:szCs w:val="28"/>
        </w:rPr>
        <w:t>(5), pp.753-759.</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Graziewicz</w:t>
      </w:r>
      <w:proofErr w:type="spellEnd"/>
      <w:r>
        <w:rPr>
          <w:rFonts w:ascii="Arial" w:eastAsia="Arial" w:hAnsi="Arial" w:cs="Arial"/>
          <w:sz w:val="28"/>
          <w:szCs w:val="28"/>
        </w:rPr>
        <w:t xml:space="preserve">, M.A.; Longley, M.J. and Copeland, W.C., 2006. DNA polymerase γ in mitochondrial DNA replication and repair. </w:t>
      </w:r>
      <w:r>
        <w:rPr>
          <w:rFonts w:ascii="Arial" w:eastAsia="Arial" w:hAnsi="Arial" w:cs="Arial"/>
          <w:i/>
          <w:iCs/>
          <w:sz w:val="28"/>
          <w:szCs w:val="28"/>
        </w:rPr>
        <w:t>Chemical reviews</w:t>
      </w:r>
      <w:r>
        <w:rPr>
          <w:rFonts w:ascii="Arial" w:eastAsia="Arial" w:hAnsi="Arial" w:cs="Arial"/>
          <w:sz w:val="28"/>
          <w:szCs w:val="28"/>
        </w:rPr>
        <w:t xml:space="preserve">, </w:t>
      </w:r>
      <w:r>
        <w:rPr>
          <w:rFonts w:ascii="Arial" w:eastAsia="Arial" w:hAnsi="Arial" w:cs="Arial"/>
          <w:i/>
          <w:iCs/>
          <w:sz w:val="28"/>
          <w:szCs w:val="28"/>
        </w:rPr>
        <w:t>106</w:t>
      </w:r>
      <w:r>
        <w:rPr>
          <w:rFonts w:ascii="Arial" w:eastAsia="Arial" w:hAnsi="Arial" w:cs="Arial"/>
          <w:sz w:val="28"/>
          <w:szCs w:val="28"/>
        </w:rPr>
        <w:t>(2), pp.383-405.</w:t>
      </w:r>
      <w:hyperlink r:id="rId17">
        <w:r>
          <w:rPr>
            <w:rFonts w:ascii="Arial" w:eastAsia="Arial" w:hAnsi="Arial" w:cs="Arial"/>
            <w:sz w:val="28"/>
            <w:szCs w:val="28"/>
          </w:rPr>
          <w:t xml:space="preserve"> </w:t>
        </w:r>
      </w:hyperlink>
      <w:hyperlink r:id="rId18">
        <w:r>
          <w:rPr>
            <w:rFonts w:ascii="Arial" w:eastAsia="Arial" w:hAnsi="Arial" w:cs="Arial"/>
            <w:color w:val="1155CC"/>
            <w:sz w:val="28"/>
            <w:szCs w:val="28"/>
            <w:u w:val="single"/>
          </w:rPr>
          <w:t>https://doi.org/10.1021/cr040463d</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lastRenderedPageBreak/>
        <w:t>Holt, I. J.; Lorimer, H. E. and Jacobs, H. T., 2000. Coupled leading- and lagging-strand synthesis of mammalian mitochondrial DNA. Cell 100, 515–524.</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Horai</w:t>
      </w:r>
      <w:proofErr w:type="spellEnd"/>
      <w:r>
        <w:rPr>
          <w:rFonts w:ascii="Arial" w:eastAsia="Arial" w:hAnsi="Arial" w:cs="Arial"/>
          <w:sz w:val="28"/>
          <w:szCs w:val="28"/>
        </w:rPr>
        <w:t xml:space="preserve"> S, </w:t>
      </w:r>
      <w:proofErr w:type="spellStart"/>
      <w:r>
        <w:rPr>
          <w:rFonts w:ascii="Arial" w:eastAsia="Arial" w:hAnsi="Arial" w:cs="Arial"/>
          <w:sz w:val="28"/>
          <w:szCs w:val="28"/>
        </w:rPr>
        <w:t>Hayasaka</w:t>
      </w:r>
      <w:proofErr w:type="spellEnd"/>
      <w:r>
        <w:rPr>
          <w:rFonts w:ascii="Arial" w:eastAsia="Arial" w:hAnsi="Arial" w:cs="Arial"/>
          <w:sz w:val="28"/>
          <w:szCs w:val="28"/>
        </w:rPr>
        <w:t xml:space="preserve"> K, Kondo R, </w:t>
      </w:r>
      <w:proofErr w:type="spellStart"/>
      <w:r>
        <w:rPr>
          <w:rFonts w:ascii="Arial" w:eastAsia="Arial" w:hAnsi="Arial" w:cs="Arial"/>
          <w:sz w:val="28"/>
          <w:szCs w:val="28"/>
        </w:rPr>
        <w:t>Tsugane</w:t>
      </w:r>
      <w:proofErr w:type="spellEnd"/>
      <w:r>
        <w:rPr>
          <w:rFonts w:ascii="Arial" w:eastAsia="Arial" w:hAnsi="Arial" w:cs="Arial"/>
          <w:sz w:val="28"/>
          <w:szCs w:val="28"/>
        </w:rPr>
        <w:t xml:space="preserve"> K, </w:t>
      </w:r>
      <w:proofErr w:type="spellStart"/>
      <w:r>
        <w:rPr>
          <w:rFonts w:ascii="Arial" w:eastAsia="Arial" w:hAnsi="Arial" w:cs="Arial"/>
          <w:sz w:val="28"/>
          <w:szCs w:val="28"/>
        </w:rPr>
        <w:t>Takahata</w:t>
      </w:r>
      <w:proofErr w:type="spellEnd"/>
      <w:r>
        <w:rPr>
          <w:rFonts w:ascii="Arial" w:eastAsia="Arial" w:hAnsi="Arial" w:cs="Arial"/>
          <w:sz w:val="28"/>
          <w:szCs w:val="28"/>
        </w:rPr>
        <w:t xml:space="preserve"> N. Recent African origin of modern humans revealed by complete sequences of hominoid mitochondrial DNAs. Proc Natl </w:t>
      </w:r>
      <w:proofErr w:type="spellStart"/>
      <w:r>
        <w:rPr>
          <w:rFonts w:ascii="Arial" w:eastAsia="Arial" w:hAnsi="Arial" w:cs="Arial"/>
          <w:sz w:val="28"/>
          <w:szCs w:val="28"/>
        </w:rPr>
        <w:t>Acad</w:t>
      </w:r>
      <w:proofErr w:type="spellEnd"/>
      <w:r>
        <w:rPr>
          <w:rFonts w:ascii="Arial" w:eastAsia="Arial" w:hAnsi="Arial" w:cs="Arial"/>
          <w:sz w:val="28"/>
          <w:szCs w:val="28"/>
        </w:rPr>
        <w:t xml:space="preserve"> Sci USA. 1995; 92(2): 532-536. 8.</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Joshi, M. &amp; Deshpande, J., 2010. Polymerase chain re</w:t>
      </w:r>
      <w:r>
        <w:rPr>
          <w:rFonts w:ascii="Arial" w:eastAsia="Arial" w:hAnsi="Arial" w:cs="Arial"/>
          <w:sz w:val="28"/>
          <w:szCs w:val="28"/>
        </w:rPr>
        <w:t>action: methods, Principles and application. International Journal of Biomedical Research, 2(1), 81-9.</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Kazuno</w:t>
      </w:r>
      <w:proofErr w:type="spellEnd"/>
      <w:r>
        <w:rPr>
          <w:rFonts w:ascii="Arial" w:eastAsia="Arial" w:hAnsi="Arial" w:cs="Arial"/>
          <w:sz w:val="28"/>
          <w:szCs w:val="28"/>
        </w:rPr>
        <w:t xml:space="preserve">, A.A.; </w:t>
      </w:r>
      <w:proofErr w:type="spellStart"/>
      <w:r>
        <w:rPr>
          <w:rFonts w:ascii="Arial" w:eastAsia="Arial" w:hAnsi="Arial" w:cs="Arial"/>
          <w:sz w:val="28"/>
          <w:szCs w:val="28"/>
        </w:rPr>
        <w:t>Manukata</w:t>
      </w:r>
      <w:proofErr w:type="spellEnd"/>
      <w:r>
        <w:rPr>
          <w:rFonts w:ascii="Arial" w:eastAsia="Arial" w:hAnsi="Arial" w:cs="Arial"/>
          <w:sz w:val="28"/>
          <w:szCs w:val="28"/>
        </w:rPr>
        <w:t xml:space="preserve">, K.; Nagai, T.; </w:t>
      </w:r>
      <w:proofErr w:type="spellStart"/>
      <w:r>
        <w:rPr>
          <w:rFonts w:ascii="Arial" w:eastAsia="Arial" w:hAnsi="Arial" w:cs="Arial"/>
          <w:sz w:val="28"/>
          <w:szCs w:val="28"/>
        </w:rPr>
        <w:t>Shimozono</w:t>
      </w:r>
      <w:proofErr w:type="spellEnd"/>
      <w:r>
        <w:rPr>
          <w:rFonts w:ascii="Arial" w:eastAsia="Arial" w:hAnsi="Arial" w:cs="Arial"/>
          <w:sz w:val="28"/>
          <w:szCs w:val="28"/>
        </w:rPr>
        <w:t xml:space="preserve">, S.; Tanaka, M.; </w:t>
      </w:r>
      <w:proofErr w:type="spellStart"/>
      <w:r>
        <w:rPr>
          <w:rFonts w:ascii="Arial" w:eastAsia="Arial" w:hAnsi="Arial" w:cs="Arial"/>
          <w:sz w:val="28"/>
          <w:szCs w:val="28"/>
        </w:rPr>
        <w:t>Yoneda</w:t>
      </w:r>
      <w:proofErr w:type="spellEnd"/>
      <w:r>
        <w:rPr>
          <w:rFonts w:ascii="Arial" w:eastAsia="Arial" w:hAnsi="Arial" w:cs="Arial"/>
          <w:sz w:val="28"/>
          <w:szCs w:val="28"/>
        </w:rPr>
        <w:t>, M.; Kato, N.; Miyawaki, A. and Kato, T., (2006). Identification of mitochondria</w:t>
      </w:r>
      <w:r>
        <w:rPr>
          <w:rFonts w:ascii="Arial" w:eastAsia="Arial" w:hAnsi="Arial" w:cs="Arial"/>
          <w:sz w:val="28"/>
          <w:szCs w:val="28"/>
        </w:rPr>
        <w:t xml:space="preserve">l DNA polymorphisms that alter mitochondrial matrix pH and intracellular calcium dynamics. </w:t>
      </w:r>
      <w:proofErr w:type="spellStart"/>
      <w:r>
        <w:rPr>
          <w:rFonts w:ascii="Arial" w:eastAsia="Arial" w:hAnsi="Arial" w:cs="Arial"/>
          <w:sz w:val="28"/>
          <w:szCs w:val="28"/>
        </w:rPr>
        <w:t>PLoS</w:t>
      </w:r>
      <w:proofErr w:type="spellEnd"/>
      <w:r>
        <w:rPr>
          <w:rFonts w:ascii="Arial" w:eastAsia="Arial" w:hAnsi="Arial" w:cs="Arial"/>
          <w:sz w:val="28"/>
          <w:szCs w:val="28"/>
        </w:rPr>
        <w:t xml:space="preserve"> Genet, 2(8): e128.</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Kim, M.Y.; Cho, S.; Lee, J.H.; </w:t>
      </w:r>
      <w:proofErr w:type="spellStart"/>
      <w:r>
        <w:rPr>
          <w:rFonts w:ascii="Arial" w:eastAsia="Arial" w:hAnsi="Arial" w:cs="Arial"/>
          <w:sz w:val="28"/>
          <w:szCs w:val="28"/>
        </w:rPr>
        <w:t>Seo</w:t>
      </w:r>
      <w:proofErr w:type="spellEnd"/>
      <w:r>
        <w:rPr>
          <w:rFonts w:ascii="Arial" w:eastAsia="Arial" w:hAnsi="Arial" w:cs="Arial"/>
          <w:sz w:val="28"/>
          <w:szCs w:val="28"/>
        </w:rPr>
        <w:t xml:space="preserve">, H.J. and Lee, S.D., 2018. Detection of Innate and Artificial Mitochondrial DNA </w:t>
      </w:r>
      <w:proofErr w:type="spellStart"/>
      <w:r>
        <w:rPr>
          <w:rFonts w:ascii="Arial" w:eastAsia="Arial" w:hAnsi="Arial" w:cs="Arial"/>
          <w:sz w:val="28"/>
          <w:szCs w:val="28"/>
        </w:rPr>
        <w:t>Heteroplasmy</w:t>
      </w:r>
      <w:proofErr w:type="spellEnd"/>
      <w:r>
        <w:rPr>
          <w:rFonts w:ascii="Arial" w:eastAsia="Arial" w:hAnsi="Arial" w:cs="Arial"/>
          <w:sz w:val="28"/>
          <w:szCs w:val="28"/>
        </w:rPr>
        <w:t xml:space="preserve"> by Massively </w:t>
      </w:r>
      <w:r>
        <w:rPr>
          <w:rFonts w:ascii="Arial" w:eastAsia="Arial" w:hAnsi="Arial" w:cs="Arial"/>
          <w:sz w:val="28"/>
          <w:szCs w:val="28"/>
        </w:rPr>
        <w:t xml:space="preserve">Parallel Sequencing: Considerations for Analysis. </w:t>
      </w:r>
      <w:r>
        <w:rPr>
          <w:rFonts w:ascii="Arial" w:eastAsia="Arial" w:hAnsi="Arial" w:cs="Arial"/>
          <w:i/>
          <w:iCs/>
          <w:sz w:val="28"/>
          <w:szCs w:val="28"/>
        </w:rPr>
        <w:t>Journal of Korean medical science</w:t>
      </w:r>
      <w:r>
        <w:rPr>
          <w:rFonts w:ascii="Arial" w:eastAsia="Arial" w:hAnsi="Arial" w:cs="Arial"/>
          <w:sz w:val="28"/>
          <w:szCs w:val="28"/>
        </w:rPr>
        <w:t xml:space="preserve">, </w:t>
      </w:r>
      <w:r>
        <w:rPr>
          <w:rFonts w:ascii="Arial" w:eastAsia="Arial" w:hAnsi="Arial" w:cs="Arial"/>
          <w:i/>
          <w:iCs/>
          <w:sz w:val="28"/>
          <w:szCs w:val="28"/>
        </w:rPr>
        <w:t>33</w:t>
      </w:r>
      <w:r>
        <w:rPr>
          <w:rFonts w:ascii="Arial" w:eastAsia="Arial" w:hAnsi="Arial" w:cs="Arial"/>
          <w:sz w:val="28"/>
          <w:szCs w:val="28"/>
        </w:rPr>
        <w:t>(52).</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Kircher, M. and Janet Kelso, J., 2010. High-throughput DNA sequencing concepts and limitations. Bioassays 32 (6): 524-536. </w:t>
      </w:r>
      <w:proofErr w:type="spellStart"/>
      <w:r>
        <w:rPr>
          <w:rFonts w:ascii="Arial" w:eastAsia="Arial" w:hAnsi="Arial" w:cs="Arial"/>
          <w:sz w:val="28"/>
          <w:szCs w:val="28"/>
        </w:rPr>
        <w:t>doi</w:t>
      </w:r>
      <w:proofErr w:type="spellEnd"/>
      <w:r>
        <w:rPr>
          <w:rFonts w:ascii="Arial" w:eastAsia="Arial" w:hAnsi="Arial" w:cs="Arial"/>
          <w:sz w:val="28"/>
          <w:szCs w:val="28"/>
        </w:rPr>
        <w:t>: 10.1002/bies.200900181.</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Koopman, W.</w:t>
      </w:r>
      <w:r>
        <w:rPr>
          <w:rFonts w:ascii="Arial" w:eastAsia="Arial" w:hAnsi="Arial" w:cs="Arial"/>
          <w:sz w:val="28"/>
          <w:szCs w:val="28"/>
        </w:rPr>
        <w:t xml:space="preserve">J.; </w:t>
      </w:r>
      <w:proofErr w:type="spellStart"/>
      <w:r>
        <w:rPr>
          <w:rFonts w:ascii="Arial" w:eastAsia="Arial" w:hAnsi="Arial" w:cs="Arial"/>
          <w:sz w:val="28"/>
          <w:szCs w:val="28"/>
        </w:rPr>
        <w:t>Distelmaier</w:t>
      </w:r>
      <w:proofErr w:type="spellEnd"/>
      <w:r>
        <w:rPr>
          <w:rFonts w:ascii="Arial" w:eastAsia="Arial" w:hAnsi="Arial" w:cs="Arial"/>
          <w:sz w:val="28"/>
          <w:szCs w:val="28"/>
        </w:rPr>
        <w:t xml:space="preserve">, F. and </w:t>
      </w:r>
      <w:proofErr w:type="spellStart"/>
      <w:r>
        <w:rPr>
          <w:rFonts w:ascii="Arial" w:eastAsia="Arial" w:hAnsi="Arial" w:cs="Arial"/>
          <w:sz w:val="28"/>
          <w:szCs w:val="28"/>
        </w:rPr>
        <w:t>Smeitink</w:t>
      </w:r>
      <w:proofErr w:type="spellEnd"/>
      <w:r>
        <w:rPr>
          <w:rFonts w:ascii="Arial" w:eastAsia="Arial" w:hAnsi="Arial" w:cs="Arial"/>
          <w:sz w:val="28"/>
          <w:szCs w:val="28"/>
        </w:rPr>
        <w:t xml:space="preserve"> J.A., 2013. ‘OXPHOS mutations and neurodegeneration.’, </w:t>
      </w:r>
      <w:r>
        <w:rPr>
          <w:rFonts w:ascii="Arial" w:eastAsia="Arial" w:hAnsi="Arial" w:cs="Arial"/>
          <w:i/>
          <w:iCs/>
          <w:sz w:val="28"/>
          <w:szCs w:val="28"/>
        </w:rPr>
        <w:t>EMBO J</w:t>
      </w:r>
      <w:r>
        <w:rPr>
          <w:rFonts w:ascii="Arial" w:eastAsia="Arial" w:hAnsi="Arial" w:cs="Arial"/>
          <w:sz w:val="28"/>
          <w:szCs w:val="28"/>
        </w:rPr>
        <w:t>. Beijing Institute of Genomics, Chinese Academy of Sciences and Genetics Society of China, 2(4), p.;32:9–29.</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Krishnan, K. J.; Reeve, A. K.; Samuels, D. C.; Chinn</w:t>
      </w:r>
      <w:r>
        <w:rPr>
          <w:rFonts w:ascii="Arial" w:eastAsia="Arial" w:hAnsi="Arial" w:cs="Arial"/>
          <w:sz w:val="28"/>
          <w:szCs w:val="28"/>
        </w:rPr>
        <w:t xml:space="preserve">ery, P. F.; Blackwood, J. K.; Taylor R, W.; </w:t>
      </w:r>
      <w:proofErr w:type="spellStart"/>
      <w:r>
        <w:rPr>
          <w:rFonts w:ascii="Arial" w:eastAsia="Arial" w:hAnsi="Arial" w:cs="Arial"/>
          <w:sz w:val="28"/>
          <w:szCs w:val="28"/>
        </w:rPr>
        <w:t>Wanrooij</w:t>
      </w:r>
      <w:proofErr w:type="spellEnd"/>
      <w:r>
        <w:rPr>
          <w:rFonts w:ascii="Arial" w:eastAsia="Arial" w:hAnsi="Arial" w:cs="Arial"/>
          <w:sz w:val="28"/>
          <w:szCs w:val="28"/>
        </w:rPr>
        <w:t xml:space="preserve">, S.; </w:t>
      </w:r>
      <w:proofErr w:type="spellStart"/>
      <w:r>
        <w:rPr>
          <w:rFonts w:ascii="Arial" w:eastAsia="Arial" w:hAnsi="Arial" w:cs="Arial"/>
          <w:sz w:val="28"/>
          <w:szCs w:val="28"/>
        </w:rPr>
        <w:t>Spelbrink</w:t>
      </w:r>
      <w:proofErr w:type="spellEnd"/>
      <w:r>
        <w:rPr>
          <w:rFonts w:ascii="Arial" w:eastAsia="Arial" w:hAnsi="Arial" w:cs="Arial"/>
          <w:sz w:val="28"/>
          <w:szCs w:val="28"/>
        </w:rPr>
        <w:t xml:space="preserve">, J. N.; </w:t>
      </w:r>
      <w:proofErr w:type="spellStart"/>
      <w:r>
        <w:rPr>
          <w:rFonts w:ascii="Arial" w:eastAsia="Arial" w:hAnsi="Arial" w:cs="Arial"/>
          <w:sz w:val="28"/>
          <w:szCs w:val="28"/>
        </w:rPr>
        <w:t>Lightowlers</w:t>
      </w:r>
      <w:proofErr w:type="spellEnd"/>
      <w:r>
        <w:rPr>
          <w:rFonts w:ascii="Arial" w:eastAsia="Arial" w:hAnsi="Arial" w:cs="Arial"/>
          <w:sz w:val="28"/>
          <w:szCs w:val="28"/>
        </w:rPr>
        <w:t>, R. N., and Turnbull D. M., 2008. What causes mitochondrial DNA deletions in human cells? Nat. Genet. 40, 275–279.</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Kumar, A.; Kumar, R. R.; Sharma, B. D.; </w:t>
      </w:r>
      <w:proofErr w:type="spellStart"/>
      <w:r>
        <w:rPr>
          <w:rFonts w:ascii="Arial" w:eastAsia="Arial" w:hAnsi="Arial" w:cs="Arial"/>
          <w:sz w:val="28"/>
          <w:szCs w:val="28"/>
        </w:rPr>
        <w:t>Gokulakrishna</w:t>
      </w:r>
      <w:r>
        <w:rPr>
          <w:rFonts w:ascii="Arial" w:eastAsia="Arial" w:hAnsi="Arial" w:cs="Arial"/>
          <w:sz w:val="28"/>
          <w:szCs w:val="28"/>
        </w:rPr>
        <w:t>n</w:t>
      </w:r>
      <w:proofErr w:type="spellEnd"/>
      <w:r>
        <w:rPr>
          <w:rFonts w:ascii="Arial" w:eastAsia="Arial" w:hAnsi="Arial" w:cs="Arial"/>
          <w:sz w:val="28"/>
          <w:szCs w:val="28"/>
        </w:rPr>
        <w:t xml:space="preserve">, P.; </w:t>
      </w:r>
      <w:proofErr w:type="spellStart"/>
      <w:r>
        <w:rPr>
          <w:rFonts w:ascii="Arial" w:eastAsia="Arial" w:hAnsi="Arial" w:cs="Arial"/>
          <w:sz w:val="28"/>
          <w:szCs w:val="28"/>
        </w:rPr>
        <w:t>Mendiratta</w:t>
      </w:r>
      <w:proofErr w:type="spellEnd"/>
      <w:r>
        <w:rPr>
          <w:rFonts w:ascii="Arial" w:eastAsia="Arial" w:hAnsi="Arial" w:cs="Arial"/>
          <w:sz w:val="28"/>
          <w:szCs w:val="28"/>
        </w:rPr>
        <w:t>, S. K., &amp; Sharma, D., 2015. Identification of species origin of meat and meat products on the DNA basis: a review. Critical review in food science and nutrition, 55(10), 1340-1.</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Kuwayama</w:t>
      </w:r>
      <w:proofErr w:type="spellEnd"/>
      <w:r>
        <w:rPr>
          <w:rFonts w:ascii="Arial" w:eastAsia="Arial" w:hAnsi="Arial" w:cs="Arial"/>
          <w:sz w:val="28"/>
          <w:szCs w:val="28"/>
        </w:rPr>
        <w:t>, R. and Ozawa, T., 2000. Phylogenetic relationships</w:t>
      </w:r>
      <w:r>
        <w:rPr>
          <w:rFonts w:ascii="Arial" w:eastAsia="Arial" w:hAnsi="Arial" w:cs="Arial"/>
          <w:sz w:val="28"/>
          <w:szCs w:val="28"/>
        </w:rPr>
        <w:t xml:space="preserve"> </w:t>
      </w:r>
      <w:r>
        <w:rPr>
          <w:rFonts w:ascii="Arial" w:eastAsia="Arial" w:hAnsi="Arial" w:cs="Arial"/>
          <w:sz w:val="28"/>
          <w:szCs w:val="28"/>
        </w:rPr>
        <w:lastRenderedPageBreak/>
        <w:t xml:space="preserve">among European red deer, wapiti, and sika deer inferred from mitochondrial DNA sequences. </w:t>
      </w:r>
      <w:r>
        <w:rPr>
          <w:rFonts w:ascii="Arial" w:eastAsia="Arial" w:hAnsi="Arial" w:cs="Arial"/>
          <w:i/>
          <w:iCs/>
          <w:sz w:val="28"/>
          <w:szCs w:val="28"/>
        </w:rPr>
        <w:t>Molecular phylogenetics and evolution</w:t>
      </w:r>
      <w:r>
        <w:rPr>
          <w:rFonts w:ascii="Arial" w:eastAsia="Arial" w:hAnsi="Arial" w:cs="Arial"/>
          <w:sz w:val="28"/>
          <w:szCs w:val="28"/>
        </w:rPr>
        <w:t xml:space="preserve">, </w:t>
      </w:r>
      <w:r>
        <w:rPr>
          <w:rFonts w:ascii="Arial" w:eastAsia="Arial" w:hAnsi="Arial" w:cs="Arial"/>
          <w:i/>
          <w:iCs/>
          <w:sz w:val="28"/>
          <w:szCs w:val="28"/>
        </w:rPr>
        <w:t>15</w:t>
      </w:r>
      <w:r>
        <w:rPr>
          <w:rFonts w:ascii="Arial" w:eastAsia="Arial" w:hAnsi="Arial" w:cs="Arial"/>
          <w:sz w:val="28"/>
          <w:szCs w:val="28"/>
        </w:rPr>
        <w:t>(1), pp.115-123.</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Lavrov, D. V and </w:t>
      </w:r>
      <w:proofErr w:type="spellStart"/>
      <w:r>
        <w:rPr>
          <w:rFonts w:ascii="Arial" w:eastAsia="Arial" w:hAnsi="Arial" w:cs="Arial"/>
          <w:sz w:val="28"/>
          <w:szCs w:val="28"/>
        </w:rPr>
        <w:t>Pett</w:t>
      </w:r>
      <w:proofErr w:type="spellEnd"/>
      <w:r>
        <w:rPr>
          <w:rFonts w:ascii="Arial" w:eastAsia="Arial" w:hAnsi="Arial" w:cs="Arial"/>
          <w:sz w:val="28"/>
          <w:szCs w:val="28"/>
        </w:rPr>
        <w:t>, W., 2016. ‘Animal Mitochondrial DNA as we do not know it: mt - Genome Organization a</w:t>
      </w:r>
      <w:r>
        <w:rPr>
          <w:rFonts w:ascii="Arial" w:eastAsia="Arial" w:hAnsi="Arial" w:cs="Arial"/>
          <w:sz w:val="28"/>
          <w:szCs w:val="28"/>
        </w:rPr>
        <w:t xml:space="preserve">nd Evolution in Nonbilaterian Lineages’, 8(9), pp. 2896–2913. </w:t>
      </w:r>
      <w:proofErr w:type="spellStart"/>
      <w:r>
        <w:rPr>
          <w:rFonts w:ascii="Arial" w:eastAsia="Arial" w:hAnsi="Arial" w:cs="Arial"/>
          <w:sz w:val="28"/>
          <w:szCs w:val="28"/>
        </w:rPr>
        <w:t>doi</w:t>
      </w:r>
      <w:proofErr w:type="spellEnd"/>
      <w:r>
        <w:rPr>
          <w:rFonts w:ascii="Arial" w:eastAsia="Arial" w:hAnsi="Arial" w:cs="Arial"/>
          <w:sz w:val="28"/>
          <w:szCs w:val="28"/>
        </w:rPr>
        <w:t>: 10.1093/</w:t>
      </w:r>
      <w:proofErr w:type="spellStart"/>
      <w:r>
        <w:rPr>
          <w:rFonts w:ascii="Arial" w:eastAsia="Arial" w:hAnsi="Arial" w:cs="Arial"/>
          <w:sz w:val="28"/>
          <w:szCs w:val="28"/>
        </w:rPr>
        <w:t>gbe</w:t>
      </w:r>
      <w:proofErr w:type="spellEnd"/>
      <w:r>
        <w:rPr>
          <w:rFonts w:ascii="Arial" w:eastAsia="Arial" w:hAnsi="Arial" w:cs="Arial"/>
          <w:sz w:val="28"/>
          <w:szCs w:val="28"/>
        </w:rPr>
        <w:t>/evw195.</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Lee, J.C.I. and Chang, J.G., 1994. Random amplified polymorphic DNA polymerase chain reaction (RAPD PCR) fingerprints in forensic species identification. </w:t>
      </w:r>
      <w:r>
        <w:rPr>
          <w:rFonts w:ascii="Arial" w:eastAsia="Arial" w:hAnsi="Arial" w:cs="Arial"/>
          <w:i/>
          <w:iCs/>
          <w:sz w:val="28"/>
          <w:szCs w:val="28"/>
        </w:rPr>
        <w:t>Forensic scienc</w:t>
      </w:r>
      <w:r>
        <w:rPr>
          <w:rFonts w:ascii="Arial" w:eastAsia="Arial" w:hAnsi="Arial" w:cs="Arial"/>
          <w:i/>
          <w:iCs/>
          <w:sz w:val="28"/>
          <w:szCs w:val="28"/>
        </w:rPr>
        <w:t>e international</w:t>
      </w:r>
      <w:r>
        <w:rPr>
          <w:rFonts w:ascii="Arial" w:eastAsia="Arial" w:hAnsi="Arial" w:cs="Arial"/>
          <w:sz w:val="28"/>
          <w:szCs w:val="28"/>
        </w:rPr>
        <w:t xml:space="preserve">, </w:t>
      </w:r>
      <w:r>
        <w:rPr>
          <w:rFonts w:ascii="Arial" w:eastAsia="Arial" w:hAnsi="Arial" w:cs="Arial"/>
          <w:i/>
          <w:iCs/>
          <w:sz w:val="28"/>
          <w:szCs w:val="28"/>
        </w:rPr>
        <w:t>67</w:t>
      </w:r>
      <w:r>
        <w:rPr>
          <w:rFonts w:ascii="Arial" w:eastAsia="Arial" w:hAnsi="Arial" w:cs="Arial"/>
          <w:sz w:val="28"/>
          <w:szCs w:val="28"/>
        </w:rPr>
        <w:t>(2), pp.103-107.</w:t>
      </w:r>
      <w:hyperlink r:id="rId19">
        <w:r>
          <w:rPr>
            <w:rFonts w:ascii="Arial" w:eastAsia="Arial" w:hAnsi="Arial" w:cs="Arial"/>
            <w:sz w:val="28"/>
            <w:szCs w:val="28"/>
          </w:rPr>
          <w:t xml:space="preserve"> </w:t>
        </w:r>
      </w:hyperlink>
      <w:hyperlink r:id="rId20">
        <w:r>
          <w:rPr>
            <w:rFonts w:ascii="Arial" w:eastAsia="Arial" w:hAnsi="Arial" w:cs="Arial"/>
            <w:color w:val="1155CC"/>
            <w:sz w:val="28"/>
            <w:szCs w:val="28"/>
            <w:u w:val="single"/>
          </w:rPr>
          <w:t>https://doi.org/10.1016/0379-0738(94)90325-5</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Lill</w:t>
      </w:r>
      <w:proofErr w:type="spellEnd"/>
      <w:r>
        <w:rPr>
          <w:rFonts w:ascii="Arial" w:eastAsia="Arial" w:hAnsi="Arial" w:cs="Arial"/>
          <w:sz w:val="28"/>
          <w:szCs w:val="28"/>
        </w:rPr>
        <w:t xml:space="preserve">, R.; </w:t>
      </w:r>
      <w:proofErr w:type="spellStart"/>
      <w:r>
        <w:rPr>
          <w:rFonts w:ascii="Arial" w:eastAsia="Arial" w:hAnsi="Arial" w:cs="Arial"/>
          <w:sz w:val="28"/>
          <w:szCs w:val="28"/>
        </w:rPr>
        <w:t>Diekert</w:t>
      </w:r>
      <w:proofErr w:type="spellEnd"/>
      <w:r>
        <w:rPr>
          <w:rFonts w:ascii="Arial" w:eastAsia="Arial" w:hAnsi="Arial" w:cs="Arial"/>
          <w:sz w:val="28"/>
          <w:szCs w:val="28"/>
        </w:rPr>
        <w:t xml:space="preserve">, K.; </w:t>
      </w:r>
      <w:proofErr w:type="spellStart"/>
      <w:r>
        <w:rPr>
          <w:rFonts w:ascii="Arial" w:eastAsia="Arial" w:hAnsi="Arial" w:cs="Arial"/>
          <w:sz w:val="28"/>
          <w:szCs w:val="28"/>
        </w:rPr>
        <w:t>Kaut</w:t>
      </w:r>
      <w:proofErr w:type="spellEnd"/>
      <w:r>
        <w:rPr>
          <w:rFonts w:ascii="Arial" w:eastAsia="Arial" w:hAnsi="Arial" w:cs="Arial"/>
          <w:sz w:val="28"/>
          <w:szCs w:val="28"/>
        </w:rPr>
        <w:t>, A.; Lange, H.; Pe</w:t>
      </w:r>
      <w:r>
        <w:rPr>
          <w:rFonts w:ascii="Arial" w:eastAsia="Arial" w:hAnsi="Arial" w:cs="Arial"/>
          <w:sz w:val="28"/>
          <w:szCs w:val="28"/>
        </w:rPr>
        <w:t xml:space="preserve">lzer, W.; </w:t>
      </w:r>
      <w:proofErr w:type="spellStart"/>
      <w:r>
        <w:rPr>
          <w:rFonts w:ascii="Arial" w:eastAsia="Arial" w:hAnsi="Arial" w:cs="Arial"/>
          <w:sz w:val="28"/>
          <w:szCs w:val="28"/>
        </w:rPr>
        <w:t>Prohl</w:t>
      </w:r>
      <w:proofErr w:type="spellEnd"/>
      <w:r>
        <w:rPr>
          <w:rFonts w:ascii="Arial" w:eastAsia="Arial" w:hAnsi="Arial" w:cs="Arial"/>
          <w:sz w:val="28"/>
          <w:szCs w:val="28"/>
        </w:rPr>
        <w:t xml:space="preserve">, C. and </w:t>
      </w:r>
      <w:proofErr w:type="spellStart"/>
      <w:r>
        <w:rPr>
          <w:rFonts w:ascii="Arial" w:eastAsia="Arial" w:hAnsi="Arial" w:cs="Arial"/>
          <w:sz w:val="28"/>
          <w:szCs w:val="28"/>
        </w:rPr>
        <w:t>Kispal</w:t>
      </w:r>
      <w:proofErr w:type="spellEnd"/>
      <w:r>
        <w:rPr>
          <w:rFonts w:ascii="Arial" w:eastAsia="Arial" w:hAnsi="Arial" w:cs="Arial"/>
          <w:sz w:val="28"/>
          <w:szCs w:val="28"/>
        </w:rPr>
        <w:t xml:space="preserve">, G., 1999. The essential role of mitochondria in the biogenesis of cellular iron-sulfur proteins. </w:t>
      </w:r>
      <w:r>
        <w:rPr>
          <w:rFonts w:ascii="Arial" w:eastAsia="Arial" w:hAnsi="Arial" w:cs="Arial"/>
          <w:i/>
          <w:iCs/>
          <w:sz w:val="28"/>
          <w:szCs w:val="28"/>
        </w:rPr>
        <w:t>Biological chemistry</w:t>
      </w:r>
      <w:r>
        <w:rPr>
          <w:rFonts w:ascii="Arial" w:eastAsia="Arial" w:hAnsi="Arial" w:cs="Arial"/>
          <w:sz w:val="28"/>
          <w:szCs w:val="28"/>
        </w:rPr>
        <w:t xml:space="preserve">, </w:t>
      </w:r>
      <w:r>
        <w:rPr>
          <w:rFonts w:ascii="Arial" w:eastAsia="Arial" w:hAnsi="Arial" w:cs="Arial"/>
          <w:i/>
          <w:iCs/>
          <w:sz w:val="28"/>
          <w:szCs w:val="28"/>
        </w:rPr>
        <w:t>380</w:t>
      </w:r>
      <w:r>
        <w:rPr>
          <w:rFonts w:ascii="Arial" w:eastAsia="Arial" w:hAnsi="Arial" w:cs="Arial"/>
          <w:sz w:val="28"/>
          <w:szCs w:val="28"/>
        </w:rPr>
        <w:t>(10), pp.1157-1166. DOI:</w:t>
      </w:r>
      <w:hyperlink r:id="rId21">
        <w:r>
          <w:rPr>
            <w:rFonts w:ascii="Arial" w:eastAsia="Arial" w:hAnsi="Arial" w:cs="Arial"/>
            <w:sz w:val="28"/>
            <w:szCs w:val="28"/>
          </w:rPr>
          <w:t xml:space="preserve"> </w:t>
        </w:r>
      </w:hyperlink>
      <w:hyperlink r:id="rId22">
        <w:r>
          <w:rPr>
            <w:rFonts w:ascii="Arial" w:eastAsia="Arial" w:hAnsi="Arial" w:cs="Arial"/>
            <w:color w:val="1155CC"/>
            <w:sz w:val="28"/>
            <w:szCs w:val="28"/>
            <w:u w:val="single"/>
          </w:rPr>
          <w:t>https://doi.org/10.1515/BC.1999.147</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Luo, S.; Valencia, C.A.; Zhang, J; Lee, N.C.; Slone, J.; </w:t>
      </w:r>
      <w:proofErr w:type="spellStart"/>
      <w:r>
        <w:rPr>
          <w:rFonts w:ascii="Arial" w:eastAsia="Arial" w:hAnsi="Arial" w:cs="Arial"/>
          <w:sz w:val="28"/>
          <w:szCs w:val="28"/>
        </w:rPr>
        <w:t>Gui</w:t>
      </w:r>
      <w:proofErr w:type="spellEnd"/>
      <w:r>
        <w:rPr>
          <w:rFonts w:ascii="Arial" w:eastAsia="Arial" w:hAnsi="Arial" w:cs="Arial"/>
          <w:sz w:val="28"/>
          <w:szCs w:val="28"/>
        </w:rPr>
        <w:t xml:space="preserve">, B.; Wang, X.; Li, Z.; Dell, S.; Brown, J.; </w:t>
      </w:r>
      <w:proofErr w:type="spellStart"/>
      <w:r>
        <w:rPr>
          <w:rFonts w:ascii="Arial" w:eastAsia="Arial" w:hAnsi="Arial" w:cs="Arial"/>
          <w:sz w:val="28"/>
          <w:szCs w:val="28"/>
        </w:rPr>
        <w:t>etal</w:t>
      </w:r>
      <w:proofErr w:type="spellEnd"/>
      <w:r>
        <w:rPr>
          <w:rFonts w:ascii="Arial" w:eastAsia="Arial" w:hAnsi="Arial" w:cs="Arial"/>
          <w:sz w:val="28"/>
          <w:szCs w:val="28"/>
        </w:rPr>
        <w:t xml:space="preserve">. Biparental Inheritance of Mitochondrial DNA in Humans. Proc Natl </w:t>
      </w:r>
      <w:proofErr w:type="spellStart"/>
      <w:r>
        <w:rPr>
          <w:rFonts w:ascii="Arial" w:eastAsia="Arial" w:hAnsi="Arial" w:cs="Arial"/>
          <w:sz w:val="28"/>
          <w:szCs w:val="28"/>
        </w:rPr>
        <w:t>Acad</w:t>
      </w:r>
      <w:proofErr w:type="spellEnd"/>
      <w:r>
        <w:rPr>
          <w:rFonts w:ascii="Arial" w:eastAsia="Arial" w:hAnsi="Arial" w:cs="Arial"/>
          <w:sz w:val="28"/>
          <w:szCs w:val="28"/>
        </w:rPr>
        <w:t xml:space="preserve"> Sci U</w:t>
      </w:r>
      <w:r>
        <w:rPr>
          <w:rFonts w:ascii="Arial" w:eastAsia="Arial" w:hAnsi="Arial" w:cs="Arial"/>
          <w:sz w:val="28"/>
          <w:szCs w:val="28"/>
        </w:rPr>
        <w:t>SA. 2018; 115: 13039-13044.</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Maddocks, S. and Jenkins, R., 2016. Understanding PCR: A Practical Bench-top Guide. Elsevier Academic Press. Page 4.</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McFarland, R.; Hudson, G.; Taylor, R.W.; Green, S.H.; Hodges, S.; McKiernan, P.J.; Chinnery, P.F. and Ramesh, V</w:t>
      </w:r>
      <w:r>
        <w:rPr>
          <w:rFonts w:ascii="Arial" w:eastAsia="Arial" w:hAnsi="Arial" w:cs="Arial"/>
          <w:sz w:val="28"/>
          <w:szCs w:val="28"/>
        </w:rPr>
        <w:t xml:space="preserve">., 2009. Reversible valproate hepatotoxicity due to mutations in mitochondrial DNA polymerase γ (POLG1). </w:t>
      </w:r>
      <w:r>
        <w:rPr>
          <w:rFonts w:ascii="Arial" w:eastAsia="Arial" w:hAnsi="Arial" w:cs="Arial"/>
          <w:i/>
          <w:iCs/>
          <w:sz w:val="28"/>
          <w:szCs w:val="28"/>
        </w:rPr>
        <w:t>BMJ case reports</w:t>
      </w:r>
      <w:r>
        <w:rPr>
          <w:rFonts w:ascii="Arial" w:eastAsia="Arial" w:hAnsi="Arial" w:cs="Arial"/>
          <w:sz w:val="28"/>
          <w:szCs w:val="28"/>
        </w:rPr>
        <w:t xml:space="preserve">, </w:t>
      </w:r>
      <w:r>
        <w:rPr>
          <w:rFonts w:ascii="Arial" w:eastAsia="Arial" w:hAnsi="Arial" w:cs="Arial"/>
          <w:i/>
          <w:iCs/>
          <w:sz w:val="28"/>
          <w:szCs w:val="28"/>
        </w:rPr>
        <w:t>2009</w:t>
      </w:r>
      <w:r>
        <w:rPr>
          <w:rFonts w:ascii="Arial" w:eastAsia="Arial" w:hAnsi="Arial" w:cs="Arial"/>
          <w:sz w:val="28"/>
          <w:szCs w:val="28"/>
        </w:rPr>
        <w:t>, p.bcr1220081303.</w:t>
      </w:r>
      <w:hyperlink r:id="rId23">
        <w:r>
          <w:rPr>
            <w:rFonts w:ascii="Arial" w:eastAsia="Arial" w:hAnsi="Arial" w:cs="Arial"/>
            <w:sz w:val="28"/>
            <w:szCs w:val="28"/>
          </w:rPr>
          <w:t xml:space="preserve"> </w:t>
        </w:r>
      </w:hyperlink>
      <w:hyperlink r:id="rId24">
        <w:r>
          <w:rPr>
            <w:rFonts w:ascii="Arial" w:eastAsia="Arial" w:hAnsi="Arial" w:cs="Arial"/>
            <w:color w:val="1155CC"/>
            <w:sz w:val="28"/>
            <w:szCs w:val="28"/>
            <w:u w:val="single"/>
          </w:rPr>
          <w:t>http://dx.doi.org/10.1136/bcr.12.2008.1303</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Melton, T. and Holland, C., 2007. Routine forensic use of the mitochondrial 12S ribosomal RNA gene for species identification. </w:t>
      </w:r>
      <w:r>
        <w:rPr>
          <w:rFonts w:ascii="Arial" w:eastAsia="Arial" w:hAnsi="Arial" w:cs="Arial"/>
          <w:i/>
          <w:iCs/>
          <w:sz w:val="28"/>
          <w:szCs w:val="28"/>
        </w:rPr>
        <w:t>Journal of forensic scien</w:t>
      </w:r>
      <w:r>
        <w:rPr>
          <w:rFonts w:ascii="Arial" w:eastAsia="Arial" w:hAnsi="Arial" w:cs="Arial"/>
          <w:i/>
          <w:iCs/>
          <w:sz w:val="28"/>
          <w:szCs w:val="28"/>
        </w:rPr>
        <w:t>ces</w:t>
      </w:r>
      <w:r>
        <w:rPr>
          <w:rFonts w:ascii="Arial" w:eastAsia="Arial" w:hAnsi="Arial" w:cs="Arial"/>
          <w:sz w:val="28"/>
          <w:szCs w:val="28"/>
        </w:rPr>
        <w:t xml:space="preserve">, </w:t>
      </w:r>
      <w:r>
        <w:rPr>
          <w:rFonts w:ascii="Arial" w:eastAsia="Arial" w:hAnsi="Arial" w:cs="Arial"/>
          <w:i/>
          <w:iCs/>
          <w:sz w:val="28"/>
          <w:szCs w:val="28"/>
        </w:rPr>
        <w:t>52</w:t>
      </w:r>
      <w:r>
        <w:rPr>
          <w:rFonts w:ascii="Arial" w:eastAsia="Arial" w:hAnsi="Arial" w:cs="Arial"/>
          <w:sz w:val="28"/>
          <w:szCs w:val="28"/>
        </w:rPr>
        <w:t>(6), pp.1305-1307.</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Meunier, J. R. &amp; </w:t>
      </w:r>
      <w:proofErr w:type="spellStart"/>
      <w:r>
        <w:rPr>
          <w:rFonts w:ascii="Arial" w:eastAsia="Arial" w:hAnsi="Arial" w:cs="Arial"/>
          <w:sz w:val="28"/>
          <w:szCs w:val="28"/>
        </w:rPr>
        <w:t>Grimont</w:t>
      </w:r>
      <w:proofErr w:type="spellEnd"/>
      <w:r>
        <w:rPr>
          <w:rFonts w:ascii="Arial" w:eastAsia="Arial" w:hAnsi="Arial" w:cs="Arial"/>
          <w:sz w:val="28"/>
          <w:szCs w:val="28"/>
        </w:rPr>
        <w:t>, P. (1993). Factors affecting reproducibility of Random amplified polymorphic DNA finger printing. Research in microbiology, 144(5), 373-379.</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Mitani</w:t>
      </w:r>
      <w:proofErr w:type="spellEnd"/>
      <w:r>
        <w:rPr>
          <w:rFonts w:ascii="Arial" w:eastAsia="Arial" w:hAnsi="Arial" w:cs="Arial"/>
          <w:sz w:val="28"/>
          <w:szCs w:val="28"/>
        </w:rPr>
        <w:t xml:space="preserve">, T.; </w:t>
      </w:r>
      <w:proofErr w:type="spellStart"/>
      <w:r>
        <w:rPr>
          <w:rFonts w:ascii="Arial" w:eastAsia="Arial" w:hAnsi="Arial" w:cs="Arial"/>
          <w:sz w:val="28"/>
          <w:szCs w:val="28"/>
        </w:rPr>
        <w:t>Akane</w:t>
      </w:r>
      <w:proofErr w:type="spellEnd"/>
      <w:r>
        <w:rPr>
          <w:rFonts w:ascii="Arial" w:eastAsia="Arial" w:hAnsi="Arial" w:cs="Arial"/>
          <w:sz w:val="28"/>
          <w:szCs w:val="28"/>
        </w:rPr>
        <w:t xml:space="preserve">, A.; </w:t>
      </w:r>
      <w:proofErr w:type="spellStart"/>
      <w:r>
        <w:rPr>
          <w:rFonts w:ascii="Arial" w:eastAsia="Arial" w:hAnsi="Arial" w:cs="Arial"/>
          <w:sz w:val="28"/>
          <w:szCs w:val="28"/>
        </w:rPr>
        <w:t>Tokiyasu</w:t>
      </w:r>
      <w:proofErr w:type="spellEnd"/>
      <w:r>
        <w:rPr>
          <w:rFonts w:ascii="Arial" w:eastAsia="Arial" w:hAnsi="Arial" w:cs="Arial"/>
          <w:sz w:val="28"/>
          <w:szCs w:val="28"/>
        </w:rPr>
        <w:t xml:space="preserve">, T.; Yoshimura, S.; </w:t>
      </w:r>
      <w:proofErr w:type="spellStart"/>
      <w:r>
        <w:rPr>
          <w:rFonts w:ascii="Arial" w:eastAsia="Arial" w:hAnsi="Arial" w:cs="Arial"/>
          <w:sz w:val="28"/>
          <w:szCs w:val="28"/>
        </w:rPr>
        <w:t>Okii</w:t>
      </w:r>
      <w:proofErr w:type="spellEnd"/>
      <w:r>
        <w:rPr>
          <w:rFonts w:ascii="Arial" w:eastAsia="Arial" w:hAnsi="Arial" w:cs="Arial"/>
          <w:sz w:val="28"/>
          <w:szCs w:val="28"/>
        </w:rPr>
        <w:t>, Y. an</w:t>
      </w:r>
      <w:r>
        <w:rPr>
          <w:rFonts w:ascii="Arial" w:eastAsia="Arial" w:hAnsi="Arial" w:cs="Arial"/>
          <w:sz w:val="28"/>
          <w:szCs w:val="28"/>
        </w:rPr>
        <w:t xml:space="preserve">d Yoshida, M., 2009. Identification of animal species using the partial sequences in the mitochondrial 16S rRNA gene. </w:t>
      </w:r>
      <w:r>
        <w:rPr>
          <w:rFonts w:ascii="Arial" w:eastAsia="Arial" w:hAnsi="Arial" w:cs="Arial"/>
          <w:i/>
          <w:iCs/>
          <w:sz w:val="28"/>
          <w:szCs w:val="28"/>
        </w:rPr>
        <w:t>Legal medicine</w:t>
      </w:r>
      <w:r>
        <w:rPr>
          <w:rFonts w:ascii="Arial" w:eastAsia="Arial" w:hAnsi="Arial" w:cs="Arial"/>
          <w:sz w:val="28"/>
          <w:szCs w:val="28"/>
        </w:rPr>
        <w:t xml:space="preserve">, </w:t>
      </w:r>
      <w:r>
        <w:rPr>
          <w:rFonts w:ascii="Arial" w:eastAsia="Arial" w:hAnsi="Arial" w:cs="Arial"/>
          <w:i/>
          <w:iCs/>
          <w:sz w:val="28"/>
          <w:szCs w:val="28"/>
        </w:rPr>
        <w:t>11</w:t>
      </w:r>
      <w:r>
        <w:rPr>
          <w:rFonts w:ascii="Arial" w:eastAsia="Arial" w:hAnsi="Arial" w:cs="Arial"/>
          <w:sz w:val="28"/>
          <w:szCs w:val="28"/>
        </w:rPr>
        <w:t xml:space="preserve">, </w:t>
      </w:r>
      <w:proofErr w:type="gramStart"/>
      <w:r>
        <w:rPr>
          <w:rFonts w:ascii="Arial" w:eastAsia="Arial" w:hAnsi="Arial" w:cs="Arial"/>
          <w:sz w:val="28"/>
          <w:szCs w:val="28"/>
        </w:rPr>
        <w:lastRenderedPageBreak/>
        <w:t>pp.S</w:t>
      </w:r>
      <w:proofErr w:type="gramEnd"/>
      <w:r>
        <w:rPr>
          <w:rFonts w:ascii="Arial" w:eastAsia="Arial" w:hAnsi="Arial" w:cs="Arial"/>
          <w:sz w:val="28"/>
          <w:szCs w:val="28"/>
        </w:rPr>
        <w:t>449-S450.</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Nesheva</w:t>
      </w:r>
      <w:proofErr w:type="spellEnd"/>
      <w:r>
        <w:rPr>
          <w:rFonts w:ascii="Arial" w:eastAsia="Arial" w:hAnsi="Arial" w:cs="Arial"/>
          <w:sz w:val="28"/>
          <w:szCs w:val="28"/>
        </w:rPr>
        <w:t>, D.V., 2014. Aspects of ancient mitochondrial DNA analysis in different populations for understa</w:t>
      </w:r>
      <w:r>
        <w:rPr>
          <w:rFonts w:ascii="Arial" w:eastAsia="Arial" w:hAnsi="Arial" w:cs="Arial"/>
          <w:sz w:val="28"/>
          <w:szCs w:val="28"/>
        </w:rPr>
        <w:t xml:space="preserve">nding human evolution. </w:t>
      </w:r>
      <w:r>
        <w:rPr>
          <w:rFonts w:ascii="Arial" w:eastAsia="Arial" w:hAnsi="Arial" w:cs="Arial"/>
          <w:i/>
          <w:iCs/>
          <w:sz w:val="28"/>
          <w:szCs w:val="28"/>
        </w:rPr>
        <w:t>Balkan journal of medical genetics</w:t>
      </w:r>
      <w:r>
        <w:rPr>
          <w:rFonts w:ascii="Arial" w:eastAsia="Arial" w:hAnsi="Arial" w:cs="Arial"/>
          <w:sz w:val="28"/>
          <w:szCs w:val="28"/>
        </w:rPr>
        <w:t xml:space="preserve">, </w:t>
      </w:r>
      <w:r>
        <w:rPr>
          <w:rFonts w:ascii="Arial" w:eastAsia="Arial" w:hAnsi="Arial" w:cs="Arial"/>
          <w:i/>
          <w:iCs/>
          <w:sz w:val="28"/>
          <w:szCs w:val="28"/>
        </w:rPr>
        <w:t>17</w:t>
      </w:r>
      <w:r>
        <w:rPr>
          <w:rFonts w:ascii="Arial" w:eastAsia="Arial" w:hAnsi="Arial" w:cs="Arial"/>
          <w:sz w:val="28"/>
          <w:szCs w:val="28"/>
        </w:rPr>
        <w:t>(1), pp.5-14. DOI: 10.2478/bjmg-2014-0019.</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Nicholls, D.G.; </w:t>
      </w:r>
      <w:proofErr w:type="spellStart"/>
      <w:r>
        <w:rPr>
          <w:rFonts w:ascii="Arial" w:eastAsia="Arial" w:hAnsi="Arial" w:cs="Arial"/>
          <w:sz w:val="28"/>
          <w:szCs w:val="28"/>
        </w:rPr>
        <w:t>Vesce</w:t>
      </w:r>
      <w:proofErr w:type="spellEnd"/>
      <w:r>
        <w:rPr>
          <w:rFonts w:ascii="Arial" w:eastAsia="Arial" w:hAnsi="Arial" w:cs="Arial"/>
          <w:sz w:val="28"/>
          <w:szCs w:val="28"/>
        </w:rPr>
        <w:t>, S.; Kirk, L. and Chalmers, S., 2003. Interactions between mitochondrial bioenergetics and cytoplasmic calcium in cultured cerebel</w:t>
      </w:r>
      <w:r>
        <w:rPr>
          <w:rFonts w:ascii="Arial" w:eastAsia="Arial" w:hAnsi="Arial" w:cs="Arial"/>
          <w:sz w:val="28"/>
          <w:szCs w:val="28"/>
        </w:rPr>
        <w:t xml:space="preserve">lar granule cells. </w:t>
      </w:r>
      <w:r>
        <w:rPr>
          <w:rFonts w:ascii="Arial" w:eastAsia="Arial" w:hAnsi="Arial" w:cs="Arial"/>
          <w:i/>
          <w:iCs/>
          <w:sz w:val="28"/>
          <w:szCs w:val="28"/>
        </w:rPr>
        <w:t>Cell calcium</w:t>
      </w:r>
      <w:r>
        <w:rPr>
          <w:rFonts w:ascii="Arial" w:eastAsia="Arial" w:hAnsi="Arial" w:cs="Arial"/>
          <w:sz w:val="28"/>
          <w:szCs w:val="28"/>
        </w:rPr>
        <w:t xml:space="preserve">, </w:t>
      </w:r>
      <w:r>
        <w:rPr>
          <w:rFonts w:ascii="Arial" w:eastAsia="Arial" w:hAnsi="Arial" w:cs="Arial"/>
          <w:i/>
          <w:iCs/>
          <w:sz w:val="28"/>
          <w:szCs w:val="28"/>
        </w:rPr>
        <w:t>34</w:t>
      </w:r>
      <w:r>
        <w:rPr>
          <w:rFonts w:ascii="Arial" w:eastAsia="Arial" w:hAnsi="Arial" w:cs="Arial"/>
          <w:sz w:val="28"/>
          <w:szCs w:val="28"/>
        </w:rPr>
        <w:t>(4-5), pp.407-424.</w:t>
      </w:r>
      <w:hyperlink r:id="rId25">
        <w:r>
          <w:rPr>
            <w:rFonts w:ascii="Arial" w:eastAsia="Arial" w:hAnsi="Arial" w:cs="Arial"/>
            <w:sz w:val="28"/>
            <w:szCs w:val="28"/>
          </w:rPr>
          <w:t xml:space="preserve"> </w:t>
        </w:r>
      </w:hyperlink>
      <w:hyperlink r:id="rId26">
        <w:r>
          <w:rPr>
            <w:rFonts w:ascii="Arial" w:eastAsia="Arial" w:hAnsi="Arial" w:cs="Arial"/>
            <w:color w:val="1155CC"/>
            <w:sz w:val="28"/>
            <w:szCs w:val="28"/>
            <w:u w:val="single"/>
          </w:rPr>
          <w:t>https://doi.org/10.1016/S0143-4160(03)00144-1</w:t>
        </w:r>
      </w:hyperlink>
      <w:r>
        <w:rPr>
          <w:rFonts w:ascii="Arial" w:eastAsia="Arial" w:hAnsi="Arial" w:cs="Arial"/>
          <w:sz w:val="28"/>
          <w:szCs w:val="28"/>
        </w:rPr>
        <w:t>.</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Ochman</w:t>
      </w:r>
      <w:proofErr w:type="spellEnd"/>
      <w:r>
        <w:rPr>
          <w:rFonts w:ascii="Arial" w:eastAsia="Arial" w:hAnsi="Arial" w:cs="Arial"/>
          <w:sz w:val="28"/>
          <w:szCs w:val="28"/>
        </w:rPr>
        <w:t>, H.; Gerber, A. S.</w:t>
      </w:r>
      <w:r>
        <w:rPr>
          <w:rFonts w:ascii="Arial" w:eastAsia="Arial" w:hAnsi="Arial" w:cs="Arial"/>
          <w:sz w:val="28"/>
          <w:szCs w:val="28"/>
        </w:rPr>
        <w:t xml:space="preserve"> &amp; </w:t>
      </w:r>
      <w:proofErr w:type="spellStart"/>
      <w:r>
        <w:rPr>
          <w:rFonts w:ascii="Arial" w:eastAsia="Arial" w:hAnsi="Arial" w:cs="Arial"/>
          <w:sz w:val="28"/>
          <w:szCs w:val="28"/>
        </w:rPr>
        <w:t>Hartl</w:t>
      </w:r>
      <w:proofErr w:type="spellEnd"/>
      <w:r>
        <w:rPr>
          <w:rFonts w:ascii="Arial" w:eastAsia="Arial" w:hAnsi="Arial" w:cs="Arial"/>
          <w:sz w:val="28"/>
          <w:szCs w:val="28"/>
        </w:rPr>
        <w:t>, D. L., 1988. Genetic applications of an Inverse polymerase chain reaction. Genetics, 120(3), 621-623.</w:t>
      </w:r>
    </w:p>
    <w:p w:rsidR="003A6FE9" w:rsidRDefault="00150C36">
      <w:pPr>
        <w:widowControl w:val="0"/>
        <w:numPr>
          <w:ilvl w:val="0"/>
          <w:numId w:val="1"/>
        </w:numPr>
        <w:spacing w:after="0" w:line="276" w:lineRule="auto"/>
        <w:ind w:firstLine="360"/>
        <w:rPr>
          <w:rFonts w:ascii="Arial" w:eastAsia="Arial" w:hAnsi="Arial" w:cs="Arial"/>
          <w:sz w:val="28"/>
          <w:szCs w:val="28"/>
        </w:rPr>
      </w:pPr>
      <w:proofErr w:type="spellStart"/>
      <w:r>
        <w:rPr>
          <w:rFonts w:ascii="Arial" w:eastAsia="Arial" w:hAnsi="Arial" w:cs="Arial"/>
          <w:sz w:val="28"/>
          <w:szCs w:val="28"/>
        </w:rPr>
        <w:t>Pakendorf</w:t>
      </w:r>
      <w:proofErr w:type="spellEnd"/>
      <w:r>
        <w:rPr>
          <w:rFonts w:ascii="Arial" w:eastAsia="Arial" w:hAnsi="Arial" w:cs="Arial"/>
          <w:sz w:val="28"/>
          <w:szCs w:val="28"/>
        </w:rPr>
        <w:t xml:space="preserve">, B. and </w:t>
      </w:r>
      <w:proofErr w:type="spellStart"/>
      <w:r>
        <w:rPr>
          <w:rFonts w:ascii="Arial" w:eastAsia="Arial" w:hAnsi="Arial" w:cs="Arial"/>
          <w:sz w:val="28"/>
          <w:szCs w:val="28"/>
        </w:rPr>
        <w:t>Stoneking</w:t>
      </w:r>
      <w:proofErr w:type="spellEnd"/>
      <w:r>
        <w:rPr>
          <w:rFonts w:ascii="Arial" w:eastAsia="Arial" w:hAnsi="Arial" w:cs="Arial"/>
          <w:sz w:val="28"/>
          <w:szCs w:val="28"/>
        </w:rPr>
        <w:t xml:space="preserve">, M., 2005. Mitochondrial DNA and human evolution. </w:t>
      </w:r>
      <w:proofErr w:type="spellStart"/>
      <w:r>
        <w:rPr>
          <w:rFonts w:ascii="Arial" w:eastAsia="Arial" w:hAnsi="Arial" w:cs="Arial"/>
          <w:i/>
          <w:iCs/>
          <w:sz w:val="28"/>
          <w:szCs w:val="28"/>
        </w:rPr>
        <w:t>Annu</w:t>
      </w:r>
      <w:proofErr w:type="spellEnd"/>
      <w:r>
        <w:rPr>
          <w:rFonts w:ascii="Arial" w:eastAsia="Arial" w:hAnsi="Arial" w:cs="Arial"/>
          <w:i/>
          <w:iCs/>
          <w:sz w:val="28"/>
          <w:szCs w:val="28"/>
        </w:rPr>
        <w:t>. Rev. Genomics Hum. Genet.</w:t>
      </w:r>
      <w:r>
        <w:rPr>
          <w:rFonts w:ascii="Arial" w:eastAsia="Arial" w:hAnsi="Arial" w:cs="Arial"/>
          <w:sz w:val="28"/>
          <w:szCs w:val="28"/>
        </w:rPr>
        <w:t xml:space="preserve">, </w:t>
      </w:r>
      <w:r>
        <w:rPr>
          <w:rFonts w:ascii="Arial" w:eastAsia="Arial" w:hAnsi="Arial" w:cs="Arial"/>
          <w:i/>
          <w:iCs/>
          <w:sz w:val="28"/>
          <w:szCs w:val="28"/>
        </w:rPr>
        <w:t>6</w:t>
      </w:r>
      <w:r>
        <w:rPr>
          <w:rFonts w:ascii="Arial" w:eastAsia="Arial" w:hAnsi="Arial" w:cs="Arial"/>
          <w:sz w:val="28"/>
          <w:szCs w:val="28"/>
        </w:rPr>
        <w:t>, pp.165-183.</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 xml:space="preserve">Perry, G.H.; </w:t>
      </w:r>
      <w:proofErr w:type="spellStart"/>
      <w:r>
        <w:rPr>
          <w:rFonts w:ascii="Arial" w:eastAsia="Arial" w:hAnsi="Arial" w:cs="Arial"/>
          <w:sz w:val="28"/>
          <w:szCs w:val="28"/>
        </w:rPr>
        <w:t>Dominy</w:t>
      </w:r>
      <w:proofErr w:type="spellEnd"/>
      <w:r>
        <w:rPr>
          <w:rFonts w:ascii="Arial" w:eastAsia="Arial" w:hAnsi="Arial" w:cs="Arial"/>
          <w:sz w:val="28"/>
          <w:szCs w:val="28"/>
        </w:rPr>
        <w:t xml:space="preserve">, N.J.; Claw, K.G.; Lee, A.S.; </w:t>
      </w:r>
      <w:proofErr w:type="spellStart"/>
      <w:r>
        <w:rPr>
          <w:rFonts w:ascii="Arial" w:eastAsia="Arial" w:hAnsi="Arial" w:cs="Arial"/>
          <w:sz w:val="28"/>
          <w:szCs w:val="28"/>
        </w:rPr>
        <w:t>Fiegler</w:t>
      </w:r>
      <w:proofErr w:type="spellEnd"/>
      <w:r>
        <w:rPr>
          <w:rFonts w:ascii="Arial" w:eastAsia="Arial" w:hAnsi="Arial" w:cs="Arial"/>
          <w:sz w:val="28"/>
          <w:szCs w:val="28"/>
        </w:rPr>
        <w:t xml:space="preserve">, H.; Redon, R.; Werner, J.; </w:t>
      </w:r>
      <w:proofErr w:type="spellStart"/>
      <w:r>
        <w:rPr>
          <w:rFonts w:ascii="Arial" w:eastAsia="Arial" w:hAnsi="Arial" w:cs="Arial"/>
          <w:sz w:val="28"/>
          <w:szCs w:val="28"/>
        </w:rPr>
        <w:t>Villanea</w:t>
      </w:r>
      <w:proofErr w:type="spellEnd"/>
      <w:r>
        <w:rPr>
          <w:rFonts w:ascii="Arial" w:eastAsia="Arial" w:hAnsi="Arial" w:cs="Arial"/>
          <w:sz w:val="28"/>
          <w:szCs w:val="28"/>
        </w:rPr>
        <w:t xml:space="preserve">, F.A.; Mountain, J.L.; </w:t>
      </w:r>
      <w:proofErr w:type="spellStart"/>
      <w:r>
        <w:rPr>
          <w:rFonts w:ascii="Arial" w:eastAsia="Arial" w:hAnsi="Arial" w:cs="Arial"/>
          <w:sz w:val="28"/>
          <w:szCs w:val="28"/>
        </w:rPr>
        <w:t>Misra</w:t>
      </w:r>
      <w:proofErr w:type="spellEnd"/>
      <w:r>
        <w:rPr>
          <w:rFonts w:ascii="Arial" w:eastAsia="Arial" w:hAnsi="Arial" w:cs="Arial"/>
          <w:sz w:val="28"/>
          <w:szCs w:val="28"/>
        </w:rPr>
        <w:t xml:space="preserve">, R. and Carter, N.P., 2007. Diet and the evolution of human amylase gene copy number variation. </w:t>
      </w:r>
      <w:r>
        <w:rPr>
          <w:rFonts w:ascii="Arial" w:eastAsia="Arial" w:hAnsi="Arial" w:cs="Arial"/>
          <w:i/>
          <w:iCs/>
          <w:sz w:val="28"/>
          <w:szCs w:val="28"/>
        </w:rPr>
        <w:t>Nature genetics</w:t>
      </w:r>
      <w:r>
        <w:rPr>
          <w:rFonts w:ascii="Arial" w:eastAsia="Arial" w:hAnsi="Arial" w:cs="Arial"/>
          <w:sz w:val="28"/>
          <w:szCs w:val="28"/>
        </w:rPr>
        <w:t xml:space="preserve">, </w:t>
      </w:r>
      <w:r>
        <w:rPr>
          <w:rFonts w:ascii="Arial" w:eastAsia="Arial" w:hAnsi="Arial" w:cs="Arial"/>
          <w:i/>
          <w:iCs/>
          <w:sz w:val="28"/>
          <w:szCs w:val="28"/>
        </w:rPr>
        <w:t>39</w:t>
      </w:r>
      <w:r>
        <w:rPr>
          <w:rFonts w:ascii="Arial" w:eastAsia="Arial" w:hAnsi="Arial" w:cs="Arial"/>
          <w:sz w:val="28"/>
          <w:szCs w:val="28"/>
        </w:rPr>
        <w:t>(10), p.1256.</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Reb</w:t>
      </w:r>
      <w:r>
        <w:rPr>
          <w:rFonts w:ascii="Arial" w:eastAsia="Arial" w:hAnsi="Arial" w:cs="Arial"/>
          <w:sz w:val="28"/>
          <w:szCs w:val="28"/>
        </w:rPr>
        <w:t xml:space="preserve">ecca, S.; Irwin, J.A. and Parson, W., 2015. Mitochondrial DNA </w:t>
      </w:r>
      <w:proofErr w:type="spellStart"/>
      <w:r>
        <w:rPr>
          <w:rFonts w:ascii="Arial" w:eastAsia="Arial" w:hAnsi="Arial" w:cs="Arial"/>
          <w:sz w:val="28"/>
          <w:szCs w:val="28"/>
        </w:rPr>
        <w:t>heteroplasmy</w:t>
      </w:r>
      <w:proofErr w:type="spellEnd"/>
      <w:r>
        <w:rPr>
          <w:rFonts w:ascii="Arial" w:eastAsia="Arial" w:hAnsi="Arial" w:cs="Arial"/>
          <w:sz w:val="28"/>
          <w:szCs w:val="28"/>
        </w:rPr>
        <w:t xml:space="preserve"> in the emerging field of massively parallel sequencing. Forensic Sci Int Genet 18:131-139. </w:t>
      </w:r>
      <w:proofErr w:type="spellStart"/>
      <w:r>
        <w:rPr>
          <w:rFonts w:ascii="Arial" w:eastAsia="Arial" w:hAnsi="Arial" w:cs="Arial"/>
          <w:sz w:val="28"/>
          <w:szCs w:val="28"/>
        </w:rPr>
        <w:t>doi</w:t>
      </w:r>
      <w:proofErr w:type="spellEnd"/>
      <w:r>
        <w:rPr>
          <w:rFonts w:ascii="Arial" w:eastAsia="Arial" w:hAnsi="Arial" w:cs="Arial"/>
          <w:sz w:val="28"/>
          <w:szCs w:val="28"/>
        </w:rPr>
        <w:t>: 10.1016/j.fsigen.2015.05.003.</w:t>
      </w:r>
    </w:p>
    <w:p w:rsidR="003A6FE9" w:rsidRDefault="00150C36">
      <w:pPr>
        <w:widowControl w:val="0"/>
        <w:numPr>
          <w:ilvl w:val="0"/>
          <w:numId w:val="1"/>
        </w:numPr>
        <w:spacing w:after="0" w:line="276" w:lineRule="auto"/>
        <w:ind w:firstLine="360"/>
        <w:rPr>
          <w:rFonts w:ascii="Arial" w:eastAsia="Arial" w:hAnsi="Arial" w:cs="Arial"/>
          <w:sz w:val="28"/>
          <w:szCs w:val="28"/>
        </w:rPr>
      </w:pPr>
      <w:r>
        <w:rPr>
          <w:rFonts w:ascii="Arial" w:eastAsia="Arial" w:hAnsi="Arial" w:cs="Arial"/>
          <w:sz w:val="28"/>
          <w:szCs w:val="28"/>
        </w:rPr>
        <w:t>Richard, Li.; Norman, S. and Schober, J, 2015. '</w:t>
      </w:r>
      <w:r>
        <w:rPr>
          <w:rFonts w:ascii="Arial" w:eastAsia="Arial" w:hAnsi="Arial" w:cs="Arial"/>
          <w:i/>
          <w:iCs/>
          <w:sz w:val="28"/>
          <w:szCs w:val="28"/>
        </w:rPr>
        <w:t>Forensi</w:t>
      </w:r>
      <w:r>
        <w:rPr>
          <w:rFonts w:ascii="Arial" w:eastAsia="Arial" w:hAnsi="Arial" w:cs="Arial"/>
          <w:i/>
          <w:iCs/>
          <w:sz w:val="28"/>
          <w:szCs w:val="28"/>
        </w:rPr>
        <w:t>c biology</w:t>
      </w:r>
      <w:r>
        <w:rPr>
          <w:rFonts w:ascii="Arial" w:eastAsia="Arial" w:hAnsi="Arial" w:cs="Arial"/>
          <w:sz w:val="28"/>
          <w:szCs w:val="28"/>
        </w:rPr>
        <w:t>'. CRC Press.</w:t>
      </w:r>
      <w:hyperlink r:id="rId27">
        <w:r>
          <w:rPr>
            <w:rFonts w:ascii="Arial" w:eastAsia="Arial" w:hAnsi="Arial" w:cs="Arial"/>
            <w:sz w:val="28"/>
            <w:szCs w:val="28"/>
          </w:rPr>
          <w:t xml:space="preserve"> </w:t>
        </w:r>
      </w:hyperlink>
      <w:hyperlink r:id="rId28">
        <w:r>
          <w:rPr>
            <w:rFonts w:ascii="Arial" w:eastAsia="Arial" w:hAnsi="Arial" w:cs="Arial"/>
            <w:color w:val="1155CC"/>
            <w:sz w:val="28"/>
            <w:szCs w:val="28"/>
            <w:u w:val="single"/>
          </w:rPr>
          <w:t>https://doi.org/10.1201/b18209</w:t>
        </w:r>
      </w:hyperlink>
      <w:r>
        <w:rPr>
          <w:rFonts w:ascii="Arial" w:eastAsia="Arial" w:hAnsi="Arial" w:cs="Arial"/>
          <w:sz w:val="28"/>
          <w:szCs w:val="28"/>
        </w:rPr>
        <w:t>.</w:t>
      </w:r>
    </w:p>
    <w:p w:rsidR="003A6FE9" w:rsidRDefault="00150C36">
      <w:pPr>
        <w:widowControl w:val="0"/>
        <w:numPr>
          <w:ilvl w:val="0"/>
          <w:numId w:val="1"/>
        </w:numPr>
        <w:spacing w:after="240" w:line="276" w:lineRule="auto"/>
        <w:ind w:firstLine="360"/>
        <w:rPr>
          <w:rFonts w:ascii="Arial" w:eastAsia="Arial" w:hAnsi="Arial" w:cs="Arial"/>
          <w:sz w:val="28"/>
          <w:szCs w:val="28"/>
        </w:rPr>
      </w:pPr>
      <w:proofErr w:type="spellStart"/>
      <w:r>
        <w:rPr>
          <w:rFonts w:ascii="Arial" w:eastAsia="Arial" w:hAnsi="Arial" w:cs="Arial"/>
          <w:sz w:val="28"/>
          <w:szCs w:val="28"/>
        </w:rPr>
        <w:t>Rusecka</w:t>
      </w:r>
      <w:proofErr w:type="spellEnd"/>
      <w:r>
        <w:rPr>
          <w:rFonts w:ascii="Arial" w:eastAsia="Arial" w:hAnsi="Arial" w:cs="Arial"/>
          <w:sz w:val="28"/>
          <w:szCs w:val="28"/>
        </w:rPr>
        <w:t xml:space="preserve">, J. </w:t>
      </w:r>
      <w:r>
        <w:rPr>
          <w:rFonts w:ascii="Arial" w:eastAsia="Arial" w:hAnsi="Arial" w:cs="Arial"/>
          <w:i/>
          <w:iCs/>
          <w:sz w:val="28"/>
          <w:szCs w:val="28"/>
        </w:rPr>
        <w:t>et al.</w:t>
      </w:r>
      <w:r>
        <w:rPr>
          <w:rFonts w:ascii="Arial" w:eastAsia="Arial" w:hAnsi="Arial" w:cs="Arial"/>
          <w:sz w:val="28"/>
          <w:szCs w:val="28"/>
        </w:rPr>
        <w:t xml:space="preserve"> 2018. ‘An association Study of Some Mitochondrial Genes Polymorphism with Type 2 Diabetic Patients in Babylon Province’ pp. 43–57.</w:t>
      </w:r>
    </w:p>
    <w:p w:rsidR="003A6FE9" w:rsidRDefault="00150C36">
      <w:pPr>
        <w:widowControl w:val="0"/>
        <w:numPr>
          <w:ilvl w:val="0"/>
          <w:numId w:val="1"/>
        </w:numPr>
        <w:spacing w:after="240" w:line="276" w:lineRule="auto"/>
        <w:ind w:firstLine="360"/>
        <w:rPr>
          <w:rFonts w:ascii="Arial" w:eastAsia="Arial" w:hAnsi="Arial" w:cs="Arial"/>
          <w:sz w:val="28"/>
          <w:szCs w:val="28"/>
          <w:highlight w:val="yellow"/>
        </w:rPr>
      </w:pPr>
      <w:proofErr w:type="spellStart"/>
      <w:r>
        <w:rPr>
          <w:rFonts w:ascii="Arial" w:eastAsia="Arial" w:hAnsi="Arial" w:cs="Arial"/>
          <w:sz w:val="28"/>
          <w:szCs w:val="28"/>
          <w:highlight w:val="yellow"/>
        </w:rPr>
        <w:t>Diwedi</w:t>
      </w:r>
      <w:proofErr w:type="spellEnd"/>
      <w:r>
        <w:rPr>
          <w:rFonts w:ascii="Arial" w:eastAsia="Arial" w:hAnsi="Arial" w:cs="Arial"/>
          <w:sz w:val="28"/>
          <w:szCs w:val="28"/>
          <w:highlight w:val="yellow"/>
        </w:rPr>
        <w:t xml:space="preserve">, J., Singh, A. W., </w:t>
      </w:r>
      <w:proofErr w:type="spellStart"/>
      <w:r>
        <w:rPr>
          <w:rFonts w:ascii="Arial" w:eastAsia="Arial" w:hAnsi="Arial" w:cs="Arial"/>
          <w:sz w:val="28"/>
          <w:szCs w:val="28"/>
          <w:highlight w:val="yellow"/>
        </w:rPr>
        <w:t>Ahlawat</w:t>
      </w:r>
      <w:proofErr w:type="spellEnd"/>
      <w:r>
        <w:rPr>
          <w:rFonts w:ascii="Arial" w:eastAsia="Arial" w:hAnsi="Arial" w:cs="Arial"/>
          <w:sz w:val="28"/>
          <w:szCs w:val="28"/>
          <w:highlight w:val="yellow"/>
        </w:rPr>
        <w:t xml:space="preserve">, S., Sharma, R., Arora, R., Sharma, H., ... &amp; </w:t>
      </w:r>
      <w:proofErr w:type="spellStart"/>
      <w:r>
        <w:rPr>
          <w:rFonts w:ascii="Arial" w:eastAsia="Arial" w:hAnsi="Arial" w:cs="Arial"/>
          <w:sz w:val="28"/>
          <w:szCs w:val="28"/>
          <w:highlight w:val="yellow"/>
        </w:rPr>
        <w:t>Tantia</w:t>
      </w:r>
      <w:proofErr w:type="spellEnd"/>
      <w:r>
        <w:rPr>
          <w:rFonts w:ascii="Arial" w:eastAsia="Arial" w:hAnsi="Arial" w:cs="Arial"/>
          <w:sz w:val="28"/>
          <w:szCs w:val="28"/>
          <w:highlight w:val="yellow"/>
        </w:rPr>
        <w:t>, M. S. (2020). Comprehensive analysis</w:t>
      </w:r>
      <w:r>
        <w:rPr>
          <w:rFonts w:ascii="Arial" w:eastAsia="Arial" w:hAnsi="Arial" w:cs="Arial"/>
          <w:sz w:val="28"/>
          <w:szCs w:val="28"/>
          <w:highlight w:val="yellow"/>
        </w:rPr>
        <w:t xml:space="preserve"> of mitochondrial DNA based genetic diversity in Indian goats. </w:t>
      </w:r>
      <w:r>
        <w:rPr>
          <w:rFonts w:ascii="Arial" w:eastAsia="Arial" w:hAnsi="Arial" w:cs="Arial"/>
          <w:i/>
          <w:iCs/>
          <w:sz w:val="28"/>
          <w:szCs w:val="28"/>
          <w:highlight w:val="yellow"/>
        </w:rPr>
        <w:t>Gene</w:t>
      </w:r>
      <w:r>
        <w:rPr>
          <w:rFonts w:ascii="Arial" w:eastAsia="Arial" w:hAnsi="Arial" w:cs="Arial"/>
          <w:sz w:val="28"/>
          <w:szCs w:val="28"/>
          <w:highlight w:val="yellow"/>
        </w:rPr>
        <w:t>, </w:t>
      </w:r>
      <w:r>
        <w:rPr>
          <w:rFonts w:ascii="Arial" w:eastAsia="Arial" w:hAnsi="Arial" w:cs="Arial"/>
          <w:i/>
          <w:iCs/>
          <w:sz w:val="28"/>
          <w:szCs w:val="28"/>
          <w:highlight w:val="yellow"/>
        </w:rPr>
        <w:t>756</w:t>
      </w:r>
      <w:r>
        <w:rPr>
          <w:rFonts w:ascii="Arial" w:eastAsia="Arial" w:hAnsi="Arial" w:cs="Arial"/>
          <w:sz w:val="28"/>
          <w:szCs w:val="28"/>
          <w:highlight w:val="yellow"/>
        </w:rPr>
        <w:t>, 144910.</w:t>
      </w:r>
    </w:p>
    <w:p w:rsidR="003A6FE9" w:rsidRDefault="00150C36">
      <w:pPr>
        <w:widowControl w:val="0"/>
        <w:numPr>
          <w:ilvl w:val="0"/>
          <w:numId w:val="1"/>
        </w:numPr>
        <w:spacing w:after="240" w:line="276" w:lineRule="auto"/>
        <w:ind w:firstLine="360"/>
        <w:rPr>
          <w:rFonts w:ascii="Arial" w:eastAsia="Arial" w:hAnsi="Arial" w:cs="Arial"/>
          <w:sz w:val="28"/>
          <w:szCs w:val="28"/>
          <w:highlight w:val="yellow"/>
        </w:rPr>
      </w:pPr>
      <w:r>
        <w:rPr>
          <w:rFonts w:ascii="Arial" w:eastAsia="Arial" w:hAnsi="Arial" w:cs="Arial"/>
          <w:sz w:val="28"/>
          <w:szCs w:val="28"/>
          <w:highlight w:val="yellow"/>
        </w:rPr>
        <w:t xml:space="preserve">Liang, R., Zhu, L., Huang, Y., Chen, J., &amp; Tang, Q. (2024). Mitochondria: fundamental characteristics, challenges, and impact on </w:t>
      </w:r>
      <w:r>
        <w:rPr>
          <w:rFonts w:ascii="Arial" w:eastAsia="Arial" w:hAnsi="Arial" w:cs="Arial"/>
          <w:sz w:val="28"/>
          <w:szCs w:val="28"/>
          <w:highlight w:val="yellow"/>
        </w:rPr>
        <w:lastRenderedPageBreak/>
        <w:t>aging. </w:t>
      </w:r>
      <w:r>
        <w:rPr>
          <w:rFonts w:ascii="Arial" w:eastAsia="Arial" w:hAnsi="Arial" w:cs="Arial"/>
          <w:i/>
          <w:iCs/>
          <w:sz w:val="28"/>
          <w:szCs w:val="28"/>
          <w:highlight w:val="yellow"/>
        </w:rPr>
        <w:t>Biogerontology</w:t>
      </w:r>
      <w:r>
        <w:rPr>
          <w:rFonts w:ascii="Arial" w:eastAsia="Arial" w:hAnsi="Arial" w:cs="Arial"/>
          <w:sz w:val="28"/>
          <w:szCs w:val="28"/>
          <w:highlight w:val="yellow"/>
        </w:rPr>
        <w:t>, </w:t>
      </w:r>
      <w:r>
        <w:rPr>
          <w:rFonts w:ascii="Arial" w:eastAsia="Arial" w:hAnsi="Arial" w:cs="Arial"/>
          <w:i/>
          <w:iCs/>
          <w:sz w:val="28"/>
          <w:szCs w:val="28"/>
          <w:highlight w:val="yellow"/>
        </w:rPr>
        <w:t>25</w:t>
      </w:r>
      <w:r>
        <w:rPr>
          <w:rFonts w:ascii="Arial" w:eastAsia="Arial" w:hAnsi="Arial" w:cs="Arial"/>
          <w:sz w:val="28"/>
          <w:szCs w:val="28"/>
          <w:highlight w:val="yellow"/>
        </w:rPr>
        <w:t>(6), 923-941.</w:t>
      </w:r>
    </w:p>
    <w:p w:rsidR="003A6FE9" w:rsidRDefault="00150C36">
      <w:pPr>
        <w:widowControl w:val="0"/>
        <w:numPr>
          <w:ilvl w:val="0"/>
          <w:numId w:val="1"/>
        </w:numPr>
        <w:spacing w:after="240" w:line="276" w:lineRule="auto"/>
        <w:ind w:firstLine="360"/>
        <w:rPr>
          <w:rFonts w:ascii="Arial" w:eastAsia="Arial" w:hAnsi="Arial" w:cs="Arial"/>
          <w:sz w:val="28"/>
          <w:szCs w:val="28"/>
          <w:highlight w:val="yellow"/>
        </w:rPr>
      </w:pPr>
      <w:proofErr w:type="spellStart"/>
      <w:r>
        <w:rPr>
          <w:rFonts w:ascii="Arial" w:eastAsia="Arial" w:hAnsi="Arial" w:cs="Arial"/>
          <w:sz w:val="28"/>
          <w:szCs w:val="28"/>
          <w:highlight w:val="yellow"/>
        </w:rPr>
        <w:t>Árnadó</w:t>
      </w:r>
      <w:r>
        <w:rPr>
          <w:rFonts w:ascii="Arial" w:eastAsia="Arial" w:hAnsi="Arial" w:cs="Arial"/>
          <w:sz w:val="28"/>
          <w:szCs w:val="28"/>
          <w:highlight w:val="yellow"/>
        </w:rPr>
        <w:t>ttir</w:t>
      </w:r>
      <w:proofErr w:type="spellEnd"/>
      <w:r>
        <w:rPr>
          <w:rFonts w:ascii="Arial" w:eastAsia="Arial" w:hAnsi="Arial" w:cs="Arial"/>
          <w:sz w:val="28"/>
          <w:szCs w:val="28"/>
          <w:highlight w:val="yellow"/>
        </w:rPr>
        <w:t xml:space="preserve">, E. R., Moore, K. H., </w:t>
      </w:r>
      <w:proofErr w:type="spellStart"/>
      <w:r>
        <w:rPr>
          <w:rFonts w:ascii="Arial" w:eastAsia="Arial" w:hAnsi="Arial" w:cs="Arial"/>
          <w:sz w:val="28"/>
          <w:szCs w:val="28"/>
          <w:highlight w:val="yellow"/>
        </w:rPr>
        <w:t>Guðmundsdóttir</w:t>
      </w:r>
      <w:proofErr w:type="spellEnd"/>
      <w:r>
        <w:rPr>
          <w:rFonts w:ascii="Arial" w:eastAsia="Arial" w:hAnsi="Arial" w:cs="Arial"/>
          <w:sz w:val="28"/>
          <w:szCs w:val="28"/>
          <w:highlight w:val="yellow"/>
        </w:rPr>
        <w:t xml:space="preserve">, V. B., </w:t>
      </w:r>
      <w:proofErr w:type="spellStart"/>
      <w:r>
        <w:rPr>
          <w:rFonts w:ascii="Arial" w:eastAsia="Arial" w:hAnsi="Arial" w:cs="Arial"/>
          <w:sz w:val="28"/>
          <w:szCs w:val="28"/>
          <w:highlight w:val="yellow"/>
        </w:rPr>
        <w:t>Ebenesersdóttir</w:t>
      </w:r>
      <w:proofErr w:type="spellEnd"/>
      <w:r>
        <w:rPr>
          <w:rFonts w:ascii="Arial" w:eastAsia="Arial" w:hAnsi="Arial" w:cs="Arial"/>
          <w:sz w:val="28"/>
          <w:szCs w:val="28"/>
          <w:highlight w:val="yellow"/>
        </w:rPr>
        <w:t xml:space="preserve">, S. S., </w:t>
      </w:r>
      <w:proofErr w:type="spellStart"/>
      <w:r>
        <w:rPr>
          <w:rFonts w:ascii="Arial" w:eastAsia="Arial" w:hAnsi="Arial" w:cs="Arial"/>
          <w:sz w:val="28"/>
          <w:szCs w:val="28"/>
          <w:highlight w:val="yellow"/>
        </w:rPr>
        <w:t>Guity</w:t>
      </w:r>
      <w:proofErr w:type="spellEnd"/>
      <w:r>
        <w:rPr>
          <w:rFonts w:ascii="Arial" w:eastAsia="Arial" w:hAnsi="Arial" w:cs="Arial"/>
          <w:sz w:val="28"/>
          <w:szCs w:val="28"/>
          <w:highlight w:val="yellow"/>
        </w:rPr>
        <w:t xml:space="preserve">, K., </w:t>
      </w:r>
      <w:proofErr w:type="spellStart"/>
      <w:r>
        <w:rPr>
          <w:rFonts w:ascii="Arial" w:eastAsia="Arial" w:hAnsi="Arial" w:cs="Arial"/>
          <w:sz w:val="28"/>
          <w:szCs w:val="28"/>
          <w:highlight w:val="yellow"/>
        </w:rPr>
        <w:t>Jónsson</w:t>
      </w:r>
      <w:proofErr w:type="spellEnd"/>
      <w:r>
        <w:rPr>
          <w:rFonts w:ascii="Arial" w:eastAsia="Arial" w:hAnsi="Arial" w:cs="Arial"/>
          <w:sz w:val="28"/>
          <w:szCs w:val="28"/>
          <w:highlight w:val="yellow"/>
        </w:rPr>
        <w:t xml:space="preserve">, H., ... &amp; </w:t>
      </w:r>
      <w:proofErr w:type="spellStart"/>
      <w:r>
        <w:rPr>
          <w:rFonts w:ascii="Arial" w:eastAsia="Arial" w:hAnsi="Arial" w:cs="Arial"/>
          <w:sz w:val="28"/>
          <w:szCs w:val="28"/>
          <w:highlight w:val="yellow"/>
        </w:rPr>
        <w:t>Helgason</w:t>
      </w:r>
      <w:proofErr w:type="spellEnd"/>
      <w:r>
        <w:rPr>
          <w:rFonts w:ascii="Arial" w:eastAsia="Arial" w:hAnsi="Arial" w:cs="Arial"/>
          <w:sz w:val="28"/>
          <w:szCs w:val="28"/>
          <w:highlight w:val="yellow"/>
        </w:rPr>
        <w:t>, A. (2024). The rate and nature of mitochondrial DNA mutations in human pedigrees. </w:t>
      </w:r>
      <w:r>
        <w:rPr>
          <w:rFonts w:ascii="Arial" w:eastAsia="Arial" w:hAnsi="Arial" w:cs="Arial"/>
          <w:i/>
          <w:iCs/>
          <w:sz w:val="28"/>
          <w:szCs w:val="28"/>
          <w:highlight w:val="yellow"/>
        </w:rPr>
        <w:t>Cell</w:t>
      </w:r>
      <w:r>
        <w:rPr>
          <w:rFonts w:ascii="Arial" w:eastAsia="Arial" w:hAnsi="Arial" w:cs="Arial"/>
          <w:sz w:val="28"/>
          <w:szCs w:val="28"/>
          <w:highlight w:val="yellow"/>
        </w:rPr>
        <w:t>, </w:t>
      </w:r>
      <w:r>
        <w:rPr>
          <w:rFonts w:ascii="Arial" w:eastAsia="Arial" w:hAnsi="Arial" w:cs="Arial"/>
          <w:i/>
          <w:iCs/>
          <w:sz w:val="28"/>
          <w:szCs w:val="28"/>
          <w:highlight w:val="yellow"/>
        </w:rPr>
        <w:t>187</w:t>
      </w:r>
      <w:r>
        <w:rPr>
          <w:rFonts w:ascii="Arial" w:eastAsia="Arial" w:hAnsi="Arial" w:cs="Arial"/>
          <w:sz w:val="28"/>
          <w:szCs w:val="28"/>
          <w:highlight w:val="yellow"/>
        </w:rPr>
        <w:t>(15), 3904-3918.</w:t>
      </w:r>
    </w:p>
    <w:p w:rsidR="003A6FE9" w:rsidRDefault="003A6FE9">
      <w:pPr>
        <w:widowControl w:val="0"/>
        <w:spacing w:line="276" w:lineRule="auto"/>
        <w:ind w:left="-567" w:firstLine="0"/>
        <w:rPr>
          <w:b/>
          <w:bCs/>
          <w:sz w:val="28"/>
          <w:szCs w:val="28"/>
        </w:rPr>
      </w:pPr>
    </w:p>
    <w:p w:rsidR="003A6FE9" w:rsidRDefault="003A6FE9">
      <w:pPr>
        <w:rPr>
          <w:rFonts w:ascii="Arial" w:eastAsia="Arial" w:hAnsi="Arial" w:cs="Arial"/>
        </w:rPr>
      </w:pPr>
    </w:p>
    <w:sectPr w:rsidR="003A6FE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C36" w:rsidRDefault="00150C36">
      <w:pPr>
        <w:spacing w:after="0" w:line="240" w:lineRule="auto"/>
      </w:pPr>
      <w:r>
        <w:separator/>
      </w:r>
    </w:p>
  </w:endnote>
  <w:endnote w:type="continuationSeparator" w:id="0">
    <w:p w:rsidR="00150C36" w:rsidRDefault="00150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98C007C-27E2-4A8D-AD0E-0938C056E908}"/>
  </w:font>
  <w:font w:name="Cambria">
    <w:panose1 w:val="02040503050406030204"/>
    <w:charset w:val="00"/>
    <w:family w:val="roman"/>
    <w:pitch w:val="variable"/>
    <w:sig w:usb0="E00006FF" w:usb1="420024FF" w:usb2="02000000" w:usb3="00000000" w:csb0="0000019F" w:csb1="00000000"/>
    <w:embedRegular r:id="rId2" w:fontKey="{F366A41D-A019-41C1-9851-CCBD02DF2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3A6FE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3A6FE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3A6FE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C36" w:rsidRDefault="00150C36">
      <w:pPr>
        <w:spacing w:after="0" w:line="240" w:lineRule="auto"/>
      </w:pPr>
      <w:r>
        <w:separator/>
      </w:r>
    </w:p>
  </w:footnote>
  <w:footnote w:type="continuationSeparator" w:id="0">
    <w:p w:rsidR="00150C36" w:rsidRDefault="00150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150C3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150C36">
    <w:pPr>
      <w:pBdr>
        <w:top w:val="nil"/>
        <w:left w:val="nil"/>
        <w:bottom w:val="nil"/>
        <w:right w:val="nil"/>
        <w:between w:val="nil"/>
      </w:pBdr>
      <w:tabs>
        <w:tab w:val="center" w:pos="4680"/>
        <w:tab w:val="right" w:pos="9360"/>
      </w:tabs>
      <w:spacing w:after="0" w:line="240" w:lineRule="auto"/>
      <w:rPr>
        <w:color w:val="000000"/>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19.85pt;margin-top:219.55pt;width:592.85pt;height:66.9pt;rotation:315;z-index:-251659776;mso-position-horizontal:absolute;mso-position-horizontal-relative:margin;mso-position-vertical:absolute;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6FE9" w:rsidRDefault="00150C3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8315EF"/>
    <w:multiLevelType w:val="multilevel"/>
    <w:tmpl w:val="47B2D9E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FE9"/>
    <w:rsid w:val="00150C36"/>
    <w:rsid w:val="003A6FE9"/>
    <w:rsid w:val="00C128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8A4F6B"/>
  <w15:docId w15:val="{44187A64-8732-4566-895D-381CE1B7D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ar-SA"/>
      </w:rPr>
    </w:rPrDefault>
    <w:pPrDefault>
      <w:pPr>
        <w:spacing w:after="160" w:line="360" w:lineRule="auto"/>
        <w:ind w:left="720" w:firstLine="43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ind w:firstLine="720"/>
      <w:outlineLvl w:val="0"/>
    </w:pPr>
    <w:rPr>
      <w:b/>
      <w:bCs/>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line="240" w:lineRule="auto"/>
      <w:ind w:left="0" w:right="142" w:firstLine="0"/>
      <w:jc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52/ajpcell.00217.2006" TargetMode="External"/><Relationship Id="rId18" Type="http://schemas.openxmlformats.org/officeDocument/2006/relationships/hyperlink" Target="https://doi.org/10.1021/cr040463d" TargetMode="External"/><Relationship Id="rId26" Type="http://schemas.openxmlformats.org/officeDocument/2006/relationships/hyperlink" Target="https://doi.org/10.1016/S0143-4160(03)00144-1" TargetMode="External"/><Relationship Id="rId3" Type="http://schemas.openxmlformats.org/officeDocument/2006/relationships/settings" Target="settings.xml"/><Relationship Id="rId21" Type="http://schemas.openxmlformats.org/officeDocument/2006/relationships/hyperlink" Target="https://doi.org/10.1515/BC.1999.147" TargetMode="External"/><Relationship Id="rId34" Type="http://schemas.openxmlformats.org/officeDocument/2006/relationships/footer" Target="footer3.xml"/><Relationship Id="rId7" Type="http://schemas.openxmlformats.org/officeDocument/2006/relationships/hyperlink" Target="https://paperpile.com/c/ebrq0b/YpY4" TargetMode="External"/><Relationship Id="rId12" Type="http://schemas.openxmlformats.org/officeDocument/2006/relationships/hyperlink" Target="https://doi.org/10.7287/peerj.preprints.27500v1" TargetMode="External"/><Relationship Id="rId17" Type="http://schemas.openxmlformats.org/officeDocument/2006/relationships/hyperlink" Target="https://doi.org/10.1021/cr040463d" TargetMode="External"/><Relationship Id="rId25" Type="http://schemas.openxmlformats.org/officeDocument/2006/relationships/hyperlink" Target="https://doi.org/10.1016/S0143-4160(03)00144-1"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46/annurev.med.59.053006.104646" TargetMode="External"/><Relationship Id="rId20" Type="http://schemas.openxmlformats.org/officeDocument/2006/relationships/hyperlink" Target="https://doi.org/10.1016/0379-0738(94)90325-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287/peerj.preprints.27500v1" TargetMode="External"/><Relationship Id="rId24" Type="http://schemas.openxmlformats.org/officeDocument/2006/relationships/hyperlink" Target="http://dx.doi.org/10.1136/bcr.12.2008.1303"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146/annurev.med.59.053006.104646" TargetMode="External"/><Relationship Id="rId23" Type="http://schemas.openxmlformats.org/officeDocument/2006/relationships/hyperlink" Target="http://dx.doi.org/10.1136/bcr.12.2008.1303" TargetMode="External"/><Relationship Id="rId28" Type="http://schemas.openxmlformats.org/officeDocument/2006/relationships/hyperlink" Target="https://doi.org/10.1201/b18209"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16/0379-0738(94)90325-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152/ajpcell.00217.2006" TargetMode="External"/><Relationship Id="rId22" Type="http://schemas.openxmlformats.org/officeDocument/2006/relationships/hyperlink" Target="https://doi.org/10.1515/BC.1999.147" TargetMode="External"/><Relationship Id="rId27" Type="http://schemas.openxmlformats.org/officeDocument/2006/relationships/hyperlink" Target="https://doi.org/10.1201/b1820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paperpile.com/c/ebrq0b/YpY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4862</Words>
  <Characters>27719</Characters>
  <Application>Microsoft Office Word</Application>
  <DocSecurity>0</DocSecurity>
  <Lines>230</Lines>
  <Paragraphs>65</Paragraphs>
  <ScaleCrop>false</ScaleCrop>
  <Company/>
  <LinksUpToDate>false</LinksUpToDate>
  <CharactersWithSpaces>32516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2025-11-25T08:23:00Z</dcterms:created>
  <dcterms:modified xsi:type="dcterms:W3CDTF">2025-11-25T08:24:00Z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cdbb3e50-7772-4ba8-9ef1-81e0c2a73d93</vt:lpwstr>
  </property>
</Properties>
</file>