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C9C" w:rsidRDefault="00E66DED">
      <w:pPr>
        <w:spacing w:before="0" w:after="240" w:line="276" w:lineRule="auto"/>
        <w:ind w:firstLine="0"/>
        <w:jc w:val="center"/>
        <w:rPr>
          <w:rFonts w:ascii="Arial" w:eastAsia="Arial" w:hAnsi="Arial" w:cs="Arial"/>
          <w:b/>
        </w:rPr>
      </w:pPr>
      <w:r>
        <w:rPr>
          <w:rFonts w:ascii="Arial" w:eastAsia="Arial" w:hAnsi="Arial" w:cs="Arial"/>
          <w:b/>
        </w:rPr>
        <w:t>Detection of biofilm production by some type of pathogenic bacteria isolated from patients</w:t>
      </w:r>
    </w:p>
    <w:p w:rsidR="00DB2C9C" w:rsidRDefault="00DB2C9C">
      <w:pPr>
        <w:rPr>
          <w:rFonts w:ascii="Arial" w:eastAsia="Arial" w:hAnsi="Arial" w:cs="Arial"/>
        </w:rPr>
      </w:pPr>
    </w:p>
    <w:p w:rsidR="00DB2C9C" w:rsidRPr="00070590"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0" w:name="_f25jrzb78b14" w:colFirst="0" w:colLast="0"/>
      <w:bookmarkEnd w:id="0"/>
      <w:r w:rsidRPr="00070590">
        <w:rPr>
          <w:rFonts w:ascii="Arial" w:eastAsia="Arial" w:hAnsi="Arial" w:cs="Arial"/>
          <w:sz w:val="34"/>
          <w:szCs w:val="34"/>
        </w:rPr>
        <w:t>Abstract</w:t>
      </w:r>
    </w:p>
    <w:p w:rsidR="00DB2C9C" w:rsidRPr="00070590" w:rsidRDefault="00E66DED">
      <w:pPr>
        <w:spacing w:before="0" w:after="240" w:line="276" w:lineRule="auto"/>
        <w:ind w:firstLine="0"/>
        <w:rPr>
          <w:rFonts w:ascii="Arial" w:eastAsia="Arial" w:hAnsi="Arial" w:cs="Arial"/>
          <w:shd w:val="clear" w:color="auto" w:fill="FF9900"/>
        </w:rPr>
      </w:pPr>
      <w:r w:rsidRPr="00070590">
        <w:rPr>
          <w:rFonts w:ascii="Arial" w:eastAsia="Arial" w:hAnsi="Arial" w:cs="Arial"/>
          <w:highlight w:val="yellow"/>
          <w:shd w:val="clear" w:color="auto" w:fill="FF9900"/>
        </w:rPr>
        <w:t>This study evaluates the anti-biofilm efficacy of biologically synthesized selenium nanoparticles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against pathogenic bacteria isolated from clinical settings, addressing the significant global health challenge posed by biofilm-producing bacteria an</w:t>
      </w:r>
      <w:r w:rsidRPr="00070590">
        <w:rPr>
          <w:rFonts w:ascii="Arial" w:eastAsia="Arial" w:hAnsi="Arial" w:cs="Arial"/>
          <w:highlight w:val="yellow"/>
          <w:shd w:val="clear" w:color="auto" w:fill="FF9900"/>
        </w:rPr>
        <w:t xml:space="preserve">d widespread antimicrobial resistance. The objective is to assess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as a potential alternative strategy to combat biofilm-associated infections. The study was conducted at Diwaniyah General Hospital. Bacterial isolates (Bacillus cereus, </w:t>
      </w:r>
      <w:proofErr w:type="spellStart"/>
      <w:r w:rsidRPr="00070590">
        <w:rPr>
          <w:rFonts w:ascii="Arial" w:eastAsia="Arial" w:hAnsi="Arial" w:cs="Arial"/>
          <w:highlight w:val="yellow"/>
          <w:shd w:val="clear" w:color="auto" w:fill="FF9900"/>
        </w:rPr>
        <w:t>Staphylococcus.</w:t>
      </w:r>
      <w:r w:rsidRPr="00070590">
        <w:rPr>
          <w:rFonts w:ascii="Arial" w:eastAsia="Arial" w:hAnsi="Arial" w:cs="Arial"/>
          <w:highlight w:val="yellow"/>
          <w:shd w:val="clear" w:color="auto" w:fill="FF9900"/>
        </w:rPr>
        <w:t>spp</w:t>
      </w:r>
      <w:proofErr w:type="spellEnd"/>
      <w:r w:rsidRPr="00070590">
        <w:rPr>
          <w:rFonts w:ascii="Arial" w:eastAsia="Arial" w:hAnsi="Arial" w:cs="Arial"/>
          <w:highlight w:val="yellow"/>
          <w:shd w:val="clear" w:color="auto" w:fill="FF9900"/>
        </w:rPr>
        <w:t xml:space="preserve">, E. coli) and one fungal isolate (C. albicans) were identified from 150 wound and burn samples.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were biosynthesized using Pseudomonas aeruginosa via a biological reduction of sodium selenite. The anti-biofilm activity of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at various concentr</w:t>
      </w:r>
      <w:r w:rsidRPr="00070590">
        <w:rPr>
          <w:rFonts w:ascii="Arial" w:eastAsia="Arial" w:hAnsi="Arial" w:cs="Arial"/>
          <w:highlight w:val="yellow"/>
          <w:shd w:val="clear" w:color="auto" w:fill="FF9900"/>
        </w:rPr>
        <w:t xml:space="preserve">ations (2 to 1048 µg/mL) was assessed using the Tissue Culture Plate Method (TCPM). The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demonstrated significant, dose-dependent anti-biofilm activity against all tested pathogens. At the highest concentration (1048 µg/mL),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showed 99.4±1.94% in</w:t>
      </w:r>
      <w:r w:rsidRPr="00070590">
        <w:rPr>
          <w:rFonts w:ascii="Arial" w:eastAsia="Arial" w:hAnsi="Arial" w:cs="Arial"/>
          <w:highlight w:val="yellow"/>
          <w:shd w:val="clear" w:color="auto" w:fill="FF9900"/>
        </w:rPr>
        <w:t xml:space="preserve">hibition of B. cereus biofilm, 98.1±1.86% inhibition of </w:t>
      </w:r>
      <w:proofErr w:type="spellStart"/>
      <w:r w:rsidRPr="00070590">
        <w:rPr>
          <w:rFonts w:ascii="Arial" w:eastAsia="Arial" w:hAnsi="Arial" w:cs="Arial"/>
          <w:highlight w:val="yellow"/>
          <w:shd w:val="clear" w:color="auto" w:fill="FF9900"/>
        </w:rPr>
        <w:t>Staphylococcus.spp</w:t>
      </w:r>
      <w:proofErr w:type="spellEnd"/>
      <w:r w:rsidRPr="00070590">
        <w:rPr>
          <w:rFonts w:ascii="Arial" w:eastAsia="Arial" w:hAnsi="Arial" w:cs="Arial"/>
          <w:highlight w:val="yellow"/>
          <w:shd w:val="clear" w:color="auto" w:fill="FF9900"/>
        </w:rPr>
        <w:t xml:space="preserve">, 96.2±2.01% inhibition of E. coli, and 93.9±1.18% inhibition of C. albicans. Even at lower concentrations (e.g., 2 µg/mL), activity was observed, though it was lowest against </w:t>
      </w:r>
      <w:proofErr w:type="spellStart"/>
      <w:r w:rsidRPr="00070590">
        <w:rPr>
          <w:rFonts w:ascii="Arial" w:eastAsia="Arial" w:hAnsi="Arial" w:cs="Arial"/>
          <w:highlight w:val="yellow"/>
          <w:shd w:val="clear" w:color="auto" w:fill="FF9900"/>
        </w:rPr>
        <w:t>Staphy</w:t>
      </w:r>
      <w:r w:rsidRPr="00070590">
        <w:rPr>
          <w:rFonts w:ascii="Arial" w:eastAsia="Arial" w:hAnsi="Arial" w:cs="Arial"/>
          <w:highlight w:val="yellow"/>
          <w:shd w:val="clear" w:color="auto" w:fill="FF9900"/>
        </w:rPr>
        <w:t>lococcus.spp</w:t>
      </w:r>
      <w:proofErr w:type="spellEnd"/>
      <w:r w:rsidRPr="00070590">
        <w:rPr>
          <w:rFonts w:ascii="Arial" w:eastAsia="Arial" w:hAnsi="Arial" w:cs="Arial"/>
          <w:highlight w:val="yellow"/>
          <w:shd w:val="clear" w:color="auto" w:fill="FF9900"/>
        </w:rPr>
        <w:t xml:space="preserve"> (23.3±1.17%). Statistical analysis (LSD = 1.62, p &lt; 0.05) confirmed significant differences between concentrations. Biosynthesized selenium nanoparticles exhibit potent anti-biofilm capabilities against clinically relevant pathogens. These fin</w:t>
      </w:r>
      <w:r w:rsidRPr="00070590">
        <w:rPr>
          <w:rFonts w:ascii="Arial" w:eastAsia="Arial" w:hAnsi="Arial" w:cs="Arial"/>
          <w:highlight w:val="yellow"/>
          <w:shd w:val="clear" w:color="auto" w:fill="FF9900"/>
        </w:rPr>
        <w:t xml:space="preserve">dings suggest </w:t>
      </w:r>
      <w:proofErr w:type="spellStart"/>
      <w:r w:rsidRPr="00070590">
        <w:rPr>
          <w:rFonts w:ascii="Arial" w:eastAsia="Arial" w:hAnsi="Arial" w:cs="Arial"/>
          <w:highlight w:val="yellow"/>
          <w:shd w:val="clear" w:color="auto" w:fill="FF9900"/>
        </w:rPr>
        <w:t>SeNPs</w:t>
      </w:r>
      <w:proofErr w:type="spellEnd"/>
      <w:r w:rsidRPr="00070590">
        <w:rPr>
          <w:rFonts w:ascii="Arial" w:eastAsia="Arial" w:hAnsi="Arial" w:cs="Arial"/>
          <w:highlight w:val="yellow"/>
          <w:shd w:val="clear" w:color="auto" w:fill="FF9900"/>
        </w:rPr>
        <w:t xml:space="preserve"> are a promising nanomaterial for developing new therapeutic strategies to manage and treat</w:t>
      </w:r>
      <w:r w:rsidRPr="00070590">
        <w:rPr>
          <w:rFonts w:ascii="Arial" w:eastAsia="Arial" w:hAnsi="Arial" w:cs="Arial"/>
          <w:shd w:val="clear" w:color="auto" w:fill="FF9900"/>
        </w:rPr>
        <w:t xml:space="preserve"> persistent biofilm-mediated infections</w:t>
      </w:r>
    </w:p>
    <w:p w:rsidR="00DB2C9C" w:rsidRPr="00070590" w:rsidRDefault="00E66DED">
      <w:pPr>
        <w:spacing w:before="0" w:after="240" w:line="276" w:lineRule="auto"/>
        <w:ind w:firstLine="0"/>
        <w:rPr>
          <w:rFonts w:ascii="Arial" w:eastAsia="Arial" w:hAnsi="Arial" w:cs="Arial"/>
        </w:rPr>
      </w:pPr>
      <w:r w:rsidRPr="00070590">
        <w:rPr>
          <w:rFonts w:ascii="Arial" w:eastAsia="Arial" w:hAnsi="Arial" w:cs="Arial"/>
          <w:b/>
        </w:rPr>
        <w:t>Keywords:</w:t>
      </w:r>
      <w:r w:rsidRPr="00070590">
        <w:rPr>
          <w:rFonts w:ascii="Arial" w:eastAsia="Arial" w:hAnsi="Arial" w:cs="Arial"/>
        </w:rPr>
        <w:t xml:space="preserve"> Biotechnology, bacteria, Biofilm, patients</w:t>
      </w:r>
    </w:p>
    <w:p w:rsidR="00DB2C9C" w:rsidRDefault="00E66DED">
      <w:pPr>
        <w:rPr>
          <w:rFonts w:ascii="Arial" w:eastAsia="Arial" w:hAnsi="Arial" w:cs="Arial"/>
        </w:rPr>
      </w:pPr>
      <w:r w:rsidRPr="00070590">
        <w:pict w14:anchorId="53F108C6">
          <v:rect id="_x0000_i1025" style="width:0;height:1.5pt" o:hralign="center" o:hrstd="t" o:hr="t" fillcolor="#a0a0a0" stroked="f"/>
        </w:pict>
      </w:r>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1" w:name="_8qqm0dg8xnzh" w:colFirst="0" w:colLast="0"/>
      <w:bookmarkEnd w:id="1"/>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 w:name="_roq0ik5zvawj" w:colFirst="0" w:colLast="0"/>
      <w:bookmarkEnd w:id="2"/>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3" w:name="_nhsrn2adoaig" w:colFirst="0" w:colLast="0"/>
      <w:bookmarkEnd w:id="3"/>
    </w:p>
    <w:p w:rsidR="00DB2C9C"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4" w:name="_rynhk0xxpk05" w:colFirst="0" w:colLast="0"/>
      <w:bookmarkEnd w:id="4"/>
      <w:r>
        <w:rPr>
          <w:rFonts w:ascii="Arial" w:eastAsia="Arial" w:hAnsi="Arial" w:cs="Arial"/>
          <w:sz w:val="34"/>
          <w:szCs w:val="34"/>
        </w:rPr>
        <w:t>Introduction</w:t>
      </w:r>
    </w:p>
    <w:p w:rsidR="00DB2C9C" w:rsidRDefault="00E66DED">
      <w:pPr>
        <w:spacing w:before="0" w:after="240" w:line="276" w:lineRule="auto"/>
        <w:ind w:firstLine="0"/>
        <w:rPr>
          <w:rFonts w:ascii="Arial" w:eastAsia="Arial" w:hAnsi="Arial" w:cs="Arial"/>
        </w:rPr>
      </w:pPr>
      <w:r>
        <w:rPr>
          <w:rFonts w:ascii="Arial" w:eastAsia="Arial" w:hAnsi="Arial" w:cs="Arial"/>
        </w:rPr>
        <w:t>Pathogenic bacteria that form biofi</w:t>
      </w:r>
      <w:r>
        <w:rPr>
          <w:rFonts w:ascii="Arial" w:eastAsia="Arial" w:hAnsi="Arial" w:cs="Arial"/>
        </w:rPr>
        <w:t>lms are a primary cause of chronic infections and treatment failures (</w:t>
      </w:r>
      <w:proofErr w:type="spellStart"/>
      <w:r>
        <w:rPr>
          <w:rFonts w:ascii="Arial" w:eastAsia="Arial" w:hAnsi="Arial" w:cs="Arial"/>
        </w:rPr>
        <w:t>Dadgostar</w:t>
      </w:r>
      <w:proofErr w:type="spellEnd"/>
      <w:r>
        <w:rPr>
          <w:rFonts w:ascii="Arial" w:eastAsia="Arial" w:hAnsi="Arial" w:cs="Arial"/>
        </w:rPr>
        <w:t xml:space="preserve"> 2019). A biofilm is a structured community of microorganisms encased in a self-produced extracellular polymeric substance (EPS) matrix, which adheres to surfaces. This structur</w:t>
      </w:r>
      <w:r>
        <w:rPr>
          <w:rFonts w:ascii="Arial" w:eastAsia="Arial" w:hAnsi="Arial" w:cs="Arial"/>
        </w:rPr>
        <w:t>e is a key virulence factor, particularly in clinical settings.</w:t>
      </w:r>
    </w:p>
    <w:p w:rsidR="00DB2C9C" w:rsidRDefault="00E66DED">
      <w:pPr>
        <w:spacing w:before="0" w:after="240" w:line="276" w:lineRule="auto"/>
        <w:ind w:firstLine="0"/>
        <w:rPr>
          <w:rFonts w:ascii="Arial" w:eastAsia="Arial" w:hAnsi="Arial" w:cs="Arial"/>
        </w:rPr>
      </w:pPr>
      <w:r>
        <w:rPr>
          <w:rFonts w:ascii="Arial" w:eastAsia="Arial" w:hAnsi="Arial" w:cs="Arial"/>
        </w:rPr>
        <w:t>The EPS matrix makes microbial communities highly resistant to conventional antibiotics and host immune defenses (Salem et al., 2022). This resistance can be due to the matrix acting as a mech</w:t>
      </w:r>
      <w:r>
        <w:rPr>
          <w:rFonts w:ascii="Arial" w:eastAsia="Arial" w:hAnsi="Arial" w:cs="Arial"/>
        </w:rPr>
        <w:t>anical barrier or inducing a slow-growing, persistent phenotype in the bacteria, making them less susceptible to drugs targeting active replication (Shaikh et al., 2019).</w:t>
      </w:r>
    </w:p>
    <w:p w:rsidR="00DB2C9C" w:rsidRDefault="00E66DED">
      <w:pPr>
        <w:spacing w:before="0" w:after="240" w:line="276" w:lineRule="auto"/>
        <w:ind w:firstLine="0"/>
        <w:rPr>
          <w:rFonts w:ascii="Arial" w:eastAsia="Arial" w:hAnsi="Arial" w:cs="Arial"/>
        </w:rPr>
      </w:pPr>
      <w:r>
        <w:rPr>
          <w:rFonts w:ascii="Arial" w:eastAsia="Arial" w:hAnsi="Arial" w:cs="Arial"/>
        </w:rPr>
        <w:t>The global crisis of antimicrobial resistance (AMR) is exacerbated by biofilms. Infec</w:t>
      </w:r>
      <w:r>
        <w:rPr>
          <w:rFonts w:ascii="Arial" w:eastAsia="Arial" w:hAnsi="Arial" w:cs="Arial"/>
        </w:rPr>
        <w:t xml:space="preserve">tions associated with biofilms, such as those on medical devices or in chronic wounds, lead to </w:t>
      </w:r>
      <w:r>
        <w:rPr>
          <w:rFonts w:ascii="Arial" w:eastAsia="Arial" w:hAnsi="Arial" w:cs="Arial"/>
        </w:rPr>
        <w:lastRenderedPageBreak/>
        <w:t xml:space="preserve">prolonged hospitalization and increased healthcare costs (van </w:t>
      </w:r>
      <w:proofErr w:type="spellStart"/>
      <w:r>
        <w:rPr>
          <w:rFonts w:ascii="Arial" w:eastAsia="Arial" w:hAnsi="Arial" w:cs="Arial"/>
        </w:rPr>
        <w:t>Duin</w:t>
      </w:r>
      <w:proofErr w:type="spellEnd"/>
      <w:r>
        <w:rPr>
          <w:rFonts w:ascii="Arial" w:eastAsia="Arial" w:hAnsi="Arial" w:cs="Arial"/>
        </w:rPr>
        <w:t xml:space="preserve"> and Paterson 2020). Failure to address AMR could result in 10 million deaths annually by 2050 </w:t>
      </w:r>
      <w:r>
        <w:rPr>
          <w:rFonts w:ascii="Arial" w:eastAsia="Arial" w:hAnsi="Arial" w:cs="Arial"/>
        </w:rPr>
        <w:t>(Walsh et al., 2023).</w:t>
      </w:r>
    </w:p>
    <w:p w:rsidR="00DB2C9C" w:rsidRDefault="00E66DED">
      <w:pPr>
        <w:spacing w:before="0" w:after="240" w:line="276" w:lineRule="auto"/>
        <w:ind w:firstLine="0"/>
        <w:rPr>
          <w:rFonts w:ascii="Arial" w:eastAsia="Arial" w:hAnsi="Arial" w:cs="Arial"/>
        </w:rPr>
      </w:pPr>
      <w:r>
        <w:rPr>
          <w:rFonts w:ascii="Arial" w:eastAsia="Arial" w:hAnsi="Arial" w:cs="Arial"/>
        </w:rPr>
        <w:t>Traditional antibiotic therapies often fail to eradicate biofilms, requiring high doses that cause systemic toxicity or surgical removal of infected devices (Aslam et al., 2018). This inefficiency necessitates new solutions. Nanotechn</w:t>
      </w:r>
      <w:r>
        <w:rPr>
          <w:rFonts w:ascii="Arial" w:eastAsia="Arial" w:hAnsi="Arial" w:cs="Arial"/>
        </w:rPr>
        <w:t>ology, specifically the use of metallic nanoparticles, offers a promising alternative by disrupting biofilm integrity through mechanisms distinct from traditional antibiotics (Salem et al., 2022).</w:t>
      </w:r>
    </w:p>
    <w:p w:rsidR="00DB2C9C" w:rsidRDefault="00E66DED">
      <w:pPr>
        <w:spacing w:before="0" w:after="240" w:line="276" w:lineRule="auto"/>
        <w:ind w:firstLine="0"/>
        <w:rPr>
          <w:rFonts w:ascii="Arial" w:eastAsia="Arial" w:hAnsi="Arial" w:cs="Arial"/>
        </w:rPr>
      </w:pPr>
      <w:r>
        <w:rPr>
          <w:rFonts w:ascii="Arial" w:eastAsia="Arial" w:hAnsi="Arial" w:cs="Arial"/>
        </w:rPr>
        <w:t>Recent research has highlighted the potential of nanopartic</w:t>
      </w:r>
      <w:r>
        <w:rPr>
          <w:rFonts w:ascii="Arial" w:eastAsia="Arial" w:hAnsi="Arial" w:cs="Arial"/>
        </w:rPr>
        <w:t xml:space="preserve">les. For instance, one study demonstrated that </w:t>
      </w:r>
      <w:proofErr w:type="spellStart"/>
      <w:r>
        <w:rPr>
          <w:rFonts w:ascii="Arial" w:eastAsia="Arial" w:hAnsi="Arial" w:cs="Arial"/>
        </w:rPr>
        <w:t>SeNPs</w:t>
      </w:r>
      <w:proofErr w:type="spellEnd"/>
      <w:r>
        <w:rPr>
          <w:rFonts w:ascii="Arial" w:eastAsia="Arial" w:hAnsi="Arial" w:cs="Arial"/>
        </w:rPr>
        <w:t xml:space="preserve"> produced by </w:t>
      </w:r>
      <w:r>
        <w:rPr>
          <w:rFonts w:ascii="Arial" w:eastAsia="Arial" w:hAnsi="Arial" w:cs="Arial"/>
          <w:i/>
        </w:rPr>
        <w:t>Bacillus subtilis</w:t>
      </w:r>
      <w:r>
        <w:rPr>
          <w:rFonts w:ascii="Arial" w:eastAsia="Arial" w:hAnsi="Arial" w:cs="Arial"/>
        </w:rPr>
        <w:t xml:space="preserve"> showed significant anti-biofilm activity against both Gram-positive and Gram-negative pathogens by causing cell membrane disruption (Ullah et al., 2023). Similarly, another </w:t>
      </w:r>
      <w:r>
        <w:rPr>
          <w:rFonts w:ascii="Arial" w:eastAsia="Arial" w:hAnsi="Arial" w:cs="Arial"/>
        </w:rPr>
        <w:t xml:space="preserve">study found that biologically produced </w:t>
      </w:r>
      <w:proofErr w:type="spellStart"/>
      <w:r>
        <w:rPr>
          <w:rFonts w:ascii="Arial" w:eastAsia="Arial" w:hAnsi="Arial" w:cs="Arial"/>
        </w:rPr>
        <w:t>SeNPs</w:t>
      </w:r>
      <w:proofErr w:type="spellEnd"/>
      <w:r>
        <w:rPr>
          <w:rFonts w:ascii="Arial" w:eastAsia="Arial" w:hAnsi="Arial" w:cs="Arial"/>
        </w:rPr>
        <w:t xml:space="preserve"> were effective against </w:t>
      </w:r>
      <w:r>
        <w:rPr>
          <w:rFonts w:ascii="Arial" w:eastAsia="Arial" w:hAnsi="Arial" w:cs="Arial"/>
          <w:i/>
        </w:rPr>
        <w:t>Klebsiella pneumoniae</w:t>
      </w:r>
      <w:r>
        <w:rPr>
          <w:rFonts w:ascii="Arial" w:eastAsia="Arial" w:hAnsi="Arial" w:cs="Arial"/>
        </w:rPr>
        <w:t xml:space="preserve"> biofilms, suggesting their utility in endodontic treatment (</w:t>
      </w:r>
      <w:proofErr w:type="spellStart"/>
      <w:r>
        <w:rPr>
          <w:rFonts w:ascii="Arial" w:eastAsia="Arial" w:hAnsi="Arial" w:cs="Arial"/>
        </w:rPr>
        <w:t>Miglani</w:t>
      </w:r>
      <w:proofErr w:type="spellEnd"/>
      <w:r>
        <w:rPr>
          <w:rFonts w:ascii="Arial" w:eastAsia="Arial" w:hAnsi="Arial" w:cs="Arial"/>
        </w:rPr>
        <w:t xml:space="preserve"> and </w:t>
      </w:r>
      <w:proofErr w:type="spellStart"/>
      <w:r>
        <w:rPr>
          <w:rFonts w:ascii="Arial" w:eastAsia="Arial" w:hAnsi="Arial" w:cs="Arial"/>
        </w:rPr>
        <w:t>Tani</w:t>
      </w:r>
      <w:proofErr w:type="spellEnd"/>
      <w:r>
        <w:rPr>
          <w:rFonts w:ascii="Arial" w:eastAsia="Arial" w:hAnsi="Arial" w:cs="Arial"/>
        </w:rPr>
        <w:t>-Ishii 2021).</w:t>
      </w:r>
    </w:p>
    <w:p w:rsidR="00DB2C9C" w:rsidRDefault="00E66DED">
      <w:pPr>
        <w:spacing w:before="0" w:after="240" w:line="276" w:lineRule="auto"/>
        <w:ind w:firstLine="0"/>
        <w:rPr>
          <w:rFonts w:ascii="Arial" w:eastAsia="Arial" w:hAnsi="Arial" w:cs="Arial"/>
        </w:rPr>
      </w:pPr>
      <w:r>
        <w:rPr>
          <w:rFonts w:ascii="Arial" w:eastAsia="Arial" w:hAnsi="Arial" w:cs="Arial"/>
        </w:rPr>
        <w:t>The objective of the current study was to isolate and identify pathogenic ba</w:t>
      </w:r>
      <w:r>
        <w:rPr>
          <w:rFonts w:ascii="Arial" w:eastAsia="Arial" w:hAnsi="Arial" w:cs="Arial"/>
        </w:rPr>
        <w:t xml:space="preserve">cteria from patient wound and burn samples and to evaluate the </w:t>
      </w:r>
      <w:r>
        <w:rPr>
          <w:rFonts w:ascii="Arial" w:eastAsia="Arial" w:hAnsi="Arial" w:cs="Arial"/>
          <w:i/>
        </w:rPr>
        <w:t>in vitro</w:t>
      </w:r>
      <w:r>
        <w:rPr>
          <w:rFonts w:ascii="Arial" w:eastAsia="Arial" w:hAnsi="Arial" w:cs="Arial"/>
        </w:rPr>
        <w:t xml:space="preserve"> anti-biofilm efficacy of selenium nanoparticles, biosynthesized using </w:t>
      </w:r>
      <w:r>
        <w:rPr>
          <w:rFonts w:ascii="Arial" w:eastAsia="Arial" w:hAnsi="Arial" w:cs="Arial"/>
          <w:i/>
        </w:rPr>
        <w:t>Pseudomonas aeruginosa</w:t>
      </w:r>
      <w:r>
        <w:rPr>
          <w:rFonts w:ascii="Arial" w:eastAsia="Arial" w:hAnsi="Arial" w:cs="Arial"/>
        </w:rPr>
        <w:t>, against these clinical isolates.</w:t>
      </w:r>
    </w:p>
    <w:p w:rsidR="00DB2C9C" w:rsidRDefault="00E66DED">
      <w:pPr>
        <w:rPr>
          <w:rFonts w:ascii="Arial" w:eastAsia="Arial" w:hAnsi="Arial" w:cs="Arial"/>
        </w:rPr>
      </w:pPr>
      <w:r>
        <w:pict w14:anchorId="605A60A5">
          <v:rect id="_x0000_i1026" style="width:0;height:1.5pt" o:hralign="center" o:hrstd="t" o:hr="t" fillcolor="#a0a0a0" stroked="f"/>
        </w:pict>
      </w:r>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5" w:name="_qxkn04qx5u36" w:colFirst="0" w:colLast="0"/>
      <w:bookmarkEnd w:id="5"/>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6" w:name="_wovi1ofjqswg" w:colFirst="0" w:colLast="0"/>
      <w:bookmarkEnd w:id="6"/>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7" w:name="_1ywcaanuifdu" w:colFirst="0" w:colLast="0"/>
      <w:bookmarkEnd w:id="7"/>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8" w:name="_vuhuwimw5nus" w:colFirst="0" w:colLast="0"/>
      <w:bookmarkEnd w:id="8"/>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9" w:name="_w54yc34stqzm" w:colFirst="0" w:colLast="0"/>
      <w:bookmarkEnd w:id="9"/>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10" w:name="_2pr4ogd3ddl8" w:colFirst="0" w:colLast="0"/>
      <w:bookmarkEnd w:id="10"/>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11" w:name="_efy6a1pthzn6" w:colFirst="0" w:colLast="0"/>
      <w:bookmarkEnd w:id="11"/>
    </w:p>
    <w:p w:rsidR="00DB2C9C"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12" w:name="_7asx7twwvm82" w:colFirst="0" w:colLast="0"/>
      <w:bookmarkEnd w:id="12"/>
      <w:r>
        <w:rPr>
          <w:rFonts w:ascii="Arial" w:eastAsia="Arial" w:hAnsi="Arial" w:cs="Arial"/>
          <w:sz w:val="34"/>
          <w:szCs w:val="34"/>
        </w:rPr>
        <w:t>Methods</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3" w:name="_y6frh1r1ra5o" w:colFirst="0" w:colLast="0"/>
      <w:bookmarkEnd w:id="13"/>
      <w:r>
        <w:rPr>
          <w:rFonts w:ascii="Arial" w:eastAsia="Arial" w:hAnsi="Arial" w:cs="Arial"/>
          <w:sz w:val="26"/>
          <w:szCs w:val="26"/>
        </w:rPr>
        <w:t>Study Design</w:t>
      </w:r>
    </w:p>
    <w:p w:rsidR="00DB2C9C" w:rsidRDefault="00E66DED">
      <w:pPr>
        <w:spacing w:before="0" w:after="240" w:line="276" w:lineRule="auto"/>
        <w:ind w:firstLine="0"/>
        <w:rPr>
          <w:rFonts w:ascii="Arial" w:eastAsia="Arial" w:hAnsi="Arial" w:cs="Arial"/>
        </w:rPr>
      </w:pPr>
      <w:r>
        <w:rPr>
          <w:rFonts w:ascii="Arial" w:eastAsia="Arial" w:hAnsi="Arial" w:cs="Arial"/>
        </w:rPr>
        <w:t>This descriptive cross-sectional study was conducted using samples collected from Diwaniyah General Hospital. The study period was from May 1, 2023, to June 1, 2023. Samples from patients who had already received antibiotics were excluded. All other sample</w:t>
      </w:r>
      <w:r>
        <w:rPr>
          <w:rFonts w:ascii="Arial" w:eastAsia="Arial" w:hAnsi="Arial" w:cs="Arial"/>
        </w:rPr>
        <w:t>s from burn and wound infections were included.</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4" w:name="_dxek2a72l00b" w:colFirst="0" w:colLast="0"/>
      <w:bookmarkEnd w:id="14"/>
      <w:r>
        <w:rPr>
          <w:rFonts w:ascii="Arial" w:eastAsia="Arial" w:hAnsi="Arial" w:cs="Arial"/>
          <w:sz w:val="26"/>
          <w:szCs w:val="26"/>
        </w:rPr>
        <w:t>Sample Collection and Isolation</w:t>
      </w:r>
    </w:p>
    <w:p w:rsidR="00DB2C9C" w:rsidRDefault="00E66DED">
      <w:pPr>
        <w:spacing w:before="0" w:after="240" w:line="276" w:lineRule="auto"/>
        <w:ind w:firstLine="0"/>
        <w:rPr>
          <w:rFonts w:ascii="Arial" w:eastAsia="Arial" w:hAnsi="Arial" w:cs="Arial"/>
        </w:rPr>
      </w:pPr>
      <w:r>
        <w:rPr>
          <w:rFonts w:ascii="Arial" w:eastAsia="Arial" w:hAnsi="Arial" w:cs="Arial"/>
        </w:rPr>
        <w:t>A total of 150 samples were collected from wound and burn infections using sterile cotton swabs. Samples were transported in sterile media, streaked onto appropriate culture me</w:t>
      </w:r>
      <w:r>
        <w:rPr>
          <w:rFonts w:ascii="Arial" w:eastAsia="Arial" w:hAnsi="Arial" w:cs="Arial"/>
        </w:rPr>
        <w:t xml:space="preserve">dia (e.g., Blood Agar, MacConkey Agar, </w:t>
      </w:r>
      <w:proofErr w:type="spellStart"/>
      <w:r>
        <w:rPr>
          <w:rFonts w:ascii="Arial" w:eastAsia="Arial" w:hAnsi="Arial" w:cs="Arial"/>
        </w:rPr>
        <w:t>Sabouraud</w:t>
      </w:r>
      <w:proofErr w:type="spellEnd"/>
      <w:r>
        <w:rPr>
          <w:rFonts w:ascii="Arial" w:eastAsia="Arial" w:hAnsi="Arial" w:cs="Arial"/>
        </w:rPr>
        <w:t xml:space="preserve"> Dextrose Agar), and incubated for 24-48 hours.</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5" w:name="_mzu8r814camu" w:colFirst="0" w:colLast="0"/>
      <w:bookmarkEnd w:id="15"/>
      <w:r>
        <w:rPr>
          <w:rFonts w:ascii="Arial" w:eastAsia="Arial" w:hAnsi="Arial" w:cs="Arial"/>
          <w:sz w:val="26"/>
          <w:szCs w:val="26"/>
        </w:rPr>
        <w:lastRenderedPageBreak/>
        <w:t>Bacterial Identification</w:t>
      </w:r>
    </w:p>
    <w:p w:rsidR="00DB2C9C" w:rsidRDefault="00E66DED">
      <w:pPr>
        <w:spacing w:before="0" w:after="240" w:line="276" w:lineRule="auto"/>
        <w:ind w:firstLine="0"/>
        <w:rPr>
          <w:rFonts w:ascii="Arial" w:eastAsia="Arial" w:hAnsi="Arial" w:cs="Arial"/>
        </w:rPr>
      </w:pPr>
      <w:r>
        <w:rPr>
          <w:rFonts w:ascii="Arial" w:eastAsia="Arial" w:hAnsi="Arial" w:cs="Arial"/>
        </w:rPr>
        <w:t xml:space="preserve">Initial identification was performed using phenotypic methods, including Gram staining and standard biochemical tests (e.g., Catalase, </w:t>
      </w:r>
      <w:r>
        <w:rPr>
          <w:rFonts w:ascii="Arial" w:eastAsia="Arial" w:hAnsi="Arial" w:cs="Arial"/>
        </w:rPr>
        <w:t xml:space="preserve">Indole, Citrate). Isolates identified included </w:t>
      </w:r>
      <w:r>
        <w:rPr>
          <w:rFonts w:ascii="Arial" w:eastAsia="Arial" w:hAnsi="Arial" w:cs="Arial"/>
          <w:i/>
        </w:rPr>
        <w:t>Bacillus cereus</w:t>
      </w:r>
      <w:r>
        <w:rPr>
          <w:rFonts w:ascii="Arial" w:eastAsia="Arial" w:hAnsi="Arial" w:cs="Arial"/>
        </w:rPr>
        <w:t xml:space="preserve">, </w:t>
      </w:r>
      <w:proofErr w:type="spellStart"/>
      <w:r>
        <w:rPr>
          <w:rFonts w:ascii="Arial" w:eastAsia="Arial" w:hAnsi="Arial" w:cs="Arial"/>
          <w:i/>
        </w:rPr>
        <w:t>Staphylococcus.spp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w:t>
      </w:r>
      <w:r>
        <w:rPr>
          <w:rFonts w:ascii="Arial" w:eastAsia="Arial" w:hAnsi="Arial" w:cs="Arial"/>
          <w:i/>
        </w:rPr>
        <w:t>C. albicans</w:t>
      </w:r>
      <w:r>
        <w:rPr>
          <w:rFonts w:ascii="Arial" w:eastAsia="Arial" w:hAnsi="Arial" w:cs="Arial"/>
        </w:rPr>
        <w:t>.</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6" w:name="_7y9mhspfwnuf" w:colFirst="0" w:colLast="0"/>
      <w:bookmarkEnd w:id="16"/>
      <w:r>
        <w:rPr>
          <w:rFonts w:ascii="Arial" w:eastAsia="Arial" w:hAnsi="Arial" w:cs="Arial"/>
          <w:sz w:val="26"/>
          <w:szCs w:val="26"/>
        </w:rPr>
        <w:t>Biosynthesis of Selenium Nanoparticles (</w:t>
      </w:r>
      <w:proofErr w:type="spellStart"/>
      <w:r>
        <w:rPr>
          <w:rFonts w:ascii="Arial" w:eastAsia="Arial" w:hAnsi="Arial" w:cs="Arial"/>
          <w:sz w:val="26"/>
          <w:szCs w:val="26"/>
        </w:rPr>
        <w:t>SeNPs</w:t>
      </w:r>
      <w:proofErr w:type="spellEnd"/>
      <w:r>
        <w:rPr>
          <w:rFonts w:ascii="Arial" w:eastAsia="Arial" w:hAnsi="Arial" w:cs="Arial"/>
          <w:sz w:val="26"/>
          <w:szCs w:val="26"/>
        </w:rPr>
        <w:t>)</w:t>
      </w:r>
    </w:p>
    <w:p w:rsidR="00DB2C9C" w:rsidRDefault="00E66DED">
      <w:pPr>
        <w:spacing w:before="0" w:after="240" w:line="276" w:lineRule="auto"/>
        <w:ind w:firstLine="0"/>
        <w:rPr>
          <w:rFonts w:ascii="Arial" w:eastAsia="Arial" w:hAnsi="Arial" w:cs="Arial"/>
        </w:rPr>
      </w:pPr>
      <w:proofErr w:type="spellStart"/>
      <w:r>
        <w:rPr>
          <w:rFonts w:ascii="Arial" w:eastAsia="Arial" w:hAnsi="Arial" w:cs="Arial"/>
        </w:rPr>
        <w:t>SeNPs</w:t>
      </w:r>
      <w:proofErr w:type="spellEnd"/>
      <w:r>
        <w:rPr>
          <w:rFonts w:ascii="Arial" w:eastAsia="Arial" w:hAnsi="Arial" w:cs="Arial"/>
        </w:rPr>
        <w:t xml:space="preserve"> were synthesized biologically using a selected isolate of </w:t>
      </w:r>
      <w:r>
        <w:rPr>
          <w:rFonts w:ascii="Arial" w:eastAsia="Arial" w:hAnsi="Arial" w:cs="Arial"/>
          <w:i/>
        </w:rPr>
        <w:t>Pseudomonas aeruginosa</w:t>
      </w:r>
      <w:r>
        <w:rPr>
          <w:rFonts w:ascii="Arial" w:eastAsia="Arial" w:hAnsi="Arial" w:cs="Arial"/>
        </w:rPr>
        <w:t>. The bacteri</w:t>
      </w:r>
      <w:r>
        <w:rPr>
          <w:rFonts w:ascii="Arial" w:eastAsia="Arial" w:hAnsi="Arial" w:cs="Arial"/>
        </w:rPr>
        <w:t>a were cultured, and the cell-free supernatant was collected via centrifugation. Sodium selenite (</w:t>
      </w:r>
      <w:proofErr w:type="spellStart"/>
      <w:r>
        <w:rPr>
          <w:rFonts w:ascii="Arial" w:eastAsia="Arial" w:hAnsi="Arial" w:cs="Arial"/>
        </w:rPr>
        <w:t>Na₂SeO</w:t>
      </w:r>
      <w:proofErr w:type="spellEnd"/>
      <w:r>
        <w:rPr>
          <w:rFonts w:ascii="Arial" w:eastAsia="Arial" w:hAnsi="Arial" w:cs="Arial"/>
        </w:rPr>
        <w:t xml:space="preserve">₄) was added to the supernatant and incubated, resulting in a color change from yellow to red, indicating </w:t>
      </w:r>
      <w:proofErr w:type="spellStart"/>
      <w:r>
        <w:rPr>
          <w:rFonts w:ascii="Arial" w:eastAsia="Arial" w:hAnsi="Arial" w:cs="Arial"/>
        </w:rPr>
        <w:t>SeNP</w:t>
      </w:r>
      <w:proofErr w:type="spellEnd"/>
      <w:r>
        <w:rPr>
          <w:rFonts w:ascii="Arial" w:eastAsia="Arial" w:hAnsi="Arial" w:cs="Arial"/>
        </w:rPr>
        <w:t xml:space="preserve"> formation (Qadhi and Al-</w:t>
      </w:r>
      <w:proofErr w:type="spellStart"/>
      <w:r>
        <w:rPr>
          <w:rFonts w:ascii="Arial" w:eastAsia="Arial" w:hAnsi="Arial" w:cs="Arial"/>
        </w:rPr>
        <w:t>Shibly</w:t>
      </w:r>
      <w:proofErr w:type="spellEnd"/>
      <w:r>
        <w:rPr>
          <w:rFonts w:ascii="Arial" w:eastAsia="Arial" w:hAnsi="Arial" w:cs="Arial"/>
        </w:rPr>
        <w:t xml:space="preserve"> 2023).</w:t>
      </w:r>
    </w:p>
    <w:p w:rsidR="00DB2C9C" w:rsidRDefault="00E66DED">
      <w:pPr>
        <w:pStyle w:val="Heading3"/>
        <w:keepNext w:val="0"/>
        <w:keepLines w:val="0"/>
        <w:spacing w:before="0" w:after="80" w:line="276" w:lineRule="auto"/>
        <w:ind w:firstLine="708"/>
        <w:rPr>
          <w:rFonts w:ascii="Arial" w:eastAsia="Arial" w:hAnsi="Arial" w:cs="Arial"/>
        </w:rPr>
      </w:pPr>
      <w:bookmarkStart w:id="17" w:name="_lhdrngs0m7au" w:colFirst="0" w:colLast="0"/>
      <w:bookmarkEnd w:id="17"/>
      <w:r>
        <w:rPr>
          <w:rFonts w:ascii="Arial" w:eastAsia="Arial" w:hAnsi="Arial" w:cs="Arial"/>
          <w:sz w:val="26"/>
          <w:szCs w:val="26"/>
        </w:rPr>
        <w:t>Ant</w:t>
      </w:r>
      <w:r>
        <w:rPr>
          <w:rFonts w:ascii="Arial" w:eastAsia="Arial" w:hAnsi="Arial" w:cs="Arial"/>
          <w:sz w:val="26"/>
          <w:szCs w:val="26"/>
        </w:rPr>
        <w:t>i-Biofilm Activity Assay (TCPM)</w:t>
      </w:r>
    </w:p>
    <w:p w:rsidR="00DB2C9C" w:rsidRDefault="00E66DED">
      <w:pPr>
        <w:pBdr>
          <w:top w:val="nil"/>
          <w:left w:val="nil"/>
          <w:bottom w:val="nil"/>
          <w:right w:val="nil"/>
          <w:between w:val="nil"/>
        </w:pBdr>
        <w:spacing w:before="0" w:after="240" w:line="276" w:lineRule="auto"/>
        <w:ind w:firstLine="0"/>
        <w:rPr>
          <w:rFonts w:ascii="Arial" w:eastAsia="Arial" w:hAnsi="Arial" w:cs="Arial"/>
          <w:shd w:val="clear" w:color="auto" w:fill="FF9900"/>
        </w:rPr>
      </w:pPr>
      <w:r>
        <w:rPr>
          <w:rFonts w:ascii="Arial" w:eastAsia="Arial" w:hAnsi="Arial" w:cs="Arial"/>
          <w:shd w:val="clear" w:color="auto" w:fill="FF9900"/>
        </w:rPr>
        <w:t>"The crystal violet microtiter plate biofilm assay was employed to assess anti-biofilm activity, determining the efficacy of selenium nanoparticles (</w:t>
      </w:r>
      <w:proofErr w:type="spellStart"/>
      <w:r>
        <w:rPr>
          <w:rFonts w:ascii="Arial" w:eastAsia="Arial" w:hAnsi="Arial" w:cs="Arial"/>
          <w:shd w:val="clear" w:color="auto" w:fill="FF9900"/>
        </w:rPr>
        <w:t>SeNPs</w:t>
      </w:r>
      <w:proofErr w:type="spellEnd"/>
      <w:r>
        <w:rPr>
          <w:rFonts w:ascii="Arial" w:eastAsia="Arial" w:hAnsi="Arial" w:cs="Arial"/>
          <w:shd w:val="clear" w:color="auto" w:fill="FF9900"/>
        </w:rPr>
        <w:t>) in inhibiting biofilm formation. This method involves several critic</w:t>
      </w:r>
      <w:r>
        <w:rPr>
          <w:rFonts w:ascii="Arial" w:eastAsia="Arial" w:hAnsi="Arial" w:cs="Arial"/>
          <w:shd w:val="clear" w:color="auto" w:fill="FF9900"/>
        </w:rPr>
        <w:t>al steps.</w:t>
      </w:r>
    </w:p>
    <w:p w:rsidR="00DB2C9C" w:rsidRDefault="00E66DED">
      <w:pPr>
        <w:pBdr>
          <w:top w:val="nil"/>
          <w:left w:val="nil"/>
          <w:bottom w:val="nil"/>
          <w:right w:val="nil"/>
          <w:between w:val="nil"/>
        </w:pBdr>
        <w:spacing w:before="0" w:after="240" w:line="276" w:lineRule="auto"/>
        <w:ind w:firstLine="0"/>
        <w:rPr>
          <w:rFonts w:ascii="Arial" w:eastAsia="Arial" w:hAnsi="Arial" w:cs="Arial"/>
          <w:shd w:val="clear" w:color="auto" w:fill="FF9900"/>
        </w:rPr>
      </w:pPr>
      <w:r>
        <w:rPr>
          <w:rFonts w:ascii="Arial" w:eastAsia="Arial" w:hAnsi="Arial" w:cs="Arial"/>
          <w:shd w:val="clear" w:color="auto" w:fill="FF9900"/>
        </w:rPr>
        <w:t xml:space="preserve">Initially, serial twofold dilutions of the </w:t>
      </w:r>
      <w:proofErr w:type="spellStart"/>
      <w:r>
        <w:rPr>
          <w:rFonts w:ascii="Arial" w:eastAsia="Arial" w:hAnsi="Arial" w:cs="Arial"/>
          <w:shd w:val="clear" w:color="auto" w:fill="FF9900"/>
        </w:rPr>
        <w:t>SeNPs</w:t>
      </w:r>
      <w:proofErr w:type="spellEnd"/>
      <w:r>
        <w:rPr>
          <w:rFonts w:ascii="Arial" w:eastAsia="Arial" w:hAnsi="Arial" w:cs="Arial"/>
          <w:shd w:val="clear" w:color="auto" w:fill="FF9900"/>
        </w:rPr>
        <w:t xml:space="preserve"> were prepared in 96-well microtiter plates, establishing a concentration range from 2 to 1048 µg/mL to evaluate dose-dependent effects. Subsequently, bacterial suspensions, standardized to 0.5 McFa</w:t>
      </w:r>
      <w:r>
        <w:rPr>
          <w:rFonts w:ascii="Arial" w:eastAsia="Arial" w:hAnsi="Arial" w:cs="Arial"/>
          <w:shd w:val="clear" w:color="auto" w:fill="FF9900"/>
        </w:rPr>
        <w:t xml:space="preserve">rland turbidity, were introduced into wells containing the diluted </w:t>
      </w:r>
      <w:proofErr w:type="spellStart"/>
      <w:r>
        <w:rPr>
          <w:rFonts w:ascii="Arial" w:eastAsia="Arial" w:hAnsi="Arial" w:cs="Arial"/>
          <w:shd w:val="clear" w:color="auto" w:fill="FF9900"/>
        </w:rPr>
        <w:t>SeNPs</w:t>
      </w:r>
      <w:proofErr w:type="spellEnd"/>
      <w:r>
        <w:rPr>
          <w:rFonts w:ascii="Arial" w:eastAsia="Arial" w:hAnsi="Arial" w:cs="Arial"/>
          <w:shd w:val="clear" w:color="auto" w:fill="FF9900"/>
        </w:rPr>
        <w:t>. Plates were then incubated at 37°C for 24 hours to facilitate bacterial growth and biofilm development.</w:t>
      </w:r>
    </w:p>
    <w:p w:rsidR="00DB2C9C" w:rsidRDefault="00E66DED">
      <w:pPr>
        <w:pBdr>
          <w:top w:val="nil"/>
          <w:left w:val="nil"/>
          <w:bottom w:val="nil"/>
          <w:right w:val="nil"/>
          <w:between w:val="nil"/>
        </w:pBdr>
        <w:spacing w:before="0" w:after="240" w:line="276" w:lineRule="auto"/>
        <w:ind w:firstLine="0"/>
        <w:rPr>
          <w:rFonts w:ascii="Arial" w:eastAsia="Arial" w:hAnsi="Arial" w:cs="Arial"/>
          <w:shd w:val="clear" w:color="auto" w:fill="FF9900"/>
        </w:rPr>
      </w:pPr>
      <w:r>
        <w:rPr>
          <w:rFonts w:ascii="Arial" w:eastAsia="Arial" w:hAnsi="Arial" w:cs="Arial"/>
          <w:shd w:val="clear" w:color="auto" w:fill="FF9900"/>
        </w:rPr>
        <w:t>Following incubation, wells were gently washed three times with sterile phosph</w:t>
      </w:r>
      <w:r>
        <w:rPr>
          <w:rFonts w:ascii="Arial" w:eastAsia="Arial" w:hAnsi="Arial" w:cs="Arial"/>
          <w:shd w:val="clear" w:color="auto" w:fill="FF9900"/>
        </w:rPr>
        <w:t xml:space="preserve">ate-buffered saline (PBS) to remove planktonic and loosely adhered cells. The remaining adherent biofilms were then heat-fixed at 60°C for one hour to ensure stability. After cooling, biofilms were stained with 0.1% crystal violet solution for 15 minutes. </w:t>
      </w:r>
      <w:r>
        <w:rPr>
          <w:rFonts w:ascii="Arial" w:eastAsia="Arial" w:hAnsi="Arial" w:cs="Arial"/>
          <w:shd w:val="clear" w:color="auto" w:fill="FF9900"/>
        </w:rPr>
        <w:t>Excess stain was removed by washing with distilled water, and the plates were air-dried. The bound crystal violet was then solubilized using 95% ethanol for 15 minutes. Finally, the optical density (OD) of each well was measured at 570 nm using an ELISA re</w:t>
      </w:r>
      <w:r>
        <w:rPr>
          <w:rFonts w:ascii="Arial" w:eastAsia="Arial" w:hAnsi="Arial" w:cs="Arial"/>
          <w:shd w:val="clear" w:color="auto" w:fill="FF9900"/>
        </w:rPr>
        <w:t>ader. The percentage of biofilm inhibition was calculated using the following formula:</w:t>
      </w:r>
    </w:p>
    <w:p w:rsidR="00DB2C9C" w:rsidRDefault="00E66DED">
      <w:pPr>
        <w:pBdr>
          <w:top w:val="nil"/>
          <w:left w:val="nil"/>
          <w:bottom w:val="nil"/>
          <w:right w:val="nil"/>
          <w:between w:val="nil"/>
        </w:pBdr>
        <w:spacing w:before="0" w:after="240" w:line="276" w:lineRule="auto"/>
        <w:ind w:firstLine="0"/>
        <w:rPr>
          <w:rFonts w:ascii="Arial" w:eastAsia="Arial" w:hAnsi="Arial" w:cs="Arial"/>
          <w:shd w:val="clear" w:color="auto" w:fill="FF9900"/>
        </w:rPr>
      </w:pPr>
      <w:r>
        <w:rPr>
          <w:rFonts w:ascii="Arial" w:eastAsia="Arial" w:hAnsi="Arial" w:cs="Arial"/>
          <w:shd w:val="clear" w:color="auto" w:fill="FF9900"/>
        </w:rPr>
        <w:t>% Inhibition = [(OD control - OD treated) / OD control] × 100</w:t>
      </w:r>
    </w:p>
    <w:p w:rsidR="00DB2C9C" w:rsidRDefault="00E66DED">
      <w:pPr>
        <w:pBdr>
          <w:top w:val="nil"/>
          <w:left w:val="nil"/>
          <w:bottom w:val="nil"/>
          <w:right w:val="nil"/>
          <w:between w:val="nil"/>
        </w:pBdr>
        <w:spacing w:before="0" w:after="240" w:line="276" w:lineRule="auto"/>
        <w:ind w:firstLine="0"/>
        <w:rPr>
          <w:rFonts w:ascii="Arial" w:eastAsia="Arial" w:hAnsi="Arial" w:cs="Arial"/>
          <w:shd w:val="clear" w:color="auto" w:fill="FF9900"/>
        </w:rPr>
      </w:pPr>
      <w:r>
        <w:rPr>
          <w:rFonts w:ascii="Arial" w:eastAsia="Arial" w:hAnsi="Arial" w:cs="Arial"/>
          <w:shd w:val="clear" w:color="auto" w:fill="FF9900"/>
        </w:rPr>
        <w:t xml:space="preserve">where OD control is the optical density of the untreated control wells, and OD treated is the optical density of the </w:t>
      </w:r>
      <w:proofErr w:type="spellStart"/>
      <w:r>
        <w:rPr>
          <w:rFonts w:ascii="Arial" w:eastAsia="Arial" w:hAnsi="Arial" w:cs="Arial"/>
          <w:shd w:val="clear" w:color="auto" w:fill="FF9900"/>
        </w:rPr>
        <w:t>SeNP</w:t>
      </w:r>
      <w:proofErr w:type="spellEnd"/>
      <w:r>
        <w:rPr>
          <w:rFonts w:ascii="Arial" w:eastAsia="Arial" w:hAnsi="Arial" w:cs="Arial"/>
          <w:shd w:val="clear" w:color="auto" w:fill="FF9900"/>
        </w:rPr>
        <w:t xml:space="preserve">-treated wells. This calculation directly reflects the anti-biofilm efficacy of the </w:t>
      </w:r>
      <w:proofErr w:type="spellStart"/>
      <w:r>
        <w:rPr>
          <w:rFonts w:ascii="Arial" w:eastAsia="Arial" w:hAnsi="Arial" w:cs="Arial"/>
          <w:shd w:val="clear" w:color="auto" w:fill="FF9900"/>
        </w:rPr>
        <w:t>SeNPs</w:t>
      </w:r>
      <w:proofErr w:type="spellEnd"/>
      <w:r>
        <w:rPr>
          <w:rFonts w:ascii="Arial" w:eastAsia="Arial" w:hAnsi="Arial" w:cs="Arial"/>
          <w:shd w:val="clear" w:color="auto" w:fill="FF9900"/>
        </w:rPr>
        <w:t>."</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8" w:name="_84mp5b9gb2iz" w:colFirst="0" w:colLast="0"/>
      <w:bookmarkEnd w:id="18"/>
      <w:r>
        <w:rPr>
          <w:rFonts w:ascii="Arial" w:eastAsia="Arial" w:hAnsi="Arial" w:cs="Arial"/>
          <w:sz w:val="26"/>
          <w:szCs w:val="26"/>
        </w:rPr>
        <w:t>Statistical Analysis</w:t>
      </w:r>
    </w:p>
    <w:p w:rsidR="00DB2C9C" w:rsidRDefault="00E66DED">
      <w:pPr>
        <w:spacing w:before="0" w:after="240" w:line="276" w:lineRule="auto"/>
        <w:ind w:firstLine="0"/>
        <w:rPr>
          <w:rFonts w:ascii="Arial" w:eastAsia="Arial" w:hAnsi="Arial" w:cs="Arial"/>
        </w:rPr>
      </w:pPr>
      <w:r>
        <w:rPr>
          <w:rFonts w:ascii="Arial" w:eastAsia="Arial" w:hAnsi="Arial" w:cs="Arial"/>
        </w:rPr>
        <w:t>Data were analyzed usi</w:t>
      </w:r>
      <w:r>
        <w:rPr>
          <w:rFonts w:ascii="Arial" w:eastAsia="Arial" w:hAnsi="Arial" w:cs="Arial"/>
        </w:rPr>
        <w:t>ng SPSS software (V.28). A two-way ANOVA was used to compare variables, and the Least Significant Difference (LSD) test was applied. Data were expressed as mean ± standard deviation (SD), with p &lt; 0.05 considered significant (Qadhi and Al-</w:t>
      </w:r>
      <w:proofErr w:type="spellStart"/>
      <w:r>
        <w:rPr>
          <w:rFonts w:ascii="Arial" w:eastAsia="Arial" w:hAnsi="Arial" w:cs="Arial"/>
        </w:rPr>
        <w:t>Shibly</w:t>
      </w:r>
      <w:proofErr w:type="spellEnd"/>
      <w:r>
        <w:rPr>
          <w:rFonts w:ascii="Arial" w:eastAsia="Arial" w:hAnsi="Arial" w:cs="Arial"/>
        </w:rPr>
        <w:t xml:space="preserve"> 2023).</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19" w:name="_h5qxe74l2zka" w:colFirst="0" w:colLast="0"/>
      <w:bookmarkEnd w:id="19"/>
      <w:r>
        <w:rPr>
          <w:rFonts w:ascii="Arial" w:eastAsia="Arial" w:hAnsi="Arial" w:cs="Arial"/>
          <w:sz w:val="26"/>
          <w:szCs w:val="26"/>
        </w:rPr>
        <w:t>Eth</w:t>
      </w:r>
      <w:r>
        <w:rPr>
          <w:rFonts w:ascii="Arial" w:eastAsia="Arial" w:hAnsi="Arial" w:cs="Arial"/>
          <w:sz w:val="26"/>
          <w:szCs w:val="26"/>
        </w:rPr>
        <w:t>ical Approval</w:t>
      </w:r>
    </w:p>
    <w:p w:rsidR="00DB2C9C" w:rsidRDefault="00E66DED">
      <w:pPr>
        <w:spacing w:before="0" w:after="240" w:line="276" w:lineRule="auto"/>
        <w:ind w:firstLine="0"/>
        <w:rPr>
          <w:rFonts w:ascii="Arial" w:eastAsia="Arial" w:hAnsi="Arial" w:cs="Arial"/>
        </w:rPr>
      </w:pPr>
      <w:r>
        <w:rPr>
          <w:rFonts w:ascii="Arial" w:eastAsia="Arial" w:hAnsi="Arial" w:cs="Arial"/>
        </w:rPr>
        <w:t>Ethical approval was obtained from the Department of Life Sciences, College of Education, University of Al-</w:t>
      </w:r>
      <w:proofErr w:type="spellStart"/>
      <w:r>
        <w:rPr>
          <w:rFonts w:ascii="Arial" w:eastAsia="Arial" w:hAnsi="Arial" w:cs="Arial"/>
        </w:rPr>
        <w:t>Qadisiyah</w:t>
      </w:r>
      <w:proofErr w:type="spellEnd"/>
      <w:r>
        <w:rPr>
          <w:rFonts w:ascii="Arial" w:eastAsia="Arial" w:hAnsi="Arial" w:cs="Arial"/>
        </w:rPr>
        <w:t>, and the Al-Diwaniyah Health Directorate. Informed consent was obtained from all patients.</w:t>
      </w:r>
    </w:p>
    <w:p w:rsidR="00DB2C9C" w:rsidRDefault="00E66DED">
      <w:pPr>
        <w:rPr>
          <w:rFonts w:ascii="Arial" w:eastAsia="Arial" w:hAnsi="Arial" w:cs="Arial"/>
        </w:rPr>
      </w:pPr>
      <w:r>
        <w:pict w14:anchorId="27F0CD6A">
          <v:rect id="_x0000_i1027" style="width:0;height:1.5pt" o:hralign="center" o:hrstd="t" o:hr="t" fillcolor="#a0a0a0" stroked="f"/>
        </w:pict>
      </w:r>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0" w:name="_gh5msto31s48" w:colFirst="0" w:colLast="0"/>
      <w:bookmarkEnd w:id="20"/>
    </w:p>
    <w:p w:rsidR="00DB2C9C"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1" w:name="_iz4nu4k4t5" w:colFirst="0" w:colLast="0"/>
      <w:bookmarkEnd w:id="21"/>
      <w:r>
        <w:rPr>
          <w:rFonts w:ascii="Arial" w:eastAsia="Arial" w:hAnsi="Arial" w:cs="Arial"/>
          <w:sz w:val="34"/>
          <w:szCs w:val="34"/>
        </w:rPr>
        <w:t>Results</w:t>
      </w: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22" w:name="_v0daebhsmoig" w:colFirst="0" w:colLast="0"/>
      <w:bookmarkEnd w:id="22"/>
      <w:r>
        <w:rPr>
          <w:rFonts w:ascii="Arial" w:eastAsia="Arial" w:hAnsi="Arial" w:cs="Arial"/>
          <w:sz w:val="26"/>
          <w:szCs w:val="26"/>
        </w:rPr>
        <w:t>Isolation of Pathogens</w:t>
      </w:r>
    </w:p>
    <w:p w:rsidR="00DB2C9C" w:rsidRDefault="00E66DED">
      <w:pPr>
        <w:spacing w:before="0" w:after="240" w:line="276" w:lineRule="auto"/>
        <w:ind w:firstLine="0"/>
        <w:rPr>
          <w:rFonts w:ascii="Arial" w:eastAsia="Arial" w:hAnsi="Arial" w:cs="Arial"/>
          <w:color w:val="000000"/>
          <w:sz w:val="22"/>
          <w:szCs w:val="22"/>
        </w:rPr>
      </w:pPr>
      <w:r>
        <w:rPr>
          <w:rFonts w:ascii="Arial" w:eastAsia="Arial" w:hAnsi="Arial" w:cs="Arial"/>
        </w:rPr>
        <w:t xml:space="preserve">From 150 total samples, 105 (70%) showed microbial growth. Based on the isolates identified, four main pathogens were selected for this study. The most prevalent was </w:t>
      </w:r>
      <w:r>
        <w:rPr>
          <w:rFonts w:ascii="Arial" w:eastAsia="Arial" w:hAnsi="Arial" w:cs="Arial"/>
          <w:i/>
        </w:rPr>
        <w:t>Bacillus cereus</w:t>
      </w:r>
      <w:r>
        <w:rPr>
          <w:rFonts w:ascii="Arial" w:eastAsia="Arial" w:hAnsi="Arial" w:cs="Arial"/>
        </w:rPr>
        <w:t xml:space="preserve"> (40.0%), followed by </w:t>
      </w:r>
      <w:r>
        <w:rPr>
          <w:rFonts w:ascii="Arial" w:eastAsia="Arial" w:hAnsi="Arial" w:cs="Arial"/>
          <w:i/>
        </w:rPr>
        <w:t>Staphylococcus spp.</w:t>
      </w:r>
      <w:r>
        <w:rPr>
          <w:rFonts w:ascii="Arial" w:eastAsia="Arial" w:hAnsi="Arial" w:cs="Arial"/>
        </w:rPr>
        <w:t xml:space="preserve"> (26.7%), </w:t>
      </w:r>
      <w:r>
        <w:rPr>
          <w:rFonts w:ascii="Arial" w:eastAsia="Arial" w:hAnsi="Arial" w:cs="Arial"/>
          <w:i/>
        </w:rPr>
        <w:t>Candida albicans</w:t>
      </w:r>
      <w:r>
        <w:rPr>
          <w:rFonts w:ascii="Arial" w:eastAsia="Arial" w:hAnsi="Arial" w:cs="Arial"/>
        </w:rPr>
        <w:t xml:space="preserve"> (20.0%)</w:t>
      </w:r>
      <w:r>
        <w:rPr>
          <w:rFonts w:ascii="Arial" w:eastAsia="Arial" w:hAnsi="Arial" w:cs="Arial"/>
        </w:rPr>
        <w:t xml:space="preserve">, and </w:t>
      </w:r>
      <w:r>
        <w:rPr>
          <w:rFonts w:ascii="Arial" w:eastAsia="Arial" w:hAnsi="Arial" w:cs="Arial"/>
          <w:i/>
        </w:rPr>
        <w:t>Escherichia coli</w:t>
      </w:r>
      <w:r>
        <w:rPr>
          <w:rFonts w:ascii="Arial" w:eastAsia="Arial" w:hAnsi="Arial" w:cs="Arial"/>
        </w:rPr>
        <w:t xml:space="preserve"> (13.3%). </w:t>
      </w:r>
      <w:r>
        <w:rPr>
          <w:rFonts w:ascii="Arial" w:eastAsia="Arial" w:hAnsi="Arial" w:cs="Arial"/>
          <w:color w:val="000000"/>
          <w:sz w:val="22"/>
          <w:szCs w:val="22"/>
        </w:rPr>
        <w:t>The results revealed the extent and distribution of different bacterial species within the tested samples. 30% of the total collected samples showed no growth (45 out of 150 samples collected in the current study did not sho</w:t>
      </w:r>
      <w:r>
        <w:rPr>
          <w:rFonts w:ascii="Arial" w:eastAsia="Arial" w:hAnsi="Arial" w:cs="Arial"/>
          <w:color w:val="000000"/>
          <w:sz w:val="22"/>
          <w:szCs w:val="22"/>
        </w:rPr>
        <w:t xml:space="preserve">w growth). The remaining 105 samples showed growth, of which 15 were mixed growth. The other 90 samples were distributed among four bacterial species: Bacilli (40%), </w:t>
      </w:r>
      <w:r>
        <w:rPr>
          <w:rFonts w:ascii="Arial" w:eastAsia="Arial" w:hAnsi="Arial" w:cs="Arial"/>
          <w:i/>
          <w:color w:val="000000"/>
          <w:sz w:val="22"/>
          <w:szCs w:val="22"/>
        </w:rPr>
        <w:t>Staphylococcus spp.</w:t>
      </w:r>
      <w:r>
        <w:rPr>
          <w:rFonts w:ascii="Arial" w:eastAsia="Arial" w:hAnsi="Arial" w:cs="Arial"/>
          <w:color w:val="000000"/>
          <w:sz w:val="22"/>
          <w:szCs w:val="22"/>
        </w:rPr>
        <w:t xml:space="preserve"> (26%), </w:t>
      </w:r>
      <w:r>
        <w:rPr>
          <w:rFonts w:ascii="Arial" w:eastAsia="Arial" w:hAnsi="Arial" w:cs="Arial"/>
          <w:i/>
          <w:color w:val="000000"/>
          <w:sz w:val="22"/>
          <w:szCs w:val="22"/>
        </w:rPr>
        <w:t>E. coli</w:t>
      </w:r>
      <w:r>
        <w:rPr>
          <w:rFonts w:ascii="Arial" w:eastAsia="Arial" w:hAnsi="Arial" w:cs="Arial"/>
          <w:color w:val="000000"/>
          <w:sz w:val="22"/>
          <w:szCs w:val="22"/>
        </w:rPr>
        <w:t xml:space="preserve"> (13%), and </w:t>
      </w:r>
      <w:r>
        <w:rPr>
          <w:rFonts w:ascii="Arial" w:eastAsia="Arial" w:hAnsi="Arial" w:cs="Arial"/>
          <w:i/>
          <w:color w:val="000000"/>
          <w:sz w:val="22"/>
          <w:szCs w:val="22"/>
        </w:rPr>
        <w:t>C. albicans</w:t>
      </w:r>
      <w:r>
        <w:rPr>
          <w:rFonts w:ascii="Arial" w:eastAsia="Arial" w:hAnsi="Arial" w:cs="Arial"/>
          <w:color w:val="000000"/>
          <w:sz w:val="22"/>
          <w:szCs w:val="22"/>
        </w:rPr>
        <w:t xml:space="preserve"> (20%), as shown in Figure 1 and </w:t>
      </w:r>
      <w:r>
        <w:rPr>
          <w:rFonts w:ascii="Arial" w:eastAsia="Arial" w:hAnsi="Arial" w:cs="Arial"/>
          <w:color w:val="000000"/>
          <w:sz w:val="22"/>
          <w:szCs w:val="22"/>
        </w:rPr>
        <w:t>Table 1.</w:t>
      </w:r>
    </w:p>
    <w:p w:rsidR="00DB2C9C" w:rsidRDefault="00E66DED">
      <w:pPr>
        <w:bidi/>
        <w:ind w:left="-90" w:firstLine="0"/>
        <w:jc w:val="center"/>
        <w:rPr>
          <w:rFonts w:ascii="Arial" w:eastAsia="Arial" w:hAnsi="Arial" w:cs="Arial"/>
          <w:b/>
          <w:sz w:val="22"/>
          <w:szCs w:val="22"/>
        </w:rPr>
      </w:pPr>
      <w:r>
        <w:rPr>
          <w:noProof/>
          <w:sz w:val="28"/>
          <w:szCs w:val="28"/>
        </w:rPr>
        <w:drawing>
          <wp:inline distT="114300" distB="114300" distL="114300" distR="114300">
            <wp:extent cx="5018095" cy="30988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6"/>
                    <a:srcRect/>
                    <a:stretch>
                      <a:fillRect/>
                    </a:stretch>
                  </pic:blipFill>
                  <pic:spPr>
                    <a:xfrm>
                      <a:off x="0" y="0"/>
                      <a:ext cx="5018095" cy="3098800"/>
                    </a:xfrm>
                    <a:prstGeom prst="rect">
                      <a:avLst/>
                    </a:prstGeom>
                    <a:ln/>
                  </pic:spPr>
                </pic:pic>
              </a:graphicData>
            </a:graphic>
          </wp:inline>
        </w:drawing>
      </w:r>
    </w:p>
    <w:p w:rsidR="00DB2C9C" w:rsidRDefault="00E66DED">
      <w:pPr>
        <w:pBdr>
          <w:top w:val="nil"/>
          <w:left w:val="nil"/>
          <w:bottom w:val="nil"/>
          <w:right w:val="nil"/>
          <w:between w:val="nil"/>
        </w:pBdr>
        <w:spacing w:before="0" w:after="240" w:line="276" w:lineRule="auto"/>
        <w:ind w:firstLine="0"/>
        <w:rPr>
          <w:rFonts w:ascii="Arial" w:eastAsia="Arial" w:hAnsi="Arial" w:cs="Arial"/>
          <w:color w:val="000000"/>
          <w:sz w:val="22"/>
          <w:szCs w:val="22"/>
        </w:rPr>
      </w:pPr>
      <w:r>
        <w:rPr>
          <w:rFonts w:ascii="Arial" w:eastAsia="Arial" w:hAnsi="Arial" w:cs="Arial"/>
          <w:b/>
          <w:color w:val="000000"/>
          <w:sz w:val="22"/>
          <w:szCs w:val="22"/>
        </w:rPr>
        <w:t>Figure 1:</w:t>
      </w:r>
      <w:r>
        <w:rPr>
          <w:rFonts w:ascii="Arial" w:eastAsia="Arial" w:hAnsi="Arial" w:cs="Arial"/>
          <w:color w:val="000000"/>
          <w:sz w:val="22"/>
          <w:szCs w:val="22"/>
        </w:rPr>
        <w:t xml:space="preserve"> Number of bacteria isolated in the current study.</w:t>
      </w:r>
    </w:p>
    <w:p w:rsidR="00DB2C9C" w:rsidRDefault="00DB2C9C">
      <w:pPr>
        <w:pBdr>
          <w:top w:val="nil"/>
          <w:left w:val="nil"/>
          <w:bottom w:val="nil"/>
          <w:right w:val="nil"/>
          <w:between w:val="nil"/>
        </w:pBdr>
        <w:spacing w:before="0" w:after="240" w:line="276" w:lineRule="auto"/>
        <w:ind w:firstLine="0"/>
        <w:rPr>
          <w:rFonts w:ascii="Arial" w:eastAsia="Arial" w:hAnsi="Arial" w:cs="Arial"/>
          <w:color w:val="000000"/>
          <w:sz w:val="22"/>
          <w:szCs w:val="22"/>
        </w:rPr>
      </w:pPr>
    </w:p>
    <w:p w:rsidR="00DB2C9C" w:rsidRDefault="00E66DED">
      <w:pPr>
        <w:pBdr>
          <w:top w:val="nil"/>
          <w:left w:val="nil"/>
          <w:bottom w:val="nil"/>
          <w:right w:val="nil"/>
          <w:between w:val="nil"/>
        </w:pBdr>
        <w:spacing w:before="0" w:after="240" w:line="276" w:lineRule="auto"/>
        <w:ind w:firstLine="0"/>
        <w:rPr>
          <w:rFonts w:ascii="Arial" w:eastAsia="Arial" w:hAnsi="Arial" w:cs="Arial"/>
          <w:color w:val="000000"/>
          <w:sz w:val="22"/>
          <w:szCs w:val="22"/>
        </w:rPr>
      </w:pPr>
      <w:r>
        <w:rPr>
          <w:rFonts w:ascii="Arial" w:eastAsia="Arial" w:hAnsi="Arial" w:cs="Arial"/>
          <w:b/>
          <w:color w:val="000000"/>
          <w:sz w:val="22"/>
          <w:szCs w:val="22"/>
        </w:rPr>
        <w:t>Table 1:</w:t>
      </w:r>
      <w:r>
        <w:rPr>
          <w:rFonts w:ascii="Arial" w:eastAsia="Arial" w:hAnsi="Arial" w:cs="Arial"/>
          <w:color w:val="000000"/>
          <w:sz w:val="22"/>
          <w:szCs w:val="22"/>
        </w:rPr>
        <w:t xml:space="preserve"> Distribution of isolated bacterial species and their percentages.</w:t>
      </w:r>
    </w:p>
    <w:tbl>
      <w:tblPr>
        <w:tblStyle w:val="a"/>
        <w:tblW w:w="79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5"/>
        <w:gridCol w:w="2634"/>
        <w:gridCol w:w="2634"/>
      </w:tblGrid>
      <w:tr w:rsidR="00DB2C9C">
        <w:trPr>
          <w:trHeight w:val="515"/>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Bacterial species</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Number of identified isolates</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Percentage</w:t>
            </w:r>
          </w:p>
        </w:tc>
      </w:tr>
      <w:tr w:rsidR="00DB2C9C">
        <w:trPr>
          <w:trHeight w:val="515"/>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No growth</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45</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30</w:t>
            </w:r>
          </w:p>
        </w:tc>
      </w:tr>
      <w:tr w:rsidR="00DB2C9C">
        <w:trPr>
          <w:trHeight w:val="515"/>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growth</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105</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70</w:t>
            </w:r>
          </w:p>
        </w:tc>
      </w:tr>
      <w:tr w:rsidR="00DB2C9C">
        <w:trPr>
          <w:trHeight w:val="515"/>
        </w:trPr>
        <w:tc>
          <w:tcPr>
            <w:tcW w:w="2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lastRenderedPageBreak/>
              <w:t>Total</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150</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2C9C" w:rsidRDefault="00E66DED">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100</w:t>
            </w:r>
          </w:p>
        </w:tc>
      </w:tr>
    </w:tbl>
    <w:p w:rsidR="00DB2C9C" w:rsidRDefault="00DB2C9C">
      <w:pPr>
        <w:spacing w:before="0" w:after="240" w:line="276" w:lineRule="auto"/>
        <w:ind w:firstLine="0"/>
        <w:rPr>
          <w:rFonts w:ascii="Arial" w:eastAsia="Arial" w:hAnsi="Arial" w:cs="Arial"/>
        </w:rPr>
      </w:pPr>
    </w:p>
    <w:p w:rsidR="00DB2C9C" w:rsidRDefault="00E66DED">
      <w:pPr>
        <w:pStyle w:val="Heading3"/>
        <w:keepNext w:val="0"/>
        <w:keepLines w:val="0"/>
        <w:spacing w:before="0" w:after="80" w:line="276" w:lineRule="auto"/>
        <w:ind w:firstLine="708"/>
        <w:rPr>
          <w:rFonts w:ascii="Arial" w:eastAsia="Arial" w:hAnsi="Arial" w:cs="Arial"/>
          <w:sz w:val="26"/>
          <w:szCs w:val="26"/>
        </w:rPr>
      </w:pPr>
      <w:bookmarkStart w:id="23" w:name="_cvf3ih37vuuo" w:colFirst="0" w:colLast="0"/>
      <w:bookmarkEnd w:id="23"/>
      <w:r>
        <w:rPr>
          <w:rFonts w:ascii="Arial" w:eastAsia="Arial" w:hAnsi="Arial" w:cs="Arial"/>
          <w:sz w:val="26"/>
          <w:szCs w:val="26"/>
        </w:rPr>
        <w:t xml:space="preserve">Anti-Biofilm Activity of </w:t>
      </w:r>
      <w:proofErr w:type="spellStart"/>
      <w:r>
        <w:rPr>
          <w:rFonts w:ascii="Arial" w:eastAsia="Arial" w:hAnsi="Arial" w:cs="Arial"/>
          <w:sz w:val="26"/>
          <w:szCs w:val="26"/>
        </w:rPr>
        <w:t>SeNPs</w:t>
      </w:r>
      <w:proofErr w:type="spellEnd"/>
    </w:p>
    <w:p w:rsidR="00DB2C9C" w:rsidRDefault="00E66DED">
      <w:pPr>
        <w:spacing w:before="0" w:after="240" w:line="276" w:lineRule="auto"/>
        <w:ind w:firstLine="0"/>
        <w:rPr>
          <w:rFonts w:ascii="Arial" w:eastAsia="Arial" w:hAnsi="Arial" w:cs="Arial"/>
        </w:rPr>
      </w:pPr>
      <w:r>
        <w:rPr>
          <w:rFonts w:ascii="Arial" w:eastAsia="Arial" w:hAnsi="Arial" w:cs="Arial"/>
        </w:rPr>
        <w:t xml:space="preserve">The result of anti-biofilm activity (inhibition %) of different concentrations of selenium nanoparticles against selected pathogens </w:t>
      </w:r>
      <w:proofErr w:type="gramStart"/>
      <w:r>
        <w:rPr>
          <w:rFonts w:ascii="Arial" w:eastAsia="Arial" w:hAnsi="Arial" w:cs="Arial"/>
        </w:rPr>
        <w:t>show  varying</w:t>
      </w:r>
      <w:proofErr w:type="gramEnd"/>
      <w:r>
        <w:rPr>
          <w:rFonts w:ascii="Arial" w:eastAsia="Arial" w:hAnsi="Arial" w:cs="Arial"/>
        </w:rPr>
        <w:t xml:space="preserve"> concentrations of biosynthesized selenium nanoparticles (</w:t>
      </w:r>
      <w:proofErr w:type="spellStart"/>
      <w:r>
        <w:rPr>
          <w:rFonts w:ascii="Arial" w:eastAsia="Arial" w:hAnsi="Arial" w:cs="Arial"/>
        </w:rPr>
        <w:t>SeNPs</w:t>
      </w:r>
      <w:proofErr w:type="spellEnd"/>
      <w:r>
        <w:rPr>
          <w:rFonts w:ascii="Arial" w:eastAsia="Arial" w:hAnsi="Arial" w:cs="Arial"/>
        </w:rPr>
        <w:t>) impact the form</w:t>
      </w:r>
      <w:r>
        <w:rPr>
          <w:rFonts w:ascii="Arial" w:eastAsia="Arial" w:hAnsi="Arial" w:cs="Arial"/>
        </w:rPr>
        <w:t xml:space="preserve">ation of biofilms. </w:t>
      </w:r>
      <w:proofErr w:type="spellStart"/>
      <w:r>
        <w:rPr>
          <w:rFonts w:ascii="Arial" w:eastAsia="Arial" w:hAnsi="Arial" w:cs="Arial"/>
        </w:rPr>
        <w:t>SeNP</w:t>
      </w:r>
      <w:proofErr w:type="spellEnd"/>
      <w:r>
        <w:rPr>
          <w:rFonts w:ascii="Arial" w:eastAsia="Arial" w:hAnsi="Arial" w:cs="Arial"/>
        </w:rPr>
        <w:t xml:space="preserve"> Conc. (µg/mL) details the range of concentrations tested, from a low of 2 µg/mL to a high of 1048 µg/mL that </w:t>
      </w:r>
      <w:proofErr w:type="spellStart"/>
      <w:r>
        <w:rPr>
          <w:rFonts w:ascii="Arial" w:eastAsia="Arial" w:hAnsi="Arial" w:cs="Arial"/>
        </w:rPr>
        <w:t>examed</w:t>
      </w:r>
      <w:proofErr w:type="spellEnd"/>
      <w:r>
        <w:rPr>
          <w:rFonts w:ascii="Arial" w:eastAsia="Arial" w:hAnsi="Arial" w:cs="Arial"/>
        </w:rPr>
        <w:t xml:space="preserve"> </w:t>
      </w:r>
      <w:proofErr w:type="spellStart"/>
      <w:r>
        <w:rPr>
          <w:rFonts w:ascii="Arial" w:eastAsia="Arial" w:hAnsi="Arial" w:cs="Arial"/>
        </w:rPr>
        <w:t>aginsit</w:t>
      </w:r>
      <w:proofErr w:type="spellEnd"/>
      <w:r>
        <w:rPr>
          <w:rFonts w:ascii="Arial" w:eastAsia="Arial" w:hAnsi="Arial" w:cs="Arial"/>
        </w:rPr>
        <w:t xml:space="preserve"> (Bacillus cereus, Staphylococcus </w:t>
      </w:r>
      <w:proofErr w:type="spellStart"/>
      <w:proofErr w:type="gramStart"/>
      <w:r>
        <w:rPr>
          <w:rFonts w:ascii="Arial" w:eastAsia="Arial" w:hAnsi="Arial" w:cs="Arial"/>
        </w:rPr>
        <w:t>spp</w:t>
      </w:r>
      <w:proofErr w:type="spellEnd"/>
      <w:r>
        <w:rPr>
          <w:rFonts w:ascii="Arial" w:eastAsia="Arial" w:hAnsi="Arial" w:cs="Arial"/>
        </w:rPr>
        <w:t>.,E.</w:t>
      </w:r>
      <w:proofErr w:type="gramEnd"/>
      <w:r>
        <w:rPr>
          <w:rFonts w:ascii="Arial" w:eastAsia="Arial" w:hAnsi="Arial" w:cs="Arial"/>
        </w:rPr>
        <w:t xml:space="preserve"> coli, and C. albicans—quantify the percentage of biofilm inhibition</w:t>
      </w:r>
      <w:r>
        <w:rPr>
          <w:rFonts w:ascii="Arial" w:eastAsia="Arial" w:hAnsi="Arial" w:cs="Arial"/>
        </w:rPr>
        <w:t xml:space="preserve"> observed for each pathogen at every given </w:t>
      </w:r>
      <w:proofErr w:type="spellStart"/>
      <w:r>
        <w:rPr>
          <w:rFonts w:ascii="Arial" w:eastAsia="Arial" w:hAnsi="Arial" w:cs="Arial"/>
        </w:rPr>
        <w:t>SeNP</w:t>
      </w:r>
      <w:proofErr w:type="spellEnd"/>
      <w:r>
        <w:rPr>
          <w:rFonts w:ascii="Arial" w:eastAsia="Arial" w:hAnsi="Arial" w:cs="Arial"/>
        </w:rPr>
        <w:t xml:space="preserve"> concentration. These values are expressed as a mean accompanied by a standard deviation (e.g., 60.4±1.09), providing insight into both the average inhibitory effect and the consistency of the results across t</w:t>
      </w:r>
      <w:r>
        <w:rPr>
          <w:rFonts w:ascii="Arial" w:eastAsia="Arial" w:hAnsi="Arial" w:cs="Arial"/>
        </w:rPr>
        <w:t>rials.</w:t>
      </w:r>
    </w:p>
    <w:p w:rsidR="00DB2C9C" w:rsidRDefault="00E66DED">
      <w:pPr>
        <w:spacing w:before="0" w:after="240" w:line="276" w:lineRule="auto"/>
        <w:ind w:firstLine="0"/>
        <w:rPr>
          <w:rFonts w:ascii="Arial" w:eastAsia="Arial" w:hAnsi="Arial" w:cs="Arial"/>
          <w:color w:val="000000"/>
          <w:sz w:val="22"/>
          <w:szCs w:val="22"/>
        </w:rPr>
      </w:pPr>
      <w:r>
        <w:rPr>
          <w:rFonts w:ascii="Arial" w:eastAsia="Arial" w:hAnsi="Arial" w:cs="Arial"/>
        </w:rPr>
        <w:t xml:space="preserve">A clear and significant trend emerges from the data: the anti-biofilm activity of the </w:t>
      </w:r>
      <w:proofErr w:type="spellStart"/>
      <w:r>
        <w:rPr>
          <w:rFonts w:ascii="Arial" w:eastAsia="Arial" w:hAnsi="Arial" w:cs="Arial"/>
        </w:rPr>
        <w:t>SeNPs</w:t>
      </w:r>
      <w:proofErr w:type="spellEnd"/>
      <w:r>
        <w:rPr>
          <w:rFonts w:ascii="Arial" w:eastAsia="Arial" w:hAnsi="Arial" w:cs="Arial"/>
        </w:rPr>
        <w:t xml:space="preserve"> is largely dose-dependent. As the concentration of selenium nanoparticles increases, there is a corresponding and generally consistent rise in the percentage</w:t>
      </w:r>
      <w:r>
        <w:rPr>
          <w:rFonts w:ascii="Arial" w:eastAsia="Arial" w:hAnsi="Arial" w:cs="Arial"/>
        </w:rPr>
        <w:t xml:space="preserve"> of biofilm inhibition across all four tested pathogens. For instance, at the lowest concentration of 2 µg/mL, *Staphylococcus spp.* exhibited a modest 23.3% inhibition, while at the highest concentration of 1048 µg/mL, its biofilm formation was nearly com</w:t>
      </w:r>
      <w:r>
        <w:rPr>
          <w:rFonts w:ascii="Arial" w:eastAsia="Arial" w:hAnsi="Arial" w:cs="Arial"/>
        </w:rPr>
        <w:t xml:space="preserve">pletely suppressed, reaching an impressive 98.1% inhibition. This pattern suggests that higher doses of </w:t>
      </w:r>
      <w:proofErr w:type="spellStart"/>
      <w:r>
        <w:rPr>
          <w:rFonts w:ascii="Arial" w:eastAsia="Arial" w:hAnsi="Arial" w:cs="Arial"/>
        </w:rPr>
        <w:t>SeNPs</w:t>
      </w:r>
      <w:proofErr w:type="spellEnd"/>
      <w:r>
        <w:rPr>
          <w:rFonts w:ascii="Arial" w:eastAsia="Arial" w:hAnsi="Arial" w:cs="Arial"/>
        </w:rPr>
        <w:t xml:space="preserve"> are more effective in disrupting or preventing the formation of these protective microbial communities.</w:t>
      </w:r>
    </w:p>
    <w:p w:rsidR="00DB2C9C" w:rsidRDefault="00E66DED">
      <w:pPr>
        <w:pBdr>
          <w:top w:val="nil"/>
          <w:left w:val="nil"/>
          <w:bottom w:val="nil"/>
          <w:right w:val="nil"/>
          <w:between w:val="nil"/>
        </w:pBdr>
        <w:spacing w:before="0" w:after="240" w:line="276" w:lineRule="auto"/>
        <w:ind w:firstLine="0"/>
        <w:rPr>
          <w:rFonts w:ascii="Arial" w:eastAsia="Arial" w:hAnsi="Arial" w:cs="Arial"/>
        </w:rPr>
      </w:pPr>
      <w:r>
        <w:rPr>
          <w:rFonts w:ascii="Arial" w:eastAsia="Arial" w:hAnsi="Arial" w:cs="Arial"/>
          <w:color w:val="000000"/>
          <w:sz w:val="22"/>
          <w:szCs w:val="22"/>
        </w:rPr>
        <w:t xml:space="preserve">The findings highlight the broad-spectrum </w:t>
      </w:r>
      <w:r>
        <w:rPr>
          <w:rFonts w:ascii="Arial" w:eastAsia="Arial" w:hAnsi="Arial" w:cs="Arial"/>
          <w:color w:val="000000"/>
          <w:sz w:val="22"/>
          <w:szCs w:val="22"/>
        </w:rPr>
        <w:t xml:space="preserve">efficacy of these biosynthesized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as they demonstrate inhibitory effects against both bacterial species (</w:t>
      </w:r>
      <w:r>
        <w:rPr>
          <w:rFonts w:ascii="Arial" w:eastAsia="Arial" w:hAnsi="Arial" w:cs="Arial"/>
          <w:i/>
          <w:color w:val="000000"/>
          <w:sz w:val="22"/>
          <w:szCs w:val="22"/>
        </w:rPr>
        <w:t>Bacillus cereus</w:t>
      </w:r>
      <w:r>
        <w:rPr>
          <w:rFonts w:ascii="Arial" w:eastAsia="Arial" w:hAnsi="Arial" w:cs="Arial"/>
          <w:color w:val="000000"/>
          <w:sz w:val="22"/>
          <w:szCs w:val="22"/>
        </w:rPr>
        <w:t xml:space="preserve">, </w:t>
      </w:r>
      <w:r>
        <w:rPr>
          <w:rFonts w:ascii="Arial" w:eastAsia="Arial" w:hAnsi="Arial" w:cs="Arial"/>
          <w:i/>
          <w:color w:val="000000"/>
          <w:sz w:val="22"/>
          <w:szCs w:val="22"/>
        </w:rPr>
        <w:t>Staphylococcus spp.</w:t>
      </w:r>
      <w:r>
        <w:rPr>
          <w:rFonts w:ascii="Arial" w:eastAsia="Arial" w:hAnsi="Arial" w:cs="Arial"/>
          <w:color w:val="000000"/>
          <w:sz w:val="22"/>
          <w:szCs w:val="22"/>
        </w:rPr>
        <w:t xml:space="preserve">, </w:t>
      </w:r>
      <w:r>
        <w:rPr>
          <w:rFonts w:ascii="Arial" w:eastAsia="Arial" w:hAnsi="Arial" w:cs="Arial"/>
          <w:i/>
          <w:color w:val="000000"/>
          <w:sz w:val="22"/>
          <w:szCs w:val="22"/>
        </w:rPr>
        <w:t>E. coli</w:t>
      </w:r>
      <w:r>
        <w:rPr>
          <w:rFonts w:ascii="Arial" w:eastAsia="Arial" w:hAnsi="Arial" w:cs="Arial"/>
          <w:color w:val="000000"/>
          <w:sz w:val="22"/>
          <w:szCs w:val="22"/>
        </w:rPr>
        <w:t>) and the fungal isolate (</w:t>
      </w:r>
      <w:r>
        <w:rPr>
          <w:rFonts w:ascii="Arial" w:eastAsia="Arial" w:hAnsi="Arial" w:cs="Arial"/>
          <w:i/>
          <w:color w:val="000000"/>
          <w:sz w:val="22"/>
          <w:szCs w:val="22"/>
        </w:rPr>
        <w:t>C. albicans</w:t>
      </w:r>
      <w:r>
        <w:rPr>
          <w:rFonts w:ascii="Arial" w:eastAsia="Arial" w:hAnsi="Arial" w:cs="Arial"/>
          <w:color w:val="000000"/>
          <w:sz w:val="22"/>
          <w:szCs w:val="22"/>
        </w:rPr>
        <w:t xml:space="preserve">). This broad activity is particularly important given that infections, especially in wounds and burns, are often polymicrobial. The varying degrees of inhibition across different pathogens at lower concentrations (e.g., </w:t>
      </w:r>
      <w:r>
        <w:rPr>
          <w:rFonts w:ascii="Arial" w:eastAsia="Arial" w:hAnsi="Arial" w:cs="Arial"/>
          <w:i/>
          <w:color w:val="000000"/>
          <w:sz w:val="22"/>
          <w:szCs w:val="22"/>
        </w:rPr>
        <w:t>Staphylococcus spp.</w:t>
      </w:r>
      <w:r>
        <w:rPr>
          <w:rFonts w:ascii="Arial" w:eastAsia="Arial" w:hAnsi="Arial" w:cs="Arial"/>
          <w:color w:val="000000"/>
          <w:sz w:val="22"/>
          <w:szCs w:val="22"/>
        </w:rPr>
        <w:t xml:space="preserve"> showing lower i</w:t>
      </w:r>
      <w:r>
        <w:rPr>
          <w:rFonts w:ascii="Arial" w:eastAsia="Arial" w:hAnsi="Arial" w:cs="Arial"/>
          <w:color w:val="000000"/>
          <w:sz w:val="22"/>
          <w:szCs w:val="22"/>
        </w:rPr>
        <w:t xml:space="preserve">nhibition at 2 µg/mL compared to </w:t>
      </w:r>
      <w:r>
        <w:rPr>
          <w:rFonts w:ascii="Arial" w:eastAsia="Arial" w:hAnsi="Arial" w:cs="Arial"/>
          <w:i/>
          <w:color w:val="000000"/>
          <w:sz w:val="22"/>
          <w:szCs w:val="22"/>
        </w:rPr>
        <w:t>B. cereus</w:t>
      </w:r>
      <w:r>
        <w:rPr>
          <w:rFonts w:ascii="Arial" w:eastAsia="Arial" w:hAnsi="Arial" w:cs="Arial"/>
          <w:color w:val="000000"/>
          <w:sz w:val="22"/>
          <w:szCs w:val="22"/>
        </w:rPr>
        <w:t xml:space="preserve"> or </w:t>
      </w:r>
      <w:r>
        <w:rPr>
          <w:rFonts w:ascii="Arial" w:eastAsia="Arial" w:hAnsi="Arial" w:cs="Arial"/>
          <w:i/>
          <w:color w:val="000000"/>
          <w:sz w:val="22"/>
          <w:szCs w:val="22"/>
        </w:rPr>
        <w:t>C. albicans</w:t>
      </w:r>
      <w:r>
        <w:rPr>
          <w:rFonts w:ascii="Arial" w:eastAsia="Arial" w:hAnsi="Arial" w:cs="Arial"/>
          <w:color w:val="000000"/>
          <w:sz w:val="22"/>
          <w:szCs w:val="22"/>
        </w:rPr>
        <w:t xml:space="preserve">) also indicate that the susceptibility to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can differ among microorganisms, although all show high inhibition at the highest concentrations. These results underscore the potential of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as a</w:t>
      </w:r>
      <w:r>
        <w:rPr>
          <w:rFonts w:ascii="Arial" w:eastAsia="Arial" w:hAnsi="Arial" w:cs="Arial"/>
          <w:color w:val="000000"/>
          <w:sz w:val="22"/>
          <w:szCs w:val="22"/>
        </w:rPr>
        <w:t xml:space="preserve"> promising therapeutic strategy for managing and treating persistent biofilm-mediated infections.</w:t>
      </w:r>
      <w:r>
        <w:rPr>
          <w:rFonts w:ascii="Arial" w:eastAsia="Arial" w:hAnsi="Arial" w:cs="Arial"/>
          <w:sz w:val="22"/>
          <w:szCs w:val="22"/>
        </w:rPr>
        <w:t xml:space="preserve"> </w:t>
      </w:r>
      <w:r>
        <w:rPr>
          <w:rFonts w:ascii="Arial" w:eastAsia="Arial" w:hAnsi="Arial" w:cs="Arial"/>
        </w:rPr>
        <w:t xml:space="preserve"> The detailed results of this inhibition are presented in Table 2.</w:t>
      </w:r>
    </w:p>
    <w:p w:rsidR="00DB2C9C" w:rsidRDefault="00E66DED">
      <w:pPr>
        <w:spacing w:before="0" w:after="240" w:line="276" w:lineRule="auto"/>
        <w:ind w:firstLine="0"/>
        <w:rPr>
          <w:rFonts w:ascii="Arial" w:eastAsia="Arial" w:hAnsi="Arial" w:cs="Arial"/>
        </w:rPr>
      </w:pPr>
      <w:r>
        <w:rPr>
          <w:rFonts w:ascii="Arial" w:eastAsia="Arial" w:hAnsi="Arial" w:cs="Arial"/>
          <w:b/>
        </w:rPr>
        <w:t>Table 2:</w:t>
      </w:r>
      <w:r>
        <w:rPr>
          <w:rFonts w:ascii="Arial" w:eastAsia="Arial" w:hAnsi="Arial" w:cs="Arial"/>
        </w:rPr>
        <w:t xml:space="preserve"> Anti-biofilm activity (inhibition %) of different concentrations of selenium nanop</w:t>
      </w:r>
      <w:r>
        <w:rPr>
          <w:rFonts w:ascii="Arial" w:eastAsia="Arial" w:hAnsi="Arial" w:cs="Arial"/>
        </w:rPr>
        <w:t>articles against selected pathogens.</w:t>
      </w:r>
    </w:p>
    <w:tbl>
      <w:tblPr>
        <w:tblStyle w:val="a0"/>
        <w:tblW w:w="79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335"/>
        <w:gridCol w:w="2070"/>
        <w:gridCol w:w="1440"/>
        <w:gridCol w:w="1470"/>
      </w:tblGrid>
      <w:tr w:rsidR="00DB2C9C">
        <w:trPr>
          <w:trHeight w:val="80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proofErr w:type="spellStart"/>
            <w:r>
              <w:rPr>
                <w:rFonts w:ascii="Arial" w:eastAsia="Arial" w:hAnsi="Arial" w:cs="Arial"/>
                <w:b/>
              </w:rPr>
              <w:t>SeNP</w:t>
            </w:r>
            <w:proofErr w:type="spellEnd"/>
            <w:r>
              <w:rPr>
                <w:rFonts w:ascii="Arial" w:eastAsia="Arial" w:hAnsi="Arial" w:cs="Arial"/>
                <w:b/>
              </w:rPr>
              <w:t xml:space="preserve"> Conc. (µg/mL)</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b/>
              </w:rPr>
              <w:t>Bacillus cereus</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proofErr w:type="gramStart"/>
            <w:r>
              <w:rPr>
                <w:rFonts w:ascii="Arial" w:eastAsia="Arial" w:hAnsi="Arial" w:cs="Arial"/>
                <w:b/>
              </w:rPr>
              <w:t>Staphylococcus .</w:t>
            </w:r>
            <w:proofErr w:type="spellStart"/>
            <w:r>
              <w:rPr>
                <w:rFonts w:ascii="Arial" w:eastAsia="Arial" w:hAnsi="Arial" w:cs="Arial"/>
                <w:b/>
              </w:rPr>
              <w:t>spp</w:t>
            </w:r>
            <w:proofErr w:type="spellEnd"/>
            <w:proofErr w:type="gramEnd"/>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b/>
              </w:rPr>
              <w:t>E. coli</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b/>
              </w:rPr>
              <w:t>C. albicans</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60.4±1.09</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23.3±1.17</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35.7±0.86</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63±1.12</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lastRenderedPageBreak/>
              <w:t>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72.8±1.24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50.4±1.02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44.6±0.72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78.4±2.1</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82±2.03</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70.6±1.42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63.7±1.15</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80.2±1.28</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16</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87.6±1.76</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71.2±2.02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82.4±1.27</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83.2±1.14</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32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93.1±1.62</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74.3±1.46</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83.3±1.61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83.7±2.21</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65</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93.5±1.75</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76.5±1.21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85.3±1.22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85±2.16</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131</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95.7±1.54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89.7±1.63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86.5±1.68</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86.7±2.01</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262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97.3±1.9</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95.2±2.12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89.3±1.11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89.9±1.87</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524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98.6±2.16</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95.4±2.23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93.6±2.12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91.2±1.34</w:t>
            </w:r>
          </w:p>
        </w:tc>
      </w:tr>
      <w:tr w:rsidR="00DB2C9C">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1048</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99.4±1.94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98.1±1.86</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96.2±2.01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2C9C" w:rsidRDefault="00E66DED">
            <w:pPr>
              <w:spacing w:before="0" w:after="480" w:line="276" w:lineRule="auto"/>
              <w:ind w:firstLine="0"/>
              <w:jc w:val="center"/>
              <w:rPr>
                <w:rFonts w:ascii="Arial" w:eastAsia="Arial" w:hAnsi="Arial" w:cs="Arial"/>
              </w:rPr>
            </w:pPr>
            <w:r>
              <w:rPr>
                <w:rFonts w:ascii="Arial" w:eastAsia="Arial" w:hAnsi="Arial" w:cs="Arial"/>
              </w:rPr>
              <w:t>93.9±1.18</w:t>
            </w:r>
          </w:p>
        </w:tc>
      </w:tr>
    </w:tbl>
    <w:p w:rsidR="00DB2C9C" w:rsidRDefault="00DB2C9C">
      <w:pPr>
        <w:spacing w:before="0" w:after="240" w:line="276" w:lineRule="auto"/>
        <w:ind w:firstLine="0"/>
        <w:rPr>
          <w:rFonts w:ascii="Arial" w:eastAsia="Arial" w:hAnsi="Arial" w:cs="Arial"/>
          <w:i/>
        </w:rPr>
      </w:pPr>
    </w:p>
    <w:p w:rsidR="00DB2C9C" w:rsidRDefault="00DB2C9C">
      <w:pPr>
        <w:spacing w:before="0" w:after="240" w:line="276" w:lineRule="auto"/>
        <w:ind w:firstLine="0"/>
        <w:rPr>
          <w:rFonts w:ascii="Arial" w:eastAsia="Arial" w:hAnsi="Arial" w:cs="Arial"/>
        </w:rPr>
      </w:pPr>
    </w:p>
    <w:tbl>
      <w:tblPr>
        <w:tblStyle w:val="a1"/>
        <w:tblW w:w="79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3"/>
      </w:tblGrid>
      <w:tr w:rsidR="00DB2C9C">
        <w:tc>
          <w:tcPr>
            <w:tcW w:w="7903" w:type="dxa"/>
            <w:tcMar>
              <w:top w:w="100" w:type="dxa"/>
              <w:left w:w="100" w:type="dxa"/>
              <w:bottom w:w="100" w:type="dxa"/>
              <w:right w:w="100" w:type="dxa"/>
            </w:tcMar>
          </w:tcPr>
          <w:p w:rsidR="00DB2C9C" w:rsidRDefault="00E66DED">
            <w:pPr>
              <w:widowControl w:val="0"/>
              <w:bidi/>
              <w:spacing w:line="240" w:lineRule="auto"/>
              <w:ind w:left="360" w:firstLine="0"/>
              <w:jc w:val="center"/>
              <w:rPr>
                <w:rFonts w:ascii="Arial" w:eastAsia="Arial" w:hAnsi="Arial" w:cs="Arial"/>
              </w:rPr>
            </w:pPr>
            <w:r>
              <w:rPr>
                <w:b/>
                <w:noProof/>
                <w:sz w:val="32"/>
                <w:szCs w:val="32"/>
              </w:rPr>
              <w:drawing>
                <wp:inline distT="114300" distB="114300" distL="114300" distR="114300">
                  <wp:extent cx="4619625" cy="21859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5780" r="2312" b="7071"/>
                          <a:stretch>
                            <a:fillRect/>
                          </a:stretch>
                        </pic:blipFill>
                        <pic:spPr>
                          <a:xfrm>
                            <a:off x="0" y="0"/>
                            <a:ext cx="4619625" cy="2185988"/>
                          </a:xfrm>
                          <a:prstGeom prst="rect">
                            <a:avLst/>
                          </a:prstGeom>
                          <a:ln/>
                        </pic:spPr>
                      </pic:pic>
                    </a:graphicData>
                  </a:graphic>
                </wp:inline>
              </w:drawing>
            </w:r>
          </w:p>
        </w:tc>
      </w:tr>
    </w:tbl>
    <w:p w:rsidR="00DB2C9C" w:rsidRDefault="00DB2C9C">
      <w:pPr>
        <w:spacing w:before="0" w:after="240" w:line="276" w:lineRule="auto"/>
        <w:ind w:firstLine="0"/>
        <w:rPr>
          <w:rFonts w:ascii="Arial" w:eastAsia="Arial" w:hAnsi="Arial" w:cs="Arial"/>
        </w:rPr>
      </w:pPr>
    </w:p>
    <w:p w:rsidR="00DB2C9C" w:rsidRDefault="00E66DED">
      <w:pPr>
        <w:spacing w:before="0" w:after="240" w:line="276" w:lineRule="auto"/>
        <w:ind w:firstLine="0"/>
        <w:rPr>
          <w:rFonts w:ascii="Arial" w:eastAsia="Arial" w:hAnsi="Arial" w:cs="Arial"/>
        </w:rPr>
      </w:pPr>
      <w:r>
        <w:rPr>
          <w:rFonts w:ascii="Arial" w:eastAsia="Arial" w:hAnsi="Arial" w:cs="Arial"/>
          <w:b/>
        </w:rPr>
        <w:lastRenderedPageBreak/>
        <w:t>Figure 2:</w:t>
      </w:r>
      <w:r>
        <w:rPr>
          <w:rFonts w:ascii="Arial" w:eastAsia="Arial" w:hAnsi="Arial" w:cs="Arial"/>
        </w:rPr>
        <w:t xml:space="preserve"> Visualization of anti-biofilm activity by </w:t>
      </w:r>
      <w:proofErr w:type="spellStart"/>
      <w:r>
        <w:rPr>
          <w:rFonts w:ascii="Arial" w:eastAsia="Arial" w:hAnsi="Arial" w:cs="Arial"/>
        </w:rPr>
        <w:t>SeNPs</w:t>
      </w:r>
      <w:proofErr w:type="spellEnd"/>
      <w:r>
        <w:rPr>
          <w:rFonts w:ascii="Arial" w:eastAsia="Arial" w:hAnsi="Arial" w:cs="Arial"/>
        </w:rPr>
        <w:t xml:space="preserve"> using the Tissue Culture Plate (TCP) method.</w:t>
      </w:r>
    </w:p>
    <w:p w:rsidR="00DB2C9C" w:rsidRDefault="00E66DED">
      <w:pPr>
        <w:spacing w:before="0" w:after="240" w:line="276" w:lineRule="auto"/>
        <w:ind w:firstLine="0"/>
        <w:rPr>
          <w:rFonts w:ascii="Arial" w:eastAsia="Arial" w:hAnsi="Arial" w:cs="Arial"/>
        </w:rPr>
      </w:pPr>
      <w:r>
        <w:rPr>
          <w:rFonts w:ascii="Arial" w:eastAsia="Arial" w:hAnsi="Arial" w:cs="Arial"/>
        </w:rPr>
        <w:t xml:space="preserve">The TCPM assay results (Figure 2) visually confirmed the statistical data. The wells corresponding to higher concentrations of </w:t>
      </w:r>
      <w:proofErr w:type="spellStart"/>
      <w:r>
        <w:rPr>
          <w:rFonts w:ascii="Arial" w:eastAsia="Arial" w:hAnsi="Arial" w:cs="Arial"/>
        </w:rPr>
        <w:t>SeNPs</w:t>
      </w:r>
      <w:proofErr w:type="spellEnd"/>
      <w:r>
        <w:rPr>
          <w:rFonts w:ascii="Arial" w:eastAsia="Arial" w:hAnsi="Arial" w:cs="Arial"/>
        </w:rPr>
        <w:t xml:space="preserve"> showed significantly less crystal violet staining (lighter purple), indicating a reduction in biofilm mass. Conversely, the</w:t>
      </w:r>
      <w:r>
        <w:rPr>
          <w:rFonts w:ascii="Arial" w:eastAsia="Arial" w:hAnsi="Arial" w:cs="Arial"/>
        </w:rPr>
        <w:t xml:space="preserve"> control wells (no </w:t>
      </w:r>
      <w:proofErr w:type="spellStart"/>
      <w:r>
        <w:rPr>
          <w:rFonts w:ascii="Arial" w:eastAsia="Arial" w:hAnsi="Arial" w:cs="Arial"/>
        </w:rPr>
        <w:t>SeNPs</w:t>
      </w:r>
      <w:proofErr w:type="spellEnd"/>
      <w:r>
        <w:rPr>
          <w:rFonts w:ascii="Arial" w:eastAsia="Arial" w:hAnsi="Arial" w:cs="Arial"/>
        </w:rPr>
        <w:t>) were deeply stained, indicating robust biofilm production by the pathogens.</w:t>
      </w:r>
    </w:p>
    <w:p w:rsidR="00DB2C9C" w:rsidRDefault="00E66DED">
      <w:pPr>
        <w:rPr>
          <w:rFonts w:ascii="Arial" w:eastAsia="Arial" w:hAnsi="Arial" w:cs="Arial"/>
        </w:rPr>
      </w:pPr>
      <w:r>
        <w:pict>
          <v:rect id="_x0000_i1028" style="width:0;height:1.5pt" o:hralign="center" o:hrstd="t" o:hr="t" fillcolor="#a0a0a0" stroked="f"/>
        </w:pict>
      </w:r>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4" w:name="_75zwf9w9ui57" w:colFirst="0" w:colLast="0"/>
      <w:bookmarkEnd w:id="24"/>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5" w:name="_gs0eigfin21l" w:colFirst="0" w:colLast="0"/>
      <w:bookmarkEnd w:id="25"/>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6" w:name="_nwsnvboziawn" w:colFirst="0" w:colLast="0"/>
      <w:bookmarkEnd w:id="26"/>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7" w:name="_p1cmnhi5cveq" w:colFirst="0" w:colLast="0"/>
      <w:bookmarkEnd w:id="27"/>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8" w:name="_c46r8bje151z" w:colFirst="0" w:colLast="0"/>
      <w:bookmarkEnd w:id="28"/>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29" w:name="_d05coa3x2ew7" w:colFirst="0" w:colLast="0"/>
      <w:bookmarkEnd w:id="29"/>
    </w:p>
    <w:p w:rsidR="00DB2C9C" w:rsidRDefault="00DB2C9C">
      <w:pPr>
        <w:pStyle w:val="Heading2"/>
        <w:keepNext w:val="0"/>
        <w:keepLines w:val="0"/>
        <w:shd w:val="clear" w:color="auto" w:fill="FFFFFF"/>
        <w:spacing w:before="0" w:after="80"/>
        <w:ind w:right="0" w:firstLine="708"/>
        <w:jc w:val="both"/>
        <w:rPr>
          <w:rFonts w:ascii="Arial" w:eastAsia="Arial" w:hAnsi="Arial" w:cs="Arial"/>
          <w:sz w:val="34"/>
          <w:szCs w:val="34"/>
        </w:rPr>
      </w:pPr>
      <w:bookmarkStart w:id="30" w:name="_hd2g8vcd3eo" w:colFirst="0" w:colLast="0"/>
      <w:bookmarkEnd w:id="30"/>
    </w:p>
    <w:p w:rsidR="00DB2C9C" w:rsidRDefault="00E66DED">
      <w:pPr>
        <w:pStyle w:val="Heading2"/>
        <w:keepNext w:val="0"/>
        <w:keepLines w:val="0"/>
        <w:shd w:val="clear" w:color="auto" w:fill="FFFFFF"/>
        <w:spacing w:before="0" w:after="80"/>
        <w:ind w:right="0" w:firstLine="708"/>
        <w:jc w:val="both"/>
      </w:pPr>
      <w:bookmarkStart w:id="31" w:name="_cpws4frrqtmj" w:colFirst="0" w:colLast="0"/>
      <w:bookmarkEnd w:id="31"/>
      <w:r>
        <w:rPr>
          <w:rFonts w:ascii="Arial" w:eastAsia="Arial" w:hAnsi="Arial" w:cs="Arial"/>
          <w:sz w:val="34"/>
          <w:szCs w:val="34"/>
        </w:rPr>
        <w:t>Discussion</w:t>
      </w:r>
    </w:p>
    <w:p w:rsidR="00DB2C9C" w:rsidRDefault="00E66DED">
      <w:pPr>
        <w:pBdr>
          <w:bottom w:val="none" w:sz="0" w:space="12" w:color="000000"/>
        </w:pBdr>
        <w:spacing w:before="0" w:after="0" w:line="331" w:lineRule="auto"/>
        <w:ind w:firstLine="0"/>
        <w:rPr>
          <w:rFonts w:ascii="Arial" w:eastAsia="Arial" w:hAnsi="Arial" w:cs="Arial"/>
          <w:sz w:val="22"/>
          <w:szCs w:val="22"/>
        </w:rPr>
      </w:pPr>
      <w:r>
        <w:rPr>
          <w:rFonts w:ascii="Arial" w:eastAsia="Arial" w:hAnsi="Arial" w:cs="Arial"/>
          <w:sz w:val="22"/>
          <w:szCs w:val="22"/>
        </w:rPr>
        <w:t>The results of the bacterial diagnosis, as shown in Table 1 and Figure 1, provide insight into the prevalence and distribution of diff</w:t>
      </w:r>
      <w:r>
        <w:rPr>
          <w:rFonts w:ascii="Arial" w:eastAsia="Arial" w:hAnsi="Arial" w:cs="Arial"/>
          <w:sz w:val="22"/>
          <w:szCs w:val="22"/>
        </w:rPr>
        <w:t>erent bacterial species within the examined samples. Notably, 30% of the isolates exhibited no growth. This may be due to the patients having viral infections, taking antibacterial drugs, or exhibiting symptoms of inflammation resulting from allergies or a</w:t>
      </w:r>
      <w:r>
        <w:rPr>
          <w:rFonts w:ascii="Arial" w:eastAsia="Arial" w:hAnsi="Arial" w:cs="Arial"/>
          <w:sz w:val="22"/>
          <w:szCs w:val="22"/>
        </w:rPr>
        <w:t xml:space="preserve">utoimmune diseases, as reported in previous studies with similar findings (Burrell et al., 2017; Harper et al., 2020). </w:t>
      </w:r>
      <w:r>
        <w:rPr>
          <w:rFonts w:ascii="Arial" w:eastAsia="Arial" w:hAnsi="Arial" w:cs="Arial"/>
          <w:i/>
          <w:sz w:val="22"/>
          <w:szCs w:val="22"/>
        </w:rPr>
        <w:t>Bacillus cereus</w:t>
      </w:r>
      <w:r>
        <w:rPr>
          <w:rFonts w:ascii="Arial" w:eastAsia="Arial" w:hAnsi="Arial" w:cs="Arial"/>
          <w:sz w:val="22"/>
          <w:szCs w:val="22"/>
        </w:rPr>
        <w:t xml:space="preserve">, representing 24% of the isolates, also showed a significant presence. This is consistent with the findings of </w:t>
      </w:r>
      <w:proofErr w:type="spellStart"/>
      <w:r>
        <w:rPr>
          <w:rFonts w:ascii="Arial" w:eastAsia="Arial" w:hAnsi="Arial" w:cs="Arial"/>
          <w:sz w:val="22"/>
          <w:szCs w:val="22"/>
        </w:rPr>
        <w:t>Ayatollahi</w:t>
      </w:r>
      <w:proofErr w:type="spellEnd"/>
      <w:r>
        <w:rPr>
          <w:rFonts w:ascii="Arial" w:eastAsia="Arial" w:hAnsi="Arial" w:cs="Arial"/>
          <w:sz w:val="22"/>
          <w:szCs w:val="22"/>
        </w:rPr>
        <w:t xml:space="preserve"> et al. (2017), who reported a marked prevalence of </w:t>
      </w:r>
      <w:r>
        <w:rPr>
          <w:rFonts w:ascii="Arial" w:eastAsia="Arial" w:hAnsi="Arial" w:cs="Arial"/>
          <w:i/>
          <w:sz w:val="22"/>
          <w:szCs w:val="22"/>
        </w:rPr>
        <w:t>Bacillus cereus</w:t>
      </w:r>
      <w:r>
        <w:rPr>
          <w:rFonts w:ascii="Arial" w:eastAsia="Arial" w:hAnsi="Arial" w:cs="Arial"/>
          <w:sz w:val="22"/>
          <w:szCs w:val="22"/>
        </w:rPr>
        <w:t xml:space="preserve"> in the collected samples. From clinical samples, the recurrence of </w:t>
      </w:r>
      <w:r>
        <w:rPr>
          <w:rFonts w:ascii="Arial" w:eastAsia="Arial" w:hAnsi="Arial" w:cs="Arial"/>
          <w:i/>
          <w:sz w:val="22"/>
          <w:szCs w:val="22"/>
        </w:rPr>
        <w:t>Bacillus cereus</w:t>
      </w:r>
      <w:r>
        <w:rPr>
          <w:rFonts w:ascii="Arial" w:eastAsia="Arial" w:hAnsi="Arial" w:cs="Arial"/>
          <w:sz w:val="22"/>
          <w:szCs w:val="22"/>
        </w:rPr>
        <w:t xml:space="preserve"> in different contexts underscores its diversity and ubiquitous environmental distribution. </w:t>
      </w:r>
      <w:r>
        <w:rPr>
          <w:rFonts w:ascii="Arial" w:eastAsia="Arial" w:hAnsi="Arial" w:cs="Arial"/>
          <w:i/>
          <w:sz w:val="22"/>
          <w:szCs w:val="22"/>
        </w:rPr>
        <w:t>Staphylococcus</w:t>
      </w:r>
      <w:r>
        <w:rPr>
          <w:rFonts w:ascii="Arial" w:eastAsia="Arial" w:hAnsi="Arial" w:cs="Arial"/>
          <w:i/>
          <w:sz w:val="22"/>
          <w:szCs w:val="22"/>
        </w:rPr>
        <w:t xml:space="preserve"> spp.</w:t>
      </w:r>
      <w:r>
        <w:rPr>
          <w:rFonts w:ascii="Arial" w:eastAsia="Arial" w:hAnsi="Arial" w:cs="Arial"/>
          <w:sz w:val="22"/>
          <w:szCs w:val="22"/>
        </w:rPr>
        <w:t xml:space="preserve">,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constituted 16%, 8%, and 12% of the isolates, respectively. These percentages are consistent with general trends observed in clinical microbiology studies, where </w:t>
      </w:r>
      <w:r>
        <w:rPr>
          <w:rFonts w:ascii="Arial" w:eastAsia="Arial" w:hAnsi="Arial" w:cs="Arial"/>
          <w:i/>
          <w:sz w:val="22"/>
          <w:szCs w:val="22"/>
        </w:rPr>
        <w:t>Staphylococcus spp.</w:t>
      </w:r>
      <w:r>
        <w:rPr>
          <w:rFonts w:ascii="Arial" w:eastAsia="Arial" w:hAnsi="Arial" w:cs="Arial"/>
          <w:sz w:val="22"/>
          <w:szCs w:val="22"/>
        </w:rPr>
        <w:t xml:space="preserve"> species are commonly identified in various</w:t>
      </w:r>
      <w:r>
        <w:rPr>
          <w:rFonts w:ascii="Arial" w:eastAsia="Arial" w:hAnsi="Arial" w:cs="Arial"/>
          <w:sz w:val="22"/>
          <w:szCs w:val="22"/>
        </w:rPr>
        <w:t xml:space="preserve"> infections. The presence of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is consistent with their well-documented roles in wound infections, as reported by </w:t>
      </w:r>
      <w:proofErr w:type="spellStart"/>
      <w:r>
        <w:rPr>
          <w:rFonts w:ascii="Arial" w:eastAsia="Arial" w:hAnsi="Arial" w:cs="Arial"/>
          <w:sz w:val="22"/>
          <w:szCs w:val="22"/>
        </w:rPr>
        <w:t>Riahi</w:t>
      </w:r>
      <w:proofErr w:type="spellEnd"/>
      <w:r>
        <w:rPr>
          <w:rFonts w:ascii="Arial" w:eastAsia="Arial" w:hAnsi="Arial" w:cs="Arial"/>
          <w:sz w:val="22"/>
          <w:szCs w:val="22"/>
        </w:rPr>
        <w:t xml:space="preserve"> et al. (2023). Mixed infections, identified in 14% of the isolates, represent an interesting aspect of the study. </w:t>
      </w:r>
      <w:r>
        <w:rPr>
          <w:rFonts w:ascii="Arial" w:eastAsia="Arial" w:hAnsi="Arial" w:cs="Arial"/>
          <w:sz w:val="22"/>
          <w:szCs w:val="22"/>
        </w:rPr>
        <w:t xml:space="preserve">This phenomenon was previously explored by </w:t>
      </w:r>
      <w:proofErr w:type="spellStart"/>
      <w:r>
        <w:rPr>
          <w:rFonts w:ascii="Arial" w:eastAsia="Arial" w:hAnsi="Arial" w:cs="Arial"/>
          <w:sz w:val="22"/>
          <w:szCs w:val="22"/>
        </w:rPr>
        <w:t>Xie</w:t>
      </w:r>
      <w:proofErr w:type="spellEnd"/>
      <w:r>
        <w:rPr>
          <w:rFonts w:ascii="Arial" w:eastAsia="Arial" w:hAnsi="Arial" w:cs="Arial"/>
          <w:sz w:val="22"/>
          <w:szCs w:val="22"/>
        </w:rPr>
        <w:t xml:space="preserve"> </w:t>
      </w:r>
      <w:r>
        <w:rPr>
          <w:rFonts w:ascii="Arial" w:eastAsia="Arial" w:hAnsi="Arial" w:cs="Arial"/>
          <w:sz w:val="22"/>
          <w:szCs w:val="22"/>
        </w:rPr>
        <w:lastRenderedPageBreak/>
        <w:t>et al. (2020), who discussed the challenges in diagnosing and treating mixed infections due to the complex interactions between different bacterial species.</w:t>
      </w:r>
    </w:p>
    <w:p w:rsidR="00DB2C9C" w:rsidRDefault="00E66DED">
      <w:pPr>
        <w:spacing w:before="0" w:after="240" w:line="331" w:lineRule="auto"/>
        <w:ind w:firstLine="0"/>
        <w:rPr>
          <w:rFonts w:ascii="Arial" w:eastAsia="Arial" w:hAnsi="Arial" w:cs="Arial"/>
        </w:rPr>
      </w:pPr>
      <w:r>
        <w:rPr>
          <w:rFonts w:ascii="Arial" w:eastAsia="Arial" w:hAnsi="Arial" w:cs="Arial"/>
          <w:sz w:val="22"/>
          <w:szCs w:val="22"/>
        </w:rPr>
        <w:t xml:space="preserve">Furthermore, the current study's findings regarding the strong, dose-dependent anti-biofilm activity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(as shown in Table 1) are highly relevant to these isolation results. The ability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to disrupt biofilm formation across both bacterial and </w:t>
      </w:r>
      <w:r>
        <w:rPr>
          <w:rFonts w:ascii="Arial" w:eastAsia="Arial" w:hAnsi="Arial" w:cs="Arial"/>
          <w:sz w:val="22"/>
          <w:szCs w:val="22"/>
        </w:rPr>
        <w:t xml:space="preserve">fungal species is crucial, especially given the prevalence of </w:t>
      </w:r>
      <w:r>
        <w:rPr>
          <w:rFonts w:ascii="Arial" w:eastAsia="Arial" w:hAnsi="Arial" w:cs="Arial"/>
          <w:i/>
          <w:sz w:val="22"/>
          <w:szCs w:val="22"/>
        </w:rPr>
        <w:t>Bacillus cereus</w:t>
      </w:r>
      <w:r>
        <w:rPr>
          <w:rFonts w:ascii="Arial" w:eastAsia="Arial" w:hAnsi="Arial" w:cs="Arial"/>
          <w:sz w:val="22"/>
          <w:szCs w:val="22"/>
        </w:rPr>
        <w:t xml:space="preserve">, </w:t>
      </w:r>
      <w:r>
        <w:rPr>
          <w:rFonts w:ascii="Arial" w:eastAsia="Arial" w:hAnsi="Arial" w:cs="Arial"/>
          <w:i/>
          <w:sz w:val="22"/>
          <w:szCs w:val="22"/>
        </w:rPr>
        <w:t>Staphylococcus spp.</w:t>
      </w:r>
      <w:r>
        <w:rPr>
          <w:rFonts w:ascii="Arial" w:eastAsia="Arial" w:hAnsi="Arial" w:cs="Arial"/>
          <w:sz w:val="22"/>
          <w:szCs w:val="22"/>
        </w:rPr>
        <w:t xml:space="preserve">,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in wound and burn infections. This broad-spectrum activity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is vital for treating polymicrobial infections, which were also</w:t>
      </w:r>
      <w:r>
        <w:rPr>
          <w:rFonts w:ascii="Arial" w:eastAsia="Arial" w:hAnsi="Arial" w:cs="Arial"/>
          <w:sz w:val="22"/>
          <w:szCs w:val="22"/>
        </w:rPr>
        <w:t xml:space="preserve"> observed in 14% of the isolates in this study (</w:t>
      </w:r>
      <w:proofErr w:type="spellStart"/>
      <w:r>
        <w:rPr>
          <w:rFonts w:ascii="Arial" w:eastAsia="Arial" w:hAnsi="Arial" w:cs="Arial"/>
          <w:sz w:val="22"/>
          <w:szCs w:val="22"/>
        </w:rPr>
        <w:t>Xie</w:t>
      </w:r>
      <w:proofErr w:type="spellEnd"/>
      <w:r>
        <w:rPr>
          <w:rFonts w:ascii="Arial" w:eastAsia="Arial" w:hAnsi="Arial" w:cs="Arial"/>
          <w:sz w:val="22"/>
          <w:szCs w:val="22"/>
        </w:rPr>
        <w:t xml:space="preserve"> et al., 2020). The mechanism by which </w:t>
      </w:r>
      <w:proofErr w:type="spellStart"/>
      <w:r>
        <w:rPr>
          <w:rFonts w:ascii="Arial" w:eastAsia="Arial" w:hAnsi="Arial" w:cs="Arial"/>
          <w:sz w:val="22"/>
          <w:szCs w:val="22"/>
        </w:rPr>
        <w:t>SeNPs</w:t>
      </w:r>
      <w:proofErr w:type="spellEnd"/>
      <w:r>
        <w:rPr>
          <w:rFonts w:ascii="Arial" w:eastAsia="Arial" w:hAnsi="Arial" w:cs="Arial"/>
          <w:sz w:val="22"/>
          <w:szCs w:val="22"/>
        </w:rPr>
        <w:t xml:space="preserve"> interfere with cell adhesion or quorum sensing (Nassar et al. 2023) offers a promising avenue for combating these common and often drug-resistant pathogens. The</w:t>
      </w:r>
      <w:r>
        <w:rPr>
          <w:rFonts w:ascii="Arial" w:eastAsia="Arial" w:hAnsi="Arial" w:cs="Arial"/>
          <w:sz w:val="22"/>
          <w:szCs w:val="22"/>
        </w:rPr>
        <w:t xml:space="preserve"> consistency of these results with other research on nanoparticle-based inhibitors (Ullah et al., 2023; </w:t>
      </w:r>
      <w:proofErr w:type="spellStart"/>
      <w:r>
        <w:rPr>
          <w:rFonts w:ascii="Arial" w:eastAsia="Arial" w:hAnsi="Arial" w:cs="Arial"/>
          <w:sz w:val="22"/>
          <w:szCs w:val="22"/>
        </w:rPr>
        <w:t>Miglani</w:t>
      </w:r>
      <w:proofErr w:type="spellEnd"/>
      <w:r>
        <w:rPr>
          <w:rFonts w:ascii="Arial" w:eastAsia="Arial" w:hAnsi="Arial" w:cs="Arial"/>
          <w:sz w:val="22"/>
          <w:szCs w:val="22"/>
        </w:rPr>
        <w:t xml:space="preserve"> and </w:t>
      </w:r>
      <w:proofErr w:type="spellStart"/>
      <w:r>
        <w:rPr>
          <w:rFonts w:ascii="Arial" w:eastAsia="Arial" w:hAnsi="Arial" w:cs="Arial"/>
          <w:sz w:val="22"/>
          <w:szCs w:val="22"/>
        </w:rPr>
        <w:t>Tani</w:t>
      </w:r>
      <w:proofErr w:type="spellEnd"/>
      <w:r>
        <w:rPr>
          <w:rFonts w:ascii="Arial" w:eastAsia="Arial" w:hAnsi="Arial" w:cs="Arial"/>
          <w:sz w:val="22"/>
          <w:szCs w:val="22"/>
        </w:rPr>
        <w:t xml:space="preserve">-Ishii 2021) further supports the potential of </w:t>
      </w:r>
      <w:proofErr w:type="spellStart"/>
      <w:r>
        <w:rPr>
          <w:rFonts w:ascii="Arial" w:eastAsia="Arial" w:hAnsi="Arial" w:cs="Arial"/>
          <w:sz w:val="22"/>
          <w:szCs w:val="22"/>
        </w:rPr>
        <w:t>SeNPs</w:t>
      </w:r>
      <w:proofErr w:type="spellEnd"/>
      <w:r>
        <w:rPr>
          <w:rFonts w:ascii="Arial" w:eastAsia="Arial" w:hAnsi="Arial" w:cs="Arial"/>
          <w:sz w:val="22"/>
          <w:szCs w:val="22"/>
        </w:rPr>
        <w:t xml:space="preserve"> as an effective therapeutic strategy against biofilm-mediated infections. The nanos</w:t>
      </w:r>
      <w:r>
        <w:rPr>
          <w:rFonts w:ascii="Arial" w:eastAsia="Arial" w:hAnsi="Arial" w:cs="Arial"/>
          <w:sz w:val="22"/>
          <w:szCs w:val="22"/>
        </w:rPr>
        <w:t xml:space="preserve">cale properties of </w:t>
      </w:r>
      <w:proofErr w:type="spellStart"/>
      <w:r>
        <w:rPr>
          <w:rFonts w:ascii="Arial" w:eastAsia="Arial" w:hAnsi="Arial" w:cs="Arial"/>
          <w:sz w:val="22"/>
          <w:szCs w:val="22"/>
        </w:rPr>
        <w:t>SeNPs</w:t>
      </w:r>
      <w:proofErr w:type="spellEnd"/>
      <w:r>
        <w:rPr>
          <w:rFonts w:ascii="Arial" w:eastAsia="Arial" w:hAnsi="Arial" w:cs="Arial"/>
          <w:sz w:val="22"/>
          <w:szCs w:val="22"/>
        </w:rPr>
        <w:t xml:space="preserve">, allowing for better penetration of the EPS matrix and enhanced interaction with microbial cells (Nassar et al. 2023), along with the biological capping of biogenic </w:t>
      </w:r>
      <w:proofErr w:type="spellStart"/>
      <w:r>
        <w:rPr>
          <w:rFonts w:ascii="Arial" w:eastAsia="Arial" w:hAnsi="Arial" w:cs="Arial"/>
          <w:sz w:val="22"/>
          <w:szCs w:val="22"/>
        </w:rPr>
        <w:t>SeNPs</w:t>
      </w:r>
      <w:proofErr w:type="spellEnd"/>
      <w:r>
        <w:rPr>
          <w:rFonts w:ascii="Arial" w:eastAsia="Arial" w:hAnsi="Arial" w:cs="Arial"/>
          <w:sz w:val="22"/>
          <w:szCs w:val="22"/>
        </w:rPr>
        <w:t xml:space="preserve"> (Wadhwani et al., 2016), likely contribute to the high inhib</w:t>
      </w:r>
      <w:r>
        <w:rPr>
          <w:rFonts w:ascii="Arial" w:eastAsia="Arial" w:hAnsi="Arial" w:cs="Arial"/>
          <w:sz w:val="22"/>
          <w:szCs w:val="22"/>
        </w:rPr>
        <w:t>ition rates observed.</w:t>
      </w:r>
    </w:p>
    <w:p w:rsidR="00DB2C9C" w:rsidRDefault="00E66DED">
      <w:pPr>
        <w:spacing w:before="0" w:after="240" w:line="276" w:lineRule="auto"/>
        <w:ind w:firstLine="0"/>
        <w:rPr>
          <w:rFonts w:ascii="Arial" w:eastAsia="Arial" w:hAnsi="Arial" w:cs="Arial"/>
        </w:rPr>
      </w:pPr>
      <w:r>
        <w:rPr>
          <w:rFonts w:ascii="Arial" w:eastAsia="Arial" w:hAnsi="Arial" w:cs="Arial"/>
        </w:rPr>
        <w:t xml:space="preserve">The results showed that </w:t>
      </w:r>
      <w:r>
        <w:rPr>
          <w:rFonts w:ascii="Arial" w:eastAsia="Arial" w:hAnsi="Arial" w:cs="Arial"/>
          <w:i/>
        </w:rPr>
        <w:t>Bacillus cereus</w:t>
      </w:r>
      <w:r>
        <w:rPr>
          <w:rFonts w:ascii="Arial" w:eastAsia="Arial" w:hAnsi="Arial" w:cs="Arial"/>
        </w:rPr>
        <w:t xml:space="preserve"> and </w:t>
      </w:r>
      <w:proofErr w:type="spellStart"/>
      <w:r>
        <w:rPr>
          <w:rFonts w:ascii="Arial" w:eastAsia="Arial" w:hAnsi="Arial" w:cs="Arial"/>
          <w:i/>
        </w:rPr>
        <w:t>Staphylococcus.spp</w:t>
      </w:r>
      <w:proofErr w:type="spellEnd"/>
      <w:r>
        <w:rPr>
          <w:rFonts w:ascii="Arial" w:eastAsia="Arial" w:hAnsi="Arial" w:cs="Arial"/>
        </w:rPr>
        <w:t xml:space="preserve"> were among the most common isolates from wound and burn infections. This finding is significant as both are known opportunistic pathogens. The high prevalence of </w:t>
      </w:r>
      <w:r>
        <w:rPr>
          <w:rFonts w:ascii="Arial" w:eastAsia="Arial" w:hAnsi="Arial" w:cs="Arial"/>
          <w:i/>
        </w:rPr>
        <w:t>Bacillus cereus</w:t>
      </w:r>
      <w:r>
        <w:rPr>
          <w:rFonts w:ascii="Arial" w:eastAsia="Arial" w:hAnsi="Arial" w:cs="Arial"/>
        </w:rPr>
        <w:t xml:space="preserve"> aligns with studies that report its increasing recognition in clinical infections, not just as a foodborne pathogen (</w:t>
      </w:r>
      <w:proofErr w:type="spellStart"/>
      <w:r>
        <w:rPr>
          <w:rFonts w:ascii="Arial" w:eastAsia="Arial" w:hAnsi="Arial" w:cs="Arial"/>
        </w:rPr>
        <w:t>Ehling</w:t>
      </w:r>
      <w:proofErr w:type="spellEnd"/>
      <w:r>
        <w:rPr>
          <w:rFonts w:ascii="Arial" w:eastAsia="Arial" w:hAnsi="Arial" w:cs="Arial"/>
        </w:rPr>
        <w:t xml:space="preserve">-Schulz et al., 2019). The presence of </w:t>
      </w:r>
      <w:r>
        <w:rPr>
          <w:rFonts w:ascii="Arial" w:eastAsia="Arial" w:hAnsi="Arial" w:cs="Arial"/>
          <w:i/>
        </w:rPr>
        <w:t xml:space="preserve">Staph. </w:t>
      </w:r>
      <w:proofErr w:type="spellStart"/>
      <w:r>
        <w:rPr>
          <w:rFonts w:ascii="Arial" w:eastAsia="Arial" w:hAnsi="Arial" w:cs="Arial"/>
          <w:i/>
        </w:rPr>
        <w:t>spp</w:t>
      </w:r>
      <w:proofErr w:type="spellEnd"/>
      <w:r>
        <w:rPr>
          <w:rFonts w:ascii="Arial" w:eastAsia="Arial" w:hAnsi="Arial" w:cs="Arial"/>
        </w:rPr>
        <w:t xml:space="preserve"> and </w:t>
      </w:r>
      <w:r>
        <w:rPr>
          <w:rFonts w:ascii="Arial" w:eastAsia="Arial" w:hAnsi="Arial" w:cs="Arial"/>
          <w:i/>
        </w:rPr>
        <w:t>E. coli</w:t>
      </w:r>
      <w:r>
        <w:rPr>
          <w:rFonts w:ascii="Arial" w:eastAsia="Arial" w:hAnsi="Arial" w:cs="Arial"/>
        </w:rPr>
        <w:t xml:space="preserve"> is consistent with their well-documented roles as prima</w:t>
      </w:r>
      <w:r>
        <w:rPr>
          <w:rFonts w:ascii="Arial" w:eastAsia="Arial" w:hAnsi="Arial" w:cs="Arial"/>
        </w:rPr>
        <w:t>ry agents in skin and soft tissue infections (</w:t>
      </w:r>
      <w:proofErr w:type="spellStart"/>
      <w:r>
        <w:rPr>
          <w:rFonts w:ascii="Arial" w:eastAsia="Arial" w:hAnsi="Arial" w:cs="Arial"/>
        </w:rPr>
        <w:t>Riahi</w:t>
      </w:r>
      <w:proofErr w:type="spellEnd"/>
      <w:r>
        <w:rPr>
          <w:rFonts w:ascii="Arial" w:eastAsia="Arial" w:hAnsi="Arial" w:cs="Arial"/>
        </w:rPr>
        <w:t xml:space="preserve"> et al., 2023; Cheung et al., 2021). The presence of </w:t>
      </w:r>
      <w:r>
        <w:rPr>
          <w:rFonts w:ascii="Arial" w:eastAsia="Arial" w:hAnsi="Arial" w:cs="Arial"/>
          <w:i/>
        </w:rPr>
        <w:t>C. albicans</w:t>
      </w:r>
      <w:r>
        <w:rPr>
          <w:rFonts w:ascii="Arial" w:eastAsia="Arial" w:hAnsi="Arial" w:cs="Arial"/>
        </w:rPr>
        <w:t xml:space="preserve"> highlights the risk of fungal co-infection in immunocompromised wound environments (</w:t>
      </w:r>
      <w:proofErr w:type="spellStart"/>
      <w:r>
        <w:rPr>
          <w:rFonts w:ascii="Arial" w:eastAsia="Arial" w:hAnsi="Arial" w:cs="Arial"/>
        </w:rPr>
        <w:t>Talapko</w:t>
      </w:r>
      <w:proofErr w:type="spellEnd"/>
      <w:r>
        <w:rPr>
          <w:rFonts w:ascii="Arial" w:eastAsia="Arial" w:hAnsi="Arial" w:cs="Arial"/>
        </w:rPr>
        <w:t xml:space="preserve"> et al., 2021).</w:t>
      </w:r>
    </w:p>
    <w:p w:rsidR="00DB2C9C" w:rsidRDefault="00E66DED">
      <w:pPr>
        <w:spacing w:before="0" w:after="240" w:line="276" w:lineRule="auto"/>
        <w:ind w:firstLine="0"/>
        <w:rPr>
          <w:rFonts w:ascii="Arial" w:eastAsia="Arial" w:hAnsi="Arial" w:cs="Arial"/>
        </w:rPr>
      </w:pPr>
      <w:r>
        <w:rPr>
          <w:rFonts w:ascii="Arial" w:eastAsia="Arial" w:hAnsi="Arial" w:cs="Arial"/>
        </w:rPr>
        <w:t>The strong, dose-dependent anti-b</w:t>
      </w:r>
      <w:r>
        <w:rPr>
          <w:rFonts w:ascii="Arial" w:eastAsia="Arial" w:hAnsi="Arial" w:cs="Arial"/>
        </w:rPr>
        <w:t xml:space="preserve">iofilm activity shown in Table 1 is a critical finding. It suggests that </w:t>
      </w:r>
      <w:proofErr w:type="spellStart"/>
      <w:r>
        <w:rPr>
          <w:rFonts w:ascii="Arial" w:eastAsia="Arial" w:hAnsi="Arial" w:cs="Arial"/>
        </w:rPr>
        <w:t>SeNPs</w:t>
      </w:r>
      <w:proofErr w:type="spellEnd"/>
      <w:r>
        <w:rPr>
          <w:rFonts w:ascii="Arial" w:eastAsia="Arial" w:hAnsi="Arial" w:cs="Arial"/>
        </w:rPr>
        <w:t xml:space="preserve"> disrupt biofilm formation across different microbial kingdoms, inhibiting both bacteria and fungi. This broad-spectrum activity is vital for treating polymicrobial infections, w</w:t>
      </w:r>
      <w:r>
        <w:rPr>
          <w:rFonts w:ascii="Arial" w:eastAsia="Arial" w:hAnsi="Arial" w:cs="Arial"/>
        </w:rPr>
        <w:t>hich are common in wounds (</w:t>
      </w:r>
      <w:proofErr w:type="spellStart"/>
      <w:r>
        <w:rPr>
          <w:rFonts w:ascii="Arial" w:eastAsia="Arial" w:hAnsi="Arial" w:cs="Arial"/>
        </w:rPr>
        <w:t>Xie</w:t>
      </w:r>
      <w:proofErr w:type="spellEnd"/>
      <w:r>
        <w:rPr>
          <w:rFonts w:ascii="Arial" w:eastAsia="Arial" w:hAnsi="Arial" w:cs="Arial"/>
        </w:rPr>
        <w:t xml:space="preserve"> et al., 2020). The mechanism may involve </w:t>
      </w:r>
      <w:proofErr w:type="spellStart"/>
      <w:r>
        <w:rPr>
          <w:rFonts w:ascii="Arial" w:eastAsia="Arial" w:hAnsi="Arial" w:cs="Arial"/>
        </w:rPr>
        <w:t>SeNPs</w:t>
      </w:r>
      <w:proofErr w:type="spellEnd"/>
      <w:r>
        <w:rPr>
          <w:rFonts w:ascii="Arial" w:eastAsia="Arial" w:hAnsi="Arial" w:cs="Arial"/>
        </w:rPr>
        <w:t xml:space="preserve"> interfering with cell adhesion or quorum sensing, which are essential early steps in biofilm development (Nassar et al. 2023).</w:t>
      </w:r>
    </w:p>
    <w:p w:rsidR="00DB2C9C" w:rsidRDefault="00E66DED">
      <w:pPr>
        <w:spacing w:before="0" w:after="240" w:line="276" w:lineRule="auto"/>
        <w:ind w:firstLine="0"/>
        <w:rPr>
          <w:rFonts w:ascii="Arial" w:eastAsia="Arial" w:hAnsi="Arial" w:cs="Arial"/>
        </w:rPr>
      </w:pPr>
      <w:r>
        <w:rPr>
          <w:rFonts w:ascii="Arial" w:eastAsia="Arial" w:hAnsi="Arial" w:cs="Arial"/>
        </w:rPr>
        <w:t>These results are consistent with other research on</w:t>
      </w:r>
      <w:r>
        <w:rPr>
          <w:rFonts w:ascii="Arial" w:eastAsia="Arial" w:hAnsi="Arial" w:cs="Arial"/>
        </w:rPr>
        <w:t xml:space="preserve"> nanoparticle-based inhibitors. A study by (Ullah et al., 2023) also found </w:t>
      </w:r>
      <w:proofErr w:type="spellStart"/>
      <w:r>
        <w:rPr>
          <w:rFonts w:ascii="Arial" w:eastAsia="Arial" w:hAnsi="Arial" w:cs="Arial"/>
        </w:rPr>
        <w:t>SeNPs</w:t>
      </w:r>
      <w:proofErr w:type="spellEnd"/>
      <w:r>
        <w:rPr>
          <w:rFonts w:ascii="Arial" w:eastAsia="Arial" w:hAnsi="Arial" w:cs="Arial"/>
        </w:rPr>
        <w:t xml:space="preserve"> to be potent anti-biofilm agents against various pathogens, attributing the effect to membrane disruption. Similarly, (</w:t>
      </w:r>
      <w:proofErr w:type="spellStart"/>
      <w:r>
        <w:rPr>
          <w:rFonts w:ascii="Arial" w:eastAsia="Arial" w:hAnsi="Arial" w:cs="Arial"/>
        </w:rPr>
        <w:t>Miglani</w:t>
      </w:r>
      <w:proofErr w:type="spellEnd"/>
      <w:r>
        <w:rPr>
          <w:rFonts w:ascii="Arial" w:eastAsia="Arial" w:hAnsi="Arial" w:cs="Arial"/>
        </w:rPr>
        <w:t xml:space="preserve"> and </w:t>
      </w:r>
      <w:proofErr w:type="spellStart"/>
      <w:r>
        <w:rPr>
          <w:rFonts w:ascii="Arial" w:eastAsia="Arial" w:hAnsi="Arial" w:cs="Arial"/>
        </w:rPr>
        <w:t>Tani</w:t>
      </w:r>
      <w:proofErr w:type="spellEnd"/>
      <w:r>
        <w:rPr>
          <w:rFonts w:ascii="Arial" w:eastAsia="Arial" w:hAnsi="Arial" w:cs="Arial"/>
        </w:rPr>
        <w:t>-Ishii 2021) reported high efficacy of b</w:t>
      </w:r>
      <w:r>
        <w:rPr>
          <w:rFonts w:ascii="Arial" w:eastAsia="Arial" w:hAnsi="Arial" w:cs="Arial"/>
        </w:rPr>
        <w:t xml:space="preserve">iogenic </w:t>
      </w:r>
      <w:proofErr w:type="spellStart"/>
      <w:r>
        <w:rPr>
          <w:rFonts w:ascii="Arial" w:eastAsia="Arial" w:hAnsi="Arial" w:cs="Arial"/>
        </w:rPr>
        <w:t>SeNPs</w:t>
      </w:r>
      <w:proofErr w:type="spellEnd"/>
      <w:r>
        <w:rPr>
          <w:rFonts w:ascii="Arial" w:eastAsia="Arial" w:hAnsi="Arial" w:cs="Arial"/>
        </w:rPr>
        <w:t xml:space="preserve"> against </w:t>
      </w:r>
      <w:r>
        <w:rPr>
          <w:rFonts w:ascii="Arial" w:eastAsia="Arial" w:hAnsi="Arial" w:cs="Arial"/>
          <w:i/>
        </w:rPr>
        <w:t>K. pneumoniae</w:t>
      </w:r>
      <w:r>
        <w:rPr>
          <w:rFonts w:ascii="Arial" w:eastAsia="Arial" w:hAnsi="Arial" w:cs="Arial"/>
        </w:rPr>
        <w:t xml:space="preserve"> biofilms. Our study expands on this by confirming high efficacy (over 90% inhibition at high doses) against </w:t>
      </w:r>
      <w:r>
        <w:rPr>
          <w:rFonts w:ascii="Arial" w:eastAsia="Arial" w:hAnsi="Arial" w:cs="Arial"/>
          <w:i/>
        </w:rPr>
        <w:t>B. cereus</w:t>
      </w:r>
      <w:r>
        <w:rPr>
          <w:rFonts w:ascii="Arial" w:eastAsia="Arial" w:hAnsi="Arial" w:cs="Arial"/>
        </w:rPr>
        <w:t xml:space="preserve">, </w:t>
      </w:r>
      <w:r>
        <w:rPr>
          <w:rFonts w:ascii="Arial" w:eastAsia="Arial" w:hAnsi="Arial" w:cs="Arial"/>
          <w:i/>
        </w:rPr>
        <w:t xml:space="preserve">Staph. </w:t>
      </w:r>
      <w:proofErr w:type="spellStart"/>
      <w:r>
        <w:rPr>
          <w:rFonts w:ascii="Arial" w:eastAsia="Arial" w:hAnsi="Arial" w:cs="Arial"/>
          <w:i/>
        </w:rPr>
        <w:t>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w:t>
      </w:r>
      <w:r>
        <w:rPr>
          <w:rFonts w:ascii="Arial" w:eastAsia="Arial" w:hAnsi="Arial" w:cs="Arial"/>
          <w:i/>
        </w:rPr>
        <w:t>C. albicans</w:t>
      </w:r>
      <w:r>
        <w:rPr>
          <w:rFonts w:ascii="Arial" w:eastAsia="Arial" w:hAnsi="Arial" w:cs="Arial"/>
        </w:rPr>
        <w:t>.</w:t>
      </w:r>
    </w:p>
    <w:p w:rsidR="00DB2C9C" w:rsidRDefault="00E66DED">
      <w:pPr>
        <w:spacing w:before="0" w:after="240" w:line="276" w:lineRule="auto"/>
        <w:ind w:firstLine="0"/>
        <w:rPr>
          <w:rFonts w:ascii="Arial" w:eastAsia="Arial" w:hAnsi="Arial" w:cs="Arial"/>
        </w:rPr>
      </w:pPr>
      <w:r>
        <w:rPr>
          <w:rFonts w:ascii="Arial" w:eastAsia="Arial" w:hAnsi="Arial" w:cs="Arial"/>
        </w:rPr>
        <w:t xml:space="preserve">The effectiveness of </w:t>
      </w:r>
      <w:proofErr w:type="spellStart"/>
      <w:r>
        <w:rPr>
          <w:rFonts w:ascii="Arial" w:eastAsia="Arial" w:hAnsi="Arial" w:cs="Arial"/>
        </w:rPr>
        <w:t>SeNPs</w:t>
      </w:r>
      <w:proofErr w:type="spellEnd"/>
      <w:r>
        <w:rPr>
          <w:rFonts w:ascii="Arial" w:eastAsia="Arial" w:hAnsi="Arial" w:cs="Arial"/>
        </w:rPr>
        <w:t xml:space="preserve"> likely stems from their nanoscale pr</w:t>
      </w:r>
      <w:r>
        <w:rPr>
          <w:rFonts w:ascii="Arial" w:eastAsia="Arial" w:hAnsi="Arial" w:cs="Arial"/>
        </w:rPr>
        <w:t xml:space="preserve">operties, which allow for better penetration of the EPS matrix and interaction with microbial cells (Nassar et al. 2023). Furthermore, biogenic </w:t>
      </w:r>
      <w:proofErr w:type="spellStart"/>
      <w:r>
        <w:rPr>
          <w:rFonts w:ascii="Arial" w:eastAsia="Arial" w:hAnsi="Arial" w:cs="Arial"/>
        </w:rPr>
        <w:t>SeNPs</w:t>
      </w:r>
      <w:proofErr w:type="spellEnd"/>
      <w:r>
        <w:rPr>
          <w:rFonts w:ascii="Arial" w:eastAsia="Arial" w:hAnsi="Arial" w:cs="Arial"/>
        </w:rPr>
        <w:t xml:space="preserve"> are often "capped" with biological molecules (like proteins from the </w:t>
      </w:r>
      <w:r>
        <w:rPr>
          <w:rFonts w:ascii="Arial" w:eastAsia="Arial" w:hAnsi="Arial" w:cs="Arial"/>
          <w:i/>
        </w:rPr>
        <w:t>P. aeruginosa</w:t>
      </w:r>
      <w:r>
        <w:rPr>
          <w:rFonts w:ascii="Arial" w:eastAsia="Arial" w:hAnsi="Arial" w:cs="Arial"/>
        </w:rPr>
        <w:t xml:space="preserve"> synthesis), which can e</w:t>
      </w:r>
      <w:r>
        <w:rPr>
          <w:rFonts w:ascii="Arial" w:eastAsia="Arial" w:hAnsi="Arial" w:cs="Arial"/>
        </w:rPr>
        <w:t xml:space="preserve">nhance their stability and </w:t>
      </w:r>
      <w:r>
        <w:rPr>
          <w:rFonts w:ascii="Arial" w:eastAsia="Arial" w:hAnsi="Arial" w:cs="Arial"/>
        </w:rPr>
        <w:lastRenderedPageBreak/>
        <w:t>interaction with the biofilm surface, leading to the high inhibition rates observed (Wadhwani et al., 2016).</w:t>
      </w:r>
    </w:p>
    <w:p w:rsidR="00DB2C9C" w:rsidRDefault="00E66DED">
      <w:pPr>
        <w:rPr>
          <w:rFonts w:ascii="Arial" w:eastAsia="Arial" w:hAnsi="Arial" w:cs="Arial"/>
        </w:rPr>
      </w:pPr>
      <w:r>
        <w:pict>
          <v:rect id="_x0000_i1029" style="width:0;height:1.5pt" o:hralign="center" o:hrstd="t" o:hr="t" fillcolor="#a0a0a0" stroked="f"/>
        </w:pict>
      </w:r>
    </w:p>
    <w:p w:rsidR="00DB2C9C"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32" w:name="_wfzkmug69io4" w:colFirst="0" w:colLast="0"/>
      <w:bookmarkEnd w:id="32"/>
      <w:r>
        <w:rPr>
          <w:rFonts w:ascii="Arial" w:eastAsia="Arial" w:hAnsi="Arial" w:cs="Arial"/>
          <w:sz w:val="34"/>
          <w:szCs w:val="34"/>
        </w:rPr>
        <w:t>Conclusions</w:t>
      </w:r>
    </w:p>
    <w:p w:rsidR="00DB2C9C" w:rsidRDefault="00E66DED">
      <w:pPr>
        <w:spacing w:before="0" w:after="240" w:line="276" w:lineRule="auto"/>
        <w:ind w:firstLine="0"/>
        <w:rPr>
          <w:rFonts w:ascii="Arial" w:eastAsia="Arial" w:hAnsi="Arial" w:cs="Arial"/>
        </w:rPr>
      </w:pPr>
      <w:r>
        <w:rPr>
          <w:rFonts w:ascii="Arial" w:eastAsia="Arial" w:hAnsi="Arial" w:cs="Arial"/>
        </w:rPr>
        <w:t xml:space="preserve">The pathogenic bacteria </w:t>
      </w:r>
      <w:r>
        <w:rPr>
          <w:rFonts w:ascii="Arial" w:eastAsia="Arial" w:hAnsi="Arial" w:cs="Arial"/>
          <w:i/>
        </w:rPr>
        <w:t>B. cereus</w:t>
      </w:r>
      <w:r>
        <w:rPr>
          <w:rFonts w:ascii="Arial" w:eastAsia="Arial" w:hAnsi="Arial" w:cs="Arial"/>
        </w:rPr>
        <w:t xml:space="preserve">, </w:t>
      </w:r>
      <w:proofErr w:type="spellStart"/>
      <w:r>
        <w:rPr>
          <w:rFonts w:ascii="Arial" w:eastAsia="Arial" w:hAnsi="Arial" w:cs="Arial"/>
          <w:i/>
        </w:rPr>
        <w:t>Staphylococcus.spp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the fungus </w:t>
      </w:r>
      <w:r>
        <w:rPr>
          <w:rFonts w:ascii="Arial" w:eastAsia="Arial" w:hAnsi="Arial" w:cs="Arial"/>
          <w:i/>
        </w:rPr>
        <w:t>C. albicans</w:t>
      </w:r>
      <w:r>
        <w:rPr>
          <w:rFonts w:ascii="Arial" w:eastAsia="Arial" w:hAnsi="Arial" w:cs="Arial"/>
        </w:rPr>
        <w:t xml:space="preserve"> were successful</w:t>
      </w:r>
      <w:r>
        <w:rPr>
          <w:rFonts w:ascii="Arial" w:eastAsia="Arial" w:hAnsi="Arial" w:cs="Arial"/>
        </w:rPr>
        <w:t xml:space="preserve">ly isolated from patient wounds. Selenium nanoparticles biosynthesized by </w:t>
      </w:r>
      <w:r>
        <w:rPr>
          <w:rFonts w:ascii="Arial" w:eastAsia="Arial" w:hAnsi="Arial" w:cs="Arial"/>
          <w:i/>
        </w:rPr>
        <w:t>P. aeruginosa</w:t>
      </w:r>
      <w:r>
        <w:rPr>
          <w:rFonts w:ascii="Arial" w:eastAsia="Arial" w:hAnsi="Arial" w:cs="Arial"/>
        </w:rPr>
        <w:t xml:space="preserve"> demonstrated potent, broad-spectrum, and dose-dependent anti-biofilm activity against all tested pathogens, making them a promising candidate for future anti-infective </w:t>
      </w:r>
      <w:r>
        <w:rPr>
          <w:rFonts w:ascii="Arial" w:eastAsia="Arial" w:hAnsi="Arial" w:cs="Arial"/>
        </w:rPr>
        <w:t>therapies.</w:t>
      </w:r>
    </w:p>
    <w:p w:rsidR="00DB2C9C" w:rsidRDefault="00DB2C9C">
      <w:pPr>
        <w:spacing w:before="0" w:after="240" w:line="276" w:lineRule="auto"/>
        <w:ind w:firstLine="0"/>
        <w:rPr>
          <w:rFonts w:ascii="Arial" w:eastAsia="Arial" w:hAnsi="Arial" w:cs="Arial"/>
        </w:rPr>
      </w:pPr>
    </w:p>
    <w:p w:rsidR="00DB2C9C" w:rsidRDefault="00DB2C9C">
      <w:pPr>
        <w:spacing w:before="0" w:after="240" w:line="276" w:lineRule="auto"/>
        <w:ind w:firstLine="0"/>
        <w:rPr>
          <w:rFonts w:ascii="Arial" w:eastAsia="Arial" w:hAnsi="Arial" w:cs="Arial"/>
        </w:rPr>
      </w:pPr>
    </w:p>
    <w:p w:rsidR="00A27EE9" w:rsidRDefault="00A27EE9" w:rsidP="00A27EE9">
      <w:r>
        <w:t>Disclaimer (Artificial intelligence)</w:t>
      </w:r>
    </w:p>
    <w:p w:rsidR="00DB2C9C" w:rsidRDefault="00DB2C9C">
      <w:pPr>
        <w:spacing w:before="0" w:after="240" w:line="276" w:lineRule="auto"/>
        <w:ind w:firstLine="0"/>
        <w:rPr>
          <w:rFonts w:ascii="Arial" w:eastAsia="Arial" w:hAnsi="Arial" w:cs="Arial"/>
        </w:rPr>
      </w:pPr>
      <w:bookmarkStart w:id="33" w:name="_GoBack"/>
      <w:bookmarkEnd w:id="33"/>
    </w:p>
    <w:p w:rsidR="00DB2C9C" w:rsidRDefault="00E66DED">
      <w:pPr>
        <w:rPr>
          <w:rFonts w:ascii="Calibri" w:eastAsia="Calibri" w:hAnsi="Calibri" w:cs="Calibri"/>
          <w:highlight w:val="yellow"/>
        </w:rPr>
      </w:pPr>
      <w:r>
        <w:rPr>
          <w:rFonts w:ascii="Calibri" w:eastAsia="Calibri" w:hAnsi="Calibri" w:cs="Calibri"/>
          <w:highlight w:val="yellow"/>
        </w:rPr>
        <w:t>Author(s) hereby declare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DB2C9C" w:rsidRDefault="00DB2C9C">
      <w:pPr>
        <w:rPr>
          <w:rFonts w:ascii="Calibri" w:eastAsia="Calibri" w:hAnsi="Calibri" w:cs="Calibri"/>
          <w:highlight w:val="yellow"/>
        </w:rPr>
      </w:pPr>
    </w:p>
    <w:p w:rsidR="00DB2C9C" w:rsidRDefault="00DB2C9C">
      <w:pPr>
        <w:spacing w:before="0" w:after="240" w:line="276" w:lineRule="auto"/>
        <w:ind w:firstLine="0"/>
        <w:rPr>
          <w:rFonts w:ascii="Arial" w:eastAsia="Arial" w:hAnsi="Arial" w:cs="Arial"/>
        </w:rPr>
      </w:pPr>
      <w:bookmarkStart w:id="34" w:name="_rycqvwz4rit" w:colFirst="0" w:colLast="0"/>
      <w:bookmarkEnd w:id="34"/>
    </w:p>
    <w:p w:rsidR="00DB2C9C" w:rsidRDefault="00E66DED">
      <w:pPr>
        <w:rPr>
          <w:rFonts w:ascii="Arial" w:eastAsia="Arial" w:hAnsi="Arial" w:cs="Arial"/>
        </w:rPr>
      </w:pPr>
      <w:r>
        <w:pict>
          <v:rect id="_x0000_i1030" style="width:0;height:1.5pt" o:hralign="center" o:hrstd="t" o:hr="t" fillcolor="#a0a0a0" stroked="f"/>
        </w:pict>
      </w:r>
    </w:p>
    <w:p w:rsidR="00DB2C9C" w:rsidRDefault="00E66DED">
      <w:pPr>
        <w:pStyle w:val="Heading2"/>
        <w:keepNext w:val="0"/>
        <w:keepLines w:val="0"/>
        <w:shd w:val="clear" w:color="auto" w:fill="FFFFFF"/>
        <w:spacing w:before="0" w:after="80"/>
        <w:ind w:right="0" w:firstLine="708"/>
        <w:jc w:val="both"/>
        <w:rPr>
          <w:rFonts w:ascii="Arial" w:eastAsia="Arial" w:hAnsi="Arial" w:cs="Arial"/>
          <w:sz w:val="34"/>
          <w:szCs w:val="34"/>
        </w:rPr>
      </w:pPr>
      <w:bookmarkStart w:id="35" w:name="_hzf0d48p1xcx" w:colFirst="0" w:colLast="0"/>
      <w:bookmarkEnd w:id="35"/>
      <w:r>
        <w:rPr>
          <w:rFonts w:ascii="Arial" w:eastAsia="Arial" w:hAnsi="Arial" w:cs="Arial"/>
          <w:sz w:val="34"/>
          <w:szCs w:val="34"/>
        </w:rPr>
        <w:t>References</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Aslam, B., Wang, W., Arshad, M.I., Khurshid, M., Muzammil, S., Rasool, M.H., Nisar, M.A., </w:t>
      </w:r>
      <w:proofErr w:type="spellStart"/>
      <w:r>
        <w:rPr>
          <w:rFonts w:ascii="Arial" w:eastAsia="Arial" w:hAnsi="Arial" w:cs="Arial"/>
          <w:color w:val="000000"/>
          <w:sz w:val="22"/>
          <w:szCs w:val="22"/>
        </w:rPr>
        <w:t>Alvi</w:t>
      </w:r>
      <w:proofErr w:type="spellEnd"/>
      <w:r>
        <w:rPr>
          <w:rFonts w:ascii="Arial" w:eastAsia="Arial" w:hAnsi="Arial" w:cs="Arial"/>
          <w:color w:val="000000"/>
          <w:sz w:val="22"/>
          <w:szCs w:val="22"/>
        </w:rPr>
        <w:t xml:space="preserve">, R.F., Aslam, M.A., Qamar, M.U., Salamat, M.K.F., and Baloch, Z. (2018). Antibiotic resistance: a rundown of a global crisis. </w:t>
      </w:r>
      <w:r>
        <w:rPr>
          <w:rFonts w:ascii="Arial" w:eastAsia="Arial" w:hAnsi="Arial" w:cs="Arial"/>
          <w:i/>
          <w:color w:val="000000"/>
          <w:sz w:val="22"/>
          <w:szCs w:val="22"/>
        </w:rPr>
        <w:t>Infection and drug resistance</w:t>
      </w:r>
      <w:r>
        <w:rPr>
          <w:rFonts w:ascii="Arial" w:eastAsia="Arial" w:hAnsi="Arial" w:cs="Arial"/>
          <w:color w:val="000000"/>
          <w:sz w:val="22"/>
          <w:szCs w:val="22"/>
        </w:rPr>
        <w:t xml:space="preserve">, 11, </w:t>
      </w:r>
      <w:r>
        <w:rPr>
          <w:rFonts w:ascii="Arial" w:eastAsia="Arial" w:hAnsi="Arial" w:cs="Arial"/>
          <w:color w:val="000000"/>
          <w:sz w:val="22"/>
          <w:szCs w:val="22"/>
        </w:rPr>
        <w:t>1645–1658.</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Ayatollahi</w:t>
      </w:r>
      <w:proofErr w:type="spellEnd"/>
      <w:r>
        <w:rPr>
          <w:rFonts w:ascii="Arial" w:eastAsia="Arial" w:hAnsi="Arial" w:cs="Arial"/>
          <w:color w:val="000000"/>
          <w:sz w:val="22"/>
          <w:szCs w:val="22"/>
        </w:rPr>
        <w:t>, J., et al. (2017). (Citation from source text)</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Barapatre</w:t>
      </w:r>
      <w:proofErr w:type="spellEnd"/>
      <w:r>
        <w:rPr>
          <w:rFonts w:ascii="Arial" w:eastAsia="Arial" w:hAnsi="Arial" w:cs="Arial"/>
          <w:color w:val="000000"/>
          <w:sz w:val="22"/>
          <w:szCs w:val="22"/>
        </w:rPr>
        <w:t xml:space="preserve">, A., </w:t>
      </w:r>
      <w:proofErr w:type="spellStart"/>
      <w:r>
        <w:rPr>
          <w:rFonts w:ascii="Arial" w:eastAsia="Arial" w:hAnsi="Arial" w:cs="Arial"/>
          <w:color w:val="000000"/>
          <w:sz w:val="22"/>
          <w:szCs w:val="22"/>
        </w:rPr>
        <w:t>Aadil</w:t>
      </w:r>
      <w:proofErr w:type="spellEnd"/>
      <w:r>
        <w:rPr>
          <w:rFonts w:ascii="Arial" w:eastAsia="Arial" w:hAnsi="Arial" w:cs="Arial"/>
          <w:color w:val="000000"/>
          <w:sz w:val="22"/>
          <w:szCs w:val="22"/>
        </w:rPr>
        <w:t xml:space="preserve">, K.R., and Jha, H. (2016). Synergistic antimicrobial and antibiofilm activity of silver nanoparticles biosynthesized by </w:t>
      </w:r>
      <w:r>
        <w:rPr>
          <w:rFonts w:ascii="Arial" w:eastAsia="Arial" w:hAnsi="Arial" w:cs="Arial"/>
          <w:i/>
          <w:color w:val="000000"/>
          <w:sz w:val="22"/>
          <w:szCs w:val="22"/>
        </w:rPr>
        <w:t xml:space="preserve">Acinetobacter </w:t>
      </w:r>
      <w:proofErr w:type="spellStart"/>
      <w:r>
        <w:rPr>
          <w:rFonts w:ascii="Arial" w:eastAsia="Arial" w:hAnsi="Arial" w:cs="Arial"/>
          <w:i/>
          <w:color w:val="000000"/>
          <w:sz w:val="22"/>
          <w:szCs w:val="22"/>
        </w:rPr>
        <w:t>calcoaceticus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Bioresource an</w:t>
      </w:r>
      <w:r>
        <w:rPr>
          <w:rFonts w:ascii="Arial" w:eastAsia="Arial" w:hAnsi="Arial" w:cs="Arial"/>
          <w:i/>
          <w:color w:val="000000"/>
          <w:sz w:val="22"/>
          <w:szCs w:val="22"/>
        </w:rPr>
        <w:t>d Bioprocessing</w:t>
      </w:r>
      <w:r>
        <w:rPr>
          <w:rFonts w:ascii="Arial" w:eastAsia="Arial" w:hAnsi="Arial" w:cs="Arial"/>
          <w:color w:val="000000"/>
          <w:sz w:val="22"/>
          <w:szCs w:val="22"/>
        </w:rPr>
        <w:t>, 3(1).</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Burrell, R.E., et al. (2017). (Citation from source text)</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Cheung, G.Y.C., Bae, J.S., and Otto, M. (2021). Pathogenicity and virulence of Staphylococcus aureus. </w:t>
      </w:r>
      <w:r>
        <w:rPr>
          <w:rFonts w:ascii="Arial" w:eastAsia="Arial" w:hAnsi="Arial" w:cs="Arial"/>
          <w:i/>
          <w:color w:val="000000"/>
          <w:sz w:val="22"/>
          <w:szCs w:val="22"/>
        </w:rPr>
        <w:t>Virulence</w:t>
      </w:r>
      <w:r>
        <w:rPr>
          <w:rFonts w:ascii="Arial" w:eastAsia="Arial" w:hAnsi="Arial" w:cs="Arial"/>
          <w:color w:val="000000"/>
          <w:sz w:val="22"/>
          <w:szCs w:val="22"/>
        </w:rPr>
        <w:t>, 12(1), 547–569.</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Dadgostar</w:t>
      </w:r>
      <w:proofErr w:type="spellEnd"/>
      <w:r>
        <w:rPr>
          <w:rFonts w:ascii="Arial" w:eastAsia="Arial" w:hAnsi="Arial" w:cs="Arial"/>
          <w:color w:val="000000"/>
          <w:sz w:val="22"/>
          <w:szCs w:val="22"/>
        </w:rPr>
        <w:t>, P. (2019). Antimicrobial Resista</w:t>
      </w:r>
      <w:r>
        <w:rPr>
          <w:rFonts w:ascii="Arial" w:eastAsia="Arial" w:hAnsi="Arial" w:cs="Arial"/>
          <w:color w:val="000000"/>
          <w:sz w:val="22"/>
          <w:szCs w:val="22"/>
        </w:rPr>
        <w:t xml:space="preserve">nce: Implications and Costs. </w:t>
      </w:r>
      <w:r>
        <w:rPr>
          <w:rFonts w:ascii="Arial" w:eastAsia="Arial" w:hAnsi="Arial" w:cs="Arial"/>
          <w:i/>
          <w:color w:val="000000"/>
          <w:sz w:val="22"/>
          <w:szCs w:val="22"/>
        </w:rPr>
        <w:t>Infection and drug resistance</w:t>
      </w:r>
      <w:r>
        <w:rPr>
          <w:rFonts w:ascii="Arial" w:eastAsia="Arial" w:hAnsi="Arial" w:cs="Arial"/>
          <w:color w:val="000000"/>
          <w:sz w:val="22"/>
          <w:szCs w:val="22"/>
        </w:rPr>
        <w:t>, 12, 3903–3910.</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van </w:t>
      </w:r>
      <w:proofErr w:type="spellStart"/>
      <w:r>
        <w:rPr>
          <w:rFonts w:ascii="Arial" w:eastAsia="Arial" w:hAnsi="Arial" w:cs="Arial"/>
          <w:color w:val="000000"/>
          <w:sz w:val="22"/>
          <w:szCs w:val="22"/>
        </w:rPr>
        <w:t>Duin</w:t>
      </w:r>
      <w:proofErr w:type="spellEnd"/>
      <w:r>
        <w:rPr>
          <w:rFonts w:ascii="Arial" w:eastAsia="Arial" w:hAnsi="Arial" w:cs="Arial"/>
          <w:color w:val="000000"/>
          <w:sz w:val="22"/>
          <w:szCs w:val="22"/>
        </w:rPr>
        <w:t xml:space="preserve">, D. and Paterson, D.L. (2020). Multidrug-Resistant Bacteria in the Community: An Update. </w:t>
      </w:r>
      <w:r>
        <w:rPr>
          <w:rFonts w:ascii="Arial" w:eastAsia="Arial" w:hAnsi="Arial" w:cs="Arial"/>
          <w:i/>
          <w:color w:val="000000"/>
          <w:sz w:val="22"/>
          <w:szCs w:val="22"/>
        </w:rPr>
        <w:t>Infectious disease clinics of North America</w:t>
      </w:r>
      <w:r>
        <w:rPr>
          <w:rFonts w:ascii="Arial" w:eastAsia="Arial" w:hAnsi="Arial" w:cs="Arial"/>
          <w:color w:val="000000"/>
          <w:sz w:val="22"/>
          <w:szCs w:val="22"/>
        </w:rPr>
        <w:t>, 34(4), 709–722.</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Ehling</w:t>
      </w:r>
      <w:proofErr w:type="spellEnd"/>
      <w:r>
        <w:rPr>
          <w:rFonts w:ascii="Arial" w:eastAsia="Arial" w:hAnsi="Arial" w:cs="Arial"/>
          <w:color w:val="000000"/>
          <w:sz w:val="22"/>
          <w:szCs w:val="22"/>
        </w:rPr>
        <w:t xml:space="preserve">-Schulz, M., </w:t>
      </w:r>
      <w:proofErr w:type="spellStart"/>
      <w:r>
        <w:rPr>
          <w:rFonts w:ascii="Arial" w:eastAsia="Arial" w:hAnsi="Arial" w:cs="Arial"/>
          <w:color w:val="000000"/>
          <w:sz w:val="22"/>
          <w:szCs w:val="22"/>
        </w:rPr>
        <w:t>L</w:t>
      </w:r>
      <w:r>
        <w:rPr>
          <w:rFonts w:ascii="Arial" w:eastAsia="Arial" w:hAnsi="Arial" w:cs="Arial"/>
          <w:color w:val="000000"/>
          <w:sz w:val="22"/>
          <w:szCs w:val="22"/>
        </w:rPr>
        <w:t>ereclus</w:t>
      </w:r>
      <w:proofErr w:type="spellEnd"/>
      <w:r>
        <w:rPr>
          <w:rFonts w:ascii="Arial" w:eastAsia="Arial" w:hAnsi="Arial" w:cs="Arial"/>
          <w:color w:val="000000"/>
          <w:sz w:val="22"/>
          <w:szCs w:val="22"/>
        </w:rPr>
        <w:t xml:space="preserve">, D., and Koehler, T.M. (2019). The Bacillus cereus Group: Bacillus Species with Pathogenic Potential. </w:t>
      </w:r>
      <w:r>
        <w:rPr>
          <w:rFonts w:ascii="Arial" w:eastAsia="Arial" w:hAnsi="Arial" w:cs="Arial"/>
          <w:i/>
          <w:color w:val="000000"/>
          <w:sz w:val="22"/>
          <w:szCs w:val="22"/>
        </w:rPr>
        <w:t>Microbiology spectrum</w:t>
      </w:r>
      <w:r>
        <w:rPr>
          <w:rFonts w:ascii="Arial" w:eastAsia="Arial" w:hAnsi="Arial" w:cs="Arial"/>
          <w:color w:val="000000"/>
          <w:sz w:val="22"/>
          <w:szCs w:val="22"/>
        </w:rPr>
        <w:t>, 7(3).</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Harper, C., et al. (2020). (Citation from source text)</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Miglani</w:t>
      </w:r>
      <w:proofErr w:type="spellEnd"/>
      <w:r>
        <w:rPr>
          <w:rFonts w:ascii="Arial" w:eastAsia="Arial" w:hAnsi="Arial" w:cs="Arial"/>
          <w:color w:val="000000"/>
          <w:sz w:val="22"/>
          <w:szCs w:val="22"/>
        </w:rPr>
        <w:t xml:space="preserve">, S. and </w:t>
      </w:r>
      <w:proofErr w:type="spellStart"/>
      <w:r>
        <w:rPr>
          <w:rFonts w:ascii="Arial" w:eastAsia="Arial" w:hAnsi="Arial" w:cs="Arial"/>
          <w:color w:val="000000"/>
          <w:sz w:val="22"/>
          <w:szCs w:val="22"/>
        </w:rPr>
        <w:t>Tani</w:t>
      </w:r>
      <w:proofErr w:type="spellEnd"/>
      <w:r>
        <w:rPr>
          <w:rFonts w:ascii="Arial" w:eastAsia="Arial" w:hAnsi="Arial" w:cs="Arial"/>
          <w:color w:val="000000"/>
          <w:sz w:val="22"/>
          <w:szCs w:val="22"/>
        </w:rPr>
        <w:t>-Ishii, N. (2021). Biosynthesized seleni</w:t>
      </w:r>
      <w:r>
        <w:rPr>
          <w:rFonts w:ascii="Arial" w:eastAsia="Arial" w:hAnsi="Arial" w:cs="Arial"/>
          <w:color w:val="000000"/>
          <w:sz w:val="22"/>
          <w:szCs w:val="22"/>
        </w:rPr>
        <w:t xml:space="preserve">um nanoparticles: characterization, antimicrobial, and antibiofilm activity against Enterococcus faecalis. </w:t>
      </w:r>
      <w:proofErr w:type="spellStart"/>
      <w:r>
        <w:rPr>
          <w:rFonts w:ascii="Arial" w:eastAsia="Arial" w:hAnsi="Arial" w:cs="Arial"/>
          <w:i/>
          <w:color w:val="000000"/>
          <w:sz w:val="22"/>
          <w:szCs w:val="22"/>
        </w:rPr>
        <w:t>PeerJ</w:t>
      </w:r>
      <w:proofErr w:type="spellEnd"/>
      <w:r>
        <w:rPr>
          <w:rFonts w:ascii="Arial" w:eastAsia="Arial" w:hAnsi="Arial" w:cs="Arial"/>
          <w:color w:val="000000"/>
          <w:sz w:val="22"/>
          <w:szCs w:val="22"/>
        </w:rPr>
        <w:t>, 9, e11653.</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Nassar, Z., et al. (2023). (Citation from source text)</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Qadhi, I.A. and Al-</w:t>
      </w:r>
      <w:proofErr w:type="spellStart"/>
      <w:r>
        <w:rPr>
          <w:rFonts w:ascii="Arial" w:eastAsia="Arial" w:hAnsi="Arial" w:cs="Arial"/>
          <w:color w:val="000000"/>
          <w:sz w:val="22"/>
          <w:szCs w:val="22"/>
        </w:rPr>
        <w:t>Shibly</w:t>
      </w:r>
      <w:proofErr w:type="spellEnd"/>
      <w:r>
        <w:rPr>
          <w:rFonts w:ascii="Arial" w:eastAsia="Arial" w:hAnsi="Arial" w:cs="Arial"/>
          <w:color w:val="000000"/>
          <w:sz w:val="22"/>
          <w:szCs w:val="22"/>
        </w:rPr>
        <w:t xml:space="preserve">, M.K. (2023). Biosynthesis of selenium nanoparticles by Candida albicans and them antimicrobial effects. </w:t>
      </w:r>
      <w:r>
        <w:rPr>
          <w:rFonts w:ascii="Arial" w:eastAsia="Arial" w:hAnsi="Arial" w:cs="Arial"/>
          <w:i/>
          <w:color w:val="000000"/>
          <w:sz w:val="22"/>
          <w:szCs w:val="22"/>
        </w:rPr>
        <w:t>Journal of Population Therapeutics and Clinical Pharmacology</w:t>
      </w:r>
      <w:r>
        <w:rPr>
          <w:rFonts w:ascii="Arial" w:eastAsia="Arial" w:hAnsi="Arial" w:cs="Arial"/>
          <w:color w:val="000000"/>
          <w:sz w:val="22"/>
          <w:szCs w:val="22"/>
        </w:rPr>
        <w:t>, 30(7), 360–378.</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Riahi</w:t>
      </w:r>
      <w:proofErr w:type="spellEnd"/>
      <w:r>
        <w:rPr>
          <w:rFonts w:ascii="Arial" w:eastAsia="Arial" w:hAnsi="Arial" w:cs="Arial"/>
          <w:color w:val="000000"/>
          <w:sz w:val="22"/>
          <w:szCs w:val="22"/>
        </w:rPr>
        <w:t xml:space="preserve">, G., </w:t>
      </w:r>
      <w:proofErr w:type="spellStart"/>
      <w:r>
        <w:rPr>
          <w:rFonts w:ascii="Arial" w:eastAsia="Arial" w:hAnsi="Arial" w:cs="Arial"/>
          <w:color w:val="000000"/>
          <w:sz w:val="22"/>
          <w:szCs w:val="22"/>
        </w:rPr>
        <w:t>Koohsari</w:t>
      </w:r>
      <w:proofErr w:type="spellEnd"/>
      <w:r>
        <w:rPr>
          <w:rFonts w:ascii="Arial" w:eastAsia="Arial" w:hAnsi="Arial" w:cs="Arial"/>
          <w:color w:val="000000"/>
          <w:sz w:val="22"/>
          <w:szCs w:val="22"/>
        </w:rPr>
        <w:t>, E., and Hosseini, S.S. (2</w:t>
      </w:r>
      <w:r>
        <w:rPr>
          <w:rFonts w:ascii="Arial" w:eastAsia="Arial" w:hAnsi="Arial" w:cs="Arial"/>
          <w:color w:val="000000"/>
          <w:sz w:val="22"/>
          <w:szCs w:val="22"/>
        </w:rPr>
        <w:t xml:space="preserve">023). Fungal and bacterial co-infection in the superficial and deep sternal wound after open cardiac surgery. </w:t>
      </w:r>
      <w:r>
        <w:rPr>
          <w:rFonts w:ascii="Arial" w:eastAsia="Arial" w:hAnsi="Arial" w:cs="Arial"/>
          <w:i/>
          <w:color w:val="000000"/>
          <w:sz w:val="22"/>
          <w:szCs w:val="22"/>
        </w:rPr>
        <w:t>Iranian journal of microbiology</w:t>
      </w:r>
      <w:r>
        <w:rPr>
          <w:rFonts w:ascii="Arial" w:eastAsia="Arial" w:hAnsi="Arial" w:cs="Arial"/>
          <w:color w:val="000000"/>
          <w:sz w:val="22"/>
          <w:szCs w:val="22"/>
        </w:rPr>
        <w:t>, 15(3), 392–400.</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Salem, S.S., </w:t>
      </w:r>
      <w:proofErr w:type="spellStart"/>
      <w:r>
        <w:rPr>
          <w:rFonts w:ascii="Arial" w:eastAsia="Arial" w:hAnsi="Arial" w:cs="Arial"/>
          <w:color w:val="000000"/>
          <w:sz w:val="22"/>
          <w:szCs w:val="22"/>
        </w:rPr>
        <w:t>Badawy</w:t>
      </w:r>
      <w:proofErr w:type="spellEnd"/>
      <w:r>
        <w:rPr>
          <w:rFonts w:ascii="Arial" w:eastAsia="Arial" w:hAnsi="Arial" w:cs="Arial"/>
          <w:color w:val="000000"/>
          <w:sz w:val="22"/>
          <w:szCs w:val="22"/>
        </w:rPr>
        <w:t xml:space="preserve">, M.S.E.M., Al-Askar, A.A., </w:t>
      </w:r>
      <w:proofErr w:type="spellStart"/>
      <w:r>
        <w:rPr>
          <w:rFonts w:ascii="Arial" w:eastAsia="Arial" w:hAnsi="Arial" w:cs="Arial"/>
          <w:color w:val="000000"/>
          <w:sz w:val="22"/>
          <w:szCs w:val="22"/>
        </w:rPr>
        <w:t>Arishi</w:t>
      </w:r>
      <w:proofErr w:type="spellEnd"/>
      <w:r>
        <w:rPr>
          <w:rFonts w:ascii="Arial" w:eastAsia="Arial" w:hAnsi="Arial" w:cs="Arial"/>
          <w:color w:val="000000"/>
          <w:sz w:val="22"/>
          <w:szCs w:val="22"/>
        </w:rPr>
        <w:t xml:space="preserve">, A.A., </w:t>
      </w:r>
      <w:proofErr w:type="spellStart"/>
      <w:r>
        <w:rPr>
          <w:rFonts w:ascii="Arial" w:eastAsia="Arial" w:hAnsi="Arial" w:cs="Arial"/>
          <w:color w:val="000000"/>
          <w:sz w:val="22"/>
          <w:szCs w:val="22"/>
        </w:rPr>
        <w:t>Elkady</w:t>
      </w:r>
      <w:proofErr w:type="spellEnd"/>
      <w:r>
        <w:rPr>
          <w:rFonts w:ascii="Arial" w:eastAsia="Arial" w:hAnsi="Arial" w:cs="Arial"/>
          <w:color w:val="000000"/>
          <w:sz w:val="22"/>
          <w:szCs w:val="22"/>
        </w:rPr>
        <w:t>, F.M., and Hashem, A.H. (202</w:t>
      </w:r>
      <w:r>
        <w:rPr>
          <w:rFonts w:ascii="Arial" w:eastAsia="Arial" w:hAnsi="Arial" w:cs="Arial"/>
          <w:color w:val="000000"/>
          <w:sz w:val="22"/>
          <w:szCs w:val="22"/>
        </w:rPr>
        <w:t xml:space="preserve">2). Green Biosynthesis of Selenium Nanoparticles Using Orange Peel Waste: Characterization, Antibacterial and Antibiofilm Activities against Multidrug-Resistant Bacteria. </w:t>
      </w:r>
      <w:r>
        <w:rPr>
          <w:rFonts w:ascii="Arial" w:eastAsia="Arial" w:hAnsi="Arial" w:cs="Arial"/>
          <w:i/>
          <w:color w:val="000000"/>
          <w:sz w:val="22"/>
          <w:szCs w:val="22"/>
        </w:rPr>
        <w:t>Life</w:t>
      </w:r>
      <w:r>
        <w:rPr>
          <w:rFonts w:ascii="Arial" w:eastAsia="Arial" w:hAnsi="Arial" w:cs="Arial"/>
          <w:color w:val="000000"/>
          <w:sz w:val="22"/>
          <w:szCs w:val="22"/>
        </w:rPr>
        <w:t>, 12(6).</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Shaikh, S., </w:t>
      </w:r>
      <w:proofErr w:type="spellStart"/>
      <w:r>
        <w:rPr>
          <w:rFonts w:ascii="Arial" w:eastAsia="Arial" w:hAnsi="Arial" w:cs="Arial"/>
          <w:color w:val="000000"/>
          <w:sz w:val="22"/>
          <w:szCs w:val="22"/>
        </w:rPr>
        <w:t>Nazam</w:t>
      </w:r>
      <w:proofErr w:type="spellEnd"/>
      <w:r>
        <w:rPr>
          <w:rFonts w:ascii="Arial" w:eastAsia="Arial" w:hAnsi="Arial" w:cs="Arial"/>
          <w:color w:val="000000"/>
          <w:sz w:val="22"/>
          <w:szCs w:val="22"/>
        </w:rPr>
        <w:t xml:space="preserve">, N., Rizvi, S.M.D., Ahmad, K., </w:t>
      </w:r>
      <w:proofErr w:type="spellStart"/>
      <w:r>
        <w:rPr>
          <w:rFonts w:ascii="Arial" w:eastAsia="Arial" w:hAnsi="Arial" w:cs="Arial"/>
          <w:color w:val="000000"/>
          <w:sz w:val="22"/>
          <w:szCs w:val="22"/>
        </w:rPr>
        <w:t>Baig</w:t>
      </w:r>
      <w:proofErr w:type="spellEnd"/>
      <w:r>
        <w:rPr>
          <w:rFonts w:ascii="Arial" w:eastAsia="Arial" w:hAnsi="Arial" w:cs="Arial"/>
          <w:color w:val="000000"/>
          <w:sz w:val="22"/>
          <w:szCs w:val="22"/>
        </w:rPr>
        <w:t>, M.H., Lee, E.J.,</w:t>
      </w:r>
      <w:r>
        <w:rPr>
          <w:rFonts w:ascii="Arial" w:eastAsia="Arial" w:hAnsi="Arial" w:cs="Arial"/>
          <w:color w:val="000000"/>
          <w:sz w:val="22"/>
          <w:szCs w:val="22"/>
        </w:rPr>
        <w:t xml:space="preserve"> and Choi, I. (2019). Mechanistic Insights into the Antimicrobial Actions of Metallic Nanoparticles and Their Applications for Multidrug Resistance. </w:t>
      </w:r>
      <w:r>
        <w:rPr>
          <w:rFonts w:ascii="Arial" w:eastAsia="Arial" w:hAnsi="Arial" w:cs="Arial"/>
          <w:i/>
          <w:color w:val="000000"/>
          <w:sz w:val="22"/>
          <w:szCs w:val="22"/>
        </w:rPr>
        <w:t>International journal of molecular sciences</w:t>
      </w:r>
      <w:r>
        <w:rPr>
          <w:rFonts w:ascii="Arial" w:eastAsia="Arial" w:hAnsi="Arial" w:cs="Arial"/>
          <w:color w:val="000000"/>
          <w:sz w:val="22"/>
          <w:szCs w:val="22"/>
        </w:rPr>
        <w:t>, 20(10).</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Talapko</w:t>
      </w:r>
      <w:proofErr w:type="spellEnd"/>
      <w:r>
        <w:rPr>
          <w:rFonts w:ascii="Arial" w:eastAsia="Arial" w:hAnsi="Arial" w:cs="Arial"/>
          <w:color w:val="000000"/>
          <w:sz w:val="22"/>
          <w:szCs w:val="22"/>
        </w:rPr>
        <w:t xml:space="preserve">, J., </w:t>
      </w:r>
      <w:proofErr w:type="spellStart"/>
      <w:r>
        <w:rPr>
          <w:rFonts w:ascii="Arial" w:eastAsia="Arial" w:hAnsi="Arial" w:cs="Arial"/>
          <w:color w:val="000000"/>
          <w:sz w:val="22"/>
          <w:szCs w:val="22"/>
        </w:rPr>
        <w:t>Juzbašić</w:t>
      </w:r>
      <w:proofErr w:type="spellEnd"/>
      <w:r>
        <w:rPr>
          <w:rFonts w:ascii="Arial" w:eastAsia="Arial" w:hAnsi="Arial" w:cs="Arial"/>
          <w:color w:val="000000"/>
          <w:sz w:val="22"/>
          <w:szCs w:val="22"/>
        </w:rPr>
        <w:t xml:space="preserve">, M., </w:t>
      </w:r>
      <w:proofErr w:type="spellStart"/>
      <w:r>
        <w:rPr>
          <w:rFonts w:ascii="Arial" w:eastAsia="Arial" w:hAnsi="Arial" w:cs="Arial"/>
          <w:color w:val="000000"/>
          <w:sz w:val="22"/>
          <w:szCs w:val="22"/>
        </w:rPr>
        <w:t>Matijević</w:t>
      </w:r>
      <w:proofErr w:type="spellEnd"/>
      <w:r>
        <w:rPr>
          <w:rFonts w:ascii="Arial" w:eastAsia="Arial" w:hAnsi="Arial" w:cs="Arial"/>
          <w:color w:val="000000"/>
          <w:sz w:val="22"/>
          <w:szCs w:val="22"/>
        </w:rPr>
        <w:t xml:space="preserve">, T., </w:t>
      </w:r>
      <w:proofErr w:type="spellStart"/>
      <w:r>
        <w:rPr>
          <w:rFonts w:ascii="Arial" w:eastAsia="Arial" w:hAnsi="Arial" w:cs="Arial"/>
          <w:color w:val="000000"/>
          <w:sz w:val="22"/>
          <w:szCs w:val="22"/>
        </w:rPr>
        <w:t>Pustijanac</w:t>
      </w:r>
      <w:proofErr w:type="spellEnd"/>
      <w:r>
        <w:rPr>
          <w:rFonts w:ascii="Arial" w:eastAsia="Arial" w:hAnsi="Arial" w:cs="Arial"/>
          <w:color w:val="000000"/>
          <w:sz w:val="22"/>
          <w:szCs w:val="22"/>
        </w:rPr>
        <w:t>,</w:t>
      </w:r>
      <w:r>
        <w:rPr>
          <w:rFonts w:ascii="Arial" w:eastAsia="Arial" w:hAnsi="Arial" w:cs="Arial"/>
          <w:color w:val="000000"/>
          <w:sz w:val="22"/>
          <w:szCs w:val="22"/>
        </w:rPr>
        <w:t xml:space="preserve"> E., </w:t>
      </w:r>
      <w:proofErr w:type="spellStart"/>
      <w:r>
        <w:rPr>
          <w:rFonts w:ascii="Arial" w:eastAsia="Arial" w:hAnsi="Arial" w:cs="Arial"/>
          <w:color w:val="000000"/>
          <w:sz w:val="22"/>
          <w:szCs w:val="22"/>
        </w:rPr>
        <w:t>Bekić</w:t>
      </w:r>
      <w:proofErr w:type="spellEnd"/>
      <w:r>
        <w:rPr>
          <w:rFonts w:ascii="Arial" w:eastAsia="Arial" w:hAnsi="Arial" w:cs="Arial"/>
          <w:color w:val="000000"/>
          <w:sz w:val="22"/>
          <w:szCs w:val="22"/>
        </w:rPr>
        <w:t xml:space="preserve">, S., </w:t>
      </w:r>
      <w:proofErr w:type="spellStart"/>
      <w:r>
        <w:rPr>
          <w:rFonts w:ascii="Arial" w:eastAsia="Arial" w:hAnsi="Arial" w:cs="Arial"/>
          <w:color w:val="000000"/>
          <w:sz w:val="22"/>
          <w:szCs w:val="22"/>
        </w:rPr>
        <w:t>Kotris</w:t>
      </w:r>
      <w:proofErr w:type="spellEnd"/>
      <w:r>
        <w:rPr>
          <w:rFonts w:ascii="Arial" w:eastAsia="Arial" w:hAnsi="Arial" w:cs="Arial"/>
          <w:color w:val="000000"/>
          <w:sz w:val="22"/>
          <w:szCs w:val="22"/>
        </w:rPr>
        <w:t xml:space="preserve">, I., and </w:t>
      </w:r>
      <w:proofErr w:type="spellStart"/>
      <w:r>
        <w:rPr>
          <w:rFonts w:ascii="Arial" w:eastAsia="Arial" w:hAnsi="Arial" w:cs="Arial"/>
          <w:color w:val="000000"/>
          <w:sz w:val="22"/>
          <w:szCs w:val="22"/>
        </w:rPr>
        <w:t>Škrlec</w:t>
      </w:r>
      <w:proofErr w:type="spellEnd"/>
      <w:r>
        <w:rPr>
          <w:rFonts w:ascii="Arial" w:eastAsia="Arial" w:hAnsi="Arial" w:cs="Arial"/>
          <w:color w:val="000000"/>
          <w:sz w:val="22"/>
          <w:szCs w:val="22"/>
        </w:rPr>
        <w:t xml:space="preserve">, I. (2021). Candida albicans-The Virulence Factors and Clinical Manifestations of Infection. </w:t>
      </w:r>
      <w:r>
        <w:rPr>
          <w:rFonts w:ascii="Arial" w:eastAsia="Arial" w:hAnsi="Arial" w:cs="Arial"/>
          <w:i/>
          <w:color w:val="000000"/>
          <w:sz w:val="22"/>
          <w:szCs w:val="22"/>
        </w:rPr>
        <w:t>Journal of fungi (Basel, Switzerland)</w:t>
      </w:r>
      <w:r>
        <w:rPr>
          <w:rFonts w:ascii="Arial" w:eastAsia="Arial" w:hAnsi="Arial" w:cs="Arial"/>
          <w:color w:val="000000"/>
          <w:sz w:val="22"/>
          <w:szCs w:val="22"/>
        </w:rPr>
        <w:t>, 7(2).</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Ullah, A., Mirani, Z.A., </w:t>
      </w:r>
      <w:proofErr w:type="spellStart"/>
      <w:r>
        <w:rPr>
          <w:rFonts w:ascii="Arial" w:eastAsia="Arial" w:hAnsi="Arial" w:cs="Arial"/>
          <w:color w:val="000000"/>
          <w:sz w:val="22"/>
          <w:szCs w:val="22"/>
        </w:rPr>
        <w:t>Binbin</w:t>
      </w:r>
      <w:proofErr w:type="spellEnd"/>
      <w:r>
        <w:rPr>
          <w:rFonts w:ascii="Arial" w:eastAsia="Arial" w:hAnsi="Arial" w:cs="Arial"/>
          <w:color w:val="000000"/>
          <w:sz w:val="22"/>
          <w:szCs w:val="22"/>
        </w:rPr>
        <w:t xml:space="preserve">, S., Wang, F., Chan, M.W.H., Aslam, S., </w:t>
      </w:r>
      <w:proofErr w:type="spellStart"/>
      <w:r>
        <w:rPr>
          <w:rFonts w:ascii="Arial" w:eastAsia="Arial" w:hAnsi="Arial" w:cs="Arial"/>
          <w:color w:val="000000"/>
          <w:sz w:val="22"/>
          <w:szCs w:val="22"/>
        </w:rPr>
        <w:t>Yongho</w:t>
      </w:r>
      <w:r>
        <w:rPr>
          <w:rFonts w:ascii="Arial" w:eastAsia="Arial" w:hAnsi="Arial" w:cs="Arial"/>
          <w:color w:val="000000"/>
          <w:sz w:val="22"/>
          <w:szCs w:val="22"/>
        </w:rPr>
        <w:t>ng</w:t>
      </w:r>
      <w:proofErr w:type="spellEnd"/>
      <w:r>
        <w:rPr>
          <w:rFonts w:ascii="Arial" w:eastAsia="Arial" w:hAnsi="Arial" w:cs="Arial"/>
          <w:color w:val="000000"/>
          <w:sz w:val="22"/>
          <w:szCs w:val="22"/>
        </w:rPr>
        <w:t>, L., Hasan, N., Naveed, M., Hussain, S., and Khatoon, Z. (2023). An elucidative study of the anti-biofilm effect of selenium nanoparticles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on selected biofilm producing pathogenic bacteria: A disintegrating effect of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on bacteria. </w:t>
      </w:r>
      <w:r>
        <w:rPr>
          <w:rFonts w:ascii="Arial" w:eastAsia="Arial" w:hAnsi="Arial" w:cs="Arial"/>
          <w:i/>
          <w:color w:val="000000"/>
          <w:sz w:val="22"/>
          <w:szCs w:val="22"/>
        </w:rPr>
        <w:t>Process B</w:t>
      </w:r>
      <w:r>
        <w:rPr>
          <w:rFonts w:ascii="Arial" w:eastAsia="Arial" w:hAnsi="Arial" w:cs="Arial"/>
          <w:i/>
          <w:color w:val="000000"/>
          <w:sz w:val="22"/>
          <w:szCs w:val="22"/>
        </w:rPr>
        <w:t>iochemistry</w:t>
      </w:r>
      <w:r>
        <w:rPr>
          <w:rFonts w:ascii="Arial" w:eastAsia="Arial" w:hAnsi="Arial" w:cs="Arial"/>
          <w:color w:val="000000"/>
          <w:sz w:val="22"/>
          <w:szCs w:val="22"/>
        </w:rPr>
        <w:t>, 126, 98–107.</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Wadhwani, S.A., </w:t>
      </w:r>
      <w:proofErr w:type="spellStart"/>
      <w:r>
        <w:rPr>
          <w:rFonts w:ascii="Arial" w:eastAsia="Arial" w:hAnsi="Arial" w:cs="Arial"/>
          <w:color w:val="000000"/>
          <w:sz w:val="22"/>
          <w:szCs w:val="22"/>
        </w:rPr>
        <w:t>Shedbalkar</w:t>
      </w:r>
      <w:proofErr w:type="spellEnd"/>
      <w:r>
        <w:rPr>
          <w:rFonts w:ascii="Arial" w:eastAsia="Arial" w:hAnsi="Arial" w:cs="Arial"/>
          <w:color w:val="000000"/>
          <w:sz w:val="22"/>
          <w:szCs w:val="22"/>
        </w:rPr>
        <w:t xml:space="preserve">, U.U., Singh, R., and </w:t>
      </w:r>
      <w:proofErr w:type="spellStart"/>
      <w:r>
        <w:rPr>
          <w:rFonts w:ascii="Arial" w:eastAsia="Arial" w:hAnsi="Arial" w:cs="Arial"/>
          <w:color w:val="000000"/>
          <w:sz w:val="22"/>
          <w:szCs w:val="22"/>
        </w:rPr>
        <w:t>Chopade</w:t>
      </w:r>
      <w:proofErr w:type="spellEnd"/>
      <w:r>
        <w:rPr>
          <w:rFonts w:ascii="Arial" w:eastAsia="Arial" w:hAnsi="Arial" w:cs="Arial"/>
          <w:color w:val="000000"/>
          <w:sz w:val="22"/>
          <w:szCs w:val="22"/>
        </w:rPr>
        <w:t xml:space="preserve">, B.A. (2016). Biogenic selenium nanoparticles: current status and future prospects. </w:t>
      </w:r>
      <w:r>
        <w:rPr>
          <w:rFonts w:ascii="Arial" w:eastAsia="Arial" w:hAnsi="Arial" w:cs="Arial"/>
          <w:i/>
          <w:color w:val="000000"/>
          <w:sz w:val="22"/>
          <w:szCs w:val="22"/>
        </w:rPr>
        <w:t>Applied microbiology and biotechnology</w:t>
      </w:r>
      <w:r>
        <w:rPr>
          <w:rFonts w:ascii="Arial" w:eastAsia="Arial" w:hAnsi="Arial" w:cs="Arial"/>
          <w:color w:val="000000"/>
          <w:sz w:val="22"/>
          <w:szCs w:val="22"/>
        </w:rPr>
        <w:t>, 100(6), 2555–2566.</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lastRenderedPageBreak/>
        <w:t xml:space="preserve">Walsh, T.R., Gales, A.C., </w:t>
      </w:r>
      <w:proofErr w:type="spellStart"/>
      <w:r>
        <w:rPr>
          <w:rFonts w:ascii="Arial" w:eastAsia="Arial" w:hAnsi="Arial" w:cs="Arial"/>
          <w:color w:val="000000"/>
          <w:sz w:val="22"/>
          <w:szCs w:val="22"/>
        </w:rPr>
        <w:t>La</w:t>
      </w:r>
      <w:r>
        <w:rPr>
          <w:rFonts w:ascii="Arial" w:eastAsia="Arial" w:hAnsi="Arial" w:cs="Arial"/>
          <w:color w:val="000000"/>
          <w:sz w:val="22"/>
          <w:szCs w:val="22"/>
        </w:rPr>
        <w:t>xminarayan</w:t>
      </w:r>
      <w:proofErr w:type="spellEnd"/>
      <w:r>
        <w:rPr>
          <w:rFonts w:ascii="Arial" w:eastAsia="Arial" w:hAnsi="Arial" w:cs="Arial"/>
          <w:color w:val="000000"/>
          <w:sz w:val="22"/>
          <w:szCs w:val="22"/>
        </w:rPr>
        <w:t xml:space="preserve">, R., and Dodd, P.C. (2023). Antimicrobial Resistance: Addressing a Global Threat to Humanity. </w:t>
      </w:r>
      <w:proofErr w:type="spellStart"/>
      <w:r>
        <w:rPr>
          <w:rFonts w:ascii="Arial" w:eastAsia="Arial" w:hAnsi="Arial" w:cs="Arial"/>
          <w:i/>
          <w:color w:val="000000"/>
          <w:sz w:val="22"/>
          <w:szCs w:val="22"/>
        </w:rPr>
        <w:t>PLoS</w:t>
      </w:r>
      <w:proofErr w:type="spellEnd"/>
      <w:r>
        <w:rPr>
          <w:rFonts w:ascii="Arial" w:eastAsia="Arial" w:hAnsi="Arial" w:cs="Arial"/>
          <w:i/>
          <w:color w:val="000000"/>
          <w:sz w:val="22"/>
          <w:szCs w:val="22"/>
        </w:rPr>
        <w:t xml:space="preserve"> medicine</w:t>
      </w:r>
      <w:r>
        <w:rPr>
          <w:rFonts w:ascii="Arial" w:eastAsia="Arial" w:hAnsi="Arial" w:cs="Arial"/>
          <w:color w:val="000000"/>
          <w:sz w:val="22"/>
          <w:szCs w:val="22"/>
        </w:rPr>
        <w:t>, 20(7), e1004264.</w:t>
      </w:r>
    </w:p>
    <w:p w:rsidR="00DB2C9C" w:rsidRDefault="00DB2C9C">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rsidR="00DB2C9C" w:rsidRDefault="00E66DED">
      <w:pPr>
        <w:pBdr>
          <w:top w:val="nil"/>
          <w:left w:val="nil"/>
          <w:bottom w:val="nil"/>
          <w:right w:val="nil"/>
          <w:between w:val="nil"/>
        </w:pBdr>
      </w:pPr>
      <w:proofErr w:type="spellStart"/>
      <w:r>
        <w:rPr>
          <w:rFonts w:ascii="Arial" w:eastAsia="Arial" w:hAnsi="Arial" w:cs="Arial"/>
          <w:color w:val="000000"/>
          <w:sz w:val="22"/>
          <w:szCs w:val="22"/>
        </w:rPr>
        <w:t>Xie</w:t>
      </w:r>
      <w:proofErr w:type="spellEnd"/>
      <w:r>
        <w:rPr>
          <w:rFonts w:ascii="Arial" w:eastAsia="Arial" w:hAnsi="Arial" w:cs="Arial"/>
          <w:color w:val="000000"/>
          <w:sz w:val="22"/>
          <w:szCs w:val="22"/>
        </w:rPr>
        <w:t xml:space="preserve">, B.-L., Guo, R.-S., Yang, X.-W., Wan, L., Yao, W.-Y., Lai, Q., Hu, N., Dai, M., and Zhang, B. (2020). Epidemiology and Drug Resistance Analysis of Mixed Infection in Orthopedic Surgical Sites. </w:t>
      </w:r>
      <w:r>
        <w:rPr>
          <w:rFonts w:ascii="Arial" w:eastAsia="Arial" w:hAnsi="Arial" w:cs="Arial"/>
          <w:i/>
          <w:color w:val="000000"/>
          <w:sz w:val="22"/>
          <w:szCs w:val="22"/>
        </w:rPr>
        <w:t>Surgical infections</w:t>
      </w:r>
      <w:r>
        <w:rPr>
          <w:rFonts w:ascii="Arial" w:eastAsia="Arial" w:hAnsi="Arial" w:cs="Arial"/>
          <w:color w:val="000000"/>
          <w:sz w:val="22"/>
          <w:szCs w:val="22"/>
        </w:rPr>
        <w:t>, 21(5), 465–471.</w:t>
      </w:r>
    </w:p>
    <w:sectPr w:rsidR="00DB2C9C">
      <w:headerReference w:type="even" r:id="rId8"/>
      <w:headerReference w:type="default" r:id="rId9"/>
      <w:footerReference w:type="even" r:id="rId10"/>
      <w:footerReference w:type="default" r:id="rId11"/>
      <w:headerReference w:type="first" r:id="rId12"/>
      <w:footerReference w:type="first" r:id="rId13"/>
      <w:pgSz w:w="11906" w:h="16838"/>
      <w:pgMar w:top="1411" w:right="1411" w:bottom="1411" w:left="25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DED" w:rsidRDefault="00E66DED">
      <w:pPr>
        <w:spacing w:before="0" w:after="0" w:line="240" w:lineRule="auto"/>
      </w:pPr>
      <w:r>
        <w:separator/>
      </w:r>
    </w:p>
  </w:endnote>
  <w:endnote w:type="continuationSeparator" w:id="0">
    <w:p w:rsidR="00E66DED" w:rsidRDefault="00E66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CFA157-469E-4792-90A2-E26A423DAADD}"/>
  </w:font>
  <w:font w:name="Cambria">
    <w:panose1 w:val="02040503050406030204"/>
    <w:charset w:val="00"/>
    <w:family w:val="roman"/>
    <w:pitch w:val="variable"/>
    <w:sig w:usb0="E00006FF" w:usb1="420024FF" w:usb2="02000000" w:usb3="00000000" w:csb0="0000019F" w:csb1="00000000"/>
    <w:embedRegular r:id="rId2" w:fontKey="{939A8863-CAAF-40BC-A5BD-9CEEB80F8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DB2C9C">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DB2C9C">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DB2C9C">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DED" w:rsidRDefault="00E66DED">
      <w:pPr>
        <w:spacing w:before="0" w:after="0" w:line="240" w:lineRule="auto"/>
      </w:pPr>
      <w:r>
        <w:separator/>
      </w:r>
    </w:p>
  </w:footnote>
  <w:footnote w:type="continuationSeparator" w:id="0">
    <w:p w:rsidR="00E66DED" w:rsidRDefault="00E66D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E66DED">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01.35pt;height:55.7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E66DED">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01.35pt;height:55.7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C9C" w:rsidRDefault="00E66DED">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01.35pt;height:55.7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C9C"/>
    <w:rsid w:val="00070590"/>
    <w:rsid w:val="007D3382"/>
    <w:rsid w:val="00A27EE9"/>
    <w:rsid w:val="00C44552"/>
    <w:rsid w:val="00DB2C9C"/>
    <w:rsid w:val="00E66D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88AF66"/>
  <w15:docId w15:val="{C8434659-2692-427A-9DBB-A04AA282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IN" w:bidi="ar-SA"/>
      </w:rPr>
    </w:rPrDefault>
    <w:pPrDefault>
      <w:pPr>
        <w:shd w:val="clear" w:color="auto" w:fill="FFFFFF"/>
        <w:spacing w:before="120" w:after="120" w:line="360" w:lineRule="auto"/>
        <w:ind w:firstLine="70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outlineLvl w:val="0"/>
    </w:pPr>
    <w:rPr>
      <w:b/>
      <w:sz w:val="22"/>
      <w:szCs w:val="22"/>
    </w:rPr>
  </w:style>
  <w:style w:type="paragraph" w:styleId="Heading2">
    <w:name w:val="heading 2"/>
    <w:basedOn w:val="Normal"/>
    <w:next w:val="Normal"/>
    <w:uiPriority w:val="9"/>
    <w:unhideWhenUsed/>
    <w:qFormat/>
    <w:pPr>
      <w:keepNext/>
      <w:keepLines/>
      <w:shd w:val="clear" w:color="auto" w:fill="auto"/>
      <w:spacing w:before="240" w:after="240" w:line="276" w:lineRule="auto"/>
      <w:ind w:right="700" w:firstLine="0"/>
      <w:jc w:val="left"/>
      <w:outlineLvl w:val="1"/>
    </w:pPr>
    <w:rPr>
      <w:b/>
    </w:rPr>
  </w:style>
  <w:style w:type="paragraph" w:styleId="Heading3">
    <w:name w:val="heading 3"/>
    <w:basedOn w:val="Normal"/>
    <w:next w:val="Normal"/>
    <w:uiPriority w:val="9"/>
    <w:unhideWhenUsed/>
    <w:qFormat/>
    <w:pPr>
      <w:keepNext/>
      <w:keepLines/>
      <w:spacing w:before="40" w:after="0"/>
      <w:ind w:firstLine="0"/>
      <w:outlineLvl w:val="2"/>
    </w:pPr>
    <w:rPr>
      <w:b/>
    </w:rPr>
  </w:style>
  <w:style w:type="paragraph" w:styleId="Heading4">
    <w:name w:val="heading 4"/>
    <w:basedOn w:val="Normal"/>
    <w:next w:val="Normal"/>
    <w:uiPriority w:val="9"/>
    <w:semiHidden/>
    <w:unhideWhenUsed/>
    <w:qFormat/>
    <w:pPr>
      <w:keepNext/>
      <w:keepLines/>
      <w:shd w:val="clear" w:color="auto" w:fill="auto"/>
      <w:spacing w:before="40" w:after="0" w:line="276" w:lineRule="auto"/>
      <w:ind w:firstLine="0"/>
      <w:outlineLvl w:val="3"/>
    </w:pPr>
    <w:rPr>
      <w:b/>
    </w:rPr>
  </w:style>
  <w:style w:type="paragraph" w:styleId="Heading5">
    <w:name w:val="heading 5"/>
    <w:basedOn w:val="Normal"/>
    <w:next w:val="Normal"/>
    <w:uiPriority w:val="9"/>
    <w:semiHidden/>
    <w:unhideWhenUsed/>
    <w:qFormat/>
    <w:pPr>
      <w:keepNext/>
      <w:keepLines/>
      <w:shd w:val="clear" w:color="auto" w:fill="auto"/>
      <w:spacing w:before="0" w:after="0"/>
      <w:ind w:firstLine="0"/>
      <w:outlineLvl w:val="4"/>
    </w:pPr>
    <w:rPr>
      <w:b/>
    </w:rPr>
  </w:style>
  <w:style w:type="paragraph" w:styleId="Heading6">
    <w:name w:val="heading 6"/>
    <w:basedOn w:val="Normal"/>
    <w:next w:val="Normal"/>
    <w:uiPriority w:val="9"/>
    <w:semiHidden/>
    <w:unhideWhenUsed/>
    <w:qFormat/>
    <w:pPr>
      <w:keepNext/>
      <w:keepLines/>
      <w:shd w:val="clear" w:color="auto" w:fill="auto"/>
      <w:spacing w:before="40" w:after="0"/>
      <w:ind w:left="360" w:right="450" w:firstLine="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b/>
    </w:rPr>
  </w:style>
  <w:style w:type="paragraph" w:styleId="Subtitle">
    <w:name w:val="Subtitle"/>
    <w:basedOn w:val="Normal"/>
    <w:next w:val="Normal"/>
    <w:uiPriority w:val="11"/>
    <w:qFormat/>
    <w:pPr>
      <w:keepNext/>
      <w:keepLines/>
      <w:spacing w:before="0" w:after="0"/>
      <w:ind w:firstLine="0"/>
      <w:jc w:val="center"/>
    </w:pPr>
    <w:rPr>
      <w:b/>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386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3216</Words>
  <Characters>18337</Characters>
  <Application>Microsoft Office Word</Application>
  <DocSecurity>0</DocSecurity>
  <Lines>152</Lines>
  <Paragraphs>43</Paragraphs>
  <ScaleCrop>false</ScaleCrop>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7</cp:revision>
  <dcterms:created xsi:type="dcterms:W3CDTF">2025-11-06T05:12:00Z</dcterms:created>
  <dcterms:modified xsi:type="dcterms:W3CDTF">2025-11-06T05:20:00Z</dcterms:modified>
</cp:coreProperties>
</file>