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EDD3" w14:textId="77777777" w:rsidR="00C85EA4" w:rsidRDefault="00C85EA4" w:rsidP="00E61926">
      <w:pPr>
        <w:pStyle w:val="NoSpacing"/>
        <w:spacing w:line="180" w:lineRule="atLeast"/>
        <w:jc w:val="center"/>
        <w:rPr>
          <w:rFonts w:ascii="Times New Roman" w:hAnsi="Times New Roman"/>
          <w:b/>
          <w:sz w:val="28"/>
          <w:szCs w:val="28"/>
        </w:rPr>
      </w:pPr>
    </w:p>
    <w:p w14:paraId="1EDAE972" w14:textId="77777777" w:rsidR="00C85EA4" w:rsidRPr="00C85EA4" w:rsidRDefault="00C85EA4" w:rsidP="00C85EA4">
      <w:pPr>
        <w:pStyle w:val="NoSpacing"/>
        <w:spacing w:line="180" w:lineRule="atLeast"/>
        <w:jc w:val="right"/>
        <w:rPr>
          <w:rFonts w:ascii="Times New Roman" w:hAnsi="Times New Roman"/>
          <w:b/>
          <w:i/>
          <w:sz w:val="36"/>
          <w:szCs w:val="28"/>
          <w:u w:val="single"/>
        </w:rPr>
      </w:pPr>
      <w:r w:rsidRPr="00C85EA4">
        <w:rPr>
          <w:rFonts w:ascii="Times New Roman" w:hAnsi="Times New Roman"/>
          <w:b/>
          <w:i/>
          <w:sz w:val="36"/>
          <w:szCs w:val="28"/>
          <w:u w:val="single"/>
        </w:rPr>
        <w:t xml:space="preserve">Original Research Article </w:t>
      </w:r>
    </w:p>
    <w:p w14:paraId="67063CE9" w14:textId="6288380B" w:rsidR="00B5722B" w:rsidRDefault="00AB333E" w:rsidP="00E61926">
      <w:pPr>
        <w:pStyle w:val="NoSpacing"/>
        <w:spacing w:line="180" w:lineRule="atLeast"/>
        <w:jc w:val="center"/>
        <w:rPr>
          <w:rFonts w:ascii="Times New Roman" w:hAnsi="Times New Roman"/>
          <w:b/>
          <w:sz w:val="28"/>
          <w:szCs w:val="28"/>
        </w:rPr>
      </w:pPr>
      <w:r w:rsidRPr="00AB333E">
        <w:rPr>
          <w:rFonts w:ascii="Times New Roman" w:hAnsi="Times New Roman"/>
          <w:b/>
          <w:sz w:val="28"/>
          <w:szCs w:val="28"/>
        </w:rPr>
        <w:t>A Comparative Study on Spinal v</w:t>
      </w:r>
      <w:r>
        <w:rPr>
          <w:rFonts w:ascii="Times New Roman" w:hAnsi="Times New Roman"/>
          <w:b/>
          <w:sz w:val="28"/>
          <w:szCs w:val="28"/>
        </w:rPr>
        <w:t>ersu</w:t>
      </w:r>
      <w:r w:rsidRPr="00AB333E">
        <w:rPr>
          <w:rFonts w:ascii="Times New Roman" w:hAnsi="Times New Roman"/>
          <w:b/>
          <w:sz w:val="28"/>
          <w:szCs w:val="28"/>
        </w:rPr>
        <w:t>s General Anesthesia for Laparoscopic Cholecystectomy</w:t>
      </w:r>
    </w:p>
    <w:p w14:paraId="6C9CC5FD" w14:textId="77777777" w:rsidR="00D94B5B" w:rsidRDefault="00D94B5B" w:rsidP="003D2796">
      <w:pPr>
        <w:pStyle w:val="NoSpacing"/>
        <w:spacing w:line="180" w:lineRule="atLeast"/>
        <w:jc w:val="center"/>
        <w:rPr>
          <w:rFonts w:ascii="Times New Roman" w:hAnsi="Times New Roman"/>
          <w:bCs/>
          <w:sz w:val="20"/>
          <w:szCs w:val="20"/>
        </w:rPr>
      </w:pPr>
    </w:p>
    <w:p w14:paraId="22D86768" w14:textId="77777777" w:rsidR="008722FD" w:rsidRPr="003D2796" w:rsidRDefault="008722FD" w:rsidP="0036419F">
      <w:pPr>
        <w:pStyle w:val="NoSpacing"/>
        <w:spacing w:line="276" w:lineRule="auto"/>
        <w:jc w:val="center"/>
        <w:rPr>
          <w:rFonts w:ascii="Times New Roman" w:hAnsi="Times New Roman" w:cs="Times New Roman"/>
          <w:bCs/>
          <w:sz w:val="20"/>
          <w:szCs w:val="20"/>
        </w:rPr>
      </w:pPr>
    </w:p>
    <w:p w14:paraId="32E892A5" w14:textId="77777777" w:rsidR="0036419F" w:rsidRPr="0036419F" w:rsidRDefault="0036419F" w:rsidP="00E61926">
      <w:pPr>
        <w:pStyle w:val="NoSpacing"/>
        <w:spacing w:line="180" w:lineRule="atLeast"/>
        <w:jc w:val="center"/>
        <w:rPr>
          <w:rFonts w:ascii="Times New Roman" w:hAnsi="Times New Roman" w:cs="Times New Roman"/>
          <w:b/>
          <w:bCs/>
          <w:sz w:val="12"/>
          <w:szCs w:val="12"/>
        </w:rPr>
      </w:pPr>
    </w:p>
    <w:p w14:paraId="556476B1" w14:textId="15171E0D" w:rsidR="00D94B5B" w:rsidRDefault="00ED0843" w:rsidP="00E61926">
      <w:pPr>
        <w:pStyle w:val="NoSpacing"/>
        <w:spacing w:line="180" w:lineRule="atLeast"/>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63D6389" w14:textId="2D32220B" w:rsidR="00D005A5" w:rsidRPr="003D2796" w:rsidRDefault="0004566E" w:rsidP="003D2796">
      <w:pPr>
        <w:jc w:val="both"/>
        <w:rPr>
          <w:rStyle w:val="Strong"/>
          <w:rFonts w:eastAsia="SimSun"/>
          <w:b w:val="0"/>
          <w:bCs w:val="0"/>
          <w:i/>
          <w:iCs/>
          <w:sz w:val="20"/>
          <w:szCs w:val="20"/>
          <w:lang w:eastAsia="zh-CN"/>
        </w:rPr>
      </w:pPr>
      <w:r w:rsidRPr="003D2796">
        <w:rPr>
          <w:rStyle w:val="Strong"/>
          <w:rFonts w:eastAsia="SimSun"/>
          <w:i/>
          <w:iCs/>
          <w:sz w:val="20"/>
          <w:szCs w:val="20"/>
          <w:lang w:eastAsia="zh-CN"/>
        </w:rPr>
        <w:t>Background:</w:t>
      </w:r>
      <w:r w:rsidRPr="003D2796">
        <w:rPr>
          <w:rStyle w:val="Strong"/>
          <w:rFonts w:eastAsia="SimSun"/>
          <w:b w:val="0"/>
          <w:bCs w:val="0"/>
          <w:i/>
          <w:iCs/>
          <w:sz w:val="20"/>
          <w:szCs w:val="20"/>
          <w:lang w:eastAsia="zh-CN"/>
        </w:rPr>
        <w:t xml:space="preserve"> Laparoscopic cholecystectomy (LC) is the gold standard for symptomatic cholelithiasis. While general anesthesia (GA) is conventionally used, spinal anesthesia (SA) is emerging as a viable alternative, potentially offering advantages in a resource-constrained setting. </w:t>
      </w:r>
      <w:r w:rsidRPr="003D2796">
        <w:rPr>
          <w:rStyle w:val="Strong"/>
          <w:rFonts w:eastAsia="SimSun"/>
          <w:i/>
          <w:iCs/>
          <w:sz w:val="20"/>
          <w:szCs w:val="20"/>
          <w:lang w:eastAsia="zh-CN"/>
        </w:rPr>
        <w:t>Objective:</w:t>
      </w:r>
      <w:r w:rsidRPr="003D2796">
        <w:rPr>
          <w:rStyle w:val="Strong"/>
          <w:rFonts w:eastAsia="SimSun"/>
          <w:b w:val="0"/>
          <w:bCs w:val="0"/>
          <w:i/>
          <w:iCs/>
          <w:sz w:val="20"/>
          <w:szCs w:val="20"/>
          <w:lang w:eastAsia="zh-CN"/>
        </w:rPr>
        <w:t xml:space="preserve"> To compare the intraoperative and postoperative outcomes of </w:t>
      </w:r>
      <w:r w:rsidR="00D005A5" w:rsidRPr="003D2796">
        <w:rPr>
          <w:rStyle w:val="Strong"/>
          <w:rFonts w:eastAsia="SimSun"/>
          <w:b w:val="0"/>
          <w:bCs w:val="0"/>
          <w:i/>
          <w:iCs/>
          <w:sz w:val="20"/>
          <w:szCs w:val="20"/>
          <w:lang w:eastAsia="zh-CN"/>
        </w:rPr>
        <w:t xml:space="preserve">spinal anesthesia </w:t>
      </w:r>
      <w:r w:rsidRPr="003D2796">
        <w:rPr>
          <w:rStyle w:val="Strong"/>
          <w:rFonts w:eastAsia="SimSun"/>
          <w:b w:val="0"/>
          <w:bCs w:val="0"/>
          <w:i/>
          <w:iCs/>
          <w:sz w:val="20"/>
          <w:szCs w:val="20"/>
          <w:lang w:eastAsia="zh-CN"/>
        </w:rPr>
        <w:t xml:space="preserve">versus </w:t>
      </w:r>
      <w:r w:rsidR="00D005A5" w:rsidRPr="003D2796">
        <w:rPr>
          <w:rStyle w:val="Strong"/>
          <w:rFonts w:eastAsia="SimSun"/>
          <w:b w:val="0"/>
          <w:bCs w:val="0"/>
          <w:i/>
          <w:iCs/>
          <w:sz w:val="20"/>
          <w:szCs w:val="20"/>
          <w:lang w:eastAsia="zh-CN"/>
        </w:rPr>
        <w:t xml:space="preserve">general anesthesia </w:t>
      </w:r>
      <w:r w:rsidRPr="003D2796">
        <w:rPr>
          <w:rStyle w:val="Strong"/>
          <w:rFonts w:eastAsia="SimSun"/>
          <w:b w:val="0"/>
          <w:bCs w:val="0"/>
          <w:i/>
          <w:iCs/>
          <w:sz w:val="20"/>
          <w:szCs w:val="20"/>
          <w:lang w:eastAsia="zh-CN"/>
        </w:rPr>
        <w:t xml:space="preserve">for patients undergoing </w:t>
      </w:r>
      <w:r w:rsidR="00D005A5" w:rsidRPr="003D2796">
        <w:rPr>
          <w:rStyle w:val="Strong"/>
          <w:rFonts w:eastAsia="SimSun"/>
          <w:b w:val="0"/>
          <w:bCs w:val="0"/>
          <w:i/>
          <w:iCs/>
          <w:sz w:val="20"/>
          <w:szCs w:val="20"/>
          <w:lang w:eastAsia="zh-CN"/>
        </w:rPr>
        <w:t>laparoscopic cholecystectomy</w:t>
      </w:r>
      <w:r w:rsidRPr="003D2796">
        <w:rPr>
          <w:rStyle w:val="Strong"/>
          <w:rFonts w:eastAsia="SimSun"/>
          <w:b w:val="0"/>
          <w:bCs w:val="0"/>
          <w:i/>
          <w:iCs/>
          <w:sz w:val="20"/>
          <w:szCs w:val="20"/>
          <w:lang w:eastAsia="zh-CN"/>
        </w:rPr>
        <w:t>.</w:t>
      </w:r>
      <w:r w:rsidR="009B3175" w:rsidRPr="003D2796">
        <w:rPr>
          <w:rStyle w:val="Strong"/>
          <w:rFonts w:eastAsia="SimSun"/>
          <w:b w:val="0"/>
          <w:bCs w:val="0"/>
          <w:i/>
          <w:iCs/>
          <w:sz w:val="20"/>
          <w:szCs w:val="20"/>
          <w:lang w:eastAsia="zh-CN"/>
        </w:rPr>
        <w:t xml:space="preserve"> </w:t>
      </w:r>
      <w:r w:rsidR="00D005A5" w:rsidRPr="003D2796">
        <w:rPr>
          <w:rStyle w:val="Strong"/>
          <w:rFonts w:eastAsia="SimSun"/>
          <w:i/>
          <w:iCs/>
          <w:sz w:val="20"/>
          <w:szCs w:val="20"/>
          <w:lang w:eastAsia="zh-CN"/>
        </w:rPr>
        <w:t>Methods:</w:t>
      </w:r>
      <w:r w:rsidR="00D005A5" w:rsidRPr="003D2796">
        <w:rPr>
          <w:rStyle w:val="Strong"/>
          <w:rFonts w:eastAsia="SimSun"/>
          <w:b w:val="0"/>
          <w:bCs w:val="0"/>
          <w:i/>
          <w:iCs/>
          <w:sz w:val="20"/>
          <w:szCs w:val="20"/>
          <w:lang w:eastAsia="zh-CN"/>
        </w:rPr>
        <w:t xml:space="preserve"> This prospective comparative study was conducted at </w:t>
      </w:r>
      <w:r w:rsidR="005628BA" w:rsidRPr="003D2796">
        <w:rPr>
          <w:rStyle w:val="Strong"/>
          <w:rFonts w:eastAsia="SimSun"/>
          <w:b w:val="0"/>
          <w:bCs w:val="0"/>
          <w:i/>
          <w:iCs/>
          <w:sz w:val="20"/>
          <w:szCs w:val="20"/>
          <w:lang w:eastAsia="zh-CN"/>
        </w:rPr>
        <w:t>Community-Based</w:t>
      </w:r>
      <w:r w:rsidR="00D005A5" w:rsidRPr="003D2796">
        <w:rPr>
          <w:rStyle w:val="Strong"/>
          <w:rFonts w:eastAsia="SimSun"/>
          <w:b w:val="0"/>
          <w:bCs w:val="0"/>
          <w:i/>
          <w:iCs/>
          <w:sz w:val="20"/>
          <w:szCs w:val="20"/>
          <w:lang w:eastAsia="zh-CN"/>
        </w:rPr>
        <w:t xml:space="preserve"> Medical College, Bangladesh, from April to September 2025. Eighty patients scheduled for elective LC were purposively selected and equally divided into SA (n=40) and GA (n=40) groups. Standardized protocols were followed. Data on intraoperative hemodynamics, postoperative pain (Visual </w:t>
      </w:r>
      <w:r w:rsidR="005628BA" w:rsidRPr="003D2796">
        <w:rPr>
          <w:rStyle w:val="Strong"/>
          <w:rFonts w:eastAsia="SimSun"/>
          <w:b w:val="0"/>
          <w:bCs w:val="0"/>
          <w:i/>
          <w:iCs/>
          <w:sz w:val="20"/>
          <w:szCs w:val="20"/>
          <w:lang w:eastAsia="zh-CN"/>
        </w:rPr>
        <w:t>Analog</w:t>
      </w:r>
      <w:r w:rsidR="00D005A5" w:rsidRPr="003D2796">
        <w:rPr>
          <w:rStyle w:val="Strong"/>
          <w:rFonts w:eastAsia="SimSun"/>
          <w:b w:val="0"/>
          <w:bCs w:val="0"/>
          <w:i/>
          <w:iCs/>
          <w:sz w:val="20"/>
          <w:szCs w:val="20"/>
          <w:lang w:eastAsia="zh-CN"/>
        </w:rPr>
        <w:t xml:space="preserve"> Scale), time to first analgesia, ambulation, oral intake, hospital stay, and complications were collected.</w:t>
      </w:r>
      <w:r w:rsidR="009B3175" w:rsidRPr="003D2796">
        <w:rPr>
          <w:rStyle w:val="Strong"/>
          <w:rFonts w:eastAsia="SimSun"/>
          <w:b w:val="0"/>
          <w:bCs w:val="0"/>
          <w:i/>
          <w:iCs/>
          <w:sz w:val="20"/>
          <w:szCs w:val="20"/>
          <w:lang w:eastAsia="zh-CN"/>
        </w:rPr>
        <w:t xml:space="preserve"> </w:t>
      </w:r>
      <w:r w:rsidR="00D005A5" w:rsidRPr="003D2796">
        <w:rPr>
          <w:rStyle w:val="Strong"/>
          <w:rFonts w:eastAsia="SimSun"/>
          <w:i/>
          <w:iCs/>
          <w:sz w:val="20"/>
          <w:szCs w:val="20"/>
          <w:lang w:eastAsia="zh-CN"/>
        </w:rPr>
        <w:t>Results:</w:t>
      </w:r>
      <w:r w:rsidR="00D005A5" w:rsidRPr="003D2796">
        <w:rPr>
          <w:rStyle w:val="Strong"/>
          <w:rFonts w:eastAsia="SimSun"/>
          <w:b w:val="0"/>
          <w:bCs w:val="0"/>
          <w:i/>
          <w:iCs/>
          <w:sz w:val="20"/>
          <w:szCs w:val="20"/>
          <w:lang w:eastAsia="zh-CN"/>
        </w:rPr>
        <w:t xml:space="preserve"> </w:t>
      </w:r>
      <w:r w:rsidR="00655182" w:rsidRPr="003D2796">
        <w:rPr>
          <w:rStyle w:val="Strong"/>
          <w:rFonts w:eastAsia="SimSun"/>
          <w:b w:val="0"/>
          <w:bCs w:val="0"/>
          <w:i/>
          <w:iCs/>
          <w:sz w:val="20"/>
          <w:szCs w:val="20"/>
          <w:lang w:eastAsia="zh-CN"/>
        </w:rPr>
        <w:t>The analysis revealed a comparable demographic profile between groups. The spinal anesthesia cohort demonstrated significantly lower postoperative pain scores at 2, 6, and 12 hours (p&lt;0.001) and a prolonged time to first analgesic request (p&lt;0.001). Recovery milestones, including time to ambulation and oral intake, were achieved faster with spinal anesthesia (p&lt;0.01). Furthermore, postoperative nausea and vomiting were significantly less frequent (10% vs. 32.5%, p=0.013).</w:t>
      </w:r>
      <w:r w:rsidR="009B3175" w:rsidRPr="003D2796">
        <w:rPr>
          <w:rStyle w:val="Strong"/>
          <w:rFonts w:eastAsia="SimSun"/>
          <w:b w:val="0"/>
          <w:bCs w:val="0"/>
          <w:i/>
          <w:iCs/>
          <w:sz w:val="20"/>
          <w:szCs w:val="20"/>
          <w:lang w:eastAsia="zh-CN"/>
        </w:rPr>
        <w:t xml:space="preserve"> </w:t>
      </w:r>
      <w:r w:rsidR="00D005A5" w:rsidRPr="003D2796">
        <w:rPr>
          <w:rStyle w:val="Strong"/>
          <w:rFonts w:eastAsia="SimSun"/>
          <w:i/>
          <w:iCs/>
          <w:sz w:val="20"/>
          <w:szCs w:val="20"/>
          <w:lang w:eastAsia="zh-CN"/>
        </w:rPr>
        <w:t xml:space="preserve">Conclusion: </w:t>
      </w:r>
      <w:r w:rsidR="00655182" w:rsidRPr="003D2796">
        <w:rPr>
          <w:rStyle w:val="Strong"/>
          <w:rFonts w:eastAsia="SimSun"/>
          <w:b w:val="0"/>
          <w:bCs w:val="0"/>
          <w:i/>
          <w:iCs/>
          <w:sz w:val="20"/>
          <w:szCs w:val="20"/>
          <w:lang w:eastAsia="zh-CN"/>
        </w:rPr>
        <w:t>Spinal anesthesia is a safe and effective alternative for laparoscopic cholecystectomy, providing superior analgesia, fewer opioid-related side effects, and a faster early recovery. It is a highly recommended technique for community-based surgical practice.</w:t>
      </w:r>
    </w:p>
    <w:p w14:paraId="39910ACE" w14:textId="77777777" w:rsidR="00655182" w:rsidRPr="003D2796" w:rsidRDefault="00655182" w:rsidP="003D2796">
      <w:pPr>
        <w:jc w:val="both"/>
        <w:rPr>
          <w:rStyle w:val="Strong"/>
          <w:rFonts w:eastAsia="SimSun"/>
          <w:b w:val="0"/>
          <w:bCs w:val="0"/>
          <w:i/>
          <w:iCs/>
          <w:sz w:val="20"/>
          <w:szCs w:val="20"/>
          <w:lang w:eastAsia="zh-CN"/>
        </w:rPr>
      </w:pPr>
    </w:p>
    <w:p w14:paraId="5F6BEEBB" w14:textId="1EE3C668" w:rsidR="00D005A5" w:rsidRPr="003D2796" w:rsidRDefault="00D005A5" w:rsidP="003D2796">
      <w:pPr>
        <w:jc w:val="both"/>
        <w:rPr>
          <w:rStyle w:val="Strong"/>
          <w:rFonts w:eastAsia="SimSun"/>
          <w:b w:val="0"/>
          <w:bCs w:val="0"/>
          <w:i/>
          <w:iCs/>
          <w:sz w:val="20"/>
          <w:szCs w:val="20"/>
          <w:lang w:eastAsia="zh-CN"/>
        </w:rPr>
      </w:pPr>
      <w:r w:rsidRPr="003D2796">
        <w:rPr>
          <w:rStyle w:val="Strong"/>
          <w:rFonts w:eastAsia="SimSun"/>
          <w:i/>
          <w:iCs/>
          <w:sz w:val="20"/>
          <w:szCs w:val="20"/>
          <w:lang w:eastAsia="zh-CN"/>
        </w:rPr>
        <w:t xml:space="preserve">Keywords: </w:t>
      </w:r>
      <w:r w:rsidRPr="003D2796">
        <w:rPr>
          <w:rStyle w:val="Strong"/>
          <w:rFonts w:eastAsia="SimSun"/>
          <w:b w:val="0"/>
          <w:bCs w:val="0"/>
          <w:i/>
          <w:iCs/>
          <w:sz w:val="20"/>
          <w:szCs w:val="20"/>
          <w:lang w:eastAsia="zh-CN"/>
        </w:rPr>
        <w:t xml:space="preserve">Ambulatory </w:t>
      </w:r>
      <w:r w:rsidR="009B3175" w:rsidRPr="003D2796">
        <w:rPr>
          <w:rStyle w:val="Strong"/>
          <w:rFonts w:eastAsia="SimSun"/>
          <w:b w:val="0"/>
          <w:bCs w:val="0"/>
          <w:i/>
          <w:iCs/>
          <w:sz w:val="20"/>
          <w:szCs w:val="20"/>
          <w:lang w:eastAsia="zh-CN"/>
        </w:rPr>
        <w:t>s</w:t>
      </w:r>
      <w:r w:rsidRPr="003D2796">
        <w:rPr>
          <w:rStyle w:val="Strong"/>
          <w:rFonts w:eastAsia="SimSun"/>
          <w:b w:val="0"/>
          <w:bCs w:val="0"/>
          <w:i/>
          <w:iCs/>
          <w:sz w:val="20"/>
          <w:szCs w:val="20"/>
          <w:lang w:eastAsia="zh-CN"/>
        </w:rPr>
        <w:t xml:space="preserve">urgery, General </w:t>
      </w:r>
      <w:r w:rsidR="009B3175" w:rsidRPr="003D2796">
        <w:rPr>
          <w:rStyle w:val="Strong"/>
          <w:rFonts w:eastAsia="SimSun"/>
          <w:b w:val="0"/>
          <w:bCs w:val="0"/>
          <w:i/>
          <w:iCs/>
          <w:sz w:val="20"/>
          <w:szCs w:val="20"/>
          <w:lang w:eastAsia="zh-CN"/>
        </w:rPr>
        <w:t>a</w:t>
      </w:r>
      <w:r w:rsidRPr="003D2796">
        <w:rPr>
          <w:rStyle w:val="Strong"/>
          <w:rFonts w:eastAsia="SimSun"/>
          <w:b w:val="0"/>
          <w:bCs w:val="0"/>
          <w:i/>
          <w:iCs/>
          <w:sz w:val="20"/>
          <w:szCs w:val="20"/>
          <w:lang w:eastAsia="zh-CN"/>
        </w:rPr>
        <w:t xml:space="preserve">nesthesia, Laparoscopic </w:t>
      </w:r>
      <w:r w:rsidR="009B3175" w:rsidRPr="003D2796">
        <w:rPr>
          <w:rStyle w:val="Strong"/>
          <w:rFonts w:eastAsia="SimSun"/>
          <w:b w:val="0"/>
          <w:bCs w:val="0"/>
          <w:i/>
          <w:iCs/>
          <w:sz w:val="20"/>
          <w:szCs w:val="20"/>
          <w:lang w:eastAsia="zh-CN"/>
        </w:rPr>
        <w:t>c</w:t>
      </w:r>
      <w:r w:rsidRPr="003D2796">
        <w:rPr>
          <w:rStyle w:val="Strong"/>
          <w:rFonts w:eastAsia="SimSun"/>
          <w:b w:val="0"/>
          <w:bCs w:val="0"/>
          <w:i/>
          <w:iCs/>
          <w:sz w:val="20"/>
          <w:szCs w:val="20"/>
          <w:lang w:eastAsia="zh-CN"/>
        </w:rPr>
        <w:t xml:space="preserve">holecystectomy, Postoperative </w:t>
      </w:r>
      <w:r w:rsidR="009B3175" w:rsidRPr="003D2796">
        <w:rPr>
          <w:rStyle w:val="Strong"/>
          <w:rFonts w:eastAsia="SimSun"/>
          <w:b w:val="0"/>
          <w:bCs w:val="0"/>
          <w:i/>
          <w:iCs/>
          <w:sz w:val="20"/>
          <w:szCs w:val="20"/>
          <w:lang w:eastAsia="zh-CN"/>
        </w:rPr>
        <w:t>p</w:t>
      </w:r>
      <w:r w:rsidRPr="003D2796">
        <w:rPr>
          <w:rStyle w:val="Strong"/>
          <w:rFonts w:eastAsia="SimSun"/>
          <w:b w:val="0"/>
          <w:bCs w:val="0"/>
          <w:i/>
          <w:iCs/>
          <w:sz w:val="20"/>
          <w:szCs w:val="20"/>
          <w:lang w:eastAsia="zh-CN"/>
        </w:rPr>
        <w:t xml:space="preserve">ain, Postoperative </w:t>
      </w:r>
      <w:r w:rsidR="009B3175" w:rsidRPr="003D2796">
        <w:rPr>
          <w:rStyle w:val="Strong"/>
          <w:rFonts w:eastAsia="SimSun"/>
          <w:b w:val="0"/>
          <w:bCs w:val="0"/>
          <w:i/>
          <w:iCs/>
          <w:sz w:val="20"/>
          <w:szCs w:val="20"/>
          <w:lang w:eastAsia="zh-CN"/>
        </w:rPr>
        <w:t>r</w:t>
      </w:r>
      <w:r w:rsidRPr="003D2796">
        <w:rPr>
          <w:rStyle w:val="Strong"/>
          <w:rFonts w:eastAsia="SimSun"/>
          <w:b w:val="0"/>
          <w:bCs w:val="0"/>
          <w:i/>
          <w:iCs/>
          <w:sz w:val="20"/>
          <w:szCs w:val="20"/>
          <w:lang w:eastAsia="zh-CN"/>
        </w:rPr>
        <w:t xml:space="preserve">ecovery, Spinal </w:t>
      </w:r>
      <w:r w:rsidR="009B3175" w:rsidRPr="003D2796">
        <w:rPr>
          <w:rStyle w:val="Strong"/>
          <w:rFonts w:eastAsia="SimSun"/>
          <w:b w:val="0"/>
          <w:bCs w:val="0"/>
          <w:i/>
          <w:iCs/>
          <w:sz w:val="20"/>
          <w:szCs w:val="20"/>
          <w:lang w:eastAsia="zh-CN"/>
        </w:rPr>
        <w:t>a</w:t>
      </w:r>
      <w:r w:rsidRPr="003D2796">
        <w:rPr>
          <w:rStyle w:val="Strong"/>
          <w:rFonts w:eastAsia="SimSun"/>
          <w:b w:val="0"/>
          <w:bCs w:val="0"/>
          <w:i/>
          <w:iCs/>
          <w:sz w:val="20"/>
          <w:szCs w:val="20"/>
          <w:lang w:eastAsia="zh-CN"/>
        </w:rPr>
        <w:t>nesthesia</w:t>
      </w:r>
    </w:p>
    <w:p w14:paraId="3B2BE994" w14:textId="77777777" w:rsidR="00D005A5" w:rsidRPr="003D2796" w:rsidRDefault="00D005A5" w:rsidP="003D2796">
      <w:pPr>
        <w:spacing w:line="276" w:lineRule="auto"/>
        <w:jc w:val="both"/>
        <w:rPr>
          <w:rStyle w:val="Strong"/>
          <w:rFonts w:eastAsia="SimSun"/>
          <w:b w:val="0"/>
          <w:bCs w:val="0"/>
          <w:sz w:val="20"/>
          <w:szCs w:val="20"/>
          <w:lang w:eastAsia="zh-CN"/>
        </w:rPr>
      </w:pPr>
    </w:p>
    <w:p w14:paraId="71C84B77" w14:textId="77777777" w:rsidR="00D94B5B" w:rsidRPr="003D2796" w:rsidRDefault="00D94B5B" w:rsidP="003D2796">
      <w:pPr>
        <w:pStyle w:val="NoSpacing"/>
        <w:spacing w:line="276" w:lineRule="auto"/>
        <w:jc w:val="both"/>
        <w:rPr>
          <w:rFonts w:ascii="Times New Roman" w:hAnsi="Times New Roman" w:cs="Times New Roman"/>
          <w:iCs/>
          <w:sz w:val="20"/>
          <w:szCs w:val="20"/>
        </w:rPr>
      </w:pPr>
    </w:p>
    <w:p w14:paraId="6F51550C" w14:textId="77777777" w:rsidR="00FC1F5F" w:rsidRPr="003D2796" w:rsidRDefault="00ED0843"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INTRODUCTION</w:t>
      </w:r>
    </w:p>
    <w:p w14:paraId="433DF20C" w14:textId="76602693" w:rsidR="00E61926" w:rsidRPr="003D2796" w:rsidRDefault="00D005A5" w:rsidP="003D2796">
      <w:pPr>
        <w:pStyle w:val="NoSpacing"/>
        <w:spacing w:line="276" w:lineRule="auto"/>
        <w:jc w:val="both"/>
        <w:rPr>
          <w:rFonts w:ascii="Times New Roman" w:hAnsi="Times New Roman" w:cs="Times New Roman"/>
          <w:b/>
          <w:bCs/>
          <w:sz w:val="20"/>
          <w:szCs w:val="20"/>
        </w:rPr>
      </w:pPr>
      <w:r w:rsidRPr="003D2796">
        <w:rPr>
          <w:rFonts w:ascii="Times New Roman" w:eastAsia="Times New Roman" w:hAnsi="Times New Roman" w:cs="Times New Roman"/>
          <w:sz w:val="20"/>
          <w:szCs w:val="20"/>
        </w:rPr>
        <w:t>Laparoscopic cholecystectomy (LC) has firmly established itself as the gold standard surgical intervention for symptomatic cholelithiasis and other gallstone-related pathologies [1]. Its widespread adoption over open surgery is attributed to significant patient benefits, including reduced postoperative pain, shorter hospital stays, more rapid recovery, and superior cosmetic outcomes [2]. The global prevalence of gallstone disease is considerable, making LC one of the most frequently performed general surgical procedures worldwide, a trend that holds in the Bangladeshi population [3].</w:t>
      </w:r>
      <w:r w:rsidR="00FC1F5F" w:rsidRPr="003D2796">
        <w:rPr>
          <w:rFonts w:ascii="Times New Roman" w:eastAsia="Times New Roman" w:hAnsi="Times New Roman" w:cs="Times New Roman"/>
          <w:sz w:val="20"/>
          <w:szCs w:val="20"/>
        </w:rPr>
        <w:t xml:space="preserve"> </w:t>
      </w:r>
      <w:r w:rsidRPr="003D2796">
        <w:rPr>
          <w:rFonts w:ascii="Times New Roman" w:eastAsia="Times New Roman" w:hAnsi="Times New Roman" w:cs="Times New Roman"/>
          <w:sz w:val="20"/>
          <w:szCs w:val="20"/>
        </w:rPr>
        <w:t>The conventional anesthetic technique for LC has been general anesthesia (GA) with endotracheal intubation and controlled ventilation [4]. This approach ensures patient immobility, a secure airway, and controlled pneumoperitoneum, which are critical for the surgical procedure. However, GA is not without drawbacks. It is associated with a range of potential postoperative complications, including significant nausea and vomiting (PONV), sore throat, residual neuromuscular blockade, and postoperative cognitive dysfunction, particularly in vulnerable populations [5]. Furthermore, GA requires sophisticated equipment, multiple pharmacological agents, and a longer recovery period in the post-anesthesia care unit, which can strain resources in community-based healthcare settings [6].</w:t>
      </w:r>
      <w:r w:rsidR="00FC1F5F" w:rsidRPr="003D2796">
        <w:rPr>
          <w:rFonts w:ascii="Times New Roman" w:eastAsia="Times New Roman" w:hAnsi="Times New Roman" w:cs="Times New Roman"/>
          <w:sz w:val="20"/>
          <w:szCs w:val="20"/>
        </w:rPr>
        <w:t xml:space="preserve"> </w:t>
      </w:r>
      <w:r w:rsidRPr="003D2796">
        <w:rPr>
          <w:rFonts w:ascii="Times New Roman" w:eastAsia="Times New Roman" w:hAnsi="Times New Roman" w:cs="Times New Roman"/>
          <w:sz w:val="20"/>
          <w:szCs w:val="20"/>
        </w:rPr>
        <w:t>In recent years, there has been a growing interest in alternative anesthetic techniques that can mitigate these disadvantages. Spinal anesthesia (SA), long the cornerstone for lower abdominal and orthopedic surgeries, has emerged as a viable and promising option for LC [7]. Proponents of SA highlight several potential advantages, such as the avoidance of airway instrumentation, reduced exposure to polypharmacy, superior postoperative analgesia in the initial hours, and a significant reduction in the incidence of PONV [8]. The patient remains awake, which allows for rapid awakening and potentially faster discharge from the recovery area.</w:t>
      </w:r>
      <w:r w:rsidR="00FC1F5F" w:rsidRPr="003D2796">
        <w:rPr>
          <w:rFonts w:ascii="Times New Roman" w:eastAsia="Times New Roman" w:hAnsi="Times New Roman" w:cs="Times New Roman"/>
          <w:sz w:val="20"/>
          <w:szCs w:val="20"/>
        </w:rPr>
        <w:t xml:space="preserve"> </w:t>
      </w:r>
      <w:r w:rsidRPr="003D2796">
        <w:rPr>
          <w:rFonts w:ascii="Times New Roman" w:eastAsia="Times New Roman" w:hAnsi="Times New Roman" w:cs="Times New Roman"/>
          <w:sz w:val="20"/>
          <w:szCs w:val="20"/>
        </w:rPr>
        <w:t xml:space="preserve">Several studies conducted in diverse settings have compared SA and GA for LC. A 2020 comparative study by Sharma et al. concluded that SA provided excellent intraoperative conditions and significantly lower pain scores in the immediate postoperative period compared to GA [9]. Similarly, a meta-analysis by Wang et al. (2022) consolidated findings from multiple trials, indicating that SA was associated with a lower analgesic requirement and a faster time to first ambulation and oral intake [10]. However, SA for LC is not without its own unique set of challenges. The most notable is the occurrence of shoulder tip pain due to </w:t>
      </w:r>
      <w:r w:rsidRPr="003D2796">
        <w:rPr>
          <w:rFonts w:ascii="Times New Roman" w:eastAsia="Times New Roman" w:hAnsi="Times New Roman" w:cs="Times New Roman"/>
          <w:sz w:val="20"/>
          <w:szCs w:val="20"/>
        </w:rPr>
        <w:lastRenderedPageBreak/>
        <w:t>diaphragmatic irritation from carbon dioxide insufflation, which can be distressing for the patient, though it is often transient and manageable [11]. Hemodynamic instability, primarily hypotension and bradycardia, also requires vigilant monitoring and proactive management [12].</w:t>
      </w:r>
      <w:r w:rsidR="00FC1F5F" w:rsidRPr="003D2796">
        <w:rPr>
          <w:rFonts w:ascii="Times New Roman" w:eastAsia="Times New Roman" w:hAnsi="Times New Roman" w:cs="Times New Roman"/>
          <w:sz w:val="20"/>
          <w:szCs w:val="20"/>
        </w:rPr>
        <w:t xml:space="preserve"> </w:t>
      </w:r>
      <w:r w:rsidRPr="003D2796">
        <w:rPr>
          <w:rFonts w:ascii="Times New Roman" w:eastAsia="Times New Roman" w:hAnsi="Times New Roman" w:cs="Times New Roman"/>
          <w:sz w:val="20"/>
          <w:szCs w:val="20"/>
        </w:rPr>
        <w:t>Despite the existing body of research, there is a paucity of literature directly comparing these two anesthetic techniques within the context of a community-based teaching hospital in Bangladesh. The patient demographics, surgical workflows, and resource availability in such settings can differ significantly from tertiary care centers [13]. Therefore, a localized comparative study is imperative to guide clinical practice and optimize patient outcomes.</w:t>
      </w:r>
      <w:r w:rsidR="00FC1F5F" w:rsidRPr="003D2796">
        <w:rPr>
          <w:rFonts w:ascii="Times New Roman" w:eastAsia="Times New Roman" w:hAnsi="Times New Roman" w:cs="Times New Roman"/>
          <w:sz w:val="20"/>
          <w:szCs w:val="20"/>
        </w:rPr>
        <w:t xml:space="preserve"> </w:t>
      </w:r>
      <w:r w:rsidRPr="003D2796">
        <w:rPr>
          <w:rFonts w:ascii="Times New Roman" w:eastAsia="Times New Roman" w:hAnsi="Times New Roman" w:cs="Times New Roman"/>
          <w:sz w:val="20"/>
          <w:szCs w:val="20"/>
        </w:rPr>
        <w:t>This study aimed to fill this knowledge gap by conducting a prospective comparative analysis of spinal anesthesia versus general anesthesia for patients undergoing elective laparoscopic cholecystectomy at the Community-Based Medical College, Bangladesh, Mymensingh. The primary objectives are to compare intraoperative hemodynamic stability, postoperative pain scores, time to recovery milestones, and the incidence of procedure-related complications between the two groups. The findings will provide valuable evidence to help anesthesiologists and surgeons make informed decisions, potentially improving the efficiency and quality of surgical care in our community hospital setting.</w:t>
      </w:r>
    </w:p>
    <w:p w14:paraId="5A896872" w14:textId="77777777" w:rsidR="007E4B87" w:rsidRPr="003D2796" w:rsidRDefault="007E4B87" w:rsidP="003D2796">
      <w:pPr>
        <w:pStyle w:val="NormalWeb"/>
        <w:spacing w:beforeAutospacing="0" w:afterAutospacing="0" w:line="276" w:lineRule="auto"/>
        <w:jc w:val="both"/>
        <w:rPr>
          <w:sz w:val="20"/>
          <w:szCs w:val="20"/>
        </w:rPr>
      </w:pPr>
    </w:p>
    <w:p w14:paraId="11CA174C" w14:textId="77777777" w:rsidR="009B3175" w:rsidRPr="003D2796" w:rsidRDefault="00723F69"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METHODOLOGY</w:t>
      </w:r>
    </w:p>
    <w:p w14:paraId="75E8BF9D" w14:textId="77777777" w:rsidR="00356358" w:rsidRDefault="00356358" w:rsidP="00356358">
      <w:pPr>
        <w:pStyle w:val="NormalWeb"/>
        <w:spacing w:beforeAutospacing="0" w:afterAutospacing="0" w:line="360" w:lineRule="auto"/>
        <w:jc w:val="both"/>
        <w:rPr>
          <w:rStyle w:val="Strong"/>
          <w:rFonts w:eastAsiaTheme="minorHAnsi"/>
          <w:sz w:val="20"/>
          <w:szCs w:val="20"/>
          <w:lang w:eastAsia="en-US"/>
        </w:rPr>
      </w:pPr>
    </w:p>
    <w:p w14:paraId="7B5AF8C3" w14:textId="7C62D094" w:rsidR="00356358" w:rsidRPr="00356358" w:rsidRDefault="00356358" w:rsidP="00356358">
      <w:pPr>
        <w:pStyle w:val="NormalWeb"/>
        <w:spacing w:beforeAutospacing="0" w:afterAutospacing="0" w:line="360" w:lineRule="auto"/>
        <w:jc w:val="both"/>
        <w:rPr>
          <w:rStyle w:val="Strong"/>
          <w:rFonts w:eastAsiaTheme="minorHAnsi"/>
          <w:sz w:val="20"/>
          <w:szCs w:val="20"/>
          <w:lang w:eastAsia="en-US"/>
        </w:rPr>
      </w:pPr>
      <w:r w:rsidRPr="00356358">
        <w:rPr>
          <w:rStyle w:val="Strong"/>
          <w:rFonts w:eastAsiaTheme="minorHAnsi"/>
          <w:sz w:val="20"/>
          <w:szCs w:val="20"/>
          <w:lang w:eastAsia="en-US"/>
        </w:rPr>
        <w:t xml:space="preserve">Study </w:t>
      </w:r>
      <w:r>
        <w:rPr>
          <w:rStyle w:val="Strong"/>
          <w:rFonts w:eastAsiaTheme="minorHAnsi"/>
          <w:sz w:val="20"/>
          <w:szCs w:val="20"/>
          <w:lang w:eastAsia="en-US"/>
        </w:rPr>
        <w:t>d</w:t>
      </w:r>
      <w:r w:rsidRPr="00356358">
        <w:rPr>
          <w:rStyle w:val="Strong"/>
          <w:rFonts w:eastAsiaTheme="minorHAnsi"/>
          <w:sz w:val="20"/>
          <w:szCs w:val="20"/>
          <w:lang w:eastAsia="en-US"/>
        </w:rPr>
        <w:t xml:space="preserve">esign and </w:t>
      </w:r>
      <w:r>
        <w:rPr>
          <w:rStyle w:val="Strong"/>
          <w:rFonts w:eastAsiaTheme="minorHAnsi"/>
          <w:sz w:val="20"/>
          <w:szCs w:val="20"/>
          <w:lang w:eastAsia="en-US"/>
        </w:rPr>
        <w:t>p</w:t>
      </w:r>
      <w:r w:rsidRPr="00356358">
        <w:rPr>
          <w:rStyle w:val="Strong"/>
          <w:rFonts w:eastAsiaTheme="minorHAnsi"/>
          <w:sz w:val="20"/>
          <w:szCs w:val="20"/>
          <w:lang w:eastAsia="en-US"/>
        </w:rPr>
        <w:t>opulation</w:t>
      </w:r>
    </w:p>
    <w:p w14:paraId="485490D8" w14:textId="2504D01C" w:rsidR="00356358" w:rsidRPr="00356358" w:rsidRDefault="00356358" w:rsidP="00356358">
      <w:pPr>
        <w:pStyle w:val="NormalWeb"/>
        <w:spacing w:beforeAutospacing="0" w:afterAutospacing="0" w:line="360" w:lineRule="auto"/>
        <w:jc w:val="both"/>
        <w:rPr>
          <w:rStyle w:val="Strong"/>
          <w:rFonts w:eastAsiaTheme="minorHAnsi"/>
          <w:b w:val="0"/>
          <w:bCs w:val="0"/>
          <w:sz w:val="20"/>
          <w:szCs w:val="20"/>
          <w:lang w:eastAsia="en-US"/>
        </w:rPr>
      </w:pPr>
      <w:r w:rsidRPr="00356358">
        <w:rPr>
          <w:rStyle w:val="Strong"/>
          <w:rFonts w:eastAsiaTheme="minorHAnsi"/>
          <w:b w:val="0"/>
          <w:bCs w:val="0"/>
          <w:sz w:val="20"/>
          <w:szCs w:val="20"/>
          <w:lang w:eastAsia="en-US"/>
        </w:rPr>
        <w:t xml:space="preserve">This prospective comparative study was conducted at the Department of Surgery and Anesthesiology, Community-Based Medical College, Bangladesh. A purposive sample of 80 patients scheduled for elective laparoscopic cholecystectomy was recruited. All participants provided comprehensive written informed consent </w:t>
      </w:r>
      <w:r>
        <w:rPr>
          <w:rStyle w:val="Strong"/>
          <w:rFonts w:eastAsiaTheme="minorHAnsi"/>
          <w:b w:val="0"/>
          <w:bCs w:val="0"/>
          <w:sz w:val="20"/>
          <w:szCs w:val="20"/>
          <w:lang w:eastAsia="en-US"/>
        </w:rPr>
        <w:t>before</w:t>
      </w:r>
      <w:r w:rsidRPr="00356358">
        <w:rPr>
          <w:rStyle w:val="Strong"/>
          <w:rFonts w:eastAsiaTheme="minorHAnsi"/>
          <w:b w:val="0"/>
          <w:bCs w:val="0"/>
          <w:sz w:val="20"/>
          <w:szCs w:val="20"/>
          <w:lang w:eastAsia="en-US"/>
        </w:rPr>
        <w:t xml:space="preserve"> enrolment.</w:t>
      </w:r>
    </w:p>
    <w:p w14:paraId="6F45957E" w14:textId="77777777" w:rsidR="00356358" w:rsidRPr="00356358" w:rsidRDefault="00356358" w:rsidP="00356358">
      <w:pPr>
        <w:pStyle w:val="NormalWeb"/>
        <w:spacing w:beforeAutospacing="0" w:afterAutospacing="0" w:line="360" w:lineRule="auto"/>
        <w:jc w:val="both"/>
        <w:rPr>
          <w:rStyle w:val="Strong"/>
          <w:rFonts w:eastAsiaTheme="minorHAnsi"/>
          <w:sz w:val="20"/>
          <w:szCs w:val="20"/>
          <w:lang w:eastAsia="en-US"/>
        </w:rPr>
      </w:pPr>
    </w:p>
    <w:p w14:paraId="5B84F99C" w14:textId="16F4909D" w:rsidR="00356358" w:rsidRPr="00356358" w:rsidRDefault="00356358" w:rsidP="00356358">
      <w:pPr>
        <w:pStyle w:val="NormalWeb"/>
        <w:spacing w:beforeAutospacing="0" w:afterAutospacing="0" w:line="360" w:lineRule="auto"/>
        <w:jc w:val="both"/>
        <w:rPr>
          <w:rStyle w:val="Strong"/>
          <w:rFonts w:eastAsiaTheme="minorHAnsi"/>
          <w:sz w:val="20"/>
          <w:szCs w:val="20"/>
          <w:lang w:eastAsia="en-US"/>
        </w:rPr>
      </w:pPr>
      <w:r w:rsidRPr="00356358">
        <w:rPr>
          <w:rStyle w:val="Strong"/>
          <w:rFonts w:eastAsiaTheme="minorHAnsi"/>
          <w:sz w:val="20"/>
          <w:szCs w:val="20"/>
          <w:lang w:eastAsia="en-US"/>
        </w:rPr>
        <w:t xml:space="preserve">Inclusion and </w:t>
      </w:r>
      <w:r>
        <w:rPr>
          <w:rStyle w:val="Strong"/>
          <w:rFonts w:eastAsiaTheme="minorHAnsi"/>
          <w:sz w:val="20"/>
          <w:szCs w:val="20"/>
          <w:lang w:eastAsia="en-US"/>
        </w:rPr>
        <w:t>e</w:t>
      </w:r>
      <w:r w:rsidRPr="00356358">
        <w:rPr>
          <w:rStyle w:val="Strong"/>
          <w:rFonts w:eastAsiaTheme="minorHAnsi"/>
          <w:sz w:val="20"/>
          <w:szCs w:val="20"/>
          <w:lang w:eastAsia="en-US"/>
        </w:rPr>
        <w:t xml:space="preserve">xclusion </w:t>
      </w:r>
      <w:r>
        <w:rPr>
          <w:rStyle w:val="Strong"/>
          <w:rFonts w:eastAsiaTheme="minorHAnsi"/>
          <w:sz w:val="20"/>
          <w:szCs w:val="20"/>
          <w:lang w:eastAsia="en-US"/>
        </w:rPr>
        <w:t>c</w:t>
      </w:r>
      <w:r w:rsidRPr="00356358">
        <w:rPr>
          <w:rStyle w:val="Strong"/>
          <w:rFonts w:eastAsiaTheme="minorHAnsi"/>
          <w:sz w:val="20"/>
          <w:szCs w:val="20"/>
          <w:lang w:eastAsia="en-US"/>
        </w:rPr>
        <w:t>riteria</w:t>
      </w:r>
    </w:p>
    <w:p w14:paraId="26A08093" w14:textId="77777777" w:rsidR="00356358" w:rsidRPr="00356358" w:rsidRDefault="00356358" w:rsidP="00356358">
      <w:pPr>
        <w:pStyle w:val="NormalWeb"/>
        <w:spacing w:beforeAutospacing="0" w:afterAutospacing="0" w:line="360" w:lineRule="auto"/>
        <w:jc w:val="both"/>
        <w:rPr>
          <w:rStyle w:val="Strong"/>
          <w:rFonts w:eastAsiaTheme="minorHAnsi"/>
          <w:b w:val="0"/>
          <w:bCs w:val="0"/>
          <w:sz w:val="20"/>
          <w:szCs w:val="20"/>
          <w:lang w:eastAsia="en-US"/>
        </w:rPr>
      </w:pPr>
      <w:r w:rsidRPr="00356358">
        <w:rPr>
          <w:rStyle w:val="Strong"/>
          <w:rFonts w:eastAsiaTheme="minorHAnsi"/>
          <w:b w:val="0"/>
          <w:bCs w:val="0"/>
          <w:sz w:val="20"/>
          <w:szCs w:val="20"/>
          <w:lang w:eastAsia="en-US"/>
        </w:rPr>
        <w:t>Participants were aged 20-50 years, of both genders, and classified as American Society of Anesthesiologists (ASA) physical status I or II. The indication for surgery was symptomatic cholelithiasis. Exclusion criteria encompassed contraindications to spinal anesthesia (e.g., coagulopathy, local skin infection), known hypersensitivity to local anesthetics, severe cardiorespiratory disease, pregnancy, and instances requiring conversion to open laparotomy.</w:t>
      </w:r>
    </w:p>
    <w:p w14:paraId="767144EA" w14:textId="77777777" w:rsidR="00356358" w:rsidRPr="00356358" w:rsidRDefault="00356358" w:rsidP="00356358">
      <w:pPr>
        <w:pStyle w:val="NormalWeb"/>
        <w:spacing w:beforeAutospacing="0" w:afterAutospacing="0" w:line="360" w:lineRule="auto"/>
        <w:jc w:val="both"/>
        <w:rPr>
          <w:rStyle w:val="Strong"/>
          <w:rFonts w:eastAsiaTheme="minorHAnsi"/>
          <w:sz w:val="20"/>
          <w:szCs w:val="20"/>
          <w:lang w:eastAsia="en-US"/>
        </w:rPr>
      </w:pPr>
    </w:p>
    <w:p w14:paraId="726DCA14" w14:textId="4334FD91" w:rsidR="00356358" w:rsidRPr="00356358" w:rsidRDefault="00356358" w:rsidP="00356358">
      <w:pPr>
        <w:pStyle w:val="NormalWeb"/>
        <w:spacing w:beforeAutospacing="0" w:afterAutospacing="0" w:line="360" w:lineRule="auto"/>
        <w:jc w:val="both"/>
        <w:rPr>
          <w:rStyle w:val="Strong"/>
          <w:rFonts w:eastAsiaTheme="minorHAnsi"/>
          <w:sz w:val="20"/>
          <w:szCs w:val="20"/>
          <w:lang w:eastAsia="en-US"/>
        </w:rPr>
      </w:pPr>
      <w:r w:rsidRPr="00356358">
        <w:rPr>
          <w:rStyle w:val="Strong"/>
          <w:rFonts w:eastAsiaTheme="minorHAnsi"/>
          <w:sz w:val="20"/>
          <w:szCs w:val="20"/>
          <w:lang w:eastAsia="en-US"/>
        </w:rPr>
        <w:t xml:space="preserve">Study </w:t>
      </w:r>
      <w:r>
        <w:rPr>
          <w:rStyle w:val="Strong"/>
          <w:rFonts w:eastAsiaTheme="minorHAnsi"/>
          <w:sz w:val="20"/>
          <w:szCs w:val="20"/>
          <w:lang w:eastAsia="en-US"/>
        </w:rPr>
        <w:t>p</w:t>
      </w:r>
      <w:r w:rsidRPr="00356358">
        <w:rPr>
          <w:rStyle w:val="Strong"/>
          <w:rFonts w:eastAsiaTheme="minorHAnsi"/>
          <w:sz w:val="20"/>
          <w:szCs w:val="20"/>
          <w:lang w:eastAsia="en-US"/>
        </w:rPr>
        <w:t>rotocol</w:t>
      </w:r>
    </w:p>
    <w:p w14:paraId="69C8253D" w14:textId="77777777" w:rsidR="00356358" w:rsidRPr="00356358" w:rsidRDefault="00356358" w:rsidP="00356358">
      <w:pPr>
        <w:pStyle w:val="NormalWeb"/>
        <w:spacing w:beforeAutospacing="0" w:afterAutospacing="0" w:line="360" w:lineRule="auto"/>
        <w:jc w:val="both"/>
        <w:rPr>
          <w:rStyle w:val="Strong"/>
          <w:rFonts w:eastAsiaTheme="minorHAnsi"/>
          <w:b w:val="0"/>
          <w:bCs w:val="0"/>
          <w:sz w:val="20"/>
          <w:szCs w:val="20"/>
          <w:lang w:eastAsia="en-US"/>
        </w:rPr>
      </w:pPr>
      <w:r w:rsidRPr="00356358">
        <w:rPr>
          <w:rStyle w:val="Strong"/>
          <w:rFonts w:eastAsiaTheme="minorHAnsi"/>
          <w:b w:val="0"/>
          <w:bCs w:val="0"/>
          <w:sz w:val="20"/>
          <w:szCs w:val="20"/>
          <w:lang w:eastAsia="en-US"/>
        </w:rPr>
        <w:t>Eligible patients were allocated into two equal groups (n=40 each): Group SA (Spinal Anesthesia) and Group GA (General Anesthesia). Standardized protocols for anesthetic administration and surgical technique were rigorously followed for all cases. Data on intraoperative hemodynamic parameters, quality of surgical conditions, and postoperative outcomes—including pain scores (using a validated scale), time to first ambulation, and any complications—were systematically recorded on a pre-designed data collection sheet.</w:t>
      </w:r>
    </w:p>
    <w:p w14:paraId="3E4982C8" w14:textId="77777777" w:rsidR="00356358" w:rsidRPr="00356358" w:rsidRDefault="00356358" w:rsidP="00356358">
      <w:pPr>
        <w:pStyle w:val="NormalWeb"/>
        <w:spacing w:beforeAutospacing="0" w:afterAutospacing="0" w:line="360" w:lineRule="auto"/>
        <w:jc w:val="both"/>
        <w:rPr>
          <w:rStyle w:val="Strong"/>
          <w:rFonts w:eastAsiaTheme="minorHAnsi"/>
          <w:sz w:val="20"/>
          <w:szCs w:val="20"/>
          <w:lang w:eastAsia="en-US"/>
        </w:rPr>
      </w:pPr>
    </w:p>
    <w:p w14:paraId="252B0288" w14:textId="37F7CFD7" w:rsidR="00356358" w:rsidRPr="00356358" w:rsidRDefault="00356358" w:rsidP="00356358">
      <w:pPr>
        <w:pStyle w:val="NormalWeb"/>
        <w:spacing w:beforeAutospacing="0" w:afterAutospacing="0" w:line="360" w:lineRule="auto"/>
        <w:jc w:val="both"/>
        <w:rPr>
          <w:rStyle w:val="Strong"/>
          <w:rFonts w:eastAsiaTheme="minorHAnsi"/>
          <w:sz w:val="20"/>
          <w:szCs w:val="20"/>
          <w:lang w:eastAsia="en-US"/>
        </w:rPr>
      </w:pPr>
      <w:r w:rsidRPr="00356358">
        <w:rPr>
          <w:rStyle w:val="Strong"/>
          <w:rFonts w:eastAsiaTheme="minorHAnsi"/>
          <w:sz w:val="20"/>
          <w:szCs w:val="20"/>
          <w:lang w:eastAsia="en-US"/>
        </w:rPr>
        <w:t xml:space="preserve">Statistical </w:t>
      </w:r>
      <w:r>
        <w:rPr>
          <w:rStyle w:val="Strong"/>
          <w:rFonts w:eastAsiaTheme="minorHAnsi"/>
          <w:sz w:val="20"/>
          <w:szCs w:val="20"/>
          <w:lang w:eastAsia="en-US"/>
        </w:rPr>
        <w:t>a</w:t>
      </w:r>
      <w:r w:rsidRPr="00356358">
        <w:rPr>
          <w:rStyle w:val="Strong"/>
          <w:rFonts w:eastAsiaTheme="minorHAnsi"/>
          <w:sz w:val="20"/>
          <w:szCs w:val="20"/>
          <w:lang w:eastAsia="en-US"/>
        </w:rPr>
        <w:t>nalysis</w:t>
      </w:r>
    </w:p>
    <w:p w14:paraId="58EDF7EF" w14:textId="50071C21" w:rsidR="002542DB" w:rsidRPr="00356358" w:rsidRDefault="00356358" w:rsidP="00356358">
      <w:pPr>
        <w:pStyle w:val="NormalWeb"/>
        <w:spacing w:beforeAutospacing="0" w:afterAutospacing="0" w:line="360" w:lineRule="auto"/>
        <w:jc w:val="both"/>
        <w:rPr>
          <w:rStyle w:val="Strong"/>
          <w:b w:val="0"/>
          <w:bCs w:val="0"/>
          <w:sz w:val="20"/>
          <w:szCs w:val="20"/>
        </w:rPr>
      </w:pPr>
      <w:r w:rsidRPr="00356358">
        <w:rPr>
          <w:rStyle w:val="Strong"/>
          <w:rFonts w:eastAsiaTheme="minorHAnsi"/>
          <w:b w:val="0"/>
          <w:bCs w:val="0"/>
          <w:sz w:val="20"/>
          <w:szCs w:val="20"/>
          <w:lang w:eastAsia="en-US"/>
        </w:rPr>
        <w:t>Data analysis was performed using the Statistical Package for the Social Sciences (SPSS), version 23.0. Continuous variables were compared using Student’s t-test, while categorical data were analyzed with the Chi-square test. A p-value of less than 0.05 was established as the threshold for statistical significance for all inferential tests.</w:t>
      </w:r>
    </w:p>
    <w:p w14:paraId="0013FE81" w14:textId="77777777" w:rsidR="002542DB" w:rsidRPr="003D2796" w:rsidRDefault="002542DB" w:rsidP="00356358">
      <w:pPr>
        <w:pStyle w:val="NormalWeb"/>
        <w:spacing w:beforeAutospacing="0" w:afterAutospacing="0" w:line="360" w:lineRule="auto"/>
        <w:jc w:val="both"/>
        <w:rPr>
          <w:rStyle w:val="Strong"/>
          <w:b w:val="0"/>
          <w:bCs w:val="0"/>
          <w:sz w:val="20"/>
          <w:szCs w:val="20"/>
        </w:rPr>
      </w:pPr>
    </w:p>
    <w:p w14:paraId="444A0EBA" w14:textId="77777777" w:rsidR="00D94B5B" w:rsidRPr="003D2796" w:rsidRDefault="00ED0843" w:rsidP="00356358">
      <w:pPr>
        <w:pStyle w:val="NoSpacing"/>
        <w:spacing w:line="360"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RESULT</w:t>
      </w:r>
    </w:p>
    <w:p w14:paraId="7FA1B143" w14:textId="77777777" w:rsidR="00356358" w:rsidRPr="00356358" w:rsidRDefault="00356358" w:rsidP="00356358">
      <w:pPr>
        <w:pStyle w:val="NoSpacing"/>
        <w:spacing w:line="276" w:lineRule="auto"/>
        <w:jc w:val="both"/>
        <w:rPr>
          <w:rFonts w:ascii="Times New Roman" w:hAnsi="Times New Roman" w:cs="Times New Roman"/>
          <w:sz w:val="20"/>
          <w:szCs w:val="20"/>
        </w:rPr>
      </w:pPr>
      <w:r w:rsidRPr="00356358">
        <w:rPr>
          <w:rFonts w:ascii="Times New Roman" w:hAnsi="Times New Roman" w:cs="Times New Roman"/>
          <w:sz w:val="20"/>
          <w:szCs w:val="20"/>
        </w:rPr>
        <w:lastRenderedPageBreak/>
        <w:t>The study successfully analyzed data from all 80 enrolled patients, with 40 prospectively allocated to the Spinal Anesthesia (SA) group and 40 to the General Anesthesia (GA) group. A preliminary analysis confirmed that the demographic and baseline clinical profiles of the two cohorts were well-matched, thereby establishing a valid foundation for comparative analysis. The mean age of participants was comparable, at 42.3 ± 8.1 years in the SA group and 40.9 ± 9.4 years in the GA group (p&gt;0.05). Gender distribution was also similar, with the SA group comprising 22 females (55.0%) and the GA group comprising 25 females (62.5%). Furthermore, the majority of patients in both groups were classified as American Society of Anesthesiologists (ASA) physical status I (67.5% in SA vs. 62.5% in GA), indicating a similar burden of systemic disease and operative risk.</w:t>
      </w:r>
    </w:p>
    <w:p w14:paraId="791A609B" w14:textId="77777777" w:rsidR="00356358" w:rsidRPr="00356358" w:rsidRDefault="00356358" w:rsidP="00356358">
      <w:pPr>
        <w:pStyle w:val="NoSpacing"/>
        <w:spacing w:line="276" w:lineRule="auto"/>
        <w:jc w:val="both"/>
        <w:rPr>
          <w:rFonts w:ascii="Times New Roman" w:hAnsi="Times New Roman" w:cs="Times New Roman"/>
          <w:sz w:val="20"/>
          <w:szCs w:val="20"/>
        </w:rPr>
      </w:pPr>
    </w:p>
    <w:p w14:paraId="03F91186" w14:textId="77777777" w:rsidR="00356358" w:rsidRPr="00356358" w:rsidRDefault="00356358" w:rsidP="00356358">
      <w:pPr>
        <w:pStyle w:val="NoSpacing"/>
        <w:spacing w:line="276" w:lineRule="auto"/>
        <w:jc w:val="both"/>
        <w:rPr>
          <w:rFonts w:ascii="Times New Roman" w:hAnsi="Times New Roman" w:cs="Times New Roman"/>
          <w:sz w:val="20"/>
          <w:szCs w:val="20"/>
        </w:rPr>
      </w:pPr>
      <w:r w:rsidRPr="00356358">
        <w:rPr>
          <w:rFonts w:ascii="Times New Roman" w:hAnsi="Times New Roman" w:cs="Times New Roman"/>
          <w:sz w:val="20"/>
          <w:szCs w:val="20"/>
        </w:rPr>
        <w:t>Intraoperative monitoring revealed distinct hemodynamic patterns contingent upon the anesthetic technique. Patients in the SA group demonstrated a significantly higher propensity for cardiovascular instability. Specifically, hypotension was observed in 27.5% (n=11) of the SA group compared to only 7.5% (n=3) in the GA group (p&lt;0.05). Similarly, bradycardia occurred in 15.0% (n=6) of SA patients versus 2.5% (n=1) of those receiving general anesthesia (p&lt;0.05). All such episodes were transient and managed effectively with standard pharmacological interventions. A notable surgical finding unique to the SA cohort was the incidence of shoulder tip pain, referred from diaphragmatic irritation, which was reported by 17 patients (42.5%) and was absent in the GA group.</w:t>
      </w:r>
    </w:p>
    <w:p w14:paraId="0521F4DC" w14:textId="77777777" w:rsidR="00356358" w:rsidRPr="00356358" w:rsidRDefault="00356358" w:rsidP="00356358">
      <w:pPr>
        <w:pStyle w:val="NoSpacing"/>
        <w:spacing w:line="276" w:lineRule="auto"/>
        <w:jc w:val="both"/>
        <w:rPr>
          <w:rFonts w:ascii="Times New Roman" w:hAnsi="Times New Roman" w:cs="Times New Roman"/>
          <w:sz w:val="20"/>
          <w:szCs w:val="20"/>
        </w:rPr>
      </w:pPr>
    </w:p>
    <w:p w14:paraId="02BB51B9" w14:textId="372A4CCA" w:rsidR="00356358" w:rsidRPr="00356358" w:rsidRDefault="00356358" w:rsidP="00356358">
      <w:pPr>
        <w:pStyle w:val="NoSpacing"/>
        <w:spacing w:line="276" w:lineRule="auto"/>
        <w:jc w:val="both"/>
        <w:rPr>
          <w:rFonts w:ascii="Times New Roman" w:hAnsi="Times New Roman" w:cs="Times New Roman"/>
          <w:sz w:val="20"/>
          <w:szCs w:val="20"/>
        </w:rPr>
      </w:pPr>
      <w:r w:rsidRPr="00356358">
        <w:rPr>
          <w:rFonts w:ascii="Times New Roman" w:hAnsi="Times New Roman" w:cs="Times New Roman"/>
          <w:sz w:val="20"/>
          <w:szCs w:val="20"/>
        </w:rPr>
        <w:t xml:space="preserve">The most compelling advantages of spinal anesthesia emerged in the postoperative period, where recovery parameters were consistently superior. Pain assessment using the Visual Analog Scale (VAS) demonstrated significantly lower median scores in the SA group at 2 hours (2 vs. 5), 6 hours (2 vs. 4), and 12 hours (1 vs. 3) post-surgery. This enhanced analgesia translated directly into a markedly prolonged duration of pain relief; the time to the first request for rescue analgesia was more than double in the SA group (185.4 ± 22.5 minutes) compared to the GA group (75.8 ± 18.3 minutes), </w:t>
      </w:r>
      <w:r>
        <w:rPr>
          <w:rFonts w:ascii="Times New Roman" w:hAnsi="Times New Roman" w:cs="Times New Roman"/>
          <w:sz w:val="20"/>
          <w:szCs w:val="20"/>
        </w:rPr>
        <w:t>a statistically significant difference</w:t>
      </w:r>
      <w:r w:rsidRPr="00356358">
        <w:rPr>
          <w:rFonts w:ascii="Times New Roman" w:hAnsi="Times New Roman" w:cs="Times New Roman"/>
          <w:sz w:val="20"/>
          <w:szCs w:val="20"/>
        </w:rPr>
        <w:t xml:space="preserve"> (p&lt;0.001).</w:t>
      </w:r>
    </w:p>
    <w:p w14:paraId="673AE9B7" w14:textId="77777777" w:rsidR="00356358" w:rsidRPr="00356358" w:rsidRDefault="00356358" w:rsidP="00356358">
      <w:pPr>
        <w:pStyle w:val="NoSpacing"/>
        <w:spacing w:line="276" w:lineRule="auto"/>
        <w:jc w:val="both"/>
        <w:rPr>
          <w:rFonts w:ascii="Times New Roman" w:hAnsi="Times New Roman" w:cs="Times New Roman"/>
          <w:sz w:val="20"/>
          <w:szCs w:val="20"/>
        </w:rPr>
      </w:pPr>
    </w:p>
    <w:p w14:paraId="5A250492" w14:textId="77777777" w:rsidR="00356358" w:rsidRPr="00356358" w:rsidRDefault="00356358" w:rsidP="00356358">
      <w:pPr>
        <w:pStyle w:val="NoSpacing"/>
        <w:spacing w:line="276" w:lineRule="auto"/>
        <w:jc w:val="both"/>
        <w:rPr>
          <w:rFonts w:ascii="Times New Roman" w:hAnsi="Times New Roman" w:cs="Times New Roman"/>
          <w:sz w:val="20"/>
          <w:szCs w:val="20"/>
        </w:rPr>
      </w:pPr>
      <w:r w:rsidRPr="00356358">
        <w:rPr>
          <w:rFonts w:ascii="Times New Roman" w:hAnsi="Times New Roman" w:cs="Times New Roman"/>
          <w:sz w:val="20"/>
          <w:szCs w:val="20"/>
        </w:rPr>
        <w:t>Furthermore, the expedited recovery associated with spinal anesthesia was reflected in earlier achievement of key functional milestones. Patients in the SA group were able to ambulate significantly sooner, with a mean time to first ambulation of 320.5 ± 45.2 minutes, compared to 415.8 ± 52.7 minutes in the GA group (p&lt;0.01). Similarly, the time to first oral intake was shorter in the SA group (285.6 ± 40.1 minutes) than in the GA group (365.3 ± 48.9 minutes) (p&lt;0.01).</w:t>
      </w:r>
    </w:p>
    <w:p w14:paraId="592D45E1" w14:textId="77777777" w:rsidR="00356358" w:rsidRPr="00356358" w:rsidRDefault="00356358" w:rsidP="00356358">
      <w:pPr>
        <w:pStyle w:val="NoSpacing"/>
        <w:spacing w:line="276" w:lineRule="auto"/>
        <w:jc w:val="both"/>
        <w:rPr>
          <w:rFonts w:ascii="Times New Roman" w:hAnsi="Times New Roman" w:cs="Times New Roman"/>
          <w:sz w:val="20"/>
          <w:szCs w:val="20"/>
        </w:rPr>
      </w:pPr>
    </w:p>
    <w:p w14:paraId="66077096" w14:textId="38DEB7B5" w:rsidR="00912275" w:rsidRDefault="00356358" w:rsidP="00356358">
      <w:pPr>
        <w:pStyle w:val="NoSpacing"/>
        <w:spacing w:line="276" w:lineRule="auto"/>
        <w:jc w:val="both"/>
        <w:rPr>
          <w:rFonts w:ascii="Times New Roman" w:hAnsi="Times New Roman" w:cs="Times New Roman"/>
          <w:sz w:val="20"/>
          <w:szCs w:val="20"/>
        </w:rPr>
      </w:pPr>
      <w:r w:rsidRPr="00356358">
        <w:rPr>
          <w:rFonts w:ascii="Times New Roman" w:hAnsi="Times New Roman" w:cs="Times New Roman"/>
          <w:sz w:val="20"/>
          <w:szCs w:val="20"/>
        </w:rPr>
        <w:t>The incidence of common postoperative complications also differed notably between the groups. Postoperative nausea and vomiting (PONV), a frequent side-effect of general anesthesia and opioid analgesia, was significantly less prevalent in the SA group, affecting only 10.0% (n=4) of patients compared to 32.5% (n=13) in the GA group (p&lt;0.05). The incidence of headache was low and comparable between the two cohorts. Despite these pronounced benefits in recovery quality, the mean total duration of hospital stay was not significantly different, with the SA group discharged at 27.4 ± 6.2 hours and the GA group at 28.9 ± 7.1 hours (p&gt;0.05).</w:t>
      </w:r>
    </w:p>
    <w:p w14:paraId="3C1E471B" w14:textId="77777777" w:rsidR="00356358" w:rsidRDefault="00356358" w:rsidP="003D2796">
      <w:pPr>
        <w:pStyle w:val="NoSpacing"/>
        <w:spacing w:line="276" w:lineRule="auto"/>
        <w:jc w:val="both"/>
        <w:rPr>
          <w:rFonts w:ascii="Times New Roman" w:hAnsi="Times New Roman" w:cs="Times New Roman"/>
          <w:sz w:val="20"/>
          <w:szCs w:val="20"/>
        </w:rPr>
      </w:pPr>
    </w:p>
    <w:p w14:paraId="5B9A427A" w14:textId="77777777" w:rsidR="00356358" w:rsidRPr="003D2796" w:rsidRDefault="00356358" w:rsidP="003D2796">
      <w:pPr>
        <w:pStyle w:val="NoSpacing"/>
        <w:spacing w:line="276" w:lineRule="auto"/>
        <w:jc w:val="both"/>
        <w:rPr>
          <w:rFonts w:ascii="Times New Roman" w:hAnsi="Times New Roman" w:cs="Times New Roman"/>
          <w:sz w:val="20"/>
          <w:szCs w:val="20"/>
        </w:rPr>
      </w:pPr>
    </w:p>
    <w:p w14:paraId="5404E6E1" w14:textId="219F6841"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 xml:space="preserve">Table 1: </w:t>
      </w:r>
      <w:r w:rsidRPr="003D2796">
        <w:rPr>
          <w:rFonts w:ascii="Times New Roman" w:hAnsi="Times New Roman" w:cs="Times New Roman"/>
          <w:sz w:val="20"/>
          <w:szCs w:val="20"/>
        </w:rPr>
        <w:t xml:space="preserve">Baseline </w:t>
      </w:r>
      <w:r w:rsidR="009B3175" w:rsidRPr="003D2796">
        <w:rPr>
          <w:rFonts w:ascii="Times New Roman" w:hAnsi="Times New Roman" w:cs="Times New Roman"/>
          <w:sz w:val="20"/>
          <w:szCs w:val="20"/>
        </w:rPr>
        <w:t>d</w:t>
      </w:r>
      <w:r w:rsidRPr="003D2796">
        <w:rPr>
          <w:rFonts w:ascii="Times New Roman" w:hAnsi="Times New Roman" w:cs="Times New Roman"/>
          <w:sz w:val="20"/>
          <w:szCs w:val="20"/>
        </w:rPr>
        <w:t xml:space="preserve">emographic and </w:t>
      </w:r>
      <w:r w:rsidR="009B3175" w:rsidRPr="003D2796">
        <w:rPr>
          <w:rFonts w:ascii="Times New Roman" w:hAnsi="Times New Roman" w:cs="Times New Roman"/>
          <w:sz w:val="20"/>
          <w:szCs w:val="20"/>
        </w:rPr>
        <w:t>c</w:t>
      </w:r>
      <w:r w:rsidRPr="003D2796">
        <w:rPr>
          <w:rFonts w:ascii="Times New Roman" w:hAnsi="Times New Roman" w:cs="Times New Roman"/>
          <w:sz w:val="20"/>
          <w:szCs w:val="20"/>
        </w:rPr>
        <w:t xml:space="preserve">linical </w:t>
      </w:r>
      <w:r w:rsidR="009B3175" w:rsidRPr="003D2796">
        <w:rPr>
          <w:rFonts w:ascii="Times New Roman" w:hAnsi="Times New Roman" w:cs="Times New Roman"/>
          <w:sz w:val="20"/>
          <w:szCs w:val="20"/>
        </w:rPr>
        <w:t>c</w:t>
      </w:r>
      <w:r w:rsidRPr="003D2796">
        <w:rPr>
          <w:rFonts w:ascii="Times New Roman" w:hAnsi="Times New Roman" w:cs="Times New Roman"/>
          <w:sz w:val="20"/>
          <w:szCs w:val="20"/>
        </w:rPr>
        <w:t xml:space="preserve">haracteristics of the </w:t>
      </w:r>
      <w:r w:rsidR="009B3175" w:rsidRPr="003D2796">
        <w:rPr>
          <w:rFonts w:ascii="Times New Roman" w:hAnsi="Times New Roman" w:cs="Times New Roman"/>
          <w:sz w:val="20"/>
          <w:szCs w:val="20"/>
        </w:rPr>
        <w:t>s</w:t>
      </w:r>
      <w:r w:rsidRPr="003D2796">
        <w:rPr>
          <w:rFonts w:ascii="Times New Roman" w:hAnsi="Times New Roman" w:cs="Times New Roman"/>
          <w:sz w:val="20"/>
          <w:szCs w:val="20"/>
        </w:rPr>
        <w:t xml:space="preserve">tudy </w:t>
      </w:r>
      <w:r w:rsidR="009B3175" w:rsidRPr="003D2796">
        <w:rPr>
          <w:rFonts w:ascii="Times New Roman" w:hAnsi="Times New Roman" w:cs="Times New Roman"/>
          <w:sz w:val="20"/>
          <w:szCs w:val="20"/>
        </w:rPr>
        <w:t>p</w:t>
      </w:r>
      <w:r w:rsidRPr="003D2796">
        <w:rPr>
          <w:rFonts w:ascii="Times New Roman" w:hAnsi="Times New Roman" w:cs="Times New Roman"/>
          <w:sz w:val="20"/>
          <w:szCs w:val="20"/>
        </w:rPr>
        <w:t>articipants</w:t>
      </w:r>
    </w:p>
    <w:tbl>
      <w:tblPr>
        <w:tblStyle w:val="GridTable1Light-Accent5"/>
        <w:tblW w:w="4188" w:type="pct"/>
        <w:tblLook w:val="04A0" w:firstRow="1" w:lastRow="0" w:firstColumn="1" w:lastColumn="0" w:noHBand="0" w:noVBand="1"/>
      </w:tblPr>
      <w:tblGrid>
        <w:gridCol w:w="2411"/>
        <w:gridCol w:w="2062"/>
        <w:gridCol w:w="2193"/>
        <w:gridCol w:w="888"/>
      </w:tblGrid>
      <w:tr w:rsidR="005448EE" w:rsidRPr="003D2796" w14:paraId="231C4C5C"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96" w:type="pct"/>
            <w:vMerge w:val="restart"/>
            <w:noWrap/>
            <w:vAlign w:val="center"/>
            <w:hideMark/>
          </w:tcPr>
          <w:p w14:paraId="474A45F4" w14:textId="77777777"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Characteristic</w:t>
            </w:r>
          </w:p>
        </w:tc>
        <w:tc>
          <w:tcPr>
            <w:tcW w:w="1365" w:type="pct"/>
            <w:noWrap/>
            <w:vAlign w:val="center"/>
            <w:hideMark/>
          </w:tcPr>
          <w:p w14:paraId="076A6F6C" w14:textId="053B3A99" w:rsidR="005448EE" w:rsidRPr="003D2796" w:rsidRDefault="005448EE"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Spinal anesthesia (SA)</w:t>
            </w:r>
          </w:p>
        </w:tc>
        <w:tc>
          <w:tcPr>
            <w:tcW w:w="1451" w:type="pct"/>
            <w:noWrap/>
            <w:vAlign w:val="center"/>
            <w:hideMark/>
          </w:tcPr>
          <w:p w14:paraId="1941242E" w14:textId="4C43AD37" w:rsidR="005448EE" w:rsidRPr="003D2796" w:rsidRDefault="005448EE"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General anesthesia (GA)</w:t>
            </w:r>
          </w:p>
        </w:tc>
        <w:tc>
          <w:tcPr>
            <w:tcW w:w="588" w:type="pct"/>
            <w:vMerge w:val="restart"/>
            <w:noWrap/>
            <w:vAlign w:val="center"/>
            <w:hideMark/>
          </w:tcPr>
          <w:p w14:paraId="7315B70C" w14:textId="77777777" w:rsidR="005448EE" w:rsidRPr="003D2796" w:rsidRDefault="005448EE"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5448EE" w:rsidRPr="003D2796" w14:paraId="772986B2"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vMerge/>
            <w:vAlign w:val="center"/>
            <w:hideMark/>
          </w:tcPr>
          <w:p w14:paraId="0FAA28C9" w14:textId="77777777" w:rsidR="005448EE" w:rsidRPr="003D2796" w:rsidRDefault="005448EE" w:rsidP="003D2796">
            <w:pPr>
              <w:spacing w:line="276" w:lineRule="auto"/>
              <w:jc w:val="both"/>
              <w:rPr>
                <w:b w:val="0"/>
                <w:bCs w:val="0"/>
                <w:color w:val="000000"/>
                <w:sz w:val="20"/>
                <w:szCs w:val="20"/>
              </w:rPr>
            </w:pPr>
          </w:p>
        </w:tc>
        <w:tc>
          <w:tcPr>
            <w:tcW w:w="1365" w:type="pct"/>
            <w:noWrap/>
            <w:vAlign w:val="center"/>
            <w:hideMark/>
          </w:tcPr>
          <w:p w14:paraId="0DEB65D0"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(n=40)</w:t>
            </w:r>
          </w:p>
        </w:tc>
        <w:tc>
          <w:tcPr>
            <w:tcW w:w="1451" w:type="pct"/>
            <w:noWrap/>
            <w:vAlign w:val="center"/>
            <w:hideMark/>
          </w:tcPr>
          <w:p w14:paraId="1AAD9848"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(n=40)</w:t>
            </w:r>
          </w:p>
        </w:tc>
        <w:tc>
          <w:tcPr>
            <w:tcW w:w="588" w:type="pct"/>
            <w:vMerge/>
            <w:vAlign w:val="center"/>
            <w:hideMark/>
          </w:tcPr>
          <w:p w14:paraId="10B7D315"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5448EE" w:rsidRPr="003D2796" w14:paraId="7FF5022B"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0F21521A" w14:textId="1488C17C"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Age (years), Mean ±SD</w:t>
            </w:r>
          </w:p>
        </w:tc>
        <w:tc>
          <w:tcPr>
            <w:tcW w:w="1365" w:type="pct"/>
            <w:noWrap/>
            <w:vAlign w:val="center"/>
            <w:hideMark/>
          </w:tcPr>
          <w:p w14:paraId="0C57779B"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42.3 ± 8.1</w:t>
            </w:r>
          </w:p>
        </w:tc>
        <w:tc>
          <w:tcPr>
            <w:tcW w:w="1451" w:type="pct"/>
            <w:noWrap/>
            <w:vAlign w:val="center"/>
            <w:hideMark/>
          </w:tcPr>
          <w:p w14:paraId="129425B7"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40.9 ± 9.4</w:t>
            </w:r>
          </w:p>
        </w:tc>
        <w:tc>
          <w:tcPr>
            <w:tcW w:w="588" w:type="pct"/>
            <w:noWrap/>
            <w:vAlign w:val="center"/>
            <w:hideMark/>
          </w:tcPr>
          <w:p w14:paraId="58779DFE"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0.478</w:t>
            </w:r>
          </w:p>
        </w:tc>
      </w:tr>
      <w:tr w:rsidR="005448EE" w:rsidRPr="003D2796" w14:paraId="07B97BDF"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4412" w:type="pct"/>
            <w:gridSpan w:val="3"/>
            <w:noWrap/>
            <w:vAlign w:val="center"/>
            <w:hideMark/>
          </w:tcPr>
          <w:p w14:paraId="75613736" w14:textId="77777777"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Gender, n (%)</w:t>
            </w:r>
          </w:p>
        </w:tc>
        <w:tc>
          <w:tcPr>
            <w:tcW w:w="588" w:type="pct"/>
            <w:vMerge w:val="restart"/>
            <w:noWrap/>
            <w:vAlign w:val="center"/>
            <w:hideMark/>
          </w:tcPr>
          <w:p w14:paraId="2D8FFBBE"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0.497</w:t>
            </w:r>
          </w:p>
        </w:tc>
      </w:tr>
      <w:tr w:rsidR="005448EE" w:rsidRPr="003D2796" w14:paraId="6EFEFBFA"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71D1D74D" w14:textId="717B5776"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Female</w:t>
            </w:r>
          </w:p>
        </w:tc>
        <w:tc>
          <w:tcPr>
            <w:tcW w:w="1365" w:type="pct"/>
            <w:noWrap/>
            <w:vAlign w:val="center"/>
            <w:hideMark/>
          </w:tcPr>
          <w:p w14:paraId="1A3D9525"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22 (55.0)</w:t>
            </w:r>
          </w:p>
        </w:tc>
        <w:tc>
          <w:tcPr>
            <w:tcW w:w="1451" w:type="pct"/>
            <w:noWrap/>
            <w:vAlign w:val="center"/>
            <w:hideMark/>
          </w:tcPr>
          <w:p w14:paraId="478F5CC5"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25 (62.5)</w:t>
            </w:r>
          </w:p>
        </w:tc>
        <w:tc>
          <w:tcPr>
            <w:tcW w:w="588" w:type="pct"/>
            <w:vMerge/>
            <w:vAlign w:val="center"/>
            <w:hideMark/>
          </w:tcPr>
          <w:p w14:paraId="61E6D179"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5448EE" w:rsidRPr="003D2796" w14:paraId="45D2D251"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47158AAC" w14:textId="5C46788D"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Male</w:t>
            </w:r>
          </w:p>
        </w:tc>
        <w:tc>
          <w:tcPr>
            <w:tcW w:w="1365" w:type="pct"/>
            <w:noWrap/>
            <w:vAlign w:val="center"/>
            <w:hideMark/>
          </w:tcPr>
          <w:p w14:paraId="2075D535"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18 (45.0)</w:t>
            </w:r>
          </w:p>
        </w:tc>
        <w:tc>
          <w:tcPr>
            <w:tcW w:w="1451" w:type="pct"/>
            <w:noWrap/>
            <w:vAlign w:val="center"/>
            <w:hideMark/>
          </w:tcPr>
          <w:p w14:paraId="63811B3B"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15 (37.5)</w:t>
            </w:r>
          </w:p>
        </w:tc>
        <w:tc>
          <w:tcPr>
            <w:tcW w:w="588" w:type="pct"/>
            <w:vMerge/>
            <w:vAlign w:val="center"/>
            <w:hideMark/>
          </w:tcPr>
          <w:p w14:paraId="6AFEA37D" w14:textId="77777777" w:rsidR="005448EE" w:rsidRPr="003D2796" w:rsidRDefault="005448EE" w:rsidP="003D2796">
            <w:pP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5448EE" w:rsidRPr="003D2796" w14:paraId="46C29946"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4412" w:type="pct"/>
            <w:gridSpan w:val="3"/>
            <w:noWrap/>
            <w:vAlign w:val="center"/>
            <w:hideMark/>
          </w:tcPr>
          <w:p w14:paraId="43DB5A72" w14:textId="31683DDC"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 xml:space="preserve">ASA </w:t>
            </w:r>
            <w:r w:rsidR="00FC1F5F" w:rsidRPr="003D2796">
              <w:rPr>
                <w:b w:val="0"/>
                <w:bCs w:val="0"/>
                <w:color w:val="000000"/>
                <w:sz w:val="20"/>
                <w:szCs w:val="20"/>
              </w:rPr>
              <w:t>p</w:t>
            </w:r>
            <w:r w:rsidRPr="003D2796">
              <w:rPr>
                <w:b w:val="0"/>
                <w:bCs w:val="0"/>
                <w:color w:val="000000"/>
                <w:sz w:val="20"/>
                <w:szCs w:val="20"/>
              </w:rPr>
              <w:t>hysical status, n (%)</w:t>
            </w:r>
          </w:p>
        </w:tc>
        <w:tc>
          <w:tcPr>
            <w:tcW w:w="588" w:type="pct"/>
            <w:vMerge w:val="restart"/>
            <w:noWrap/>
            <w:vAlign w:val="center"/>
            <w:hideMark/>
          </w:tcPr>
          <w:p w14:paraId="5129AC44"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0.637</w:t>
            </w:r>
          </w:p>
        </w:tc>
      </w:tr>
      <w:tr w:rsidR="005448EE" w:rsidRPr="003D2796" w14:paraId="2B97EE4D"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327EF3D6" w14:textId="7BE517DA"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I</w:t>
            </w:r>
          </w:p>
        </w:tc>
        <w:tc>
          <w:tcPr>
            <w:tcW w:w="1365" w:type="pct"/>
            <w:noWrap/>
            <w:vAlign w:val="center"/>
            <w:hideMark/>
          </w:tcPr>
          <w:p w14:paraId="4B5D37AD"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27 (67.5)</w:t>
            </w:r>
          </w:p>
        </w:tc>
        <w:tc>
          <w:tcPr>
            <w:tcW w:w="1451" w:type="pct"/>
            <w:noWrap/>
            <w:vAlign w:val="center"/>
            <w:hideMark/>
          </w:tcPr>
          <w:p w14:paraId="522DC701"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25 (62.5)</w:t>
            </w:r>
          </w:p>
        </w:tc>
        <w:tc>
          <w:tcPr>
            <w:tcW w:w="588" w:type="pct"/>
            <w:vMerge/>
            <w:vAlign w:val="center"/>
            <w:hideMark/>
          </w:tcPr>
          <w:p w14:paraId="4138656D"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5448EE" w:rsidRPr="003D2796" w14:paraId="6C5C2A50"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7E9DC26E" w14:textId="08827CAE"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II</w:t>
            </w:r>
          </w:p>
        </w:tc>
        <w:tc>
          <w:tcPr>
            <w:tcW w:w="1365" w:type="pct"/>
            <w:noWrap/>
            <w:vAlign w:val="center"/>
            <w:hideMark/>
          </w:tcPr>
          <w:p w14:paraId="0538FA97"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13 (32.5)</w:t>
            </w:r>
          </w:p>
        </w:tc>
        <w:tc>
          <w:tcPr>
            <w:tcW w:w="1451" w:type="pct"/>
            <w:noWrap/>
            <w:vAlign w:val="center"/>
            <w:hideMark/>
          </w:tcPr>
          <w:p w14:paraId="75F21372"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15 (37.5)</w:t>
            </w:r>
          </w:p>
        </w:tc>
        <w:tc>
          <w:tcPr>
            <w:tcW w:w="588" w:type="pct"/>
            <w:vMerge/>
            <w:vAlign w:val="center"/>
            <w:hideMark/>
          </w:tcPr>
          <w:p w14:paraId="62E0FD24"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5448EE" w:rsidRPr="003D2796" w14:paraId="3C187AFA"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26D02FE8" w14:textId="3B233E63"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B</w:t>
            </w:r>
            <w:r w:rsidR="00F23DCC" w:rsidRPr="003D2796">
              <w:rPr>
                <w:b w:val="0"/>
                <w:bCs w:val="0"/>
                <w:color w:val="000000"/>
                <w:sz w:val="20"/>
                <w:szCs w:val="20"/>
              </w:rPr>
              <w:t>MI</w:t>
            </w:r>
            <w:r w:rsidRPr="003D2796">
              <w:rPr>
                <w:b w:val="0"/>
                <w:bCs w:val="0"/>
                <w:color w:val="000000"/>
                <w:sz w:val="20"/>
                <w:szCs w:val="20"/>
              </w:rPr>
              <w:t xml:space="preserve"> (kg/m²), Mean ±SD</w:t>
            </w:r>
          </w:p>
        </w:tc>
        <w:tc>
          <w:tcPr>
            <w:tcW w:w="1365" w:type="pct"/>
            <w:noWrap/>
            <w:vAlign w:val="center"/>
            <w:hideMark/>
          </w:tcPr>
          <w:p w14:paraId="1BCAA00A" w14:textId="18E5780E"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25.6 ±3.1</w:t>
            </w:r>
          </w:p>
        </w:tc>
        <w:tc>
          <w:tcPr>
            <w:tcW w:w="1451" w:type="pct"/>
            <w:noWrap/>
            <w:vAlign w:val="center"/>
            <w:hideMark/>
          </w:tcPr>
          <w:p w14:paraId="476A616B" w14:textId="363B75A5"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26.2 ±2.8</w:t>
            </w:r>
          </w:p>
        </w:tc>
        <w:tc>
          <w:tcPr>
            <w:tcW w:w="588" w:type="pct"/>
            <w:noWrap/>
            <w:vAlign w:val="center"/>
            <w:hideMark/>
          </w:tcPr>
          <w:p w14:paraId="57283224"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0.351</w:t>
            </w:r>
          </w:p>
        </w:tc>
      </w:tr>
    </w:tbl>
    <w:p w14:paraId="2AC3D595" w14:textId="413CD1B4" w:rsidR="009D144D" w:rsidRPr="003D2796" w:rsidRDefault="009D144D"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lastRenderedPageBreak/>
        <w:t xml:space="preserve">Data analyzed using </w:t>
      </w:r>
      <w:r w:rsidR="005628BA" w:rsidRPr="003D2796">
        <w:rPr>
          <w:rFonts w:ascii="Times New Roman" w:hAnsi="Times New Roman" w:cs="Times New Roman"/>
          <w:b/>
          <w:bCs/>
          <w:sz w:val="20"/>
          <w:szCs w:val="20"/>
        </w:rPr>
        <w:t xml:space="preserve">an </w:t>
      </w:r>
      <w:r w:rsidRPr="003D2796">
        <w:rPr>
          <w:rFonts w:ascii="Times New Roman" w:hAnsi="Times New Roman" w:cs="Times New Roman"/>
          <w:b/>
          <w:bCs/>
          <w:sz w:val="20"/>
          <w:szCs w:val="20"/>
        </w:rPr>
        <w:t xml:space="preserve">independent t-test for continuous variables and </w:t>
      </w:r>
      <w:r w:rsidR="005628BA" w:rsidRPr="003D2796">
        <w:rPr>
          <w:rFonts w:ascii="Times New Roman" w:hAnsi="Times New Roman" w:cs="Times New Roman"/>
          <w:b/>
          <w:bCs/>
          <w:sz w:val="20"/>
          <w:szCs w:val="20"/>
        </w:rPr>
        <w:t xml:space="preserve">a </w:t>
      </w:r>
      <w:r w:rsidRPr="003D2796">
        <w:rPr>
          <w:rFonts w:ascii="Times New Roman" w:hAnsi="Times New Roman" w:cs="Times New Roman"/>
          <w:b/>
          <w:bCs/>
          <w:sz w:val="20"/>
          <w:szCs w:val="20"/>
        </w:rPr>
        <w:t>Chi-square test for categorical variables</w:t>
      </w:r>
    </w:p>
    <w:p w14:paraId="4BB39CA6" w14:textId="77777777" w:rsidR="009D144D" w:rsidRPr="003D2796" w:rsidRDefault="009D144D" w:rsidP="003D2796">
      <w:pPr>
        <w:pStyle w:val="NoSpacing"/>
        <w:spacing w:line="276" w:lineRule="auto"/>
        <w:jc w:val="both"/>
        <w:rPr>
          <w:rFonts w:ascii="Times New Roman" w:hAnsi="Times New Roman" w:cs="Times New Roman"/>
          <w:sz w:val="20"/>
          <w:szCs w:val="20"/>
        </w:rPr>
      </w:pPr>
    </w:p>
    <w:p w14:paraId="01AB1310" w14:textId="5F3A0B67"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Table 2:</w:t>
      </w:r>
      <w:r w:rsidRPr="003D2796">
        <w:rPr>
          <w:rFonts w:ascii="Times New Roman" w:hAnsi="Times New Roman" w:cs="Times New Roman"/>
          <w:sz w:val="20"/>
          <w:szCs w:val="20"/>
        </w:rPr>
        <w:t xml:space="preserve"> Intraoperative </w:t>
      </w:r>
      <w:r w:rsidR="005448EE" w:rsidRPr="003D2796">
        <w:rPr>
          <w:rFonts w:ascii="Times New Roman" w:hAnsi="Times New Roman" w:cs="Times New Roman"/>
          <w:sz w:val="20"/>
          <w:szCs w:val="20"/>
        </w:rPr>
        <w:t>a</w:t>
      </w:r>
      <w:r w:rsidRPr="003D2796">
        <w:rPr>
          <w:rFonts w:ascii="Times New Roman" w:hAnsi="Times New Roman" w:cs="Times New Roman"/>
          <w:sz w:val="20"/>
          <w:szCs w:val="20"/>
        </w:rPr>
        <w:t xml:space="preserve">dverse </w:t>
      </w:r>
      <w:r w:rsidR="005448EE" w:rsidRPr="003D2796">
        <w:rPr>
          <w:rFonts w:ascii="Times New Roman" w:hAnsi="Times New Roman" w:cs="Times New Roman"/>
          <w:sz w:val="20"/>
          <w:szCs w:val="20"/>
        </w:rPr>
        <w:t>e</w:t>
      </w:r>
      <w:r w:rsidRPr="003D2796">
        <w:rPr>
          <w:rFonts w:ascii="Times New Roman" w:hAnsi="Times New Roman" w:cs="Times New Roman"/>
          <w:sz w:val="20"/>
          <w:szCs w:val="20"/>
        </w:rPr>
        <w:t xml:space="preserve">vents and </w:t>
      </w:r>
      <w:r w:rsidR="005448EE" w:rsidRPr="003D2796">
        <w:rPr>
          <w:rFonts w:ascii="Times New Roman" w:hAnsi="Times New Roman" w:cs="Times New Roman"/>
          <w:sz w:val="20"/>
          <w:szCs w:val="20"/>
        </w:rPr>
        <w:t>s</w:t>
      </w:r>
      <w:r w:rsidRPr="003D2796">
        <w:rPr>
          <w:rFonts w:ascii="Times New Roman" w:hAnsi="Times New Roman" w:cs="Times New Roman"/>
          <w:sz w:val="20"/>
          <w:szCs w:val="20"/>
        </w:rPr>
        <w:t xml:space="preserve">urgical </w:t>
      </w:r>
      <w:r w:rsidR="005448EE" w:rsidRPr="003D2796">
        <w:rPr>
          <w:rFonts w:ascii="Times New Roman" w:hAnsi="Times New Roman" w:cs="Times New Roman"/>
          <w:sz w:val="20"/>
          <w:szCs w:val="20"/>
        </w:rPr>
        <w:t>c</w:t>
      </w:r>
      <w:r w:rsidRPr="003D2796">
        <w:rPr>
          <w:rFonts w:ascii="Times New Roman" w:hAnsi="Times New Roman" w:cs="Times New Roman"/>
          <w:sz w:val="20"/>
          <w:szCs w:val="20"/>
        </w:rPr>
        <w:t>onditions</w:t>
      </w:r>
    </w:p>
    <w:tbl>
      <w:tblPr>
        <w:tblStyle w:val="GridTable1Light-Accent5"/>
        <w:tblW w:w="3889" w:type="pct"/>
        <w:tblLook w:val="04A0" w:firstRow="1" w:lastRow="0" w:firstColumn="1" w:lastColumn="0" w:noHBand="0" w:noVBand="1"/>
      </w:tblPr>
      <w:tblGrid>
        <w:gridCol w:w="3058"/>
        <w:gridCol w:w="1439"/>
        <w:gridCol w:w="1438"/>
        <w:gridCol w:w="1080"/>
      </w:tblGrid>
      <w:tr w:rsidR="009D144D" w:rsidRPr="003D2796" w14:paraId="12ECC8BA"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5D5F0D5D"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Parameter</w:t>
            </w:r>
          </w:p>
        </w:tc>
        <w:tc>
          <w:tcPr>
            <w:tcW w:w="1026" w:type="pct"/>
            <w:noWrap/>
            <w:vAlign w:val="center"/>
            <w:hideMark/>
          </w:tcPr>
          <w:p w14:paraId="229082A0" w14:textId="2D9BB5C1"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SA</w:t>
            </w:r>
            <w:r w:rsidR="005448EE" w:rsidRPr="003D2796">
              <w:rPr>
                <w:b w:val="0"/>
                <w:bCs w:val="0"/>
                <w:color w:val="000000"/>
                <w:sz w:val="20"/>
                <w:szCs w:val="20"/>
              </w:rPr>
              <w:t xml:space="preserve"> </w:t>
            </w:r>
            <w:r w:rsidRPr="003D2796">
              <w:rPr>
                <w:b w:val="0"/>
                <w:bCs w:val="0"/>
                <w:color w:val="000000"/>
                <w:sz w:val="20"/>
                <w:szCs w:val="20"/>
              </w:rPr>
              <w:t>(n=40)</w:t>
            </w:r>
          </w:p>
        </w:tc>
        <w:tc>
          <w:tcPr>
            <w:tcW w:w="1025" w:type="pct"/>
            <w:noWrap/>
            <w:vAlign w:val="center"/>
            <w:hideMark/>
          </w:tcPr>
          <w:p w14:paraId="1CF005CD" w14:textId="071A0089"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GA</w:t>
            </w:r>
            <w:r w:rsidR="00FC1F5F" w:rsidRPr="003D2796">
              <w:rPr>
                <w:b w:val="0"/>
                <w:bCs w:val="0"/>
                <w:color w:val="000000"/>
                <w:sz w:val="20"/>
                <w:szCs w:val="20"/>
              </w:rPr>
              <w:t xml:space="preserve"> </w:t>
            </w:r>
            <w:r w:rsidRPr="003D2796">
              <w:rPr>
                <w:b w:val="0"/>
                <w:bCs w:val="0"/>
                <w:color w:val="000000"/>
                <w:sz w:val="20"/>
                <w:szCs w:val="20"/>
              </w:rPr>
              <w:t>(n=40)</w:t>
            </w:r>
          </w:p>
        </w:tc>
        <w:tc>
          <w:tcPr>
            <w:tcW w:w="770" w:type="pct"/>
            <w:noWrap/>
            <w:vAlign w:val="center"/>
            <w:hideMark/>
          </w:tcPr>
          <w:p w14:paraId="3F1B3C80" w14:textId="77777777"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9D144D" w:rsidRPr="003D2796" w14:paraId="62C3EB0C"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20DD5353"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Hypotension, n (%)</w:t>
            </w:r>
          </w:p>
        </w:tc>
        <w:tc>
          <w:tcPr>
            <w:tcW w:w="1026" w:type="pct"/>
            <w:noWrap/>
            <w:vAlign w:val="center"/>
            <w:hideMark/>
          </w:tcPr>
          <w:p w14:paraId="65D26321"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11 (27.5)</w:t>
            </w:r>
          </w:p>
        </w:tc>
        <w:tc>
          <w:tcPr>
            <w:tcW w:w="1025" w:type="pct"/>
            <w:noWrap/>
            <w:vAlign w:val="center"/>
            <w:hideMark/>
          </w:tcPr>
          <w:p w14:paraId="5331C9DF"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3 (7.5)</w:t>
            </w:r>
          </w:p>
        </w:tc>
        <w:tc>
          <w:tcPr>
            <w:tcW w:w="770" w:type="pct"/>
            <w:noWrap/>
            <w:vAlign w:val="center"/>
            <w:hideMark/>
          </w:tcPr>
          <w:p w14:paraId="381A448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0.017</w:t>
            </w:r>
          </w:p>
        </w:tc>
      </w:tr>
      <w:tr w:rsidR="009D144D" w:rsidRPr="003D2796" w14:paraId="75E61391"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111D1CCE"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Bradycardia, n (%)</w:t>
            </w:r>
          </w:p>
        </w:tc>
        <w:tc>
          <w:tcPr>
            <w:tcW w:w="1026" w:type="pct"/>
            <w:noWrap/>
            <w:vAlign w:val="center"/>
            <w:hideMark/>
          </w:tcPr>
          <w:p w14:paraId="24E6BE77"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6 (15.0)</w:t>
            </w:r>
          </w:p>
        </w:tc>
        <w:tc>
          <w:tcPr>
            <w:tcW w:w="1025" w:type="pct"/>
            <w:noWrap/>
            <w:vAlign w:val="center"/>
            <w:hideMark/>
          </w:tcPr>
          <w:p w14:paraId="4325947A"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 (2.5)</w:t>
            </w:r>
          </w:p>
        </w:tc>
        <w:tc>
          <w:tcPr>
            <w:tcW w:w="770" w:type="pct"/>
            <w:noWrap/>
            <w:vAlign w:val="center"/>
            <w:hideMark/>
          </w:tcPr>
          <w:p w14:paraId="13BDDD7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0.044</w:t>
            </w:r>
          </w:p>
        </w:tc>
      </w:tr>
      <w:tr w:rsidR="009D144D" w:rsidRPr="003D2796" w14:paraId="61921089"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16898CC0" w14:textId="5FF35EE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 xml:space="preserve">Shoulder </w:t>
            </w:r>
            <w:r w:rsidR="005448EE" w:rsidRPr="003D2796">
              <w:rPr>
                <w:b w:val="0"/>
                <w:bCs w:val="0"/>
                <w:color w:val="000000"/>
                <w:sz w:val="20"/>
                <w:szCs w:val="20"/>
              </w:rPr>
              <w:t>t</w:t>
            </w:r>
            <w:r w:rsidRPr="003D2796">
              <w:rPr>
                <w:b w:val="0"/>
                <w:bCs w:val="0"/>
                <w:color w:val="000000"/>
                <w:sz w:val="20"/>
                <w:szCs w:val="20"/>
              </w:rPr>
              <w:t xml:space="preserve">ip </w:t>
            </w:r>
            <w:r w:rsidR="005448EE" w:rsidRPr="003D2796">
              <w:rPr>
                <w:b w:val="0"/>
                <w:bCs w:val="0"/>
                <w:color w:val="000000"/>
                <w:sz w:val="20"/>
                <w:szCs w:val="20"/>
              </w:rPr>
              <w:t>p</w:t>
            </w:r>
            <w:r w:rsidRPr="003D2796">
              <w:rPr>
                <w:b w:val="0"/>
                <w:bCs w:val="0"/>
                <w:color w:val="000000"/>
                <w:sz w:val="20"/>
                <w:szCs w:val="20"/>
              </w:rPr>
              <w:t>ain, n (%)</w:t>
            </w:r>
          </w:p>
        </w:tc>
        <w:tc>
          <w:tcPr>
            <w:tcW w:w="1026" w:type="pct"/>
            <w:noWrap/>
            <w:vAlign w:val="center"/>
            <w:hideMark/>
          </w:tcPr>
          <w:p w14:paraId="35E96AF5"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17 (42.5)</w:t>
            </w:r>
          </w:p>
        </w:tc>
        <w:tc>
          <w:tcPr>
            <w:tcW w:w="1025" w:type="pct"/>
            <w:noWrap/>
            <w:vAlign w:val="center"/>
            <w:hideMark/>
          </w:tcPr>
          <w:p w14:paraId="56B8FE3D"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 (0.0)</w:t>
            </w:r>
          </w:p>
        </w:tc>
        <w:tc>
          <w:tcPr>
            <w:tcW w:w="770" w:type="pct"/>
            <w:noWrap/>
            <w:vAlign w:val="center"/>
            <w:hideMark/>
          </w:tcPr>
          <w:p w14:paraId="11FE3DB5"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r w:rsidR="009D144D" w:rsidRPr="003D2796" w14:paraId="76189F6B"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3B91320F"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Conversion to GA, n (%)</w:t>
            </w:r>
          </w:p>
        </w:tc>
        <w:tc>
          <w:tcPr>
            <w:tcW w:w="1026" w:type="pct"/>
            <w:noWrap/>
            <w:vAlign w:val="center"/>
            <w:hideMark/>
          </w:tcPr>
          <w:p w14:paraId="4C3A3E91"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 (5.0)</w:t>
            </w:r>
          </w:p>
        </w:tc>
        <w:tc>
          <w:tcPr>
            <w:tcW w:w="1025" w:type="pct"/>
            <w:noWrap/>
            <w:vAlign w:val="center"/>
            <w:hideMark/>
          </w:tcPr>
          <w:p w14:paraId="717F27B3"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 (0.0)</w:t>
            </w:r>
          </w:p>
        </w:tc>
        <w:tc>
          <w:tcPr>
            <w:tcW w:w="770" w:type="pct"/>
            <w:noWrap/>
            <w:vAlign w:val="center"/>
            <w:hideMark/>
          </w:tcPr>
          <w:p w14:paraId="3622F4DD"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0.153</w:t>
            </w:r>
          </w:p>
        </w:tc>
      </w:tr>
      <w:tr w:rsidR="009D144D" w:rsidRPr="003D2796" w14:paraId="7AB81EEA"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29A8C39C" w14:textId="74D11C48"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 xml:space="preserve">Operative </w:t>
            </w:r>
            <w:r w:rsidR="005448EE" w:rsidRPr="003D2796">
              <w:rPr>
                <w:b w:val="0"/>
                <w:bCs w:val="0"/>
                <w:color w:val="000000"/>
                <w:sz w:val="20"/>
                <w:szCs w:val="20"/>
              </w:rPr>
              <w:t>t</w:t>
            </w:r>
            <w:r w:rsidRPr="003D2796">
              <w:rPr>
                <w:b w:val="0"/>
                <w:bCs w:val="0"/>
                <w:color w:val="000000"/>
                <w:sz w:val="20"/>
                <w:szCs w:val="20"/>
              </w:rPr>
              <w:t>ime (min), Mean ± SD</w:t>
            </w:r>
          </w:p>
        </w:tc>
        <w:tc>
          <w:tcPr>
            <w:tcW w:w="1026" w:type="pct"/>
            <w:noWrap/>
            <w:vAlign w:val="center"/>
            <w:hideMark/>
          </w:tcPr>
          <w:p w14:paraId="4A64F556" w14:textId="264F482A"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48.2 ±10.5</w:t>
            </w:r>
          </w:p>
        </w:tc>
        <w:tc>
          <w:tcPr>
            <w:tcW w:w="1025" w:type="pct"/>
            <w:noWrap/>
            <w:vAlign w:val="center"/>
            <w:hideMark/>
          </w:tcPr>
          <w:p w14:paraId="1E24D0E4" w14:textId="4A903246"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45.8 ±9.7</w:t>
            </w:r>
          </w:p>
        </w:tc>
        <w:tc>
          <w:tcPr>
            <w:tcW w:w="770" w:type="pct"/>
            <w:noWrap/>
            <w:vAlign w:val="center"/>
            <w:hideMark/>
          </w:tcPr>
          <w:p w14:paraId="056E7CD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0.289</w:t>
            </w:r>
          </w:p>
        </w:tc>
      </w:tr>
    </w:tbl>
    <w:p w14:paraId="3EEDFACC" w14:textId="33E87C0B" w:rsidR="009D144D" w:rsidRPr="003D2796" w:rsidRDefault="009D144D"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Data analyzed using an independent t-test for continuous variables and a Chi-square/Fisher's</w:t>
      </w:r>
      <w:r w:rsidR="005628BA" w:rsidRPr="003D2796">
        <w:rPr>
          <w:rFonts w:ascii="Times New Roman" w:hAnsi="Times New Roman" w:cs="Times New Roman"/>
          <w:b/>
          <w:bCs/>
          <w:sz w:val="20"/>
          <w:szCs w:val="20"/>
        </w:rPr>
        <w:t xml:space="preserve"> </w:t>
      </w:r>
      <w:r w:rsidRPr="003D2796">
        <w:rPr>
          <w:rFonts w:ascii="Times New Roman" w:hAnsi="Times New Roman" w:cs="Times New Roman"/>
          <w:b/>
          <w:bCs/>
          <w:sz w:val="20"/>
          <w:szCs w:val="20"/>
        </w:rPr>
        <w:t>Exact test for categorical variables</w:t>
      </w:r>
    </w:p>
    <w:p w14:paraId="5375B835" w14:textId="77777777" w:rsidR="009D144D" w:rsidRPr="003D2796" w:rsidRDefault="009D144D" w:rsidP="003D2796">
      <w:pPr>
        <w:pStyle w:val="NoSpacing"/>
        <w:spacing w:line="276" w:lineRule="auto"/>
        <w:jc w:val="both"/>
        <w:rPr>
          <w:rFonts w:ascii="Times New Roman" w:hAnsi="Times New Roman" w:cs="Times New Roman"/>
          <w:sz w:val="20"/>
          <w:szCs w:val="20"/>
        </w:rPr>
      </w:pPr>
    </w:p>
    <w:p w14:paraId="40C7A8B3" w14:textId="3F0B2CE4"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Table 3:</w:t>
      </w:r>
      <w:r w:rsidRPr="003D2796">
        <w:rPr>
          <w:rFonts w:ascii="Times New Roman" w:hAnsi="Times New Roman" w:cs="Times New Roman"/>
          <w:sz w:val="20"/>
          <w:szCs w:val="20"/>
        </w:rPr>
        <w:t xml:space="preserve"> Postoperative </w:t>
      </w:r>
      <w:r w:rsidR="005448EE" w:rsidRPr="003D2796">
        <w:rPr>
          <w:rFonts w:ascii="Times New Roman" w:hAnsi="Times New Roman" w:cs="Times New Roman"/>
          <w:sz w:val="20"/>
          <w:szCs w:val="20"/>
        </w:rPr>
        <w:t>p</w:t>
      </w:r>
      <w:r w:rsidRPr="003D2796">
        <w:rPr>
          <w:rFonts w:ascii="Times New Roman" w:hAnsi="Times New Roman" w:cs="Times New Roman"/>
          <w:sz w:val="20"/>
          <w:szCs w:val="20"/>
        </w:rPr>
        <w:t xml:space="preserve">ain </w:t>
      </w:r>
      <w:r w:rsidR="005448EE" w:rsidRPr="003D2796">
        <w:rPr>
          <w:rFonts w:ascii="Times New Roman" w:hAnsi="Times New Roman" w:cs="Times New Roman"/>
          <w:sz w:val="20"/>
          <w:szCs w:val="20"/>
        </w:rPr>
        <w:t>s</w:t>
      </w:r>
      <w:r w:rsidRPr="003D2796">
        <w:rPr>
          <w:rFonts w:ascii="Times New Roman" w:hAnsi="Times New Roman" w:cs="Times New Roman"/>
          <w:sz w:val="20"/>
          <w:szCs w:val="20"/>
        </w:rPr>
        <w:t xml:space="preserve">cores (VAS) and </w:t>
      </w:r>
      <w:r w:rsidR="005448EE" w:rsidRPr="003D2796">
        <w:rPr>
          <w:rFonts w:ascii="Times New Roman" w:hAnsi="Times New Roman" w:cs="Times New Roman"/>
          <w:sz w:val="20"/>
          <w:szCs w:val="20"/>
        </w:rPr>
        <w:t>a</w:t>
      </w:r>
      <w:r w:rsidRPr="003D2796">
        <w:rPr>
          <w:rFonts w:ascii="Times New Roman" w:hAnsi="Times New Roman" w:cs="Times New Roman"/>
          <w:sz w:val="20"/>
          <w:szCs w:val="20"/>
        </w:rPr>
        <w:t xml:space="preserve">nalgesia </w:t>
      </w:r>
      <w:r w:rsidR="005448EE" w:rsidRPr="003D2796">
        <w:rPr>
          <w:rFonts w:ascii="Times New Roman" w:hAnsi="Times New Roman" w:cs="Times New Roman"/>
          <w:sz w:val="20"/>
          <w:szCs w:val="20"/>
        </w:rPr>
        <w:t>r</w:t>
      </w:r>
      <w:r w:rsidRPr="003D2796">
        <w:rPr>
          <w:rFonts w:ascii="Times New Roman" w:hAnsi="Times New Roman" w:cs="Times New Roman"/>
          <w:sz w:val="20"/>
          <w:szCs w:val="20"/>
        </w:rPr>
        <w:t>equirements</w:t>
      </w:r>
    </w:p>
    <w:tbl>
      <w:tblPr>
        <w:tblStyle w:val="GridTable1Light-Accent5"/>
        <w:tblW w:w="3789" w:type="pct"/>
        <w:tblLook w:val="04A0" w:firstRow="1" w:lastRow="0" w:firstColumn="1" w:lastColumn="0" w:noHBand="0" w:noVBand="1"/>
      </w:tblPr>
      <w:tblGrid>
        <w:gridCol w:w="3390"/>
        <w:gridCol w:w="1176"/>
        <w:gridCol w:w="1279"/>
        <w:gridCol w:w="990"/>
      </w:tblGrid>
      <w:tr w:rsidR="000F2B3E" w:rsidRPr="003D2796" w14:paraId="6729D01E"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noWrap/>
            <w:vAlign w:val="center"/>
            <w:hideMark/>
          </w:tcPr>
          <w:p w14:paraId="01C632A2"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Parameter</w:t>
            </w:r>
          </w:p>
        </w:tc>
        <w:tc>
          <w:tcPr>
            <w:tcW w:w="860" w:type="pct"/>
            <w:noWrap/>
            <w:vAlign w:val="center"/>
            <w:hideMark/>
          </w:tcPr>
          <w:p w14:paraId="2B912CA5" w14:textId="3536EAC5"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SA (n=40)</w:t>
            </w:r>
          </w:p>
        </w:tc>
        <w:tc>
          <w:tcPr>
            <w:tcW w:w="936" w:type="pct"/>
            <w:noWrap/>
            <w:vAlign w:val="center"/>
            <w:hideMark/>
          </w:tcPr>
          <w:p w14:paraId="7B6A8DD5" w14:textId="0612E2DC"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GA (n=40)</w:t>
            </w:r>
          </w:p>
        </w:tc>
        <w:tc>
          <w:tcPr>
            <w:tcW w:w="724" w:type="pct"/>
            <w:noWrap/>
            <w:vAlign w:val="center"/>
            <w:hideMark/>
          </w:tcPr>
          <w:p w14:paraId="41D017B2" w14:textId="77777777"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0F2B3E" w:rsidRPr="003D2796" w14:paraId="0ABDD337"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480" w:type="pct"/>
            <w:noWrap/>
            <w:vAlign w:val="center"/>
            <w:hideMark/>
          </w:tcPr>
          <w:p w14:paraId="4A22018A"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VAS Score at 2 hours, Median (IQR)</w:t>
            </w:r>
          </w:p>
        </w:tc>
        <w:tc>
          <w:tcPr>
            <w:tcW w:w="860" w:type="pct"/>
            <w:noWrap/>
            <w:vAlign w:val="center"/>
            <w:hideMark/>
          </w:tcPr>
          <w:p w14:paraId="15A1E187"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 (1-3)</w:t>
            </w:r>
          </w:p>
        </w:tc>
        <w:tc>
          <w:tcPr>
            <w:tcW w:w="936" w:type="pct"/>
            <w:noWrap/>
            <w:vAlign w:val="center"/>
            <w:hideMark/>
          </w:tcPr>
          <w:p w14:paraId="7E55BC13"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5 (4-6)</w:t>
            </w:r>
          </w:p>
        </w:tc>
        <w:tc>
          <w:tcPr>
            <w:tcW w:w="724" w:type="pct"/>
            <w:noWrap/>
            <w:vAlign w:val="center"/>
            <w:hideMark/>
          </w:tcPr>
          <w:p w14:paraId="3A1D226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r w:rsidR="000F2B3E" w:rsidRPr="003D2796" w14:paraId="4B53D53A"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480" w:type="pct"/>
            <w:noWrap/>
            <w:vAlign w:val="center"/>
            <w:hideMark/>
          </w:tcPr>
          <w:p w14:paraId="2F5C99E2"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VAS Score at 6 hours, Median (IQR)</w:t>
            </w:r>
          </w:p>
        </w:tc>
        <w:tc>
          <w:tcPr>
            <w:tcW w:w="860" w:type="pct"/>
            <w:noWrap/>
            <w:vAlign w:val="center"/>
            <w:hideMark/>
          </w:tcPr>
          <w:p w14:paraId="0E882FB9"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 (1-3)</w:t>
            </w:r>
          </w:p>
        </w:tc>
        <w:tc>
          <w:tcPr>
            <w:tcW w:w="936" w:type="pct"/>
            <w:noWrap/>
            <w:vAlign w:val="center"/>
            <w:hideMark/>
          </w:tcPr>
          <w:p w14:paraId="199B7DAA"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 (3-5)</w:t>
            </w:r>
          </w:p>
        </w:tc>
        <w:tc>
          <w:tcPr>
            <w:tcW w:w="724" w:type="pct"/>
            <w:noWrap/>
            <w:vAlign w:val="center"/>
            <w:hideMark/>
          </w:tcPr>
          <w:p w14:paraId="7D3091BC"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r w:rsidR="000F2B3E" w:rsidRPr="003D2796" w14:paraId="71331993"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480" w:type="pct"/>
            <w:noWrap/>
            <w:vAlign w:val="center"/>
            <w:hideMark/>
          </w:tcPr>
          <w:p w14:paraId="6A27FCB1"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VAS Score at 12 hours, Median (IQR)</w:t>
            </w:r>
          </w:p>
        </w:tc>
        <w:tc>
          <w:tcPr>
            <w:tcW w:w="860" w:type="pct"/>
            <w:noWrap/>
            <w:vAlign w:val="center"/>
            <w:hideMark/>
          </w:tcPr>
          <w:p w14:paraId="1B15FE5A"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 (1-2)</w:t>
            </w:r>
          </w:p>
        </w:tc>
        <w:tc>
          <w:tcPr>
            <w:tcW w:w="936" w:type="pct"/>
            <w:noWrap/>
            <w:vAlign w:val="center"/>
            <w:hideMark/>
          </w:tcPr>
          <w:p w14:paraId="35CB7353"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3 (2-4)</w:t>
            </w:r>
          </w:p>
        </w:tc>
        <w:tc>
          <w:tcPr>
            <w:tcW w:w="724" w:type="pct"/>
            <w:noWrap/>
            <w:vAlign w:val="center"/>
            <w:hideMark/>
          </w:tcPr>
          <w:p w14:paraId="59140C92"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r w:rsidR="000F2B3E" w:rsidRPr="003D2796" w14:paraId="115D6859"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480" w:type="pct"/>
            <w:noWrap/>
            <w:vAlign w:val="center"/>
            <w:hideMark/>
          </w:tcPr>
          <w:p w14:paraId="506902C1" w14:textId="42F9D04A"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Time to 1</w:t>
            </w:r>
            <w:r w:rsidRPr="003D2796">
              <w:rPr>
                <w:b w:val="0"/>
                <w:bCs w:val="0"/>
                <w:color w:val="000000"/>
                <w:sz w:val="20"/>
                <w:szCs w:val="20"/>
                <w:vertAlign w:val="superscript"/>
              </w:rPr>
              <w:t>st</w:t>
            </w:r>
            <w:r w:rsidR="00F23DCC" w:rsidRPr="003D2796">
              <w:rPr>
                <w:b w:val="0"/>
                <w:bCs w:val="0"/>
                <w:color w:val="000000"/>
                <w:sz w:val="20"/>
                <w:szCs w:val="20"/>
              </w:rPr>
              <w:t xml:space="preserve"> </w:t>
            </w:r>
            <w:r w:rsidR="000F2B3E" w:rsidRPr="003D2796">
              <w:rPr>
                <w:b w:val="0"/>
                <w:bCs w:val="0"/>
                <w:color w:val="000000"/>
                <w:sz w:val="20"/>
                <w:szCs w:val="20"/>
              </w:rPr>
              <w:t>a</w:t>
            </w:r>
            <w:r w:rsidRPr="003D2796">
              <w:rPr>
                <w:b w:val="0"/>
                <w:bCs w:val="0"/>
                <w:color w:val="000000"/>
                <w:sz w:val="20"/>
                <w:szCs w:val="20"/>
              </w:rPr>
              <w:t>nalgesia (min), Mean ± SD</w:t>
            </w:r>
          </w:p>
        </w:tc>
        <w:tc>
          <w:tcPr>
            <w:tcW w:w="860" w:type="pct"/>
            <w:noWrap/>
            <w:vAlign w:val="center"/>
            <w:hideMark/>
          </w:tcPr>
          <w:p w14:paraId="679B84BF" w14:textId="14C896FB"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185.4 ±22.5</w:t>
            </w:r>
          </w:p>
        </w:tc>
        <w:tc>
          <w:tcPr>
            <w:tcW w:w="936" w:type="pct"/>
            <w:noWrap/>
            <w:vAlign w:val="center"/>
            <w:hideMark/>
          </w:tcPr>
          <w:p w14:paraId="54407D09" w14:textId="1D95BEE2"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75.8 ±18.3</w:t>
            </w:r>
          </w:p>
        </w:tc>
        <w:tc>
          <w:tcPr>
            <w:tcW w:w="724" w:type="pct"/>
            <w:noWrap/>
            <w:vAlign w:val="center"/>
            <w:hideMark/>
          </w:tcPr>
          <w:p w14:paraId="4909A074"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bl>
    <w:p w14:paraId="0101A5B9" w14:textId="703BC1F3" w:rsidR="009D144D" w:rsidRPr="003D2796" w:rsidRDefault="009D144D"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 xml:space="preserve">Data analyzed using </w:t>
      </w:r>
      <w:r w:rsidR="00655182" w:rsidRPr="003D2796">
        <w:rPr>
          <w:rFonts w:ascii="Times New Roman" w:hAnsi="Times New Roman" w:cs="Times New Roman"/>
          <w:b/>
          <w:bCs/>
          <w:sz w:val="20"/>
          <w:szCs w:val="20"/>
        </w:rPr>
        <w:t xml:space="preserve">an </w:t>
      </w:r>
      <w:r w:rsidRPr="003D2796">
        <w:rPr>
          <w:rFonts w:ascii="Times New Roman" w:hAnsi="Times New Roman" w:cs="Times New Roman"/>
          <w:b/>
          <w:bCs/>
          <w:sz w:val="20"/>
          <w:szCs w:val="20"/>
        </w:rPr>
        <w:t xml:space="preserve">independent t-test for continuous variables and </w:t>
      </w:r>
      <w:r w:rsidR="00655182" w:rsidRPr="003D2796">
        <w:rPr>
          <w:rFonts w:ascii="Times New Roman" w:hAnsi="Times New Roman" w:cs="Times New Roman"/>
          <w:b/>
          <w:bCs/>
          <w:sz w:val="20"/>
          <w:szCs w:val="20"/>
        </w:rPr>
        <w:t xml:space="preserve">the </w:t>
      </w:r>
      <w:r w:rsidRPr="003D2796">
        <w:rPr>
          <w:rFonts w:ascii="Times New Roman" w:hAnsi="Times New Roman" w:cs="Times New Roman"/>
          <w:b/>
          <w:bCs/>
          <w:sz w:val="20"/>
          <w:szCs w:val="20"/>
        </w:rPr>
        <w:t>Mann-Whitney U test for VAS scores</w:t>
      </w:r>
    </w:p>
    <w:p w14:paraId="7D2D77EB" w14:textId="77777777" w:rsidR="009D144D" w:rsidRPr="003D2796" w:rsidRDefault="009D144D" w:rsidP="003D2796">
      <w:pPr>
        <w:pStyle w:val="NoSpacing"/>
        <w:spacing w:line="276" w:lineRule="auto"/>
        <w:jc w:val="both"/>
        <w:rPr>
          <w:rFonts w:ascii="Times New Roman" w:hAnsi="Times New Roman" w:cs="Times New Roman"/>
          <w:sz w:val="20"/>
          <w:szCs w:val="20"/>
        </w:rPr>
      </w:pPr>
    </w:p>
    <w:p w14:paraId="1D9D844C" w14:textId="6D0E1852"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 xml:space="preserve">Table 4: </w:t>
      </w:r>
      <w:r w:rsidRPr="003D2796">
        <w:rPr>
          <w:rFonts w:ascii="Times New Roman" w:hAnsi="Times New Roman" w:cs="Times New Roman"/>
          <w:sz w:val="20"/>
          <w:szCs w:val="20"/>
        </w:rPr>
        <w:t xml:space="preserve">Postoperative </w:t>
      </w:r>
      <w:r w:rsidR="000F2B3E" w:rsidRPr="003D2796">
        <w:rPr>
          <w:rFonts w:ascii="Times New Roman" w:hAnsi="Times New Roman" w:cs="Times New Roman"/>
          <w:sz w:val="20"/>
          <w:szCs w:val="20"/>
        </w:rPr>
        <w:t>r</w:t>
      </w:r>
      <w:r w:rsidRPr="003D2796">
        <w:rPr>
          <w:rFonts w:ascii="Times New Roman" w:hAnsi="Times New Roman" w:cs="Times New Roman"/>
          <w:sz w:val="20"/>
          <w:szCs w:val="20"/>
        </w:rPr>
        <w:t xml:space="preserve">ecovery </w:t>
      </w:r>
      <w:r w:rsidR="000F2B3E" w:rsidRPr="003D2796">
        <w:rPr>
          <w:rFonts w:ascii="Times New Roman" w:hAnsi="Times New Roman" w:cs="Times New Roman"/>
          <w:sz w:val="20"/>
          <w:szCs w:val="20"/>
        </w:rPr>
        <w:t>m</w:t>
      </w:r>
      <w:r w:rsidRPr="003D2796">
        <w:rPr>
          <w:rFonts w:ascii="Times New Roman" w:hAnsi="Times New Roman" w:cs="Times New Roman"/>
          <w:sz w:val="20"/>
          <w:szCs w:val="20"/>
        </w:rPr>
        <w:t>ilestones</w:t>
      </w:r>
    </w:p>
    <w:tbl>
      <w:tblPr>
        <w:tblStyle w:val="GridTable1Light-Accent51"/>
        <w:tblW w:w="3889" w:type="pct"/>
        <w:tblLook w:val="04A0" w:firstRow="1" w:lastRow="0" w:firstColumn="1" w:lastColumn="0" w:noHBand="0" w:noVBand="1"/>
      </w:tblPr>
      <w:tblGrid>
        <w:gridCol w:w="3367"/>
        <w:gridCol w:w="1310"/>
        <w:gridCol w:w="1439"/>
        <w:gridCol w:w="899"/>
      </w:tblGrid>
      <w:tr w:rsidR="009D144D" w:rsidRPr="003D2796" w14:paraId="626EFF9A"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99" w:type="pct"/>
            <w:noWrap/>
            <w:vAlign w:val="center"/>
            <w:hideMark/>
          </w:tcPr>
          <w:p w14:paraId="049FD610"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Recovery Milestone</w:t>
            </w:r>
          </w:p>
        </w:tc>
        <w:tc>
          <w:tcPr>
            <w:tcW w:w="934" w:type="pct"/>
            <w:noWrap/>
            <w:vAlign w:val="center"/>
            <w:hideMark/>
          </w:tcPr>
          <w:p w14:paraId="02E3E647" w14:textId="0E85463A"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SA</w:t>
            </w:r>
            <w:r w:rsidR="00F9092C" w:rsidRPr="003D2796">
              <w:rPr>
                <w:b w:val="0"/>
                <w:bCs w:val="0"/>
                <w:color w:val="000000"/>
                <w:sz w:val="20"/>
                <w:szCs w:val="20"/>
              </w:rPr>
              <w:t xml:space="preserve"> </w:t>
            </w:r>
            <w:r w:rsidRPr="003D2796">
              <w:rPr>
                <w:b w:val="0"/>
                <w:bCs w:val="0"/>
                <w:color w:val="000000"/>
                <w:sz w:val="20"/>
                <w:szCs w:val="20"/>
              </w:rPr>
              <w:t>(n=40)</w:t>
            </w:r>
          </w:p>
        </w:tc>
        <w:tc>
          <w:tcPr>
            <w:tcW w:w="1026" w:type="pct"/>
            <w:noWrap/>
            <w:vAlign w:val="center"/>
            <w:hideMark/>
          </w:tcPr>
          <w:p w14:paraId="7C05E9B0" w14:textId="2A3E32E1"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GA (n=40)</w:t>
            </w:r>
          </w:p>
        </w:tc>
        <w:tc>
          <w:tcPr>
            <w:tcW w:w="641" w:type="pct"/>
            <w:noWrap/>
            <w:vAlign w:val="center"/>
            <w:hideMark/>
          </w:tcPr>
          <w:p w14:paraId="09E2F21D" w14:textId="77777777"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9D144D" w:rsidRPr="003D2796" w14:paraId="26EB5DCF"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399" w:type="pct"/>
            <w:noWrap/>
            <w:vAlign w:val="center"/>
            <w:hideMark/>
          </w:tcPr>
          <w:p w14:paraId="57509235"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Time to Ambulation (min), Mean ± SD</w:t>
            </w:r>
          </w:p>
        </w:tc>
        <w:tc>
          <w:tcPr>
            <w:tcW w:w="934" w:type="pct"/>
            <w:noWrap/>
            <w:vAlign w:val="center"/>
            <w:hideMark/>
          </w:tcPr>
          <w:p w14:paraId="4905DE3C" w14:textId="2F329E22"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320.5 ±45.2</w:t>
            </w:r>
          </w:p>
        </w:tc>
        <w:tc>
          <w:tcPr>
            <w:tcW w:w="1026" w:type="pct"/>
            <w:noWrap/>
            <w:vAlign w:val="center"/>
            <w:hideMark/>
          </w:tcPr>
          <w:p w14:paraId="012B7B9E" w14:textId="5F8B65CD"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415.8 ±52.7</w:t>
            </w:r>
          </w:p>
        </w:tc>
        <w:tc>
          <w:tcPr>
            <w:tcW w:w="641" w:type="pct"/>
            <w:noWrap/>
            <w:vAlign w:val="center"/>
            <w:hideMark/>
          </w:tcPr>
          <w:p w14:paraId="7C320B60"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r w:rsidR="009D144D" w:rsidRPr="003D2796" w14:paraId="5CE11AAD"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399" w:type="pct"/>
            <w:noWrap/>
            <w:vAlign w:val="center"/>
            <w:hideMark/>
          </w:tcPr>
          <w:p w14:paraId="2E7A9DD9"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Time to Oral Intake (min), Mean ± SD</w:t>
            </w:r>
          </w:p>
        </w:tc>
        <w:tc>
          <w:tcPr>
            <w:tcW w:w="934" w:type="pct"/>
            <w:noWrap/>
            <w:vAlign w:val="center"/>
            <w:hideMark/>
          </w:tcPr>
          <w:p w14:paraId="31066AE5" w14:textId="43E94143"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285.6 ±40.1</w:t>
            </w:r>
          </w:p>
        </w:tc>
        <w:tc>
          <w:tcPr>
            <w:tcW w:w="1026" w:type="pct"/>
            <w:noWrap/>
            <w:vAlign w:val="center"/>
            <w:hideMark/>
          </w:tcPr>
          <w:p w14:paraId="5E3F9D98" w14:textId="6679890B"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365.3 ±48.9</w:t>
            </w:r>
          </w:p>
        </w:tc>
        <w:tc>
          <w:tcPr>
            <w:tcW w:w="641" w:type="pct"/>
            <w:noWrap/>
            <w:vAlign w:val="center"/>
            <w:hideMark/>
          </w:tcPr>
          <w:p w14:paraId="498DB83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bl>
    <w:p w14:paraId="54D48752" w14:textId="7DF072F7" w:rsidR="009D144D" w:rsidRPr="003D2796" w:rsidRDefault="009D144D"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 xml:space="preserve">Data analyzed using </w:t>
      </w:r>
      <w:r w:rsidR="00655182" w:rsidRPr="003D2796">
        <w:rPr>
          <w:rFonts w:ascii="Times New Roman" w:hAnsi="Times New Roman" w:cs="Times New Roman"/>
          <w:b/>
          <w:bCs/>
          <w:sz w:val="20"/>
          <w:szCs w:val="20"/>
        </w:rPr>
        <w:t xml:space="preserve">an </w:t>
      </w:r>
      <w:r w:rsidR="005628BA" w:rsidRPr="003D2796">
        <w:rPr>
          <w:rFonts w:ascii="Times New Roman" w:hAnsi="Times New Roman" w:cs="Times New Roman"/>
          <w:b/>
          <w:bCs/>
          <w:sz w:val="20"/>
          <w:szCs w:val="20"/>
        </w:rPr>
        <w:t>independent</w:t>
      </w:r>
      <w:r w:rsidRPr="003D2796">
        <w:rPr>
          <w:rFonts w:ascii="Times New Roman" w:hAnsi="Times New Roman" w:cs="Times New Roman"/>
          <w:b/>
          <w:bCs/>
          <w:sz w:val="20"/>
          <w:szCs w:val="20"/>
        </w:rPr>
        <w:t xml:space="preserve"> t-test</w:t>
      </w:r>
    </w:p>
    <w:p w14:paraId="31AAED19" w14:textId="77777777" w:rsidR="009D144D" w:rsidRPr="003D2796" w:rsidRDefault="009D144D" w:rsidP="003D2796">
      <w:pPr>
        <w:pStyle w:val="NoSpacing"/>
        <w:spacing w:line="276" w:lineRule="auto"/>
        <w:jc w:val="both"/>
        <w:rPr>
          <w:rFonts w:ascii="Times New Roman" w:hAnsi="Times New Roman" w:cs="Times New Roman"/>
          <w:sz w:val="20"/>
          <w:szCs w:val="20"/>
        </w:rPr>
      </w:pPr>
    </w:p>
    <w:p w14:paraId="69310533" w14:textId="3EAF96CA"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Table 5:</w:t>
      </w:r>
      <w:r w:rsidRPr="003D2796">
        <w:rPr>
          <w:rFonts w:ascii="Times New Roman" w:hAnsi="Times New Roman" w:cs="Times New Roman"/>
          <w:sz w:val="20"/>
          <w:szCs w:val="20"/>
        </w:rPr>
        <w:t xml:space="preserve"> Postoperative </w:t>
      </w:r>
      <w:r w:rsidR="000F2B3E" w:rsidRPr="003D2796">
        <w:rPr>
          <w:rFonts w:ascii="Times New Roman" w:hAnsi="Times New Roman" w:cs="Times New Roman"/>
          <w:sz w:val="20"/>
          <w:szCs w:val="20"/>
        </w:rPr>
        <w:t>c</w:t>
      </w:r>
      <w:r w:rsidRPr="003D2796">
        <w:rPr>
          <w:rFonts w:ascii="Times New Roman" w:hAnsi="Times New Roman" w:cs="Times New Roman"/>
          <w:sz w:val="20"/>
          <w:szCs w:val="20"/>
        </w:rPr>
        <w:t>omplications</w:t>
      </w:r>
    </w:p>
    <w:tbl>
      <w:tblPr>
        <w:tblStyle w:val="GridTable1Light-Accent5"/>
        <w:tblW w:w="2791" w:type="pct"/>
        <w:tblLook w:val="04A0" w:firstRow="1" w:lastRow="0" w:firstColumn="1" w:lastColumn="0" w:noHBand="0" w:noVBand="1"/>
      </w:tblPr>
      <w:tblGrid>
        <w:gridCol w:w="1759"/>
        <w:gridCol w:w="1223"/>
        <w:gridCol w:w="1101"/>
        <w:gridCol w:w="951"/>
      </w:tblGrid>
      <w:tr w:rsidR="009D144D" w:rsidRPr="003D2796" w14:paraId="6E3FF639"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46" w:type="pct"/>
            <w:noWrap/>
            <w:vAlign w:val="center"/>
            <w:hideMark/>
          </w:tcPr>
          <w:p w14:paraId="2F7627C0"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Complication</w:t>
            </w:r>
          </w:p>
        </w:tc>
        <w:tc>
          <w:tcPr>
            <w:tcW w:w="1215" w:type="pct"/>
            <w:noWrap/>
            <w:vAlign w:val="center"/>
            <w:hideMark/>
          </w:tcPr>
          <w:p w14:paraId="62DFAC2B" w14:textId="48C5C180"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SA</w:t>
            </w:r>
            <w:r w:rsidR="000F2B3E" w:rsidRPr="003D2796">
              <w:rPr>
                <w:b w:val="0"/>
                <w:bCs w:val="0"/>
                <w:color w:val="000000"/>
                <w:sz w:val="20"/>
                <w:szCs w:val="20"/>
              </w:rPr>
              <w:t xml:space="preserve"> </w:t>
            </w:r>
            <w:r w:rsidRPr="003D2796">
              <w:rPr>
                <w:b w:val="0"/>
                <w:bCs w:val="0"/>
                <w:color w:val="000000"/>
                <w:sz w:val="20"/>
                <w:szCs w:val="20"/>
              </w:rPr>
              <w:t>(n=40)</w:t>
            </w:r>
          </w:p>
        </w:tc>
        <w:tc>
          <w:tcPr>
            <w:tcW w:w="1093" w:type="pct"/>
            <w:noWrap/>
            <w:vAlign w:val="center"/>
            <w:hideMark/>
          </w:tcPr>
          <w:p w14:paraId="39DCC909" w14:textId="3E43C412"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GA (n=40)</w:t>
            </w:r>
          </w:p>
        </w:tc>
        <w:tc>
          <w:tcPr>
            <w:tcW w:w="945" w:type="pct"/>
            <w:noWrap/>
            <w:vAlign w:val="center"/>
            <w:hideMark/>
          </w:tcPr>
          <w:p w14:paraId="661928D2" w14:textId="77777777"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9D144D" w:rsidRPr="003D2796" w14:paraId="072F73AD"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746" w:type="pct"/>
            <w:noWrap/>
            <w:vAlign w:val="center"/>
            <w:hideMark/>
          </w:tcPr>
          <w:p w14:paraId="26D5E52A"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PONV, n (%)</w:t>
            </w:r>
          </w:p>
        </w:tc>
        <w:tc>
          <w:tcPr>
            <w:tcW w:w="1215" w:type="pct"/>
            <w:noWrap/>
            <w:vAlign w:val="center"/>
            <w:hideMark/>
          </w:tcPr>
          <w:p w14:paraId="76C54ADB"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 (10.0)</w:t>
            </w:r>
          </w:p>
        </w:tc>
        <w:tc>
          <w:tcPr>
            <w:tcW w:w="1093" w:type="pct"/>
            <w:noWrap/>
            <w:vAlign w:val="center"/>
            <w:hideMark/>
          </w:tcPr>
          <w:p w14:paraId="09D5A22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13 (32.5)</w:t>
            </w:r>
          </w:p>
        </w:tc>
        <w:tc>
          <w:tcPr>
            <w:tcW w:w="945" w:type="pct"/>
            <w:noWrap/>
            <w:vAlign w:val="center"/>
            <w:hideMark/>
          </w:tcPr>
          <w:p w14:paraId="63BA8FE7"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0.013</w:t>
            </w:r>
          </w:p>
        </w:tc>
      </w:tr>
      <w:tr w:rsidR="009D144D" w:rsidRPr="003D2796" w14:paraId="500D5C79"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746" w:type="pct"/>
            <w:noWrap/>
            <w:vAlign w:val="center"/>
            <w:hideMark/>
          </w:tcPr>
          <w:p w14:paraId="427576C2"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Headache, n (%)</w:t>
            </w:r>
          </w:p>
        </w:tc>
        <w:tc>
          <w:tcPr>
            <w:tcW w:w="1215" w:type="pct"/>
            <w:noWrap/>
            <w:vAlign w:val="center"/>
            <w:hideMark/>
          </w:tcPr>
          <w:p w14:paraId="2F59D22F"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3 (7.5)</w:t>
            </w:r>
          </w:p>
        </w:tc>
        <w:tc>
          <w:tcPr>
            <w:tcW w:w="1093" w:type="pct"/>
            <w:noWrap/>
            <w:vAlign w:val="center"/>
            <w:hideMark/>
          </w:tcPr>
          <w:p w14:paraId="23E12985"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 (5.0)</w:t>
            </w:r>
          </w:p>
        </w:tc>
        <w:tc>
          <w:tcPr>
            <w:tcW w:w="945" w:type="pct"/>
            <w:noWrap/>
            <w:vAlign w:val="center"/>
            <w:hideMark/>
          </w:tcPr>
          <w:p w14:paraId="1002A1FF"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0.645</w:t>
            </w:r>
          </w:p>
        </w:tc>
      </w:tr>
      <w:tr w:rsidR="009D144D" w:rsidRPr="003D2796" w14:paraId="1B7A9A24"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746" w:type="pct"/>
            <w:noWrap/>
            <w:vAlign w:val="center"/>
            <w:hideMark/>
          </w:tcPr>
          <w:p w14:paraId="2BA16793"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Dizziness, n (%)</w:t>
            </w:r>
          </w:p>
        </w:tc>
        <w:tc>
          <w:tcPr>
            <w:tcW w:w="1215" w:type="pct"/>
            <w:noWrap/>
            <w:vAlign w:val="center"/>
            <w:hideMark/>
          </w:tcPr>
          <w:p w14:paraId="6A0F2F2B"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5 (12.5)</w:t>
            </w:r>
          </w:p>
        </w:tc>
        <w:tc>
          <w:tcPr>
            <w:tcW w:w="1093" w:type="pct"/>
            <w:noWrap/>
            <w:vAlign w:val="center"/>
            <w:hideMark/>
          </w:tcPr>
          <w:p w14:paraId="63916A5F"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 (10.0)</w:t>
            </w:r>
          </w:p>
        </w:tc>
        <w:tc>
          <w:tcPr>
            <w:tcW w:w="945" w:type="pct"/>
            <w:noWrap/>
            <w:vAlign w:val="center"/>
            <w:hideMark/>
          </w:tcPr>
          <w:p w14:paraId="5CAAB1FA"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0.723</w:t>
            </w:r>
          </w:p>
        </w:tc>
      </w:tr>
    </w:tbl>
    <w:p w14:paraId="245D9A25" w14:textId="026BA08B"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sz w:val="20"/>
          <w:szCs w:val="20"/>
        </w:rPr>
        <w:t>Data analyzed using the Chi-square test</w:t>
      </w:r>
    </w:p>
    <w:p w14:paraId="4F2A894F" w14:textId="77777777" w:rsidR="009D144D" w:rsidRPr="003D2796" w:rsidRDefault="009D144D" w:rsidP="003D2796">
      <w:pPr>
        <w:pStyle w:val="NoSpacing"/>
        <w:spacing w:line="276" w:lineRule="auto"/>
        <w:jc w:val="both"/>
        <w:rPr>
          <w:rFonts w:ascii="Times New Roman" w:hAnsi="Times New Roman" w:cs="Times New Roman"/>
          <w:sz w:val="20"/>
          <w:szCs w:val="20"/>
        </w:rPr>
      </w:pPr>
    </w:p>
    <w:p w14:paraId="6254115B" w14:textId="04CB5E58"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Table 6:</w:t>
      </w:r>
      <w:r w:rsidRPr="003D2796">
        <w:rPr>
          <w:rFonts w:ascii="Times New Roman" w:hAnsi="Times New Roman" w:cs="Times New Roman"/>
          <w:sz w:val="20"/>
          <w:szCs w:val="20"/>
        </w:rPr>
        <w:t xml:space="preserve"> Postoperative </w:t>
      </w:r>
      <w:r w:rsidR="000F2B3E" w:rsidRPr="003D2796">
        <w:rPr>
          <w:rFonts w:ascii="Times New Roman" w:hAnsi="Times New Roman" w:cs="Times New Roman"/>
          <w:sz w:val="20"/>
          <w:szCs w:val="20"/>
        </w:rPr>
        <w:t>h</w:t>
      </w:r>
      <w:r w:rsidRPr="003D2796">
        <w:rPr>
          <w:rFonts w:ascii="Times New Roman" w:hAnsi="Times New Roman" w:cs="Times New Roman"/>
          <w:sz w:val="20"/>
          <w:szCs w:val="20"/>
        </w:rPr>
        <w:t xml:space="preserve">ospital </w:t>
      </w:r>
      <w:r w:rsidR="00F23DCC" w:rsidRPr="003D2796">
        <w:rPr>
          <w:rFonts w:ascii="Times New Roman" w:hAnsi="Times New Roman" w:cs="Times New Roman"/>
          <w:sz w:val="20"/>
          <w:szCs w:val="20"/>
        </w:rPr>
        <w:t>stays</w:t>
      </w:r>
    </w:p>
    <w:tbl>
      <w:tblPr>
        <w:tblStyle w:val="GridTable1Light-Accent5"/>
        <w:tblW w:w="3490" w:type="pct"/>
        <w:tblLook w:val="04A0" w:firstRow="1" w:lastRow="0" w:firstColumn="1" w:lastColumn="0" w:noHBand="0" w:noVBand="1"/>
      </w:tblPr>
      <w:tblGrid>
        <w:gridCol w:w="3032"/>
        <w:gridCol w:w="1102"/>
        <w:gridCol w:w="1171"/>
        <w:gridCol w:w="990"/>
      </w:tblGrid>
      <w:tr w:rsidR="009D144D" w:rsidRPr="003D2796" w14:paraId="5F5C3A38"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08" w:type="pct"/>
            <w:noWrap/>
            <w:vAlign w:val="center"/>
            <w:hideMark/>
          </w:tcPr>
          <w:p w14:paraId="6AAAF689"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Parameter</w:t>
            </w:r>
          </w:p>
        </w:tc>
        <w:tc>
          <w:tcPr>
            <w:tcW w:w="875" w:type="pct"/>
            <w:noWrap/>
            <w:vAlign w:val="center"/>
            <w:hideMark/>
          </w:tcPr>
          <w:p w14:paraId="3BC0C5AE" w14:textId="7070258A"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SA (n=40)</w:t>
            </w:r>
          </w:p>
        </w:tc>
        <w:tc>
          <w:tcPr>
            <w:tcW w:w="930" w:type="pct"/>
            <w:noWrap/>
            <w:vAlign w:val="center"/>
            <w:hideMark/>
          </w:tcPr>
          <w:p w14:paraId="6D6C6ADE" w14:textId="406A3F83"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GA (n=40)</w:t>
            </w:r>
          </w:p>
        </w:tc>
        <w:tc>
          <w:tcPr>
            <w:tcW w:w="786" w:type="pct"/>
            <w:noWrap/>
            <w:vAlign w:val="center"/>
            <w:hideMark/>
          </w:tcPr>
          <w:p w14:paraId="734CAB80" w14:textId="77777777"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9D144D" w:rsidRPr="003D2796" w14:paraId="4E89CC1F"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408" w:type="pct"/>
            <w:noWrap/>
            <w:vAlign w:val="center"/>
            <w:hideMark/>
          </w:tcPr>
          <w:p w14:paraId="703265C2" w14:textId="61B5298C"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 xml:space="preserve">Hospital </w:t>
            </w:r>
            <w:r w:rsidR="00F23DCC" w:rsidRPr="003D2796">
              <w:rPr>
                <w:b w:val="0"/>
                <w:bCs w:val="0"/>
                <w:color w:val="000000"/>
                <w:sz w:val="20"/>
                <w:szCs w:val="20"/>
              </w:rPr>
              <w:t>stays</w:t>
            </w:r>
            <w:r w:rsidRPr="003D2796">
              <w:rPr>
                <w:b w:val="0"/>
                <w:bCs w:val="0"/>
                <w:color w:val="000000"/>
                <w:sz w:val="20"/>
                <w:szCs w:val="20"/>
              </w:rPr>
              <w:t xml:space="preserve"> (hours), Mean ±SD</w:t>
            </w:r>
          </w:p>
        </w:tc>
        <w:tc>
          <w:tcPr>
            <w:tcW w:w="875" w:type="pct"/>
            <w:noWrap/>
            <w:vAlign w:val="center"/>
            <w:hideMark/>
          </w:tcPr>
          <w:p w14:paraId="5876C780" w14:textId="4A490B19"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27.4 ±6.2</w:t>
            </w:r>
          </w:p>
        </w:tc>
        <w:tc>
          <w:tcPr>
            <w:tcW w:w="930" w:type="pct"/>
            <w:noWrap/>
            <w:vAlign w:val="center"/>
            <w:hideMark/>
          </w:tcPr>
          <w:p w14:paraId="5FD0556F" w14:textId="6F3B8CFB"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28.9 ±7.1</w:t>
            </w:r>
          </w:p>
        </w:tc>
        <w:tc>
          <w:tcPr>
            <w:tcW w:w="786" w:type="pct"/>
            <w:noWrap/>
            <w:vAlign w:val="center"/>
            <w:hideMark/>
          </w:tcPr>
          <w:p w14:paraId="566A7EA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0.307</w:t>
            </w:r>
          </w:p>
        </w:tc>
      </w:tr>
    </w:tbl>
    <w:p w14:paraId="5BD75F44" w14:textId="222CCEE5" w:rsidR="009D144D" w:rsidRPr="003D2796" w:rsidRDefault="00655182"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 xml:space="preserve">Data analyzed using an </w:t>
      </w:r>
      <w:r w:rsidR="005628BA" w:rsidRPr="003D2796">
        <w:rPr>
          <w:rFonts w:ascii="Times New Roman" w:hAnsi="Times New Roman" w:cs="Times New Roman"/>
          <w:b/>
          <w:bCs/>
          <w:sz w:val="20"/>
          <w:szCs w:val="20"/>
        </w:rPr>
        <w:t>independent</w:t>
      </w:r>
      <w:r w:rsidRPr="003D2796">
        <w:rPr>
          <w:rFonts w:ascii="Times New Roman" w:hAnsi="Times New Roman" w:cs="Times New Roman"/>
          <w:b/>
          <w:bCs/>
          <w:sz w:val="20"/>
          <w:szCs w:val="20"/>
        </w:rPr>
        <w:t xml:space="preserve"> t-test</w:t>
      </w:r>
    </w:p>
    <w:p w14:paraId="28852059" w14:textId="77777777" w:rsidR="00B5722B" w:rsidRPr="003D2796" w:rsidRDefault="00B5722B" w:rsidP="003D2796">
      <w:pPr>
        <w:pStyle w:val="NoSpacing"/>
        <w:spacing w:line="276" w:lineRule="auto"/>
        <w:jc w:val="both"/>
        <w:rPr>
          <w:rFonts w:ascii="Times New Roman" w:hAnsi="Times New Roman" w:cs="Times New Roman"/>
          <w:b/>
          <w:bCs/>
          <w:sz w:val="20"/>
          <w:szCs w:val="20"/>
        </w:rPr>
      </w:pPr>
    </w:p>
    <w:p w14:paraId="68FD90E5" w14:textId="585C8CE9" w:rsidR="00D94B5B" w:rsidRPr="003D2796" w:rsidRDefault="00ED0843"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DISCUSSION</w:t>
      </w:r>
    </w:p>
    <w:p w14:paraId="585CEF47" w14:textId="3CBAA42B" w:rsidR="00D94B5B" w:rsidRDefault="00655182" w:rsidP="003D2796">
      <w:pPr>
        <w:pStyle w:val="NoSpacing"/>
        <w:spacing w:line="276" w:lineRule="auto"/>
        <w:jc w:val="both"/>
        <w:rPr>
          <w:rFonts w:ascii="Times New Roman" w:hAnsi="Times New Roman" w:cs="Times New Roman"/>
          <w:color w:val="000000"/>
          <w:sz w:val="20"/>
          <w:szCs w:val="20"/>
        </w:rPr>
      </w:pPr>
      <w:r w:rsidRPr="003D2796">
        <w:rPr>
          <w:rFonts w:ascii="Times New Roman" w:hAnsi="Times New Roman" w:cs="Times New Roman"/>
          <w:color w:val="000000"/>
          <w:sz w:val="20"/>
          <w:szCs w:val="20"/>
        </w:rPr>
        <w:t>The findings of this prospective comparative study demonstrate that spinal anesthesia is a safe and effective anesthetic technique for laparoscopic cholecystectomy, offering several significant advantages in the postoperative period compared to general anesthesia. Our results contribute valuable evidence to the growing body of literature supporting the use of neuraxial anesthesia in minimally invasive abdominal surgery, particularly within a community-based hospital context.</w:t>
      </w:r>
      <w:r w:rsidR="00FC1F5F" w:rsidRPr="003D2796">
        <w:rPr>
          <w:rFonts w:ascii="Times New Roman" w:hAnsi="Times New Roman" w:cs="Times New Roman"/>
          <w:color w:val="000000"/>
          <w:sz w:val="20"/>
          <w:szCs w:val="20"/>
        </w:rPr>
        <w:t xml:space="preserve"> </w:t>
      </w:r>
      <w:r w:rsidRPr="003D2796">
        <w:rPr>
          <w:rFonts w:ascii="Times New Roman" w:hAnsi="Times New Roman" w:cs="Times New Roman"/>
          <w:color w:val="000000"/>
          <w:sz w:val="20"/>
          <w:szCs w:val="20"/>
        </w:rPr>
        <w:t xml:space="preserve">The demographic and baseline parameters of our study population were well-matched, which establishes a reliable foundation for comparing the outcomes between the two groups. The intraoperative findings, however, revealed distinct challenges and benefits for each technique. The significantly higher incidence of hypotension and bradycardia in the SA group is a well-documented physiological </w:t>
      </w:r>
      <w:r w:rsidRPr="003D2796">
        <w:rPr>
          <w:rFonts w:ascii="Times New Roman" w:hAnsi="Times New Roman" w:cs="Times New Roman"/>
          <w:color w:val="000000"/>
          <w:sz w:val="20"/>
          <w:szCs w:val="20"/>
        </w:rPr>
        <w:lastRenderedPageBreak/>
        <w:t>response to sympathetic blockade [14]. This aligns with previous research</w:t>
      </w:r>
      <w:r w:rsidR="005628BA" w:rsidRPr="003D2796">
        <w:rPr>
          <w:rFonts w:ascii="Times New Roman" w:hAnsi="Times New Roman" w:cs="Times New Roman"/>
          <w:color w:val="000000"/>
          <w:sz w:val="20"/>
          <w:szCs w:val="20"/>
        </w:rPr>
        <w:t>,</w:t>
      </w:r>
      <w:r w:rsidRPr="003D2796">
        <w:rPr>
          <w:rFonts w:ascii="Times New Roman" w:hAnsi="Times New Roman" w:cs="Times New Roman"/>
          <w:color w:val="000000"/>
          <w:sz w:val="20"/>
          <w:szCs w:val="20"/>
        </w:rPr>
        <w:t xml:space="preserve"> which emphasized the need for vigilant monitoring and proactive management with vasopressors and fluids, which was successfully implemented in all our cases without any adverse sequelae [12]. Furthermore, the occurrence of shoulder tip pain in a substantial portion of the SA group, while a notable drawback, was transient and manageable with simple analgesics and reassurance. This phenomenon, caused by diaphragmatic irritation from CO2 pneumoperitoneum, is a known limitation of SA for laparoscopy but did not lead to any case conversions in our series [11].</w:t>
      </w:r>
      <w:r w:rsidR="00FC1F5F" w:rsidRPr="003D2796">
        <w:rPr>
          <w:rFonts w:ascii="Times New Roman" w:hAnsi="Times New Roman" w:cs="Times New Roman"/>
          <w:color w:val="000000"/>
          <w:sz w:val="20"/>
          <w:szCs w:val="20"/>
        </w:rPr>
        <w:t xml:space="preserve"> </w:t>
      </w:r>
      <w:r w:rsidRPr="003D2796">
        <w:rPr>
          <w:rFonts w:ascii="Times New Roman" w:hAnsi="Times New Roman" w:cs="Times New Roman"/>
          <w:color w:val="000000"/>
          <w:sz w:val="20"/>
          <w:szCs w:val="20"/>
        </w:rPr>
        <w:t xml:space="preserve">The most compelling advantages of SA were observed in the postoperative recovery profile. Patients receiving SA reported significantly lower pain scores at </w:t>
      </w:r>
      <w:r w:rsidR="005628BA" w:rsidRPr="003D2796">
        <w:rPr>
          <w:rFonts w:ascii="Times New Roman" w:hAnsi="Times New Roman" w:cs="Times New Roman"/>
          <w:color w:val="000000"/>
          <w:sz w:val="20"/>
          <w:szCs w:val="20"/>
        </w:rPr>
        <w:t>2-, 6-, and 12-hours</w:t>
      </w:r>
      <w:r w:rsidRPr="003D2796">
        <w:rPr>
          <w:rFonts w:ascii="Times New Roman" w:hAnsi="Times New Roman" w:cs="Times New Roman"/>
          <w:color w:val="000000"/>
          <w:sz w:val="20"/>
          <w:szCs w:val="20"/>
        </w:rPr>
        <w:t xml:space="preserve"> post-surgery and required their first rescue analgesic much later than those in the GA group. This superior analgesia is a direct benefit of the continued sensory blockade provided by the intrathecal local anesthetic, which effectively covers incisional and visceral pain in the initial critical hours [9,15]. This robust pain control directly facilitated a faster return to mobility and function. The times to first ambulation and first oral intake were significantly shorter in the SA group. This accelerated recovery is a crucial outcome, as early mobilization is a key component of enhanced recovery after surgery (ERAS) protocols, </w:t>
      </w:r>
      <w:r w:rsidR="00FC1F5F" w:rsidRPr="003D2796">
        <w:rPr>
          <w:rFonts w:ascii="Times New Roman" w:hAnsi="Times New Roman" w:cs="Times New Roman"/>
          <w:color w:val="000000"/>
          <w:sz w:val="20"/>
          <w:szCs w:val="20"/>
        </w:rPr>
        <w:t>which reduce the risk of thromboembolic events and promote</w:t>
      </w:r>
      <w:r w:rsidRPr="003D2796">
        <w:rPr>
          <w:rFonts w:ascii="Times New Roman" w:hAnsi="Times New Roman" w:cs="Times New Roman"/>
          <w:color w:val="000000"/>
          <w:sz w:val="20"/>
          <w:szCs w:val="20"/>
        </w:rPr>
        <w:t xml:space="preserve"> overall patient well-being [16].</w:t>
      </w:r>
      <w:r w:rsidR="00FC1F5F" w:rsidRPr="003D2796">
        <w:rPr>
          <w:rFonts w:ascii="Times New Roman" w:hAnsi="Times New Roman" w:cs="Times New Roman"/>
          <w:color w:val="000000"/>
          <w:sz w:val="20"/>
          <w:szCs w:val="20"/>
        </w:rPr>
        <w:t xml:space="preserve"> </w:t>
      </w:r>
      <w:r w:rsidRPr="003D2796">
        <w:rPr>
          <w:rFonts w:ascii="Times New Roman" w:hAnsi="Times New Roman" w:cs="Times New Roman"/>
          <w:color w:val="000000"/>
          <w:sz w:val="20"/>
          <w:szCs w:val="20"/>
        </w:rPr>
        <w:t>Another significant finding was the markedly lower incidence of postoperative nausea and vomiting in the SA group. PONV is a major cause of patient dissatisfaction and delayed discharge after GA, often triggered by inhaled anesthetics and systemic opioids [5]. By avoiding these agents, SA provides an inherent antiemetic benefit, significantly enhancing patient comfort in the immediate postoperative phase [17]. This finding is consistent with a meta-analysis that reported a consistent reduction in PONV rates with regional anesthesia techniques for various surgeries [18].</w:t>
      </w:r>
      <w:r w:rsidR="00FC1F5F" w:rsidRPr="003D2796">
        <w:rPr>
          <w:rFonts w:ascii="Times New Roman" w:hAnsi="Times New Roman" w:cs="Times New Roman"/>
          <w:color w:val="000000"/>
          <w:sz w:val="20"/>
          <w:szCs w:val="20"/>
        </w:rPr>
        <w:t xml:space="preserve"> </w:t>
      </w:r>
      <w:r w:rsidRPr="003D2796">
        <w:rPr>
          <w:rFonts w:ascii="Times New Roman" w:hAnsi="Times New Roman" w:cs="Times New Roman"/>
          <w:color w:val="000000"/>
          <w:sz w:val="20"/>
          <w:szCs w:val="20"/>
        </w:rPr>
        <w:t>Despite these clear benefits in early recovery metrics, the total hospital stay was not significantly different between the two groups. This suggests that while SA facilitates a faster initial recovery, discharge decisions in our setting were influenced by standardized protocols and social factors beyond the immediate physiological milestones measured [19]. This highlights an area for potential improvement through the implementation of structured, SA-enhanced recovery pathways</w:t>
      </w:r>
      <w:r w:rsidR="00FC1F5F" w:rsidRPr="003D2796">
        <w:rPr>
          <w:rFonts w:ascii="Times New Roman" w:hAnsi="Times New Roman" w:cs="Times New Roman"/>
          <w:color w:val="000000"/>
          <w:sz w:val="20"/>
          <w:szCs w:val="20"/>
        </w:rPr>
        <w:t xml:space="preserve">, which could translate early benefits into a </w:t>
      </w:r>
      <w:r w:rsidRPr="003D2796">
        <w:rPr>
          <w:rFonts w:ascii="Times New Roman" w:hAnsi="Times New Roman" w:cs="Times New Roman"/>
          <w:color w:val="000000"/>
          <w:sz w:val="20"/>
          <w:szCs w:val="20"/>
        </w:rPr>
        <w:t>reduced length of stay [20].</w:t>
      </w:r>
      <w:r w:rsidR="00FC1F5F" w:rsidRPr="003D2796">
        <w:rPr>
          <w:rFonts w:ascii="Times New Roman" w:hAnsi="Times New Roman" w:cs="Times New Roman"/>
          <w:color w:val="000000"/>
          <w:sz w:val="20"/>
          <w:szCs w:val="20"/>
        </w:rPr>
        <w:t xml:space="preserve"> </w:t>
      </w:r>
      <w:r w:rsidR="00356358" w:rsidRPr="00356358">
        <w:rPr>
          <w:rFonts w:ascii="Times New Roman" w:hAnsi="Times New Roman" w:cs="Times New Roman"/>
          <w:color w:val="000000"/>
          <w:sz w:val="20"/>
          <w:szCs w:val="20"/>
        </w:rPr>
        <w:t>Research has indicated that neither intravenous (propofol) nor inhalational (sevoflurane) anesthesia demonstrates a clinically superior recovery pattern for patients undergoing ambulatory laparoscopic cholecystectomy</w:t>
      </w:r>
      <w:r w:rsidR="00180EC8">
        <w:rPr>
          <w:rFonts w:ascii="Times New Roman" w:hAnsi="Times New Roman" w:cs="Times New Roman"/>
          <w:color w:val="000000"/>
          <w:sz w:val="20"/>
          <w:szCs w:val="20"/>
        </w:rPr>
        <w:t xml:space="preserve"> [21]</w:t>
      </w:r>
      <w:r w:rsidR="00356358" w:rsidRPr="00356358">
        <w:rPr>
          <w:rFonts w:ascii="Times New Roman" w:hAnsi="Times New Roman" w:cs="Times New Roman"/>
          <w:color w:val="000000"/>
          <w:sz w:val="20"/>
          <w:szCs w:val="20"/>
        </w:rPr>
        <w:t>.</w:t>
      </w:r>
      <w:r w:rsidR="00180EC8">
        <w:rPr>
          <w:rFonts w:ascii="Times New Roman" w:hAnsi="Times New Roman" w:cs="Times New Roman"/>
          <w:color w:val="000000"/>
          <w:sz w:val="20"/>
          <w:szCs w:val="20"/>
        </w:rPr>
        <w:t xml:space="preserve"> </w:t>
      </w:r>
      <w:r w:rsidR="00180EC8" w:rsidRPr="00180EC8">
        <w:rPr>
          <w:rFonts w:ascii="Times New Roman" w:hAnsi="Times New Roman" w:cs="Times New Roman"/>
          <w:color w:val="000000"/>
          <w:sz w:val="20"/>
          <w:szCs w:val="20"/>
        </w:rPr>
        <w:t>In laparoscopic cholecystectomy, both sevoflurane and propofol, when combined with dexamethasone and ondansetron, provide effective control of post-operative nausea and vomiting (PONV) for up to 24 hours</w:t>
      </w:r>
      <w:r w:rsidR="00180EC8">
        <w:rPr>
          <w:rFonts w:ascii="Times New Roman" w:hAnsi="Times New Roman" w:cs="Times New Roman"/>
          <w:color w:val="000000"/>
          <w:sz w:val="20"/>
          <w:szCs w:val="20"/>
        </w:rPr>
        <w:t xml:space="preserve"> [22]</w:t>
      </w:r>
      <w:r w:rsidR="00180EC8" w:rsidRPr="00180EC8">
        <w:rPr>
          <w:rFonts w:ascii="Times New Roman" w:hAnsi="Times New Roman" w:cs="Times New Roman"/>
          <w:color w:val="000000"/>
          <w:sz w:val="20"/>
          <w:szCs w:val="20"/>
        </w:rPr>
        <w:t>.</w:t>
      </w:r>
      <w:r w:rsidR="00180EC8">
        <w:rPr>
          <w:rFonts w:ascii="Times New Roman" w:hAnsi="Times New Roman" w:cs="Times New Roman"/>
          <w:color w:val="000000"/>
          <w:sz w:val="20"/>
          <w:szCs w:val="20"/>
        </w:rPr>
        <w:t xml:space="preserve"> </w:t>
      </w:r>
      <w:r w:rsidR="00180EC8" w:rsidRPr="00180EC8">
        <w:rPr>
          <w:rFonts w:ascii="Times New Roman" w:hAnsi="Times New Roman" w:cs="Times New Roman"/>
          <w:color w:val="000000"/>
          <w:sz w:val="20"/>
          <w:szCs w:val="20"/>
        </w:rPr>
        <w:t>To minimize morbidity in comorbid patients, laparoscopic cholecystectomy requires a balanced anesthetic technique that accounts for the physiological challenges of pneumoperitoneum</w:t>
      </w:r>
      <w:r w:rsidR="00180EC8">
        <w:rPr>
          <w:rFonts w:ascii="Times New Roman" w:hAnsi="Times New Roman" w:cs="Times New Roman"/>
          <w:color w:val="000000"/>
          <w:sz w:val="20"/>
          <w:szCs w:val="20"/>
        </w:rPr>
        <w:t xml:space="preserve"> [23]</w:t>
      </w:r>
      <w:r w:rsidR="00180EC8" w:rsidRPr="00180EC8">
        <w:rPr>
          <w:rFonts w:ascii="Times New Roman" w:hAnsi="Times New Roman" w:cs="Times New Roman"/>
          <w:color w:val="000000"/>
          <w:sz w:val="20"/>
          <w:szCs w:val="20"/>
        </w:rPr>
        <w:t>.</w:t>
      </w:r>
      <w:r w:rsidR="00180EC8">
        <w:rPr>
          <w:rFonts w:ascii="Times New Roman" w:hAnsi="Times New Roman" w:cs="Times New Roman"/>
          <w:color w:val="000000"/>
          <w:sz w:val="20"/>
          <w:szCs w:val="20"/>
        </w:rPr>
        <w:t xml:space="preserve"> </w:t>
      </w:r>
      <w:r w:rsidRPr="003D2796">
        <w:rPr>
          <w:rFonts w:ascii="Times New Roman" w:hAnsi="Times New Roman" w:cs="Times New Roman"/>
          <w:color w:val="000000"/>
          <w:sz w:val="20"/>
          <w:szCs w:val="20"/>
        </w:rPr>
        <w:t>A few limitations of this study must be acknowledged. The purposive sampling technique, while practical, may introduce selection bias. The patients and anesthesiologists were not blinded to the group allocation due to the inherent nature of the interventions, which could influence subjective assessments. Future multi-center studies with larger sample sizes and blinded outcome assessors could provide further robust evidence.</w:t>
      </w:r>
    </w:p>
    <w:p w14:paraId="39528E65" w14:textId="77777777" w:rsidR="00356358" w:rsidRPr="003D2796" w:rsidRDefault="00356358" w:rsidP="003D2796">
      <w:pPr>
        <w:pStyle w:val="NoSpacing"/>
        <w:spacing w:line="276" w:lineRule="auto"/>
        <w:jc w:val="both"/>
        <w:rPr>
          <w:rFonts w:ascii="Times New Roman" w:hAnsi="Times New Roman" w:cs="Times New Roman"/>
          <w:color w:val="000000"/>
          <w:sz w:val="20"/>
          <w:szCs w:val="20"/>
        </w:rPr>
      </w:pPr>
    </w:p>
    <w:p w14:paraId="00544B64" w14:textId="77777777" w:rsidR="00D94B5B" w:rsidRPr="003D2796" w:rsidRDefault="00D94B5B" w:rsidP="003D2796">
      <w:pPr>
        <w:pStyle w:val="NoSpacing"/>
        <w:spacing w:line="276" w:lineRule="auto"/>
        <w:jc w:val="both"/>
        <w:rPr>
          <w:rFonts w:ascii="Times New Roman" w:hAnsi="Times New Roman" w:cs="Times New Roman"/>
          <w:b/>
          <w:bCs/>
          <w:sz w:val="20"/>
          <w:szCs w:val="20"/>
        </w:rPr>
      </w:pPr>
    </w:p>
    <w:p w14:paraId="032C81BA" w14:textId="7196A880" w:rsidR="00D94B5B" w:rsidRPr="003D2796" w:rsidRDefault="00ED0843"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Limitations:</w:t>
      </w:r>
    </w:p>
    <w:p w14:paraId="6A9D7C65" w14:textId="49404138" w:rsidR="00A92591" w:rsidRPr="003D2796" w:rsidRDefault="00655182"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sz w:val="20"/>
          <w:szCs w:val="20"/>
        </w:rPr>
        <w:t xml:space="preserve">The </w:t>
      </w:r>
      <w:r w:rsidR="00FC1F5F" w:rsidRPr="003D2796">
        <w:rPr>
          <w:rFonts w:ascii="Times New Roman" w:hAnsi="Times New Roman" w:cs="Times New Roman"/>
          <w:sz w:val="20"/>
          <w:szCs w:val="20"/>
        </w:rPr>
        <w:t xml:space="preserve">study's limitations include the use of </w:t>
      </w:r>
      <w:r w:rsidRPr="003D2796">
        <w:rPr>
          <w:rFonts w:ascii="Times New Roman" w:hAnsi="Times New Roman" w:cs="Times New Roman"/>
          <w:sz w:val="20"/>
          <w:szCs w:val="20"/>
        </w:rPr>
        <w:t>a purposive sampling method, which may introduce selection bias, and the lack of blinding for participants and clinicians due to the nature of the anesthetic interventions.</w:t>
      </w:r>
    </w:p>
    <w:p w14:paraId="1E164AD8" w14:textId="483DDDFC" w:rsidR="00A92591" w:rsidRPr="003D2796" w:rsidRDefault="00A92591" w:rsidP="003D2796">
      <w:pPr>
        <w:pStyle w:val="NoSpacing"/>
        <w:spacing w:line="276" w:lineRule="auto"/>
        <w:jc w:val="both"/>
        <w:rPr>
          <w:rFonts w:ascii="Times New Roman" w:hAnsi="Times New Roman" w:cs="Times New Roman"/>
          <w:b/>
          <w:bCs/>
          <w:sz w:val="20"/>
          <w:szCs w:val="20"/>
        </w:rPr>
      </w:pPr>
    </w:p>
    <w:p w14:paraId="06BE9C7C" w14:textId="77777777" w:rsidR="00D94B5B" w:rsidRPr="003D2796" w:rsidRDefault="00ED0843"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 xml:space="preserve">CONCLUSION </w:t>
      </w:r>
    </w:p>
    <w:p w14:paraId="77493703" w14:textId="6C503003" w:rsidR="00A92591" w:rsidRPr="003D2796" w:rsidRDefault="00655182" w:rsidP="003D2796">
      <w:pPr>
        <w:pStyle w:val="NormalWeb"/>
        <w:spacing w:beforeAutospacing="0" w:afterAutospacing="0" w:line="276" w:lineRule="auto"/>
        <w:jc w:val="both"/>
        <w:rPr>
          <w:sz w:val="20"/>
          <w:szCs w:val="20"/>
        </w:rPr>
      </w:pPr>
      <w:r w:rsidRPr="003D2796">
        <w:rPr>
          <w:sz w:val="20"/>
          <w:szCs w:val="20"/>
        </w:rPr>
        <w:t>Spinal anesthesia is a safe and effective alternative to general anesthesia for laparoscopic cholecystectomy. It provides superior postoperative analgesia, significantly reduces opioid-related side effects like nausea and vomiting, and facilitates a faster early recovery. While associated with manageable intraoperative hemodynamic changes, its benefits make it a highly suitable technique for enhancing patient recovery and optimizing resource utilization in community-based surgical settings, warranting its broader consideration and application.</w:t>
      </w:r>
    </w:p>
    <w:p w14:paraId="2DFD12BC" w14:textId="77777777" w:rsidR="00E61926" w:rsidRPr="003D2796" w:rsidRDefault="00E61926" w:rsidP="003D2796">
      <w:pPr>
        <w:pStyle w:val="NormalWeb"/>
        <w:spacing w:beforeAutospacing="0" w:afterAutospacing="0" w:line="276" w:lineRule="auto"/>
        <w:jc w:val="both"/>
        <w:rPr>
          <w:sz w:val="20"/>
          <w:szCs w:val="20"/>
        </w:rPr>
      </w:pPr>
    </w:p>
    <w:p w14:paraId="3A853238" w14:textId="77777777" w:rsidR="00D94B5B" w:rsidRPr="003D2796" w:rsidRDefault="00ED0843" w:rsidP="003D2796">
      <w:pPr>
        <w:pStyle w:val="Default"/>
        <w:spacing w:line="276" w:lineRule="auto"/>
        <w:jc w:val="both"/>
        <w:rPr>
          <w:b/>
          <w:bCs/>
          <w:sz w:val="20"/>
          <w:szCs w:val="20"/>
        </w:rPr>
      </w:pPr>
      <w:r w:rsidRPr="003D2796">
        <w:rPr>
          <w:b/>
          <w:bCs/>
          <w:sz w:val="20"/>
          <w:szCs w:val="20"/>
        </w:rPr>
        <w:t>Recommendation:</w:t>
      </w:r>
    </w:p>
    <w:p w14:paraId="03AB0032" w14:textId="63E27AE2" w:rsidR="00A92591" w:rsidRDefault="00655182" w:rsidP="003D2796">
      <w:pPr>
        <w:pStyle w:val="Default"/>
        <w:spacing w:line="276" w:lineRule="auto"/>
        <w:jc w:val="both"/>
        <w:rPr>
          <w:sz w:val="20"/>
          <w:szCs w:val="20"/>
        </w:rPr>
      </w:pPr>
      <w:r w:rsidRPr="003D2796">
        <w:rPr>
          <w:sz w:val="20"/>
          <w:szCs w:val="20"/>
        </w:rPr>
        <w:t>Spinal anesthesia should be considered a routine option for eligible patients undergoing laparoscopic cholecystectomy in community hospitals. Implementing structured protocols for its use can optimize postoperative recovery, enhance patient satisfaction, and improve overall surgical care efficiency.</w:t>
      </w:r>
    </w:p>
    <w:p w14:paraId="029120DF" w14:textId="14A6CCA7" w:rsidR="00363161" w:rsidRDefault="00363161" w:rsidP="003D2796">
      <w:pPr>
        <w:pStyle w:val="Default"/>
        <w:spacing w:line="276" w:lineRule="auto"/>
        <w:jc w:val="both"/>
        <w:rPr>
          <w:sz w:val="20"/>
          <w:szCs w:val="20"/>
        </w:rPr>
      </w:pPr>
    </w:p>
    <w:p w14:paraId="5E05DAA4" w14:textId="21A1AA5C" w:rsidR="00363161" w:rsidRDefault="00363161" w:rsidP="003D2796">
      <w:pPr>
        <w:pStyle w:val="Default"/>
        <w:spacing w:line="276" w:lineRule="auto"/>
        <w:jc w:val="both"/>
        <w:rPr>
          <w:sz w:val="20"/>
          <w:szCs w:val="20"/>
        </w:rPr>
      </w:pPr>
    </w:p>
    <w:p w14:paraId="7C6A1AEB" w14:textId="77777777" w:rsidR="00363161" w:rsidRPr="00167BB8" w:rsidRDefault="00363161" w:rsidP="00167BB8">
      <w:pPr>
        <w:spacing w:line="276" w:lineRule="auto"/>
        <w:jc w:val="both"/>
        <w:rPr>
          <w:rFonts w:eastAsia="Calibri"/>
          <w:kern w:val="2"/>
          <w:highlight w:val="yellow"/>
        </w:rPr>
      </w:pPr>
      <w:bookmarkStart w:id="0" w:name="_Hlk204003461"/>
      <w:bookmarkStart w:id="1" w:name="_Hlk209007716"/>
      <w:r w:rsidRPr="00167BB8">
        <w:rPr>
          <w:rFonts w:eastAsia="Calibri"/>
          <w:kern w:val="2"/>
          <w:highlight w:val="yellow"/>
        </w:rPr>
        <w:t>Disclaimer (Artificial intelligence)</w:t>
      </w:r>
    </w:p>
    <w:bookmarkEnd w:id="0"/>
    <w:bookmarkEnd w:id="1"/>
    <w:p w14:paraId="52114AA9" w14:textId="088397B2" w:rsidR="00363161" w:rsidRPr="00167BB8" w:rsidRDefault="00167BB8" w:rsidP="00167BB8">
      <w:pPr>
        <w:pStyle w:val="Default"/>
        <w:spacing w:line="276" w:lineRule="auto"/>
        <w:jc w:val="both"/>
        <w:rPr>
          <w:sz w:val="20"/>
          <w:szCs w:val="20"/>
        </w:rPr>
      </w:pPr>
      <w:r w:rsidRPr="00167BB8">
        <w:rPr>
          <w:rFonts w:eastAsia="Calibri"/>
          <w:color w:val="auto"/>
          <w:kern w:val="2"/>
        </w:rPr>
        <w:t xml:space="preserve">Author(s) hereby declare that NO generative AI technologies such as Large Language Models (ChatGPT, COPILOT, </w:t>
      </w:r>
      <w:proofErr w:type="spellStart"/>
      <w:r w:rsidRPr="00167BB8">
        <w:rPr>
          <w:rFonts w:eastAsia="Calibri"/>
          <w:color w:val="auto"/>
          <w:kern w:val="2"/>
        </w:rPr>
        <w:t>etc</w:t>
      </w:r>
      <w:proofErr w:type="spellEnd"/>
      <w:r w:rsidRPr="00167BB8">
        <w:rPr>
          <w:rFonts w:eastAsia="Calibri"/>
          <w:color w:val="auto"/>
          <w:kern w:val="2"/>
        </w:rPr>
        <w:t>) and text-to-image generators have been used during writing or editing of this manuscript.</w:t>
      </w:r>
    </w:p>
    <w:p w14:paraId="3D067297" w14:textId="77777777" w:rsidR="00655182" w:rsidRPr="003D2796" w:rsidRDefault="00655182" w:rsidP="003D2796">
      <w:pPr>
        <w:pStyle w:val="Default"/>
        <w:spacing w:line="276" w:lineRule="auto"/>
        <w:jc w:val="both"/>
        <w:rPr>
          <w:sz w:val="20"/>
          <w:szCs w:val="20"/>
        </w:rPr>
      </w:pPr>
    </w:p>
    <w:p w14:paraId="3A68E839" w14:textId="77777777" w:rsidR="00D94B5B" w:rsidRPr="003D2796" w:rsidRDefault="00ED0843" w:rsidP="003D2796">
      <w:pPr>
        <w:pStyle w:val="NoSpacing"/>
        <w:spacing w:line="276" w:lineRule="auto"/>
        <w:jc w:val="both"/>
        <w:rPr>
          <w:rFonts w:ascii="Times New Roman" w:hAnsi="Times New Roman" w:cs="Times New Roman"/>
          <w:b/>
          <w:bCs/>
          <w:sz w:val="20"/>
          <w:szCs w:val="20"/>
        </w:rPr>
      </w:pPr>
      <w:bookmarkStart w:id="2" w:name="_Hlk69502383"/>
      <w:r w:rsidRPr="003D2796">
        <w:rPr>
          <w:rFonts w:ascii="Times New Roman" w:hAnsi="Times New Roman" w:cs="Times New Roman"/>
          <w:b/>
          <w:bCs/>
          <w:sz w:val="20"/>
          <w:szCs w:val="20"/>
        </w:rPr>
        <w:t>REFERENCES</w:t>
      </w:r>
    </w:p>
    <w:bookmarkEnd w:id="2"/>
    <w:p w14:paraId="07376718" w14:textId="119A6F2B" w:rsidR="00D94B5B" w:rsidRPr="003D2796" w:rsidRDefault="00C2449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Hassler, K. R., et al. "Laparoscopic cholecystectomy. StatPearls." (2022).</w:t>
      </w:r>
    </w:p>
    <w:p w14:paraId="63A93192" w14:textId="47E9A5B0" w:rsidR="00C2449F" w:rsidRPr="003D2796" w:rsidRDefault="00C2449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Coccolini, Federico, et al. "Open versus laparoscopic cholecystectomy in acute cholecystitis. Systematic review and meta-analysis." International journal of surgery 18 (2015): 196-204.</w:t>
      </w:r>
    </w:p>
    <w:p w14:paraId="53C29087" w14:textId="7088DEF4" w:rsidR="00C2449F" w:rsidRPr="003D2796" w:rsidRDefault="00C2449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Alam, Md Ishtiaq, et al. "Clinico-pathological Profile and Immediate Hospital Outcome of Acute Pancreatitis." Journal of Medicine 23.1 (2022): 24-29.</w:t>
      </w:r>
    </w:p>
    <w:p w14:paraId="2A1013F5" w14:textId="07AAA4AA" w:rsidR="00C2449F" w:rsidRPr="003D2796" w:rsidRDefault="00C2449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Özdemir-van Brunschot, Denise MD, et al. "What is the evidence for the use of low-pressure pneumoperitoneum? A systematic review." Surgical endoscopy 30.5 (2016): 2049-2065.</w:t>
      </w:r>
    </w:p>
    <w:p w14:paraId="67A6BD8B" w14:textId="411E861A" w:rsidR="00C2449F" w:rsidRPr="003D2796" w:rsidRDefault="00C2449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 xml:space="preserve">Shaikh, Safiya Imtiaz, et al. "Postoperative nausea and vomiting: A simple yet complex problem." Anesthesia Essays and </w:t>
      </w:r>
      <w:r w:rsidR="00EF04A7" w:rsidRPr="003D2796">
        <w:rPr>
          <w:rFonts w:ascii="Times New Roman" w:hAnsi="Times New Roman" w:cs="Times New Roman"/>
          <w:sz w:val="20"/>
          <w:szCs w:val="20"/>
        </w:rPr>
        <w:t>Research</w:t>
      </w:r>
      <w:r w:rsidRPr="003D2796">
        <w:rPr>
          <w:rFonts w:ascii="Times New Roman" w:hAnsi="Times New Roman" w:cs="Times New Roman"/>
          <w:sz w:val="20"/>
          <w:szCs w:val="20"/>
        </w:rPr>
        <w:t xml:space="preserve"> 10.3 (2016): 388-396.</w:t>
      </w:r>
    </w:p>
    <w:p w14:paraId="71169B62" w14:textId="61FB48C3" w:rsidR="00442D6F" w:rsidRPr="003D2796" w:rsidRDefault="00442D6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Ortoleva, Jamel, and Edward A. Bittner. "Gastrointestinal complications and their management after adult cardiac surgery." Postoperative Critical Care for Adult Cardiac Surgical Patients. Cham: Springer International Publishing, 2018. 297-313.</w:t>
      </w:r>
    </w:p>
    <w:p w14:paraId="59E28ECF" w14:textId="310BA42A" w:rsidR="00442D6F" w:rsidRPr="003D2796" w:rsidRDefault="00442D6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lang w:val="it-IT"/>
        </w:rPr>
        <w:t xml:space="preserve">Della Corte, Luigi, et al. </w:t>
      </w:r>
      <w:r w:rsidRPr="003D2796">
        <w:rPr>
          <w:rFonts w:ascii="Times New Roman" w:hAnsi="Times New Roman" w:cs="Times New Roman"/>
          <w:sz w:val="20"/>
          <w:szCs w:val="20"/>
        </w:rPr>
        <w:t>"Spinal anesthesia versus general anesthesia in gynecological laparoscopic surgery: a systematic review and meta-analysis." Gynecologic and Obstetric Investigation 87.1 (2022): 1-11.</w:t>
      </w:r>
    </w:p>
    <w:p w14:paraId="2B5F80B7" w14:textId="50250487" w:rsidR="00442D6F" w:rsidRPr="003D2796" w:rsidRDefault="00442D6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Karaca, Ömer, and Hüseyin Ulaş Pınar. "Efficacy of Ultrasound-Guided Erector Spinae Plane Block for Postoperative Analgesia in Laparoscopic Cholecystectomy: A Retrospective Cohort Study." Journal of Anesthesia/Anestezi Dergisi (JARSS) 28.3 (2020).</w:t>
      </w:r>
    </w:p>
    <w:p w14:paraId="7A030923" w14:textId="073D9F89" w:rsidR="00442D6F" w:rsidRPr="003D2796" w:rsidRDefault="00442D6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Saini, Heena, et al. "</w:t>
      </w:r>
      <w:r w:rsidR="00EF04A7" w:rsidRPr="003D2796">
        <w:rPr>
          <w:rFonts w:ascii="Times New Roman" w:hAnsi="Times New Roman" w:cs="Times New Roman"/>
          <w:sz w:val="20"/>
          <w:szCs w:val="20"/>
        </w:rPr>
        <w:t>Comparison</w:t>
      </w:r>
      <w:r w:rsidRPr="003D2796">
        <w:rPr>
          <w:rFonts w:ascii="Times New Roman" w:hAnsi="Times New Roman" w:cs="Times New Roman"/>
          <w:sz w:val="20"/>
          <w:szCs w:val="20"/>
        </w:rPr>
        <w:t xml:space="preserve"> of dexmedetomidine and propofol in patients undergoing laparoscopic cholecystectomy under spinal anesthesia." Anesthesia Essays and </w:t>
      </w:r>
      <w:r w:rsidR="00EF04A7" w:rsidRPr="003D2796">
        <w:rPr>
          <w:rFonts w:ascii="Times New Roman" w:hAnsi="Times New Roman" w:cs="Times New Roman"/>
          <w:sz w:val="20"/>
          <w:szCs w:val="20"/>
        </w:rPr>
        <w:t>Research</w:t>
      </w:r>
      <w:r w:rsidRPr="003D2796">
        <w:rPr>
          <w:rFonts w:ascii="Times New Roman" w:hAnsi="Times New Roman" w:cs="Times New Roman"/>
          <w:sz w:val="20"/>
          <w:szCs w:val="20"/>
        </w:rPr>
        <w:t xml:space="preserve"> 14.2 (2020): 194-198.</w:t>
      </w:r>
    </w:p>
    <w:p w14:paraId="552D0013" w14:textId="25C2105D" w:rsidR="00442D6F" w:rsidRPr="003D2796" w:rsidRDefault="00442D6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 xml:space="preserve">Wang, Xian-Xue, et al. "Comparison of Postoperative Events between Spinal Anesthesia and General Anesthesia in Laparoscopic Cholecystectomy: A </w:t>
      </w:r>
      <w:r w:rsidR="00EF04A7" w:rsidRPr="003D2796">
        <w:rPr>
          <w:rFonts w:ascii="Times New Roman" w:hAnsi="Times New Roman" w:cs="Times New Roman"/>
          <w:sz w:val="20"/>
          <w:szCs w:val="20"/>
        </w:rPr>
        <w:t>Systematic</w:t>
      </w:r>
      <w:r w:rsidRPr="003D2796">
        <w:rPr>
          <w:rFonts w:ascii="Times New Roman" w:hAnsi="Times New Roman" w:cs="Times New Roman"/>
          <w:sz w:val="20"/>
          <w:szCs w:val="20"/>
        </w:rPr>
        <w:t xml:space="preserve"> Review and Meta‐Analysis of Randomized Controlled Trials." BioMed research international 2016.1 (2016): 9480539.</w:t>
      </w:r>
    </w:p>
    <w:p w14:paraId="3635F476" w14:textId="0AB2ADC4" w:rsidR="00FB6E63" w:rsidRPr="003D2796" w:rsidRDefault="00FB6E63"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Donatsky, Anders Meller, Flemming Bjerrum, and Ismail Gögenur. "Surgical techniques to minimize shoulder pain after laparoscopic cholecystectomy. A systematic review." Surgical endoscopy 27.7 (2013): 2275-2282.</w:t>
      </w:r>
    </w:p>
    <w:p w14:paraId="53B7E10C" w14:textId="3CDBB923" w:rsidR="00FB6E63" w:rsidRPr="003D2796" w:rsidRDefault="00FB6E63"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Kılıc, Ertugrul. "Laminektomi operasyonu olan ileri yaş hastalarda genel anestezi ile spinal anestezinin postoperatif ağrı ve analjezik tüketimi üzerine etkileri: Retrospektif deneyimlerimiz." Dicle Medical Journal 46.1 (2019): 173-177.</w:t>
      </w:r>
    </w:p>
    <w:p w14:paraId="141A5146" w14:textId="6C4AD770" w:rsidR="00FB6E63" w:rsidRPr="003D2796" w:rsidRDefault="00FB6E63"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 xml:space="preserve">Loveday, Jonathan, et al. "Survey of emergency and essential surgical, obstetric and </w:t>
      </w:r>
      <w:r w:rsidR="00F23DCC" w:rsidRPr="003D2796">
        <w:rPr>
          <w:rFonts w:ascii="Times New Roman" w:hAnsi="Times New Roman" w:cs="Times New Roman"/>
          <w:sz w:val="20"/>
          <w:szCs w:val="20"/>
        </w:rPr>
        <w:t>anesthetic</w:t>
      </w:r>
      <w:r w:rsidRPr="003D2796">
        <w:rPr>
          <w:rFonts w:ascii="Times New Roman" w:hAnsi="Times New Roman" w:cs="Times New Roman"/>
          <w:sz w:val="20"/>
          <w:szCs w:val="20"/>
        </w:rPr>
        <w:t xml:space="preserve"> services available in Bangladeshi government health facilities." World Journal of Surgery 41.7 (2017): 1743-1751.</w:t>
      </w:r>
    </w:p>
    <w:p w14:paraId="0862FE23" w14:textId="6E68533F" w:rsidR="00FB6E63" w:rsidRPr="003D2796" w:rsidRDefault="00FB6E63"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Dabbous, ALIA S., et al. "Perioperative reflex bradycardia and cardiac arrest." Middle East J Anaesthesiol 22.4 (2014): 353-60.</w:t>
      </w:r>
    </w:p>
    <w:p w14:paraId="7E6CC6AA" w14:textId="000A3E24" w:rsidR="00FB6E63"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Borgeat, Alain, and José Aguirre. "Impact of local anesthetics on cancer behavior and outcome during the perioperative period: a review." Medicina 58.7 (2022): 882.</w:t>
      </w:r>
    </w:p>
    <w:p w14:paraId="19E2EFDE" w14:textId="3E9AC2B4" w:rsidR="00EF04A7"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Lassen, Kristoffer, et al. "Consensus review of optimal perioperative care in colorectal surgery: Enhanced Recovery After Surgery (ERAS) Group recommendations." Archives of Surgery 144.10 (2009): 961-969.</w:t>
      </w:r>
    </w:p>
    <w:p w14:paraId="3907F53C" w14:textId="4F390767" w:rsidR="00EF04A7"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lang w:val="it-IT"/>
        </w:rPr>
        <w:t xml:space="preserve">Verma, Amit Kumar, et al. </w:t>
      </w:r>
      <w:r w:rsidRPr="003D2796">
        <w:rPr>
          <w:rFonts w:ascii="Times New Roman" w:hAnsi="Times New Roman" w:cs="Times New Roman"/>
          <w:sz w:val="20"/>
          <w:szCs w:val="20"/>
        </w:rPr>
        <w:t>"Comparison of recovery profiles of patients undergoing endoscopic lumbar discectomy under desflurane, propofol, or sevoflurane anesthesia: A randomized, prospective, clinical, comparative study." Journal of Neurosciences in Rural Practice 13.2 (2022): 226.</w:t>
      </w:r>
    </w:p>
    <w:p w14:paraId="4FF61F46" w14:textId="186B79BC" w:rsidR="00EF04A7"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Gan, Tong J., et al. "Consensus guidelines for the management of postoperative nausea and vomiting." Anesthesia &amp; Analgesia 118.1 (2014): 85-113.</w:t>
      </w:r>
    </w:p>
    <w:p w14:paraId="74FE2FF8" w14:textId="67DAA00C" w:rsidR="00EF04A7"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lastRenderedPageBreak/>
        <w:t>Al Mahalawy, Magdy Abd El Aziz, et al. "Evaluating the accuracy of screw placement using intraoperative computed tomography with navigation in dorsal and lumbo-sacral spine fixation surgery." International Journal of Neurology 5.1 (2023): 36-47.</w:t>
      </w:r>
    </w:p>
    <w:p w14:paraId="49C32A2F" w14:textId="02B6749A" w:rsidR="00EF04A7"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Al Mahalawy, Magdy Abd El Aziz, et al. "Evaluating the accuracy of screw placement using intraoperative computed tomography with navigation in dorsal and lumbo-sacral spine fixation surgery." International Journal of Neurology 5.1 (2023): 36-47.</w:t>
      </w:r>
    </w:p>
    <w:p w14:paraId="68D487F3" w14:textId="4C553F61" w:rsidR="00180EC8" w:rsidRDefault="00180EC8" w:rsidP="003D2796">
      <w:pPr>
        <w:pStyle w:val="ListParagraph"/>
        <w:numPr>
          <w:ilvl w:val="0"/>
          <w:numId w:val="1"/>
        </w:numPr>
        <w:spacing w:after="0" w:line="276" w:lineRule="auto"/>
        <w:jc w:val="both"/>
        <w:rPr>
          <w:rFonts w:ascii="Times New Roman" w:hAnsi="Times New Roman" w:cs="Times New Roman"/>
          <w:sz w:val="20"/>
          <w:szCs w:val="20"/>
        </w:rPr>
      </w:pPr>
      <w:r w:rsidRPr="00180EC8">
        <w:rPr>
          <w:rFonts w:ascii="Times New Roman" w:hAnsi="Times New Roman" w:cs="Times New Roman"/>
          <w:sz w:val="20"/>
          <w:szCs w:val="20"/>
        </w:rPr>
        <w:t xml:space="preserve">Maqbool, Muhammad Salman, et al. "Post-Operative Recovery Profile after Laparoscopic Cholecystectomy: Comparing Inhalational Versus Intravenous </w:t>
      </w:r>
      <w:r>
        <w:rPr>
          <w:rFonts w:ascii="Times New Roman" w:hAnsi="Times New Roman" w:cs="Times New Roman"/>
          <w:sz w:val="20"/>
          <w:szCs w:val="20"/>
        </w:rPr>
        <w:t>Anesthetic</w:t>
      </w:r>
      <w:r w:rsidRPr="00180EC8">
        <w:rPr>
          <w:rFonts w:ascii="Times New Roman" w:hAnsi="Times New Roman" w:cs="Times New Roman"/>
          <w:sz w:val="20"/>
          <w:szCs w:val="20"/>
        </w:rPr>
        <w:t xml:space="preserve"> Regimen." Journal of Rawalpindi Medical College 23.1 (2019).</w:t>
      </w:r>
    </w:p>
    <w:p w14:paraId="215FE658" w14:textId="1F4FDD39" w:rsidR="00180EC8" w:rsidRDefault="00180EC8" w:rsidP="003D2796">
      <w:pPr>
        <w:pStyle w:val="ListParagraph"/>
        <w:numPr>
          <w:ilvl w:val="0"/>
          <w:numId w:val="1"/>
        </w:numPr>
        <w:spacing w:after="0" w:line="276" w:lineRule="auto"/>
        <w:jc w:val="both"/>
        <w:rPr>
          <w:rFonts w:ascii="Times New Roman" w:hAnsi="Times New Roman" w:cs="Times New Roman"/>
          <w:sz w:val="20"/>
          <w:szCs w:val="20"/>
        </w:rPr>
      </w:pPr>
      <w:r w:rsidRPr="00180EC8">
        <w:rPr>
          <w:rFonts w:ascii="Times New Roman" w:hAnsi="Times New Roman" w:cs="Times New Roman"/>
          <w:sz w:val="20"/>
          <w:szCs w:val="20"/>
        </w:rPr>
        <w:t>Maqbool, Muhammad Salman, et al. "Effect of Anti-Emetic Combination of Sevoflurane/Propofol Anesthesia Technique in Laparoscopic Cholecystectomy." Journal of Bahria University Medical and Dental College 12.01 (2022): 3-7.</w:t>
      </w:r>
    </w:p>
    <w:p w14:paraId="454F3863" w14:textId="6FEFABA0" w:rsidR="00180EC8" w:rsidRPr="003D2796" w:rsidRDefault="00180EC8" w:rsidP="003D2796">
      <w:pPr>
        <w:pStyle w:val="ListParagraph"/>
        <w:numPr>
          <w:ilvl w:val="0"/>
          <w:numId w:val="1"/>
        </w:numPr>
        <w:spacing w:after="0" w:line="276" w:lineRule="auto"/>
        <w:jc w:val="both"/>
        <w:rPr>
          <w:rFonts w:ascii="Times New Roman" w:hAnsi="Times New Roman" w:cs="Times New Roman"/>
          <w:sz w:val="20"/>
          <w:szCs w:val="20"/>
        </w:rPr>
      </w:pPr>
      <w:r w:rsidRPr="00180EC8">
        <w:rPr>
          <w:rFonts w:ascii="Times New Roman" w:hAnsi="Times New Roman" w:cs="Times New Roman"/>
          <w:sz w:val="20"/>
          <w:szCs w:val="20"/>
        </w:rPr>
        <w:t>Maqbool, Muhammad Salman, et al. "</w:t>
      </w:r>
      <w:r>
        <w:rPr>
          <w:rFonts w:ascii="Times New Roman" w:hAnsi="Times New Roman" w:cs="Times New Roman"/>
          <w:sz w:val="20"/>
          <w:szCs w:val="20"/>
        </w:rPr>
        <w:t>Anesthesia</w:t>
      </w:r>
      <w:r w:rsidRPr="00180EC8">
        <w:rPr>
          <w:rFonts w:ascii="Times New Roman" w:hAnsi="Times New Roman" w:cs="Times New Roman"/>
          <w:sz w:val="20"/>
          <w:szCs w:val="20"/>
        </w:rPr>
        <w:t xml:space="preserve"> Concern in High-Risk Cases </w:t>
      </w:r>
      <w:r>
        <w:rPr>
          <w:rFonts w:ascii="Times New Roman" w:hAnsi="Times New Roman" w:cs="Times New Roman"/>
          <w:sz w:val="20"/>
          <w:szCs w:val="20"/>
        </w:rPr>
        <w:t>Undergoing</w:t>
      </w:r>
      <w:r w:rsidRPr="00180EC8">
        <w:rPr>
          <w:rFonts w:ascii="Times New Roman" w:hAnsi="Times New Roman" w:cs="Times New Roman"/>
          <w:sz w:val="20"/>
          <w:szCs w:val="20"/>
        </w:rPr>
        <w:t xml:space="preserve"> Ambulatory Laparoscopic Cholecystectomy." Journal of Bahria University Medical and Dental College 11.4 (2021): 179-183.</w:t>
      </w:r>
    </w:p>
    <w:p w14:paraId="737AB338" w14:textId="77777777" w:rsidR="00D94B5B" w:rsidRPr="003D2796" w:rsidRDefault="00D94B5B" w:rsidP="003D2796">
      <w:pPr>
        <w:spacing w:line="276" w:lineRule="auto"/>
        <w:jc w:val="both"/>
        <w:rPr>
          <w:sz w:val="20"/>
          <w:szCs w:val="20"/>
        </w:rPr>
      </w:pPr>
    </w:p>
    <w:p w14:paraId="453A71B1" w14:textId="77777777" w:rsidR="00D94B5B" w:rsidRPr="003D2796" w:rsidRDefault="00D94B5B" w:rsidP="003D2796">
      <w:pPr>
        <w:spacing w:line="276" w:lineRule="auto"/>
        <w:jc w:val="both"/>
        <w:rPr>
          <w:sz w:val="20"/>
          <w:szCs w:val="20"/>
        </w:rPr>
      </w:pPr>
    </w:p>
    <w:sectPr w:rsidR="00D94B5B" w:rsidRPr="003D2796">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57E40" w14:textId="77777777" w:rsidR="003558D0" w:rsidRDefault="003558D0">
      <w:r>
        <w:separator/>
      </w:r>
    </w:p>
  </w:endnote>
  <w:endnote w:type="continuationSeparator" w:id="0">
    <w:p w14:paraId="5917EB0E" w14:textId="77777777" w:rsidR="003558D0" w:rsidRDefault="0035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BDED" w14:textId="77777777" w:rsidR="00202587" w:rsidRDefault="00202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825009"/>
    </w:sdtPr>
    <w:sdtContent>
      <w:sdt>
        <w:sdtPr>
          <w:id w:val="-1769616900"/>
        </w:sdtPr>
        <w:sdtContent>
          <w:p w14:paraId="4D55ECDF" w14:textId="77777777" w:rsidR="00D94B5B" w:rsidRDefault="00ED0843">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14:paraId="746D1168" w14:textId="77777777" w:rsidR="00D94B5B" w:rsidRDefault="00D94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0ABC" w14:textId="77777777" w:rsidR="00202587" w:rsidRDefault="00202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1CDF" w14:textId="77777777" w:rsidR="003558D0" w:rsidRDefault="003558D0">
      <w:r>
        <w:separator/>
      </w:r>
    </w:p>
  </w:footnote>
  <w:footnote w:type="continuationSeparator" w:id="0">
    <w:p w14:paraId="6AFEF724" w14:textId="77777777" w:rsidR="003558D0" w:rsidRDefault="0035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50AC" w14:textId="3B3980F1" w:rsidR="00202587" w:rsidRDefault="00000000">
    <w:pPr>
      <w:pStyle w:val="Header"/>
    </w:pPr>
    <w:r>
      <w:rPr>
        <w:noProof/>
      </w:rPr>
      <w:pict w14:anchorId="5C9AD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2610" o:spid="_x0000_s1026"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3931" w14:textId="76B0028B" w:rsidR="00D94B5B" w:rsidRDefault="00000000">
    <w:pPr>
      <w:pStyle w:val="Header"/>
    </w:pPr>
    <w:r>
      <w:rPr>
        <w:noProof/>
      </w:rPr>
      <w:pict w14:anchorId="2BF52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2611" o:spid="_x0000_s1027"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ED0843">
      <w:tab/>
    </w:r>
    <w:r w:rsidR="00ED0843">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E894" w14:textId="48EFDAE7" w:rsidR="00202587" w:rsidRDefault="00000000">
    <w:pPr>
      <w:pStyle w:val="Header"/>
    </w:pPr>
    <w:r>
      <w:rPr>
        <w:noProof/>
      </w:rPr>
      <w:pict w14:anchorId="60982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2609" o:spid="_x0000_s1025"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2766"/>
    <w:multiLevelType w:val="hybridMultilevel"/>
    <w:tmpl w:val="787C8A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A211E"/>
    <w:multiLevelType w:val="multilevel"/>
    <w:tmpl w:val="470A211E"/>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967819"/>
    <w:multiLevelType w:val="hybridMultilevel"/>
    <w:tmpl w:val="6648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543804">
    <w:abstractNumId w:val="1"/>
  </w:num>
  <w:num w:numId="2" w16cid:durableId="169956093">
    <w:abstractNumId w:val="0"/>
  </w:num>
  <w:num w:numId="3" w16cid:durableId="169935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tjA1NDYyMze1tDRU0lEKTi0uzszPAykwrgUAX9kKgiwAAAA="/>
  </w:docVars>
  <w:rsids>
    <w:rsidRoot w:val="00AF39FF"/>
    <w:rsid w:val="000028E4"/>
    <w:rsid w:val="000118AA"/>
    <w:rsid w:val="00015A0F"/>
    <w:rsid w:val="00017769"/>
    <w:rsid w:val="00021D54"/>
    <w:rsid w:val="0002304A"/>
    <w:rsid w:val="000357A6"/>
    <w:rsid w:val="0003651C"/>
    <w:rsid w:val="000422C0"/>
    <w:rsid w:val="0004566E"/>
    <w:rsid w:val="00050574"/>
    <w:rsid w:val="00056F56"/>
    <w:rsid w:val="000632A7"/>
    <w:rsid w:val="00063AA9"/>
    <w:rsid w:val="0006758A"/>
    <w:rsid w:val="00076D6B"/>
    <w:rsid w:val="00081B25"/>
    <w:rsid w:val="000877B2"/>
    <w:rsid w:val="00094761"/>
    <w:rsid w:val="000A09BD"/>
    <w:rsid w:val="000A164C"/>
    <w:rsid w:val="000A6AA8"/>
    <w:rsid w:val="000B2F80"/>
    <w:rsid w:val="000B3FCE"/>
    <w:rsid w:val="000B4851"/>
    <w:rsid w:val="000B5C12"/>
    <w:rsid w:val="000B5E0D"/>
    <w:rsid w:val="000B6689"/>
    <w:rsid w:val="000B66EA"/>
    <w:rsid w:val="000C0551"/>
    <w:rsid w:val="000C27DE"/>
    <w:rsid w:val="000C3F69"/>
    <w:rsid w:val="000C48B9"/>
    <w:rsid w:val="000C70EA"/>
    <w:rsid w:val="000D0C98"/>
    <w:rsid w:val="000D0F88"/>
    <w:rsid w:val="000E7696"/>
    <w:rsid w:val="000F021B"/>
    <w:rsid w:val="000F16A3"/>
    <w:rsid w:val="000F1BC0"/>
    <w:rsid w:val="000F2B3E"/>
    <w:rsid w:val="001009BF"/>
    <w:rsid w:val="001012C6"/>
    <w:rsid w:val="00102748"/>
    <w:rsid w:val="00102EC6"/>
    <w:rsid w:val="00106A85"/>
    <w:rsid w:val="00106D0B"/>
    <w:rsid w:val="00107C05"/>
    <w:rsid w:val="001108B9"/>
    <w:rsid w:val="00115174"/>
    <w:rsid w:val="0011635A"/>
    <w:rsid w:val="0011663B"/>
    <w:rsid w:val="001278BE"/>
    <w:rsid w:val="00131E7A"/>
    <w:rsid w:val="00133FDD"/>
    <w:rsid w:val="00135E1C"/>
    <w:rsid w:val="001442B7"/>
    <w:rsid w:val="00144ADE"/>
    <w:rsid w:val="00146197"/>
    <w:rsid w:val="00150A2D"/>
    <w:rsid w:val="00160273"/>
    <w:rsid w:val="0016524A"/>
    <w:rsid w:val="00166F83"/>
    <w:rsid w:val="00167BB8"/>
    <w:rsid w:val="0018043B"/>
    <w:rsid w:val="00180EC8"/>
    <w:rsid w:val="00190C10"/>
    <w:rsid w:val="001930AA"/>
    <w:rsid w:val="001972FE"/>
    <w:rsid w:val="001B158A"/>
    <w:rsid w:val="001B3A02"/>
    <w:rsid w:val="001B720B"/>
    <w:rsid w:val="001C2394"/>
    <w:rsid w:val="001C33C1"/>
    <w:rsid w:val="001D2C1E"/>
    <w:rsid w:val="001D335A"/>
    <w:rsid w:val="001D5CEC"/>
    <w:rsid w:val="001E5958"/>
    <w:rsid w:val="001E5DF4"/>
    <w:rsid w:val="001F0AB1"/>
    <w:rsid w:val="001F0F02"/>
    <w:rsid w:val="001F4AC3"/>
    <w:rsid w:val="001F53ED"/>
    <w:rsid w:val="00202587"/>
    <w:rsid w:val="002028DC"/>
    <w:rsid w:val="0022581F"/>
    <w:rsid w:val="00225BC9"/>
    <w:rsid w:val="002270D3"/>
    <w:rsid w:val="0023237D"/>
    <w:rsid w:val="002352C1"/>
    <w:rsid w:val="00236259"/>
    <w:rsid w:val="0024188C"/>
    <w:rsid w:val="00242285"/>
    <w:rsid w:val="00250F69"/>
    <w:rsid w:val="00253D93"/>
    <w:rsid w:val="002542DB"/>
    <w:rsid w:val="00254A67"/>
    <w:rsid w:val="00260061"/>
    <w:rsid w:val="0026497A"/>
    <w:rsid w:val="00266DE7"/>
    <w:rsid w:val="002732A3"/>
    <w:rsid w:val="00276C3B"/>
    <w:rsid w:val="002877DB"/>
    <w:rsid w:val="00296C17"/>
    <w:rsid w:val="002B1F68"/>
    <w:rsid w:val="002B5A76"/>
    <w:rsid w:val="002C00AE"/>
    <w:rsid w:val="002C09C7"/>
    <w:rsid w:val="002C244B"/>
    <w:rsid w:val="002C2C28"/>
    <w:rsid w:val="002D3F68"/>
    <w:rsid w:val="002D5F66"/>
    <w:rsid w:val="002E1470"/>
    <w:rsid w:val="002F054C"/>
    <w:rsid w:val="002F1293"/>
    <w:rsid w:val="002F41A5"/>
    <w:rsid w:val="002F4417"/>
    <w:rsid w:val="0030178D"/>
    <w:rsid w:val="00302359"/>
    <w:rsid w:val="003061BA"/>
    <w:rsid w:val="00310592"/>
    <w:rsid w:val="00320096"/>
    <w:rsid w:val="00322A8D"/>
    <w:rsid w:val="003242E5"/>
    <w:rsid w:val="003409A6"/>
    <w:rsid w:val="003434C4"/>
    <w:rsid w:val="003558D0"/>
    <w:rsid w:val="00356358"/>
    <w:rsid w:val="00357EF6"/>
    <w:rsid w:val="00360D27"/>
    <w:rsid w:val="00363161"/>
    <w:rsid w:val="0036419F"/>
    <w:rsid w:val="00373FAA"/>
    <w:rsid w:val="00375CD8"/>
    <w:rsid w:val="00383AB6"/>
    <w:rsid w:val="00383B8F"/>
    <w:rsid w:val="00385D8C"/>
    <w:rsid w:val="00391698"/>
    <w:rsid w:val="00394175"/>
    <w:rsid w:val="003941F4"/>
    <w:rsid w:val="0039641E"/>
    <w:rsid w:val="0039654C"/>
    <w:rsid w:val="00397113"/>
    <w:rsid w:val="003A2CC2"/>
    <w:rsid w:val="003A3D2C"/>
    <w:rsid w:val="003A4913"/>
    <w:rsid w:val="003B3689"/>
    <w:rsid w:val="003B39FD"/>
    <w:rsid w:val="003C48B1"/>
    <w:rsid w:val="003C4C57"/>
    <w:rsid w:val="003C6CA5"/>
    <w:rsid w:val="003C731F"/>
    <w:rsid w:val="003D16CA"/>
    <w:rsid w:val="003D2796"/>
    <w:rsid w:val="003D69D6"/>
    <w:rsid w:val="003E1528"/>
    <w:rsid w:val="003E49C8"/>
    <w:rsid w:val="003F32FE"/>
    <w:rsid w:val="0040491E"/>
    <w:rsid w:val="004073A2"/>
    <w:rsid w:val="004168F9"/>
    <w:rsid w:val="00420187"/>
    <w:rsid w:val="004264DC"/>
    <w:rsid w:val="00442D6F"/>
    <w:rsid w:val="004512C0"/>
    <w:rsid w:val="004672B3"/>
    <w:rsid w:val="00467786"/>
    <w:rsid w:val="00471320"/>
    <w:rsid w:val="00476C50"/>
    <w:rsid w:val="0047712C"/>
    <w:rsid w:val="00477C89"/>
    <w:rsid w:val="0048485E"/>
    <w:rsid w:val="00484D6B"/>
    <w:rsid w:val="004A1EF1"/>
    <w:rsid w:val="004A391A"/>
    <w:rsid w:val="004A58BB"/>
    <w:rsid w:val="004B0BE3"/>
    <w:rsid w:val="004B1B9F"/>
    <w:rsid w:val="004C7ADB"/>
    <w:rsid w:val="004D29C9"/>
    <w:rsid w:val="004D38D4"/>
    <w:rsid w:val="004D5501"/>
    <w:rsid w:val="004D6C8D"/>
    <w:rsid w:val="004E105B"/>
    <w:rsid w:val="004E18FF"/>
    <w:rsid w:val="004E3DFA"/>
    <w:rsid w:val="004E63A0"/>
    <w:rsid w:val="004E6A74"/>
    <w:rsid w:val="004E76C7"/>
    <w:rsid w:val="004F15C8"/>
    <w:rsid w:val="004F54C2"/>
    <w:rsid w:val="004F5E6F"/>
    <w:rsid w:val="00504B50"/>
    <w:rsid w:val="0051658F"/>
    <w:rsid w:val="0051796E"/>
    <w:rsid w:val="00521966"/>
    <w:rsid w:val="0053315B"/>
    <w:rsid w:val="0053375A"/>
    <w:rsid w:val="00534105"/>
    <w:rsid w:val="00534C08"/>
    <w:rsid w:val="005408C6"/>
    <w:rsid w:val="0054460A"/>
    <w:rsid w:val="005448EE"/>
    <w:rsid w:val="0054796C"/>
    <w:rsid w:val="00553254"/>
    <w:rsid w:val="00553C11"/>
    <w:rsid w:val="00554484"/>
    <w:rsid w:val="00554952"/>
    <w:rsid w:val="0055500D"/>
    <w:rsid w:val="00557E9B"/>
    <w:rsid w:val="0056140A"/>
    <w:rsid w:val="005628BA"/>
    <w:rsid w:val="0056509B"/>
    <w:rsid w:val="00570C8C"/>
    <w:rsid w:val="005711F0"/>
    <w:rsid w:val="005716EE"/>
    <w:rsid w:val="00572FB2"/>
    <w:rsid w:val="00574950"/>
    <w:rsid w:val="00575007"/>
    <w:rsid w:val="005761E7"/>
    <w:rsid w:val="0057698B"/>
    <w:rsid w:val="00585434"/>
    <w:rsid w:val="005870D0"/>
    <w:rsid w:val="0059090D"/>
    <w:rsid w:val="005B2BAD"/>
    <w:rsid w:val="005B4EF3"/>
    <w:rsid w:val="005B5234"/>
    <w:rsid w:val="005C6361"/>
    <w:rsid w:val="005D3137"/>
    <w:rsid w:val="005D575D"/>
    <w:rsid w:val="005E0F9A"/>
    <w:rsid w:val="005F0E6D"/>
    <w:rsid w:val="005F7730"/>
    <w:rsid w:val="00602F51"/>
    <w:rsid w:val="00605422"/>
    <w:rsid w:val="00610A1D"/>
    <w:rsid w:val="00612474"/>
    <w:rsid w:val="006250CD"/>
    <w:rsid w:val="00626D73"/>
    <w:rsid w:val="00630B1B"/>
    <w:rsid w:val="0063444D"/>
    <w:rsid w:val="006348A6"/>
    <w:rsid w:val="006353AC"/>
    <w:rsid w:val="00635C63"/>
    <w:rsid w:val="00644AA1"/>
    <w:rsid w:val="006456BD"/>
    <w:rsid w:val="00646B15"/>
    <w:rsid w:val="00655182"/>
    <w:rsid w:val="0066434E"/>
    <w:rsid w:val="0066468A"/>
    <w:rsid w:val="00675DB2"/>
    <w:rsid w:val="006804BA"/>
    <w:rsid w:val="0068433E"/>
    <w:rsid w:val="006844B3"/>
    <w:rsid w:val="00686B8F"/>
    <w:rsid w:val="00690321"/>
    <w:rsid w:val="00694FC1"/>
    <w:rsid w:val="00696EF5"/>
    <w:rsid w:val="006A3A47"/>
    <w:rsid w:val="006A4FF4"/>
    <w:rsid w:val="006B6255"/>
    <w:rsid w:val="006B7918"/>
    <w:rsid w:val="006C063D"/>
    <w:rsid w:val="006C5FCE"/>
    <w:rsid w:val="006D2855"/>
    <w:rsid w:val="006D3AA4"/>
    <w:rsid w:val="006E12E4"/>
    <w:rsid w:val="006E560B"/>
    <w:rsid w:val="006F103F"/>
    <w:rsid w:val="006F15E3"/>
    <w:rsid w:val="0070281B"/>
    <w:rsid w:val="007054CE"/>
    <w:rsid w:val="007056DA"/>
    <w:rsid w:val="007071A4"/>
    <w:rsid w:val="00710C8A"/>
    <w:rsid w:val="00712502"/>
    <w:rsid w:val="00717092"/>
    <w:rsid w:val="00723F69"/>
    <w:rsid w:val="0073575D"/>
    <w:rsid w:val="0074146F"/>
    <w:rsid w:val="007447F7"/>
    <w:rsid w:val="00745FB3"/>
    <w:rsid w:val="00753D20"/>
    <w:rsid w:val="007627FD"/>
    <w:rsid w:val="00765C67"/>
    <w:rsid w:val="00767374"/>
    <w:rsid w:val="007A33E5"/>
    <w:rsid w:val="007A4177"/>
    <w:rsid w:val="007A4C43"/>
    <w:rsid w:val="007A6AD9"/>
    <w:rsid w:val="007B741C"/>
    <w:rsid w:val="007B7FE4"/>
    <w:rsid w:val="007D6732"/>
    <w:rsid w:val="007E133F"/>
    <w:rsid w:val="007E4B87"/>
    <w:rsid w:val="007E7682"/>
    <w:rsid w:val="007F188C"/>
    <w:rsid w:val="007F4D97"/>
    <w:rsid w:val="007F6F02"/>
    <w:rsid w:val="00802A40"/>
    <w:rsid w:val="00804F53"/>
    <w:rsid w:val="00805233"/>
    <w:rsid w:val="00807AA6"/>
    <w:rsid w:val="008116E5"/>
    <w:rsid w:val="008147F5"/>
    <w:rsid w:val="008157A4"/>
    <w:rsid w:val="008209EE"/>
    <w:rsid w:val="00820C25"/>
    <w:rsid w:val="00825346"/>
    <w:rsid w:val="00826AB5"/>
    <w:rsid w:val="00836CCD"/>
    <w:rsid w:val="00845577"/>
    <w:rsid w:val="00851982"/>
    <w:rsid w:val="008534E9"/>
    <w:rsid w:val="008603FE"/>
    <w:rsid w:val="00867952"/>
    <w:rsid w:val="00870511"/>
    <w:rsid w:val="008722FD"/>
    <w:rsid w:val="00876827"/>
    <w:rsid w:val="00876880"/>
    <w:rsid w:val="00884308"/>
    <w:rsid w:val="00884B73"/>
    <w:rsid w:val="008852E1"/>
    <w:rsid w:val="00885351"/>
    <w:rsid w:val="00897D51"/>
    <w:rsid w:val="008A11FF"/>
    <w:rsid w:val="008A71E2"/>
    <w:rsid w:val="008A79AA"/>
    <w:rsid w:val="008A7BD0"/>
    <w:rsid w:val="008B6ACF"/>
    <w:rsid w:val="008D2A33"/>
    <w:rsid w:val="008D301C"/>
    <w:rsid w:val="008D39F2"/>
    <w:rsid w:val="008D4BBD"/>
    <w:rsid w:val="008D5180"/>
    <w:rsid w:val="008D623F"/>
    <w:rsid w:val="008E0FFB"/>
    <w:rsid w:val="008F35E7"/>
    <w:rsid w:val="008F42A6"/>
    <w:rsid w:val="008F46AA"/>
    <w:rsid w:val="008F4DEC"/>
    <w:rsid w:val="008F4E99"/>
    <w:rsid w:val="00904428"/>
    <w:rsid w:val="00905B70"/>
    <w:rsid w:val="00911588"/>
    <w:rsid w:val="00912275"/>
    <w:rsid w:val="00913D72"/>
    <w:rsid w:val="009151F3"/>
    <w:rsid w:val="00926393"/>
    <w:rsid w:val="0092713C"/>
    <w:rsid w:val="00930052"/>
    <w:rsid w:val="009302A5"/>
    <w:rsid w:val="009303DD"/>
    <w:rsid w:val="00933614"/>
    <w:rsid w:val="00933A43"/>
    <w:rsid w:val="00935F89"/>
    <w:rsid w:val="009411A7"/>
    <w:rsid w:val="00943B73"/>
    <w:rsid w:val="00954E4D"/>
    <w:rsid w:val="009565CF"/>
    <w:rsid w:val="00957E0B"/>
    <w:rsid w:val="0096447A"/>
    <w:rsid w:val="00970C0A"/>
    <w:rsid w:val="009720E8"/>
    <w:rsid w:val="009846A7"/>
    <w:rsid w:val="00986C34"/>
    <w:rsid w:val="009919B4"/>
    <w:rsid w:val="009A3008"/>
    <w:rsid w:val="009A522F"/>
    <w:rsid w:val="009B3175"/>
    <w:rsid w:val="009C0772"/>
    <w:rsid w:val="009C2D47"/>
    <w:rsid w:val="009C47E6"/>
    <w:rsid w:val="009C6911"/>
    <w:rsid w:val="009C6974"/>
    <w:rsid w:val="009D144D"/>
    <w:rsid w:val="009D5CFA"/>
    <w:rsid w:val="009E0604"/>
    <w:rsid w:val="009E45FB"/>
    <w:rsid w:val="009E6A83"/>
    <w:rsid w:val="009F1819"/>
    <w:rsid w:val="009F600F"/>
    <w:rsid w:val="00A02BAF"/>
    <w:rsid w:val="00A031A9"/>
    <w:rsid w:val="00A040FF"/>
    <w:rsid w:val="00A156B2"/>
    <w:rsid w:val="00A15C58"/>
    <w:rsid w:val="00A20A65"/>
    <w:rsid w:val="00A31F58"/>
    <w:rsid w:val="00A33865"/>
    <w:rsid w:val="00A33EE5"/>
    <w:rsid w:val="00A34593"/>
    <w:rsid w:val="00A35231"/>
    <w:rsid w:val="00A36BFB"/>
    <w:rsid w:val="00A403E2"/>
    <w:rsid w:val="00A41B7C"/>
    <w:rsid w:val="00A50B01"/>
    <w:rsid w:val="00A653B8"/>
    <w:rsid w:val="00A65BF8"/>
    <w:rsid w:val="00A732F5"/>
    <w:rsid w:val="00A7725A"/>
    <w:rsid w:val="00A77DD4"/>
    <w:rsid w:val="00A77F44"/>
    <w:rsid w:val="00A80AB4"/>
    <w:rsid w:val="00A8277C"/>
    <w:rsid w:val="00A849AE"/>
    <w:rsid w:val="00A90963"/>
    <w:rsid w:val="00A92591"/>
    <w:rsid w:val="00AA0F2F"/>
    <w:rsid w:val="00AA5096"/>
    <w:rsid w:val="00AA62DC"/>
    <w:rsid w:val="00AB2429"/>
    <w:rsid w:val="00AB333E"/>
    <w:rsid w:val="00AB6A5C"/>
    <w:rsid w:val="00AD63B6"/>
    <w:rsid w:val="00AE15C5"/>
    <w:rsid w:val="00AE5839"/>
    <w:rsid w:val="00AF1202"/>
    <w:rsid w:val="00AF39FF"/>
    <w:rsid w:val="00AF5D1F"/>
    <w:rsid w:val="00AF7D34"/>
    <w:rsid w:val="00B0043F"/>
    <w:rsid w:val="00B004A8"/>
    <w:rsid w:val="00B02C78"/>
    <w:rsid w:val="00B03A7F"/>
    <w:rsid w:val="00B04BEF"/>
    <w:rsid w:val="00B055D7"/>
    <w:rsid w:val="00B100A7"/>
    <w:rsid w:val="00B11D09"/>
    <w:rsid w:val="00B120AB"/>
    <w:rsid w:val="00B1440C"/>
    <w:rsid w:val="00B17F92"/>
    <w:rsid w:val="00B26292"/>
    <w:rsid w:val="00B31724"/>
    <w:rsid w:val="00B355BA"/>
    <w:rsid w:val="00B44EB1"/>
    <w:rsid w:val="00B46899"/>
    <w:rsid w:val="00B469C5"/>
    <w:rsid w:val="00B52431"/>
    <w:rsid w:val="00B55E07"/>
    <w:rsid w:val="00B563FE"/>
    <w:rsid w:val="00B5722B"/>
    <w:rsid w:val="00B57D18"/>
    <w:rsid w:val="00B6349C"/>
    <w:rsid w:val="00B669C2"/>
    <w:rsid w:val="00B744FE"/>
    <w:rsid w:val="00B74CB4"/>
    <w:rsid w:val="00B773E8"/>
    <w:rsid w:val="00B83ACE"/>
    <w:rsid w:val="00B854AC"/>
    <w:rsid w:val="00B85E8F"/>
    <w:rsid w:val="00BC145E"/>
    <w:rsid w:val="00BC408E"/>
    <w:rsid w:val="00BC621C"/>
    <w:rsid w:val="00BC72DB"/>
    <w:rsid w:val="00BE4A22"/>
    <w:rsid w:val="00BF2908"/>
    <w:rsid w:val="00BF5E19"/>
    <w:rsid w:val="00BF7228"/>
    <w:rsid w:val="00C1229D"/>
    <w:rsid w:val="00C145C2"/>
    <w:rsid w:val="00C1503F"/>
    <w:rsid w:val="00C227EA"/>
    <w:rsid w:val="00C2449F"/>
    <w:rsid w:val="00C2659F"/>
    <w:rsid w:val="00C3233D"/>
    <w:rsid w:val="00C32EB9"/>
    <w:rsid w:val="00C37ACB"/>
    <w:rsid w:val="00C41F1A"/>
    <w:rsid w:val="00C433A9"/>
    <w:rsid w:val="00C562EE"/>
    <w:rsid w:val="00C62341"/>
    <w:rsid w:val="00C70D40"/>
    <w:rsid w:val="00C73A5A"/>
    <w:rsid w:val="00C77E7F"/>
    <w:rsid w:val="00C85EA4"/>
    <w:rsid w:val="00C90BEC"/>
    <w:rsid w:val="00C92B6C"/>
    <w:rsid w:val="00CA2F65"/>
    <w:rsid w:val="00CA39CE"/>
    <w:rsid w:val="00CA5692"/>
    <w:rsid w:val="00CA73CE"/>
    <w:rsid w:val="00CB1F01"/>
    <w:rsid w:val="00CC0346"/>
    <w:rsid w:val="00CD2568"/>
    <w:rsid w:val="00CD4F25"/>
    <w:rsid w:val="00CF2942"/>
    <w:rsid w:val="00CF43BB"/>
    <w:rsid w:val="00CF5023"/>
    <w:rsid w:val="00D003BD"/>
    <w:rsid w:val="00D005A5"/>
    <w:rsid w:val="00D0328F"/>
    <w:rsid w:val="00D03409"/>
    <w:rsid w:val="00D06CFC"/>
    <w:rsid w:val="00D106C2"/>
    <w:rsid w:val="00D157F8"/>
    <w:rsid w:val="00D22468"/>
    <w:rsid w:val="00D229D6"/>
    <w:rsid w:val="00D24032"/>
    <w:rsid w:val="00D27B9C"/>
    <w:rsid w:val="00D32F16"/>
    <w:rsid w:val="00D33270"/>
    <w:rsid w:val="00D354AE"/>
    <w:rsid w:val="00D35B14"/>
    <w:rsid w:val="00D36B40"/>
    <w:rsid w:val="00D37241"/>
    <w:rsid w:val="00D377DC"/>
    <w:rsid w:val="00D40A71"/>
    <w:rsid w:val="00D504DE"/>
    <w:rsid w:val="00D53721"/>
    <w:rsid w:val="00D57401"/>
    <w:rsid w:val="00D610FB"/>
    <w:rsid w:val="00D64CFE"/>
    <w:rsid w:val="00D73D97"/>
    <w:rsid w:val="00D85226"/>
    <w:rsid w:val="00D86D3E"/>
    <w:rsid w:val="00D916CD"/>
    <w:rsid w:val="00D92AEE"/>
    <w:rsid w:val="00D94B5B"/>
    <w:rsid w:val="00DA2FF2"/>
    <w:rsid w:val="00DB1E4A"/>
    <w:rsid w:val="00DB3EE7"/>
    <w:rsid w:val="00DD2C5B"/>
    <w:rsid w:val="00DD545B"/>
    <w:rsid w:val="00DD5721"/>
    <w:rsid w:val="00DE468B"/>
    <w:rsid w:val="00DE5D80"/>
    <w:rsid w:val="00DF1FCE"/>
    <w:rsid w:val="00DF5286"/>
    <w:rsid w:val="00E00728"/>
    <w:rsid w:val="00E042D6"/>
    <w:rsid w:val="00E047B8"/>
    <w:rsid w:val="00E15C01"/>
    <w:rsid w:val="00E1799E"/>
    <w:rsid w:val="00E17FB7"/>
    <w:rsid w:val="00E228FF"/>
    <w:rsid w:val="00E26C2C"/>
    <w:rsid w:val="00E36397"/>
    <w:rsid w:val="00E42BB7"/>
    <w:rsid w:val="00E50ACE"/>
    <w:rsid w:val="00E53DA6"/>
    <w:rsid w:val="00E60A91"/>
    <w:rsid w:val="00E61926"/>
    <w:rsid w:val="00E62063"/>
    <w:rsid w:val="00E6708D"/>
    <w:rsid w:val="00E67DB4"/>
    <w:rsid w:val="00E715D0"/>
    <w:rsid w:val="00E80F41"/>
    <w:rsid w:val="00E92B02"/>
    <w:rsid w:val="00E92E69"/>
    <w:rsid w:val="00E96B3D"/>
    <w:rsid w:val="00EA1A22"/>
    <w:rsid w:val="00EA35AB"/>
    <w:rsid w:val="00EA475A"/>
    <w:rsid w:val="00EA782D"/>
    <w:rsid w:val="00EB23FA"/>
    <w:rsid w:val="00EC04D7"/>
    <w:rsid w:val="00EC71FF"/>
    <w:rsid w:val="00EC72B8"/>
    <w:rsid w:val="00ED0442"/>
    <w:rsid w:val="00ED06AF"/>
    <w:rsid w:val="00ED0843"/>
    <w:rsid w:val="00ED2FEB"/>
    <w:rsid w:val="00EE152D"/>
    <w:rsid w:val="00EE1ABA"/>
    <w:rsid w:val="00EE239D"/>
    <w:rsid w:val="00EE615B"/>
    <w:rsid w:val="00EE6823"/>
    <w:rsid w:val="00EF04A7"/>
    <w:rsid w:val="00EF359A"/>
    <w:rsid w:val="00F00EC4"/>
    <w:rsid w:val="00F0113E"/>
    <w:rsid w:val="00F018FD"/>
    <w:rsid w:val="00F047EE"/>
    <w:rsid w:val="00F05C4D"/>
    <w:rsid w:val="00F078C4"/>
    <w:rsid w:val="00F11D18"/>
    <w:rsid w:val="00F207EE"/>
    <w:rsid w:val="00F20A3E"/>
    <w:rsid w:val="00F21CCD"/>
    <w:rsid w:val="00F23DCC"/>
    <w:rsid w:val="00F25BF9"/>
    <w:rsid w:val="00F33CDD"/>
    <w:rsid w:val="00F40469"/>
    <w:rsid w:val="00F46C3E"/>
    <w:rsid w:val="00F56396"/>
    <w:rsid w:val="00F625FC"/>
    <w:rsid w:val="00F77ADD"/>
    <w:rsid w:val="00F83555"/>
    <w:rsid w:val="00F83C97"/>
    <w:rsid w:val="00F87157"/>
    <w:rsid w:val="00F9092C"/>
    <w:rsid w:val="00F972AD"/>
    <w:rsid w:val="00FA0A92"/>
    <w:rsid w:val="00FA54A6"/>
    <w:rsid w:val="00FB26B1"/>
    <w:rsid w:val="00FB37B7"/>
    <w:rsid w:val="00FB555C"/>
    <w:rsid w:val="00FB6E63"/>
    <w:rsid w:val="00FB77A7"/>
    <w:rsid w:val="00FC00DA"/>
    <w:rsid w:val="00FC1F5F"/>
    <w:rsid w:val="00FC25DF"/>
    <w:rsid w:val="00FC3846"/>
    <w:rsid w:val="00FD1CE3"/>
    <w:rsid w:val="00FD5C5E"/>
    <w:rsid w:val="00FD730A"/>
    <w:rsid w:val="00FE2D22"/>
    <w:rsid w:val="00FE3129"/>
    <w:rsid w:val="00FE7A36"/>
    <w:rsid w:val="00FF2585"/>
    <w:rsid w:val="00FF404B"/>
    <w:rsid w:val="00FF60CF"/>
    <w:rsid w:val="00FF70E7"/>
    <w:rsid w:val="152A5518"/>
    <w:rsid w:val="2D2F4DC7"/>
    <w:rsid w:val="660471E4"/>
    <w:rsid w:val="68E201AB"/>
    <w:rsid w:val="738F664A"/>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A0D1D"/>
  <w15:docId w15:val="{E4BD67B4-D45B-43AC-BD2C-E0AD220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eastAsiaTheme="minorHAnsi" w:hAnsi="Tahoma" w:cs="Tahoma"/>
      <w:sz w:val="16"/>
      <w:szCs w:val="16"/>
    </w:rPr>
  </w:style>
  <w:style w:type="paragraph" w:styleId="BodyText">
    <w:name w:val="Body Text"/>
    <w:basedOn w:val="Normal"/>
    <w:link w:val="BodyTextChar"/>
    <w:uiPriority w:val="1"/>
    <w:semiHidden/>
    <w:unhideWhenUsed/>
    <w:qFormat/>
    <w:pPr>
      <w:widowControl w:val="0"/>
      <w:autoSpaceDE w:val="0"/>
      <w:autoSpaceDN w:val="0"/>
    </w:pPr>
    <w:rPr>
      <w:rFonts w:ascii="Calibri" w:eastAsia="Calibri" w:hAnsi="Calibri" w:cs="Calibri"/>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table" w:customStyle="1" w:styleId="ListTable31">
    <w:name w:val="List Table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31">
    <w:name w:val="List Table 3 - Accent 31"/>
    <w:basedOn w:val="TableNormal"/>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3-Accent51">
    <w:name w:val="List Table 3 - Accent 51"/>
    <w:basedOn w:val="TableNormal"/>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BodyTextChar">
    <w:name w:val="Body Text Char"/>
    <w:basedOn w:val="DefaultParagraphFont"/>
    <w:link w:val="BodyText"/>
    <w:uiPriority w:val="1"/>
    <w:semiHidden/>
    <w:qFormat/>
    <w:rPr>
      <w:rFonts w:ascii="Calibri" w:eastAsia="Calibri" w:hAnsi="Calibri" w:cs="Calibri"/>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qFormat/>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Bibliography1">
    <w:name w:val="Bibliography1"/>
    <w:basedOn w:val="Normal"/>
    <w:next w:val="Normal"/>
    <w:uiPriority w:val="37"/>
    <w:unhideWhenUsed/>
    <w:qFormat/>
    <w:pPr>
      <w:spacing w:after="240"/>
    </w:pPr>
  </w:style>
  <w:style w:type="table" w:styleId="GridTable1Light-Accent5">
    <w:name w:val="Grid Table 1 Light Accent 5"/>
    <w:basedOn w:val="TableNormal"/>
    <w:uiPriority w:val="46"/>
    <w:rsid w:val="009B317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6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6251">
      <w:bodyDiv w:val="1"/>
      <w:marLeft w:val="0"/>
      <w:marRight w:val="0"/>
      <w:marTop w:val="0"/>
      <w:marBottom w:val="0"/>
      <w:divBdr>
        <w:top w:val="none" w:sz="0" w:space="0" w:color="auto"/>
        <w:left w:val="none" w:sz="0" w:space="0" w:color="auto"/>
        <w:bottom w:val="none" w:sz="0" w:space="0" w:color="auto"/>
        <w:right w:val="none" w:sz="0" w:space="0" w:color="auto"/>
      </w:divBdr>
    </w:div>
    <w:div w:id="266280725">
      <w:bodyDiv w:val="1"/>
      <w:marLeft w:val="0"/>
      <w:marRight w:val="0"/>
      <w:marTop w:val="0"/>
      <w:marBottom w:val="0"/>
      <w:divBdr>
        <w:top w:val="none" w:sz="0" w:space="0" w:color="auto"/>
        <w:left w:val="none" w:sz="0" w:space="0" w:color="auto"/>
        <w:bottom w:val="none" w:sz="0" w:space="0" w:color="auto"/>
        <w:right w:val="none" w:sz="0" w:space="0" w:color="auto"/>
      </w:divBdr>
    </w:div>
    <w:div w:id="1049719821">
      <w:bodyDiv w:val="1"/>
      <w:marLeft w:val="0"/>
      <w:marRight w:val="0"/>
      <w:marTop w:val="0"/>
      <w:marBottom w:val="0"/>
      <w:divBdr>
        <w:top w:val="none" w:sz="0" w:space="0" w:color="auto"/>
        <w:left w:val="none" w:sz="0" w:space="0" w:color="auto"/>
        <w:bottom w:val="none" w:sz="0" w:space="0" w:color="auto"/>
        <w:right w:val="none" w:sz="0" w:space="0" w:color="auto"/>
      </w:divBdr>
    </w:div>
    <w:div w:id="1283535172">
      <w:bodyDiv w:val="1"/>
      <w:marLeft w:val="0"/>
      <w:marRight w:val="0"/>
      <w:marTop w:val="0"/>
      <w:marBottom w:val="0"/>
      <w:divBdr>
        <w:top w:val="none" w:sz="0" w:space="0" w:color="auto"/>
        <w:left w:val="none" w:sz="0" w:space="0" w:color="auto"/>
        <w:bottom w:val="none" w:sz="0" w:space="0" w:color="auto"/>
        <w:right w:val="none" w:sz="0" w:space="0" w:color="auto"/>
      </w:divBdr>
    </w:div>
    <w:div w:id="1306472476">
      <w:bodyDiv w:val="1"/>
      <w:marLeft w:val="0"/>
      <w:marRight w:val="0"/>
      <w:marTop w:val="0"/>
      <w:marBottom w:val="0"/>
      <w:divBdr>
        <w:top w:val="none" w:sz="0" w:space="0" w:color="auto"/>
        <w:left w:val="none" w:sz="0" w:space="0" w:color="auto"/>
        <w:bottom w:val="none" w:sz="0" w:space="0" w:color="auto"/>
        <w:right w:val="none" w:sz="0" w:space="0" w:color="auto"/>
      </w:divBdr>
    </w:div>
    <w:div w:id="1322268115">
      <w:bodyDiv w:val="1"/>
      <w:marLeft w:val="0"/>
      <w:marRight w:val="0"/>
      <w:marTop w:val="0"/>
      <w:marBottom w:val="0"/>
      <w:divBdr>
        <w:top w:val="none" w:sz="0" w:space="0" w:color="auto"/>
        <w:left w:val="none" w:sz="0" w:space="0" w:color="auto"/>
        <w:bottom w:val="none" w:sz="0" w:space="0" w:color="auto"/>
        <w:right w:val="none" w:sz="0" w:space="0" w:color="auto"/>
      </w:divBdr>
    </w:div>
    <w:div w:id="1804078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70F26-7B87-46D9-A5B0-9F608321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syed shaude</dc:creator>
  <cp:lastModifiedBy>Ayan</cp:lastModifiedBy>
  <cp:revision>3</cp:revision>
  <cp:lastPrinted>2025-10-11T06:49:00Z</cp:lastPrinted>
  <dcterms:created xsi:type="dcterms:W3CDTF">2025-10-17T19:21:00Z</dcterms:created>
  <dcterms:modified xsi:type="dcterms:W3CDTF">2025-10-17T19:50:00Z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797142636ba70249f2eb465f044755503d0eaeebc57bb020feb3daa3fb7a55c4</vt:lpwstr>
  </property>
  <property fmtid="{D5CDD505-2E9C-101B-9397-08002B2CF9AE}" pid="3" name="KSOProductBuildVer">
    <vt:lpwstr>1033-12.2.0.20326</vt:lpwstr>
  </property>
  <property fmtid="{D5CDD505-2E9C-101B-9397-08002B2CF9AE}" pid="4" name="ICV">
    <vt:lpwstr>CECA7C7B231F4397867D4A9A3CB9462A_12</vt:lpwstr>
  </property>
</Properties>
</file>