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C0965" w14:textId="77777777" w:rsidR="00D970B8" w:rsidRDefault="00D970B8" w:rsidP="00920878">
      <w:pPr>
        <w:jc w:val="center"/>
        <w:rPr>
          <w:rFonts w:asciiTheme="majorHAnsi" w:hAnsiTheme="majorHAnsi" w:cstheme="majorHAnsi"/>
          <w:b/>
          <w:bCs/>
          <w:sz w:val="24"/>
          <w:szCs w:val="24"/>
        </w:rPr>
      </w:pPr>
      <w:r>
        <w:rPr>
          <w:rFonts w:ascii="Arial" w:hAnsi="Arial" w:cs="Arial"/>
          <w:bCs/>
          <w:i/>
          <w:iCs/>
          <w:kern w:val="28"/>
          <w:sz w:val="36"/>
          <w:u w:val="single"/>
        </w:rPr>
        <w:t>Short Research Article</w:t>
      </w:r>
      <w:r w:rsidRPr="004A0B96">
        <w:rPr>
          <w:rFonts w:asciiTheme="majorHAnsi" w:hAnsiTheme="majorHAnsi" w:cstheme="majorHAnsi"/>
          <w:b/>
          <w:bCs/>
          <w:sz w:val="24"/>
          <w:szCs w:val="24"/>
        </w:rPr>
        <w:t xml:space="preserve"> </w:t>
      </w:r>
    </w:p>
    <w:p w14:paraId="1344F616" w14:textId="7FBE478E" w:rsidR="002C57D2" w:rsidRPr="004024AF" w:rsidRDefault="004024AF" w:rsidP="004024AF">
      <w:pPr>
        <w:pStyle w:val="Affiliation"/>
        <w:spacing w:after="0" w:line="240" w:lineRule="auto"/>
        <w:jc w:val="center"/>
        <w:rPr>
          <w:rFonts w:ascii="Arial" w:hAnsi="Arial" w:cs="Arial"/>
          <w:lang w:val="vi-VN"/>
        </w:rPr>
      </w:pPr>
      <w:r w:rsidRPr="004024AF">
        <w:rPr>
          <w:rFonts w:asciiTheme="majorHAnsi" w:hAnsiTheme="majorHAnsi" w:cstheme="majorHAnsi"/>
          <w:b/>
          <w:bCs/>
          <w:sz w:val="24"/>
          <w:szCs w:val="24"/>
        </w:rPr>
        <w:t>ELEVATED PERIPHERAL BLOOD IL-6 LEVELS: A NOVEL BIOMARKER FOR ASSESSING INFLAMMATION AND EXACERBATION RISK IN PEDIATRIC BRONCHIAL ASTHMA</w:t>
      </w:r>
    </w:p>
    <w:p w14:paraId="09C09067" w14:textId="77777777" w:rsidR="00227B9C" w:rsidRPr="00FB3A86" w:rsidRDefault="00227B9C" w:rsidP="00441B6F">
      <w:pPr>
        <w:pStyle w:val="Affiliation"/>
        <w:spacing w:after="0" w:line="240" w:lineRule="auto"/>
        <w:jc w:val="both"/>
        <w:rPr>
          <w:rFonts w:ascii="Arial" w:hAnsi="Arial" w:cs="Arial"/>
        </w:rPr>
      </w:pPr>
    </w:p>
    <w:p w14:paraId="57A15C88" w14:textId="4E10EF9C" w:rsidR="00B01FCD" w:rsidRPr="00FB3A86" w:rsidRDefault="00753FF9" w:rsidP="00441B6F">
      <w:pPr>
        <w:pStyle w:val="Copyright"/>
        <w:spacing w:after="0" w:line="240" w:lineRule="auto"/>
        <w:jc w:val="both"/>
        <w:rPr>
          <w:rFonts w:ascii="Arial" w:hAnsi="Arial" w:cs="Arial"/>
        </w:rPr>
        <w:sectPr w:rsidR="00B01FCD" w:rsidRPr="00FB3A86" w:rsidSect="00227B9C">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295096CA" wp14:editId="35F689CB">
                <wp:extent cx="5303520" cy="635"/>
                <wp:effectExtent l="13335" t="9525" r="17145" b="9525"/>
                <wp:docPr id="13637776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7F2D22E"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6467A7E1" w14:textId="7BAAD7E3"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77A05C6B"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10790"/>
      </w:tblGrid>
      <w:tr w:rsidR="00296529" w:rsidRPr="001E44FE" w14:paraId="00215915" w14:textId="77777777" w:rsidTr="00753FF9">
        <w:tc>
          <w:tcPr>
            <w:tcW w:w="10881" w:type="dxa"/>
            <w:shd w:val="clear" w:color="auto" w:fill="F2F2F2"/>
          </w:tcPr>
          <w:p w14:paraId="3EDA1D76" w14:textId="77777777" w:rsidR="00E3114E" w:rsidRPr="00920878" w:rsidRDefault="00E3114E" w:rsidP="00441B6F">
            <w:pPr>
              <w:pStyle w:val="Body"/>
              <w:spacing w:after="0"/>
              <w:rPr>
                <w:rFonts w:ascii="Arial" w:eastAsia="Calibri" w:hAnsi="Arial" w:cs="Arial"/>
                <w:b/>
                <w:szCs w:val="22"/>
                <w:lang w:val="vi-VN"/>
              </w:rPr>
            </w:pPr>
          </w:p>
          <w:p w14:paraId="6A09D381" w14:textId="77777777" w:rsidR="004024AF" w:rsidRDefault="004024AF" w:rsidP="004024AF">
            <w:pPr>
              <w:pStyle w:val="Body"/>
              <w:spacing w:after="0"/>
              <w:rPr>
                <w:rFonts w:ascii="Arial" w:eastAsia="Calibri" w:hAnsi="Arial" w:cs="Arial"/>
                <w:szCs w:val="22"/>
                <w:lang w:val="vi-VN"/>
              </w:rPr>
            </w:pPr>
            <w:r w:rsidRPr="00BA1B01">
              <w:rPr>
                <w:rFonts w:ascii="Arial" w:eastAsia="Calibri" w:hAnsi="Arial" w:cs="Arial"/>
                <w:b/>
                <w:szCs w:val="22"/>
              </w:rPr>
              <w:t xml:space="preserve">Aims: </w:t>
            </w:r>
            <w:r w:rsidRPr="005D6585">
              <w:rPr>
                <w:rFonts w:ascii="Arial" w:eastAsia="Calibri" w:hAnsi="Arial" w:cs="Arial"/>
                <w:szCs w:val="22"/>
              </w:rPr>
              <w:t>Pediatric bronchial asthma is a prevalent chronic inflammatory airway disease that causes significant morbidity and impacts daily life. Interleukin-6 (IL-6) is a multifunctional cytokine related to systemic inflammation and airway hyperreactivity. Increasing evidence suggests that elevated IL-6 is associated with obesity, neutrophilia, and poor asthma control, but data in Vietnamese children remain limited.</w:t>
            </w:r>
          </w:p>
          <w:p w14:paraId="1603E61D" w14:textId="77777777" w:rsidR="004024AF" w:rsidRPr="00BA1B01" w:rsidRDefault="004024AF" w:rsidP="004024A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Pr="00920878">
              <w:rPr>
                <w:rFonts w:ascii="Arial" w:eastAsia="Calibri" w:hAnsi="Arial" w:cs="Arial"/>
                <w:szCs w:val="22"/>
              </w:rPr>
              <w:t>Prospective descriptive cross-sectional study</w:t>
            </w:r>
            <w:r w:rsidRPr="00BA1B01">
              <w:rPr>
                <w:rFonts w:ascii="Arial" w:eastAsia="Calibri" w:hAnsi="Arial" w:cs="Arial"/>
                <w:szCs w:val="22"/>
              </w:rPr>
              <w:t>.</w:t>
            </w:r>
          </w:p>
          <w:p w14:paraId="2E9FAFBE" w14:textId="77777777" w:rsidR="004024AF" w:rsidRPr="00BA1B01" w:rsidRDefault="004024AF" w:rsidP="004024A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Pr="00920878">
              <w:rPr>
                <w:rFonts w:ascii="Arial" w:eastAsia="Calibri" w:hAnsi="Arial" w:cs="Arial"/>
                <w:szCs w:val="22"/>
              </w:rPr>
              <w:t>A cross-sectional descriptive study was conducted on 59 pediatric patients with bronchial asthma aged over 5 years, treated at Can Tho Children's Hospital from April 2023 to July 2024.</w:t>
            </w:r>
          </w:p>
          <w:p w14:paraId="3F25D142" w14:textId="77777777" w:rsidR="004024AF" w:rsidRPr="005D6585" w:rsidRDefault="004024AF" w:rsidP="004024AF">
            <w:pPr>
              <w:pStyle w:val="Body"/>
              <w:spacing w:after="0"/>
              <w:rPr>
                <w:rFonts w:ascii="Arial" w:eastAsia="Calibri" w:hAnsi="Arial" w:cs="Arial"/>
                <w:szCs w:val="22"/>
                <w:lang w:val="vi-VN"/>
              </w:rPr>
            </w:pPr>
            <w:r w:rsidRPr="00BA1B01">
              <w:rPr>
                <w:rFonts w:ascii="Arial" w:eastAsia="Calibri" w:hAnsi="Arial" w:cs="Arial"/>
                <w:b/>
                <w:bCs/>
                <w:szCs w:val="22"/>
              </w:rPr>
              <w:t>Methodology:</w:t>
            </w:r>
            <w:r w:rsidRPr="00BA1B01">
              <w:rPr>
                <w:rFonts w:ascii="Arial" w:eastAsia="Calibri" w:hAnsi="Arial" w:cs="Arial"/>
                <w:szCs w:val="22"/>
              </w:rPr>
              <w:t xml:space="preserve"> </w:t>
            </w:r>
            <w:r w:rsidRPr="00D92BB3">
              <w:rPr>
                <w:rFonts w:ascii="Arial" w:eastAsia="Calibri" w:hAnsi="Arial" w:cs="Arial"/>
                <w:szCs w:val="22"/>
              </w:rPr>
              <w:t>IL-6 levels were quantified using a flow cytometry-assisted immunoassay with reagents and assay kits manufactured by Bio-Rad (USA)</w:t>
            </w:r>
            <w:r>
              <w:rPr>
                <w:rFonts w:ascii="Arial" w:eastAsia="Calibri" w:hAnsi="Arial" w:cs="Arial"/>
                <w:szCs w:val="22"/>
                <w:lang w:val="vi-VN"/>
              </w:rPr>
              <w:t xml:space="preserve">. </w:t>
            </w:r>
            <w:r w:rsidRPr="00D92BB3">
              <w:rPr>
                <w:rFonts w:ascii="Arial" w:eastAsia="Calibri" w:hAnsi="Arial" w:cs="Arial"/>
                <w:szCs w:val="22"/>
              </w:rPr>
              <w:t>Evaluation of the association between elevated IL-6 concentrations and factors such as: BMI,</w:t>
            </w:r>
            <w:r w:rsidRPr="00920878">
              <w:rPr>
                <w:rFonts w:ascii="Arial" w:eastAsia="Calibri" w:hAnsi="Arial" w:cs="Arial"/>
                <w:szCs w:val="22"/>
              </w:rPr>
              <w:t>, leukocyte count, neutrophil count, CRP, number of annual hospitalizations, frequency of acute asthma exacerbations, and exacerbation severity.</w:t>
            </w:r>
            <w:r>
              <w:rPr>
                <w:rFonts w:ascii="Arial" w:eastAsia="Calibri" w:hAnsi="Arial" w:cs="Arial"/>
                <w:szCs w:val="22"/>
                <w:lang w:val="vi-VN"/>
              </w:rPr>
              <w:t xml:space="preserve"> </w:t>
            </w:r>
            <w:r w:rsidRPr="005D6585">
              <w:rPr>
                <w:rFonts w:ascii="Arial" w:eastAsia="Calibri" w:hAnsi="Arial" w:cs="Arial"/>
                <w:szCs w:val="22"/>
              </w:rPr>
              <w:t xml:space="preserve">Statistical analyses used SPSS </w:t>
            </w:r>
            <w:r>
              <w:rPr>
                <w:rFonts w:ascii="Arial" w:eastAsia="Calibri" w:hAnsi="Arial" w:cs="Arial"/>
                <w:szCs w:val="22"/>
              </w:rPr>
              <w:t>25</w:t>
            </w:r>
            <w:r w:rsidRPr="005D6585">
              <w:rPr>
                <w:rFonts w:ascii="Arial" w:eastAsia="Calibri" w:hAnsi="Arial" w:cs="Arial"/>
                <w:szCs w:val="22"/>
              </w:rPr>
              <w:t>.0 with a significance threshold of p &lt; 0.05.</w:t>
            </w:r>
          </w:p>
          <w:p w14:paraId="28D9A486" w14:textId="77777777" w:rsidR="004024AF" w:rsidRPr="005D6585" w:rsidRDefault="004024AF" w:rsidP="004024AF">
            <w:pPr>
              <w:pStyle w:val="Body"/>
              <w:spacing w:after="0"/>
              <w:rPr>
                <w:rFonts w:ascii="Arial" w:eastAsia="Calibri" w:hAnsi="Arial" w:cs="Arial"/>
                <w:szCs w:val="22"/>
                <w:lang w:val="vi-VN"/>
              </w:rPr>
            </w:pPr>
            <w:r w:rsidRPr="00BA1B01">
              <w:rPr>
                <w:rFonts w:ascii="Arial" w:eastAsia="Calibri" w:hAnsi="Arial" w:cs="Arial"/>
                <w:b/>
                <w:bCs/>
                <w:szCs w:val="22"/>
              </w:rPr>
              <w:t>Results:</w:t>
            </w:r>
            <w:r w:rsidRPr="00BA1B01">
              <w:rPr>
                <w:rFonts w:ascii="Arial" w:eastAsia="Calibri" w:hAnsi="Arial" w:cs="Arial"/>
                <w:szCs w:val="22"/>
              </w:rPr>
              <w:t xml:space="preserve"> </w:t>
            </w:r>
            <w:r w:rsidRPr="001C7D02">
              <w:rPr>
                <w:rFonts w:ascii="Arial" w:eastAsia="Calibri" w:hAnsi="Arial" w:cs="Arial"/>
                <w:szCs w:val="22"/>
              </w:rPr>
              <w:t>The proportion of elevated IL-6 was 69.5% (41 out of 59 children)</w:t>
            </w:r>
            <w:r w:rsidRPr="00920878">
              <w:rPr>
                <w:rFonts w:ascii="Arial" w:eastAsia="Calibri" w:hAnsi="Arial" w:cs="Arial"/>
                <w:szCs w:val="22"/>
              </w:rPr>
              <w:t xml:space="preserve">. IL-6 elevation was significantly associated with overweight/obesity (p = 0.021), increased neutrophil counts (p = 0.047), elevated CRP levels (p = 0.028), and higher annual hospitalization and acute exacerbation frequencies (p = 0.011). </w:t>
            </w:r>
            <w:r w:rsidRPr="005D6585">
              <w:rPr>
                <w:rFonts w:ascii="Arial" w:eastAsia="Calibri" w:hAnsi="Arial" w:cs="Arial"/>
                <w:szCs w:val="22"/>
              </w:rPr>
              <w:t>The association between IL-6 and attack severity showed a non-significant but increasing trend</w:t>
            </w:r>
            <w:r w:rsidRPr="00920878">
              <w:rPr>
                <w:rFonts w:ascii="Arial" w:eastAsia="Calibri" w:hAnsi="Arial" w:cs="Arial"/>
                <w:szCs w:val="22"/>
              </w:rPr>
              <w:t xml:space="preserve"> (p = 0.</w:t>
            </w:r>
            <w:r>
              <w:rPr>
                <w:rFonts w:ascii="Arial" w:eastAsia="Calibri" w:hAnsi="Arial" w:cs="Arial"/>
                <w:szCs w:val="22"/>
              </w:rPr>
              <w:t>156</w:t>
            </w:r>
            <w:r>
              <w:rPr>
                <w:rFonts w:ascii="Arial" w:eastAsia="Calibri" w:hAnsi="Arial" w:cs="Arial"/>
                <w:szCs w:val="22"/>
                <w:lang w:val="vi-VN"/>
              </w:rPr>
              <w:t xml:space="preserve">). </w:t>
            </w:r>
            <w:r w:rsidRPr="00506FDE">
              <w:t>Statistical significance was set at p &lt; 0.05.</w:t>
            </w:r>
          </w:p>
          <w:p w14:paraId="181531BA" w14:textId="40897076" w:rsidR="00505F06" w:rsidRPr="00BA1B01" w:rsidRDefault="004024AF" w:rsidP="004024A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Pr="005D6585">
              <w:rPr>
                <w:rFonts w:ascii="Arial" w:eastAsia="Calibri" w:hAnsi="Arial" w:cs="Arial"/>
                <w:szCs w:val="22"/>
              </w:rPr>
              <w:t>). IL-6 is associated with systemic inflammation and asthma control, particularly among overweight and obese children.These findings highlight the potential clinical utility of IL-6 as a biomarker to guide personalized asthma management strategies, enabling earlier identification of high-risk children and more proactive monitoring of disease progression. Larger longitudinal and multicenter studies are needed.</w:t>
            </w:r>
          </w:p>
        </w:tc>
      </w:tr>
    </w:tbl>
    <w:p w14:paraId="1A632A10" w14:textId="77777777" w:rsidR="00636EB2" w:rsidRDefault="00636EB2" w:rsidP="00441B6F">
      <w:pPr>
        <w:pStyle w:val="Body"/>
        <w:spacing w:after="0"/>
        <w:rPr>
          <w:rFonts w:ascii="Arial" w:hAnsi="Arial" w:cs="Arial"/>
          <w:i/>
        </w:rPr>
      </w:pPr>
    </w:p>
    <w:p w14:paraId="69515A77" w14:textId="5D71D2BD" w:rsidR="00A24E7E" w:rsidRPr="004024AF" w:rsidRDefault="00A24E7E" w:rsidP="00441B6F">
      <w:pPr>
        <w:pStyle w:val="Body"/>
        <w:spacing w:after="0"/>
        <w:rPr>
          <w:rFonts w:ascii="Arial" w:hAnsi="Arial" w:cs="Arial"/>
          <w:i/>
          <w:lang w:val="vi-VN"/>
        </w:rPr>
      </w:pPr>
      <w:r>
        <w:rPr>
          <w:rFonts w:ascii="Arial" w:hAnsi="Arial" w:cs="Arial"/>
          <w:i/>
        </w:rPr>
        <w:t xml:space="preserve">Keywords: </w:t>
      </w:r>
      <w:r w:rsidR="00F90D69" w:rsidRPr="00F90D69">
        <w:rPr>
          <w:rFonts w:ascii="Arial" w:hAnsi="Arial" w:cs="Arial"/>
          <w:i/>
        </w:rPr>
        <w:t xml:space="preserve">IL-6, bronchial asthma, asthma control, </w:t>
      </w:r>
      <w:r w:rsidR="004024AF">
        <w:rPr>
          <w:rFonts w:ascii="Arial" w:hAnsi="Arial" w:cs="Arial"/>
          <w:i/>
        </w:rPr>
        <w:t>biomarker</w:t>
      </w:r>
      <w:r w:rsidR="004024AF">
        <w:rPr>
          <w:rFonts w:ascii="Arial" w:hAnsi="Arial" w:cs="Arial"/>
          <w:i/>
          <w:lang w:val="vi-VN"/>
        </w:rPr>
        <w:t xml:space="preserve">, </w:t>
      </w:r>
      <w:r w:rsidR="004024AF">
        <w:rPr>
          <w:rFonts w:ascii="Arial" w:hAnsi="Arial" w:cs="Arial"/>
          <w:i/>
        </w:rPr>
        <w:t>CRP</w:t>
      </w:r>
      <w:r w:rsidR="004024AF">
        <w:rPr>
          <w:rFonts w:ascii="Arial" w:hAnsi="Arial" w:cs="Arial"/>
          <w:i/>
          <w:lang w:val="vi-VN"/>
        </w:rPr>
        <w:t xml:space="preserve">, </w:t>
      </w:r>
      <w:r w:rsidR="004024AF" w:rsidRPr="005D6585">
        <w:rPr>
          <w:rFonts w:ascii="Arial" w:hAnsi="Arial" w:cs="Arial"/>
          <w:i/>
        </w:rPr>
        <w:t>n</w:t>
      </w:r>
      <w:r w:rsidR="004024AF">
        <w:rPr>
          <w:rFonts w:ascii="Arial" w:hAnsi="Arial" w:cs="Arial"/>
          <w:i/>
        </w:rPr>
        <w:t>eutrophils</w:t>
      </w:r>
      <w:r w:rsidR="004024AF">
        <w:rPr>
          <w:rFonts w:ascii="Arial" w:hAnsi="Arial" w:cs="Arial"/>
          <w:i/>
          <w:lang w:val="vi-VN"/>
        </w:rPr>
        <w:t>.</w:t>
      </w:r>
    </w:p>
    <w:p w14:paraId="6A0BF421" w14:textId="77777777" w:rsidR="00505F06" w:rsidRPr="00F90D69" w:rsidRDefault="00505F06" w:rsidP="00441B6F">
      <w:pPr>
        <w:pStyle w:val="Body"/>
        <w:spacing w:after="0"/>
        <w:rPr>
          <w:rFonts w:ascii="Arial" w:hAnsi="Arial" w:cs="Arial"/>
          <w:i/>
          <w:lang w:val="vi-VN"/>
        </w:rPr>
      </w:pPr>
    </w:p>
    <w:p w14:paraId="15D7B6FF" w14:textId="77777777" w:rsidR="00753FF9" w:rsidRDefault="00902823" w:rsidP="00441B6F">
      <w:pPr>
        <w:pStyle w:val="AbstHead"/>
        <w:spacing w:after="0"/>
        <w:jc w:val="both"/>
        <w:rPr>
          <w:rFonts w:ascii="Arial" w:hAnsi="Arial" w:cs="Arial"/>
          <w:lang w:val="vi-VN"/>
        </w:rPr>
      </w:pPr>
      <w:r>
        <w:rPr>
          <w:rFonts w:ascii="Arial" w:hAnsi="Arial" w:cs="Arial"/>
        </w:rPr>
        <w:t xml:space="preserve">1. </w:t>
      </w:r>
      <w:r w:rsidR="00B01FCD" w:rsidRPr="00FB3A86">
        <w:rPr>
          <w:rFonts w:ascii="Arial" w:hAnsi="Arial" w:cs="Arial"/>
        </w:rPr>
        <w:t>INTRODUCTION</w:t>
      </w:r>
    </w:p>
    <w:p w14:paraId="37DA3353" w14:textId="17FB1169" w:rsidR="00790ADA" w:rsidRPr="00FB3A86" w:rsidRDefault="007F7B32" w:rsidP="00441B6F">
      <w:pPr>
        <w:pStyle w:val="AbstHead"/>
        <w:spacing w:after="0"/>
        <w:jc w:val="both"/>
        <w:rPr>
          <w:rFonts w:ascii="Arial" w:hAnsi="Arial" w:cs="Arial"/>
        </w:rPr>
      </w:pPr>
      <w:r>
        <w:rPr>
          <w:rFonts w:ascii="Arial" w:hAnsi="Arial" w:cs="Arial"/>
        </w:rPr>
        <w:t xml:space="preserve"> </w:t>
      </w:r>
    </w:p>
    <w:p w14:paraId="1287490E" w14:textId="77777777" w:rsidR="004024AF" w:rsidRDefault="004024AF" w:rsidP="004024AF">
      <w:pPr>
        <w:ind w:firstLine="720"/>
        <w:rPr>
          <w:lang w:val="vi-VN"/>
        </w:rPr>
      </w:pPr>
      <w:r>
        <w:t>Bronchial asthma remains a prevalent chronic inflammatory airway disease and a major public health concern worldwide. According to the World Health Organization (WHO, 2024), more than 260 million people live with asthma, and approximately 400,000 deaths occur annually, with children representing a considerable proportion of morbidity and mortality [14]. In Vietnam, the prevalence of pediatric bronchial asthma (BA) has been reported to range from 8% to 12% and continues to rise, especially in urban environments [3</w:t>
      </w:r>
      <w:r>
        <w:rPr>
          <w:lang w:val="vi-VN"/>
        </w:rPr>
        <w:t>]</w:t>
      </w:r>
      <w:r>
        <w:t>,</w:t>
      </w:r>
      <w:r>
        <w:rPr>
          <w:lang w:val="vi-VN"/>
        </w:rPr>
        <w:t>[</w:t>
      </w:r>
      <w:r>
        <w:t>11]. Asthma in children is a complex and heterogeneous condition influenced by multiple immunological and environmental mechanisms, resulting in diverse phenotypes and treatment responses [5].</w:t>
      </w:r>
    </w:p>
    <w:p w14:paraId="6B0A50A9" w14:textId="77777777" w:rsidR="004024AF" w:rsidRDefault="004024AF" w:rsidP="004024AF">
      <w:pPr>
        <w:ind w:firstLine="720"/>
        <w:rPr>
          <w:lang w:val="vi-VN"/>
        </w:rPr>
      </w:pPr>
      <w:r>
        <w:t>In recent years, attention has shifted toward the identification of biomarkers that could improve the classification, management, and prognostic prediction of asthma. Cytokines, in particular, are central mediators in the airway inflammatory cascade. Among these, interleukin-6 (IL-6) is emerging as a critical pleiotropic cytokine with both local and systemic effects. IL-6 participates in the activation of T helper 17 (Th17) cells, macrophages, and neutrophils and contributes to systemic inflammation and airway remodeling. Several studies have reported elevated serum IL-6 levels in patients with severe or uncontrolled asthma, as well as in obese asthmatic children, supporting its role as a potential biomarker reflecting disease burden and systemic inflammatory activation [7</w:t>
      </w:r>
      <w:r>
        <w:rPr>
          <w:lang w:val="vi-VN"/>
        </w:rPr>
        <w:t>], [8], [12</w:t>
      </w:r>
      <w:r>
        <w:t>].</w:t>
      </w:r>
    </w:p>
    <w:p w14:paraId="05C5548A" w14:textId="77777777" w:rsidR="004024AF" w:rsidRDefault="004024AF" w:rsidP="004024AF">
      <w:pPr>
        <w:ind w:firstLine="720"/>
        <w:rPr>
          <w:lang w:val="vi-VN"/>
        </w:rPr>
      </w:pPr>
      <w:r>
        <w:t>Recent evidence has highlighted the relationship between obesity, systemic inflammation, and the so-called “Type-2-low” or “non-eosinophilic” asthma phenotype, in which IL-6 appears to play a bridging role between metabolic dysregulation and airway inflammation [1</w:t>
      </w:r>
      <w:r>
        <w:rPr>
          <w:lang w:val="vi-VN"/>
        </w:rPr>
        <w:t>]</w:t>
      </w:r>
      <w:r>
        <w:t>,</w:t>
      </w:r>
      <w:r>
        <w:rPr>
          <w:lang w:val="vi-VN"/>
        </w:rPr>
        <w:t>[8</w:t>
      </w:r>
      <w:r>
        <w:t xml:space="preserve">]. </w:t>
      </w:r>
      <w:r w:rsidRPr="00DF129B">
        <w:rPr>
          <w:rFonts w:ascii="Arial" w:hAnsi="Arial" w:cs="Arial"/>
        </w:rPr>
        <w:t>Kim</w:t>
      </w:r>
      <w:r w:rsidRPr="00DF129B">
        <w:rPr>
          <w:rFonts w:ascii="Arial" w:hAnsi="Arial" w:cs="Arial"/>
          <w:caps/>
          <w:lang w:val="vi-VN"/>
        </w:rPr>
        <w:t xml:space="preserve"> </w:t>
      </w:r>
      <w:r>
        <w:rPr>
          <w:rFonts w:ascii="Arial" w:hAnsi="Arial" w:cs="Arial"/>
          <w:lang w:val="vi-VN"/>
        </w:rPr>
        <w:t>H</w:t>
      </w:r>
      <w:r w:rsidRPr="00DF129B">
        <w:rPr>
          <w:rFonts w:ascii="Arial" w:hAnsi="Arial" w:cs="Arial"/>
          <w:lang w:val="vi-VN"/>
        </w:rPr>
        <w:t>y</w:t>
      </w:r>
      <w:r>
        <w:rPr>
          <w:rFonts w:ascii="Arial" w:hAnsi="Arial" w:cs="Arial"/>
          <w:lang w:val="vi-VN"/>
        </w:rPr>
        <w:t xml:space="preserve"> </w:t>
      </w:r>
      <w:r w:rsidRPr="00DF129B">
        <w:t>et</w:t>
      </w:r>
      <w:r>
        <w:t xml:space="preserve"> al. (2023) demonstrated that serum IL-6 concentrations were independently associated with asthma exacerbation frequency in children and predicted future exacerbations within one </w:t>
      </w:r>
      <w:r>
        <w:lastRenderedPageBreak/>
        <w:t>year [7]. Similarly, Hinks et al. (2024) identified a distinct IL-6-dominant inflammatory endotype among pediatric patients with poor corticosteroid responsiveness, suggesting that IL-6 signaling could drive steroid-resistant asthma via the IL-6R/JAK/STAT3 axis [2]. These findings indicate that IL-6 is not merely a bystander cytokine but a potential driver of persistent inflammation and disease progression.</w:t>
      </w:r>
    </w:p>
    <w:p w14:paraId="7E48F065" w14:textId="77777777" w:rsidR="004024AF" w:rsidRDefault="004024AF" w:rsidP="004024AF">
      <w:pPr>
        <w:ind w:firstLine="720"/>
      </w:pPr>
      <w:r>
        <w:t>While the pathophysiologic significance of IL-6 in asthma has been well established in Western and East Asian cohorts, data in Vietnamese pediatric populations remain scarce. Few local studies have explored cytokine profiles or systemic inflammatory markers in asthmatic children, and none have specifically focused on IL-6 as a biomarker. Therefore, the present study was conducted to clarify the association between peripheral blood IL-6 levels and key clinical and inflammatory parameters—including body mass index (BMI), leukocyte and neutrophil counts, C-reactive protein (CRP), asthma control status, and exacerbation severity—in Vietnamese children with bronchial asthma. By elucidating these relationships, this research aims to provide a scientific basis for considering IL-6 as a diagnostic and prognostic indicator in pediatric bronchial asthma.</w:t>
      </w:r>
    </w:p>
    <w:p w14:paraId="4F3B50B8" w14:textId="77777777" w:rsidR="004024AF" w:rsidRDefault="004024AF" w:rsidP="004024AF">
      <w:pPr>
        <w:ind w:firstLine="720"/>
      </w:pPr>
    </w:p>
    <w:p w14:paraId="319490C4" w14:textId="77777777" w:rsidR="004024AF" w:rsidRDefault="004024AF" w:rsidP="004024AF">
      <w:pPr>
        <w:pStyle w:val="AbstHead"/>
        <w:spacing w:after="0"/>
        <w:jc w:val="both"/>
        <w:rPr>
          <w:rFonts w:ascii="Arial" w:hAnsi="Arial" w:cs="Arial"/>
          <w:lang w:val="vi-VN"/>
        </w:rPr>
      </w:pPr>
      <w:r>
        <w:rPr>
          <w:rFonts w:ascii="Arial" w:hAnsi="Arial" w:cs="Arial"/>
        </w:rPr>
        <w:t xml:space="preserve">2. material and methods </w:t>
      </w:r>
    </w:p>
    <w:p w14:paraId="2B827497" w14:textId="77777777" w:rsidR="004024AF" w:rsidRPr="00753FF9" w:rsidRDefault="004024AF" w:rsidP="004024AF">
      <w:pPr>
        <w:pStyle w:val="AbstHead"/>
        <w:spacing w:after="0"/>
        <w:jc w:val="both"/>
        <w:rPr>
          <w:rFonts w:ascii="Arial" w:hAnsi="Arial" w:cs="Arial"/>
          <w:lang w:val="vi-VN"/>
        </w:rPr>
      </w:pPr>
    </w:p>
    <w:p w14:paraId="46BF7FF9" w14:textId="77777777" w:rsidR="004024AF" w:rsidRDefault="004024AF" w:rsidP="004024AF">
      <w:pPr>
        <w:pStyle w:val="Body"/>
        <w:spacing w:after="0"/>
        <w:jc w:val="left"/>
        <w:rPr>
          <w:rFonts w:ascii="Arial" w:hAnsi="Arial" w:cs="Arial"/>
          <w:bCs/>
          <w:sz w:val="22"/>
          <w:lang w:val="vi-VN"/>
        </w:rPr>
      </w:pPr>
      <w:r w:rsidRPr="00F90D69">
        <w:rPr>
          <w:rFonts w:ascii="Arial" w:hAnsi="Arial" w:cs="Arial"/>
          <w:b/>
          <w:caps/>
          <w:sz w:val="22"/>
        </w:rPr>
        <w:t xml:space="preserve">2.1. </w:t>
      </w:r>
      <w:r w:rsidRPr="00F90D69">
        <w:rPr>
          <w:rFonts w:ascii="Arial" w:hAnsi="Arial" w:cs="Arial"/>
          <w:b/>
          <w:sz w:val="22"/>
        </w:rPr>
        <w:t>Study subjects</w:t>
      </w:r>
      <w:r w:rsidRPr="00F90D69">
        <w:rPr>
          <w:rFonts w:ascii="Arial" w:hAnsi="Arial" w:cs="Arial"/>
          <w:bCs/>
          <w:sz w:val="22"/>
        </w:rPr>
        <w:t xml:space="preserve">: </w:t>
      </w:r>
    </w:p>
    <w:p w14:paraId="3B9D595C" w14:textId="77777777" w:rsidR="004024AF" w:rsidRPr="00DF129B" w:rsidRDefault="004024AF" w:rsidP="004024AF">
      <w:pPr>
        <w:pStyle w:val="Body"/>
        <w:spacing w:after="0"/>
        <w:rPr>
          <w:rFonts w:ascii="Arial" w:hAnsi="Arial" w:cs="Arial"/>
          <w:bCs/>
          <w:caps/>
          <w:szCs w:val="18"/>
        </w:rPr>
      </w:pPr>
      <w:r w:rsidRPr="00DF129B">
        <w:rPr>
          <w:rFonts w:ascii="Arial" w:hAnsi="Arial" w:cs="Arial"/>
          <w:bCs/>
          <w:szCs w:val="18"/>
        </w:rPr>
        <w:t>Pediatric patients over 5 years of age diagnosed and treated for bronchial asthma at can tho children's hospital.</w:t>
      </w:r>
    </w:p>
    <w:p w14:paraId="1E79F976" w14:textId="77777777" w:rsidR="004024AF" w:rsidRPr="00DF129B" w:rsidRDefault="004024AF" w:rsidP="004024AF">
      <w:pPr>
        <w:pStyle w:val="Body"/>
        <w:spacing w:after="0"/>
        <w:ind w:firstLine="284"/>
        <w:rPr>
          <w:rFonts w:ascii="Arial" w:hAnsi="Arial" w:cs="Arial"/>
          <w:bCs/>
          <w:caps/>
          <w:szCs w:val="18"/>
        </w:rPr>
      </w:pPr>
      <w:r w:rsidRPr="00DF129B">
        <w:rPr>
          <w:rFonts w:ascii="Arial" w:hAnsi="Arial" w:cs="Arial"/>
          <w:bCs/>
          <w:szCs w:val="18"/>
        </w:rPr>
        <w:t>-</w:t>
      </w:r>
      <w:r w:rsidRPr="00DF129B">
        <w:rPr>
          <w:rFonts w:ascii="Arial" w:hAnsi="Arial" w:cs="Arial"/>
          <w:bCs/>
          <w:szCs w:val="18"/>
          <w:lang w:val="vi-VN"/>
        </w:rPr>
        <w:t xml:space="preserve"> </w:t>
      </w:r>
      <w:r w:rsidRPr="00DF129B">
        <w:rPr>
          <w:rFonts w:ascii="Arial" w:hAnsi="Arial" w:cs="Arial"/>
          <w:bCs/>
          <w:szCs w:val="18"/>
        </w:rPr>
        <w:t>Iinclusion criteria: all pediatric patients over 5 years of age diagnosed with bronchial asthma at can tho children's hospital. the patient and their legal guardians consented to participate in the study.</w:t>
      </w:r>
    </w:p>
    <w:p w14:paraId="4863F1F1" w14:textId="77777777" w:rsidR="004024AF" w:rsidRPr="00DF129B" w:rsidRDefault="004024AF" w:rsidP="004024AF">
      <w:pPr>
        <w:pStyle w:val="Body"/>
        <w:spacing w:after="0"/>
        <w:ind w:left="284"/>
        <w:rPr>
          <w:rFonts w:ascii="Arial" w:hAnsi="Arial" w:cs="Arial"/>
          <w:bCs/>
          <w:caps/>
          <w:szCs w:val="18"/>
        </w:rPr>
      </w:pPr>
      <w:r w:rsidRPr="00DF129B">
        <w:rPr>
          <w:rFonts w:ascii="Arial" w:hAnsi="Arial" w:cs="Arial"/>
          <w:bCs/>
          <w:szCs w:val="18"/>
        </w:rPr>
        <w:t>-</w:t>
      </w:r>
      <w:r w:rsidRPr="00DF129B">
        <w:rPr>
          <w:rFonts w:ascii="Arial" w:hAnsi="Arial" w:cs="Arial"/>
          <w:bCs/>
          <w:szCs w:val="18"/>
          <w:lang w:val="vi-VN"/>
        </w:rPr>
        <w:t xml:space="preserve">  </w:t>
      </w:r>
      <w:r w:rsidRPr="00DF129B">
        <w:rPr>
          <w:rFonts w:ascii="Arial" w:hAnsi="Arial" w:cs="Arial"/>
          <w:bCs/>
          <w:szCs w:val="18"/>
        </w:rPr>
        <w:t>Exclusion criteria:</w:t>
      </w:r>
    </w:p>
    <w:p w14:paraId="3D458EBB" w14:textId="77777777" w:rsidR="004024AF" w:rsidRPr="00DF129B" w:rsidRDefault="004024AF" w:rsidP="004024AF">
      <w:pPr>
        <w:pStyle w:val="Body"/>
        <w:spacing w:after="0"/>
        <w:ind w:firstLine="567"/>
        <w:rPr>
          <w:rFonts w:ascii="Arial" w:hAnsi="Arial" w:cs="Arial"/>
          <w:bCs/>
          <w:caps/>
          <w:szCs w:val="18"/>
        </w:rPr>
      </w:pPr>
      <w:r w:rsidRPr="00DF129B">
        <w:rPr>
          <w:rFonts w:ascii="Arial" w:hAnsi="Arial" w:cs="Arial"/>
          <w:bCs/>
          <w:szCs w:val="18"/>
        </w:rPr>
        <w:t>+ Asthmatic patients with other severe comorbidities such as cardiac arrhythmia, congenital heart disease, rheumatic heart disease, etc..</w:t>
      </w:r>
    </w:p>
    <w:p w14:paraId="30817027" w14:textId="77777777" w:rsidR="004024AF" w:rsidRPr="00DF129B" w:rsidRDefault="004024AF" w:rsidP="004024AF">
      <w:pPr>
        <w:pStyle w:val="Body"/>
        <w:spacing w:after="0"/>
        <w:ind w:firstLine="567"/>
        <w:rPr>
          <w:rFonts w:ascii="Arial" w:hAnsi="Arial" w:cs="Arial"/>
          <w:bCs/>
          <w:caps/>
          <w:szCs w:val="18"/>
        </w:rPr>
      </w:pPr>
      <w:r w:rsidRPr="00DF129B">
        <w:rPr>
          <w:rFonts w:ascii="Arial" w:hAnsi="Arial" w:cs="Arial"/>
          <w:bCs/>
          <w:szCs w:val="18"/>
        </w:rPr>
        <w:t>+ Asthmatic patients with comorbidities such as immunodeficiency or myeloid leukemia.</w:t>
      </w:r>
    </w:p>
    <w:p w14:paraId="70B8684C" w14:textId="77777777" w:rsidR="004024AF" w:rsidRPr="00DF129B" w:rsidRDefault="004024AF" w:rsidP="004024AF">
      <w:pPr>
        <w:pStyle w:val="Body"/>
        <w:spacing w:after="0"/>
        <w:ind w:firstLine="567"/>
        <w:rPr>
          <w:rFonts w:ascii="Arial" w:hAnsi="Arial" w:cs="Arial"/>
          <w:bCs/>
          <w:caps/>
          <w:szCs w:val="18"/>
        </w:rPr>
      </w:pPr>
      <w:r w:rsidRPr="00DF129B">
        <w:rPr>
          <w:rFonts w:ascii="Arial" w:hAnsi="Arial" w:cs="Arial"/>
          <w:bCs/>
          <w:szCs w:val="18"/>
        </w:rPr>
        <w:t>+ Asthmatic patients presenting with dyspnea but admitted for reasons other than an acute asthma attack, such as cardiac asthma, pneumothorax, or foreign body aspiration.</w:t>
      </w:r>
    </w:p>
    <w:p w14:paraId="6D862D88" w14:textId="77777777" w:rsidR="004024AF" w:rsidRPr="00F90D69" w:rsidRDefault="004024AF" w:rsidP="004024AF">
      <w:pPr>
        <w:pStyle w:val="Body"/>
        <w:spacing w:after="0"/>
        <w:jc w:val="left"/>
        <w:rPr>
          <w:rFonts w:ascii="Arial" w:hAnsi="Arial" w:cs="Arial"/>
          <w:b/>
          <w:caps/>
          <w:sz w:val="22"/>
        </w:rPr>
      </w:pPr>
      <w:r w:rsidRPr="00F90D69">
        <w:rPr>
          <w:rFonts w:ascii="Arial" w:hAnsi="Arial" w:cs="Arial"/>
          <w:b/>
          <w:sz w:val="22"/>
        </w:rPr>
        <w:t>2.2. Research methods</w:t>
      </w:r>
    </w:p>
    <w:p w14:paraId="4F8DB969" w14:textId="77777777" w:rsidR="004024AF" w:rsidRPr="00DF129B" w:rsidRDefault="004024AF" w:rsidP="004024AF">
      <w:pPr>
        <w:pStyle w:val="Body"/>
        <w:spacing w:after="0"/>
        <w:ind w:left="709" w:hanging="426"/>
        <w:rPr>
          <w:rFonts w:ascii="Arial" w:hAnsi="Arial" w:cs="Arial"/>
          <w:bCs/>
          <w:caps/>
          <w:szCs w:val="18"/>
        </w:rPr>
      </w:pPr>
      <w:r w:rsidRPr="00DF129B">
        <w:rPr>
          <w:rFonts w:ascii="Arial" w:hAnsi="Arial" w:cs="Arial"/>
          <w:bCs/>
          <w:szCs w:val="18"/>
        </w:rPr>
        <w:t>-</w:t>
      </w:r>
      <w:r w:rsidRPr="00DF129B">
        <w:rPr>
          <w:rFonts w:ascii="Arial" w:hAnsi="Arial" w:cs="Arial"/>
          <w:bCs/>
          <w:szCs w:val="18"/>
          <w:lang w:val="vi-VN"/>
        </w:rPr>
        <w:t xml:space="preserve">  </w:t>
      </w:r>
      <w:r w:rsidRPr="00DF129B">
        <w:rPr>
          <w:rFonts w:ascii="Arial" w:hAnsi="Arial" w:cs="Arial"/>
          <w:bCs/>
          <w:szCs w:val="18"/>
        </w:rPr>
        <w:t>Study design: a descriptive, cross-sectional, prospective study.</w:t>
      </w:r>
    </w:p>
    <w:p w14:paraId="0B0EC67E" w14:textId="77777777" w:rsidR="004024AF" w:rsidRPr="00DF129B" w:rsidRDefault="004024AF" w:rsidP="004024AF">
      <w:pPr>
        <w:pStyle w:val="Body"/>
        <w:spacing w:after="0"/>
        <w:ind w:firstLine="283"/>
        <w:rPr>
          <w:rFonts w:ascii="Arial" w:hAnsi="Arial" w:cs="Arial"/>
          <w:bCs/>
          <w:caps/>
          <w:szCs w:val="18"/>
        </w:rPr>
      </w:pPr>
      <w:r w:rsidRPr="00DF129B">
        <w:rPr>
          <w:rFonts w:ascii="Arial" w:hAnsi="Arial" w:cs="Arial"/>
          <w:bCs/>
          <w:szCs w:val="18"/>
        </w:rPr>
        <w:t>-</w:t>
      </w:r>
      <w:r w:rsidRPr="00DF129B">
        <w:rPr>
          <w:rFonts w:ascii="Arial" w:hAnsi="Arial" w:cs="Arial"/>
          <w:bCs/>
          <w:szCs w:val="18"/>
          <w:lang w:val="vi-VN"/>
        </w:rPr>
        <w:t xml:space="preserve">  </w:t>
      </w:r>
      <w:r w:rsidRPr="00DF129B">
        <w:rPr>
          <w:rFonts w:ascii="Arial" w:hAnsi="Arial" w:cs="Arial"/>
          <w:bCs/>
          <w:szCs w:val="18"/>
        </w:rPr>
        <w:t>Sample size: 59 pediatric patients were diagnosed with bronchial asthma according to the GINA 2024 criteria</w:t>
      </w:r>
      <w:r w:rsidRPr="00DF129B">
        <w:rPr>
          <w:rFonts w:ascii="Arial" w:hAnsi="Arial" w:cs="Arial"/>
          <w:bCs/>
          <w:szCs w:val="18"/>
          <w:lang w:val="vi-VN"/>
        </w:rPr>
        <w:t xml:space="preserve"> [4]</w:t>
      </w:r>
      <w:r w:rsidRPr="00DF129B">
        <w:rPr>
          <w:rFonts w:ascii="Arial" w:hAnsi="Arial" w:cs="Arial"/>
          <w:bCs/>
          <w:szCs w:val="18"/>
        </w:rPr>
        <w:t>.</w:t>
      </w:r>
    </w:p>
    <w:p w14:paraId="50E17EFA" w14:textId="77777777" w:rsidR="004024AF" w:rsidRPr="00DF129B" w:rsidRDefault="004024AF" w:rsidP="004024AF">
      <w:pPr>
        <w:pStyle w:val="Body"/>
        <w:spacing w:after="0"/>
        <w:ind w:left="709" w:hanging="426"/>
        <w:rPr>
          <w:rFonts w:ascii="Arial" w:hAnsi="Arial" w:cs="Arial"/>
          <w:bCs/>
          <w:szCs w:val="18"/>
          <w:lang w:val="vi-VN"/>
        </w:rPr>
      </w:pPr>
      <w:r w:rsidRPr="00DF129B">
        <w:rPr>
          <w:rFonts w:ascii="Arial" w:hAnsi="Arial" w:cs="Arial"/>
          <w:bCs/>
          <w:szCs w:val="18"/>
        </w:rPr>
        <w:t>-</w:t>
      </w:r>
      <w:r w:rsidRPr="00DF129B">
        <w:rPr>
          <w:rFonts w:ascii="Arial" w:hAnsi="Arial" w:cs="Arial"/>
          <w:bCs/>
          <w:szCs w:val="18"/>
          <w:lang w:val="vi-VN"/>
        </w:rPr>
        <w:t xml:space="preserve">  </w:t>
      </w:r>
      <w:r w:rsidRPr="00DF129B">
        <w:rPr>
          <w:rFonts w:ascii="Arial" w:hAnsi="Arial" w:cs="Arial"/>
          <w:bCs/>
          <w:szCs w:val="18"/>
        </w:rPr>
        <w:t>Sampling method: convenience sampling, including all pediatric patients who met the inclusion criteria.</w:t>
      </w:r>
    </w:p>
    <w:p w14:paraId="75D1274A" w14:textId="77777777" w:rsidR="004024AF" w:rsidRPr="00DF129B" w:rsidRDefault="004024AF" w:rsidP="004024AF">
      <w:pPr>
        <w:pStyle w:val="Body"/>
        <w:spacing w:after="0"/>
        <w:ind w:firstLine="283"/>
        <w:rPr>
          <w:rFonts w:ascii="Arial" w:hAnsi="Arial" w:cs="Arial"/>
          <w:bCs/>
          <w:caps/>
          <w:lang w:val="vi-VN"/>
        </w:rPr>
      </w:pPr>
      <w:r w:rsidRPr="00DF129B">
        <w:rPr>
          <w:rFonts w:ascii="Arial" w:hAnsi="Arial" w:cs="Arial"/>
          <w:bCs/>
          <w:lang w:val="vi-VN"/>
        </w:rPr>
        <w:t xml:space="preserve">- </w:t>
      </w:r>
      <w:r w:rsidRPr="00DF129B">
        <w:rPr>
          <w:rFonts w:ascii="Arial" w:eastAsia="Calibri" w:hAnsi="Arial" w:cs="Arial"/>
        </w:rPr>
        <w:t>IL-6 levels were quantified using a flow cytometry-assisted immunoassay with reagents and assay kits manufactured by Bio-Rad (USA)</w:t>
      </w:r>
      <w:r w:rsidRPr="00DF129B">
        <w:rPr>
          <w:rFonts w:ascii="Arial" w:eastAsia="Calibri" w:hAnsi="Arial" w:cs="Arial"/>
          <w:lang w:val="vi-VN"/>
        </w:rPr>
        <w:t xml:space="preserve"> and </w:t>
      </w:r>
      <w:r w:rsidRPr="00DF129B">
        <w:rPr>
          <w:rFonts w:ascii="Arial" w:eastAsia="Calibri" w:hAnsi="Arial" w:cs="Arial"/>
        </w:rPr>
        <w:t>and leukocyte counts were evaluated based on the complete blood count (CBC) results.</w:t>
      </w:r>
    </w:p>
    <w:p w14:paraId="73DD465A" w14:textId="77777777" w:rsidR="004024AF" w:rsidRPr="00DF129B" w:rsidRDefault="004024AF" w:rsidP="004024AF">
      <w:pPr>
        <w:pStyle w:val="Body"/>
        <w:spacing w:after="0"/>
        <w:ind w:left="709" w:hanging="426"/>
        <w:rPr>
          <w:rFonts w:ascii="Arial" w:hAnsi="Arial" w:cs="Arial"/>
          <w:bCs/>
          <w:caps/>
          <w:szCs w:val="18"/>
        </w:rPr>
      </w:pPr>
      <w:r w:rsidRPr="00DF129B">
        <w:rPr>
          <w:rFonts w:ascii="Arial" w:hAnsi="Arial" w:cs="Arial"/>
          <w:bCs/>
          <w:szCs w:val="18"/>
        </w:rPr>
        <w:t>-</w:t>
      </w:r>
      <w:r w:rsidRPr="00DF129B">
        <w:rPr>
          <w:rFonts w:ascii="Arial" w:hAnsi="Arial" w:cs="Arial"/>
          <w:bCs/>
          <w:szCs w:val="18"/>
          <w:lang w:val="vi-VN"/>
        </w:rPr>
        <w:t xml:space="preserve">  </w:t>
      </w:r>
      <w:r w:rsidRPr="00DF129B">
        <w:rPr>
          <w:rFonts w:ascii="Arial" w:hAnsi="Arial" w:cs="Arial"/>
          <w:bCs/>
          <w:szCs w:val="18"/>
        </w:rPr>
        <w:t>Study variables:</w:t>
      </w:r>
    </w:p>
    <w:p w14:paraId="0AE0F04C" w14:textId="77777777" w:rsidR="004024AF" w:rsidRPr="00DF129B" w:rsidRDefault="004024AF" w:rsidP="004024AF">
      <w:pPr>
        <w:pStyle w:val="Body"/>
        <w:spacing w:after="0"/>
        <w:ind w:firstLine="426"/>
        <w:rPr>
          <w:rFonts w:ascii="Arial" w:hAnsi="Arial" w:cs="Arial"/>
          <w:bCs/>
          <w:caps/>
          <w:szCs w:val="18"/>
        </w:rPr>
      </w:pPr>
      <w:r w:rsidRPr="00DF129B">
        <w:rPr>
          <w:rFonts w:ascii="Arial" w:hAnsi="Arial" w:cs="Arial"/>
          <w:bCs/>
          <w:szCs w:val="18"/>
        </w:rPr>
        <w:t>+ General information of patients: mean age, age of asthma onset, gender.</w:t>
      </w:r>
    </w:p>
    <w:p w14:paraId="726F41FD" w14:textId="77777777" w:rsidR="004024AF" w:rsidRPr="00DF129B" w:rsidRDefault="004024AF" w:rsidP="004024AF">
      <w:pPr>
        <w:pStyle w:val="Body"/>
        <w:spacing w:after="0"/>
        <w:ind w:firstLine="426"/>
        <w:rPr>
          <w:rFonts w:ascii="Arial" w:hAnsi="Arial" w:cs="Arial"/>
          <w:bCs/>
          <w:caps/>
          <w:szCs w:val="18"/>
        </w:rPr>
      </w:pPr>
      <w:r w:rsidRPr="00DF129B">
        <w:rPr>
          <w:rFonts w:ascii="Arial" w:hAnsi="Arial" w:cs="Arial"/>
          <w:bCs/>
          <w:szCs w:val="18"/>
        </w:rPr>
        <w:t>+ Factors related to elevated peripheral blood IL-6 levels: nutritional status (BMI classification), systemic inflammation status (CRP, total leukocyte count, neutrophil count), asthma severity (classification of acute asthma attack severity), and asthma control (annual hospitalization rate and number of emergency room visits for acute asthma attacks).</w:t>
      </w:r>
    </w:p>
    <w:p w14:paraId="31437176" w14:textId="77777777" w:rsidR="004024AF" w:rsidRPr="00DF129B" w:rsidRDefault="004024AF" w:rsidP="004024AF">
      <w:pPr>
        <w:pStyle w:val="Body"/>
        <w:spacing w:after="0"/>
        <w:ind w:left="284"/>
        <w:rPr>
          <w:rFonts w:ascii="Arial" w:hAnsi="Arial" w:cs="Arial"/>
          <w:bCs/>
          <w:szCs w:val="18"/>
          <w:lang w:val="vi-VN"/>
        </w:rPr>
      </w:pPr>
      <w:r w:rsidRPr="00DF129B">
        <w:rPr>
          <w:rFonts w:ascii="Arial" w:hAnsi="Arial" w:cs="Arial"/>
          <w:bCs/>
          <w:szCs w:val="18"/>
        </w:rPr>
        <w:t>-</w:t>
      </w:r>
      <w:r w:rsidRPr="00DF129B">
        <w:rPr>
          <w:rFonts w:ascii="Arial" w:hAnsi="Arial" w:cs="Arial"/>
          <w:bCs/>
          <w:szCs w:val="18"/>
          <w:lang w:val="vi-VN"/>
        </w:rPr>
        <w:t xml:space="preserve">  D</w:t>
      </w:r>
      <w:r w:rsidRPr="00DF129B">
        <w:rPr>
          <w:rFonts w:ascii="Arial" w:hAnsi="Arial" w:cs="Arial"/>
          <w:bCs/>
          <w:szCs w:val="18"/>
        </w:rPr>
        <w:t xml:space="preserve">ata analysis: data were analyzed using </w:t>
      </w:r>
      <w:r>
        <w:rPr>
          <w:rFonts w:ascii="Arial" w:hAnsi="Arial" w:cs="Arial"/>
          <w:bCs/>
          <w:szCs w:val="18"/>
        </w:rPr>
        <w:t>SPSS</w:t>
      </w:r>
      <w:r w:rsidRPr="00DF129B">
        <w:rPr>
          <w:rFonts w:ascii="Arial" w:hAnsi="Arial" w:cs="Arial"/>
          <w:bCs/>
          <w:szCs w:val="18"/>
        </w:rPr>
        <w:t xml:space="preserve"> software version 25.0.</w:t>
      </w:r>
    </w:p>
    <w:p w14:paraId="03647ABC" w14:textId="77777777" w:rsidR="004024AF" w:rsidRPr="00753FF9" w:rsidRDefault="004024AF" w:rsidP="004024AF">
      <w:pPr>
        <w:pStyle w:val="Body"/>
        <w:spacing w:after="0"/>
        <w:rPr>
          <w:rFonts w:ascii="Arial" w:hAnsi="Arial" w:cs="Arial"/>
          <w:bCs/>
          <w:lang w:val="vi-VN"/>
        </w:rPr>
      </w:pPr>
    </w:p>
    <w:p w14:paraId="40C540FC" w14:textId="77777777" w:rsidR="004024AF" w:rsidRDefault="004024AF" w:rsidP="004024AF">
      <w:pPr>
        <w:pStyle w:val="Head1"/>
        <w:spacing w:after="0"/>
        <w:jc w:val="both"/>
        <w:rPr>
          <w:rFonts w:ascii="Arial" w:hAnsi="Arial" w:cs="Arial"/>
          <w:lang w:val="vi-VN"/>
        </w:rPr>
      </w:pPr>
      <w:r>
        <w:rPr>
          <w:rFonts w:ascii="Arial" w:hAnsi="Arial" w:cs="Arial"/>
        </w:rPr>
        <w:t xml:space="preserve">3. results </w:t>
      </w:r>
    </w:p>
    <w:p w14:paraId="6A5AD059" w14:textId="77777777" w:rsidR="004024AF" w:rsidRPr="00753FF9" w:rsidRDefault="004024AF" w:rsidP="004024AF">
      <w:pPr>
        <w:pStyle w:val="Head1"/>
        <w:spacing w:after="0"/>
        <w:jc w:val="both"/>
        <w:rPr>
          <w:rFonts w:ascii="Arial" w:hAnsi="Arial" w:cs="Arial"/>
          <w:lang w:val="vi-VN"/>
        </w:rPr>
      </w:pPr>
    </w:p>
    <w:p w14:paraId="38F7C724" w14:textId="77777777" w:rsidR="004024AF" w:rsidRPr="00FC60F3" w:rsidRDefault="004024AF" w:rsidP="004024AF">
      <w:pPr>
        <w:rPr>
          <w:rFonts w:ascii="Arial" w:hAnsi="Arial" w:cs="Arial"/>
          <w:sz w:val="22"/>
          <w:szCs w:val="22"/>
          <w:lang w:val="vi-VN"/>
        </w:rPr>
      </w:pPr>
      <w:r w:rsidRPr="00FC60F3">
        <w:rPr>
          <w:rFonts w:ascii="Arial" w:hAnsi="Arial" w:cs="Arial"/>
          <w:b/>
          <w:bCs/>
          <w:sz w:val="22"/>
          <w:szCs w:val="22"/>
        </w:rPr>
        <w:t>3.1. General characteristics of the study population:</w:t>
      </w:r>
      <w:r w:rsidRPr="00FC60F3">
        <w:rPr>
          <w:rFonts w:ascii="Arial" w:hAnsi="Arial" w:cs="Arial"/>
          <w:sz w:val="22"/>
          <w:szCs w:val="22"/>
        </w:rPr>
        <w:t xml:space="preserve"> </w:t>
      </w:r>
    </w:p>
    <w:p w14:paraId="149F7DA2" w14:textId="77777777" w:rsidR="004024AF" w:rsidRPr="00FC60F3" w:rsidRDefault="004024AF" w:rsidP="004024AF">
      <w:pPr>
        <w:ind w:firstLine="720"/>
        <w:jc w:val="both"/>
        <w:rPr>
          <w:rFonts w:ascii="Arial" w:hAnsi="Arial" w:cs="Arial"/>
        </w:rPr>
      </w:pPr>
      <w:r w:rsidRPr="00FC60F3">
        <w:rPr>
          <w:rFonts w:ascii="Arial" w:hAnsi="Arial" w:cs="Arial"/>
        </w:rPr>
        <w:t>Our study was conducted on 59 pediatric patients with bronchial asthma at Can Tho Children's Hospital. The mean age of the study subjects was 7.75 ± 2.7 years, with males accounting for 71.2%, resulting in a male-to-female ratio of approximately 2.47:1.</w:t>
      </w:r>
    </w:p>
    <w:p w14:paraId="45A36341" w14:textId="77777777" w:rsidR="004024AF" w:rsidRPr="00FC60F3" w:rsidRDefault="004024AF" w:rsidP="004024AF">
      <w:pPr>
        <w:jc w:val="both"/>
        <w:rPr>
          <w:rFonts w:ascii="Arial" w:hAnsi="Arial" w:cs="Arial"/>
        </w:rPr>
      </w:pPr>
      <w:r w:rsidRPr="00FC60F3">
        <w:rPr>
          <w:rFonts w:ascii="Arial" w:hAnsi="Arial" w:cs="Arial"/>
        </w:rPr>
        <w:t xml:space="preserve">Table 1: Age of Bronchial Asthma Onset </w:t>
      </w:r>
    </w:p>
    <w:tbl>
      <w:tblPr>
        <w:tblW w:w="9067" w:type="dxa"/>
        <w:tblCellMar>
          <w:top w:w="15" w:type="dxa"/>
          <w:left w:w="15" w:type="dxa"/>
          <w:bottom w:w="15" w:type="dxa"/>
          <w:right w:w="15" w:type="dxa"/>
        </w:tblCellMar>
        <w:tblLook w:val="04A0" w:firstRow="1" w:lastRow="0" w:firstColumn="1" w:lastColumn="0" w:noHBand="0" w:noVBand="1"/>
      </w:tblPr>
      <w:tblGrid>
        <w:gridCol w:w="3681"/>
        <w:gridCol w:w="2693"/>
        <w:gridCol w:w="2693"/>
      </w:tblGrid>
      <w:tr w:rsidR="004024AF" w:rsidRPr="00FC60F3" w14:paraId="258E5AFC" w14:textId="77777777" w:rsidTr="005563C7">
        <w:trPr>
          <w:trHeight w:val="298"/>
        </w:trPr>
        <w:tc>
          <w:tcPr>
            <w:tcW w:w="3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237F52" w14:textId="77777777" w:rsidR="004024AF" w:rsidRPr="00FC60F3" w:rsidRDefault="004024AF" w:rsidP="005563C7">
            <w:pPr>
              <w:jc w:val="center"/>
              <w:rPr>
                <w:rFonts w:ascii="Arial" w:hAnsi="Arial" w:cs="Arial"/>
                <w:b/>
                <w:bCs/>
              </w:rPr>
            </w:pPr>
            <w:r w:rsidRPr="00FC60F3">
              <w:rPr>
                <w:rFonts w:ascii="Arial" w:hAnsi="Arial" w:cs="Arial"/>
                <w:b/>
                <w:bCs/>
              </w:rPr>
              <w:t>Age of asthma onset</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4D823EF" w14:textId="77777777" w:rsidR="004024AF" w:rsidRPr="00FC60F3" w:rsidRDefault="004024AF" w:rsidP="005563C7">
            <w:pPr>
              <w:jc w:val="center"/>
              <w:rPr>
                <w:rFonts w:ascii="Arial" w:hAnsi="Arial" w:cs="Arial"/>
                <w:b/>
                <w:bCs/>
              </w:rPr>
            </w:pPr>
            <w:r w:rsidRPr="00FC60F3">
              <w:rPr>
                <w:rFonts w:ascii="Arial" w:hAnsi="Arial" w:cs="Arial"/>
                <w:b/>
                <w:bCs/>
              </w:rPr>
              <w:t>Frequency (n)</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2E77C0A" w14:textId="77777777" w:rsidR="004024AF" w:rsidRPr="00FC60F3" w:rsidRDefault="004024AF" w:rsidP="005563C7">
            <w:pPr>
              <w:jc w:val="center"/>
              <w:rPr>
                <w:rFonts w:ascii="Arial" w:hAnsi="Arial" w:cs="Arial"/>
                <w:b/>
                <w:bCs/>
              </w:rPr>
            </w:pPr>
            <w:r w:rsidRPr="00FC60F3">
              <w:rPr>
                <w:rFonts w:ascii="Arial" w:hAnsi="Arial" w:cs="Arial"/>
                <w:b/>
                <w:bCs/>
              </w:rPr>
              <w:t>Percentage (%)</w:t>
            </w:r>
          </w:p>
        </w:tc>
      </w:tr>
      <w:tr w:rsidR="004024AF" w:rsidRPr="00FC60F3" w14:paraId="38130DD3" w14:textId="77777777" w:rsidTr="005563C7">
        <w:trPr>
          <w:trHeight w:val="376"/>
        </w:trPr>
        <w:tc>
          <w:tcPr>
            <w:tcW w:w="3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4536BC" w14:textId="77777777" w:rsidR="004024AF" w:rsidRPr="00FC60F3" w:rsidRDefault="004024AF" w:rsidP="005563C7">
            <w:pPr>
              <w:jc w:val="center"/>
              <w:rPr>
                <w:rFonts w:ascii="Arial" w:hAnsi="Arial" w:cs="Arial"/>
              </w:rPr>
            </w:pPr>
            <w:r w:rsidRPr="00FC60F3">
              <w:rPr>
                <w:rFonts w:ascii="Arial" w:hAnsi="Arial" w:cs="Arial"/>
              </w:rPr>
              <w:t>&lt; 2 years</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51A530" w14:textId="77777777" w:rsidR="004024AF" w:rsidRPr="00FC60F3" w:rsidRDefault="004024AF" w:rsidP="005563C7">
            <w:pPr>
              <w:jc w:val="center"/>
              <w:rPr>
                <w:rFonts w:ascii="Arial" w:hAnsi="Arial" w:cs="Arial"/>
              </w:rPr>
            </w:pPr>
            <w:r w:rsidRPr="00FC60F3">
              <w:rPr>
                <w:rFonts w:ascii="Arial" w:hAnsi="Arial" w:cs="Arial"/>
              </w:rPr>
              <w:t>5</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23AE293" w14:textId="77777777" w:rsidR="004024AF" w:rsidRPr="00FC60F3" w:rsidRDefault="004024AF" w:rsidP="005563C7">
            <w:pPr>
              <w:jc w:val="center"/>
              <w:rPr>
                <w:rFonts w:ascii="Arial" w:hAnsi="Arial" w:cs="Arial"/>
              </w:rPr>
            </w:pPr>
            <w:r w:rsidRPr="00FC60F3">
              <w:rPr>
                <w:rFonts w:ascii="Arial" w:hAnsi="Arial" w:cs="Arial"/>
              </w:rPr>
              <w:t>8,5</w:t>
            </w:r>
          </w:p>
        </w:tc>
      </w:tr>
      <w:tr w:rsidR="004024AF" w:rsidRPr="00FC60F3" w14:paraId="4D7A01D3" w14:textId="77777777" w:rsidTr="005563C7">
        <w:tc>
          <w:tcPr>
            <w:tcW w:w="3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062B1F" w14:textId="77777777" w:rsidR="004024AF" w:rsidRPr="00FC60F3" w:rsidRDefault="004024AF" w:rsidP="005563C7">
            <w:pPr>
              <w:jc w:val="center"/>
              <w:rPr>
                <w:rFonts w:ascii="Arial" w:hAnsi="Arial" w:cs="Arial"/>
              </w:rPr>
            </w:pPr>
            <w:r w:rsidRPr="00FC60F3">
              <w:rPr>
                <w:rFonts w:ascii="Arial" w:hAnsi="Arial" w:cs="Arial"/>
              </w:rPr>
              <w:t>2-5 years</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DB12B70" w14:textId="77777777" w:rsidR="004024AF" w:rsidRPr="00FC60F3" w:rsidRDefault="004024AF" w:rsidP="005563C7">
            <w:pPr>
              <w:jc w:val="center"/>
              <w:rPr>
                <w:rFonts w:ascii="Arial" w:hAnsi="Arial" w:cs="Arial"/>
              </w:rPr>
            </w:pPr>
            <w:r w:rsidRPr="00FC60F3">
              <w:rPr>
                <w:rFonts w:ascii="Arial" w:hAnsi="Arial" w:cs="Arial"/>
              </w:rPr>
              <w:t>34</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0DC4618" w14:textId="77777777" w:rsidR="004024AF" w:rsidRPr="00FC60F3" w:rsidRDefault="004024AF" w:rsidP="005563C7">
            <w:pPr>
              <w:jc w:val="center"/>
              <w:rPr>
                <w:rFonts w:ascii="Arial" w:hAnsi="Arial" w:cs="Arial"/>
              </w:rPr>
            </w:pPr>
            <w:r w:rsidRPr="00FC60F3">
              <w:rPr>
                <w:rFonts w:ascii="Arial" w:hAnsi="Arial" w:cs="Arial"/>
              </w:rPr>
              <w:t>57,6</w:t>
            </w:r>
          </w:p>
        </w:tc>
      </w:tr>
      <w:tr w:rsidR="004024AF" w:rsidRPr="00FC60F3" w14:paraId="2DD0047B" w14:textId="77777777" w:rsidTr="005563C7">
        <w:tc>
          <w:tcPr>
            <w:tcW w:w="3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A4E646" w14:textId="77777777" w:rsidR="004024AF" w:rsidRPr="00FC60F3" w:rsidRDefault="004024AF" w:rsidP="005563C7">
            <w:pPr>
              <w:jc w:val="center"/>
              <w:rPr>
                <w:rFonts w:ascii="Arial" w:hAnsi="Arial" w:cs="Arial"/>
              </w:rPr>
            </w:pPr>
            <w:r w:rsidRPr="00FC60F3">
              <w:rPr>
                <w:rFonts w:ascii="Arial" w:hAnsi="Arial" w:cs="Arial"/>
              </w:rPr>
              <w:t>&gt; 5 years</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22F77A" w14:textId="77777777" w:rsidR="004024AF" w:rsidRPr="00FC60F3" w:rsidRDefault="004024AF" w:rsidP="005563C7">
            <w:pPr>
              <w:jc w:val="center"/>
              <w:rPr>
                <w:rFonts w:ascii="Arial" w:hAnsi="Arial" w:cs="Arial"/>
              </w:rPr>
            </w:pPr>
            <w:r w:rsidRPr="00FC60F3">
              <w:rPr>
                <w:rFonts w:ascii="Arial" w:hAnsi="Arial" w:cs="Arial"/>
              </w:rPr>
              <w:t>20</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7CDA51" w14:textId="77777777" w:rsidR="004024AF" w:rsidRPr="00FC60F3" w:rsidRDefault="004024AF" w:rsidP="005563C7">
            <w:pPr>
              <w:jc w:val="center"/>
              <w:rPr>
                <w:rFonts w:ascii="Arial" w:hAnsi="Arial" w:cs="Arial"/>
              </w:rPr>
            </w:pPr>
            <w:r w:rsidRPr="00FC60F3">
              <w:rPr>
                <w:rFonts w:ascii="Arial" w:hAnsi="Arial" w:cs="Arial"/>
              </w:rPr>
              <w:t>33,9</w:t>
            </w:r>
          </w:p>
        </w:tc>
      </w:tr>
      <w:tr w:rsidR="004024AF" w:rsidRPr="00FC60F3" w14:paraId="0B475FBD" w14:textId="77777777" w:rsidTr="005563C7">
        <w:tc>
          <w:tcPr>
            <w:tcW w:w="3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48BF39" w14:textId="77777777" w:rsidR="004024AF" w:rsidRPr="00FC60F3" w:rsidRDefault="004024AF" w:rsidP="005563C7">
            <w:pPr>
              <w:jc w:val="center"/>
              <w:rPr>
                <w:rFonts w:ascii="Arial" w:hAnsi="Arial" w:cs="Arial"/>
              </w:rPr>
            </w:pPr>
            <w:r w:rsidRPr="00FC60F3">
              <w:rPr>
                <w:rFonts w:ascii="Arial" w:hAnsi="Arial" w:cs="Arial"/>
                <w:b/>
                <w:bCs/>
              </w:rPr>
              <w:t>Total</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DCB933" w14:textId="77777777" w:rsidR="004024AF" w:rsidRPr="00FC60F3" w:rsidRDefault="004024AF" w:rsidP="005563C7">
            <w:pPr>
              <w:jc w:val="center"/>
              <w:rPr>
                <w:rFonts w:ascii="Arial" w:hAnsi="Arial" w:cs="Arial"/>
                <w:b/>
                <w:bCs/>
              </w:rPr>
            </w:pPr>
            <w:r w:rsidRPr="00FC60F3">
              <w:rPr>
                <w:rFonts w:ascii="Arial" w:hAnsi="Arial" w:cs="Arial"/>
                <w:b/>
                <w:bCs/>
              </w:rPr>
              <w:t>59</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BB9A04C" w14:textId="77777777" w:rsidR="004024AF" w:rsidRPr="00FC60F3" w:rsidRDefault="004024AF" w:rsidP="005563C7">
            <w:pPr>
              <w:jc w:val="center"/>
              <w:rPr>
                <w:rFonts w:ascii="Arial" w:hAnsi="Arial" w:cs="Arial"/>
                <w:b/>
                <w:bCs/>
              </w:rPr>
            </w:pPr>
            <w:r w:rsidRPr="00FC60F3">
              <w:rPr>
                <w:rFonts w:ascii="Arial" w:hAnsi="Arial" w:cs="Arial"/>
                <w:b/>
                <w:bCs/>
              </w:rPr>
              <w:t>100</w:t>
            </w:r>
          </w:p>
        </w:tc>
      </w:tr>
    </w:tbl>
    <w:p w14:paraId="4C308281" w14:textId="77777777" w:rsidR="004024AF" w:rsidRPr="00FC60F3" w:rsidRDefault="004024AF" w:rsidP="004024AF">
      <w:pPr>
        <w:ind w:firstLine="720"/>
        <w:jc w:val="both"/>
        <w:rPr>
          <w:rFonts w:ascii="Arial" w:hAnsi="Arial" w:cs="Arial"/>
        </w:rPr>
      </w:pPr>
      <w:r w:rsidRPr="00FC60F3">
        <w:rPr>
          <w:rFonts w:ascii="Arial" w:hAnsi="Arial" w:cs="Arial"/>
          <w:i/>
          <w:iCs/>
        </w:rPr>
        <w:t>Observation:</w:t>
      </w:r>
      <w:r w:rsidRPr="00FC60F3">
        <w:rPr>
          <w:rFonts w:ascii="Arial" w:hAnsi="Arial" w:cs="Arial"/>
        </w:rPr>
        <w:t xml:space="preserve"> Asthma onset most commonly occurred between the ages of 2-5 years (57.6%) and was least common in children under 2 years old (8.5%).</w:t>
      </w:r>
    </w:p>
    <w:p w14:paraId="7C0B70D4" w14:textId="77777777" w:rsidR="004024AF" w:rsidRPr="00FC60F3" w:rsidRDefault="004024AF" w:rsidP="004024AF">
      <w:pPr>
        <w:jc w:val="both"/>
        <w:rPr>
          <w:rFonts w:ascii="Arial" w:hAnsi="Arial" w:cs="Arial"/>
        </w:rPr>
      </w:pPr>
      <w:r w:rsidRPr="00FC60F3">
        <w:rPr>
          <w:rFonts w:ascii="Arial" w:hAnsi="Arial" w:cs="Arial"/>
        </w:rPr>
        <w:t xml:space="preserve">Table 2: Prevalence of elevated peripheral blood IL-6 levels in pediatric asthma patients </w:t>
      </w:r>
    </w:p>
    <w:tbl>
      <w:tblPr>
        <w:tblStyle w:val="TableGrid"/>
        <w:tblW w:w="0" w:type="auto"/>
        <w:tblLook w:val="04A0" w:firstRow="1" w:lastRow="0" w:firstColumn="1" w:lastColumn="0" w:noHBand="0" w:noVBand="1"/>
      </w:tblPr>
      <w:tblGrid>
        <w:gridCol w:w="3005"/>
        <w:gridCol w:w="3005"/>
        <w:gridCol w:w="3006"/>
      </w:tblGrid>
      <w:tr w:rsidR="004024AF" w:rsidRPr="00FC60F3" w14:paraId="5ACA5516" w14:textId="77777777" w:rsidTr="005563C7">
        <w:tc>
          <w:tcPr>
            <w:tcW w:w="3005" w:type="dxa"/>
            <w:vAlign w:val="center"/>
          </w:tcPr>
          <w:p w14:paraId="5DF474FE" w14:textId="77777777" w:rsidR="004024AF" w:rsidRPr="00FC60F3" w:rsidRDefault="004024AF" w:rsidP="005563C7">
            <w:pPr>
              <w:jc w:val="center"/>
              <w:rPr>
                <w:rFonts w:ascii="Arial" w:hAnsi="Arial" w:cs="Arial"/>
                <w:b/>
                <w:bCs/>
                <w:sz w:val="20"/>
                <w:szCs w:val="20"/>
              </w:rPr>
            </w:pPr>
            <w:r w:rsidRPr="00FC60F3">
              <w:rPr>
                <w:rFonts w:ascii="Arial" w:hAnsi="Arial" w:cs="Arial"/>
                <w:b/>
                <w:bCs/>
                <w:sz w:val="20"/>
                <w:szCs w:val="20"/>
              </w:rPr>
              <w:t>IL-6 Status</w:t>
            </w:r>
          </w:p>
        </w:tc>
        <w:tc>
          <w:tcPr>
            <w:tcW w:w="3005" w:type="dxa"/>
            <w:vAlign w:val="center"/>
          </w:tcPr>
          <w:p w14:paraId="06391768" w14:textId="77777777" w:rsidR="004024AF" w:rsidRPr="00FC60F3" w:rsidRDefault="004024AF" w:rsidP="005563C7">
            <w:pPr>
              <w:jc w:val="center"/>
              <w:rPr>
                <w:rFonts w:ascii="Arial" w:hAnsi="Arial" w:cs="Arial"/>
                <w:b/>
                <w:bCs/>
                <w:sz w:val="20"/>
                <w:szCs w:val="20"/>
              </w:rPr>
            </w:pPr>
            <w:r w:rsidRPr="00FC60F3">
              <w:rPr>
                <w:rFonts w:ascii="Arial" w:hAnsi="Arial" w:cs="Arial"/>
                <w:b/>
                <w:bCs/>
                <w:sz w:val="20"/>
                <w:szCs w:val="20"/>
              </w:rPr>
              <w:t>Frequency (n)</w:t>
            </w:r>
          </w:p>
        </w:tc>
        <w:tc>
          <w:tcPr>
            <w:tcW w:w="3006" w:type="dxa"/>
            <w:vAlign w:val="center"/>
          </w:tcPr>
          <w:p w14:paraId="5743B02B" w14:textId="77777777" w:rsidR="004024AF" w:rsidRPr="00FC60F3" w:rsidRDefault="004024AF" w:rsidP="005563C7">
            <w:pPr>
              <w:jc w:val="center"/>
              <w:rPr>
                <w:rFonts w:ascii="Arial" w:hAnsi="Arial" w:cs="Arial"/>
                <w:b/>
                <w:bCs/>
                <w:sz w:val="20"/>
                <w:szCs w:val="20"/>
              </w:rPr>
            </w:pPr>
            <w:r w:rsidRPr="00FC60F3">
              <w:rPr>
                <w:rFonts w:ascii="Arial" w:hAnsi="Arial" w:cs="Arial"/>
                <w:b/>
                <w:bCs/>
                <w:sz w:val="20"/>
                <w:szCs w:val="20"/>
              </w:rPr>
              <w:t>Percentage (%)</w:t>
            </w:r>
          </w:p>
        </w:tc>
      </w:tr>
      <w:tr w:rsidR="004024AF" w:rsidRPr="00FC60F3" w14:paraId="31FB0C3B" w14:textId="77777777" w:rsidTr="005563C7">
        <w:tc>
          <w:tcPr>
            <w:tcW w:w="3005" w:type="dxa"/>
            <w:vAlign w:val="center"/>
          </w:tcPr>
          <w:p w14:paraId="1F2F0350" w14:textId="77777777" w:rsidR="004024AF" w:rsidRPr="00FC60F3" w:rsidRDefault="004024AF" w:rsidP="005563C7">
            <w:pPr>
              <w:jc w:val="center"/>
              <w:rPr>
                <w:rFonts w:ascii="Arial" w:hAnsi="Arial" w:cs="Arial"/>
                <w:sz w:val="20"/>
                <w:szCs w:val="20"/>
              </w:rPr>
            </w:pPr>
            <w:r w:rsidRPr="00FC60F3">
              <w:rPr>
                <w:rFonts w:ascii="Arial" w:hAnsi="Arial" w:cs="Arial"/>
                <w:sz w:val="20"/>
                <w:szCs w:val="20"/>
              </w:rPr>
              <w:t>Elevated</w:t>
            </w:r>
          </w:p>
        </w:tc>
        <w:tc>
          <w:tcPr>
            <w:tcW w:w="3005" w:type="dxa"/>
            <w:vAlign w:val="center"/>
          </w:tcPr>
          <w:p w14:paraId="699ED120" w14:textId="77777777" w:rsidR="004024AF" w:rsidRPr="00FC60F3" w:rsidRDefault="004024AF" w:rsidP="005563C7">
            <w:pPr>
              <w:jc w:val="center"/>
              <w:rPr>
                <w:rFonts w:ascii="Arial" w:hAnsi="Arial" w:cs="Arial"/>
                <w:sz w:val="20"/>
                <w:szCs w:val="20"/>
              </w:rPr>
            </w:pPr>
            <w:r w:rsidRPr="00FC60F3">
              <w:rPr>
                <w:rFonts w:ascii="Arial" w:hAnsi="Arial" w:cs="Arial"/>
                <w:sz w:val="20"/>
                <w:szCs w:val="20"/>
              </w:rPr>
              <w:t>41</w:t>
            </w:r>
          </w:p>
        </w:tc>
        <w:tc>
          <w:tcPr>
            <w:tcW w:w="3006" w:type="dxa"/>
            <w:vAlign w:val="center"/>
          </w:tcPr>
          <w:p w14:paraId="0CC9BA41" w14:textId="77777777" w:rsidR="004024AF" w:rsidRPr="00FC60F3" w:rsidRDefault="004024AF" w:rsidP="005563C7">
            <w:pPr>
              <w:jc w:val="center"/>
              <w:rPr>
                <w:rFonts w:ascii="Arial" w:hAnsi="Arial" w:cs="Arial"/>
                <w:sz w:val="20"/>
                <w:szCs w:val="20"/>
              </w:rPr>
            </w:pPr>
            <w:r w:rsidRPr="00FC60F3">
              <w:rPr>
                <w:rFonts w:ascii="Arial" w:hAnsi="Arial" w:cs="Arial"/>
                <w:sz w:val="20"/>
                <w:szCs w:val="20"/>
              </w:rPr>
              <w:t>69,5</w:t>
            </w:r>
          </w:p>
        </w:tc>
      </w:tr>
      <w:tr w:rsidR="004024AF" w:rsidRPr="00FC60F3" w14:paraId="2B86B87F" w14:textId="77777777" w:rsidTr="005563C7">
        <w:tc>
          <w:tcPr>
            <w:tcW w:w="3005" w:type="dxa"/>
            <w:vAlign w:val="center"/>
          </w:tcPr>
          <w:p w14:paraId="07110B41" w14:textId="77777777" w:rsidR="004024AF" w:rsidRPr="00FC60F3" w:rsidRDefault="004024AF" w:rsidP="005563C7">
            <w:pPr>
              <w:jc w:val="center"/>
              <w:rPr>
                <w:rFonts w:ascii="Arial" w:hAnsi="Arial" w:cs="Arial"/>
                <w:sz w:val="20"/>
                <w:szCs w:val="20"/>
              </w:rPr>
            </w:pPr>
            <w:r w:rsidRPr="00FC60F3">
              <w:rPr>
                <w:rFonts w:ascii="Arial" w:hAnsi="Arial" w:cs="Arial"/>
                <w:sz w:val="20"/>
                <w:szCs w:val="20"/>
              </w:rPr>
              <w:t>Not elevated</w:t>
            </w:r>
          </w:p>
        </w:tc>
        <w:tc>
          <w:tcPr>
            <w:tcW w:w="3005" w:type="dxa"/>
            <w:vAlign w:val="center"/>
          </w:tcPr>
          <w:p w14:paraId="33E96B98" w14:textId="77777777" w:rsidR="004024AF" w:rsidRPr="00FC60F3" w:rsidRDefault="004024AF" w:rsidP="005563C7">
            <w:pPr>
              <w:jc w:val="center"/>
              <w:rPr>
                <w:rFonts w:ascii="Arial" w:hAnsi="Arial" w:cs="Arial"/>
                <w:sz w:val="20"/>
                <w:szCs w:val="20"/>
              </w:rPr>
            </w:pPr>
            <w:r w:rsidRPr="00FC60F3">
              <w:rPr>
                <w:rFonts w:ascii="Arial" w:hAnsi="Arial" w:cs="Arial"/>
                <w:sz w:val="20"/>
                <w:szCs w:val="20"/>
              </w:rPr>
              <w:t>18</w:t>
            </w:r>
          </w:p>
        </w:tc>
        <w:tc>
          <w:tcPr>
            <w:tcW w:w="3006" w:type="dxa"/>
            <w:vAlign w:val="center"/>
          </w:tcPr>
          <w:p w14:paraId="1CD17BCA" w14:textId="77777777" w:rsidR="004024AF" w:rsidRPr="00FC60F3" w:rsidRDefault="004024AF" w:rsidP="005563C7">
            <w:pPr>
              <w:jc w:val="center"/>
              <w:rPr>
                <w:rFonts w:ascii="Arial" w:hAnsi="Arial" w:cs="Arial"/>
                <w:sz w:val="20"/>
                <w:szCs w:val="20"/>
              </w:rPr>
            </w:pPr>
            <w:r w:rsidRPr="00FC60F3">
              <w:rPr>
                <w:rFonts w:ascii="Arial" w:hAnsi="Arial" w:cs="Arial"/>
                <w:sz w:val="20"/>
                <w:szCs w:val="20"/>
              </w:rPr>
              <w:t>30,5</w:t>
            </w:r>
          </w:p>
        </w:tc>
      </w:tr>
      <w:tr w:rsidR="004024AF" w:rsidRPr="00FC60F3" w14:paraId="1FC7A13A" w14:textId="77777777" w:rsidTr="005563C7">
        <w:tc>
          <w:tcPr>
            <w:tcW w:w="3005" w:type="dxa"/>
            <w:vAlign w:val="center"/>
          </w:tcPr>
          <w:p w14:paraId="6A6097E2" w14:textId="77777777" w:rsidR="004024AF" w:rsidRPr="00FC60F3" w:rsidRDefault="004024AF" w:rsidP="005563C7">
            <w:pPr>
              <w:jc w:val="center"/>
              <w:rPr>
                <w:rFonts w:ascii="Arial" w:hAnsi="Arial" w:cs="Arial"/>
                <w:sz w:val="20"/>
                <w:szCs w:val="20"/>
              </w:rPr>
            </w:pPr>
            <w:r w:rsidRPr="00FC60F3">
              <w:rPr>
                <w:rFonts w:ascii="Arial" w:hAnsi="Arial" w:cs="Arial"/>
                <w:b/>
                <w:bCs/>
                <w:sz w:val="20"/>
                <w:szCs w:val="20"/>
              </w:rPr>
              <w:t>Total</w:t>
            </w:r>
          </w:p>
        </w:tc>
        <w:tc>
          <w:tcPr>
            <w:tcW w:w="3005" w:type="dxa"/>
            <w:vAlign w:val="center"/>
          </w:tcPr>
          <w:p w14:paraId="16AF9857" w14:textId="77777777" w:rsidR="004024AF" w:rsidRPr="00FC60F3" w:rsidRDefault="004024AF" w:rsidP="005563C7">
            <w:pPr>
              <w:jc w:val="center"/>
              <w:rPr>
                <w:rFonts w:ascii="Arial" w:hAnsi="Arial" w:cs="Arial"/>
                <w:b/>
                <w:bCs/>
                <w:sz w:val="20"/>
                <w:szCs w:val="20"/>
              </w:rPr>
            </w:pPr>
            <w:r w:rsidRPr="00FC60F3">
              <w:rPr>
                <w:rFonts w:ascii="Arial" w:hAnsi="Arial" w:cs="Arial"/>
                <w:b/>
                <w:bCs/>
                <w:sz w:val="20"/>
                <w:szCs w:val="20"/>
              </w:rPr>
              <w:t>51</w:t>
            </w:r>
          </w:p>
        </w:tc>
        <w:tc>
          <w:tcPr>
            <w:tcW w:w="3006" w:type="dxa"/>
            <w:vAlign w:val="center"/>
          </w:tcPr>
          <w:p w14:paraId="6973EFE9" w14:textId="77777777" w:rsidR="004024AF" w:rsidRPr="00FC60F3" w:rsidRDefault="004024AF" w:rsidP="005563C7">
            <w:pPr>
              <w:jc w:val="center"/>
              <w:rPr>
                <w:rFonts w:ascii="Arial" w:hAnsi="Arial" w:cs="Arial"/>
                <w:b/>
                <w:bCs/>
                <w:sz w:val="20"/>
                <w:szCs w:val="20"/>
              </w:rPr>
            </w:pPr>
            <w:r w:rsidRPr="00FC60F3">
              <w:rPr>
                <w:rFonts w:ascii="Arial" w:hAnsi="Arial" w:cs="Arial"/>
                <w:b/>
                <w:bCs/>
                <w:sz w:val="20"/>
                <w:szCs w:val="20"/>
              </w:rPr>
              <w:t>100</w:t>
            </w:r>
          </w:p>
        </w:tc>
      </w:tr>
    </w:tbl>
    <w:p w14:paraId="4880F0E8" w14:textId="77777777" w:rsidR="004024AF" w:rsidRPr="00FC60F3" w:rsidRDefault="004024AF" w:rsidP="004024AF">
      <w:pPr>
        <w:ind w:firstLine="720"/>
        <w:jc w:val="both"/>
        <w:rPr>
          <w:rFonts w:ascii="Arial" w:hAnsi="Arial" w:cs="Arial"/>
        </w:rPr>
      </w:pPr>
      <w:r w:rsidRPr="00FC60F3">
        <w:rPr>
          <w:rFonts w:ascii="Arial" w:hAnsi="Arial" w:cs="Arial"/>
          <w:i/>
          <w:iCs/>
        </w:rPr>
        <w:t>Observation:</w:t>
      </w:r>
      <w:r w:rsidRPr="00FC60F3">
        <w:rPr>
          <w:rFonts w:ascii="Arial" w:hAnsi="Arial" w:cs="Arial"/>
        </w:rPr>
        <w:t xml:space="preserve"> The majority of pediatric asthma patients had elevated peripheral blood IL-6 levels (69.5%).</w:t>
      </w:r>
    </w:p>
    <w:p w14:paraId="15A6CF06" w14:textId="77777777" w:rsidR="004024AF" w:rsidRPr="00FC60F3" w:rsidRDefault="004024AF" w:rsidP="004024AF">
      <w:pPr>
        <w:rPr>
          <w:rFonts w:ascii="Arial" w:hAnsi="Arial" w:cs="Arial"/>
          <w:sz w:val="22"/>
          <w:szCs w:val="22"/>
        </w:rPr>
      </w:pPr>
      <w:r w:rsidRPr="00FC60F3">
        <w:rPr>
          <w:rFonts w:ascii="Arial" w:hAnsi="Arial" w:cs="Arial"/>
          <w:b/>
          <w:bCs/>
          <w:sz w:val="22"/>
          <w:szCs w:val="22"/>
        </w:rPr>
        <w:lastRenderedPageBreak/>
        <w:t>3.2. Association between elevated IL-6 levels and nutritional status</w:t>
      </w:r>
    </w:p>
    <w:p w14:paraId="3B60CB62" w14:textId="77777777" w:rsidR="004024AF" w:rsidRPr="00FC60F3" w:rsidRDefault="004024AF" w:rsidP="004024AF">
      <w:pPr>
        <w:jc w:val="both"/>
        <w:rPr>
          <w:rFonts w:ascii="Arial" w:hAnsi="Arial" w:cs="Arial"/>
        </w:rPr>
      </w:pPr>
      <w:r w:rsidRPr="00FC60F3">
        <w:rPr>
          <w:rFonts w:ascii="Arial" w:hAnsi="Arial" w:cs="Arial"/>
        </w:rPr>
        <w:t>Table 3: Association between elevated IL-6 levels and nutritional status</w:t>
      </w:r>
    </w:p>
    <w:tbl>
      <w:tblPr>
        <w:tblStyle w:val="TableGrid"/>
        <w:tblW w:w="0" w:type="auto"/>
        <w:tblLook w:val="04A0" w:firstRow="1" w:lastRow="0" w:firstColumn="1" w:lastColumn="0" w:noHBand="0" w:noVBand="1"/>
      </w:tblPr>
      <w:tblGrid>
        <w:gridCol w:w="2830"/>
        <w:gridCol w:w="1843"/>
        <w:gridCol w:w="2410"/>
        <w:gridCol w:w="1701"/>
      </w:tblGrid>
      <w:tr w:rsidR="004024AF" w:rsidRPr="00FC60F3" w14:paraId="596E97EC" w14:textId="77777777" w:rsidTr="005563C7">
        <w:trPr>
          <w:trHeight w:val="1176"/>
        </w:trPr>
        <w:tc>
          <w:tcPr>
            <w:tcW w:w="2830" w:type="dxa"/>
            <w:tcBorders>
              <w:tl2br w:val="single" w:sz="4" w:space="0" w:color="auto"/>
            </w:tcBorders>
            <w:vAlign w:val="center"/>
          </w:tcPr>
          <w:p w14:paraId="0B673CE8" w14:textId="77777777" w:rsidR="004024AF" w:rsidRPr="00FC60F3" w:rsidRDefault="004024AF" w:rsidP="005563C7">
            <w:pPr>
              <w:jc w:val="center"/>
              <w:rPr>
                <w:rFonts w:ascii="Arial" w:hAnsi="Arial" w:cs="Arial"/>
                <w:b/>
                <w:bCs/>
                <w:sz w:val="20"/>
                <w:szCs w:val="20"/>
              </w:rPr>
            </w:pPr>
            <w:r w:rsidRPr="00FC60F3">
              <w:rPr>
                <w:rFonts w:ascii="Arial" w:hAnsi="Arial" w:cs="Arial"/>
                <w:b/>
                <w:bCs/>
                <w:sz w:val="20"/>
                <w:szCs w:val="20"/>
              </w:rPr>
              <w:t>IL-6</w:t>
            </w:r>
          </w:p>
          <w:p w14:paraId="12983CA4" w14:textId="77777777" w:rsidR="004024AF" w:rsidRPr="00FC60F3" w:rsidRDefault="004024AF" w:rsidP="005563C7">
            <w:pPr>
              <w:jc w:val="center"/>
              <w:rPr>
                <w:rFonts w:ascii="Arial" w:hAnsi="Arial" w:cs="Arial"/>
                <w:b/>
                <w:bCs/>
                <w:sz w:val="20"/>
                <w:szCs w:val="20"/>
              </w:rPr>
            </w:pPr>
          </w:p>
          <w:p w14:paraId="755B276E" w14:textId="77777777" w:rsidR="004024AF" w:rsidRPr="00FC60F3" w:rsidRDefault="004024AF" w:rsidP="005563C7">
            <w:pPr>
              <w:jc w:val="center"/>
              <w:rPr>
                <w:rFonts w:ascii="Arial" w:hAnsi="Arial" w:cs="Arial"/>
                <w:b/>
                <w:bCs/>
                <w:sz w:val="20"/>
                <w:szCs w:val="20"/>
              </w:rPr>
            </w:pPr>
          </w:p>
          <w:p w14:paraId="4504AE95" w14:textId="77777777" w:rsidR="004024AF" w:rsidRPr="00FC60F3" w:rsidRDefault="004024AF" w:rsidP="005563C7">
            <w:pPr>
              <w:jc w:val="center"/>
              <w:rPr>
                <w:rFonts w:ascii="Arial" w:hAnsi="Arial" w:cs="Arial"/>
                <w:b/>
                <w:bCs/>
                <w:sz w:val="20"/>
                <w:szCs w:val="20"/>
              </w:rPr>
            </w:pPr>
            <w:r w:rsidRPr="00FC60F3">
              <w:rPr>
                <w:rFonts w:ascii="Arial" w:hAnsi="Arial" w:cs="Arial"/>
                <w:b/>
                <w:bCs/>
                <w:sz w:val="20"/>
                <w:szCs w:val="20"/>
              </w:rPr>
              <w:t>BMI Classification</w:t>
            </w:r>
          </w:p>
        </w:tc>
        <w:tc>
          <w:tcPr>
            <w:tcW w:w="1843" w:type="dxa"/>
            <w:vAlign w:val="center"/>
          </w:tcPr>
          <w:p w14:paraId="5FAA5B46" w14:textId="77777777" w:rsidR="004024AF" w:rsidRPr="00FC60F3" w:rsidRDefault="004024AF" w:rsidP="005563C7">
            <w:pPr>
              <w:jc w:val="center"/>
              <w:rPr>
                <w:rFonts w:ascii="Arial" w:hAnsi="Arial" w:cs="Arial"/>
                <w:b/>
                <w:bCs/>
                <w:sz w:val="20"/>
                <w:szCs w:val="20"/>
              </w:rPr>
            </w:pPr>
            <w:r w:rsidRPr="00FC60F3">
              <w:rPr>
                <w:rFonts w:ascii="Arial" w:hAnsi="Arial" w:cs="Arial"/>
                <w:b/>
                <w:bCs/>
                <w:sz w:val="20"/>
                <w:szCs w:val="20"/>
              </w:rPr>
              <w:t>Elevated</w:t>
            </w:r>
          </w:p>
        </w:tc>
        <w:tc>
          <w:tcPr>
            <w:tcW w:w="2410" w:type="dxa"/>
            <w:vAlign w:val="center"/>
          </w:tcPr>
          <w:p w14:paraId="257C81C5" w14:textId="77777777" w:rsidR="004024AF" w:rsidRPr="00FC60F3" w:rsidRDefault="004024AF" w:rsidP="005563C7">
            <w:pPr>
              <w:jc w:val="center"/>
              <w:rPr>
                <w:rFonts w:ascii="Arial" w:hAnsi="Arial" w:cs="Arial"/>
                <w:b/>
                <w:bCs/>
                <w:sz w:val="20"/>
                <w:szCs w:val="20"/>
              </w:rPr>
            </w:pPr>
            <w:r w:rsidRPr="00FC60F3">
              <w:rPr>
                <w:rFonts w:ascii="Arial" w:hAnsi="Arial" w:cs="Arial"/>
                <w:b/>
                <w:bCs/>
                <w:sz w:val="20"/>
                <w:szCs w:val="20"/>
              </w:rPr>
              <w:t>Not Elevated</w:t>
            </w:r>
          </w:p>
        </w:tc>
        <w:tc>
          <w:tcPr>
            <w:tcW w:w="1701" w:type="dxa"/>
            <w:vAlign w:val="center"/>
          </w:tcPr>
          <w:p w14:paraId="348B2747" w14:textId="77777777" w:rsidR="004024AF" w:rsidRPr="00FC60F3" w:rsidRDefault="004024AF" w:rsidP="005563C7">
            <w:pPr>
              <w:jc w:val="center"/>
              <w:rPr>
                <w:rFonts w:ascii="Arial" w:hAnsi="Arial" w:cs="Arial"/>
                <w:b/>
                <w:bCs/>
                <w:sz w:val="20"/>
                <w:szCs w:val="20"/>
              </w:rPr>
            </w:pPr>
            <w:r w:rsidRPr="00FC60F3">
              <w:rPr>
                <w:rFonts w:ascii="Arial" w:hAnsi="Arial" w:cs="Arial"/>
                <w:b/>
                <w:bCs/>
                <w:sz w:val="20"/>
                <w:szCs w:val="20"/>
              </w:rPr>
              <w:t>p-value</w:t>
            </w:r>
          </w:p>
        </w:tc>
      </w:tr>
      <w:tr w:rsidR="004024AF" w:rsidRPr="00FC60F3" w14:paraId="1F1F3B25" w14:textId="77777777" w:rsidTr="005563C7">
        <w:tc>
          <w:tcPr>
            <w:tcW w:w="2830" w:type="dxa"/>
            <w:vAlign w:val="center"/>
          </w:tcPr>
          <w:p w14:paraId="02C71D5E" w14:textId="77777777" w:rsidR="004024AF" w:rsidRPr="00FC60F3" w:rsidRDefault="004024AF" w:rsidP="005563C7">
            <w:pPr>
              <w:jc w:val="center"/>
              <w:rPr>
                <w:rFonts w:ascii="Arial" w:hAnsi="Arial" w:cs="Arial"/>
                <w:sz w:val="20"/>
                <w:szCs w:val="20"/>
              </w:rPr>
            </w:pPr>
            <w:r w:rsidRPr="00FC60F3">
              <w:rPr>
                <w:rFonts w:ascii="Arial" w:hAnsi="Arial" w:cs="Arial"/>
                <w:sz w:val="20"/>
                <w:szCs w:val="20"/>
              </w:rPr>
              <w:t>Underweight</w:t>
            </w:r>
          </w:p>
        </w:tc>
        <w:tc>
          <w:tcPr>
            <w:tcW w:w="1843" w:type="dxa"/>
            <w:vAlign w:val="center"/>
          </w:tcPr>
          <w:p w14:paraId="2BBE5074" w14:textId="77777777" w:rsidR="004024AF" w:rsidRPr="00FC60F3" w:rsidRDefault="004024AF" w:rsidP="005563C7">
            <w:pPr>
              <w:jc w:val="center"/>
              <w:rPr>
                <w:rFonts w:ascii="Arial" w:hAnsi="Arial" w:cs="Arial"/>
                <w:sz w:val="20"/>
                <w:szCs w:val="20"/>
              </w:rPr>
            </w:pPr>
            <w:r w:rsidRPr="00FC60F3">
              <w:rPr>
                <w:rFonts w:ascii="Arial" w:hAnsi="Arial" w:cs="Arial"/>
                <w:sz w:val="20"/>
                <w:szCs w:val="20"/>
              </w:rPr>
              <w:t>2 (3,4%)</w:t>
            </w:r>
          </w:p>
        </w:tc>
        <w:tc>
          <w:tcPr>
            <w:tcW w:w="2410" w:type="dxa"/>
            <w:vAlign w:val="center"/>
          </w:tcPr>
          <w:p w14:paraId="3F21398D" w14:textId="77777777" w:rsidR="004024AF" w:rsidRPr="00FC60F3" w:rsidRDefault="004024AF" w:rsidP="005563C7">
            <w:pPr>
              <w:jc w:val="center"/>
              <w:rPr>
                <w:rFonts w:ascii="Arial" w:hAnsi="Arial" w:cs="Arial"/>
                <w:sz w:val="20"/>
                <w:szCs w:val="20"/>
              </w:rPr>
            </w:pPr>
            <w:r w:rsidRPr="00FC60F3">
              <w:rPr>
                <w:rFonts w:ascii="Arial" w:hAnsi="Arial" w:cs="Arial"/>
                <w:sz w:val="20"/>
                <w:szCs w:val="20"/>
              </w:rPr>
              <w:t>2 (3,4%)</w:t>
            </w:r>
          </w:p>
        </w:tc>
        <w:tc>
          <w:tcPr>
            <w:tcW w:w="1701" w:type="dxa"/>
            <w:vMerge w:val="restart"/>
            <w:vAlign w:val="center"/>
          </w:tcPr>
          <w:p w14:paraId="78A9A4AB" w14:textId="77777777" w:rsidR="004024AF" w:rsidRPr="00FC60F3" w:rsidRDefault="004024AF" w:rsidP="005563C7">
            <w:pPr>
              <w:jc w:val="center"/>
              <w:rPr>
                <w:rFonts w:ascii="Arial" w:hAnsi="Arial" w:cs="Arial"/>
                <w:b/>
                <w:bCs/>
                <w:sz w:val="20"/>
                <w:szCs w:val="20"/>
              </w:rPr>
            </w:pPr>
            <w:r w:rsidRPr="00FC60F3">
              <w:rPr>
                <w:rFonts w:ascii="Arial" w:hAnsi="Arial" w:cs="Arial"/>
                <w:b/>
                <w:bCs/>
                <w:sz w:val="20"/>
                <w:szCs w:val="20"/>
              </w:rPr>
              <w:t>0,021</w:t>
            </w:r>
          </w:p>
        </w:tc>
      </w:tr>
      <w:tr w:rsidR="004024AF" w:rsidRPr="00FC60F3" w14:paraId="04B1D113" w14:textId="77777777" w:rsidTr="005563C7">
        <w:tc>
          <w:tcPr>
            <w:tcW w:w="2830" w:type="dxa"/>
            <w:vAlign w:val="center"/>
          </w:tcPr>
          <w:p w14:paraId="0C2CBA35" w14:textId="77777777" w:rsidR="004024AF" w:rsidRPr="00FC60F3" w:rsidRDefault="004024AF" w:rsidP="005563C7">
            <w:pPr>
              <w:jc w:val="center"/>
              <w:rPr>
                <w:rFonts w:ascii="Arial" w:hAnsi="Arial" w:cs="Arial"/>
                <w:sz w:val="20"/>
                <w:szCs w:val="20"/>
              </w:rPr>
            </w:pPr>
            <w:r w:rsidRPr="00FC60F3">
              <w:rPr>
                <w:rFonts w:ascii="Arial" w:hAnsi="Arial" w:cs="Arial"/>
                <w:sz w:val="20"/>
                <w:szCs w:val="20"/>
              </w:rPr>
              <w:t>Normal weight</w:t>
            </w:r>
          </w:p>
        </w:tc>
        <w:tc>
          <w:tcPr>
            <w:tcW w:w="1843" w:type="dxa"/>
            <w:vAlign w:val="center"/>
          </w:tcPr>
          <w:p w14:paraId="2AF04CD6" w14:textId="77777777" w:rsidR="004024AF" w:rsidRPr="00FC60F3" w:rsidRDefault="004024AF" w:rsidP="005563C7">
            <w:pPr>
              <w:jc w:val="center"/>
              <w:rPr>
                <w:rFonts w:ascii="Arial" w:hAnsi="Arial" w:cs="Arial"/>
                <w:sz w:val="20"/>
                <w:szCs w:val="20"/>
              </w:rPr>
            </w:pPr>
            <w:r w:rsidRPr="00FC60F3">
              <w:rPr>
                <w:rFonts w:ascii="Arial" w:hAnsi="Arial" w:cs="Arial"/>
                <w:sz w:val="20"/>
                <w:szCs w:val="20"/>
              </w:rPr>
              <w:t>22 (37,3%)</w:t>
            </w:r>
          </w:p>
        </w:tc>
        <w:tc>
          <w:tcPr>
            <w:tcW w:w="2410" w:type="dxa"/>
            <w:vAlign w:val="center"/>
          </w:tcPr>
          <w:p w14:paraId="5FC06F74" w14:textId="77777777" w:rsidR="004024AF" w:rsidRPr="00FC60F3" w:rsidRDefault="004024AF" w:rsidP="005563C7">
            <w:pPr>
              <w:jc w:val="center"/>
              <w:rPr>
                <w:rFonts w:ascii="Arial" w:hAnsi="Arial" w:cs="Arial"/>
                <w:sz w:val="20"/>
                <w:szCs w:val="20"/>
              </w:rPr>
            </w:pPr>
            <w:r w:rsidRPr="00FC60F3">
              <w:rPr>
                <w:rFonts w:ascii="Arial" w:hAnsi="Arial" w:cs="Arial"/>
                <w:sz w:val="20"/>
                <w:szCs w:val="20"/>
              </w:rPr>
              <w:t>15 (25,4%)</w:t>
            </w:r>
          </w:p>
        </w:tc>
        <w:tc>
          <w:tcPr>
            <w:tcW w:w="1701" w:type="dxa"/>
            <w:vMerge/>
            <w:vAlign w:val="center"/>
          </w:tcPr>
          <w:p w14:paraId="74809A71" w14:textId="77777777" w:rsidR="004024AF" w:rsidRPr="00FC60F3" w:rsidRDefault="004024AF" w:rsidP="005563C7">
            <w:pPr>
              <w:jc w:val="center"/>
              <w:rPr>
                <w:rFonts w:ascii="Arial" w:hAnsi="Arial" w:cs="Arial"/>
                <w:sz w:val="20"/>
                <w:szCs w:val="20"/>
              </w:rPr>
            </w:pPr>
          </w:p>
        </w:tc>
      </w:tr>
      <w:tr w:rsidR="004024AF" w:rsidRPr="00FC60F3" w14:paraId="62FB9DC2" w14:textId="77777777" w:rsidTr="005563C7">
        <w:tc>
          <w:tcPr>
            <w:tcW w:w="2830" w:type="dxa"/>
            <w:vAlign w:val="center"/>
          </w:tcPr>
          <w:p w14:paraId="34AE684C" w14:textId="77777777" w:rsidR="004024AF" w:rsidRPr="00FC60F3" w:rsidRDefault="004024AF" w:rsidP="005563C7">
            <w:pPr>
              <w:jc w:val="center"/>
              <w:rPr>
                <w:rFonts w:ascii="Arial" w:hAnsi="Arial" w:cs="Arial"/>
                <w:sz w:val="20"/>
                <w:szCs w:val="20"/>
              </w:rPr>
            </w:pPr>
            <w:r w:rsidRPr="00FC60F3">
              <w:rPr>
                <w:rFonts w:ascii="Arial" w:hAnsi="Arial" w:cs="Arial"/>
                <w:sz w:val="20"/>
                <w:szCs w:val="20"/>
              </w:rPr>
              <w:t>Overweight/Obese</w:t>
            </w:r>
          </w:p>
        </w:tc>
        <w:tc>
          <w:tcPr>
            <w:tcW w:w="1843" w:type="dxa"/>
            <w:vAlign w:val="center"/>
          </w:tcPr>
          <w:p w14:paraId="21E3ED66" w14:textId="77777777" w:rsidR="004024AF" w:rsidRPr="00FC60F3" w:rsidRDefault="004024AF" w:rsidP="005563C7">
            <w:pPr>
              <w:jc w:val="center"/>
              <w:rPr>
                <w:rFonts w:ascii="Arial" w:hAnsi="Arial" w:cs="Arial"/>
                <w:sz w:val="20"/>
                <w:szCs w:val="20"/>
              </w:rPr>
            </w:pPr>
            <w:r w:rsidRPr="00FC60F3">
              <w:rPr>
                <w:rFonts w:ascii="Arial" w:hAnsi="Arial" w:cs="Arial"/>
                <w:sz w:val="20"/>
                <w:szCs w:val="20"/>
              </w:rPr>
              <w:t>17 (38,8%)</w:t>
            </w:r>
          </w:p>
        </w:tc>
        <w:tc>
          <w:tcPr>
            <w:tcW w:w="2410" w:type="dxa"/>
            <w:vAlign w:val="center"/>
          </w:tcPr>
          <w:p w14:paraId="401727F7" w14:textId="77777777" w:rsidR="004024AF" w:rsidRPr="00FC60F3" w:rsidRDefault="004024AF" w:rsidP="005563C7">
            <w:pPr>
              <w:jc w:val="center"/>
              <w:rPr>
                <w:rFonts w:ascii="Arial" w:hAnsi="Arial" w:cs="Arial"/>
                <w:sz w:val="20"/>
                <w:szCs w:val="20"/>
              </w:rPr>
            </w:pPr>
            <w:r w:rsidRPr="00FC60F3">
              <w:rPr>
                <w:rFonts w:ascii="Arial" w:hAnsi="Arial" w:cs="Arial"/>
                <w:sz w:val="20"/>
                <w:szCs w:val="20"/>
              </w:rPr>
              <w:t>1 (1,7%)</w:t>
            </w:r>
          </w:p>
        </w:tc>
        <w:tc>
          <w:tcPr>
            <w:tcW w:w="1701" w:type="dxa"/>
            <w:vMerge/>
            <w:vAlign w:val="center"/>
          </w:tcPr>
          <w:p w14:paraId="5364F443" w14:textId="77777777" w:rsidR="004024AF" w:rsidRPr="00FC60F3" w:rsidRDefault="004024AF" w:rsidP="005563C7">
            <w:pPr>
              <w:jc w:val="center"/>
              <w:rPr>
                <w:rFonts w:ascii="Arial" w:hAnsi="Arial" w:cs="Arial"/>
                <w:sz w:val="20"/>
                <w:szCs w:val="20"/>
              </w:rPr>
            </w:pPr>
          </w:p>
        </w:tc>
      </w:tr>
      <w:tr w:rsidR="004024AF" w:rsidRPr="00FC60F3" w14:paraId="688A14A5" w14:textId="77777777" w:rsidTr="005563C7">
        <w:tc>
          <w:tcPr>
            <w:tcW w:w="2830" w:type="dxa"/>
            <w:vAlign w:val="center"/>
          </w:tcPr>
          <w:p w14:paraId="69DFF922" w14:textId="77777777" w:rsidR="004024AF" w:rsidRPr="00FC60F3" w:rsidRDefault="004024AF" w:rsidP="005563C7">
            <w:pPr>
              <w:jc w:val="center"/>
              <w:rPr>
                <w:rFonts w:ascii="Arial" w:hAnsi="Arial" w:cs="Arial"/>
                <w:b/>
                <w:bCs/>
                <w:sz w:val="20"/>
                <w:szCs w:val="20"/>
              </w:rPr>
            </w:pPr>
            <w:r w:rsidRPr="00FC60F3">
              <w:rPr>
                <w:rFonts w:ascii="Arial" w:hAnsi="Arial" w:cs="Arial"/>
                <w:b/>
                <w:bCs/>
                <w:sz w:val="20"/>
                <w:szCs w:val="20"/>
              </w:rPr>
              <w:t>Total</w:t>
            </w:r>
          </w:p>
        </w:tc>
        <w:tc>
          <w:tcPr>
            <w:tcW w:w="1843" w:type="dxa"/>
            <w:vAlign w:val="center"/>
          </w:tcPr>
          <w:p w14:paraId="50658F80" w14:textId="77777777" w:rsidR="004024AF" w:rsidRPr="00FC60F3" w:rsidRDefault="004024AF" w:rsidP="005563C7">
            <w:pPr>
              <w:jc w:val="center"/>
              <w:rPr>
                <w:rFonts w:ascii="Arial" w:hAnsi="Arial" w:cs="Arial"/>
                <w:b/>
                <w:bCs/>
                <w:sz w:val="20"/>
                <w:szCs w:val="20"/>
              </w:rPr>
            </w:pPr>
            <w:r w:rsidRPr="00FC60F3">
              <w:rPr>
                <w:rFonts w:ascii="Arial" w:hAnsi="Arial" w:cs="Arial"/>
                <w:b/>
                <w:bCs/>
                <w:sz w:val="20"/>
                <w:szCs w:val="20"/>
              </w:rPr>
              <w:t>41 (69,5%)</w:t>
            </w:r>
          </w:p>
        </w:tc>
        <w:tc>
          <w:tcPr>
            <w:tcW w:w="2410" w:type="dxa"/>
            <w:vAlign w:val="center"/>
          </w:tcPr>
          <w:p w14:paraId="633F0EE5" w14:textId="77777777" w:rsidR="004024AF" w:rsidRPr="00FC60F3" w:rsidRDefault="004024AF" w:rsidP="005563C7">
            <w:pPr>
              <w:jc w:val="center"/>
              <w:rPr>
                <w:rFonts w:ascii="Arial" w:hAnsi="Arial" w:cs="Arial"/>
                <w:b/>
                <w:bCs/>
                <w:sz w:val="20"/>
                <w:szCs w:val="20"/>
              </w:rPr>
            </w:pPr>
            <w:r w:rsidRPr="00FC60F3">
              <w:rPr>
                <w:rFonts w:ascii="Arial" w:hAnsi="Arial" w:cs="Arial"/>
                <w:b/>
                <w:bCs/>
                <w:sz w:val="20"/>
                <w:szCs w:val="20"/>
              </w:rPr>
              <w:t>18 (30,5%)</w:t>
            </w:r>
          </w:p>
        </w:tc>
        <w:tc>
          <w:tcPr>
            <w:tcW w:w="1701" w:type="dxa"/>
            <w:vMerge/>
            <w:vAlign w:val="center"/>
          </w:tcPr>
          <w:p w14:paraId="052B4887" w14:textId="77777777" w:rsidR="004024AF" w:rsidRPr="00FC60F3" w:rsidRDefault="004024AF" w:rsidP="005563C7">
            <w:pPr>
              <w:jc w:val="center"/>
              <w:rPr>
                <w:rFonts w:ascii="Arial" w:hAnsi="Arial" w:cs="Arial"/>
                <w:b/>
                <w:bCs/>
                <w:sz w:val="20"/>
                <w:szCs w:val="20"/>
              </w:rPr>
            </w:pPr>
          </w:p>
        </w:tc>
      </w:tr>
    </w:tbl>
    <w:p w14:paraId="1446E139" w14:textId="77777777" w:rsidR="004024AF" w:rsidRPr="00FC60F3" w:rsidRDefault="004024AF" w:rsidP="004024AF">
      <w:pPr>
        <w:ind w:firstLine="720"/>
        <w:jc w:val="both"/>
        <w:rPr>
          <w:rFonts w:ascii="Arial" w:hAnsi="Arial" w:cs="Arial"/>
        </w:rPr>
      </w:pPr>
      <w:r w:rsidRPr="00FC60F3">
        <w:rPr>
          <w:rFonts w:ascii="Arial" w:hAnsi="Arial" w:cs="Arial"/>
          <w:i/>
          <w:iCs/>
        </w:rPr>
        <w:t>Observation:</w:t>
      </w:r>
      <w:r w:rsidRPr="00FC60F3">
        <w:rPr>
          <w:rFonts w:ascii="Arial" w:hAnsi="Arial" w:cs="Arial"/>
        </w:rPr>
        <w:t xml:space="preserve"> There was a significant association between elevated IL-6 levels and the nutritional status of pediatric asthma patients </w:t>
      </w:r>
      <w:r w:rsidRPr="00FC60F3">
        <w:rPr>
          <w:rFonts w:ascii="Arial" w:hAnsi="Arial" w:cs="Arial"/>
          <w:i/>
          <w:iCs/>
        </w:rPr>
        <w:t>(p</w:t>
      </w:r>
      <w:r w:rsidRPr="00FC60F3">
        <w:rPr>
          <w:rFonts w:ascii="Arial" w:hAnsi="Arial" w:cs="Arial"/>
        </w:rPr>
        <w:t xml:space="preserve"> = 0.021). Overweight/obese children showed a higher prevalence of elevated IL-6 (28.8%) compared to normal-weight (37.3%) and underweight children (3.4%).</w:t>
      </w:r>
    </w:p>
    <w:p w14:paraId="7E3B1508" w14:textId="77777777" w:rsidR="004024AF" w:rsidRPr="00FC60F3" w:rsidRDefault="004024AF" w:rsidP="004024AF">
      <w:pPr>
        <w:rPr>
          <w:rFonts w:ascii="Arial" w:hAnsi="Arial" w:cs="Arial"/>
          <w:sz w:val="22"/>
          <w:szCs w:val="22"/>
        </w:rPr>
      </w:pPr>
      <w:r w:rsidRPr="00FC60F3">
        <w:rPr>
          <w:rFonts w:ascii="Arial" w:hAnsi="Arial" w:cs="Arial"/>
          <w:b/>
          <w:bCs/>
          <w:sz w:val="22"/>
          <w:szCs w:val="22"/>
        </w:rPr>
        <w:t>3.3. Role of IL-6 in predicting systemic inflammation, asthma severity, and control</w:t>
      </w:r>
    </w:p>
    <w:p w14:paraId="3BA2BF21" w14:textId="77777777" w:rsidR="004024AF" w:rsidRPr="00FC60F3" w:rsidRDefault="004024AF" w:rsidP="004024AF">
      <w:pPr>
        <w:jc w:val="both"/>
        <w:rPr>
          <w:rFonts w:ascii="Arial" w:hAnsi="Arial" w:cs="Arial"/>
        </w:rPr>
      </w:pPr>
      <w:r w:rsidRPr="00FC60F3">
        <w:rPr>
          <w:rFonts w:ascii="Arial" w:hAnsi="Arial" w:cs="Arial"/>
        </w:rPr>
        <w:t xml:space="preserve">Table 4: Association between elevated IL-6 and total leukocyte count </w:t>
      </w:r>
    </w:p>
    <w:tbl>
      <w:tblPr>
        <w:tblStyle w:val="TableGrid"/>
        <w:tblW w:w="0" w:type="auto"/>
        <w:tblLook w:val="04A0" w:firstRow="1" w:lastRow="0" w:firstColumn="1" w:lastColumn="0" w:noHBand="0" w:noVBand="1"/>
      </w:tblPr>
      <w:tblGrid>
        <w:gridCol w:w="2830"/>
        <w:gridCol w:w="1843"/>
        <w:gridCol w:w="2410"/>
        <w:gridCol w:w="1701"/>
      </w:tblGrid>
      <w:tr w:rsidR="004024AF" w:rsidRPr="00FC60F3" w14:paraId="2A66A574" w14:textId="77777777" w:rsidTr="005563C7">
        <w:trPr>
          <w:trHeight w:val="904"/>
        </w:trPr>
        <w:tc>
          <w:tcPr>
            <w:tcW w:w="2830" w:type="dxa"/>
            <w:tcBorders>
              <w:tl2br w:val="single" w:sz="4" w:space="0" w:color="auto"/>
            </w:tcBorders>
            <w:vAlign w:val="center"/>
          </w:tcPr>
          <w:p w14:paraId="6D8B2C21" w14:textId="77777777" w:rsidR="004024AF" w:rsidRPr="00FC60F3" w:rsidRDefault="004024AF" w:rsidP="005563C7">
            <w:pPr>
              <w:jc w:val="center"/>
              <w:rPr>
                <w:rFonts w:ascii="Arial" w:hAnsi="Arial" w:cs="Arial"/>
                <w:b/>
                <w:bCs/>
                <w:sz w:val="20"/>
                <w:szCs w:val="20"/>
              </w:rPr>
            </w:pPr>
            <w:r w:rsidRPr="00FC60F3">
              <w:rPr>
                <w:rFonts w:ascii="Arial" w:hAnsi="Arial" w:cs="Arial"/>
                <w:b/>
                <w:bCs/>
                <w:sz w:val="20"/>
                <w:szCs w:val="20"/>
              </w:rPr>
              <w:t>IL-6</w:t>
            </w:r>
          </w:p>
          <w:p w14:paraId="0F28D159" w14:textId="77777777" w:rsidR="004024AF" w:rsidRPr="00FC60F3" w:rsidRDefault="004024AF" w:rsidP="005563C7">
            <w:pPr>
              <w:jc w:val="center"/>
              <w:rPr>
                <w:rFonts w:ascii="Arial" w:hAnsi="Arial" w:cs="Arial"/>
                <w:b/>
                <w:bCs/>
                <w:sz w:val="20"/>
                <w:szCs w:val="20"/>
              </w:rPr>
            </w:pPr>
          </w:p>
          <w:p w14:paraId="2BF3F16A" w14:textId="77777777" w:rsidR="004024AF" w:rsidRPr="00FC60F3" w:rsidRDefault="004024AF" w:rsidP="005563C7">
            <w:pPr>
              <w:jc w:val="center"/>
              <w:rPr>
                <w:rFonts w:ascii="Arial" w:hAnsi="Arial" w:cs="Arial"/>
                <w:b/>
                <w:bCs/>
                <w:sz w:val="20"/>
                <w:szCs w:val="20"/>
              </w:rPr>
            </w:pPr>
          </w:p>
          <w:p w14:paraId="48813E2F" w14:textId="77777777" w:rsidR="004024AF" w:rsidRPr="00FC60F3" w:rsidRDefault="004024AF" w:rsidP="005563C7">
            <w:pPr>
              <w:jc w:val="center"/>
              <w:rPr>
                <w:rFonts w:ascii="Arial" w:hAnsi="Arial" w:cs="Arial"/>
                <w:b/>
                <w:bCs/>
                <w:sz w:val="20"/>
                <w:szCs w:val="20"/>
              </w:rPr>
            </w:pPr>
            <w:r w:rsidRPr="00FC60F3">
              <w:rPr>
                <w:rFonts w:ascii="Arial" w:hAnsi="Arial" w:cs="Arial"/>
                <w:b/>
                <w:bCs/>
                <w:sz w:val="20"/>
                <w:szCs w:val="20"/>
              </w:rPr>
              <w:t>Total Leukocyte Count</w:t>
            </w:r>
          </w:p>
        </w:tc>
        <w:tc>
          <w:tcPr>
            <w:tcW w:w="1843" w:type="dxa"/>
            <w:vAlign w:val="center"/>
          </w:tcPr>
          <w:p w14:paraId="213B6047" w14:textId="77777777" w:rsidR="004024AF" w:rsidRPr="00FC60F3" w:rsidRDefault="004024AF" w:rsidP="005563C7">
            <w:pPr>
              <w:jc w:val="center"/>
              <w:rPr>
                <w:rFonts w:ascii="Arial" w:hAnsi="Arial" w:cs="Arial"/>
                <w:b/>
                <w:bCs/>
                <w:sz w:val="20"/>
                <w:szCs w:val="20"/>
              </w:rPr>
            </w:pPr>
            <w:r w:rsidRPr="00FC60F3">
              <w:rPr>
                <w:rFonts w:ascii="Arial" w:hAnsi="Arial" w:cs="Arial"/>
                <w:b/>
                <w:bCs/>
                <w:sz w:val="20"/>
                <w:szCs w:val="20"/>
              </w:rPr>
              <w:t>Elevated</w:t>
            </w:r>
          </w:p>
        </w:tc>
        <w:tc>
          <w:tcPr>
            <w:tcW w:w="2410" w:type="dxa"/>
            <w:vAlign w:val="center"/>
          </w:tcPr>
          <w:p w14:paraId="7DE9370A" w14:textId="77777777" w:rsidR="004024AF" w:rsidRPr="00FC60F3" w:rsidRDefault="004024AF" w:rsidP="005563C7">
            <w:pPr>
              <w:jc w:val="center"/>
              <w:rPr>
                <w:rFonts w:ascii="Arial" w:hAnsi="Arial" w:cs="Arial"/>
                <w:b/>
                <w:bCs/>
                <w:sz w:val="20"/>
                <w:szCs w:val="20"/>
              </w:rPr>
            </w:pPr>
            <w:r w:rsidRPr="00FC60F3">
              <w:rPr>
                <w:rFonts w:ascii="Arial" w:hAnsi="Arial" w:cs="Arial"/>
                <w:b/>
                <w:bCs/>
                <w:sz w:val="20"/>
                <w:szCs w:val="20"/>
              </w:rPr>
              <w:t>Not Elevated</w:t>
            </w:r>
          </w:p>
        </w:tc>
        <w:tc>
          <w:tcPr>
            <w:tcW w:w="1701" w:type="dxa"/>
            <w:vAlign w:val="center"/>
          </w:tcPr>
          <w:p w14:paraId="76F18420" w14:textId="77777777" w:rsidR="004024AF" w:rsidRPr="00FC60F3" w:rsidRDefault="004024AF" w:rsidP="005563C7">
            <w:pPr>
              <w:jc w:val="center"/>
              <w:rPr>
                <w:rFonts w:ascii="Arial" w:hAnsi="Arial" w:cs="Arial"/>
                <w:b/>
                <w:bCs/>
                <w:sz w:val="20"/>
                <w:szCs w:val="20"/>
              </w:rPr>
            </w:pPr>
            <w:r w:rsidRPr="00FC60F3">
              <w:rPr>
                <w:rFonts w:ascii="Arial" w:hAnsi="Arial" w:cs="Arial"/>
                <w:b/>
                <w:bCs/>
                <w:sz w:val="20"/>
                <w:szCs w:val="20"/>
              </w:rPr>
              <w:t>p-value</w:t>
            </w:r>
          </w:p>
        </w:tc>
      </w:tr>
      <w:tr w:rsidR="004024AF" w:rsidRPr="00FC60F3" w14:paraId="43781492" w14:textId="77777777" w:rsidTr="005563C7">
        <w:tc>
          <w:tcPr>
            <w:tcW w:w="2830" w:type="dxa"/>
            <w:vAlign w:val="center"/>
          </w:tcPr>
          <w:p w14:paraId="3EE62749" w14:textId="77777777" w:rsidR="004024AF" w:rsidRPr="00FC60F3" w:rsidRDefault="004024AF" w:rsidP="005563C7">
            <w:pPr>
              <w:jc w:val="center"/>
              <w:rPr>
                <w:rFonts w:ascii="Arial" w:hAnsi="Arial" w:cs="Arial"/>
                <w:sz w:val="20"/>
                <w:szCs w:val="20"/>
              </w:rPr>
            </w:pPr>
            <w:r w:rsidRPr="00FC60F3">
              <w:rPr>
                <w:rFonts w:ascii="Arial" w:hAnsi="Arial" w:cs="Arial"/>
                <w:sz w:val="20"/>
                <w:szCs w:val="20"/>
              </w:rPr>
              <w:t>Increased</w:t>
            </w:r>
          </w:p>
        </w:tc>
        <w:tc>
          <w:tcPr>
            <w:tcW w:w="1843" w:type="dxa"/>
            <w:vAlign w:val="center"/>
          </w:tcPr>
          <w:p w14:paraId="1E7DF4B0" w14:textId="77777777" w:rsidR="004024AF" w:rsidRPr="00FC60F3" w:rsidRDefault="004024AF" w:rsidP="005563C7">
            <w:pPr>
              <w:jc w:val="center"/>
              <w:rPr>
                <w:rFonts w:ascii="Arial" w:hAnsi="Arial" w:cs="Arial"/>
                <w:sz w:val="20"/>
                <w:szCs w:val="20"/>
              </w:rPr>
            </w:pPr>
            <w:r w:rsidRPr="00FC60F3">
              <w:rPr>
                <w:rFonts w:ascii="Arial" w:hAnsi="Arial" w:cs="Arial"/>
                <w:sz w:val="20"/>
                <w:szCs w:val="20"/>
              </w:rPr>
              <w:t>33 (55,9%)</w:t>
            </w:r>
          </w:p>
        </w:tc>
        <w:tc>
          <w:tcPr>
            <w:tcW w:w="2410" w:type="dxa"/>
            <w:vAlign w:val="center"/>
          </w:tcPr>
          <w:p w14:paraId="6120BD42" w14:textId="77777777" w:rsidR="004024AF" w:rsidRPr="00FC60F3" w:rsidRDefault="004024AF" w:rsidP="005563C7">
            <w:pPr>
              <w:jc w:val="center"/>
              <w:rPr>
                <w:rFonts w:ascii="Arial" w:hAnsi="Arial" w:cs="Arial"/>
                <w:sz w:val="20"/>
                <w:szCs w:val="20"/>
              </w:rPr>
            </w:pPr>
            <w:r w:rsidRPr="00FC60F3">
              <w:rPr>
                <w:rFonts w:ascii="Arial" w:hAnsi="Arial" w:cs="Arial"/>
                <w:sz w:val="20"/>
                <w:szCs w:val="20"/>
              </w:rPr>
              <w:t>12 (20,3%)</w:t>
            </w:r>
          </w:p>
        </w:tc>
        <w:tc>
          <w:tcPr>
            <w:tcW w:w="1701" w:type="dxa"/>
            <w:vMerge w:val="restart"/>
            <w:vAlign w:val="center"/>
          </w:tcPr>
          <w:p w14:paraId="40096518" w14:textId="77777777" w:rsidR="004024AF" w:rsidRPr="00FC60F3" w:rsidRDefault="004024AF" w:rsidP="005563C7">
            <w:pPr>
              <w:jc w:val="center"/>
              <w:rPr>
                <w:rFonts w:ascii="Arial" w:hAnsi="Arial" w:cs="Arial"/>
                <w:sz w:val="20"/>
                <w:szCs w:val="20"/>
              </w:rPr>
            </w:pPr>
            <w:r w:rsidRPr="00FC60F3">
              <w:rPr>
                <w:rFonts w:ascii="Arial" w:hAnsi="Arial" w:cs="Arial"/>
                <w:sz w:val="20"/>
                <w:szCs w:val="20"/>
              </w:rPr>
              <w:t>0,205</w:t>
            </w:r>
          </w:p>
        </w:tc>
      </w:tr>
      <w:tr w:rsidR="004024AF" w:rsidRPr="00FC60F3" w14:paraId="664608FE" w14:textId="77777777" w:rsidTr="005563C7">
        <w:tc>
          <w:tcPr>
            <w:tcW w:w="2830" w:type="dxa"/>
            <w:vAlign w:val="center"/>
          </w:tcPr>
          <w:p w14:paraId="70BA107C" w14:textId="77777777" w:rsidR="004024AF" w:rsidRPr="00FC60F3" w:rsidRDefault="004024AF" w:rsidP="005563C7">
            <w:pPr>
              <w:jc w:val="center"/>
              <w:rPr>
                <w:rFonts w:ascii="Arial" w:hAnsi="Arial" w:cs="Arial"/>
                <w:sz w:val="20"/>
                <w:szCs w:val="20"/>
              </w:rPr>
            </w:pPr>
            <w:r w:rsidRPr="00FC60F3">
              <w:rPr>
                <w:rFonts w:ascii="Arial" w:hAnsi="Arial" w:cs="Arial"/>
                <w:sz w:val="20"/>
                <w:szCs w:val="20"/>
              </w:rPr>
              <w:t>Not increased</w:t>
            </w:r>
          </w:p>
        </w:tc>
        <w:tc>
          <w:tcPr>
            <w:tcW w:w="1843" w:type="dxa"/>
            <w:vAlign w:val="center"/>
          </w:tcPr>
          <w:p w14:paraId="2D175105" w14:textId="77777777" w:rsidR="004024AF" w:rsidRPr="00FC60F3" w:rsidRDefault="004024AF" w:rsidP="005563C7">
            <w:pPr>
              <w:jc w:val="center"/>
              <w:rPr>
                <w:rFonts w:ascii="Arial" w:hAnsi="Arial" w:cs="Arial"/>
                <w:sz w:val="20"/>
                <w:szCs w:val="20"/>
              </w:rPr>
            </w:pPr>
            <w:r w:rsidRPr="00FC60F3">
              <w:rPr>
                <w:rFonts w:ascii="Arial" w:hAnsi="Arial" w:cs="Arial"/>
                <w:sz w:val="20"/>
                <w:szCs w:val="20"/>
              </w:rPr>
              <w:t>8 (13,6%)</w:t>
            </w:r>
          </w:p>
        </w:tc>
        <w:tc>
          <w:tcPr>
            <w:tcW w:w="2410" w:type="dxa"/>
            <w:vAlign w:val="center"/>
          </w:tcPr>
          <w:p w14:paraId="728BFCE9" w14:textId="77777777" w:rsidR="004024AF" w:rsidRPr="00FC60F3" w:rsidRDefault="004024AF" w:rsidP="005563C7">
            <w:pPr>
              <w:jc w:val="center"/>
              <w:rPr>
                <w:rFonts w:ascii="Arial" w:hAnsi="Arial" w:cs="Arial"/>
                <w:sz w:val="20"/>
                <w:szCs w:val="20"/>
              </w:rPr>
            </w:pPr>
            <w:r w:rsidRPr="00FC60F3">
              <w:rPr>
                <w:rFonts w:ascii="Arial" w:hAnsi="Arial" w:cs="Arial"/>
                <w:sz w:val="20"/>
                <w:szCs w:val="20"/>
              </w:rPr>
              <w:t>6 (10,2%)</w:t>
            </w:r>
          </w:p>
        </w:tc>
        <w:tc>
          <w:tcPr>
            <w:tcW w:w="1701" w:type="dxa"/>
            <w:vMerge/>
            <w:vAlign w:val="center"/>
          </w:tcPr>
          <w:p w14:paraId="7F727D83" w14:textId="77777777" w:rsidR="004024AF" w:rsidRPr="00FC60F3" w:rsidRDefault="004024AF" w:rsidP="005563C7">
            <w:pPr>
              <w:jc w:val="center"/>
              <w:rPr>
                <w:rFonts w:ascii="Arial" w:hAnsi="Arial" w:cs="Arial"/>
                <w:sz w:val="20"/>
                <w:szCs w:val="20"/>
              </w:rPr>
            </w:pPr>
          </w:p>
        </w:tc>
      </w:tr>
      <w:tr w:rsidR="004024AF" w:rsidRPr="00FC60F3" w14:paraId="1A25988E" w14:textId="77777777" w:rsidTr="005563C7">
        <w:tc>
          <w:tcPr>
            <w:tcW w:w="2830" w:type="dxa"/>
            <w:vAlign w:val="center"/>
          </w:tcPr>
          <w:p w14:paraId="27D3E299" w14:textId="77777777" w:rsidR="004024AF" w:rsidRPr="00FC60F3" w:rsidRDefault="004024AF" w:rsidP="005563C7">
            <w:pPr>
              <w:jc w:val="center"/>
              <w:rPr>
                <w:rFonts w:ascii="Arial" w:hAnsi="Arial" w:cs="Arial"/>
                <w:sz w:val="20"/>
                <w:szCs w:val="20"/>
              </w:rPr>
            </w:pPr>
            <w:r w:rsidRPr="00FC60F3">
              <w:rPr>
                <w:rFonts w:ascii="Arial" w:hAnsi="Arial" w:cs="Arial"/>
                <w:b/>
                <w:bCs/>
                <w:sz w:val="20"/>
                <w:szCs w:val="20"/>
              </w:rPr>
              <w:t>Total</w:t>
            </w:r>
          </w:p>
        </w:tc>
        <w:tc>
          <w:tcPr>
            <w:tcW w:w="1843" w:type="dxa"/>
            <w:vAlign w:val="center"/>
          </w:tcPr>
          <w:p w14:paraId="06A8D7C2" w14:textId="77777777" w:rsidR="004024AF" w:rsidRPr="00FC60F3" w:rsidRDefault="004024AF" w:rsidP="005563C7">
            <w:pPr>
              <w:jc w:val="center"/>
              <w:rPr>
                <w:rFonts w:ascii="Arial" w:hAnsi="Arial" w:cs="Arial"/>
                <w:b/>
                <w:bCs/>
                <w:sz w:val="20"/>
                <w:szCs w:val="20"/>
              </w:rPr>
            </w:pPr>
            <w:r w:rsidRPr="00FC60F3">
              <w:rPr>
                <w:rFonts w:ascii="Arial" w:hAnsi="Arial" w:cs="Arial"/>
                <w:b/>
                <w:bCs/>
                <w:sz w:val="20"/>
                <w:szCs w:val="20"/>
              </w:rPr>
              <w:t>41 (69,5%)</w:t>
            </w:r>
          </w:p>
        </w:tc>
        <w:tc>
          <w:tcPr>
            <w:tcW w:w="2410" w:type="dxa"/>
            <w:vAlign w:val="center"/>
          </w:tcPr>
          <w:p w14:paraId="1669EE98" w14:textId="77777777" w:rsidR="004024AF" w:rsidRPr="00FC60F3" w:rsidRDefault="004024AF" w:rsidP="005563C7">
            <w:pPr>
              <w:jc w:val="center"/>
              <w:rPr>
                <w:rFonts w:ascii="Arial" w:hAnsi="Arial" w:cs="Arial"/>
                <w:b/>
                <w:bCs/>
                <w:sz w:val="20"/>
                <w:szCs w:val="20"/>
              </w:rPr>
            </w:pPr>
            <w:r w:rsidRPr="00FC60F3">
              <w:rPr>
                <w:rFonts w:ascii="Arial" w:hAnsi="Arial" w:cs="Arial"/>
                <w:b/>
                <w:bCs/>
                <w:sz w:val="20"/>
                <w:szCs w:val="20"/>
              </w:rPr>
              <w:t>18 (30,5%)</w:t>
            </w:r>
          </w:p>
        </w:tc>
        <w:tc>
          <w:tcPr>
            <w:tcW w:w="1701" w:type="dxa"/>
            <w:vMerge/>
            <w:vAlign w:val="center"/>
          </w:tcPr>
          <w:p w14:paraId="78F2EAC6" w14:textId="77777777" w:rsidR="004024AF" w:rsidRPr="00FC60F3" w:rsidRDefault="004024AF" w:rsidP="005563C7">
            <w:pPr>
              <w:jc w:val="center"/>
              <w:rPr>
                <w:rFonts w:ascii="Arial" w:hAnsi="Arial" w:cs="Arial"/>
                <w:sz w:val="20"/>
                <w:szCs w:val="20"/>
              </w:rPr>
            </w:pPr>
          </w:p>
        </w:tc>
      </w:tr>
    </w:tbl>
    <w:p w14:paraId="2F5A4558" w14:textId="77777777" w:rsidR="004024AF" w:rsidRPr="00FC60F3" w:rsidRDefault="004024AF" w:rsidP="004024AF">
      <w:pPr>
        <w:ind w:firstLine="720"/>
        <w:jc w:val="both"/>
        <w:rPr>
          <w:rFonts w:ascii="Arial" w:hAnsi="Arial" w:cs="Arial"/>
        </w:rPr>
      </w:pPr>
      <w:r w:rsidRPr="00FC60F3">
        <w:rPr>
          <w:rFonts w:ascii="Arial" w:hAnsi="Arial" w:cs="Arial"/>
          <w:i/>
          <w:iCs/>
        </w:rPr>
        <w:t>Observation:</w:t>
      </w:r>
      <w:r w:rsidRPr="00FC60F3">
        <w:rPr>
          <w:rFonts w:ascii="Arial" w:hAnsi="Arial" w:cs="Arial"/>
        </w:rPr>
        <w:t xml:space="preserve"> No statistically significant difference was observed in elevated IL-6 levels between the groups with increased and normal total leukocyte counts (</w:t>
      </w:r>
      <w:r w:rsidRPr="00FC60F3">
        <w:rPr>
          <w:rFonts w:ascii="Arial" w:hAnsi="Arial" w:cs="Arial"/>
          <w:i/>
          <w:iCs/>
        </w:rPr>
        <w:t>p</w:t>
      </w:r>
      <w:r w:rsidRPr="00FC60F3">
        <w:rPr>
          <w:rFonts w:ascii="Arial" w:hAnsi="Arial" w:cs="Arial"/>
        </w:rPr>
        <w:t xml:space="preserve"> = 0.205).</w:t>
      </w:r>
    </w:p>
    <w:p w14:paraId="35231EEE" w14:textId="77777777" w:rsidR="004024AF" w:rsidRPr="00FC60F3" w:rsidRDefault="004024AF" w:rsidP="004024AF">
      <w:pPr>
        <w:jc w:val="both"/>
        <w:rPr>
          <w:rFonts w:ascii="Arial" w:hAnsi="Arial" w:cs="Arial"/>
        </w:rPr>
      </w:pPr>
      <w:r w:rsidRPr="00FC60F3">
        <w:rPr>
          <w:rFonts w:ascii="Arial" w:hAnsi="Arial" w:cs="Arial"/>
        </w:rPr>
        <w:t>Table 5: Association between elevated il-6 and neutrophil count</w:t>
      </w:r>
    </w:p>
    <w:tbl>
      <w:tblPr>
        <w:tblStyle w:val="TableGrid"/>
        <w:tblW w:w="0" w:type="auto"/>
        <w:tblLook w:val="04A0" w:firstRow="1" w:lastRow="0" w:firstColumn="1" w:lastColumn="0" w:noHBand="0" w:noVBand="1"/>
      </w:tblPr>
      <w:tblGrid>
        <w:gridCol w:w="2830"/>
        <w:gridCol w:w="1843"/>
        <w:gridCol w:w="2410"/>
        <w:gridCol w:w="1701"/>
      </w:tblGrid>
      <w:tr w:rsidR="004024AF" w:rsidRPr="00FC60F3" w14:paraId="39F56828" w14:textId="77777777" w:rsidTr="005563C7">
        <w:trPr>
          <w:trHeight w:val="908"/>
        </w:trPr>
        <w:tc>
          <w:tcPr>
            <w:tcW w:w="2830" w:type="dxa"/>
            <w:tcBorders>
              <w:tl2br w:val="single" w:sz="4" w:space="0" w:color="auto"/>
            </w:tcBorders>
            <w:vAlign w:val="center"/>
          </w:tcPr>
          <w:p w14:paraId="1F6661C3" w14:textId="77777777" w:rsidR="004024AF" w:rsidRPr="00FC60F3" w:rsidRDefault="004024AF" w:rsidP="005563C7">
            <w:pPr>
              <w:jc w:val="center"/>
              <w:rPr>
                <w:rFonts w:ascii="Arial" w:hAnsi="Arial" w:cs="Arial"/>
                <w:b/>
                <w:bCs/>
                <w:sz w:val="20"/>
                <w:szCs w:val="20"/>
              </w:rPr>
            </w:pPr>
            <w:r w:rsidRPr="00FC60F3">
              <w:rPr>
                <w:rFonts w:ascii="Arial" w:hAnsi="Arial" w:cs="Arial"/>
                <w:b/>
                <w:bCs/>
                <w:sz w:val="20"/>
                <w:szCs w:val="20"/>
              </w:rPr>
              <w:t>IL-6</w:t>
            </w:r>
          </w:p>
          <w:p w14:paraId="35C12C63" w14:textId="77777777" w:rsidR="004024AF" w:rsidRPr="00FC60F3" w:rsidRDefault="004024AF" w:rsidP="005563C7">
            <w:pPr>
              <w:jc w:val="center"/>
              <w:rPr>
                <w:rFonts w:ascii="Arial" w:hAnsi="Arial" w:cs="Arial"/>
                <w:b/>
                <w:bCs/>
                <w:sz w:val="20"/>
                <w:szCs w:val="20"/>
              </w:rPr>
            </w:pPr>
          </w:p>
          <w:p w14:paraId="4ED0B4CB" w14:textId="77777777" w:rsidR="004024AF" w:rsidRPr="00FC60F3" w:rsidRDefault="004024AF" w:rsidP="005563C7">
            <w:pPr>
              <w:jc w:val="center"/>
              <w:rPr>
                <w:rFonts w:ascii="Arial" w:hAnsi="Arial" w:cs="Arial"/>
                <w:b/>
                <w:bCs/>
                <w:sz w:val="20"/>
                <w:szCs w:val="20"/>
              </w:rPr>
            </w:pPr>
            <w:r w:rsidRPr="00FC60F3">
              <w:rPr>
                <w:rFonts w:ascii="Arial" w:hAnsi="Arial" w:cs="Arial"/>
                <w:b/>
                <w:bCs/>
                <w:sz w:val="20"/>
                <w:szCs w:val="20"/>
              </w:rPr>
              <w:t>Neutrophil Count</w:t>
            </w:r>
          </w:p>
        </w:tc>
        <w:tc>
          <w:tcPr>
            <w:tcW w:w="1843" w:type="dxa"/>
            <w:vAlign w:val="center"/>
          </w:tcPr>
          <w:p w14:paraId="37B4BFFD" w14:textId="77777777" w:rsidR="004024AF" w:rsidRPr="00FC60F3" w:rsidRDefault="004024AF" w:rsidP="005563C7">
            <w:pPr>
              <w:jc w:val="center"/>
              <w:rPr>
                <w:rFonts w:ascii="Arial" w:hAnsi="Arial" w:cs="Arial"/>
                <w:b/>
                <w:bCs/>
                <w:sz w:val="20"/>
                <w:szCs w:val="20"/>
              </w:rPr>
            </w:pPr>
            <w:r w:rsidRPr="00FC60F3">
              <w:rPr>
                <w:rFonts w:ascii="Arial" w:hAnsi="Arial" w:cs="Arial"/>
                <w:b/>
                <w:bCs/>
                <w:sz w:val="20"/>
                <w:szCs w:val="20"/>
              </w:rPr>
              <w:t>Elevated</w:t>
            </w:r>
          </w:p>
        </w:tc>
        <w:tc>
          <w:tcPr>
            <w:tcW w:w="2410" w:type="dxa"/>
            <w:vAlign w:val="center"/>
          </w:tcPr>
          <w:p w14:paraId="2C362A7F" w14:textId="77777777" w:rsidR="004024AF" w:rsidRPr="00FC60F3" w:rsidRDefault="004024AF" w:rsidP="005563C7">
            <w:pPr>
              <w:jc w:val="center"/>
              <w:rPr>
                <w:rFonts w:ascii="Arial" w:hAnsi="Arial" w:cs="Arial"/>
                <w:b/>
                <w:bCs/>
                <w:sz w:val="20"/>
                <w:szCs w:val="20"/>
              </w:rPr>
            </w:pPr>
            <w:r w:rsidRPr="00FC60F3">
              <w:rPr>
                <w:rFonts w:ascii="Arial" w:hAnsi="Arial" w:cs="Arial"/>
                <w:b/>
                <w:bCs/>
                <w:sz w:val="20"/>
                <w:szCs w:val="20"/>
              </w:rPr>
              <w:t>Not Elevated</w:t>
            </w:r>
          </w:p>
        </w:tc>
        <w:tc>
          <w:tcPr>
            <w:tcW w:w="1701" w:type="dxa"/>
            <w:vAlign w:val="center"/>
          </w:tcPr>
          <w:p w14:paraId="35091EF5" w14:textId="77777777" w:rsidR="004024AF" w:rsidRPr="00FC60F3" w:rsidRDefault="004024AF" w:rsidP="005563C7">
            <w:pPr>
              <w:jc w:val="center"/>
              <w:rPr>
                <w:rFonts w:ascii="Arial" w:hAnsi="Arial" w:cs="Arial"/>
                <w:b/>
                <w:bCs/>
                <w:sz w:val="20"/>
                <w:szCs w:val="20"/>
              </w:rPr>
            </w:pPr>
            <w:r w:rsidRPr="00FC60F3">
              <w:rPr>
                <w:rFonts w:ascii="Arial" w:hAnsi="Arial" w:cs="Arial"/>
                <w:b/>
                <w:bCs/>
                <w:sz w:val="20"/>
                <w:szCs w:val="20"/>
              </w:rPr>
              <w:t>p-value</w:t>
            </w:r>
          </w:p>
        </w:tc>
      </w:tr>
      <w:tr w:rsidR="004024AF" w:rsidRPr="00FC60F3" w14:paraId="7966614F" w14:textId="77777777" w:rsidTr="005563C7">
        <w:tc>
          <w:tcPr>
            <w:tcW w:w="2830" w:type="dxa"/>
            <w:vAlign w:val="center"/>
          </w:tcPr>
          <w:p w14:paraId="16A9A77E" w14:textId="77777777" w:rsidR="004024AF" w:rsidRPr="00FC60F3" w:rsidRDefault="004024AF" w:rsidP="005563C7">
            <w:pPr>
              <w:jc w:val="center"/>
              <w:rPr>
                <w:rFonts w:ascii="Arial" w:hAnsi="Arial" w:cs="Arial"/>
                <w:sz w:val="20"/>
                <w:szCs w:val="20"/>
              </w:rPr>
            </w:pPr>
            <w:r w:rsidRPr="00FC60F3">
              <w:rPr>
                <w:rFonts w:ascii="Arial" w:hAnsi="Arial" w:cs="Arial"/>
                <w:sz w:val="20"/>
                <w:szCs w:val="20"/>
              </w:rPr>
              <w:t>Increased</w:t>
            </w:r>
          </w:p>
        </w:tc>
        <w:tc>
          <w:tcPr>
            <w:tcW w:w="1843" w:type="dxa"/>
            <w:vAlign w:val="center"/>
          </w:tcPr>
          <w:p w14:paraId="058B41E7" w14:textId="77777777" w:rsidR="004024AF" w:rsidRPr="00FC60F3" w:rsidRDefault="004024AF" w:rsidP="005563C7">
            <w:pPr>
              <w:jc w:val="center"/>
              <w:rPr>
                <w:rFonts w:ascii="Arial" w:hAnsi="Arial" w:cs="Arial"/>
                <w:sz w:val="20"/>
                <w:szCs w:val="20"/>
              </w:rPr>
            </w:pPr>
            <w:r w:rsidRPr="00FC60F3">
              <w:rPr>
                <w:rFonts w:ascii="Arial" w:hAnsi="Arial" w:cs="Arial"/>
                <w:sz w:val="20"/>
                <w:szCs w:val="20"/>
              </w:rPr>
              <w:t>25 (42,4%)</w:t>
            </w:r>
          </w:p>
        </w:tc>
        <w:tc>
          <w:tcPr>
            <w:tcW w:w="2410" w:type="dxa"/>
            <w:vAlign w:val="center"/>
          </w:tcPr>
          <w:p w14:paraId="4A6BE614" w14:textId="77777777" w:rsidR="004024AF" w:rsidRPr="00FC60F3" w:rsidRDefault="004024AF" w:rsidP="005563C7">
            <w:pPr>
              <w:jc w:val="center"/>
              <w:rPr>
                <w:rFonts w:ascii="Arial" w:hAnsi="Arial" w:cs="Arial"/>
                <w:sz w:val="20"/>
                <w:szCs w:val="20"/>
              </w:rPr>
            </w:pPr>
            <w:r w:rsidRPr="00FC60F3">
              <w:rPr>
                <w:rFonts w:ascii="Arial" w:hAnsi="Arial" w:cs="Arial"/>
                <w:sz w:val="20"/>
                <w:szCs w:val="20"/>
              </w:rPr>
              <w:t>6 (10,2%)</w:t>
            </w:r>
          </w:p>
        </w:tc>
        <w:tc>
          <w:tcPr>
            <w:tcW w:w="1701" w:type="dxa"/>
            <w:vMerge w:val="restart"/>
            <w:vAlign w:val="center"/>
          </w:tcPr>
          <w:p w14:paraId="286658B8" w14:textId="77777777" w:rsidR="004024AF" w:rsidRPr="00FC60F3" w:rsidRDefault="004024AF" w:rsidP="005563C7">
            <w:pPr>
              <w:jc w:val="center"/>
              <w:rPr>
                <w:rFonts w:ascii="Arial" w:hAnsi="Arial" w:cs="Arial"/>
                <w:b/>
                <w:bCs/>
                <w:sz w:val="20"/>
                <w:szCs w:val="20"/>
              </w:rPr>
            </w:pPr>
            <w:r w:rsidRPr="00FC60F3">
              <w:rPr>
                <w:rFonts w:ascii="Arial" w:hAnsi="Arial" w:cs="Arial"/>
                <w:b/>
                <w:bCs/>
                <w:sz w:val="20"/>
                <w:szCs w:val="20"/>
              </w:rPr>
              <w:t>0,047</w:t>
            </w:r>
          </w:p>
        </w:tc>
      </w:tr>
      <w:tr w:rsidR="004024AF" w:rsidRPr="00FC60F3" w14:paraId="1A5C3C6F" w14:textId="77777777" w:rsidTr="005563C7">
        <w:tc>
          <w:tcPr>
            <w:tcW w:w="2830" w:type="dxa"/>
            <w:vAlign w:val="center"/>
          </w:tcPr>
          <w:p w14:paraId="67B00510" w14:textId="77777777" w:rsidR="004024AF" w:rsidRPr="00FC60F3" w:rsidRDefault="004024AF" w:rsidP="005563C7">
            <w:pPr>
              <w:jc w:val="center"/>
              <w:rPr>
                <w:rFonts w:ascii="Arial" w:hAnsi="Arial" w:cs="Arial"/>
                <w:sz w:val="20"/>
                <w:szCs w:val="20"/>
              </w:rPr>
            </w:pPr>
            <w:r w:rsidRPr="00FC60F3">
              <w:rPr>
                <w:rFonts w:ascii="Arial" w:hAnsi="Arial" w:cs="Arial"/>
                <w:sz w:val="20"/>
                <w:szCs w:val="20"/>
              </w:rPr>
              <w:t>Not increased</w:t>
            </w:r>
          </w:p>
        </w:tc>
        <w:tc>
          <w:tcPr>
            <w:tcW w:w="1843" w:type="dxa"/>
            <w:vAlign w:val="center"/>
          </w:tcPr>
          <w:p w14:paraId="66BF3045" w14:textId="77777777" w:rsidR="004024AF" w:rsidRPr="00FC60F3" w:rsidRDefault="004024AF" w:rsidP="005563C7">
            <w:pPr>
              <w:jc w:val="center"/>
              <w:rPr>
                <w:rFonts w:ascii="Arial" w:hAnsi="Arial" w:cs="Arial"/>
                <w:sz w:val="20"/>
                <w:szCs w:val="20"/>
              </w:rPr>
            </w:pPr>
            <w:r w:rsidRPr="00FC60F3">
              <w:rPr>
                <w:rFonts w:ascii="Arial" w:hAnsi="Arial" w:cs="Arial"/>
                <w:sz w:val="20"/>
                <w:szCs w:val="20"/>
              </w:rPr>
              <w:t>16 (27,1%)</w:t>
            </w:r>
          </w:p>
        </w:tc>
        <w:tc>
          <w:tcPr>
            <w:tcW w:w="2410" w:type="dxa"/>
            <w:vAlign w:val="center"/>
          </w:tcPr>
          <w:p w14:paraId="4FABB1C3" w14:textId="77777777" w:rsidR="004024AF" w:rsidRPr="00FC60F3" w:rsidRDefault="004024AF" w:rsidP="005563C7">
            <w:pPr>
              <w:jc w:val="center"/>
              <w:rPr>
                <w:rFonts w:ascii="Arial" w:hAnsi="Arial" w:cs="Arial"/>
                <w:sz w:val="20"/>
                <w:szCs w:val="20"/>
              </w:rPr>
            </w:pPr>
            <w:r w:rsidRPr="00FC60F3">
              <w:rPr>
                <w:rFonts w:ascii="Arial" w:hAnsi="Arial" w:cs="Arial"/>
                <w:sz w:val="20"/>
                <w:szCs w:val="20"/>
              </w:rPr>
              <w:t>12 (20,3%)</w:t>
            </w:r>
          </w:p>
        </w:tc>
        <w:tc>
          <w:tcPr>
            <w:tcW w:w="1701" w:type="dxa"/>
            <w:vMerge/>
            <w:vAlign w:val="center"/>
          </w:tcPr>
          <w:p w14:paraId="08CF78DC" w14:textId="77777777" w:rsidR="004024AF" w:rsidRPr="00FC60F3" w:rsidRDefault="004024AF" w:rsidP="005563C7">
            <w:pPr>
              <w:jc w:val="center"/>
              <w:rPr>
                <w:rFonts w:ascii="Arial" w:hAnsi="Arial" w:cs="Arial"/>
                <w:sz w:val="20"/>
                <w:szCs w:val="20"/>
              </w:rPr>
            </w:pPr>
          </w:p>
        </w:tc>
      </w:tr>
      <w:tr w:rsidR="004024AF" w:rsidRPr="00FC60F3" w14:paraId="6E72F422" w14:textId="77777777" w:rsidTr="005563C7">
        <w:tc>
          <w:tcPr>
            <w:tcW w:w="2830" w:type="dxa"/>
            <w:vAlign w:val="center"/>
          </w:tcPr>
          <w:p w14:paraId="5F871DC1" w14:textId="77777777" w:rsidR="004024AF" w:rsidRPr="00FC60F3" w:rsidRDefault="004024AF" w:rsidP="005563C7">
            <w:pPr>
              <w:jc w:val="center"/>
              <w:rPr>
                <w:rFonts w:ascii="Arial" w:hAnsi="Arial" w:cs="Arial"/>
                <w:sz w:val="20"/>
                <w:szCs w:val="20"/>
              </w:rPr>
            </w:pPr>
            <w:r w:rsidRPr="00FC60F3">
              <w:rPr>
                <w:rFonts w:ascii="Arial" w:hAnsi="Arial" w:cs="Arial"/>
                <w:b/>
                <w:bCs/>
                <w:sz w:val="20"/>
                <w:szCs w:val="20"/>
              </w:rPr>
              <w:t>Total</w:t>
            </w:r>
          </w:p>
        </w:tc>
        <w:tc>
          <w:tcPr>
            <w:tcW w:w="1843" w:type="dxa"/>
            <w:vAlign w:val="center"/>
          </w:tcPr>
          <w:p w14:paraId="5D8D4E20" w14:textId="77777777" w:rsidR="004024AF" w:rsidRPr="00FC60F3" w:rsidRDefault="004024AF" w:rsidP="005563C7">
            <w:pPr>
              <w:jc w:val="center"/>
              <w:rPr>
                <w:rFonts w:ascii="Arial" w:hAnsi="Arial" w:cs="Arial"/>
                <w:b/>
                <w:bCs/>
                <w:sz w:val="20"/>
                <w:szCs w:val="20"/>
              </w:rPr>
            </w:pPr>
            <w:r w:rsidRPr="00FC60F3">
              <w:rPr>
                <w:rFonts w:ascii="Arial" w:hAnsi="Arial" w:cs="Arial"/>
                <w:b/>
                <w:bCs/>
                <w:sz w:val="20"/>
                <w:szCs w:val="20"/>
              </w:rPr>
              <w:t>41 (69,5%)</w:t>
            </w:r>
          </w:p>
        </w:tc>
        <w:tc>
          <w:tcPr>
            <w:tcW w:w="2410" w:type="dxa"/>
            <w:vAlign w:val="center"/>
          </w:tcPr>
          <w:p w14:paraId="10FB19BD" w14:textId="77777777" w:rsidR="004024AF" w:rsidRPr="00FC60F3" w:rsidRDefault="004024AF" w:rsidP="005563C7">
            <w:pPr>
              <w:jc w:val="center"/>
              <w:rPr>
                <w:rFonts w:ascii="Arial" w:hAnsi="Arial" w:cs="Arial"/>
                <w:b/>
                <w:bCs/>
                <w:sz w:val="20"/>
                <w:szCs w:val="20"/>
              </w:rPr>
            </w:pPr>
            <w:r w:rsidRPr="00FC60F3">
              <w:rPr>
                <w:rFonts w:ascii="Arial" w:hAnsi="Arial" w:cs="Arial"/>
                <w:b/>
                <w:bCs/>
                <w:sz w:val="20"/>
                <w:szCs w:val="20"/>
              </w:rPr>
              <w:t>18 (30,5%)</w:t>
            </w:r>
          </w:p>
        </w:tc>
        <w:tc>
          <w:tcPr>
            <w:tcW w:w="1701" w:type="dxa"/>
            <w:vMerge/>
            <w:vAlign w:val="center"/>
          </w:tcPr>
          <w:p w14:paraId="0C1721A8" w14:textId="77777777" w:rsidR="004024AF" w:rsidRPr="00FC60F3" w:rsidRDefault="004024AF" w:rsidP="005563C7">
            <w:pPr>
              <w:jc w:val="center"/>
              <w:rPr>
                <w:rFonts w:ascii="Arial" w:hAnsi="Arial" w:cs="Arial"/>
                <w:sz w:val="20"/>
                <w:szCs w:val="20"/>
              </w:rPr>
            </w:pPr>
          </w:p>
        </w:tc>
      </w:tr>
    </w:tbl>
    <w:p w14:paraId="4B0CAED7" w14:textId="77777777" w:rsidR="004024AF" w:rsidRPr="00FC60F3" w:rsidRDefault="004024AF" w:rsidP="004024AF">
      <w:pPr>
        <w:ind w:firstLine="720"/>
        <w:jc w:val="both"/>
        <w:rPr>
          <w:rFonts w:ascii="Arial" w:hAnsi="Arial" w:cs="Arial"/>
        </w:rPr>
      </w:pPr>
      <w:r w:rsidRPr="00FC60F3">
        <w:rPr>
          <w:rFonts w:ascii="Arial" w:hAnsi="Arial" w:cs="Arial"/>
          <w:i/>
          <w:iCs/>
        </w:rPr>
        <w:t>Observation:</w:t>
      </w:r>
      <w:r w:rsidRPr="00FC60F3">
        <w:rPr>
          <w:rFonts w:ascii="Arial" w:hAnsi="Arial" w:cs="Arial"/>
        </w:rPr>
        <w:t>A significant association was found between elevated IL-6 levels and an increased peripheral neutrophil count in pediatric asthma patients (p = 0.047), wherein patients with higher neutrophil counts also had higher IL-6 levels, and vice versa.</w:t>
      </w:r>
    </w:p>
    <w:p w14:paraId="409C5CED" w14:textId="77777777" w:rsidR="004024AF" w:rsidRPr="00FC60F3" w:rsidRDefault="004024AF" w:rsidP="004024AF">
      <w:pPr>
        <w:jc w:val="both"/>
        <w:rPr>
          <w:rFonts w:ascii="Arial" w:hAnsi="Arial" w:cs="Arial"/>
        </w:rPr>
      </w:pPr>
      <w:r w:rsidRPr="00FC60F3">
        <w:rPr>
          <w:rFonts w:ascii="Arial" w:hAnsi="Arial" w:cs="Arial"/>
        </w:rPr>
        <w:t xml:space="preserve">Table 6: Association between elevated il-6 and CRP levels </w:t>
      </w:r>
    </w:p>
    <w:tbl>
      <w:tblPr>
        <w:tblStyle w:val="TableGrid"/>
        <w:tblW w:w="0" w:type="auto"/>
        <w:tblLook w:val="04A0" w:firstRow="1" w:lastRow="0" w:firstColumn="1" w:lastColumn="0" w:noHBand="0" w:noVBand="1"/>
      </w:tblPr>
      <w:tblGrid>
        <w:gridCol w:w="2830"/>
        <w:gridCol w:w="1843"/>
        <w:gridCol w:w="2410"/>
        <w:gridCol w:w="1701"/>
      </w:tblGrid>
      <w:tr w:rsidR="004024AF" w:rsidRPr="00FC60F3" w14:paraId="67179AF4" w14:textId="77777777" w:rsidTr="005563C7">
        <w:trPr>
          <w:trHeight w:val="1014"/>
        </w:trPr>
        <w:tc>
          <w:tcPr>
            <w:tcW w:w="2830" w:type="dxa"/>
            <w:tcBorders>
              <w:tl2br w:val="single" w:sz="4" w:space="0" w:color="auto"/>
            </w:tcBorders>
            <w:vAlign w:val="center"/>
          </w:tcPr>
          <w:p w14:paraId="49A5BC60" w14:textId="77777777" w:rsidR="004024AF" w:rsidRPr="00FC60F3" w:rsidRDefault="004024AF" w:rsidP="005563C7">
            <w:pPr>
              <w:jc w:val="center"/>
              <w:rPr>
                <w:rFonts w:ascii="Arial" w:hAnsi="Arial" w:cs="Arial"/>
                <w:b/>
                <w:bCs/>
                <w:sz w:val="20"/>
                <w:szCs w:val="20"/>
              </w:rPr>
            </w:pPr>
            <w:r w:rsidRPr="00FC60F3">
              <w:rPr>
                <w:rFonts w:ascii="Arial" w:hAnsi="Arial" w:cs="Arial"/>
                <w:b/>
                <w:bCs/>
                <w:sz w:val="20"/>
                <w:szCs w:val="20"/>
              </w:rPr>
              <w:t>IL-6</w:t>
            </w:r>
          </w:p>
          <w:p w14:paraId="76388544" w14:textId="77777777" w:rsidR="004024AF" w:rsidRPr="00FC60F3" w:rsidRDefault="004024AF" w:rsidP="005563C7">
            <w:pPr>
              <w:jc w:val="center"/>
              <w:rPr>
                <w:rFonts w:ascii="Arial" w:hAnsi="Arial" w:cs="Arial"/>
                <w:b/>
                <w:bCs/>
                <w:sz w:val="20"/>
                <w:szCs w:val="20"/>
              </w:rPr>
            </w:pPr>
          </w:p>
          <w:p w14:paraId="715D6C19" w14:textId="77777777" w:rsidR="004024AF" w:rsidRPr="00FC60F3" w:rsidRDefault="004024AF" w:rsidP="005563C7">
            <w:pPr>
              <w:jc w:val="center"/>
              <w:rPr>
                <w:rFonts w:ascii="Arial" w:hAnsi="Arial" w:cs="Arial"/>
                <w:b/>
                <w:bCs/>
                <w:sz w:val="20"/>
                <w:szCs w:val="20"/>
              </w:rPr>
            </w:pPr>
          </w:p>
          <w:p w14:paraId="2808F897" w14:textId="77777777" w:rsidR="004024AF" w:rsidRPr="00FC60F3" w:rsidRDefault="004024AF" w:rsidP="005563C7">
            <w:pPr>
              <w:jc w:val="center"/>
              <w:rPr>
                <w:rFonts w:ascii="Arial" w:hAnsi="Arial" w:cs="Arial"/>
                <w:b/>
                <w:bCs/>
                <w:sz w:val="20"/>
                <w:szCs w:val="20"/>
              </w:rPr>
            </w:pPr>
            <w:r w:rsidRPr="00FC60F3">
              <w:rPr>
                <w:rFonts w:ascii="Arial" w:hAnsi="Arial" w:cs="Arial"/>
                <w:b/>
                <w:bCs/>
                <w:sz w:val="20"/>
                <w:szCs w:val="20"/>
              </w:rPr>
              <w:t>CRP Level</w:t>
            </w:r>
          </w:p>
        </w:tc>
        <w:tc>
          <w:tcPr>
            <w:tcW w:w="1843" w:type="dxa"/>
            <w:vAlign w:val="center"/>
          </w:tcPr>
          <w:p w14:paraId="7B3575EB" w14:textId="77777777" w:rsidR="004024AF" w:rsidRPr="00FC60F3" w:rsidRDefault="004024AF" w:rsidP="005563C7">
            <w:pPr>
              <w:jc w:val="center"/>
              <w:rPr>
                <w:rFonts w:ascii="Arial" w:hAnsi="Arial" w:cs="Arial"/>
                <w:b/>
                <w:bCs/>
                <w:sz w:val="20"/>
                <w:szCs w:val="20"/>
              </w:rPr>
            </w:pPr>
            <w:r w:rsidRPr="00FC60F3">
              <w:rPr>
                <w:rFonts w:ascii="Arial" w:hAnsi="Arial" w:cs="Arial"/>
                <w:b/>
                <w:bCs/>
                <w:sz w:val="20"/>
                <w:szCs w:val="20"/>
              </w:rPr>
              <w:t>Elevated</w:t>
            </w:r>
          </w:p>
        </w:tc>
        <w:tc>
          <w:tcPr>
            <w:tcW w:w="2410" w:type="dxa"/>
            <w:vAlign w:val="center"/>
          </w:tcPr>
          <w:p w14:paraId="4CF9B9FF" w14:textId="77777777" w:rsidR="004024AF" w:rsidRPr="00FC60F3" w:rsidRDefault="004024AF" w:rsidP="005563C7">
            <w:pPr>
              <w:jc w:val="center"/>
              <w:rPr>
                <w:rFonts w:ascii="Arial" w:hAnsi="Arial" w:cs="Arial"/>
                <w:b/>
                <w:bCs/>
                <w:sz w:val="20"/>
                <w:szCs w:val="20"/>
              </w:rPr>
            </w:pPr>
            <w:r w:rsidRPr="00FC60F3">
              <w:rPr>
                <w:rFonts w:ascii="Arial" w:hAnsi="Arial" w:cs="Arial"/>
                <w:b/>
                <w:bCs/>
                <w:sz w:val="20"/>
                <w:szCs w:val="20"/>
              </w:rPr>
              <w:t>Not Elevated</w:t>
            </w:r>
          </w:p>
        </w:tc>
        <w:tc>
          <w:tcPr>
            <w:tcW w:w="1701" w:type="dxa"/>
            <w:vAlign w:val="center"/>
          </w:tcPr>
          <w:p w14:paraId="23614EC5" w14:textId="77777777" w:rsidR="004024AF" w:rsidRPr="00FC60F3" w:rsidRDefault="004024AF" w:rsidP="005563C7">
            <w:pPr>
              <w:jc w:val="center"/>
              <w:rPr>
                <w:rFonts w:ascii="Arial" w:hAnsi="Arial" w:cs="Arial"/>
                <w:b/>
                <w:bCs/>
                <w:sz w:val="20"/>
                <w:szCs w:val="20"/>
              </w:rPr>
            </w:pPr>
            <w:r w:rsidRPr="00FC60F3">
              <w:rPr>
                <w:rFonts w:ascii="Arial" w:hAnsi="Arial" w:cs="Arial"/>
                <w:b/>
                <w:bCs/>
                <w:sz w:val="20"/>
                <w:szCs w:val="20"/>
              </w:rPr>
              <w:t>p-value</w:t>
            </w:r>
          </w:p>
        </w:tc>
      </w:tr>
      <w:tr w:rsidR="004024AF" w:rsidRPr="00FC60F3" w14:paraId="17350451" w14:textId="77777777" w:rsidTr="005563C7">
        <w:tc>
          <w:tcPr>
            <w:tcW w:w="2830" w:type="dxa"/>
            <w:vAlign w:val="center"/>
          </w:tcPr>
          <w:p w14:paraId="0FA0761C" w14:textId="77777777" w:rsidR="004024AF" w:rsidRPr="00FC60F3" w:rsidRDefault="004024AF" w:rsidP="005563C7">
            <w:pPr>
              <w:jc w:val="center"/>
              <w:rPr>
                <w:rFonts w:ascii="Arial" w:hAnsi="Arial" w:cs="Arial"/>
                <w:sz w:val="20"/>
                <w:szCs w:val="20"/>
              </w:rPr>
            </w:pPr>
            <w:r w:rsidRPr="00FC60F3">
              <w:rPr>
                <w:rFonts w:ascii="Arial" w:hAnsi="Arial" w:cs="Arial"/>
                <w:sz w:val="20"/>
                <w:szCs w:val="20"/>
              </w:rPr>
              <w:t>Increased</w:t>
            </w:r>
          </w:p>
        </w:tc>
        <w:tc>
          <w:tcPr>
            <w:tcW w:w="1843" w:type="dxa"/>
            <w:vAlign w:val="center"/>
          </w:tcPr>
          <w:p w14:paraId="19DFC021" w14:textId="77777777" w:rsidR="004024AF" w:rsidRPr="00FC60F3" w:rsidRDefault="004024AF" w:rsidP="005563C7">
            <w:pPr>
              <w:jc w:val="center"/>
              <w:rPr>
                <w:rFonts w:ascii="Arial" w:hAnsi="Arial" w:cs="Arial"/>
                <w:sz w:val="20"/>
                <w:szCs w:val="20"/>
              </w:rPr>
            </w:pPr>
            <w:r w:rsidRPr="00FC60F3">
              <w:rPr>
                <w:rFonts w:ascii="Arial" w:hAnsi="Arial" w:cs="Arial"/>
                <w:sz w:val="20"/>
                <w:szCs w:val="20"/>
              </w:rPr>
              <w:t>24 (40,7%)</w:t>
            </w:r>
          </w:p>
        </w:tc>
        <w:tc>
          <w:tcPr>
            <w:tcW w:w="2410" w:type="dxa"/>
            <w:vAlign w:val="center"/>
          </w:tcPr>
          <w:p w14:paraId="37DA6F0E" w14:textId="77777777" w:rsidR="004024AF" w:rsidRPr="00FC60F3" w:rsidRDefault="004024AF" w:rsidP="005563C7">
            <w:pPr>
              <w:jc w:val="center"/>
              <w:rPr>
                <w:rFonts w:ascii="Arial" w:hAnsi="Arial" w:cs="Arial"/>
                <w:sz w:val="20"/>
                <w:szCs w:val="20"/>
              </w:rPr>
            </w:pPr>
            <w:r w:rsidRPr="00FC60F3">
              <w:rPr>
                <w:rFonts w:ascii="Arial" w:hAnsi="Arial" w:cs="Arial"/>
                <w:sz w:val="20"/>
                <w:szCs w:val="20"/>
              </w:rPr>
              <w:t>5 (8,5%)</w:t>
            </w:r>
          </w:p>
        </w:tc>
        <w:tc>
          <w:tcPr>
            <w:tcW w:w="1701" w:type="dxa"/>
            <w:vMerge w:val="restart"/>
            <w:vAlign w:val="center"/>
          </w:tcPr>
          <w:p w14:paraId="51E34759" w14:textId="77777777" w:rsidR="004024AF" w:rsidRPr="00FC60F3" w:rsidRDefault="004024AF" w:rsidP="005563C7">
            <w:pPr>
              <w:jc w:val="center"/>
              <w:rPr>
                <w:rFonts w:ascii="Arial" w:hAnsi="Arial" w:cs="Arial"/>
                <w:b/>
                <w:bCs/>
                <w:sz w:val="20"/>
                <w:szCs w:val="20"/>
              </w:rPr>
            </w:pPr>
            <w:r w:rsidRPr="00FC60F3">
              <w:rPr>
                <w:rFonts w:ascii="Arial" w:hAnsi="Arial" w:cs="Arial"/>
                <w:b/>
                <w:bCs/>
                <w:sz w:val="20"/>
                <w:szCs w:val="20"/>
              </w:rPr>
              <w:t>0,028</w:t>
            </w:r>
          </w:p>
        </w:tc>
      </w:tr>
      <w:tr w:rsidR="004024AF" w:rsidRPr="00FC60F3" w14:paraId="26866F11" w14:textId="77777777" w:rsidTr="005563C7">
        <w:tc>
          <w:tcPr>
            <w:tcW w:w="2830" w:type="dxa"/>
            <w:vAlign w:val="center"/>
          </w:tcPr>
          <w:p w14:paraId="67F348E0" w14:textId="77777777" w:rsidR="004024AF" w:rsidRPr="00FC60F3" w:rsidRDefault="004024AF" w:rsidP="005563C7">
            <w:pPr>
              <w:jc w:val="center"/>
              <w:rPr>
                <w:rFonts w:ascii="Arial" w:hAnsi="Arial" w:cs="Arial"/>
                <w:sz w:val="20"/>
                <w:szCs w:val="20"/>
              </w:rPr>
            </w:pPr>
            <w:r w:rsidRPr="00FC60F3">
              <w:rPr>
                <w:rFonts w:ascii="Arial" w:hAnsi="Arial" w:cs="Arial"/>
                <w:sz w:val="20"/>
                <w:szCs w:val="20"/>
              </w:rPr>
              <w:t>Not increased</w:t>
            </w:r>
          </w:p>
        </w:tc>
        <w:tc>
          <w:tcPr>
            <w:tcW w:w="1843" w:type="dxa"/>
            <w:vAlign w:val="center"/>
          </w:tcPr>
          <w:p w14:paraId="7B3FB514" w14:textId="77777777" w:rsidR="004024AF" w:rsidRPr="00FC60F3" w:rsidRDefault="004024AF" w:rsidP="005563C7">
            <w:pPr>
              <w:jc w:val="center"/>
              <w:rPr>
                <w:rFonts w:ascii="Arial" w:hAnsi="Arial" w:cs="Arial"/>
                <w:sz w:val="20"/>
                <w:szCs w:val="20"/>
              </w:rPr>
            </w:pPr>
            <w:r w:rsidRPr="00FC60F3">
              <w:rPr>
                <w:rFonts w:ascii="Arial" w:hAnsi="Arial" w:cs="Arial"/>
                <w:sz w:val="20"/>
                <w:szCs w:val="20"/>
              </w:rPr>
              <w:t>17 (28,8%)</w:t>
            </w:r>
          </w:p>
        </w:tc>
        <w:tc>
          <w:tcPr>
            <w:tcW w:w="2410" w:type="dxa"/>
            <w:vAlign w:val="center"/>
          </w:tcPr>
          <w:p w14:paraId="5612BC32" w14:textId="77777777" w:rsidR="004024AF" w:rsidRPr="00FC60F3" w:rsidRDefault="004024AF" w:rsidP="005563C7">
            <w:pPr>
              <w:jc w:val="center"/>
              <w:rPr>
                <w:rFonts w:ascii="Arial" w:hAnsi="Arial" w:cs="Arial"/>
                <w:sz w:val="20"/>
                <w:szCs w:val="20"/>
              </w:rPr>
            </w:pPr>
            <w:r w:rsidRPr="00FC60F3">
              <w:rPr>
                <w:rFonts w:ascii="Arial" w:hAnsi="Arial" w:cs="Arial"/>
                <w:sz w:val="20"/>
                <w:szCs w:val="20"/>
              </w:rPr>
              <w:t>13 (22%)</w:t>
            </w:r>
          </w:p>
        </w:tc>
        <w:tc>
          <w:tcPr>
            <w:tcW w:w="1701" w:type="dxa"/>
            <w:vMerge/>
            <w:vAlign w:val="center"/>
          </w:tcPr>
          <w:p w14:paraId="27CAB4CA" w14:textId="77777777" w:rsidR="004024AF" w:rsidRPr="00FC60F3" w:rsidRDefault="004024AF" w:rsidP="005563C7">
            <w:pPr>
              <w:jc w:val="center"/>
              <w:rPr>
                <w:rFonts w:ascii="Arial" w:hAnsi="Arial" w:cs="Arial"/>
                <w:sz w:val="20"/>
                <w:szCs w:val="20"/>
              </w:rPr>
            </w:pPr>
          </w:p>
        </w:tc>
      </w:tr>
      <w:tr w:rsidR="004024AF" w:rsidRPr="00FC60F3" w14:paraId="668AFEF1" w14:textId="77777777" w:rsidTr="005563C7">
        <w:trPr>
          <w:trHeight w:val="327"/>
        </w:trPr>
        <w:tc>
          <w:tcPr>
            <w:tcW w:w="2830" w:type="dxa"/>
            <w:vAlign w:val="center"/>
          </w:tcPr>
          <w:p w14:paraId="0E5FB62C" w14:textId="77777777" w:rsidR="004024AF" w:rsidRPr="00FC60F3" w:rsidRDefault="004024AF" w:rsidP="005563C7">
            <w:pPr>
              <w:jc w:val="center"/>
              <w:rPr>
                <w:rFonts w:ascii="Arial" w:hAnsi="Arial" w:cs="Arial"/>
                <w:sz w:val="20"/>
                <w:szCs w:val="20"/>
              </w:rPr>
            </w:pPr>
            <w:r w:rsidRPr="00FC60F3">
              <w:rPr>
                <w:rFonts w:ascii="Arial" w:hAnsi="Arial" w:cs="Arial"/>
                <w:b/>
                <w:bCs/>
                <w:sz w:val="20"/>
                <w:szCs w:val="20"/>
              </w:rPr>
              <w:t>Total</w:t>
            </w:r>
          </w:p>
        </w:tc>
        <w:tc>
          <w:tcPr>
            <w:tcW w:w="1843" w:type="dxa"/>
            <w:vAlign w:val="center"/>
          </w:tcPr>
          <w:p w14:paraId="08DC650B" w14:textId="77777777" w:rsidR="004024AF" w:rsidRPr="00FC60F3" w:rsidRDefault="004024AF" w:rsidP="005563C7">
            <w:pPr>
              <w:jc w:val="center"/>
              <w:rPr>
                <w:rFonts w:ascii="Arial" w:hAnsi="Arial" w:cs="Arial"/>
                <w:b/>
                <w:bCs/>
                <w:sz w:val="20"/>
                <w:szCs w:val="20"/>
              </w:rPr>
            </w:pPr>
            <w:r w:rsidRPr="00FC60F3">
              <w:rPr>
                <w:rFonts w:ascii="Arial" w:hAnsi="Arial" w:cs="Arial"/>
                <w:b/>
                <w:bCs/>
                <w:sz w:val="20"/>
                <w:szCs w:val="20"/>
              </w:rPr>
              <w:t>41 (69,5%)</w:t>
            </w:r>
          </w:p>
        </w:tc>
        <w:tc>
          <w:tcPr>
            <w:tcW w:w="2410" w:type="dxa"/>
            <w:vAlign w:val="center"/>
          </w:tcPr>
          <w:p w14:paraId="0A1D0D2C" w14:textId="77777777" w:rsidR="004024AF" w:rsidRPr="00FC60F3" w:rsidRDefault="004024AF" w:rsidP="005563C7">
            <w:pPr>
              <w:jc w:val="center"/>
              <w:rPr>
                <w:rFonts w:ascii="Arial" w:hAnsi="Arial" w:cs="Arial"/>
                <w:b/>
                <w:bCs/>
                <w:sz w:val="20"/>
                <w:szCs w:val="20"/>
              </w:rPr>
            </w:pPr>
            <w:r w:rsidRPr="00FC60F3">
              <w:rPr>
                <w:rFonts w:ascii="Arial" w:hAnsi="Arial" w:cs="Arial"/>
                <w:b/>
                <w:bCs/>
                <w:sz w:val="20"/>
                <w:szCs w:val="20"/>
              </w:rPr>
              <w:t>18 (30,5%)</w:t>
            </w:r>
          </w:p>
        </w:tc>
        <w:tc>
          <w:tcPr>
            <w:tcW w:w="1701" w:type="dxa"/>
            <w:vMerge/>
            <w:vAlign w:val="center"/>
          </w:tcPr>
          <w:p w14:paraId="178F10FA" w14:textId="77777777" w:rsidR="004024AF" w:rsidRPr="00FC60F3" w:rsidRDefault="004024AF" w:rsidP="005563C7">
            <w:pPr>
              <w:jc w:val="center"/>
              <w:rPr>
                <w:rFonts w:ascii="Arial" w:hAnsi="Arial" w:cs="Arial"/>
                <w:sz w:val="20"/>
                <w:szCs w:val="20"/>
              </w:rPr>
            </w:pPr>
          </w:p>
        </w:tc>
      </w:tr>
    </w:tbl>
    <w:p w14:paraId="7D633F42" w14:textId="77777777" w:rsidR="004024AF" w:rsidRPr="00FC60F3" w:rsidRDefault="004024AF" w:rsidP="004024AF">
      <w:pPr>
        <w:ind w:firstLine="720"/>
        <w:jc w:val="both"/>
        <w:rPr>
          <w:rFonts w:ascii="Arial" w:hAnsi="Arial" w:cs="Arial"/>
        </w:rPr>
      </w:pPr>
      <w:r w:rsidRPr="00FC60F3">
        <w:rPr>
          <w:rFonts w:ascii="Arial" w:hAnsi="Arial" w:cs="Arial"/>
          <w:i/>
          <w:iCs/>
        </w:rPr>
        <w:t>Observation:</w:t>
      </w:r>
      <w:r w:rsidRPr="00FC60F3">
        <w:rPr>
          <w:rFonts w:ascii="Arial" w:hAnsi="Arial" w:cs="Arial"/>
        </w:rPr>
        <w:t xml:space="preserve"> There was a positive correlation between elevated IL-6 levels and increased CRP levels (</w:t>
      </w:r>
      <w:r w:rsidRPr="00FC60F3">
        <w:rPr>
          <w:rFonts w:ascii="Arial" w:hAnsi="Arial" w:cs="Arial"/>
          <w:i/>
          <w:iCs/>
        </w:rPr>
        <w:t>p</w:t>
      </w:r>
      <w:r w:rsidRPr="00FC60F3">
        <w:rPr>
          <w:rFonts w:ascii="Arial" w:hAnsi="Arial" w:cs="Arial"/>
        </w:rPr>
        <w:t xml:space="preserve"> = 0.028), with the majority of patients having both elevated CRP and IL-6 (40.7%).</w:t>
      </w:r>
    </w:p>
    <w:p w14:paraId="637ED3C4" w14:textId="77777777" w:rsidR="004024AF" w:rsidRPr="00FC60F3" w:rsidRDefault="004024AF" w:rsidP="004024AF">
      <w:pPr>
        <w:jc w:val="both"/>
        <w:rPr>
          <w:rFonts w:ascii="Arial" w:hAnsi="Arial" w:cs="Arial"/>
        </w:rPr>
      </w:pPr>
      <w:r w:rsidRPr="00FC60F3">
        <w:rPr>
          <w:rFonts w:ascii="Arial" w:hAnsi="Arial" w:cs="Arial"/>
        </w:rPr>
        <w:t xml:space="preserve">Table 7: Association between Elevated IL-6 and annual hospitalization rate </w:t>
      </w:r>
    </w:p>
    <w:tbl>
      <w:tblPr>
        <w:tblStyle w:val="TableGrid"/>
        <w:tblW w:w="0" w:type="auto"/>
        <w:tblLook w:val="04A0" w:firstRow="1" w:lastRow="0" w:firstColumn="1" w:lastColumn="0" w:noHBand="0" w:noVBand="1"/>
      </w:tblPr>
      <w:tblGrid>
        <w:gridCol w:w="2830"/>
        <w:gridCol w:w="1843"/>
        <w:gridCol w:w="2410"/>
        <w:gridCol w:w="1701"/>
      </w:tblGrid>
      <w:tr w:rsidR="004024AF" w:rsidRPr="00FC60F3" w14:paraId="187A2AAF" w14:textId="77777777" w:rsidTr="005563C7">
        <w:trPr>
          <w:trHeight w:val="891"/>
        </w:trPr>
        <w:tc>
          <w:tcPr>
            <w:tcW w:w="2830" w:type="dxa"/>
            <w:tcBorders>
              <w:tl2br w:val="single" w:sz="4" w:space="0" w:color="auto"/>
            </w:tcBorders>
          </w:tcPr>
          <w:p w14:paraId="138EEBBC" w14:textId="77777777" w:rsidR="004024AF" w:rsidRPr="00FC60F3" w:rsidRDefault="004024AF" w:rsidP="005563C7">
            <w:pPr>
              <w:rPr>
                <w:rFonts w:ascii="Arial" w:hAnsi="Arial" w:cs="Arial"/>
                <w:b/>
                <w:bCs/>
                <w:sz w:val="20"/>
                <w:szCs w:val="20"/>
              </w:rPr>
            </w:pPr>
            <w:r w:rsidRPr="00FC60F3">
              <w:rPr>
                <w:rFonts w:ascii="Arial" w:hAnsi="Arial" w:cs="Arial"/>
                <w:b/>
                <w:bCs/>
                <w:sz w:val="20"/>
                <w:szCs w:val="20"/>
              </w:rPr>
              <w:t xml:space="preserve">                                IL-6</w:t>
            </w:r>
          </w:p>
          <w:p w14:paraId="6CF6437E" w14:textId="77777777" w:rsidR="004024AF" w:rsidRPr="00FC60F3" w:rsidRDefault="004024AF" w:rsidP="005563C7">
            <w:pPr>
              <w:rPr>
                <w:rFonts w:ascii="Arial" w:hAnsi="Arial" w:cs="Arial"/>
                <w:b/>
                <w:bCs/>
                <w:sz w:val="20"/>
                <w:szCs w:val="20"/>
              </w:rPr>
            </w:pPr>
          </w:p>
          <w:p w14:paraId="3E881B74" w14:textId="77777777" w:rsidR="004024AF" w:rsidRPr="00FC60F3" w:rsidRDefault="004024AF" w:rsidP="005563C7">
            <w:pPr>
              <w:rPr>
                <w:rFonts w:ascii="Arial" w:hAnsi="Arial" w:cs="Arial"/>
                <w:b/>
                <w:bCs/>
                <w:sz w:val="20"/>
                <w:szCs w:val="20"/>
              </w:rPr>
            </w:pPr>
          </w:p>
          <w:p w14:paraId="06921386" w14:textId="77777777" w:rsidR="004024AF" w:rsidRPr="00FC60F3" w:rsidRDefault="004024AF" w:rsidP="005563C7">
            <w:pPr>
              <w:rPr>
                <w:rFonts w:ascii="Arial" w:hAnsi="Arial" w:cs="Arial"/>
                <w:b/>
                <w:bCs/>
                <w:sz w:val="20"/>
                <w:szCs w:val="20"/>
              </w:rPr>
            </w:pPr>
            <w:r w:rsidRPr="00FC60F3">
              <w:rPr>
                <w:rFonts w:ascii="Arial" w:hAnsi="Arial" w:cs="Arial"/>
                <w:b/>
                <w:bCs/>
                <w:sz w:val="20"/>
                <w:szCs w:val="20"/>
              </w:rPr>
              <w:t xml:space="preserve">Hospitalizations/Year </w:t>
            </w:r>
          </w:p>
        </w:tc>
        <w:tc>
          <w:tcPr>
            <w:tcW w:w="1843" w:type="dxa"/>
          </w:tcPr>
          <w:p w14:paraId="2D03C21D" w14:textId="77777777" w:rsidR="004024AF" w:rsidRPr="00FC60F3" w:rsidRDefault="004024AF" w:rsidP="005563C7">
            <w:pPr>
              <w:rPr>
                <w:rFonts w:ascii="Arial" w:hAnsi="Arial" w:cs="Arial"/>
                <w:b/>
                <w:bCs/>
                <w:sz w:val="20"/>
                <w:szCs w:val="20"/>
              </w:rPr>
            </w:pPr>
            <w:r w:rsidRPr="00FC60F3">
              <w:rPr>
                <w:rFonts w:ascii="Arial" w:hAnsi="Arial" w:cs="Arial"/>
                <w:b/>
                <w:bCs/>
                <w:sz w:val="20"/>
                <w:szCs w:val="20"/>
              </w:rPr>
              <w:t xml:space="preserve">Elevated </w:t>
            </w:r>
          </w:p>
        </w:tc>
        <w:tc>
          <w:tcPr>
            <w:tcW w:w="2410" w:type="dxa"/>
          </w:tcPr>
          <w:p w14:paraId="043AA27D" w14:textId="77777777" w:rsidR="004024AF" w:rsidRPr="00FC60F3" w:rsidRDefault="004024AF" w:rsidP="005563C7">
            <w:pPr>
              <w:rPr>
                <w:rFonts w:ascii="Arial" w:hAnsi="Arial" w:cs="Arial"/>
                <w:b/>
                <w:bCs/>
                <w:sz w:val="20"/>
                <w:szCs w:val="20"/>
              </w:rPr>
            </w:pPr>
            <w:r w:rsidRPr="00FC60F3">
              <w:rPr>
                <w:rFonts w:ascii="Arial" w:hAnsi="Arial" w:cs="Arial"/>
                <w:b/>
                <w:bCs/>
                <w:sz w:val="20"/>
                <w:szCs w:val="20"/>
              </w:rPr>
              <w:t xml:space="preserve">Not Elevated </w:t>
            </w:r>
          </w:p>
        </w:tc>
        <w:tc>
          <w:tcPr>
            <w:tcW w:w="1701" w:type="dxa"/>
          </w:tcPr>
          <w:p w14:paraId="5878419E" w14:textId="77777777" w:rsidR="004024AF" w:rsidRPr="00FC60F3" w:rsidRDefault="004024AF" w:rsidP="005563C7">
            <w:pPr>
              <w:rPr>
                <w:rFonts w:ascii="Arial" w:hAnsi="Arial" w:cs="Arial"/>
                <w:b/>
                <w:bCs/>
                <w:sz w:val="20"/>
                <w:szCs w:val="20"/>
              </w:rPr>
            </w:pPr>
            <w:r w:rsidRPr="00FC60F3">
              <w:rPr>
                <w:rFonts w:ascii="Arial" w:hAnsi="Arial" w:cs="Arial"/>
                <w:b/>
                <w:bCs/>
                <w:sz w:val="20"/>
                <w:szCs w:val="20"/>
              </w:rPr>
              <w:t xml:space="preserve">p-value </w:t>
            </w:r>
          </w:p>
        </w:tc>
      </w:tr>
      <w:tr w:rsidR="004024AF" w:rsidRPr="00FC60F3" w14:paraId="29DCD2EF" w14:textId="77777777" w:rsidTr="005563C7">
        <w:tc>
          <w:tcPr>
            <w:tcW w:w="2830" w:type="dxa"/>
          </w:tcPr>
          <w:p w14:paraId="21C43EB6" w14:textId="77777777" w:rsidR="004024AF" w:rsidRPr="00FC60F3" w:rsidRDefault="004024AF" w:rsidP="005563C7">
            <w:pPr>
              <w:rPr>
                <w:rFonts w:ascii="Arial" w:hAnsi="Arial" w:cs="Arial"/>
                <w:sz w:val="20"/>
                <w:szCs w:val="20"/>
              </w:rPr>
            </w:pPr>
            <w:r w:rsidRPr="00FC60F3">
              <w:rPr>
                <w:rFonts w:ascii="Arial" w:hAnsi="Arial" w:cs="Arial"/>
                <w:sz w:val="20"/>
                <w:szCs w:val="20"/>
              </w:rPr>
              <w:t xml:space="preserve">1 time </w:t>
            </w:r>
          </w:p>
        </w:tc>
        <w:tc>
          <w:tcPr>
            <w:tcW w:w="1843" w:type="dxa"/>
          </w:tcPr>
          <w:p w14:paraId="00A69C5F" w14:textId="77777777" w:rsidR="004024AF" w:rsidRPr="00FC60F3" w:rsidRDefault="004024AF" w:rsidP="005563C7">
            <w:pPr>
              <w:rPr>
                <w:rFonts w:ascii="Arial" w:hAnsi="Arial" w:cs="Arial"/>
                <w:sz w:val="20"/>
                <w:szCs w:val="20"/>
              </w:rPr>
            </w:pPr>
            <w:r w:rsidRPr="00FC60F3">
              <w:rPr>
                <w:rFonts w:ascii="Arial" w:hAnsi="Arial" w:cs="Arial"/>
                <w:sz w:val="20"/>
                <w:szCs w:val="20"/>
              </w:rPr>
              <w:t>20 (33,9%)</w:t>
            </w:r>
          </w:p>
        </w:tc>
        <w:tc>
          <w:tcPr>
            <w:tcW w:w="2410" w:type="dxa"/>
          </w:tcPr>
          <w:p w14:paraId="12C98A3C" w14:textId="77777777" w:rsidR="004024AF" w:rsidRPr="00FC60F3" w:rsidRDefault="004024AF" w:rsidP="005563C7">
            <w:pPr>
              <w:rPr>
                <w:rFonts w:ascii="Arial" w:hAnsi="Arial" w:cs="Arial"/>
                <w:sz w:val="20"/>
                <w:szCs w:val="20"/>
              </w:rPr>
            </w:pPr>
            <w:r w:rsidRPr="00FC60F3">
              <w:rPr>
                <w:rFonts w:ascii="Arial" w:hAnsi="Arial" w:cs="Arial"/>
                <w:sz w:val="20"/>
                <w:szCs w:val="20"/>
              </w:rPr>
              <w:t>18 (30,5%)</w:t>
            </w:r>
          </w:p>
        </w:tc>
        <w:tc>
          <w:tcPr>
            <w:tcW w:w="1701" w:type="dxa"/>
            <w:vMerge w:val="restart"/>
          </w:tcPr>
          <w:p w14:paraId="58C8C93B" w14:textId="77777777" w:rsidR="004024AF" w:rsidRPr="00FC60F3" w:rsidRDefault="004024AF" w:rsidP="005563C7">
            <w:pPr>
              <w:rPr>
                <w:rFonts w:ascii="Arial" w:hAnsi="Arial" w:cs="Arial"/>
                <w:b/>
                <w:bCs/>
                <w:sz w:val="20"/>
                <w:szCs w:val="20"/>
              </w:rPr>
            </w:pPr>
            <w:r w:rsidRPr="00FC60F3">
              <w:rPr>
                <w:rFonts w:ascii="Arial" w:hAnsi="Arial" w:cs="Arial"/>
                <w:b/>
                <w:bCs/>
                <w:sz w:val="20"/>
                <w:szCs w:val="20"/>
              </w:rPr>
              <w:t>0.001</w:t>
            </w:r>
          </w:p>
        </w:tc>
      </w:tr>
      <w:tr w:rsidR="004024AF" w:rsidRPr="00FC60F3" w14:paraId="079AA7D8" w14:textId="77777777" w:rsidTr="005563C7">
        <w:tc>
          <w:tcPr>
            <w:tcW w:w="2830" w:type="dxa"/>
          </w:tcPr>
          <w:p w14:paraId="1794EB9A" w14:textId="77777777" w:rsidR="004024AF" w:rsidRPr="00FC60F3" w:rsidRDefault="004024AF" w:rsidP="005563C7">
            <w:pPr>
              <w:rPr>
                <w:rFonts w:ascii="Arial" w:hAnsi="Arial" w:cs="Arial"/>
                <w:sz w:val="20"/>
                <w:szCs w:val="20"/>
              </w:rPr>
            </w:pPr>
            <w:r w:rsidRPr="00FC60F3">
              <w:rPr>
                <w:rFonts w:ascii="Arial" w:hAnsi="Arial" w:cs="Arial"/>
                <w:sz w:val="20"/>
                <w:szCs w:val="20"/>
              </w:rPr>
              <w:t xml:space="preserve">≥ 2 times </w:t>
            </w:r>
          </w:p>
        </w:tc>
        <w:tc>
          <w:tcPr>
            <w:tcW w:w="1843" w:type="dxa"/>
          </w:tcPr>
          <w:p w14:paraId="471F1F14" w14:textId="77777777" w:rsidR="004024AF" w:rsidRPr="00FC60F3" w:rsidRDefault="004024AF" w:rsidP="005563C7">
            <w:pPr>
              <w:rPr>
                <w:rFonts w:ascii="Arial" w:hAnsi="Arial" w:cs="Arial"/>
                <w:sz w:val="20"/>
                <w:szCs w:val="20"/>
              </w:rPr>
            </w:pPr>
            <w:r w:rsidRPr="00FC60F3">
              <w:rPr>
                <w:rFonts w:ascii="Arial" w:hAnsi="Arial" w:cs="Arial"/>
                <w:sz w:val="20"/>
                <w:szCs w:val="20"/>
              </w:rPr>
              <w:t>21 (35,6%)</w:t>
            </w:r>
          </w:p>
        </w:tc>
        <w:tc>
          <w:tcPr>
            <w:tcW w:w="2410" w:type="dxa"/>
          </w:tcPr>
          <w:p w14:paraId="0FF81B95" w14:textId="77777777" w:rsidR="004024AF" w:rsidRPr="00FC60F3" w:rsidRDefault="004024AF" w:rsidP="005563C7">
            <w:pPr>
              <w:rPr>
                <w:rFonts w:ascii="Arial" w:hAnsi="Arial" w:cs="Arial"/>
                <w:sz w:val="20"/>
                <w:szCs w:val="20"/>
              </w:rPr>
            </w:pPr>
            <w:r w:rsidRPr="00FC60F3">
              <w:rPr>
                <w:rFonts w:ascii="Arial" w:hAnsi="Arial" w:cs="Arial"/>
                <w:sz w:val="20"/>
                <w:szCs w:val="20"/>
              </w:rPr>
              <w:t>0 (0%)</w:t>
            </w:r>
          </w:p>
        </w:tc>
        <w:tc>
          <w:tcPr>
            <w:tcW w:w="1701" w:type="dxa"/>
            <w:vMerge/>
          </w:tcPr>
          <w:p w14:paraId="3C46EA63" w14:textId="77777777" w:rsidR="004024AF" w:rsidRPr="00FC60F3" w:rsidRDefault="004024AF" w:rsidP="005563C7">
            <w:pPr>
              <w:rPr>
                <w:rFonts w:ascii="Arial" w:hAnsi="Arial" w:cs="Arial"/>
                <w:sz w:val="20"/>
                <w:szCs w:val="20"/>
              </w:rPr>
            </w:pPr>
          </w:p>
        </w:tc>
      </w:tr>
      <w:tr w:rsidR="004024AF" w:rsidRPr="00FC60F3" w14:paraId="0D09162A" w14:textId="77777777" w:rsidTr="005563C7">
        <w:tc>
          <w:tcPr>
            <w:tcW w:w="2830" w:type="dxa"/>
          </w:tcPr>
          <w:p w14:paraId="5325AEB5" w14:textId="77777777" w:rsidR="004024AF" w:rsidRPr="00FC60F3" w:rsidRDefault="004024AF" w:rsidP="005563C7">
            <w:pPr>
              <w:rPr>
                <w:rFonts w:ascii="Arial" w:hAnsi="Arial" w:cs="Arial"/>
                <w:sz w:val="20"/>
                <w:szCs w:val="20"/>
              </w:rPr>
            </w:pPr>
            <w:r w:rsidRPr="00FC60F3">
              <w:rPr>
                <w:rFonts w:ascii="Arial" w:hAnsi="Arial" w:cs="Arial"/>
                <w:b/>
                <w:bCs/>
                <w:sz w:val="20"/>
                <w:szCs w:val="20"/>
              </w:rPr>
              <w:t>Total</w:t>
            </w:r>
            <w:r w:rsidRPr="00FC60F3">
              <w:rPr>
                <w:rFonts w:ascii="Arial" w:hAnsi="Arial" w:cs="Arial"/>
                <w:sz w:val="20"/>
                <w:szCs w:val="20"/>
              </w:rPr>
              <w:t xml:space="preserve"> </w:t>
            </w:r>
          </w:p>
        </w:tc>
        <w:tc>
          <w:tcPr>
            <w:tcW w:w="1843" w:type="dxa"/>
          </w:tcPr>
          <w:p w14:paraId="67AC3A28" w14:textId="77777777" w:rsidR="004024AF" w:rsidRPr="00FC60F3" w:rsidRDefault="004024AF" w:rsidP="005563C7">
            <w:pPr>
              <w:rPr>
                <w:rFonts w:ascii="Arial" w:hAnsi="Arial" w:cs="Arial"/>
                <w:b/>
                <w:bCs/>
                <w:sz w:val="20"/>
                <w:szCs w:val="20"/>
              </w:rPr>
            </w:pPr>
            <w:r w:rsidRPr="00FC60F3">
              <w:rPr>
                <w:rFonts w:ascii="Arial" w:hAnsi="Arial" w:cs="Arial"/>
                <w:b/>
                <w:bCs/>
                <w:sz w:val="20"/>
                <w:szCs w:val="20"/>
              </w:rPr>
              <w:t>41 (69,5%)</w:t>
            </w:r>
          </w:p>
        </w:tc>
        <w:tc>
          <w:tcPr>
            <w:tcW w:w="2410" w:type="dxa"/>
          </w:tcPr>
          <w:p w14:paraId="553FF9A8" w14:textId="77777777" w:rsidR="004024AF" w:rsidRPr="00FC60F3" w:rsidRDefault="004024AF" w:rsidP="005563C7">
            <w:pPr>
              <w:rPr>
                <w:rFonts w:ascii="Arial" w:hAnsi="Arial" w:cs="Arial"/>
                <w:b/>
                <w:bCs/>
                <w:sz w:val="20"/>
                <w:szCs w:val="20"/>
              </w:rPr>
            </w:pPr>
            <w:r w:rsidRPr="00FC60F3">
              <w:rPr>
                <w:rFonts w:ascii="Arial" w:hAnsi="Arial" w:cs="Arial"/>
                <w:b/>
                <w:bCs/>
                <w:sz w:val="20"/>
                <w:szCs w:val="20"/>
              </w:rPr>
              <w:t>18 (30,5%)</w:t>
            </w:r>
          </w:p>
        </w:tc>
        <w:tc>
          <w:tcPr>
            <w:tcW w:w="1701" w:type="dxa"/>
            <w:vMerge/>
          </w:tcPr>
          <w:p w14:paraId="125975CE" w14:textId="77777777" w:rsidR="004024AF" w:rsidRPr="00FC60F3" w:rsidRDefault="004024AF" w:rsidP="005563C7">
            <w:pPr>
              <w:rPr>
                <w:rFonts w:ascii="Arial" w:hAnsi="Arial" w:cs="Arial"/>
                <w:sz w:val="20"/>
                <w:szCs w:val="20"/>
              </w:rPr>
            </w:pPr>
          </w:p>
        </w:tc>
      </w:tr>
    </w:tbl>
    <w:p w14:paraId="30A3F0D2" w14:textId="77777777" w:rsidR="004024AF" w:rsidRPr="00FC60F3" w:rsidRDefault="004024AF" w:rsidP="004024AF">
      <w:pPr>
        <w:ind w:firstLine="720"/>
        <w:jc w:val="both"/>
        <w:rPr>
          <w:rFonts w:ascii="Arial" w:hAnsi="Arial" w:cs="Arial"/>
        </w:rPr>
      </w:pPr>
      <w:r w:rsidRPr="00FC60F3">
        <w:rPr>
          <w:rFonts w:ascii="Arial" w:hAnsi="Arial" w:cs="Arial"/>
        </w:rPr>
        <w:t xml:space="preserve"> </w:t>
      </w:r>
      <w:r w:rsidRPr="00FC60F3">
        <w:rPr>
          <w:rFonts w:ascii="Arial" w:hAnsi="Arial" w:cs="Arial"/>
          <w:i/>
          <w:iCs/>
        </w:rPr>
        <w:t>Observation:</w:t>
      </w:r>
      <w:r w:rsidRPr="00FC60F3">
        <w:rPr>
          <w:rFonts w:ascii="Arial" w:hAnsi="Arial" w:cs="Arial"/>
        </w:rPr>
        <w:t xml:space="preserve"> A significant association was found between elevated IL-6 and the annual hospitalization rate (</w:t>
      </w:r>
      <w:r w:rsidRPr="00FC60F3">
        <w:rPr>
          <w:rFonts w:ascii="Arial" w:hAnsi="Arial" w:cs="Arial"/>
          <w:i/>
          <w:iCs/>
        </w:rPr>
        <w:t>p</w:t>
      </w:r>
      <w:r w:rsidRPr="00FC60F3">
        <w:rPr>
          <w:rFonts w:ascii="Arial" w:hAnsi="Arial" w:cs="Arial"/>
        </w:rPr>
        <w:t xml:space="preserve"> = 0.001). Patients with elevated IL-6 had a higher frequency of hospitalization.</w:t>
      </w:r>
    </w:p>
    <w:p w14:paraId="1C5A7E89" w14:textId="77777777" w:rsidR="004024AF" w:rsidRPr="00FC60F3" w:rsidRDefault="004024AF" w:rsidP="004024AF">
      <w:pPr>
        <w:jc w:val="both"/>
        <w:rPr>
          <w:rFonts w:ascii="Arial" w:hAnsi="Arial" w:cs="Arial"/>
        </w:rPr>
      </w:pPr>
      <w:r w:rsidRPr="00FC60F3">
        <w:rPr>
          <w:rFonts w:ascii="Arial" w:hAnsi="Arial" w:cs="Arial"/>
        </w:rPr>
        <w:t xml:space="preserve">Table 8: Association between Elevated IL-6 and frequency of acute asthma attacks </w:t>
      </w:r>
    </w:p>
    <w:tbl>
      <w:tblPr>
        <w:tblStyle w:val="TableGrid"/>
        <w:tblW w:w="0" w:type="auto"/>
        <w:tblLook w:val="04A0" w:firstRow="1" w:lastRow="0" w:firstColumn="1" w:lastColumn="0" w:noHBand="0" w:noVBand="1"/>
      </w:tblPr>
      <w:tblGrid>
        <w:gridCol w:w="2830"/>
        <w:gridCol w:w="1843"/>
        <w:gridCol w:w="2410"/>
        <w:gridCol w:w="1701"/>
      </w:tblGrid>
      <w:tr w:rsidR="004024AF" w:rsidRPr="00FC60F3" w14:paraId="683F4D13" w14:textId="77777777" w:rsidTr="005563C7">
        <w:trPr>
          <w:trHeight w:val="1309"/>
        </w:trPr>
        <w:tc>
          <w:tcPr>
            <w:tcW w:w="2830" w:type="dxa"/>
            <w:tcBorders>
              <w:tl2br w:val="single" w:sz="4" w:space="0" w:color="auto"/>
            </w:tcBorders>
          </w:tcPr>
          <w:p w14:paraId="56B503DE" w14:textId="77777777" w:rsidR="004024AF" w:rsidRPr="00FC60F3" w:rsidRDefault="004024AF" w:rsidP="005563C7">
            <w:pPr>
              <w:rPr>
                <w:rFonts w:ascii="Arial" w:hAnsi="Arial" w:cs="Arial"/>
                <w:b/>
                <w:bCs/>
                <w:sz w:val="20"/>
                <w:szCs w:val="20"/>
              </w:rPr>
            </w:pPr>
            <w:r w:rsidRPr="00FC60F3">
              <w:rPr>
                <w:rFonts w:ascii="Arial" w:hAnsi="Arial" w:cs="Arial"/>
                <w:sz w:val="20"/>
                <w:szCs w:val="20"/>
              </w:rPr>
              <w:lastRenderedPageBreak/>
              <w:t xml:space="preserve">                            </w:t>
            </w:r>
            <w:r w:rsidRPr="00FC60F3">
              <w:rPr>
                <w:rFonts w:ascii="Arial" w:hAnsi="Arial" w:cs="Arial"/>
                <w:b/>
                <w:bCs/>
                <w:sz w:val="20"/>
                <w:szCs w:val="20"/>
              </w:rPr>
              <w:t>IL-6</w:t>
            </w:r>
          </w:p>
          <w:p w14:paraId="79623B07" w14:textId="77777777" w:rsidR="004024AF" w:rsidRPr="00FC60F3" w:rsidRDefault="004024AF" w:rsidP="005563C7">
            <w:pPr>
              <w:rPr>
                <w:rFonts w:ascii="Arial" w:hAnsi="Arial" w:cs="Arial"/>
                <w:b/>
                <w:bCs/>
                <w:sz w:val="20"/>
                <w:szCs w:val="20"/>
              </w:rPr>
            </w:pPr>
          </w:p>
          <w:p w14:paraId="487F8483" w14:textId="77777777" w:rsidR="004024AF" w:rsidRPr="00FC60F3" w:rsidRDefault="004024AF" w:rsidP="005563C7">
            <w:pPr>
              <w:rPr>
                <w:rFonts w:ascii="Arial" w:hAnsi="Arial" w:cs="Arial"/>
                <w:b/>
                <w:bCs/>
                <w:sz w:val="20"/>
                <w:szCs w:val="20"/>
              </w:rPr>
            </w:pPr>
          </w:p>
          <w:p w14:paraId="5F0B70ED" w14:textId="77777777" w:rsidR="004024AF" w:rsidRPr="00FC60F3" w:rsidRDefault="004024AF" w:rsidP="005563C7">
            <w:pPr>
              <w:rPr>
                <w:rFonts w:ascii="Arial" w:hAnsi="Arial" w:cs="Arial"/>
                <w:b/>
                <w:bCs/>
                <w:sz w:val="20"/>
                <w:szCs w:val="20"/>
              </w:rPr>
            </w:pPr>
          </w:p>
          <w:p w14:paraId="54F81E0C" w14:textId="77777777" w:rsidR="004024AF" w:rsidRPr="00FC60F3" w:rsidRDefault="004024AF" w:rsidP="005563C7">
            <w:pPr>
              <w:rPr>
                <w:rFonts w:ascii="Arial" w:hAnsi="Arial" w:cs="Arial"/>
                <w:b/>
                <w:bCs/>
                <w:sz w:val="20"/>
                <w:szCs w:val="20"/>
              </w:rPr>
            </w:pPr>
            <w:r w:rsidRPr="00FC60F3">
              <w:rPr>
                <w:rFonts w:ascii="Arial" w:hAnsi="Arial" w:cs="Arial"/>
                <w:b/>
                <w:bCs/>
                <w:sz w:val="20"/>
                <w:szCs w:val="20"/>
              </w:rPr>
              <w:t>Acute Attacks</w:t>
            </w:r>
          </w:p>
          <w:p w14:paraId="4DA5860E" w14:textId="77777777" w:rsidR="004024AF" w:rsidRPr="00FC60F3" w:rsidRDefault="004024AF" w:rsidP="005563C7">
            <w:pPr>
              <w:rPr>
                <w:rFonts w:ascii="Arial" w:hAnsi="Arial" w:cs="Arial"/>
                <w:sz w:val="20"/>
                <w:szCs w:val="20"/>
              </w:rPr>
            </w:pPr>
            <w:r w:rsidRPr="00FC60F3">
              <w:rPr>
                <w:rFonts w:ascii="Arial" w:hAnsi="Arial" w:cs="Arial"/>
                <w:b/>
                <w:bCs/>
                <w:sz w:val="20"/>
                <w:szCs w:val="20"/>
              </w:rPr>
              <w:t xml:space="preserve"> (Clinic Visits) </w:t>
            </w:r>
          </w:p>
        </w:tc>
        <w:tc>
          <w:tcPr>
            <w:tcW w:w="1843" w:type="dxa"/>
          </w:tcPr>
          <w:p w14:paraId="62149CCD" w14:textId="77777777" w:rsidR="004024AF" w:rsidRPr="00FC60F3" w:rsidRDefault="004024AF" w:rsidP="005563C7">
            <w:pPr>
              <w:rPr>
                <w:rFonts w:ascii="Arial" w:hAnsi="Arial" w:cs="Arial"/>
                <w:sz w:val="20"/>
                <w:szCs w:val="20"/>
              </w:rPr>
            </w:pPr>
            <w:r w:rsidRPr="00FC60F3">
              <w:rPr>
                <w:rFonts w:ascii="Arial" w:hAnsi="Arial" w:cs="Arial"/>
                <w:b/>
                <w:bCs/>
                <w:sz w:val="20"/>
                <w:szCs w:val="20"/>
              </w:rPr>
              <w:t xml:space="preserve">Elevated </w:t>
            </w:r>
          </w:p>
        </w:tc>
        <w:tc>
          <w:tcPr>
            <w:tcW w:w="2410" w:type="dxa"/>
          </w:tcPr>
          <w:p w14:paraId="4BD05CE2" w14:textId="77777777" w:rsidR="004024AF" w:rsidRPr="00FC60F3" w:rsidRDefault="004024AF" w:rsidP="005563C7">
            <w:pPr>
              <w:rPr>
                <w:rFonts w:ascii="Arial" w:hAnsi="Arial" w:cs="Arial"/>
                <w:sz w:val="20"/>
                <w:szCs w:val="20"/>
              </w:rPr>
            </w:pPr>
            <w:r w:rsidRPr="00FC60F3">
              <w:rPr>
                <w:rFonts w:ascii="Arial" w:hAnsi="Arial" w:cs="Arial"/>
                <w:b/>
                <w:bCs/>
                <w:sz w:val="20"/>
                <w:szCs w:val="20"/>
              </w:rPr>
              <w:t xml:space="preserve">Not Elevated </w:t>
            </w:r>
          </w:p>
        </w:tc>
        <w:tc>
          <w:tcPr>
            <w:tcW w:w="1701" w:type="dxa"/>
          </w:tcPr>
          <w:p w14:paraId="13881FF9" w14:textId="77777777" w:rsidR="004024AF" w:rsidRPr="00FC60F3" w:rsidRDefault="004024AF" w:rsidP="005563C7">
            <w:pPr>
              <w:rPr>
                <w:rFonts w:ascii="Arial" w:hAnsi="Arial" w:cs="Arial"/>
                <w:sz w:val="20"/>
                <w:szCs w:val="20"/>
              </w:rPr>
            </w:pPr>
            <w:r w:rsidRPr="00FC60F3">
              <w:rPr>
                <w:rFonts w:ascii="Arial" w:hAnsi="Arial" w:cs="Arial"/>
                <w:b/>
                <w:bCs/>
                <w:sz w:val="20"/>
                <w:szCs w:val="20"/>
              </w:rPr>
              <w:t xml:space="preserve">p-value </w:t>
            </w:r>
          </w:p>
        </w:tc>
      </w:tr>
      <w:tr w:rsidR="004024AF" w:rsidRPr="00FC60F3" w14:paraId="6E3B9298" w14:textId="77777777" w:rsidTr="005563C7">
        <w:tc>
          <w:tcPr>
            <w:tcW w:w="2830" w:type="dxa"/>
          </w:tcPr>
          <w:p w14:paraId="5F7CC5E4" w14:textId="77777777" w:rsidR="004024AF" w:rsidRPr="00FC60F3" w:rsidRDefault="004024AF" w:rsidP="005563C7">
            <w:pPr>
              <w:rPr>
                <w:rFonts w:ascii="Arial" w:hAnsi="Arial" w:cs="Arial"/>
                <w:sz w:val="20"/>
                <w:szCs w:val="20"/>
              </w:rPr>
            </w:pPr>
            <w:r w:rsidRPr="00FC60F3">
              <w:rPr>
                <w:rFonts w:ascii="Arial" w:hAnsi="Arial" w:cs="Arial"/>
                <w:sz w:val="20"/>
                <w:szCs w:val="20"/>
              </w:rPr>
              <w:t>None</w:t>
            </w:r>
          </w:p>
        </w:tc>
        <w:tc>
          <w:tcPr>
            <w:tcW w:w="1843" w:type="dxa"/>
          </w:tcPr>
          <w:p w14:paraId="50C09C8F" w14:textId="77777777" w:rsidR="004024AF" w:rsidRPr="00FC60F3" w:rsidRDefault="004024AF" w:rsidP="005563C7">
            <w:pPr>
              <w:rPr>
                <w:rFonts w:ascii="Arial" w:hAnsi="Arial" w:cs="Arial"/>
                <w:sz w:val="20"/>
                <w:szCs w:val="20"/>
              </w:rPr>
            </w:pPr>
            <w:r w:rsidRPr="00FC60F3">
              <w:rPr>
                <w:rFonts w:ascii="Arial" w:hAnsi="Arial" w:cs="Arial"/>
                <w:sz w:val="20"/>
                <w:szCs w:val="20"/>
              </w:rPr>
              <w:t>11 (18,6%)</w:t>
            </w:r>
          </w:p>
        </w:tc>
        <w:tc>
          <w:tcPr>
            <w:tcW w:w="2410" w:type="dxa"/>
          </w:tcPr>
          <w:p w14:paraId="084306E6" w14:textId="77777777" w:rsidR="004024AF" w:rsidRPr="00FC60F3" w:rsidRDefault="004024AF" w:rsidP="005563C7">
            <w:pPr>
              <w:rPr>
                <w:rFonts w:ascii="Arial" w:hAnsi="Arial" w:cs="Arial"/>
                <w:sz w:val="20"/>
                <w:szCs w:val="20"/>
              </w:rPr>
            </w:pPr>
            <w:r w:rsidRPr="00FC60F3">
              <w:rPr>
                <w:rFonts w:ascii="Arial" w:hAnsi="Arial" w:cs="Arial"/>
                <w:sz w:val="20"/>
                <w:szCs w:val="20"/>
              </w:rPr>
              <w:t>12 (20,3%)</w:t>
            </w:r>
          </w:p>
        </w:tc>
        <w:tc>
          <w:tcPr>
            <w:tcW w:w="1701" w:type="dxa"/>
            <w:vMerge w:val="restart"/>
          </w:tcPr>
          <w:p w14:paraId="0E6C5D14" w14:textId="77777777" w:rsidR="004024AF" w:rsidRPr="00FC60F3" w:rsidRDefault="004024AF" w:rsidP="005563C7">
            <w:pPr>
              <w:rPr>
                <w:rFonts w:ascii="Arial" w:hAnsi="Arial" w:cs="Arial"/>
                <w:b/>
                <w:bCs/>
                <w:sz w:val="20"/>
                <w:szCs w:val="20"/>
              </w:rPr>
            </w:pPr>
            <w:r w:rsidRPr="00FC60F3">
              <w:rPr>
                <w:rFonts w:ascii="Arial" w:hAnsi="Arial" w:cs="Arial"/>
                <w:b/>
                <w:bCs/>
                <w:sz w:val="20"/>
                <w:szCs w:val="20"/>
              </w:rPr>
              <w:t>0,011</w:t>
            </w:r>
          </w:p>
        </w:tc>
      </w:tr>
      <w:tr w:rsidR="004024AF" w:rsidRPr="00FC60F3" w14:paraId="25D97C76" w14:textId="77777777" w:rsidTr="005563C7">
        <w:tc>
          <w:tcPr>
            <w:tcW w:w="2830" w:type="dxa"/>
          </w:tcPr>
          <w:p w14:paraId="7E73B23F" w14:textId="77777777" w:rsidR="004024AF" w:rsidRPr="00FC60F3" w:rsidRDefault="004024AF" w:rsidP="005563C7">
            <w:pPr>
              <w:rPr>
                <w:rFonts w:ascii="Arial" w:hAnsi="Arial" w:cs="Arial"/>
                <w:sz w:val="20"/>
                <w:szCs w:val="20"/>
              </w:rPr>
            </w:pPr>
            <w:r w:rsidRPr="00FC60F3">
              <w:rPr>
                <w:rFonts w:ascii="Arial" w:hAnsi="Arial" w:cs="Arial"/>
                <w:sz w:val="20"/>
                <w:szCs w:val="20"/>
              </w:rPr>
              <w:t>1-2 times</w:t>
            </w:r>
          </w:p>
        </w:tc>
        <w:tc>
          <w:tcPr>
            <w:tcW w:w="1843" w:type="dxa"/>
          </w:tcPr>
          <w:p w14:paraId="378A23C8" w14:textId="77777777" w:rsidR="004024AF" w:rsidRPr="00FC60F3" w:rsidRDefault="004024AF" w:rsidP="005563C7">
            <w:pPr>
              <w:rPr>
                <w:rFonts w:ascii="Arial" w:hAnsi="Arial" w:cs="Arial"/>
                <w:sz w:val="20"/>
                <w:szCs w:val="20"/>
              </w:rPr>
            </w:pPr>
            <w:r w:rsidRPr="00FC60F3">
              <w:rPr>
                <w:rFonts w:ascii="Arial" w:hAnsi="Arial" w:cs="Arial"/>
                <w:sz w:val="20"/>
                <w:szCs w:val="20"/>
              </w:rPr>
              <w:t>19 (32,2%)</w:t>
            </w:r>
          </w:p>
        </w:tc>
        <w:tc>
          <w:tcPr>
            <w:tcW w:w="2410" w:type="dxa"/>
          </w:tcPr>
          <w:p w14:paraId="498B841A" w14:textId="77777777" w:rsidR="004024AF" w:rsidRPr="00FC60F3" w:rsidRDefault="004024AF" w:rsidP="005563C7">
            <w:pPr>
              <w:rPr>
                <w:rFonts w:ascii="Arial" w:hAnsi="Arial" w:cs="Arial"/>
                <w:sz w:val="20"/>
                <w:szCs w:val="20"/>
              </w:rPr>
            </w:pPr>
            <w:r w:rsidRPr="00FC60F3">
              <w:rPr>
                <w:rFonts w:ascii="Arial" w:hAnsi="Arial" w:cs="Arial"/>
                <w:sz w:val="20"/>
                <w:szCs w:val="20"/>
              </w:rPr>
              <w:t>5 (8,5%)</w:t>
            </w:r>
          </w:p>
        </w:tc>
        <w:tc>
          <w:tcPr>
            <w:tcW w:w="1701" w:type="dxa"/>
            <w:vMerge/>
          </w:tcPr>
          <w:p w14:paraId="0857A820" w14:textId="77777777" w:rsidR="004024AF" w:rsidRPr="00FC60F3" w:rsidRDefault="004024AF" w:rsidP="005563C7">
            <w:pPr>
              <w:rPr>
                <w:rFonts w:ascii="Arial" w:hAnsi="Arial" w:cs="Arial"/>
                <w:sz w:val="20"/>
                <w:szCs w:val="20"/>
              </w:rPr>
            </w:pPr>
          </w:p>
        </w:tc>
      </w:tr>
      <w:tr w:rsidR="004024AF" w:rsidRPr="00FC60F3" w14:paraId="6BE8035C" w14:textId="77777777" w:rsidTr="005563C7">
        <w:tc>
          <w:tcPr>
            <w:tcW w:w="2830" w:type="dxa"/>
          </w:tcPr>
          <w:p w14:paraId="2388947C" w14:textId="77777777" w:rsidR="004024AF" w:rsidRPr="00FC60F3" w:rsidRDefault="004024AF" w:rsidP="005563C7">
            <w:pPr>
              <w:rPr>
                <w:rFonts w:ascii="Arial" w:hAnsi="Arial" w:cs="Arial"/>
                <w:sz w:val="20"/>
                <w:szCs w:val="20"/>
              </w:rPr>
            </w:pPr>
            <w:r w:rsidRPr="00FC60F3">
              <w:rPr>
                <w:rFonts w:ascii="Arial" w:hAnsi="Arial" w:cs="Arial"/>
                <w:sz w:val="20"/>
                <w:szCs w:val="20"/>
              </w:rPr>
              <w:t xml:space="preserve">&gt; 2 times </w:t>
            </w:r>
          </w:p>
        </w:tc>
        <w:tc>
          <w:tcPr>
            <w:tcW w:w="1843" w:type="dxa"/>
          </w:tcPr>
          <w:p w14:paraId="49B515D0" w14:textId="77777777" w:rsidR="004024AF" w:rsidRPr="00FC60F3" w:rsidRDefault="004024AF" w:rsidP="005563C7">
            <w:pPr>
              <w:rPr>
                <w:rFonts w:ascii="Arial" w:hAnsi="Arial" w:cs="Arial"/>
                <w:sz w:val="20"/>
                <w:szCs w:val="20"/>
              </w:rPr>
            </w:pPr>
            <w:r w:rsidRPr="00FC60F3">
              <w:rPr>
                <w:rFonts w:ascii="Arial" w:hAnsi="Arial" w:cs="Arial"/>
                <w:sz w:val="20"/>
                <w:szCs w:val="20"/>
              </w:rPr>
              <w:t>11 (18,6%)</w:t>
            </w:r>
          </w:p>
        </w:tc>
        <w:tc>
          <w:tcPr>
            <w:tcW w:w="2410" w:type="dxa"/>
          </w:tcPr>
          <w:p w14:paraId="4312B251" w14:textId="77777777" w:rsidR="004024AF" w:rsidRPr="00FC60F3" w:rsidRDefault="004024AF" w:rsidP="005563C7">
            <w:pPr>
              <w:rPr>
                <w:rFonts w:ascii="Arial" w:hAnsi="Arial" w:cs="Arial"/>
                <w:sz w:val="20"/>
                <w:szCs w:val="20"/>
              </w:rPr>
            </w:pPr>
            <w:r w:rsidRPr="00FC60F3">
              <w:rPr>
                <w:rFonts w:ascii="Arial" w:hAnsi="Arial" w:cs="Arial"/>
                <w:sz w:val="20"/>
                <w:szCs w:val="20"/>
              </w:rPr>
              <w:t>1 (1,7%)</w:t>
            </w:r>
          </w:p>
        </w:tc>
        <w:tc>
          <w:tcPr>
            <w:tcW w:w="1701" w:type="dxa"/>
            <w:vMerge/>
          </w:tcPr>
          <w:p w14:paraId="3F4F9A87" w14:textId="77777777" w:rsidR="004024AF" w:rsidRPr="00FC60F3" w:rsidRDefault="004024AF" w:rsidP="005563C7">
            <w:pPr>
              <w:rPr>
                <w:rFonts w:ascii="Arial" w:hAnsi="Arial" w:cs="Arial"/>
                <w:sz w:val="20"/>
                <w:szCs w:val="20"/>
              </w:rPr>
            </w:pPr>
          </w:p>
        </w:tc>
      </w:tr>
      <w:tr w:rsidR="004024AF" w:rsidRPr="00FC60F3" w14:paraId="705A53D4" w14:textId="77777777" w:rsidTr="005563C7">
        <w:tc>
          <w:tcPr>
            <w:tcW w:w="2830" w:type="dxa"/>
          </w:tcPr>
          <w:p w14:paraId="3ED5C3DA" w14:textId="77777777" w:rsidR="004024AF" w:rsidRPr="00FC60F3" w:rsidRDefault="004024AF" w:rsidP="005563C7">
            <w:pPr>
              <w:rPr>
                <w:rFonts w:ascii="Arial" w:hAnsi="Arial" w:cs="Arial"/>
                <w:sz w:val="20"/>
                <w:szCs w:val="20"/>
              </w:rPr>
            </w:pPr>
            <w:r w:rsidRPr="00FC60F3">
              <w:rPr>
                <w:rFonts w:ascii="Arial" w:hAnsi="Arial" w:cs="Arial"/>
                <w:b/>
                <w:bCs/>
                <w:sz w:val="20"/>
                <w:szCs w:val="20"/>
              </w:rPr>
              <w:t>Total</w:t>
            </w:r>
          </w:p>
        </w:tc>
        <w:tc>
          <w:tcPr>
            <w:tcW w:w="1843" w:type="dxa"/>
          </w:tcPr>
          <w:p w14:paraId="29C75D89" w14:textId="77777777" w:rsidR="004024AF" w:rsidRPr="00FC60F3" w:rsidRDefault="004024AF" w:rsidP="005563C7">
            <w:pPr>
              <w:rPr>
                <w:rFonts w:ascii="Arial" w:hAnsi="Arial" w:cs="Arial"/>
                <w:b/>
                <w:bCs/>
                <w:sz w:val="20"/>
                <w:szCs w:val="20"/>
              </w:rPr>
            </w:pPr>
            <w:r w:rsidRPr="00FC60F3">
              <w:rPr>
                <w:rFonts w:ascii="Arial" w:hAnsi="Arial" w:cs="Arial"/>
                <w:b/>
                <w:bCs/>
                <w:sz w:val="20"/>
                <w:szCs w:val="20"/>
              </w:rPr>
              <w:t>41 (69,5%)</w:t>
            </w:r>
          </w:p>
        </w:tc>
        <w:tc>
          <w:tcPr>
            <w:tcW w:w="2410" w:type="dxa"/>
          </w:tcPr>
          <w:p w14:paraId="605C145A" w14:textId="77777777" w:rsidR="004024AF" w:rsidRPr="00FC60F3" w:rsidRDefault="004024AF" w:rsidP="005563C7">
            <w:pPr>
              <w:rPr>
                <w:rFonts w:ascii="Arial" w:hAnsi="Arial" w:cs="Arial"/>
                <w:b/>
                <w:bCs/>
                <w:sz w:val="20"/>
                <w:szCs w:val="20"/>
              </w:rPr>
            </w:pPr>
            <w:r w:rsidRPr="00FC60F3">
              <w:rPr>
                <w:rFonts w:ascii="Arial" w:hAnsi="Arial" w:cs="Arial"/>
                <w:b/>
                <w:bCs/>
                <w:sz w:val="20"/>
                <w:szCs w:val="20"/>
              </w:rPr>
              <w:t>18 (30,5%)</w:t>
            </w:r>
          </w:p>
        </w:tc>
        <w:tc>
          <w:tcPr>
            <w:tcW w:w="1701" w:type="dxa"/>
            <w:vMerge/>
          </w:tcPr>
          <w:p w14:paraId="4785BAC1" w14:textId="77777777" w:rsidR="004024AF" w:rsidRPr="00FC60F3" w:rsidRDefault="004024AF" w:rsidP="005563C7">
            <w:pPr>
              <w:rPr>
                <w:rFonts w:ascii="Arial" w:hAnsi="Arial" w:cs="Arial"/>
                <w:sz w:val="20"/>
                <w:szCs w:val="20"/>
              </w:rPr>
            </w:pPr>
          </w:p>
        </w:tc>
      </w:tr>
    </w:tbl>
    <w:p w14:paraId="544EE46D" w14:textId="77777777" w:rsidR="004024AF" w:rsidRPr="00FC60F3" w:rsidRDefault="004024AF" w:rsidP="004024AF">
      <w:pPr>
        <w:ind w:firstLine="720"/>
        <w:jc w:val="both"/>
        <w:rPr>
          <w:rFonts w:ascii="Arial" w:hAnsi="Arial" w:cs="Arial"/>
        </w:rPr>
      </w:pPr>
      <w:r w:rsidRPr="00FC60F3">
        <w:rPr>
          <w:rFonts w:ascii="Arial" w:hAnsi="Arial" w:cs="Arial"/>
          <w:i/>
          <w:iCs/>
        </w:rPr>
        <w:t>Observation:</w:t>
      </w:r>
      <w:r w:rsidRPr="00FC60F3">
        <w:rPr>
          <w:rFonts w:ascii="Arial" w:hAnsi="Arial" w:cs="Arial"/>
        </w:rPr>
        <w:t xml:space="preserve"> There was a significant association between elevated IL-6 and the frequency of acute asthma attacks requiring clinic visits (</w:t>
      </w:r>
      <w:r w:rsidRPr="00FC60F3">
        <w:rPr>
          <w:rFonts w:ascii="Arial" w:hAnsi="Arial" w:cs="Arial"/>
          <w:i/>
          <w:iCs/>
        </w:rPr>
        <w:t>p</w:t>
      </w:r>
      <w:r w:rsidRPr="00FC60F3">
        <w:rPr>
          <w:rFonts w:ascii="Arial" w:hAnsi="Arial" w:cs="Arial"/>
        </w:rPr>
        <w:t xml:space="preserve"> = 0.011).</w:t>
      </w:r>
    </w:p>
    <w:p w14:paraId="719DFF8A" w14:textId="77777777" w:rsidR="004024AF" w:rsidRPr="00FC60F3" w:rsidRDefault="004024AF" w:rsidP="004024AF">
      <w:pPr>
        <w:jc w:val="both"/>
        <w:rPr>
          <w:rFonts w:ascii="Arial" w:hAnsi="Arial" w:cs="Arial"/>
        </w:rPr>
      </w:pPr>
      <w:r w:rsidRPr="00FC60F3">
        <w:rPr>
          <w:rFonts w:ascii="Arial" w:hAnsi="Arial" w:cs="Arial"/>
        </w:rPr>
        <w:t xml:space="preserve">Table 9: Association between Elevated IL-6 and severity of acute asthma attack </w:t>
      </w:r>
    </w:p>
    <w:tbl>
      <w:tblPr>
        <w:tblStyle w:val="TableGrid"/>
        <w:tblW w:w="0" w:type="auto"/>
        <w:tblLook w:val="04A0" w:firstRow="1" w:lastRow="0" w:firstColumn="1" w:lastColumn="0" w:noHBand="0" w:noVBand="1"/>
      </w:tblPr>
      <w:tblGrid>
        <w:gridCol w:w="2830"/>
        <w:gridCol w:w="1843"/>
        <w:gridCol w:w="2410"/>
        <w:gridCol w:w="1701"/>
      </w:tblGrid>
      <w:tr w:rsidR="004024AF" w:rsidRPr="00FC60F3" w14:paraId="7DD890E2" w14:textId="77777777" w:rsidTr="005563C7">
        <w:trPr>
          <w:trHeight w:val="912"/>
        </w:trPr>
        <w:tc>
          <w:tcPr>
            <w:tcW w:w="2830" w:type="dxa"/>
            <w:tcBorders>
              <w:tl2br w:val="single" w:sz="4" w:space="0" w:color="auto"/>
            </w:tcBorders>
          </w:tcPr>
          <w:p w14:paraId="55613815" w14:textId="77777777" w:rsidR="004024AF" w:rsidRPr="00FC60F3" w:rsidRDefault="004024AF" w:rsidP="005563C7">
            <w:pPr>
              <w:rPr>
                <w:rFonts w:ascii="Arial" w:hAnsi="Arial" w:cs="Arial"/>
                <w:b/>
                <w:bCs/>
                <w:sz w:val="20"/>
                <w:szCs w:val="20"/>
              </w:rPr>
            </w:pPr>
            <w:r w:rsidRPr="00FC60F3">
              <w:rPr>
                <w:rFonts w:ascii="Arial" w:hAnsi="Arial" w:cs="Arial"/>
                <w:b/>
                <w:bCs/>
                <w:sz w:val="20"/>
                <w:szCs w:val="20"/>
              </w:rPr>
              <w:t xml:space="preserve">                           IL-6</w:t>
            </w:r>
          </w:p>
          <w:p w14:paraId="0DB16DA6" w14:textId="77777777" w:rsidR="004024AF" w:rsidRPr="00FC60F3" w:rsidRDefault="004024AF" w:rsidP="005563C7">
            <w:pPr>
              <w:rPr>
                <w:rFonts w:ascii="Arial" w:hAnsi="Arial" w:cs="Arial"/>
                <w:b/>
                <w:bCs/>
                <w:sz w:val="20"/>
                <w:szCs w:val="20"/>
              </w:rPr>
            </w:pPr>
          </w:p>
          <w:p w14:paraId="6AC841FC" w14:textId="77777777" w:rsidR="004024AF" w:rsidRPr="00FC60F3" w:rsidRDefault="004024AF" w:rsidP="005563C7">
            <w:pPr>
              <w:rPr>
                <w:rFonts w:ascii="Arial" w:hAnsi="Arial" w:cs="Arial"/>
                <w:b/>
                <w:bCs/>
                <w:sz w:val="20"/>
                <w:szCs w:val="20"/>
              </w:rPr>
            </w:pPr>
          </w:p>
          <w:p w14:paraId="1F9841BB" w14:textId="77777777" w:rsidR="004024AF" w:rsidRPr="00FC60F3" w:rsidRDefault="004024AF" w:rsidP="005563C7">
            <w:pPr>
              <w:rPr>
                <w:rFonts w:ascii="Arial" w:hAnsi="Arial" w:cs="Arial"/>
                <w:b/>
                <w:bCs/>
                <w:sz w:val="20"/>
                <w:szCs w:val="20"/>
              </w:rPr>
            </w:pPr>
            <w:r w:rsidRPr="00FC60F3">
              <w:rPr>
                <w:rFonts w:ascii="Arial" w:hAnsi="Arial" w:cs="Arial"/>
                <w:b/>
                <w:bCs/>
                <w:sz w:val="20"/>
                <w:szCs w:val="20"/>
              </w:rPr>
              <w:t xml:space="preserve">Attack Severity </w:t>
            </w:r>
          </w:p>
        </w:tc>
        <w:tc>
          <w:tcPr>
            <w:tcW w:w="1843" w:type="dxa"/>
          </w:tcPr>
          <w:p w14:paraId="2F1E6D0A" w14:textId="77777777" w:rsidR="004024AF" w:rsidRPr="00FC60F3" w:rsidRDefault="004024AF" w:rsidP="005563C7">
            <w:pPr>
              <w:rPr>
                <w:rFonts w:ascii="Arial" w:hAnsi="Arial" w:cs="Arial"/>
                <w:b/>
                <w:bCs/>
                <w:sz w:val="20"/>
                <w:szCs w:val="20"/>
              </w:rPr>
            </w:pPr>
            <w:r w:rsidRPr="00FC60F3">
              <w:rPr>
                <w:rFonts w:ascii="Arial" w:hAnsi="Arial" w:cs="Arial"/>
                <w:b/>
                <w:bCs/>
                <w:sz w:val="20"/>
                <w:szCs w:val="20"/>
              </w:rPr>
              <w:t>Elevated</w:t>
            </w:r>
          </w:p>
        </w:tc>
        <w:tc>
          <w:tcPr>
            <w:tcW w:w="2410" w:type="dxa"/>
          </w:tcPr>
          <w:p w14:paraId="3D49E4C3" w14:textId="77777777" w:rsidR="004024AF" w:rsidRPr="00FC60F3" w:rsidRDefault="004024AF" w:rsidP="005563C7">
            <w:pPr>
              <w:rPr>
                <w:rFonts w:ascii="Arial" w:hAnsi="Arial" w:cs="Arial"/>
                <w:b/>
                <w:bCs/>
                <w:sz w:val="20"/>
                <w:szCs w:val="20"/>
              </w:rPr>
            </w:pPr>
            <w:r w:rsidRPr="00FC60F3">
              <w:rPr>
                <w:rFonts w:ascii="Arial" w:hAnsi="Arial" w:cs="Arial"/>
                <w:b/>
                <w:bCs/>
                <w:sz w:val="20"/>
                <w:szCs w:val="20"/>
              </w:rPr>
              <w:t xml:space="preserve">Not Elevated </w:t>
            </w:r>
          </w:p>
        </w:tc>
        <w:tc>
          <w:tcPr>
            <w:tcW w:w="1701" w:type="dxa"/>
          </w:tcPr>
          <w:p w14:paraId="56D9D54B" w14:textId="77777777" w:rsidR="004024AF" w:rsidRPr="00FC60F3" w:rsidRDefault="004024AF" w:rsidP="005563C7">
            <w:pPr>
              <w:rPr>
                <w:rFonts w:ascii="Arial" w:hAnsi="Arial" w:cs="Arial"/>
                <w:b/>
                <w:bCs/>
                <w:sz w:val="20"/>
                <w:szCs w:val="20"/>
              </w:rPr>
            </w:pPr>
            <w:r w:rsidRPr="00FC60F3">
              <w:rPr>
                <w:rFonts w:ascii="Arial" w:hAnsi="Arial" w:cs="Arial"/>
                <w:b/>
                <w:bCs/>
                <w:sz w:val="20"/>
                <w:szCs w:val="20"/>
              </w:rPr>
              <w:t xml:space="preserve">p-value </w:t>
            </w:r>
          </w:p>
        </w:tc>
      </w:tr>
      <w:tr w:rsidR="004024AF" w:rsidRPr="00FC60F3" w14:paraId="19B28580" w14:textId="77777777" w:rsidTr="005563C7">
        <w:tc>
          <w:tcPr>
            <w:tcW w:w="2830" w:type="dxa"/>
          </w:tcPr>
          <w:p w14:paraId="783B2ADB" w14:textId="77777777" w:rsidR="004024AF" w:rsidRPr="00FC60F3" w:rsidRDefault="004024AF" w:rsidP="005563C7">
            <w:pPr>
              <w:rPr>
                <w:rFonts w:ascii="Arial" w:hAnsi="Arial" w:cs="Arial"/>
                <w:sz w:val="20"/>
                <w:szCs w:val="20"/>
              </w:rPr>
            </w:pPr>
            <w:r w:rsidRPr="00FC60F3">
              <w:rPr>
                <w:rFonts w:ascii="Arial" w:hAnsi="Arial" w:cs="Arial"/>
                <w:sz w:val="20"/>
                <w:szCs w:val="20"/>
              </w:rPr>
              <w:t xml:space="preserve">Mild </w:t>
            </w:r>
          </w:p>
        </w:tc>
        <w:tc>
          <w:tcPr>
            <w:tcW w:w="1843" w:type="dxa"/>
          </w:tcPr>
          <w:p w14:paraId="10E7FE09" w14:textId="77777777" w:rsidR="004024AF" w:rsidRPr="00FC60F3" w:rsidRDefault="004024AF" w:rsidP="005563C7">
            <w:pPr>
              <w:rPr>
                <w:rFonts w:ascii="Arial" w:hAnsi="Arial" w:cs="Arial"/>
                <w:sz w:val="20"/>
                <w:szCs w:val="20"/>
              </w:rPr>
            </w:pPr>
            <w:r w:rsidRPr="00FC60F3">
              <w:rPr>
                <w:rFonts w:ascii="Arial" w:hAnsi="Arial" w:cs="Arial"/>
                <w:sz w:val="20"/>
                <w:szCs w:val="20"/>
              </w:rPr>
              <w:t>12 (20,3%)</w:t>
            </w:r>
          </w:p>
        </w:tc>
        <w:tc>
          <w:tcPr>
            <w:tcW w:w="2410" w:type="dxa"/>
          </w:tcPr>
          <w:p w14:paraId="2F095718" w14:textId="77777777" w:rsidR="004024AF" w:rsidRPr="00FC60F3" w:rsidRDefault="004024AF" w:rsidP="005563C7">
            <w:pPr>
              <w:rPr>
                <w:rFonts w:ascii="Arial" w:hAnsi="Arial" w:cs="Arial"/>
                <w:sz w:val="20"/>
                <w:szCs w:val="20"/>
              </w:rPr>
            </w:pPr>
            <w:r w:rsidRPr="00FC60F3">
              <w:rPr>
                <w:rFonts w:ascii="Arial" w:hAnsi="Arial" w:cs="Arial"/>
                <w:sz w:val="20"/>
                <w:szCs w:val="20"/>
              </w:rPr>
              <w:t>10 (16,9%)</w:t>
            </w:r>
          </w:p>
        </w:tc>
        <w:tc>
          <w:tcPr>
            <w:tcW w:w="1701" w:type="dxa"/>
            <w:vMerge w:val="restart"/>
          </w:tcPr>
          <w:p w14:paraId="145EF390" w14:textId="77777777" w:rsidR="004024AF" w:rsidRPr="00FC60F3" w:rsidRDefault="004024AF" w:rsidP="005563C7">
            <w:pPr>
              <w:rPr>
                <w:rFonts w:ascii="Arial" w:hAnsi="Arial" w:cs="Arial"/>
                <w:sz w:val="20"/>
                <w:szCs w:val="20"/>
              </w:rPr>
            </w:pPr>
            <w:r w:rsidRPr="00FC60F3">
              <w:rPr>
                <w:rFonts w:ascii="Arial" w:hAnsi="Arial" w:cs="Arial"/>
                <w:sz w:val="20"/>
                <w:szCs w:val="20"/>
              </w:rPr>
              <w:t>0,156</w:t>
            </w:r>
          </w:p>
        </w:tc>
      </w:tr>
      <w:tr w:rsidR="004024AF" w:rsidRPr="00FC60F3" w14:paraId="7C907F80" w14:textId="77777777" w:rsidTr="005563C7">
        <w:tc>
          <w:tcPr>
            <w:tcW w:w="2830" w:type="dxa"/>
          </w:tcPr>
          <w:p w14:paraId="70B83D17" w14:textId="77777777" w:rsidR="004024AF" w:rsidRPr="00FC60F3" w:rsidRDefault="004024AF" w:rsidP="005563C7">
            <w:pPr>
              <w:rPr>
                <w:rFonts w:ascii="Arial" w:hAnsi="Arial" w:cs="Arial"/>
                <w:sz w:val="20"/>
                <w:szCs w:val="20"/>
              </w:rPr>
            </w:pPr>
            <w:r w:rsidRPr="00FC60F3">
              <w:rPr>
                <w:rFonts w:ascii="Arial" w:hAnsi="Arial" w:cs="Arial"/>
                <w:sz w:val="20"/>
                <w:szCs w:val="20"/>
              </w:rPr>
              <w:t xml:space="preserve">Moderate </w:t>
            </w:r>
          </w:p>
        </w:tc>
        <w:tc>
          <w:tcPr>
            <w:tcW w:w="1843" w:type="dxa"/>
          </w:tcPr>
          <w:p w14:paraId="670C8108" w14:textId="77777777" w:rsidR="004024AF" w:rsidRPr="00FC60F3" w:rsidRDefault="004024AF" w:rsidP="005563C7">
            <w:pPr>
              <w:rPr>
                <w:rFonts w:ascii="Arial" w:hAnsi="Arial" w:cs="Arial"/>
                <w:sz w:val="20"/>
                <w:szCs w:val="20"/>
              </w:rPr>
            </w:pPr>
            <w:r w:rsidRPr="00FC60F3">
              <w:rPr>
                <w:rFonts w:ascii="Arial" w:hAnsi="Arial" w:cs="Arial"/>
                <w:sz w:val="20"/>
                <w:szCs w:val="20"/>
              </w:rPr>
              <w:t>26 (44,1%)</w:t>
            </w:r>
          </w:p>
        </w:tc>
        <w:tc>
          <w:tcPr>
            <w:tcW w:w="2410" w:type="dxa"/>
          </w:tcPr>
          <w:p w14:paraId="65BEFC7A" w14:textId="77777777" w:rsidR="004024AF" w:rsidRPr="00FC60F3" w:rsidRDefault="004024AF" w:rsidP="005563C7">
            <w:pPr>
              <w:rPr>
                <w:rFonts w:ascii="Arial" w:hAnsi="Arial" w:cs="Arial"/>
                <w:sz w:val="20"/>
                <w:szCs w:val="20"/>
              </w:rPr>
            </w:pPr>
            <w:r w:rsidRPr="00FC60F3">
              <w:rPr>
                <w:rFonts w:ascii="Arial" w:hAnsi="Arial" w:cs="Arial"/>
                <w:sz w:val="20"/>
                <w:szCs w:val="20"/>
              </w:rPr>
              <w:t>7 (11,9%)</w:t>
            </w:r>
          </w:p>
        </w:tc>
        <w:tc>
          <w:tcPr>
            <w:tcW w:w="1701" w:type="dxa"/>
            <w:vMerge/>
          </w:tcPr>
          <w:p w14:paraId="6AE8B5BA" w14:textId="77777777" w:rsidR="004024AF" w:rsidRPr="00FC60F3" w:rsidRDefault="004024AF" w:rsidP="005563C7">
            <w:pPr>
              <w:rPr>
                <w:rFonts w:ascii="Arial" w:hAnsi="Arial" w:cs="Arial"/>
                <w:sz w:val="20"/>
                <w:szCs w:val="20"/>
              </w:rPr>
            </w:pPr>
          </w:p>
        </w:tc>
      </w:tr>
      <w:tr w:rsidR="004024AF" w:rsidRPr="00FC60F3" w14:paraId="6A7D1129" w14:textId="77777777" w:rsidTr="005563C7">
        <w:tc>
          <w:tcPr>
            <w:tcW w:w="2830" w:type="dxa"/>
          </w:tcPr>
          <w:p w14:paraId="4E785719" w14:textId="77777777" w:rsidR="004024AF" w:rsidRPr="00FC60F3" w:rsidRDefault="004024AF" w:rsidP="005563C7">
            <w:pPr>
              <w:rPr>
                <w:rFonts w:ascii="Arial" w:hAnsi="Arial" w:cs="Arial"/>
                <w:sz w:val="20"/>
                <w:szCs w:val="20"/>
              </w:rPr>
            </w:pPr>
            <w:r w:rsidRPr="00FC60F3">
              <w:rPr>
                <w:rFonts w:ascii="Arial" w:hAnsi="Arial" w:cs="Arial"/>
                <w:sz w:val="20"/>
                <w:szCs w:val="20"/>
              </w:rPr>
              <w:t xml:space="preserve">Severe </w:t>
            </w:r>
          </w:p>
        </w:tc>
        <w:tc>
          <w:tcPr>
            <w:tcW w:w="1843" w:type="dxa"/>
          </w:tcPr>
          <w:p w14:paraId="79B22ED3" w14:textId="77777777" w:rsidR="004024AF" w:rsidRPr="00FC60F3" w:rsidRDefault="004024AF" w:rsidP="005563C7">
            <w:pPr>
              <w:rPr>
                <w:rFonts w:ascii="Arial" w:hAnsi="Arial" w:cs="Arial"/>
                <w:sz w:val="20"/>
                <w:szCs w:val="20"/>
              </w:rPr>
            </w:pPr>
            <w:r w:rsidRPr="00FC60F3">
              <w:rPr>
                <w:rFonts w:ascii="Arial" w:hAnsi="Arial" w:cs="Arial"/>
                <w:sz w:val="20"/>
                <w:szCs w:val="20"/>
              </w:rPr>
              <w:t>3 (5,1%)</w:t>
            </w:r>
          </w:p>
        </w:tc>
        <w:tc>
          <w:tcPr>
            <w:tcW w:w="2410" w:type="dxa"/>
          </w:tcPr>
          <w:p w14:paraId="43BB3F33" w14:textId="77777777" w:rsidR="004024AF" w:rsidRPr="00FC60F3" w:rsidRDefault="004024AF" w:rsidP="005563C7">
            <w:pPr>
              <w:rPr>
                <w:rFonts w:ascii="Arial" w:hAnsi="Arial" w:cs="Arial"/>
                <w:sz w:val="20"/>
                <w:szCs w:val="20"/>
              </w:rPr>
            </w:pPr>
            <w:r w:rsidRPr="00FC60F3">
              <w:rPr>
                <w:rFonts w:ascii="Arial" w:hAnsi="Arial" w:cs="Arial"/>
                <w:sz w:val="20"/>
                <w:szCs w:val="20"/>
              </w:rPr>
              <w:t>1 (1,7%)</w:t>
            </w:r>
          </w:p>
        </w:tc>
        <w:tc>
          <w:tcPr>
            <w:tcW w:w="1701" w:type="dxa"/>
            <w:vMerge/>
          </w:tcPr>
          <w:p w14:paraId="01746CC2" w14:textId="77777777" w:rsidR="004024AF" w:rsidRPr="00FC60F3" w:rsidRDefault="004024AF" w:rsidP="005563C7">
            <w:pPr>
              <w:rPr>
                <w:rFonts w:ascii="Arial" w:hAnsi="Arial" w:cs="Arial"/>
                <w:sz w:val="20"/>
                <w:szCs w:val="20"/>
              </w:rPr>
            </w:pPr>
          </w:p>
        </w:tc>
      </w:tr>
      <w:tr w:rsidR="004024AF" w:rsidRPr="00FC60F3" w14:paraId="6A10F0EC" w14:textId="77777777" w:rsidTr="005563C7">
        <w:tc>
          <w:tcPr>
            <w:tcW w:w="2830" w:type="dxa"/>
          </w:tcPr>
          <w:p w14:paraId="5B08450F" w14:textId="77777777" w:rsidR="004024AF" w:rsidRPr="00FC60F3" w:rsidRDefault="004024AF" w:rsidP="005563C7">
            <w:pPr>
              <w:rPr>
                <w:rFonts w:ascii="Arial" w:hAnsi="Arial" w:cs="Arial"/>
                <w:sz w:val="20"/>
                <w:szCs w:val="20"/>
              </w:rPr>
            </w:pPr>
            <w:r w:rsidRPr="00FC60F3">
              <w:rPr>
                <w:rFonts w:ascii="Arial" w:hAnsi="Arial" w:cs="Arial"/>
                <w:b/>
                <w:bCs/>
                <w:sz w:val="20"/>
                <w:szCs w:val="20"/>
              </w:rPr>
              <w:t>Total</w:t>
            </w:r>
          </w:p>
        </w:tc>
        <w:tc>
          <w:tcPr>
            <w:tcW w:w="1843" w:type="dxa"/>
          </w:tcPr>
          <w:p w14:paraId="674E3CB8" w14:textId="77777777" w:rsidR="004024AF" w:rsidRPr="00FC60F3" w:rsidRDefault="004024AF" w:rsidP="005563C7">
            <w:pPr>
              <w:rPr>
                <w:rFonts w:ascii="Arial" w:hAnsi="Arial" w:cs="Arial"/>
                <w:b/>
                <w:bCs/>
                <w:sz w:val="20"/>
                <w:szCs w:val="20"/>
              </w:rPr>
            </w:pPr>
            <w:r w:rsidRPr="00FC60F3">
              <w:rPr>
                <w:rFonts w:ascii="Arial" w:hAnsi="Arial" w:cs="Arial"/>
                <w:b/>
                <w:bCs/>
                <w:sz w:val="20"/>
                <w:szCs w:val="20"/>
              </w:rPr>
              <w:t>41 (69,5%)</w:t>
            </w:r>
          </w:p>
        </w:tc>
        <w:tc>
          <w:tcPr>
            <w:tcW w:w="2410" w:type="dxa"/>
          </w:tcPr>
          <w:p w14:paraId="3F7C4ABE" w14:textId="77777777" w:rsidR="004024AF" w:rsidRPr="00FC60F3" w:rsidRDefault="004024AF" w:rsidP="005563C7">
            <w:pPr>
              <w:rPr>
                <w:rFonts w:ascii="Arial" w:hAnsi="Arial" w:cs="Arial"/>
                <w:b/>
                <w:bCs/>
                <w:sz w:val="20"/>
                <w:szCs w:val="20"/>
              </w:rPr>
            </w:pPr>
            <w:r w:rsidRPr="00FC60F3">
              <w:rPr>
                <w:rFonts w:ascii="Arial" w:hAnsi="Arial" w:cs="Arial"/>
                <w:b/>
                <w:bCs/>
                <w:sz w:val="20"/>
                <w:szCs w:val="20"/>
              </w:rPr>
              <w:t>18 (30,5%)</w:t>
            </w:r>
          </w:p>
        </w:tc>
        <w:tc>
          <w:tcPr>
            <w:tcW w:w="1701" w:type="dxa"/>
            <w:vMerge/>
          </w:tcPr>
          <w:p w14:paraId="1E4C2415" w14:textId="77777777" w:rsidR="004024AF" w:rsidRPr="00FC60F3" w:rsidRDefault="004024AF" w:rsidP="005563C7">
            <w:pPr>
              <w:rPr>
                <w:rFonts w:ascii="Arial" w:hAnsi="Arial" w:cs="Arial"/>
                <w:sz w:val="20"/>
                <w:szCs w:val="20"/>
              </w:rPr>
            </w:pPr>
          </w:p>
        </w:tc>
      </w:tr>
    </w:tbl>
    <w:p w14:paraId="26F78FE3" w14:textId="77777777" w:rsidR="004024AF" w:rsidRDefault="004024AF" w:rsidP="004024AF">
      <w:pPr>
        <w:ind w:firstLine="720"/>
        <w:jc w:val="both"/>
        <w:rPr>
          <w:rFonts w:ascii="Arial" w:hAnsi="Arial" w:cs="Arial"/>
          <w:lang w:val="vi-VN"/>
        </w:rPr>
      </w:pPr>
      <w:r w:rsidRPr="00FC60F3">
        <w:rPr>
          <w:rFonts w:ascii="Arial" w:hAnsi="Arial" w:cs="Arial"/>
          <w:i/>
          <w:iCs/>
        </w:rPr>
        <w:t>Observation</w:t>
      </w:r>
      <w:r w:rsidRPr="00FC60F3">
        <w:rPr>
          <w:rFonts w:ascii="Arial" w:hAnsi="Arial" w:cs="Arial"/>
        </w:rPr>
        <w:t>: No statistically significant association was found between elevated IL-6 levels and the severity of acute asthma attacks (</w:t>
      </w:r>
      <w:r w:rsidRPr="00FC60F3">
        <w:rPr>
          <w:rFonts w:ascii="Arial" w:hAnsi="Arial" w:cs="Arial"/>
          <w:i/>
          <w:iCs/>
        </w:rPr>
        <w:t>p</w:t>
      </w:r>
      <w:r w:rsidRPr="00FC60F3">
        <w:rPr>
          <w:rFonts w:ascii="Arial" w:hAnsi="Arial" w:cs="Arial"/>
        </w:rPr>
        <w:t xml:space="preserve"> = 0.156).</w:t>
      </w:r>
    </w:p>
    <w:p w14:paraId="0257BE80" w14:textId="77777777" w:rsidR="004024AF" w:rsidRPr="00753FF9" w:rsidRDefault="004024AF" w:rsidP="004024AF">
      <w:pPr>
        <w:ind w:firstLine="720"/>
        <w:jc w:val="both"/>
        <w:rPr>
          <w:rFonts w:ascii="Arial" w:hAnsi="Arial" w:cs="Arial"/>
          <w:lang w:val="vi-VN"/>
        </w:rPr>
      </w:pPr>
    </w:p>
    <w:p w14:paraId="7B33EF77" w14:textId="77777777" w:rsidR="004024AF" w:rsidRDefault="004024AF" w:rsidP="004024AF">
      <w:pPr>
        <w:rPr>
          <w:rFonts w:ascii="Arial" w:hAnsi="Arial" w:cs="Arial"/>
          <w:b/>
          <w:bCs/>
          <w:sz w:val="22"/>
          <w:szCs w:val="22"/>
          <w:lang w:val="vi-VN"/>
        </w:rPr>
      </w:pPr>
      <w:r w:rsidRPr="00FC60F3">
        <w:rPr>
          <w:rFonts w:ascii="Arial" w:hAnsi="Arial" w:cs="Arial"/>
          <w:b/>
          <w:bCs/>
          <w:sz w:val="22"/>
          <w:szCs w:val="22"/>
          <w:lang w:val="vi-VN"/>
        </w:rPr>
        <w:t>4. DISCUSSION</w:t>
      </w:r>
    </w:p>
    <w:p w14:paraId="1276A691" w14:textId="77777777" w:rsidR="004024AF" w:rsidRPr="00FC60F3" w:rsidRDefault="004024AF" w:rsidP="004024AF">
      <w:pPr>
        <w:rPr>
          <w:rFonts w:ascii="Arial" w:hAnsi="Arial" w:cs="Arial"/>
          <w:b/>
          <w:bCs/>
          <w:sz w:val="22"/>
          <w:szCs w:val="22"/>
          <w:lang w:val="vi-VN"/>
        </w:rPr>
      </w:pPr>
    </w:p>
    <w:p w14:paraId="6CE0B64E" w14:textId="77777777" w:rsidR="004024AF" w:rsidRPr="00FC60F3" w:rsidRDefault="004024AF" w:rsidP="004024AF">
      <w:pPr>
        <w:rPr>
          <w:rFonts w:ascii="Arial" w:hAnsi="Arial" w:cs="Arial"/>
          <w:b/>
          <w:bCs/>
          <w:sz w:val="22"/>
          <w:szCs w:val="22"/>
          <w:lang w:val="vi-VN"/>
        </w:rPr>
      </w:pPr>
      <w:r w:rsidRPr="00FC60F3">
        <w:rPr>
          <w:rFonts w:ascii="Arial" w:hAnsi="Arial" w:cs="Arial"/>
          <w:b/>
          <w:bCs/>
          <w:sz w:val="22"/>
          <w:szCs w:val="22"/>
          <w:lang w:val="vi-VN"/>
        </w:rPr>
        <w:t>4.1. General Characteristics of the study population</w:t>
      </w:r>
    </w:p>
    <w:p w14:paraId="03BEBFEE" w14:textId="77777777" w:rsidR="004024AF" w:rsidRDefault="004024AF" w:rsidP="004024AF">
      <w:pPr>
        <w:ind w:firstLine="720"/>
      </w:pPr>
      <w:r>
        <w:t>The present study was conducted on 59 pediatric patients with bronchial asthma, with a mean age of 7.75 ± 2.7 years, of whom 71.2% were male. These demographic characteristics are similar to previous Vietnamese pediatric asthma cohorts, where boys were consistently more affected than girls [3</w:t>
      </w:r>
      <w:r>
        <w:rPr>
          <w:lang w:val="vi-VN"/>
        </w:rPr>
        <w:t>]</w:t>
      </w:r>
      <w:r>
        <w:t>,</w:t>
      </w:r>
      <w:r>
        <w:rPr>
          <w:lang w:val="vi-VN"/>
        </w:rPr>
        <w:t>[11</w:t>
      </w:r>
      <w:r>
        <w:t>]. The majority of patients in this study had their first asthma diagnosis between 2 and 5 years of age, which is consistent with the known pattern of early childhood onset.</w:t>
      </w:r>
    </w:p>
    <w:p w14:paraId="47D5CF06" w14:textId="77777777" w:rsidR="004024AF" w:rsidRPr="00FC60F3" w:rsidRDefault="004024AF" w:rsidP="004024AF">
      <w:pPr>
        <w:ind w:firstLine="720"/>
        <w:rPr>
          <w:rFonts w:ascii="Arial" w:hAnsi="Arial" w:cs="Arial"/>
          <w:b/>
          <w:bCs/>
          <w:sz w:val="22"/>
          <w:szCs w:val="22"/>
          <w:lang w:val="vi-VN"/>
        </w:rPr>
      </w:pPr>
      <w:r>
        <w:t>Approximately two-thirds (69.5%) of participants exhibited elevated peripheral IL-6 levels, underscoring the potential systemic inflammatory component in pediatric asthma. Similar findings have been documented by Pan et al. (2025), who demonstrated significantly higher circulating IL-6 concentrations in asthmatic children compared with healthy controls, correlating with increased exacerbation risk [7]. IL-6 is known to promote Th17 differentiation and macrophage activation, both of which contribute to airway inflammation and tissue remodeling.</w:t>
      </w:r>
      <w:r>
        <w:br/>
      </w:r>
      <w:r w:rsidRPr="00FC60F3">
        <w:rPr>
          <w:rFonts w:ascii="Arial" w:hAnsi="Arial" w:cs="Arial"/>
          <w:b/>
          <w:bCs/>
          <w:sz w:val="22"/>
          <w:szCs w:val="22"/>
          <w:lang w:val="vi-VN"/>
        </w:rPr>
        <w:t>4.2. Association between Elevated IL-6 levels and nutritional status</w:t>
      </w:r>
    </w:p>
    <w:p w14:paraId="7073F08B" w14:textId="77777777" w:rsidR="004024AF" w:rsidRPr="00FC60F3" w:rsidRDefault="004024AF" w:rsidP="004024AF">
      <w:pPr>
        <w:ind w:firstLine="720"/>
        <w:rPr>
          <w:rFonts w:ascii="Arial" w:hAnsi="Arial" w:cs="Arial"/>
          <w:b/>
          <w:bCs/>
          <w:sz w:val="22"/>
          <w:szCs w:val="22"/>
          <w:lang w:val="vi-VN"/>
        </w:rPr>
      </w:pPr>
      <w:r>
        <w:t>Childhood obesity has emerged as a strong determinant of asthma severity and poor disease control. Our findings revealed a statistically significant relationship between elevated IL-6 levels and higher BMI (p = 0.021), supporting the hypothesis that metabolic inflammation contributes to airway dysfunction. This is consistent with reports by Akar-Ghibril et al. (2023) and Kim</w:t>
      </w:r>
      <w:r>
        <w:rPr>
          <w:lang w:val="vi-VN"/>
        </w:rPr>
        <w:t xml:space="preserve"> Hy</w:t>
      </w:r>
      <w:r>
        <w:t xml:space="preserve"> et al. (2023), who both showed that overweight asthmatic children had higher plasma IL-6 concentrations and more frequent exacerbations. IL-6 produced by adipose tissue can enhance systemic inflammatory tone, activate neutrophils, and impair glucocorticoid receptor signaling—mechanisms believed to underlie corticosteroid resistance in obese asthma phenotypes [2</w:t>
      </w:r>
      <w:r>
        <w:rPr>
          <w:lang w:val="vi-VN"/>
        </w:rPr>
        <w:t>], [7], [15</w:t>
      </w:r>
      <w:r>
        <w:t>].</w:t>
      </w:r>
      <w:r>
        <w:br/>
      </w:r>
      <w:r w:rsidRPr="00FC60F3">
        <w:rPr>
          <w:rFonts w:ascii="Arial" w:hAnsi="Arial" w:cs="Arial"/>
          <w:b/>
          <w:bCs/>
          <w:sz w:val="22"/>
          <w:szCs w:val="22"/>
          <w:lang w:val="vi-VN"/>
        </w:rPr>
        <w:t xml:space="preserve">4.3. Role of IL-6 in predicting systemic inflammation, asthma severity, and control </w:t>
      </w:r>
    </w:p>
    <w:p w14:paraId="2ADFFCC2" w14:textId="77777777" w:rsidR="004024AF" w:rsidRDefault="004024AF" w:rsidP="004024AF">
      <w:pPr>
        <w:pStyle w:val="Body"/>
        <w:ind w:firstLine="720"/>
        <w:rPr>
          <w:rFonts w:ascii="Arial" w:hAnsi="Arial" w:cs="Arial"/>
          <w:lang w:val="vi-VN"/>
        </w:rPr>
      </w:pPr>
      <w:r w:rsidRPr="00E731EF">
        <w:rPr>
          <w:rFonts w:ascii="Arial" w:hAnsi="Arial" w:cs="Arial"/>
          <w:lang w:val="vi-VN"/>
        </w:rPr>
        <w:t xml:space="preserve">Many studies around the world have reported that elevated serum IL-6 levels are closely related to systemic inflammatory markers and are associated with an increased frequency of exacerbations, particularly severe asthma attacks. In our study, we also observed a significant relationship between high IL-6 concentration and both neutrophil count (p = 0.047) and serum CRP level (p = 0.028) among pediatric patients with bronchial asthma. This finding is consistent with the results of Jackson (2020), who found that IL-6 was significantly correlated with total leukocyte count (p &lt; 0.01), neutrophil count (p &lt; 0.01), and serum CRP (p &lt; 0.01) </w:t>
      </w:r>
      <w:r>
        <w:rPr>
          <w:rFonts w:ascii="Arial" w:hAnsi="Arial" w:cs="Arial"/>
          <w:lang w:val="vi-VN"/>
        </w:rPr>
        <w:t>[5]</w:t>
      </w:r>
      <w:r w:rsidRPr="00E731EF">
        <w:rPr>
          <w:rFonts w:ascii="Arial" w:hAnsi="Arial" w:cs="Arial"/>
          <w:lang w:val="vi-VN"/>
        </w:rPr>
        <w:t xml:space="preserve">. Likewise, Jevnikal (2018) described the IL-6 signaling pathway (IL-6TS) as a possible mechanism contributing to airway inflammation and the persistence of bronchial asthma </w:t>
      </w:r>
      <w:r>
        <w:rPr>
          <w:rFonts w:ascii="Arial" w:hAnsi="Arial" w:cs="Arial"/>
          <w:lang w:val="vi-VN"/>
        </w:rPr>
        <w:t>[8]</w:t>
      </w:r>
      <w:r w:rsidRPr="00E731EF">
        <w:rPr>
          <w:rFonts w:ascii="Arial" w:hAnsi="Arial" w:cs="Arial"/>
          <w:lang w:val="vi-VN"/>
        </w:rPr>
        <w:t>. These results suggest that IL-6 plays an important role as a central mediator in systemic inflammation through the IL-6R/JAK/STAT3 pathway, stimulating the production of pro-inflammatory cytokines and CRP.</w:t>
      </w:r>
    </w:p>
    <w:p w14:paraId="6DF0667B" w14:textId="77777777" w:rsidR="004024AF" w:rsidRPr="00E731EF" w:rsidRDefault="004024AF" w:rsidP="004024AF">
      <w:pPr>
        <w:pStyle w:val="Body"/>
        <w:ind w:firstLine="720"/>
        <w:rPr>
          <w:rFonts w:ascii="Arial" w:hAnsi="Arial" w:cs="Arial"/>
          <w:lang w:val="vi-VN"/>
        </w:rPr>
      </w:pPr>
      <w:r w:rsidRPr="00E731EF">
        <w:rPr>
          <w:rFonts w:ascii="Arial" w:hAnsi="Arial" w:cs="Arial"/>
          <w:lang w:val="vi-VN"/>
        </w:rPr>
        <w:t xml:space="preserve">In our research, children with higher IL-6 levels also had more frequent hospital admissions and acute asthma attacks within the past year (p = 0.001 and p = 0.011, respectively). This finding implies that IL-6 may not only act as a passive inflammatory marker but may also directly contribute to the initiation or worsening of asthma exacerbations. Jackson </w:t>
      </w:r>
      <w:r w:rsidRPr="00E731EF">
        <w:rPr>
          <w:rFonts w:ascii="Arial" w:hAnsi="Arial" w:cs="Arial"/>
          <w:lang w:val="vi-VN"/>
        </w:rPr>
        <w:lastRenderedPageBreak/>
        <w:t xml:space="preserve">(2020) also reported that after controlling for other confounding risk factors, elevated IL-6 remained an independent predictor for the risk of asthma exacerbation within one year (OR = 1.32; p &lt; 0.01) </w:t>
      </w:r>
      <w:r>
        <w:rPr>
          <w:rFonts w:ascii="Arial" w:hAnsi="Arial" w:cs="Arial"/>
          <w:lang w:val="vi-VN"/>
        </w:rPr>
        <w:t>[5]</w:t>
      </w:r>
      <w:r w:rsidRPr="00E731EF">
        <w:rPr>
          <w:rFonts w:ascii="Arial" w:hAnsi="Arial" w:cs="Arial"/>
          <w:lang w:val="vi-VN"/>
        </w:rPr>
        <w:t>. Based on these data, we believe that IL-6 can be considered as a potential biomarker that reflects the level of systemic inflammatory activation and the individual’s tendency toward recurrent or severe attacks.</w:t>
      </w:r>
    </w:p>
    <w:p w14:paraId="3A986BE1" w14:textId="77777777" w:rsidR="004024AF" w:rsidRPr="00E731EF" w:rsidRDefault="004024AF" w:rsidP="004024AF">
      <w:pPr>
        <w:pStyle w:val="Body"/>
        <w:ind w:firstLine="720"/>
        <w:rPr>
          <w:rFonts w:ascii="Arial" w:hAnsi="Arial" w:cs="Arial"/>
          <w:lang w:val="vi-VN"/>
        </w:rPr>
      </w:pPr>
      <w:r w:rsidRPr="00E731EF">
        <w:rPr>
          <w:rFonts w:ascii="Arial" w:hAnsi="Arial" w:cs="Arial"/>
          <w:lang w:val="vi-VN"/>
        </w:rPr>
        <w:t>Regarding the relationship between IL-6 level and the severity of acute bronchial asthma exacerbation, our study did not show a statistically significant difference. This result is similar to the findings of Le Thi Thu Huong (2018), who also did not identify a clear association between cytokine levels and attack severity in Vietnamese children with asthma [</w:t>
      </w:r>
      <w:r>
        <w:rPr>
          <w:rFonts w:ascii="Arial" w:hAnsi="Arial" w:cs="Arial"/>
        </w:rPr>
        <w:t>10</w:t>
      </w:r>
      <w:r w:rsidRPr="00E731EF">
        <w:rPr>
          <w:rFonts w:ascii="Arial" w:hAnsi="Arial" w:cs="Arial"/>
          <w:lang w:val="vi-VN"/>
        </w:rPr>
        <w:t>]. Nevertheless, some international studies have shown the opposite results. For example, both Jackson (2020) and Pan (2023) reported that higher IL-6 concentration was related to more severe exacerbations of bronchial asthma</w:t>
      </w:r>
      <w:r>
        <w:rPr>
          <w:rFonts w:ascii="Arial" w:hAnsi="Arial" w:cs="Arial"/>
        </w:rPr>
        <w:t xml:space="preserve"> [8],[12]</w:t>
      </w:r>
      <w:r w:rsidRPr="00E731EF">
        <w:rPr>
          <w:rFonts w:ascii="Arial" w:hAnsi="Arial" w:cs="Arial"/>
          <w:lang w:val="vi-VN"/>
        </w:rPr>
        <w:t>. The difference between our findings and those studies could be explained by several reasons such as the relatively small sample size, the cross-sectional design which did not allow longitudinal follow-up, and the differences in asthma phenotypes and clinical characteristics between study populations. These factors might limit the ability to detect subtle associations.</w:t>
      </w:r>
    </w:p>
    <w:p w14:paraId="046F5F7F" w14:textId="77777777" w:rsidR="004024AF" w:rsidRPr="00E731EF" w:rsidRDefault="004024AF" w:rsidP="004024AF">
      <w:pPr>
        <w:pStyle w:val="Body"/>
        <w:ind w:firstLine="720"/>
        <w:rPr>
          <w:rFonts w:ascii="Arial" w:hAnsi="Arial" w:cs="Arial"/>
          <w:lang w:val="vi-VN"/>
        </w:rPr>
      </w:pPr>
      <w:r w:rsidRPr="00E731EF">
        <w:rPr>
          <w:rFonts w:ascii="Arial" w:hAnsi="Arial" w:cs="Arial"/>
          <w:lang w:val="vi-VN"/>
        </w:rPr>
        <w:t>Several mechanisms have been proposed to explain how IL-6 may contribute to the development of more severe and difficult-to-control asthma phenotypes. IL-6 can activate the JAK/STAT3 pathway within immune and airway epithelial cells, leading to increased expression of inflammatory genes, stimulation of CRP synthesis, and modification of immune responses in the respiratory system. These effects can amplify the inflammatory response when patients are exposed to allergens or respiratory infections, thereby making asthma exacerbations more severe [</w:t>
      </w:r>
      <w:r>
        <w:rPr>
          <w:rFonts w:ascii="Arial" w:hAnsi="Arial" w:cs="Arial"/>
          <w:lang w:val="vi-VN"/>
        </w:rPr>
        <w:t>7</w:t>
      </w:r>
      <w:r w:rsidRPr="00E731EF">
        <w:rPr>
          <w:rFonts w:ascii="Arial" w:hAnsi="Arial" w:cs="Arial"/>
          <w:lang w:val="vi-VN"/>
        </w:rPr>
        <w:t>]. Moreover, IL-6 has been suggested to play a role in airway remodeling, reducing lung function, and leading to narrowing of the airways and diminished responsiveness to bronchodilators [</w:t>
      </w:r>
      <w:r>
        <w:rPr>
          <w:rFonts w:ascii="Arial" w:hAnsi="Arial" w:cs="Arial"/>
          <w:lang w:val="vi-VN"/>
        </w:rPr>
        <w:t>12</w:t>
      </w:r>
      <w:r w:rsidRPr="00E731EF">
        <w:rPr>
          <w:rFonts w:ascii="Arial" w:hAnsi="Arial" w:cs="Arial"/>
          <w:lang w:val="vi-VN"/>
        </w:rPr>
        <w:t>]. Although we did not find a statistically significant relationship between IL-6 and attack severity in our data, we still consider IL-6 as a relevant factor in the pathophysiology of severe asthma, through mechanisms involving systemic inflammation, decreased treatment responsiveness, and progressive airway remodeling.</w:t>
      </w:r>
    </w:p>
    <w:p w14:paraId="3FAF4CED" w14:textId="77777777" w:rsidR="004024AF" w:rsidRPr="00E731EF" w:rsidRDefault="004024AF" w:rsidP="004024AF">
      <w:pPr>
        <w:pStyle w:val="Body"/>
        <w:ind w:firstLine="720"/>
        <w:rPr>
          <w:rFonts w:ascii="Arial" w:hAnsi="Arial" w:cs="Arial"/>
          <w:lang w:val="vi-VN"/>
        </w:rPr>
      </w:pPr>
      <w:r w:rsidRPr="00E731EF">
        <w:rPr>
          <w:rFonts w:ascii="Arial" w:hAnsi="Arial" w:cs="Arial"/>
          <w:lang w:val="vi-VN"/>
        </w:rPr>
        <w:t>Another point that may deserve attention is that IL-6 could interact with metabolic conditions such as obesity, which is known to influence asthma control. In our data, patients with higher IL-6 tended to have higher BMI, which may suggest an overlap between systemic inflammation, metabolic dysregulation, and airway inflammation. This aspect has been discussed in other studies, where IL-6 was shown to link obesity-related inflammation and poor asthma control. Such observations further support the need to evaluate IL-6 not only as a single cytokine but also as a part of a complex inflammatory network in pediatric asthma.</w:t>
      </w:r>
    </w:p>
    <w:p w14:paraId="4326E602" w14:textId="77777777" w:rsidR="004024AF" w:rsidRDefault="004024AF" w:rsidP="004024AF">
      <w:pPr>
        <w:pStyle w:val="Body"/>
        <w:spacing w:after="0"/>
        <w:ind w:firstLine="720"/>
        <w:rPr>
          <w:rFonts w:ascii="Arial" w:hAnsi="Arial" w:cs="Arial"/>
          <w:lang w:val="vi-VN"/>
        </w:rPr>
      </w:pPr>
      <w:r w:rsidRPr="00E731EF">
        <w:rPr>
          <w:rFonts w:ascii="Arial" w:hAnsi="Arial" w:cs="Arial"/>
          <w:lang w:val="vi-VN"/>
        </w:rPr>
        <w:t>Overall, our findings support the growing evidence that IL-6 is an active participant in the inflammatory cascade of asthma rather than a secondary marker. Its elevation reflects both airway and systemic inflammation, which may contribute to more frequent exacerbations and possibly poorer control in certain asthma phenotypes. Future studies with a larger sample size, multiple cytokine measurements, and longitudinal follow-up will be needed to confirm these observations and to clarify the prognostic value of IL-6 in different clinical subgroups.</w:t>
      </w:r>
    </w:p>
    <w:p w14:paraId="4652A043" w14:textId="77777777" w:rsidR="004024AF" w:rsidRPr="00553E06" w:rsidRDefault="004024AF" w:rsidP="004024AF">
      <w:pPr>
        <w:pStyle w:val="Body"/>
        <w:spacing w:after="0"/>
        <w:ind w:firstLine="720"/>
        <w:rPr>
          <w:rFonts w:ascii="Arial" w:hAnsi="Arial" w:cs="Arial"/>
        </w:rPr>
      </w:pPr>
    </w:p>
    <w:p w14:paraId="6ADAF365" w14:textId="77777777" w:rsidR="004024AF" w:rsidRDefault="004024AF" w:rsidP="004024AF">
      <w:pPr>
        <w:pStyle w:val="ConcHead"/>
        <w:spacing w:after="0"/>
        <w:jc w:val="both"/>
        <w:rPr>
          <w:rFonts w:ascii="Arial" w:hAnsi="Arial" w:cs="Arial"/>
        </w:rPr>
      </w:pPr>
      <w:r>
        <w:rPr>
          <w:rFonts w:ascii="Arial" w:hAnsi="Arial" w:cs="Arial"/>
        </w:rPr>
        <w:t xml:space="preserve">5. </w:t>
      </w:r>
      <w:r w:rsidRPr="00FB3A86">
        <w:rPr>
          <w:rFonts w:ascii="Arial" w:hAnsi="Arial" w:cs="Arial"/>
        </w:rPr>
        <w:t>Conclusion</w:t>
      </w:r>
    </w:p>
    <w:p w14:paraId="6CB84759" w14:textId="77777777" w:rsidR="004024AF" w:rsidRPr="00FB3A86" w:rsidRDefault="004024AF" w:rsidP="004024AF">
      <w:pPr>
        <w:pStyle w:val="ConcHead"/>
        <w:spacing w:after="0"/>
        <w:jc w:val="both"/>
        <w:rPr>
          <w:rFonts w:ascii="Arial" w:hAnsi="Arial" w:cs="Arial"/>
        </w:rPr>
      </w:pPr>
    </w:p>
    <w:p w14:paraId="749623A1" w14:textId="77777777" w:rsidR="004024AF" w:rsidRDefault="004024AF" w:rsidP="004024AF">
      <w:pPr>
        <w:ind w:firstLine="720"/>
        <w:rPr>
          <w:lang w:val="vi-VN"/>
        </w:rPr>
      </w:pPr>
      <w:r>
        <w:t>In conclusion, this study highlights the potential of IL-6 as a multifaceted biomarker in pediatric bronchial asthma. Elevated peripheral IL-6 levels were significantly associated with obesity, increased neutrophil and CRP levels, and greater exacerbation frequency. Although no statistical link with attack severity was observed, the trends and mechanistic insights from recent literature support IL-6’s pivotal role in systemic inflammation and asthma control. IL-6 measurement may therefore provide valuable information for risk assessment and disease monitoring, particularly in obesity-related or corticosteroid-resistant asthma phenotypes. Further longitudinal and interventional studies in Vietnamese populations are warranted to confirm these findings and evaluate the clinical utility of targeting the IL-6 signaling pathway in asthma managemen</w:t>
      </w:r>
    </w:p>
    <w:p w14:paraId="3EE1D2E5" w14:textId="77777777" w:rsidR="004024AF" w:rsidRPr="00E64079" w:rsidRDefault="004024AF" w:rsidP="004024AF">
      <w:pPr>
        <w:rPr>
          <w:lang w:val="vi-VN"/>
        </w:rPr>
      </w:pPr>
    </w:p>
    <w:p w14:paraId="78647B52" w14:textId="77777777" w:rsidR="004024AF" w:rsidRPr="00E64079" w:rsidRDefault="004024AF" w:rsidP="004024AF">
      <w:pPr>
        <w:rPr>
          <w:rFonts w:ascii="Arial" w:hAnsi="Arial" w:cs="Arial"/>
          <w:b/>
          <w:bCs/>
          <w:lang w:val="vi-VN"/>
        </w:rPr>
      </w:pPr>
      <w:r w:rsidRPr="00E64079">
        <w:rPr>
          <w:rFonts w:ascii="Arial" w:hAnsi="Arial" w:cs="Arial"/>
          <w:b/>
          <w:bCs/>
        </w:rPr>
        <w:t>CONSENTAND ETHICAL APPROVAL</w:t>
      </w:r>
    </w:p>
    <w:p w14:paraId="41DBFAB7" w14:textId="77777777" w:rsidR="004024AF" w:rsidRPr="00E64079" w:rsidRDefault="004024AF" w:rsidP="004024AF">
      <w:pPr>
        <w:rPr>
          <w:rFonts w:ascii="Arial" w:hAnsi="Arial" w:cs="Arial"/>
          <w:lang w:val="vi-VN"/>
        </w:rPr>
      </w:pPr>
    </w:p>
    <w:p w14:paraId="2F2E171F" w14:textId="77777777" w:rsidR="004024AF" w:rsidRDefault="004024AF" w:rsidP="004024AF">
      <w:pPr>
        <w:ind w:firstLine="720"/>
        <w:rPr>
          <w:rFonts w:ascii="Arial" w:hAnsi="Arial" w:cs="Arial"/>
          <w:bCs/>
          <w:lang w:val="vi-VN"/>
        </w:rPr>
      </w:pPr>
      <w:r w:rsidRPr="00FC60F3">
        <w:rPr>
          <w:rFonts w:ascii="Arial" w:hAnsi="Arial" w:cs="Arial"/>
          <w:bCs/>
        </w:rPr>
        <w:t xml:space="preserve">The study was approved by the </w:t>
      </w:r>
      <w:r>
        <w:rPr>
          <w:rFonts w:ascii="Arial" w:hAnsi="Arial" w:cs="Arial"/>
          <w:bCs/>
        </w:rPr>
        <w:t>I</w:t>
      </w:r>
      <w:r w:rsidRPr="00FC60F3">
        <w:rPr>
          <w:rFonts w:ascii="Arial" w:hAnsi="Arial" w:cs="Arial"/>
          <w:bCs/>
        </w:rPr>
        <w:t xml:space="preserve">nstitutional </w:t>
      </w:r>
      <w:r>
        <w:rPr>
          <w:rFonts w:ascii="Arial" w:hAnsi="Arial" w:cs="Arial"/>
          <w:bCs/>
        </w:rPr>
        <w:t>R</w:t>
      </w:r>
      <w:r w:rsidRPr="00FC60F3">
        <w:rPr>
          <w:rFonts w:ascii="Arial" w:hAnsi="Arial" w:cs="Arial"/>
          <w:bCs/>
        </w:rPr>
        <w:t xml:space="preserve">eview </w:t>
      </w:r>
      <w:r>
        <w:rPr>
          <w:rFonts w:ascii="Arial" w:hAnsi="Arial" w:cs="Arial"/>
          <w:bCs/>
        </w:rPr>
        <w:t>B</w:t>
      </w:r>
      <w:r w:rsidRPr="00FC60F3">
        <w:rPr>
          <w:rFonts w:ascii="Arial" w:hAnsi="Arial" w:cs="Arial"/>
          <w:bCs/>
        </w:rPr>
        <w:t>oard (</w:t>
      </w:r>
      <w:r>
        <w:rPr>
          <w:rFonts w:ascii="Arial" w:hAnsi="Arial" w:cs="Arial"/>
          <w:bCs/>
        </w:rPr>
        <w:t>E</w:t>
      </w:r>
      <w:r w:rsidRPr="00FC60F3">
        <w:rPr>
          <w:rFonts w:ascii="Arial" w:hAnsi="Arial" w:cs="Arial"/>
          <w:bCs/>
        </w:rPr>
        <w:t xml:space="preserve">thics </w:t>
      </w:r>
      <w:r>
        <w:rPr>
          <w:rFonts w:ascii="Arial" w:hAnsi="Arial" w:cs="Arial"/>
          <w:bCs/>
        </w:rPr>
        <w:t>C</w:t>
      </w:r>
      <w:r w:rsidRPr="00FC60F3">
        <w:rPr>
          <w:rFonts w:ascii="Arial" w:hAnsi="Arial" w:cs="Arial"/>
          <w:bCs/>
        </w:rPr>
        <w:t xml:space="preserve">ommittee) in </w:t>
      </w:r>
      <w:r>
        <w:rPr>
          <w:rFonts w:ascii="Arial" w:hAnsi="Arial" w:cs="Arial"/>
          <w:bCs/>
        </w:rPr>
        <w:t>B</w:t>
      </w:r>
      <w:r w:rsidRPr="00FC60F3">
        <w:rPr>
          <w:rFonts w:ascii="Arial" w:hAnsi="Arial" w:cs="Arial"/>
          <w:bCs/>
        </w:rPr>
        <w:t xml:space="preserve">iomedical </w:t>
      </w:r>
      <w:r>
        <w:rPr>
          <w:rFonts w:ascii="Arial" w:hAnsi="Arial" w:cs="Arial"/>
          <w:bCs/>
        </w:rPr>
        <w:t>R</w:t>
      </w:r>
      <w:r w:rsidRPr="00FC60F3">
        <w:rPr>
          <w:rFonts w:ascii="Arial" w:hAnsi="Arial" w:cs="Arial"/>
          <w:bCs/>
        </w:rPr>
        <w:t xml:space="preserve">esearch of </w:t>
      </w:r>
      <w:r>
        <w:rPr>
          <w:rFonts w:ascii="Arial" w:hAnsi="Arial" w:cs="Arial"/>
          <w:bCs/>
        </w:rPr>
        <w:t>C</w:t>
      </w:r>
      <w:r w:rsidRPr="00FC60F3">
        <w:rPr>
          <w:rFonts w:ascii="Arial" w:hAnsi="Arial" w:cs="Arial"/>
          <w:bCs/>
        </w:rPr>
        <w:t xml:space="preserve">an </w:t>
      </w:r>
      <w:r>
        <w:rPr>
          <w:rFonts w:ascii="Arial" w:hAnsi="Arial" w:cs="Arial"/>
          <w:bCs/>
        </w:rPr>
        <w:t>T</w:t>
      </w:r>
      <w:r w:rsidRPr="00FC60F3">
        <w:rPr>
          <w:rFonts w:ascii="Arial" w:hAnsi="Arial" w:cs="Arial"/>
          <w:bCs/>
        </w:rPr>
        <w:t xml:space="preserve">ho </w:t>
      </w:r>
      <w:r>
        <w:rPr>
          <w:rFonts w:ascii="Arial" w:hAnsi="Arial" w:cs="Arial"/>
          <w:bCs/>
        </w:rPr>
        <w:t>U</w:t>
      </w:r>
      <w:r w:rsidRPr="00FC60F3">
        <w:rPr>
          <w:rFonts w:ascii="Arial" w:hAnsi="Arial" w:cs="Arial"/>
          <w:bCs/>
        </w:rPr>
        <w:t xml:space="preserve">niversity of </w:t>
      </w:r>
      <w:r>
        <w:rPr>
          <w:rFonts w:ascii="Arial" w:hAnsi="Arial" w:cs="Arial"/>
          <w:bCs/>
        </w:rPr>
        <w:t>M</w:t>
      </w:r>
      <w:r w:rsidRPr="00FC60F3">
        <w:rPr>
          <w:rFonts w:ascii="Arial" w:hAnsi="Arial" w:cs="Arial"/>
          <w:bCs/>
        </w:rPr>
        <w:t xml:space="preserve">edicine and </w:t>
      </w:r>
      <w:r>
        <w:rPr>
          <w:rFonts w:ascii="Arial" w:hAnsi="Arial" w:cs="Arial"/>
          <w:bCs/>
        </w:rPr>
        <w:t>P</w:t>
      </w:r>
      <w:r w:rsidRPr="00FC60F3">
        <w:rPr>
          <w:rFonts w:ascii="Arial" w:hAnsi="Arial" w:cs="Arial"/>
          <w:bCs/>
        </w:rPr>
        <w:t xml:space="preserve">harmacy on </w:t>
      </w:r>
      <w:r>
        <w:rPr>
          <w:rFonts w:ascii="Arial" w:hAnsi="Arial" w:cs="Arial"/>
          <w:bCs/>
        </w:rPr>
        <w:t>M</w:t>
      </w:r>
      <w:r w:rsidRPr="00FC60F3">
        <w:rPr>
          <w:rFonts w:ascii="Arial" w:hAnsi="Arial" w:cs="Arial"/>
          <w:bCs/>
        </w:rPr>
        <w:t>arch 20, 2023 (approval number: 23.031.HV /PCT-HĐĐĐ).</w:t>
      </w:r>
    </w:p>
    <w:p w14:paraId="1639D588" w14:textId="77777777" w:rsidR="004024AF" w:rsidRPr="00E64079" w:rsidRDefault="004024AF" w:rsidP="004024AF">
      <w:pPr>
        <w:rPr>
          <w:rFonts w:ascii="Arial" w:hAnsi="Arial" w:cs="Arial"/>
          <w:bCs/>
          <w:lang w:val="vi-VN"/>
        </w:rPr>
      </w:pPr>
    </w:p>
    <w:p w14:paraId="43C19102" w14:textId="77777777" w:rsidR="004024AF" w:rsidRDefault="004024AF" w:rsidP="004024AF">
      <w:pPr>
        <w:rPr>
          <w:rFonts w:ascii="Arial" w:hAnsi="Arial" w:cs="Arial"/>
          <w:b/>
          <w:bCs/>
          <w:lang w:val="vi-VN"/>
        </w:rPr>
      </w:pPr>
      <w:r w:rsidRPr="00E64079">
        <w:rPr>
          <w:rFonts w:ascii="Arial" w:hAnsi="Arial" w:cs="Arial"/>
          <w:b/>
          <w:bCs/>
        </w:rPr>
        <w:t>DISCLAIMER (ARTIFICIAL INTELLIGENCE)</w:t>
      </w:r>
    </w:p>
    <w:p w14:paraId="73E4C1F4" w14:textId="77777777" w:rsidR="004024AF" w:rsidRPr="00E64079" w:rsidRDefault="004024AF" w:rsidP="004024AF">
      <w:pPr>
        <w:rPr>
          <w:rFonts w:ascii="Arial" w:hAnsi="Arial" w:cs="Arial"/>
          <w:b/>
          <w:bCs/>
          <w:lang w:val="vi-VN"/>
        </w:rPr>
      </w:pPr>
    </w:p>
    <w:p w14:paraId="29F1B1BE" w14:textId="77777777" w:rsidR="004024AF" w:rsidRDefault="004024AF" w:rsidP="004024AF">
      <w:pPr>
        <w:ind w:firstLine="720"/>
        <w:rPr>
          <w:rFonts w:ascii="Arial" w:hAnsi="Arial" w:cs="Arial"/>
          <w:bCs/>
          <w:lang w:val="vi-VN"/>
        </w:rPr>
      </w:pPr>
      <w:r w:rsidRPr="00753FF9">
        <w:rPr>
          <w:rFonts w:ascii="Arial" w:hAnsi="Arial" w:cs="Arial"/>
          <w:bCs/>
        </w:rPr>
        <w:t>The authors affirm that generative artificial intelligence technologies, including large language models (such as chatgpt, copilot) or text-to-image generators, were not utilized at any stage of the writing or editing process for this manuscript.</w:t>
      </w:r>
    </w:p>
    <w:p w14:paraId="383C827E" w14:textId="77777777" w:rsidR="004024AF" w:rsidRPr="00E64079" w:rsidRDefault="004024AF" w:rsidP="004024AF">
      <w:pPr>
        <w:rPr>
          <w:rFonts w:ascii="Arial" w:hAnsi="Arial" w:cs="Arial"/>
          <w:bCs/>
          <w:lang w:val="vi-VN"/>
        </w:rPr>
      </w:pPr>
    </w:p>
    <w:p w14:paraId="0466E5A8" w14:textId="77777777" w:rsidR="004024AF" w:rsidRDefault="004024AF" w:rsidP="004024AF">
      <w:pPr>
        <w:rPr>
          <w:rFonts w:ascii="Arial" w:hAnsi="Arial" w:cs="Arial"/>
          <w:b/>
          <w:bCs/>
          <w:lang w:val="vi-VN"/>
        </w:rPr>
      </w:pPr>
      <w:r w:rsidRPr="00E64079">
        <w:rPr>
          <w:rFonts w:ascii="Arial" w:hAnsi="Arial" w:cs="Arial"/>
          <w:b/>
          <w:bCs/>
        </w:rPr>
        <w:lastRenderedPageBreak/>
        <w:t>COMPETING INTERESTS</w:t>
      </w:r>
    </w:p>
    <w:p w14:paraId="7A851540" w14:textId="77777777" w:rsidR="004024AF" w:rsidRPr="00E64079" w:rsidRDefault="004024AF" w:rsidP="004024AF">
      <w:pPr>
        <w:rPr>
          <w:rFonts w:ascii="Arial" w:hAnsi="Arial" w:cs="Arial"/>
          <w:b/>
          <w:bCs/>
          <w:lang w:val="vi-VN"/>
        </w:rPr>
      </w:pPr>
    </w:p>
    <w:p w14:paraId="5E8D336E" w14:textId="77777777" w:rsidR="004024AF" w:rsidRDefault="004024AF" w:rsidP="004024AF">
      <w:pPr>
        <w:ind w:firstLine="720"/>
        <w:rPr>
          <w:rFonts w:ascii="Arial" w:hAnsi="Arial" w:cs="Arial"/>
          <w:bCs/>
          <w:lang w:val="vi-VN"/>
        </w:rPr>
      </w:pPr>
      <w:r w:rsidRPr="00753FF9">
        <w:rPr>
          <w:rFonts w:ascii="Arial" w:hAnsi="Arial" w:cs="Arial"/>
          <w:bCs/>
        </w:rPr>
        <w:t>The authors report no conflicts of interest relevant to this work.</w:t>
      </w:r>
    </w:p>
    <w:p w14:paraId="69FAF47A" w14:textId="77777777" w:rsidR="004024AF" w:rsidRPr="00E64079" w:rsidRDefault="004024AF" w:rsidP="004024AF">
      <w:pPr>
        <w:rPr>
          <w:rFonts w:ascii="Arial" w:hAnsi="Arial" w:cs="Arial"/>
          <w:bCs/>
          <w:lang w:val="vi-VN"/>
        </w:rPr>
      </w:pPr>
    </w:p>
    <w:p w14:paraId="5B81CD47" w14:textId="77777777" w:rsidR="004024AF" w:rsidRDefault="004024AF" w:rsidP="004024AF">
      <w:pPr>
        <w:rPr>
          <w:rFonts w:ascii="Arial" w:hAnsi="Arial" w:cs="Arial"/>
          <w:b/>
          <w:lang w:val="vi-VN"/>
        </w:rPr>
      </w:pPr>
      <w:r w:rsidRPr="00E64079">
        <w:rPr>
          <w:rFonts w:ascii="Arial" w:hAnsi="Arial" w:cs="Arial"/>
          <w:b/>
          <w:lang w:val="vi-VN"/>
        </w:rPr>
        <w:t>AUTHORS’ CONTRIBUTIONS</w:t>
      </w:r>
    </w:p>
    <w:p w14:paraId="1DACF848" w14:textId="77777777" w:rsidR="004024AF" w:rsidRPr="00E64079" w:rsidRDefault="004024AF" w:rsidP="004024AF">
      <w:pPr>
        <w:rPr>
          <w:b/>
        </w:rPr>
      </w:pPr>
    </w:p>
    <w:p w14:paraId="0FBDB3AE" w14:textId="77777777" w:rsidR="004024AF" w:rsidRPr="00E64079" w:rsidRDefault="004024AF" w:rsidP="004024AF">
      <w:pPr>
        <w:ind w:firstLine="720"/>
        <w:jc w:val="both"/>
        <w:rPr>
          <w:rFonts w:ascii="Arial" w:hAnsi="Arial" w:cs="Arial"/>
        </w:rPr>
      </w:pPr>
      <w:r w:rsidRPr="00E64079">
        <w:rPr>
          <w:rFonts w:ascii="Arial" w:hAnsi="Arial" w:cs="Arial"/>
        </w:rPr>
        <w:t>Author Nguyen Thi Bao Xuyen: study design, supervision and collect data.</w:t>
      </w:r>
    </w:p>
    <w:p w14:paraId="7BA2E5A9" w14:textId="77777777" w:rsidR="004024AF" w:rsidRPr="00E64079" w:rsidRDefault="004024AF" w:rsidP="004024AF">
      <w:pPr>
        <w:ind w:firstLine="720"/>
        <w:jc w:val="both"/>
        <w:rPr>
          <w:rFonts w:ascii="Arial" w:hAnsi="Arial" w:cs="Arial"/>
        </w:rPr>
      </w:pPr>
      <w:r w:rsidRPr="00E64079">
        <w:rPr>
          <w:rFonts w:ascii="Arial" w:hAnsi="Arial" w:cs="Arial"/>
        </w:rPr>
        <w:t>Author Nguyen Hieu Thao: laboratory and data analysis.</w:t>
      </w:r>
    </w:p>
    <w:p w14:paraId="3351813A" w14:textId="77777777" w:rsidR="004024AF" w:rsidRPr="00E64079" w:rsidRDefault="004024AF" w:rsidP="004024AF">
      <w:pPr>
        <w:ind w:firstLine="720"/>
        <w:jc w:val="both"/>
        <w:rPr>
          <w:rFonts w:ascii="Arial" w:hAnsi="Arial" w:cs="Arial"/>
        </w:rPr>
      </w:pPr>
      <w:r w:rsidRPr="00E64079">
        <w:rPr>
          <w:rFonts w:ascii="Arial" w:hAnsi="Arial" w:cs="Arial"/>
        </w:rPr>
        <w:t>Author Tran Thanh Tung: manuscript preparation and revision.</w:t>
      </w:r>
    </w:p>
    <w:p w14:paraId="58D75939" w14:textId="77777777" w:rsidR="004024AF" w:rsidRPr="00E64079" w:rsidRDefault="004024AF" w:rsidP="004024AF">
      <w:pPr>
        <w:ind w:firstLine="720"/>
        <w:jc w:val="both"/>
        <w:rPr>
          <w:rFonts w:ascii="Arial" w:hAnsi="Arial" w:cs="Arial"/>
          <w:lang w:val="vi-VN"/>
        </w:rPr>
      </w:pPr>
      <w:r w:rsidRPr="00E64079">
        <w:rPr>
          <w:rFonts w:ascii="Arial" w:hAnsi="Arial" w:cs="Arial"/>
        </w:rPr>
        <w:t>All authors approved the final manuscript.</w:t>
      </w:r>
    </w:p>
    <w:p w14:paraId="5886C0AA" w14:textId="77777777" w:rsidR="004024AF" w:rsidRPr="00E64079" w:rsidRDefault="004024AF" w:rsidP="004024AF">
      <w:pPr>
        <w:jc w:val="both"/>
        <w:rPr>
          <w:rFonts w:ascii="Arial" w:hAnsi="Arial" w:cs="Arial"/>
          <w:lang w:val="vi-VN"/>
        </w:rPr>
      </w:pPr>
    </w:p>
    <w:p w14:paraId="449A153F" w14:textId="77777777" w:rsidR="004024AF" w:rsidRDefault="004024AF" w:rsidP="004024AF">
      <w:pPr>
        <w:jc w:val="both"/>
        <w:rPr>
          <w:rFonts w:ascii="Arial" w:hAnsi="Arial" w:cs="Arial"/>
          <w:b/>
          <w:bCs/>
          <w:sz w:val="22"/>
          <w:szCs w:val="22"/>
          <w:lang w:val="vi-VN"/>
        </w:rPr>
      </w:pPr>
      <w:r w:rsidRPr="00E64079">
        <w:rPr>
          <w:rFonts w:ascii="Arial" w:hAnsi="Arial" w:cs="Arial"/>
          <w:b/>
          <w:bCs/>
          <w:sz w:val="22"/>
          <w:szCs w:val="22"/>
        </w:rPr>
        <w:t>ACKNOWLEDGEMENTS</w:t>
      </w:r>
    </w:p>
    <w:p w14:paraId="662DE368" w14:textId="77777777" w:rsidR="004024AF" w:rsidRPr="00E64079" w:rsidRDefault="004024AF" w:rsidP="004024AF">
      <w:pPr>
        <w:jc w:val="both"/>
        <w:rPr>
          <w:rFonts w:ascii="Arial" w:hAnsi="Arial" w:cs="Arial"/>
          <w:b/>
          <w:bCs/>
          <w:sz w:val="22"/>
          <w:szCs w:val="22"/>
          <w:lang w:val="vi-VN"/>
        </w:rPr>
      </w:pPr>
    </w:p>
    <w:p w14:paraId="0979FE9A" w14:textId="77777777" w:rsidR="004024AF" w:rsidRDefault="004024AF" w:rsidP="004024AF">
      <w:pPr>
        <w:ind w:firstLine="720"/>
        <w:jc w:val="both"/>
        <w:rPr>
          <w:rFonts w:ascii="Arial" w:hAnsi="Arial" w:cs="Arial"/>
          <w:lang w:val="vi-VN"/>
        </w:rPr>
      </w:pPr>
      <w:r w:rsidRPr="00E64079">
        <w:rPr>
          <w:rFonts w:ascii="Arial" w:hAnsi="Arial" w:cs="Arial"/>
        </w:rPr>
        <w:t>The authors thank the staff of Can Tho Children’s Hospital and Can Tho University of Medicine and Pharmacy for supporting sample collection, analysis and technical advice.</w:t>
      </w:r>
    </w:p>
    <w:p w14:paraId="28290A0D" w14:textId="77777777" w:rsidR="004024AF" w:rsidRPr="00E64079" w:rsidRDefault="004024AF" w:rsidP="004024AF">
      <w:pPr>
        <w:jc w:val="both"/>
        <w:rPr>
          <w:rFonts w:ascii="Arial" w:hAnsi="Arial" w:cs="Arial"/>
          <w:lang w:val="vi-VN"/>
        </w:rPr>
      </w:pPr>
    </w:p>
    <w:p w14:paraId="49735FBA" w14:textId="77777777" w:rsidR="004024AF" w:rsidRDefault="004024AF" w:rsidP="004024AF">
      <w:pPr>
        <w:jc w:val="both"/>
        <w:rPr>
          <w:rFonts w:ascii="Arial" w:hAnsi="Arial" w:cs="Arial"/>
          <w:b/>
          <w:bCs/>
          <w:lang w:val="vi-VN"/>
        </w:rPr>
      </w:pPr>
      <w:r w:rsidRPr="00E64079">
        <w:rPr>
          <w:rFonts w:ascii="Arial" w:hAnsi="Arial" w:cs="Arial"/>
          <w:b/>
          <w:bCs/>
        </w:rPr>
        <w:t>FUNDING</w:t>
      </w:r>
    </w:p>
    <w:p w14:paraId="6A2C3597" w14:textId="77777777" w:rsidR="004024AF" w:rsidRPr="00E64079" w:rsidRDefault="004024AF" w:rsidP="004024AF">
      <w:pPr>
        <w:jc w:val="both"/>
        <w:rPr>
          <w:rFonts w:ascii="Arial" w:hAnsi="Arial" w:cs="Arial"/>
          <w:b/>
          <w:bCs/>
          <w:lang w:val="vi-VN"/>
        </w:rPr>
      </w:pPr>
    </w:p>
    <w:p w14:paraId="3D10C596" w14:textId="77777777" w:rsidR="004024AF" w:rsidRDefault="004024AF" w:rsidP="004024AF">
      <w:pPr>
        <w:ind w:firstLine="720"/>
        <w:jc w:val="both"/>
        <w:rPr>
          <w:rFonts w:ascii="Arial" w:hAnsi="Arial" w:cs="Arial"/>
          <w:lang w:val="vi-VN"/>
        </w:rPr>
      </w:pPr>
      <w:r w:rsidRPr="00E64079">
        <w:rPr>
          <w:rFonts w:ascii="Arial" w:hAnsi="Arial" w:cs="Arial"/>
        </w:rPr>
        <w:t>This research received no external funding, it was self-financed by the authors.</w:t>
      </w:r>
    </w:p>
    <w:p w14:paraId="4778DC44" w14:textId="77777777" w:rsidR="004024AF" w:rsidRPr="00E64079" w:rsidRDefault="004024AF" w:rsidP="004024AF">
      <w:pPr>
        <w:jc w:val="both"/>
        <w:rPr>
          <w:rFonts w:ascii="Arial" w:hAnsi="Arial" w:cs="Arial"/>
          <w:lang w:val="vi-VN"/>
        </w:rPr>
      </w:pPr>
    </w:p>
    <w:p w14:paraId="02A6EF34" w14:textId="77777777" w:rsidR="004024AF" w:rsidRDefault="004024AF" w:rsidP="004024AF">
      <w:pPr>
        <w:jc w:val="both"/>
        <w:rPr>
          <w:rFonts w:ascii="Arial" w:hAnsi="Arial" w:cs="Arial"/>
          <w:b/>
          <w:bCs/>
          <w:lang w:val="vi-VN"/>
        </w:rPr>
      </w:pPr>
      <w:r w:rsidRPr="00E64079">
        <w:rPr>
          <w:rFonts w:ascii="Arial" w:hAnsi="Arial" w:cs="Arial"/>
          <w:b/>
          <w:bCs/>
        </w:rPr>
        <w:t>CONSENT STATEMENT</w:t>
      </w:r>
    </w:p>
    <w:p w14:paraId="593350D7" w14:textId="77777777" w:rsidR="004024AF" w:rsidRPr="00E64079" w:rsidRDefault="004024AF" w:rsidP="004024AF">
      <w:pPr>
        <w:jc w:val="both"/>
        <w:rPr>
          <w:rFonts w:ascii="Arial" w:hAnsi="Arial" w:cs="Arial"/>
          <w:b/>
          <w:bCs/>
          <w:lang w:val="vi-VN"/>
        </w:rPr>
      </w:pPr>
    </w:p>
    <w:p w14:paraId="20B135BB" w14:textId="77777777" w:rsidR="004024AF" w:rsidRDefault="004024AF" w:rsidP="004024AF">
      <w:pPr>
        <w:ind w:firstLine="720"/>
        <w:jc w:val="both"/>
        <w:rPr>
          <w:rFonts w:ascii="Arial" w:hAnsi="Arial" w:cs="Arial"/>
          <w:lang w:val="vi-VN"/>
        </w:rPr>
      </w:pPr>
      <w:r w:rsidRPr="00E64079">
        <w:rPr>
          <w:rFonts w:ascii="Arial" w:hAnsi="Arial" w:cs="Arial"/>
        </w:rPr>
        <w:t>Written informed consent was obtained from all guardians before enrollment.</w:t>
      </w:r>
    </w:p>
    <w:p w14:paraId="49670772" w14:textId="77777777" w:rsidR="004024AF" w:rsidRPr="00E64079" w:rsidRDefault="004024AF" w:rsidP="004024AF">
      <w:pPr>
        <w:jc w:val="both"/>
        <w:rPr>
          <w:rFonts w:ascii="Arial" w:hAnsi="Arial" w:cs="Arial"/>
          <w:lang w:val="vi-VN"/>
        </w:rPr>
      </w:pPr>
    </w:p>
    <w:p w14:paraId="10958951" w14:textId="77777777" w:rsidR="004024AF" w:rsidRPr="00E64079" w:rsidRDefault="004024AF" w:rsidP="004024AF">
      <w:pPr>
        <w:jc w:val="both"/>
        <w:rPr>
          <w:rFonts w:ascii="Arial" w:hAnsi="Arial" w:cs="Arial"/>
          <w:b/>
          <w:bCs/>
        </w:rPr>
      </w:pPr>
      <w:r w:rsidRPr="00E64079">
        <w:rPr>
          <w:rFonts w:ascii="Arial" w:hAnsi="Arial" w:cs="Arial"/>
          <w:b/>
          <w:bCs/>
        </w:rPr>
        <w:t>REFERENCES</w:t>
      </w:r>
    </w:p>
    <w:p w14:paraId="53C1A74A" w14:textId="77777777" w:rsidR="004024AF" w:rsidRPr="00E64079" w:rsidRDefault="004024AF" w:rsidP="004024AF">
      <w:pPr>
        <w:jc w:val="both"/>
        <w:rPr>
          <w:rFonts w:ascii="Arial" w:hAnsi="Arial" w:cs="Arial"/>
        </w:rPr>
      </w:pPr>
    </w:p>
    <w:p w14:paraId="473BAAEF" w14:textId="77777777" w:rsidR="004024AF" w:rsidRPr="00E43540" w:rsidRDefault="004024AF" w:rsidP="004024AF">
      <w:pPr>
        <w:ind w:firstLine="284"/>
        <w:jc w:val="both"/>
        <w:rPr>
          <w:lang w:val="fr-FR"/>
        </w:rPr>
      </w:pPr>
      <w:r w:rsidRPr="00E64079">
        <w:rPr>
          <w:rFonts w:ascii="Arial" w:hAnsi="Arial" w:cs="Arial"/>
        </w:rPr>
        <w:t>1.</w:t>
      </w:r>
      <w:r>
        <w:rPr>
          <w:rFonts w:ascii="Arial" w:hAnsi="Arial" w:cs="Arial"/>
        </w:rPr>
        <w:t xml:space="preserve"> </w:t>
      </w:r>
      <w:r w:rsidRPr="00145B85">
        <w:t xml:space="preserve">Akar-Ghibril N, Greco KF, Jackson-Browne M, et al. </w:t>
      </w:r>
      <w:r>
        <w:t xml:space="preserve">High plasma IL-6 levels enhance the adverse effects of allergen exposure on asthma morbidity in children. </w:t>
      </w:r>
      <w:r w:rsidRPr="00E43540">
        <w:rPr>
          <w:lang w:val="fr-FR"/>
        </w:rPr>
        <w:t>J Allergy Clin Immunol. 2023;152(6):1677-1682.</w:t>
      </w:r>
      <w:r>
        <w:rPr>
          <w:lang w:val="vi-VN"/>
        </w:rPr>
        <w:t xml:space="preserve"> DOI: </w:t>
      </w:r>
      <w:r w:rsidRPr="00E43540">
        <w:rPr>
          <w:lang w:val="fr-FR"/>
        </w:rPr>
        <w:t>10.1016/j.jaci.2023.06.027</w:t>
      </w:r>
    </w:p>
    <w:p w14:paraId="57195FA0" w14:textId="77777777" w:rsidR="004024AF" w:rsidRPr="00145B85" w:rsidRDefault="004024AF" w:rsidP="004024AF">
      <w:pPr>
        <w:ind w:firstLine="284"/>
      </w:pPr>
      <w:r w:rsidRPr="00E43540">
        <w:rPr>
          <w:lang w:val="fr-FR"/>
        </w:rPr>
        <w:t xml:space="preserve">2. Chen X, et al. </w:t>
      </w:r>
      <w:r>
        <w:t xml:space="preserve">IL-6 pathway and corticosteroid resistance in pediatric asthma. </w:t>
      </w:r>
      <w:r w:rsidRPr="00145B85">
        <w:t>BMC Pulm Med. 2024;24(7):65-72.</w:t>
      </w:r>
    </w:p>
    <w:p w14:paraId="03765DF0" w14:textId="77777777" w:rsidR="004024AF" w:rsidRDefault="004024AF" w:rsidP="004024AF">
      <w:pPr>
        <w:ind w:firstLine="284"/>
        <w:jc w:val="both"/>
        <w:rPr>
          <w:rFonts w:ascii="Arial" w:hAnsi="Arial" w:cs="Arial"/>
        </w:rPr>
      </w:pPr>
      <w:r>
        <w:rPr>
          <w:rFonts w:ascii="Arial" w:hAnsi="Arial" w:cs="Arial"/>
        </w:rPr>
        <w:t xml:space="preserve">3. </w:t>
      </w:r>
      <w:r w:rsidRPr="00E64079">
        <w:rPr>
          <w:rFonts w:ascii="Arial" w:hAnsi="Arial" w:cs="Arial"/>
        </w:rPr>
        <w:t>Do TH, Nguyen TDT, Bui CT, Pham QK. Kieu Hinh hen phe quan cua tre em tren 5 tuoi tai Benh vien Nhi Trung uong [Phenotypes of asthma in children over 5 years old at the National Children's Hospital]. Tap chi Nghien cuu va Thuc hanh Nhi khoa [Journal of Pediatric Research and Practice]. 2019;3(1):41-48. doi:10.25073/jprp.v3i1.115.</w:t>
      </w:r>
    </w:p>
    <w:p w14:paraId="6EFE675F" w14:textId="77777777" w:rsidR="004024AF" w:rsidRPr="00E43540" w:rsidRDefault="004024AF" w:rsidP="004024AF">
      <w:pPr>
        <w:ind w:firstLine="284"/>
      </w:pPr>
      <w:r>
        <w:t>4. Global Initiative for Asthma (GINA). Global Strategy for Asthma Management and Prevention – 2024 Update. 2024.</w:t>
      </w:r>
    </w:p>
    <w:p w14:paraId="30D0A7A4" w14:textId="77777777" w:rsidR="004024AF" w:rsidRDefault="004024AF" w:rsidP="004024AF">
      <w:pPr>
        <w:ind w:firstLine="284"/>
        <w:jc w:val="both"/>
        <w:rPr>
          <w:rFonts w:ascii="Arial" w:hAnsi="Arial" w:cs="Arial"/>
          <w:lang w:val="vi-VN"/>
        </w:rPr>
      </w:pPr>
      <w:r>
        <w:rPr>
          <w:rFonts w:ascii="Arial" w:hAnsi="Arial" w:cs="Arial"/>
        </w:rPr>
        <w:t xml:space="preserve">5. </w:t>
      </w:r>
      <w:r w:rsidRPr="00E64079">
        <w:rPr>
          <w:rFonts w:ascii="Arial" w:hAnsi="Arial" w:cs="Arial"/>
        </w:rPr>
        <w:t xml:space="preserve">Hammad H, Lambrecht BN. The basic immunology of asthma. </w:t>
      </w:r>
      <w:r w:rsidRPr="00E43540">
        <w:rPr>
          <w:rFonts w:ascii="Arial" w:hAnsi="Arial" w:cs="Arial"/>
        </w:rPr>
        <w:t>Cell. 2021;184(6):1469-85. doi:10.1016/j.cell.2021.02.016.</w:t>
      </w:r>
    </w:p>
    <w:p w14:paraId="4FBC096E" w14:textId="77777777" w:rsidR="004024AF" w:rsidRPr="00FB6C55" w:rsidRDefault="004024AF" w:rsidP="004024AF">
      <w:pPr>
        <w:pStyle w:val="Appendix"/>
        <w:spacing w:after="0"/>
        <w:ind w:firstLine="284"/>
        <w:jc w:val="both"/>
        <w:rPr>
          <w:rFonts w:ascii="Arial" w:hAnsi="Arial" w:cs="Arial"/>
          <w:b w:val="0"/>
          <w:sz w:val="20"/>
          <w:lang w:val="vi-VN"/>
        </w:rPr>
      </w:pPr>
      <w:r w:rsidRPr="00FB6C55">
        <w:rPr>
          <w:rFonts w:ascii="Arial" w:hAnsi="Arial" w:cs="Arial"/>
          <w:b w:val="0"/>
          <w:bCs/>
          <w:sz w:val="20"/>
          <w:lang w:val="vi-VN"/>
        </w:rPr>
        <w:t>6.</w:t>
      </w:r>
      <w:r>
        <w:rPr>
          <w:rFonts w:ascii="Arial" w:hAnsi="Arial" w:cs="Arial"/>
          <w:lang w:val="vi-VN"/>
        </w:rPr>
        <w:t xml:space="preserve"> </w:t>
      </w:r>
      <w:r w:rsidRPr="00FB6C55">
        <w:rPr>
          <w:rFonts w:ascii="Arial" w:hAnsi="Arial" w:cs="Arial"/>
          <w:b w:val="0"/>
          <w:bCs/>
          <w:caps w:val="0"/>
          <w:sz w:val="20"/>
          <w:lang w:val="nl-NL"/>
        </w:rPr>
        <w:t>Kim Hy, Lee J, Park Sh, et al.</w:t>
      </w:r>
      <w:r w:rsidRPr="00FB6C55">
        <w:rPr>
          <w:rFonts w:ascii="Arial" w:hAnsi="Arial" w:cs="Arial"/>
          <w:b w:val="0"/>
          <w:sz w:val="20"/>
          <w:lang w:val="nl-NL"/>
        </w:rPr>
        <w:t xml:space="preserve"> </w:t>
      </w:r>
      <w:r w:rsidRPr="00FB6C55">
        <w:rPr>
          <w:rFonts w:ascii="Arial" w:hAnsi="Arial" w:cs="Arial"/>
          <w:b w:val="0"/>
          <w:caps w:val="0"/>
          <w:sz w:val="20"/>
        </w:rPr>
        <w:t xml:space="preserve">Pediatric asthma: immunological mechanisms and cytokine networks. </w:t>
      </w:r>
      <w:r w:rsidRPr="00D33B81">
        <w:rPr>
          <w:rFonts w:ascii="Arial" w:hAnsi="Arial" w:cs="Arial"/>
          <w:b w:val="0"/>
          <w:i/>
          <w:iCs/>
          <w:caps w:val="0"/>
          <w:sz w:val="20"/>
          <w:lang w:val="fr-FR"/>
        </w:rPr>
        <w:t>Pediatr allergy immunol.</w:t>
      </w:r>
      <w:r w:rsidRPr="00D33B81">
        <w:rPr>
          <w:rFonts w:ascii="Arial" w:hAnsi="Arial" w:cs="Arial"/>
          <w:b w:val="0"/>
          <w:caps w:val="0"/>
          <w:sz w:val="20"/>
          <w:lang w:val="fr-FR"/>
        </w:rPr>
        <w:t xml:space="preserve"> 2023;34(5):14089. Doi:10.1111/pai.14089.</w:t>
      </w:r>
    </w:p>
    <w:p w14:paraId="7BC2AC68" w14:textId="77777777" w:rsidR="004024AF" w:rsidRPr="00E64079" w:rsidRDefault="004024AF" w:rsidP="004024AF">
      <w:pPr>
        <w:ind w:firstLine="284"/>
        <w:jc w:val="both"/>
        <w:rPr>
          <w:rFonts w:ascii="Arial" w:hAnsi="Arial" w:cs="Arial"/>
        </w:rPr>
      </w:pPr>
      <w:r>
        <w:rPr>
          <w:rFonts w:ascii="Arial" w:hAnsi="Arial" w:cs="Arial"/>
          <w:lang w:val="fr-FR"/>
        </w:rPr>
        <w:t>7</w:t>
      </w:r>
      <w:r w:rsidRPr="00E43540">
        <w:rPr>
          <w:rFonts w:ascii="Arial" w:hAnsi="Arial" w:cs="Arial"/>
          <w:lang w:val="fr-FR"/>
        </w:rPr>
        <w:t xml:space="preserve">. </w:t>
      </w:r>
      <w:r w:rsidRPr="00E64079">
        <w:rPr>
          <w:rFonts w:ascii="Arial" w:hAnsi="Arial" w:cs="Arial"/>
          <w:lang w:val="fr-FR"/>
        </w:rPr>
        <w:t xml:space="preserve">Jackson DJ, Evans MD, Gangnon RE, et al. </w:t>
      </w:r>
      <w:r w:rsidRPr="00E64079">
        <w:rPr>
          <w:rFonts w:ascii="Arial" w:hAnsi="Arial" w:cs="Arial"/>
        </w:rPr>
        <w:t>IL-6: Marker of morbidity in children with asthma living in urban environments. J Allergy Clin Immunol. 2020;145(6):1707-15. doi:10.1016/j.jaci.2019.12.909.</w:t>
      </w:r>
    </w:p>
    <w:p w14:paraId="765CFDC0" w14:textId="77777777" w:rsidR="004024AF" w:rsidRPr="00A20BD5" w:rsidRDefault="004024AF" w:rsidP="004024AF">
      <w:pPr>
        <w:ind w:firstLine="284"/>
        <w:jc w:val="both"/>
        <w:rPr>
          <w:rFonts w:ascii="Arial" w:hAnsi="Arial" w:cs="Arial"/>
        </w:rPr>
      </w:pPr>
      <w:r>
        <w:rPr>
          <w:rFonts w:ascii="Arial" w:hAnsi="Arial" w:cs="Arial"/>
        </w:rPr>
        <w:t xml:space="preserve">8. </w:t>
      </w:r>
      <w:r w:rsidRPr="00E64079">
        <w:rPr>
          <w:rFonts w:ascii="Arial" w:hAnsi="Arial" w:cs="Arial"/>
        </w:rPr>
        <w:t xml:space="preserve">Jevnikar Z, Ostling J, Ax E, Calven J, Thorn K, Israelsson E, et al. Epithelial IL-6 trans-signaling defines a new asthma phenotype with increased airway inflammation. </w:t>
      </w:r>
      <w:r w:rsidRPr="00A20BD5">
        <w:rPr>
          <w:rFonts w:ascii="Arial" w:hAnsi="Arial" w:cs="Arial"/>
        </w:rPr>
        <w:t>J Allergy Clin Immunol. 2019;143(2):577-90. doi: 10.1016/j.jaci.2018.05.011.</w:t>
      </w:r>
    </w:p>
    <w:p w14:paraId="687FA536" w14:textId="77777777" w:rsidR="004024AF" w:rsidRDefault="004024AF" w:rsidP="004024AF">
      <w:pPr>
        <w:ind w:firstLine="284"/>
        <w:jc w:val="both"/>
        <w:rPr>
          <w:rFonts w:ascii="Arial" w:hAnsi="Arial" w:cs="Arial"/>
          <w:lang w:val="vi-VN"/>
        </w:rPr>
      </w:pPr>
      <w:r>
        <w:rPr>
          <w:rFonts w:ascii="Arial" w:hAnsi="Arial" w:cs="Arial"/>
        </w:rPr>
        <w:t xml:space="preserve">9. </w:t>
      </w:r>
      <w:r w:rsidRPr="00E64079">
        <w:rPr>
          <w:rFonts w:ascii="Arial" w:hAnsi="Arial" w:cs="Arial"/>
        </w:rPr>
        <w:t xml:space="preserve">Le TTH. Nghien cuu bien doi mot so te bao viem va cytokine trong mau ngoai vi o tre hen phe quan [A study on the changes of some inflammatory cells and cytokines in peripheral blood of asthmatic children] [PhD thesis]. </w:t>
      </w:r>
      <w:r w:rsidRPr="00D33B81">
        <w:rPr>
          <w:rFonts w:ascii="Arial" w:hAnsi="Arial" w:cs="Arial"/>
        </w:rPr>
        <w:t>Hanoi: Hanoi Medical University; 2017.</w:t>
      </w:r>
    </w:p>
    <w:p w14:paraId="03F1E934" w14:textId="77777777" w:rsidR="004024AF" w:rsidRPr="00FB6C55" w:rsidRDefault="004024AF" w:rsidP="004024AF">
      <w:pPr>
        <w:pStyle w:val="Appendix"/>
        <w:spacing w:after="0"/>
        <w:ind w:firstLine="284"/>
        <w:jc w:val="both"/>
        <w:rPr>
          <w:rFonts w:ascii="Arial" w:hAnsi="Arial" w:cs="Arial"/>
          <w:b w:val="0"/>
          <w:sz w:val="20"/>
          <w:lang w:val="vi-VN"/>
        </w:rPr>
      </w:pPr>
      <w:r w:rsidRPr="00FB6C55">
        <w:rPr>
          <w:rFonts w:ascii="Arial" w:hAnsi="Arial" w:cs="Arial"/>
          <w:b w:val="0"/>
          <w:bCs/>
          <w:sz w:val="20"/>
          <w:szCs w:val="18"/>
          <w:lang w:val="vi-VN"/>
        </w:rPr>
        <w:t>10.</w:t>
      </w:r>
      <w:r w:rsidRPr="00FB6C55">
        <w:rPr>
          <w:rFonts w:ascii="Arial" w:hAnsi="Arial" w:cs="Arial"/>
          <w:sz w:val="20"/>
          <w:szCs w:val="18"/>
          <w:lang w:val="vi-VN"/>
        </w:rPr>
        <w:t xml:space="preserve"> </w:t>
      </w:r>
      <w:r w:rsidRPr="000965CB">
        <w:rPr>
          <w:rFonts w:ascii="Arial" w:hAnsi="Arial" w:cs="Arial"/>
          <w:b w:val="0"/>
          <w:bCs/>
          <w:caps w:val="0"/>
          <w:sz w:val="20"/>
        </w:rPr>
        <w:t xml:space="preserve">Namas </w:t>
      </w:r>
      <w:r>
        <w:rPr>
          <w:rFonts w:ascii="Arial" w:hAnsi="Arial" w:cs="Arial"/>
          <w:b w:val="0"/>
          <w:bCs/>
          <w:caps w:val="0"/>
          <w:sz w:val="20"/>
        </w:rPr>
        <w:t>R</w:t>
      </w:r>
      <w:r w:rsidRPr="000965CB">
        <w:rPr>
          <w:rFonts w:ascii="Arial" w:hAnsi="Arial" w:cs="Arial"/>
          <w:b w:val="0"/>
          <w:bCs/>
          <w:caps w:val="0"/>
          <w:sz w:val="20"/>
        </w:rPr>
        <w:t>, et al.</w:t>
      </w:r>
      <w:r w:rsidRPr="000965CB">
        <w:rPr>
          <w:rFonts w:ascii="Arial" w:hAnsi="Arial" w:cs="Arial"/>
          <w:b w:val="0"/>
          <w:caps w:val="0"/>
          <w:sz w:val="20"/>
        </w:rPr>
        <w:t xml:space="preserve"> Chronic inflammation in asthma: looking beyond the </w:t>
      </w:r>
      <w:r>
        <w:rPr>
          <w:rFonts w:ascii="Arial" w:hAnsi="Arial" w:cs="Arial"/>
          <w:b w:val="0"/>
          <w:caps w:val="0"/>
          <w:sz w:val="20"/>
        </w:rPr>
        <w:t>T</w:t>
      </w:r>
      <w:r w:rsidRPr="000965CB">
        <w:rPr>
          <w:rFonts w:ascii="Arial" w:hAnsi="Arial" w:cs="Arial"/>
          <w:b w:val="0"/>
          <w:caps w:val="0"/>
          <w:sz w:val="20"/>
        </w:rPr>
        <w:t xml:space="preserve">h2 response. </w:t>
      </w:r>
      <w:r w:rsidRPr="00D33B81">
        <w:rPr>
          <w:rFonts w:ascii="Arial" w:hAnsi="Arial" w:cs="Arial"/>
          <w:b w:val="0"/>
          <w:i/>
          <w:iCs/>
          <w:caps w:val="0"/>
          <w:sz w:val="20"/>
          <w:lang w:val="fr-FR"/>
        </w:rPr>
        <w:t>Immunol rev.</w:t>
      </w:r>
      <w:r w:rsidRPr="00D33B81">
        <w:rPr>
          <w:rFonts w:ascii="Arial" w:hAnsi="Arial" w:cs="Arial"/>
          <w:b w:val="0"/>
          <w:caps w:val="0"/>
          <w:sz w:val="20"/>
          <w:lang w:val="fr-FR"/>
        </w:rPr>
        <w:t xml:space="preserve"> 2025;326(1):e70010. </w:t>
      </w:r>
      <w:r w:rsidRPr="00FB6C55">
        <w:rPr>
          <w:rFonts w:ascii="Arial" w:hAnsi="Arial" w:cs="Arial"/>
          <w:b w:val="0"/>
          <w:caps w:val="0"/>
          <w:sz w:val="20"/>
          <w:lang w:val="fr-FR"/>
        </w:rPr>
        <w:t>Doi:10.1111/imr.70010.</w:t>
      </w:r>
    </w:p>
    <w:p w14:paraId="728C2889" w14:textId="77777777" w:rsidR="004024AF" w:rsidRDefault="004024AF" w:rsidP="004024AF">
      <w:pPr>
        <w:ind w:firstLine="284"/>
        <w:jc w:val="both"/>
        <w:rPr>
          <w:rFonts w:ascii="Arial" w:hAnsi="Arial" w:cs="Arial"/>
        </w:rPr>
      </w:pPr>
      <w:r w:rsidRPr="00E43540">
        <w:rPr>
          <w:rFonts w:ascii="Arial" w:hAnsi="Arial" w:cs="Arial"/>
          <w:lang w:val="fr-FR"/>
        </w:rPr>
        <w:t xml:space="preserve">11. </w:t>
      </w:r>
      <w:r w:rsidRPr="00E64079">
        <w:rPr>
          <w:rFonts w:ascii="Arial" w:hAnsi="Arial" w:cs="Arial"/>
          <w:lang w:val="fr-FR"/>
        </w:rPr>
        <w:t xml:space="preserve">Nguyen-Thi-Dieu T, Pham-Thi-Hong T, et al. </w:t>
      </w:r>
      <w:r w:rsidRPr="00E64079">
        <w:rPr>
          <w:rFonts w:ascii="Arial" w:hAnsi="Arial" w:cs="Arial"/>
        </w:rPr>
        <w:t>Prevalence of asthma and related symptoms among Vietnamese children: a population-based study. Allergol Int. 2017;66(2):220-6. doi:10.1016/j.alit.2016.06.002.</w:t>
      </w:r>
    </w:p>
    <w:p w14:paraId="05FBF5E7" w14:textId="77777777" w:rsidR="004024AF" w:rsidRPr="00D33B81" w:rsidRDefault="004024AF" w:rsidP="004024AF">
      <w:pPr>
        <w:ind w:firstLine="284"/>
        <w:jc w:val="both"/>
        <w:rPr>
          <w:rFonts w:ascii="Arial" w:hAnsi="Arial" w:cs="Arial"/>
        </w:rPr>
      </w:pPr>
      <w:r w:rsidRPr="00A20BD5">
        <w:rPr>
          <w:rFonts w:ascii="Arial" w:hAnsi="Arial" w:cs="Arial"/>
        </w:rPr>
        <w:t xml:space="preserve">12. Pan R, Kuai S, Li Q, et al. </w:t>
      </w:r>
      <w:r w:rsidRPr="00E64079">
        <w:rPr>
          <w:rFonts w:ascii="Arial" w:hAnsi="Arial" w:cs="Arial"/>
        </w:rPr>
        <w:t xml:space="preserve">Diagnostic value of IL-6 for patients with asthma: a meta-analysis. </w:t>
      </w:r>
      <w:r w:rsidRPr="00D33B81">
        <w:rPr>
          <w:rFonts w:ascii="Arial" w:hAnsi="Arial" w:cs="Arial"/>
        </w:rPr>
        <w:t>Allergy Asthma Clin Immunol. 2023;19(1):39. doi:10.1186/s13223-023-00794-3.</w:t>
      </w:r>
    </w:p>
    <w:p w14:paraId="2E154236" w14:textId="77777777" w:rsidR="004024AF" w:rsidRDefault="004024AF" w:rsidP="004024AF">
      <w:pPr>
        <w:ind w:firstLine="284"/>
        <w:rPr>
          <w:lang w:val="vi-VN"/>
        </w:rPr>
      </w:pPr>
      <w:r w:rsidRPr="00D33B81">
        <w:rPr>
          <w:rFonts w:ascii="Arial" w:hAnsi="Arial" w:cs="Arial"/>
        </w:rPr>
        <w:t xml:space="preserve">13. </w:t>
      </w:r>
      <w:r w:rsidRPr="00D33B81">
        <w:t xml:space="preserve">Wang L, Chen Y, Zhao H, et al. </w:t>
      </w:r>
      <w:r w:rsidRPr="00FB6C55">
        <w:t xml:space="preserve">The role of IL-6 in respiratory diseases including asthma. </w:t>
      </w:r>
      <w:r w:rsidRPr="00D33B81">
        <w:t>Biomed pharmacother. 2024;170:116789. Doi:10.1016/j.biopha.2024.116789.</w:t>
      </w:r>
    </w:p>
    <w:p w14:paraId="0099DA4D" w14:textId="77777777" w:rsidR="004024AF" w:rsidRDefault="004024AF" w:rsidP="004024AF">
      <w:pPr>
        <w:ind w:firstLine="284"/>
        <w:rPr>
          <w:rFonts w:ascii="Arial" w:hAnsi="Arial" w:cs="Arial"/>
        </w:rPr>
      </w:pPr>
      <w:r>
        <w:t xml:space="preserve">14. </w:t>
      </w:r>
      <w:r w:rsidRPr="00E64079">
        <w:rPr>
          <w:rFonts w:ascii="Arial" w:hAnsi="Arial" w:cs="Arial"/>
        </w:rPr>
        <w:t xml:space="preserve">World Health Organization. Asthma [Internet]. Geneva: WHO; 2024 [cited 2024 Oct 14]. Available from: </w:t>
      </w:r>
      <w:hyperlink r:id="rId14" w:history="1">
        <w:r w:rsidRPr="003F4595">
          <w:rPr>
            <w:rStyle w:val="Hyperlink"/>
            <w:rFonts w:ascii="Arial" w:hAnsi="Arial" w:cs="Arial"/>
          </w:rPr>
          <w:t>https://www.who.int/news-room/fact-sheets/detail/asthma</w:t>
        </w:r>
      </w:hyperlink>
    </w:p>
    <w:p w14:paraId="295876CB" w14:textId="77777777" w:rsidR="004024AF" w:rsidRPr="00E64079" w:rsidRDefault="004024AF" w:rsidP="004024AF">
      <w:pPr>
        <w:ind w:firstLine="284"/>
        <w:jc w:val="both"/>
        <w:rPr>
          <w:rFonts w:ascii="Arial" w:hAnsi="Arial" w:cs="Arial"/>
        </w:rPr>
      </w:pPr>
      <w:r w:rsidRPr="00E43540">
        <w:rPr>
          <w:lang w:val="nl-NL"/>
        </w:rPr>
        <w:t xml:space="preserve">15. </w:t>
      </w:r>
      <w:r w:rsidRPr="00E64079">
        <w:rPr>
          <w:rFonts w:ascii="Arial" w:hAnsi="Arial" w:cs="Arial"/>
          <w:lang w:val="nl-NL"/>
        </w:rPr>
        <w:t xml:space="preserve">Zhang X., Wang Y., Li Z., et al (2022). </w:t>
      </w:r>
      <w:r w:rsidRPr="00E64079">
        <w:rPr>
          <w:rFonts w:ascii="Arial" w:hAnsi="Arial" w:cs="Arial"/>
        </w:rPr>
        <w:t>Mechanisms of asthma: the role of IL-6 in airway inflammation and remodeling. Immunology &amp; Cell Biology, 100(5), 123-135. https://doi.org/10.1111/imcb.12522</w:t>
      </w:r>
    </w:p>
    <w:p w14:paraId="41D213C7" w14:textId="77777777" w:rsidR="004024AF" w:rsidRDefault="004024AF" w:rsidP="004024AF"/>
    <w:p w14:paraId="334D89F4" w14:textId="77777777" w:rsidR="004024AF" w:rsidRPr="00FB6C55" w:rsidRDefault="004024AF" w:rsidP="004024AF">
      <w:pPr>
        <w:pStyle w:val="Appendix"/>
        <w:spacing w:after="0"/>
        <w:jc w:val="both"/>
        <w:rPr>
          <w:rFonts w:ascii="Arial" w:hAnsi="Arial" w:cs="Arial"/>
          <w:b w:val="0"/>
          <w:sz w:val="20"/>
          <w:lang w:val="vi-VN"/>
        </w:rPr>
      </w:pPr>
    </w:p>
    <w:p w14:paraId="1A86329E" w14:textId="77777777" w:rsidR="00B01FCD" w:rsidRPr="00FB3A86" w:rsidRDefault="00B01FCD" w:rsidP="004024AF">
      <w:pPr>
        <w:pStyle w:val="Body"/>
        <w:ind w:firstLine="720"/>
        <w:rPr>
          <w:rFonts w:ascii="Arial" w:hAnsi="Arial" w:cs="Arial"/>
          <w:b/>
        </w:rPr>
      </w:pPr>
    </w:p>
    <w:sectPr w:rsidR="00B01FCD" w:rsidRPr="00FB3A86" w:rsidSect="00227B9C">
      <w:headerReference w:type="even" r:id="rId15"/>
      <w:headerReference w:type="default" r:id="rId16"/>
      <w:footerReference w:type="default" r:id="rId17"/>
      <w:headerReference w:type="first" r:id="rId1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C93D0" w14:textId="77777777" w:rsidR="005C04D4" w:rsidRDefault="005C04D4" w:rsidP="00C37E61">
      <w:r>
        <w:separator/>
      </w:r>
    </w:p>
  </w:endnote>
  <w:endnote w:type="continuationSeparator" w:id="0">
    <w:p w14:paraId="66E3144F" w14:textId="77777777" w:rsidR="005C04D4" w:rsidRDefault="005C04D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3"/>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EFF" w:usb1="C000785B" w:usb2="00000009" w:usb3="00000000" w:csb0="000001FF" w:csb1="00000000"/>
  </w:font>
  <w:font w:name="Calibri">
    <w:panose1 w:val="020F0502020204030204"/>
    <w:charset w:val="A3"/>
    <w:family w:val="swiss"/>
    <w:pitch w:val="variable"/>
    <w:sig w:usb0="E4002EFF" w:usb1="C2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ambria">
    <w:panose1 w:val="02040503050406030204"/>
    <w:charset w:val="A3"/>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5C357" w14:textId="77777777" w:rsidR="00227B9C" w:rsidRDefault="00227B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32F97" w14:textId="2667E93C" w:rsidR="00C37E61" w:rsidRPr="00D81D62" w:rsidRDefault="00920878" w:rsidP="00D81D62">
    <w:pPr>
      <w:pStyle w:val="Footer"/>
    </w:pPr>
    <w:r w:rsidRPr="00D81D62">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B7C41" w14:textId="3222961E" w:rsidR="00754C9A" w:rsidRPr="00B265F2" w:rsidRDefault="00754C9A" w:rsidP="00B265F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B4363"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5E53D" w14:textId="77777777" w:rsidR="005C04D4" w:rsidRDefault="005C04D4" w:rsidP="00C37E61">
      <w:r>
        <w:separator/>
      </w:r>
    </w:p>
  </w:footnote>
  <w:footnote w:type="continuationSeparator" w:id="0">
    <w:p w14:paraId="13EA39D0" w14:textId="77777777" w:rsidR="005C04D4" w:rsidRDefault="005C04D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7CF67" w14:textId="76F20CCA" w:rsidR="00227B9C" w:rsidRDefault="00000000">
    <w:pPr>
      <w:pStyle w:val="Header"/>
    </w:pPr>
    <w:r>
      <w:rPr>
        <w:noProof/>
      </w:rPr>
      <w:pict w14:anchorId="190885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5751" o:spid="_x0000_s1026"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DCE02" w14:textId="4090B876" w:rsidR="00227B9C" w:rsidRDefault="00000000">
    <w:pPr>
      <w:pStyle w:val="Header"/>
    </w:pPr>
    <w:r>
      <w:rPr>
        <w:noProof/>
      </w:rPr>
      <w:pict w14:anchorId="3040C9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5752" o:spid="_x0000_s1027"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E782C" w14:textId="087D1738" w:rsidR="00296529" w:rsidRPr="00296529" w:rsidRDefault="00000000" w:rsidP="00296529">
    <w:pPr>
      <w:ind w:left="2160"/>
      <w:jc w:val="center"/>
      <w:rPr>
        <w:rFonts w:ascii="Times New Roman" w:eastAsia="Calibri" w:hAnsi="Times New Roman"/>
        <w:i/>
        <w:sz w:val="18"/>
        <w:szCs w:val="22"/>
      </w:rPr>
    </w:pPr>
    <w:r>
      <w:rPr>
        <w:noProof/>
      </w:rPr>
      <w:pict w14:anchorId="0218B2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5750" o:spid="_x0000_s1025"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E44E747"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46990F1"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0EA5B05"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9B2B71D"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827CDBE"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A0CD5C2"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9359B" w14:textId="417049B7" w:rsidR="00227B9C" w:rsidRDefault="00000000">
    <w:pPr>
      <w:pStyle w:val="Header"/>
    </w:pPr>
    <w:r>
      <w:rPr>
        <w:noProof/>
      </w:rPr>
      <w:pict w14:anchorId="6DF3EA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5754" o:spid="_x0000_s1029"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49C46" w14:textId="2DE31D23" w:rsidR="00227B9C" w:rsidRDefault="00000000">
    <w:pPr>
      <w:pStyle w:val="Header"/>
    </w:pPr>
    <w:r>
      <w:rPr>
        <w:noProof/>
      </w:rPr>
      <w:pict w14:anchorId="0B4D41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5755" o:spid="_x0000_s1030"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5C4F4" w14:textId="35176945" w:rsidR="00227B9C" w:rsidRDefault="00000000">
    <w:pPr>
      <w:pStyle w:val="Header"/>
    </w:pPr>
    <w:r>
      <w:rPr>
        <w:noProof/>
      </w:rPr>
      <w:pict w14:anchorId="2EA2C2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5753" o:spid="_x0000_s1028"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8E24E0E"/>
    <w:multiLevelType w:val="multilevel"/>
    <w:tmpl w:val="7DC21AD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5808429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627007458">
    <w:abstractNumId w:val="15"/>
  </w:num>
  <w:num w:numId="3" w16cid:durableId="2082092131">
    <w:abstractNumId w:val="23"/>
  </w:num>
  <w:num w:numId="4" w16cid:durableId="1631864253">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2017728761">
    <w:abstractNumId w:val="7"/>
  </w:num>
  <w:num w:numId="6" w16cid:durableId="1347248232">
    <w:abstractNumId w:val="6"/>
  </w:num>
  <w:num w:numId="7" w16cid:durableId="24016037">
    <w:abstractNumId w:val="1"/>
  </w:num>
  <w:num w:numId="8" w16cid:durableId="660698092">
    <w:abstractNumId w:val="12"/>
  </w:num>
  <w:num w:numId="9" w16cid:durableId="1582446748">
    <w:abstractNumId w:val="25"/>
  </w:num>
  <w:num w:numId="10" w16cid:durableId="961763239">
    <w:abstractNumId w:val="2"/>
  </w:num>
  <w:num w:numId="11" w16cid:durableId="1180697613">
    <w:abstractNumId w:val="18"/>
  </w:num>
  <w:num w:numId="12" w16cid:durableId="170682292">
    <w:abstractNumId w:val="3"/>
  </w:num>
  <w:num w:numId="13" w16cid:durableId="2033531416">
    <w:abstractNumId w:val="17"/>
  </w:num>
  <w:num w:numId="14" w16cid:durableId="1247763970">
    <w:abstractNumId w:val="8"/>
  </w:num>
  <w:num w:numId="15" w16cid:durableId="1125848869">
    <w:abstractNumId w:val="21"/>
  </w:num>
  <w:num w:numId="16" w16cid:durableId="1069691118">
    <w:abstractNumId w:val="5"/>
  </w:num>
  <w:num w:numId="17" w16cid:durableId="1169171739">
    <w:abstractNumId w:val="22"/>
  </w:num>
  <w:num w:numId="18" w16cid:durableId="47187954">
    <w:abstractNumId w:val="14"/>
  </w:num>
  <w:num w:numId="19" w16cid:durableId="1161654445">
    <w:abstractNumId w:val="29"/>
  </w:num>
  <w:num w:numId="20" w16cid:durableId="2129742370">
    <w:abstractNumId w:val="11"/>
  </w:num>
  <w:num w:numId="21" w16cid:durableId="1273317258">
    <w:abstractNumId w:val="9"/>
  </w:num>
  <w:num w:numId="22" w16cid:durableId="1562594206">
    <w:abstractNumId w:val="13"/>
  </w:num>
  <w:num w:numId="23" w16cid:durableId="537623721">
    <w:abstractNumId w:val="19"/>
  </w:num>
  <w:num w:numId="24" w16cid:durableId="1501389080">
    <w:abstractNumId w:val="27"/>
  </w:num>
  <w:num w:numId="25" w16cid:durableId="2029283651">
    <w:abstractNumId w:val="4"/>
  </w:num>
  <w:num w:numId="26" w16cid:durableId="1537962603">
    <w:abstractNumId w:val="16"/>
  </w:num>
  <w:num w:numId="27" w16cid:durableId="275329003">
    <w:abstractNumId w:val="20"/>
  </w:num>
  <w:num w:numId="28" w16cid:durableId="829446544">
    <w:abstractNumId w:val="28"/>
  </w:num>
  <w:num w:numId="29" w16cid:durableId="716511158">
    <w:abstractNumId w:val="24"/>
  </w:num>
  <w:num w:numId="30" w16cid:durableId="616958749">
    <w:abstractNumId w:val="10"/>
  </w:num>
  <w:num w:numId="31" w16cid:durableId="126125562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A47FA"/>
    <w:rsid w:val="000A65D3"/>
    <w:rsid w:val="000B1E33"/>
    <w:rsid w:val="000D689F"/>
    <w:rsid w:val="000E7B7B"/>
    <w:rsid w:val="000E7D62"/>
    <w:rsid w:val="00101DA3"/>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27B9C"/>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3B64"/>
    <w:rsid w:val="003C4C86"/>
    <w:rsid w:val="003C6258"/>
    <w:rsid w:val="003E2904"/>
    <w:rsid w:val="00401927"/>
    <w:rsid w:val="004024AF"/>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54FDA"/>
    <w:rsid w:val="005C04D4"/>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A5557"/>
    <w:rsid w:val="006B21D3"/>
    <w:rsid w:val="006B57D0"/>
    <w:rsid w:val="006D30FF"/>
    <w:rsid w:val="006D6940"/>
    <w:rsid w:val="006F11EC"/>
    <w:rsid w:val="0070082C"/>
    <w:rsid w:val="007369E6"/>
    <w:rsid w:val="00746E59"/>
    <w:rsid w:val="00753FF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0878"/>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214E8"/>
    <w:rsid w:val="00B265F2"/>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74CB0"/>
    <w:rsid w:val="00D81D62"/>
    <w:rsid w:val="00D8295D"/>
    <w:rsid w:val="00D970B8"/>
    <w:rsid w:val="00DB11A3"/>
    <w:rsid w:val="00DC2A65"/>
    <w:rsid w:val="00DE15F0"/>
    <w:rsid w:val="00DE5663"/>
    <w:rsid w:val="00DE78AA"/>
    <w:rsid w:val="00E053D0"/>
    <w:rsid w:val="00E15994"/>
    <w:rsid w:val="00E3114E"/>
    <w:rsid w:val="00E31A70"/>
    <w:rsid w:val="00E35B02"/>
    <w:rsid w:val="00E46949"/>
    <w:rsid w:val="00E66496"/>
    <w:rsid w:val="00E66B35"/>
    <w:rsid w:val="00E66E10"/>
    <w:rsid w:val="00E769F6"/>
    <w:rsid w:val="00E8407C"/>
    <w:rsid w:val="00E84F3C"/>
    <w:rsid w:val="00EA012C"/>
    <w:rsid w:val="00EC6A55"/>
    <w:rsid w:val="00ED0288"/>
    <w:rsid w:val="00ED05A1"/>
    <w:rsid w:val="00EE52CB"/>
    <w:rsid w:val="00EF581D"/>
    <w:rsid w:val="00EF7FD8"/>
    <w:rsid w:val="00F06F59"/>
    <w:rsid w:val="00F17988"/>
    <w:rsid w:val="00F469F0"/>
    <w:rsid w:val="00F53273"/>
    <w:rsid w:val="00F755E4"/>
    <w:rsid w:val="00F77D02"/>
    <w:rsid w:val="00F90D69"/>
    <w:rsid w:val="00FB3A86"/>
    <w:rsid w:val="00FC60F3"/>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A0CF2C"/>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who.int/news-room/fact-sheets/detail/asthm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78BBAA-94EB-494C-A438-65AAFEA2C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16</TotalTime>
  <Pages>6</Pages>
  <Words>3350</Words>
  <Characters>20407</Characters>
  <Application>Microsoft Office Word</Application>
  <DocSecurity>0</DocSecurity>
  <Lines>566</Lines>
  <Paragraphs>196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23561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NGUYEN THI BAO XUYEN</cp:lastModifiedBy>
  <cp:revision>8</cp:revision>
  <cp:lastPrinted>1999-07-06T11:00:00Z</cp:lastPrinted>
  <dcterms:created xsi:type="dcterms:W3CDTF">2025-10-29T05:54:00Z</dcterms:created>
  <dcterms:modified xsi:type="dcterms:W3CDTF">2025-11-14T02:12:00Z</dcterms:modified>
</cp:coreProperties>
</file>