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9D" w:rsidRDefault="00E0739D">
      <w:pPr>
        <w:spacing w:line="360" w:lineRule="auto"/>
        <w:jc w:val="both"/>
        <w:rPr>
          <w:rFonts w:ascii="Times New Roman Regular" w:eastAsia="SimSun" w:hAnsi="Times New Roman Regular" w:cs="Times New Roman Regular"/>
          <w:b/>
          <w:bCs/>
          <w:sz w:val="22"/>
          <w:szCs w:val="22"/>
          <w:lang w:bidi="ar"/>
        </w:rPr>
      </w:pPr>
    </w:p>
    <w:p w:rsidR="00E0739D" w:rsidRDefault="001852C1">
      <w:pPr>
        <w:spacing w:line="360" w:lineRule="auto"/>
        <w:jc w:val="center"/>
        <w:rPr>
          <w:rFonts w:ascii="Times New Roman Regular" w:hAnsi="Times New Roman Regular" w:cs="Times New Roman Regular"/>
          <w:sz w:val="22"/>
          <w:szCs w:val="22"/>
        </w:rPr>
      </w:pPr>
      <w:r>
        <w:rPr>
          <w:rFonts w:ascii="Times New Roman Regular" w:eastAsia="SimSun" w:hAnsi="Times New Roman Regular"/>
          <w:b/>
          <w:bCs/>
          <w:sz w:val="22"/>
          <w:szCs w:val="22"/>
        </w:rPr>
        <w:t>Can a Cost-Effective In-House Ovum Pick-Up Medium Support Efficient Bovine IVEP?</w:t>
      </w:r>
    </w:p>
    <w:p w:rsidR="00E0739D" w:rsidRDefault="00E0739D">
      <w:pPr>
        <w:spacing w:line="36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Abstract:</w:t>
      </w: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360" w:lineRule="auto"/>
        <w:jc w:val="both"/>
        <w:rPr>
          <w:rFonts w:ascii="Times New Roman Regular" w:hAnsi="Times New Roman Regular" w:cs="Times New Roman Regular"/>
          <w:sz w:val="22"/>
          <w:szCs w:val="22"/>
        </w:rPr>
      </w:pPr>
      <w:proofErr w:type="spellStart"/>
      <w:r>
        <w:rPr>
          <w:rFonts w:ascii="Times New Roman Regular" w:hAnsi="Times New Roman Regular" w:cs="Times New Roman Regular"/>
          <w:sz w:val="22"/>
          <w:szCs w:val="22"/>
        </w:rPr>
        <w:t>A</w:t>
      </w:r>
      <w:r>
        <w:rPr>
          <w:rFonts w:ascii="Times New Roman Regular" w:eastAsia="SimSun" w:hAnsi="Times New Roman Regular" w:cs="Times New Roman Regular"/>
          <w:sz w:val="22"/>
          <w:szCs w:val="22"/>
          <w:lang w:bidi="ar"/>
        </w:rPr>
        <w:t>Assisted</w:t>
      </w:r>
      <w:proofErr w:type="spellEnd"/>
      <w:r>
        <w:rPr>
          <w:rFonts w:ascii="Times New Roman Regular" w:eastAsia="SimSun" w:hAnsi="Times New Roman Regular" w:cs="Times New Roman Regular"/>
          <w:sz w:val="22"/>
          <w:szCs w:val="22"/>
          <w:lang w:bidi="ar"/>
        </w:rPr>
        <w:t xml:space="preserve"> reproductive technologies (ART) such as ovum pick-up (OPU) and in-vitro embryo production (IVEP) can substantially enhance bovine genetics and productivity, yet the high cost of commercial media restricts their wider use by smallholder farmers. This study developed and evaluated </w:t>
      </w:r>
      <w:proofErr w:type="spellStart"/>
      <w:proofErr w:type="gramStart"/>
      <w:r>
        <w:rPr>
          <w:rFonts w:ascii="Times New Roman Regular" w:eastAsia="SimSun" w:hAnsi="Times New Roman Regular" w:cs="Times New Roman Regular"/>
          <w:sz w:val="22"/>
          <w:szCs w:val="22"/>
          <w:lang w:bidi="ar"/>
        </w:rPr>
        <w:t>a</w:t>
      </w:r>
      <w:proofErr w:type="spellEnd"/>
      <w:proofErr w:type="gramEnd"/>
      <w:r>
        <w:rPr>
          <w:rFonts w:ascii="Times New Roman Regular" w:eastAsia="SimSun" w:hAnsi="Times New Roman Regular" w:cs="Times New Roman Regular"/>
          <w:sz w:val="22"/>
          <w:szCs w:val="22"/>
          <w:lang w:bidi="ar"/>
        </w:rPr>
        <w:t xml:space="preserve"> economical in-house OPU medium for bovine IVEP. Over </w:t>
      </w:r>
      <w:r>
        <w:rPr>
          <w:rStyle w:val="Strong"/>
          <w:rFonts w:ascii="Times New Roman Regular" w:eastAsia="SimSun" w:hAnsi="Times New Roman Regular" w:cs="Times New Roman Regular"/>
          <w:sz w:val="22"/>
          <w:szCs w:val="22"/>
          <w:lang w:bidi="ar"/>
        </w:rPr>
        <w:t>1193 OPU-IVEP sessions in 92 donor cows</w:t>
      </w:r>
      <w:r>
        <w:rPr>
          <w:rFonts w:ascii="Times New Roman Regular" w:eastAsia="SimSun" w:hAnsi="Times New Roman Regular" w:cs="Times New Roman Regular"/>
          <w:sz w:val="22"/>
          <w:szCs w:val="22"/>
          <w:lang w:bidi="ar"/>
        </w:rPr>
        <w:t xml:space="preserve">, we compared an in-house medium with a commercial OPU medium. The in-house formulation, </w:t>
      </w:r>
      <w:r>
        <w:rPr>
          <w:rStyle w:val="Strong"/>
          <w:rFonts w:ascii="Times New Roman Regular" w:eastAsia="SimSun" w:hAnsi="Times New Roman Regular" w:cs="Times New Roman Regular"/>
          <w:sz w:val="22"/>
          <w:szCs w:val="22"/>
          <w:lang w:bidi="ar"/>
        </w:rPr>
        <w:t xml:space="preserve">based on </w:t>
      </w:r>
      <w:proofErr w:type="spellStart"/>
      <w:r>
        <w:rPr>
          <w:rStyle w:val="Strong"/>
          <w:rFonts w:ascii="Times New Roman Regular" w:eastAsia="SimSun" w:hAnsi="Times New Roman Regular" w:cs="Times New Roman Regular"/>
          <w:sz w:val="22"/>
          <w:szCs w:val="22"/>
          <w:lang w:bidi="ar"/>
        </w:rPr>
        <w:t>EmXcell</w:t>
      </w:r>
      <w:proofErr w:type="spellEnd"/>
      <w:r>
        <w:rPr>
          <w:rStyle w:val="Strong"/>
          <w:rFonts w:ascii="Times New Roman Regular" w:eastAsia="SimSun" w:hAnsi="Times New Roman Regular" w:cs="Times New Roman Regular"/>
          <w:sz w:val="22"/>
          <w:szCs w:val="22"/>
          <w:lang w:bidi="ar"/>
        </w:rPr>
        <w:t xml:space="preserve"> embryo flushing medium supplemented with a zwitterionic buffer and sodium heparin</w:t>
      </w:r>
      <w:r>
        <w:rPr>
          <w:rFonts w:ascii="Times New Roman Regular" w:eastAsia="SimSun" w:hAnsi="Times New Roman Regular" w:cs="Times New Roman Regular"/>
          <w:sz w:val="22"/>
          <w:szCs w:val="22"/>
          <w:lang w:bidi="ar"/>
        </w:rPr>
        <w:t xml:space="preserve">, was assessed for oocyte recovery, cleavage rate and blastocyst yield. Data were </w:t>
      </w:r>
      <w:proofErr w:type="spellStart"/>
      <w:r>
        <w:rPr>
          <w:rFonts w:ascii="Times New Roman Regular" w:eastAsia="SimSun" w:hAnsi="Times New Roman Regular" w:cs="Times New Roman Regular"/>
          <w:sz w:val="22"/>
          <w:szCs w:val="22"/>
          <w:lang w:bidi="ar"/>
        </w:rPr>
        <w:t>analysed</w:t>
      </w:r>
      <w:proofErr w:type="spellEnd"/>
      <w:r>
        <w:rPr>
          <w:rFonts w:ascii="Times New Roman Regular" w:eastAsia="SimSun" w:hAnsi="Times New Roman Regular" w:cs="Times New Roman Regular"/>
          <w:sz w:val="22"/>
          <w:szCs w:val="22"/>
          <w:lang w:bidi="ar"/>
        </w:rPr>
        <w:t xml:space="preserve"> using one-way ANOVA; differences between groups were </w:t>
      </w:r>
      <w:r>
        <w:rPr>
          <w:rStyle w:val="Strong"/>
          <w:rFonts w:ascii="Times New Roman Regular" w:eastAsia="SimSun" w:hAnsi="Times New Roman Regular" w:cs="Times New Roman Regular"/>
          <w:sz w:val="22"/>
          <w:szCs w:val="22"/>
          <w:lang w:bidi="ar"/>
        </w:rPr>
        <w:t>not statistically significant (p &gt; 0.05)</w:t>
      </w:r>
      <w:r>
        <w:rPr>
          <w:rFonts w:ascii="Times New Roman Regular" w:eastAsia="SimSun" w:hAnsi="Times New Roman Regular" w:cs="Times New Roman Regular"/>
          <w:sz w:val="22"/>
          <w:szCs w:val="22"/>
          <w:lang w:bidi="ar"/>
        </w:rPr>
        <w:t xml:space="preserve"> for any parameter. Mean blastocyst rate was </w:t>
      </w:r>
      <w:r>
        <w:rPr>
          <w:rStyle w:val="Strong"/>
          <w:rFonts w:ascii="Times New Roman Regular" w:eastAsia="SimSun" w:hAnsi="Times New Roman Regular" w:cs="Times New Roman Regular"/>
          <w:sz w:val="22"/>
          <w:szCs w:val="22"/>
          <w:lang w:bidi="ar"/>
        </w:rPr>
        <w:t>21.88% in the in-house group versus 19.85% in the control</w:t>
      </w:r>
      <w:r>
        <w:rPr>
          <w:rFonts w:ascii="Times New Roman Regular" w:eastAsia="SimSun" w:hAnsi="Times New Roman Regular" w:cs="Times New Roman Regular"/>
          <w:sz w:val="22"/>
          <w:szCs w:val="22"/>
          <w:lang w:bidi="ar"/>
        </w:rPr>
        <w:t xml:space="preserve">, indicating a numerically higher output that, while not statistically different, could translate into a meaningful increase in embryo numbers when applied at scale in routine programs. Overall, the in-house medium supported oocyte recovery, cleavage and blastocyst development at a level comparable to the commercial product while </w:t>
      </w:r>
      <w:r>
        <w:rPr>
          <w:rStyle w:val="Strong"/>
          <w:rFonts w:ascii="Times New Roman Regular" w:eastAsia="SimSun" w:hAnsi="Times New Roman Regular" w:cs="Times New Roman Regular"/>
          <w:sz w:val="22"/>
          <w:szCs w:val="22"/>
          <w:lang w:bidi="ar"/>
        </w:rPr>
        <w:t>substantially reducing media costs</w:t>
      </w:r>
      <w:r>
        <w:rPr>
          <w:rFonts w:ascii="Times New Roman Regular" w:eastAsia="SimSun" w:hAnsi="Times New Roman Regular" w:cs="Times New Roman Regular"/>
          <w:sz w:val="22"/>
          <w:szCs w:val="22"/>
          <w:lang w:bidi="ar"/>
        </w:rPr>
        <w:t xml:space="preserve">. This approach has the potential to lower the economic barrier to ART and thereby </w:t>
      </w:r>
      <w:r>
        <w:rPr>
          <w:rStyle w:val="Strong"/>
          <w:rFonts w:ascii="Times New Roman Regular" w:eastAsia="SimSun" w:hAnsi="Times New Roman Regular" w:cs="Times New Roman Regular"/>
          <w:sz w:val="22"/>
          <w:szCs w:val="22"/>
          <w:lang w:bidi="ar"/>
        </w:rPr>
        <w:t>improve access for resource-limited and smallholder dairy producers</w:t>
      </w:r>
      <w:r>
        <w:rPr>
          <w:rFonts w:ascii="Times New Roman Regular" w:eastAsia="SimSun" w:hAnsi="Times New Roman Regular" w:cs="Times New Roman Regular"/>
          <w:sz w:val="22"/>
          <w:szCs w:val="22"/>
          <w:lang w:bidi="ar"/>
        </w:rPr>
        <w:t>. Future work should include multi-farm field validation, evaluation across breeds and production systems, and long-term monitoring of pregnancy and calf performance.</w:t>
      </w: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b/>
          <w:sz w:val="22"/>
          <w:szCs w:val="22"/>
        </w:rPr>
      </w:pPr>
      <w:r>
        <w:rPr>
          <w:rFonts w:ascii="Times New Roman Regular" w:hAnsi="Times New Roman Regular" w:cs="Times New Roman Regular"/>
          <w:b/>
          <w:bCs/>
          <w:sz w:val="22"/>
          <w:szCs w:val="22"/>
        </w:rPr>
        <w:t>Keywords:</w:t>
      </w:r>
      <w:r>
        <w:rPr>
          <w:rFonts w:ascii="Times New Roman Regular" w:hAnsi="Times New Roman Regular" w:cs="Times New Roman Regular"/>
          <w:b/>
          <w:sz w:val="22"/>
          <w:szCs w:val="22"/>
        </w:rPr>
        <w:t xml:space="preserve"> </w:t>
      </w:r>
      <w:r>
        <w:rPr>
          <w:rFonts w:ascii="Times New Roman Regular" w:hAnsi="Times New Roman Regular" w:cs="Times New Roman Regular"/>
          <w:bCs/>
          <w:sz w:val="22"/>
          <w:szCs w:val="22"/>
        </w:rPr>
        <w:t xml:space="preserve">Assisted Reproductive Technologies (ART), Ovum Pick-Up (OPU), </w:t>
      </w:r>
      <w:r>
        <w:rPr>
          <w:rFonts w:ascii="Times New Roman Regular" w:eastAsia="SimSun" w:hAnsi="Times New Roman Regular" w:cs="Times New Roman Regular"/>
          <w:bCs/>
          <w:sz w:val="22"/>
          <w:szCs w:val="22"/>
          <w:lang w:bidi="ar"/>
        </w:rPr>
        <w:t>Bovine Reproduction, Cost-Effective Media</w:t>
      </w: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b/>
          <w:bCs/>
          <w:sz w:val="22"/>
          <w:szCs w:val="22"/>
        </w:rPr>
        <w:lastRenderedPageBreak/>
        <w:t>INTRODUCTION</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Assisted Reproductive Technologies (ART), including Ovum Pick-Up (OPU), In-Vitro Embryo Production (IVEP), and Embryo Transfer (ET), have emerged as powerful tools in the enhancement of livestock breeding. These technologies offer significant benefits by increasing reproductive efficiency, improving genetic traits, and enabling the propagation of desirable livestock characteristics on a large scale. The precision and control provided by ART techniques have revolutionized traditional breeding methods, leading to improved livestock productivity and contributing to the agricultural economy.</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Despite these clear advantages, the adoption of ART remains limited in many regions, especially outside of more developed agricultural sectors. Several factors contribute to this, including the high costs associated with the technology, the requirement for specialized skills and equipment, and a lack of awareness or understanding among farmers </w:t>
      </w:r>
      <w:r>
        <w:rPr>
          <w:rFonts w:ascii="Times New Roman Regular" w:hAnsi="Times New Roman Regular" w:cs="Times New Roman Regular"/>
          <w:sz w:val="22"/>
          <w:szCs w:val="22"/>
          <w:vertAlign w:val="superscript"/>
        </w:rPr>
        <w:t>1</w:t>
      </w:r>
      <w:r>
        <w:rPr>
          <w:rFonts w:ascii="Times New Roman Regular" w:hAnsi="Times New Roman Regular" w:cs="Times New Roman Regular"/>
          <w:sz w:val="22"/>
          <w:szCs w:val="22"/>
        </w:rPr>
        <w:t xml:space="preserve">. The prohibitive costs, particularly of the media required for these procedures, act as a significant barrier. Marginal farmers, who represent a large proportion of the global farming community, often find the costs unsustainable, limiting the widespread adoption of these technologies </w:t>
      </w:r>
      <w:r>
        <w:rPr>
          <w:rFonts w:ascii="Times New Roman Regular" w:hAnsi="Times New Roman Regular" w:cs="Times New Roman Regular"/>
          <w:sz w:val="22"/>
          <w:szCs w:val="22"/>
          <w:vertAlign w:val="superscript"/>
        </w:rPr>
        <w:t>2</w:t>
      </w:r>
      <w:r>
        <w:rPr>
          <w:rFonts w:ascii="Times New Roman Regular" w:hAnsi="Times New Roman Regular" w:cs="Times New Roman Regular"/>
          <w:sz w:val="22"/>
          <w:szCs w:val="22"/>
        </w:rPr>
        <w: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media used in ART, particularly during the OPU process, is crucial for the success of the procedures. The media's role in maintaining the quality of oocytes and supporting subsequent embryo development cannot be overstated. High-quality media formulations are essential for ensuring high cleavage rates, blastocyst formation, and overall embryo production efficiency </w:t>
      </w:r>
      <w:r>
        <w:rPr>
          <w:rFonts w:ascii="Times New Roman Regular" w:hAnsi="Times New Roman Regular" w:cs="Times New Roman Regular"/>
          <w:sz w:val="22"/>
          <w:szCs w:val="22"/>
          <w:vertAlign w:val="superscript"/>
        </w:rPr>
        <w:t>3.</w:t>
      </w:r>
      <w:r>
        <w:rPr>
          <w:rFonts w:ascii="Times New Roman Regular" w:hAnsi="Times New Roman Regular" w:cs="Times New Roman Regular"/>
          <w:sz w:val="22"/>
          <w:szCs w:val="22"/>
        </w:rPr>
        <w:t xml:space="preserve"> However, the high cost of these media significantly impacts the overall expense of ART, making it less accessible to a broader population of farmers. The need for a cost-effective alternative is therefore critical for expanding the reach of ART.</w:t>
      </w:r>
    </w:p>
    <w:p w:rsidR="00E0739D" w:rsidRDefault="00E0739D">
      <w:pPr>
        <w:pStyle w:val="NormalWeb"/>
        <w:spacing w:line="480" w:lineRule="auto"/>
        <w:jc w:val="both"/>
        <w:rPr>
          <w:rFonts w:ascii="Times New Roman Regular" w:hAnsi="Times New Roman Regular" w:cs="Times New Roman Regular"/>
          <w:sz w:val="22"/>
          <w:szCs w:val="22"/>
        </w:rPr>
      </w:pP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Several commercially available media are widely used in the OPU process. Products from companies such as </w:t>
      </w:r>
      <w:proofErr w:type="spellStart"/>
      <w:r>
        <w:rPr>
          <w:rFonts w:ascii="Times New Roman Regular" w:hAnsi="Times New Roman Regular" w:cs="Times New Roman Regular"/>
          <w:sz w:val="22"/>
          <w:szCs w:val="22"/>
        </w:rPr>
        <w:t>Minitube</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Vetoquinol</w:t>
      </w:r>
      <w:proofErr w:type="spellEnd"/>
      <w:r>
        <w:rPr>
          <w:rFonts w:ascii="Times New Roman Regular" w:hAnsi="Times New Roman Regular" w:cs="Times New Roman Regular"/>
          <w:sz w:val="22"/>
          <w:szCs w:val="22"/>
        </w:rPr>
        <w:t xml:space="preserve">, and MOFA are commonly employed due to their </w:t>
      </w:r>
      <w:r>
        <w:rPr>
          <w:rFonts w:ascii="Times New Roman Regular" w:hAnsi="Times New Roman Regular" w:cs="Times New Roman Regular"/>
          <w:sz w:val="22"/>
          <w:szCs w:val="22"/>
        </w:rPr>
        <w:lastRenderedPageBreak/>
        <w:t xml:space="preserve">reliable composition and efficacy. These media typically include a balanced mix of salts, amino acids, and proteins designed to mimic the natural environment of oocytes. For instance, these media often contain a zwitterion buffer like HEPES to maintain stable pH levels, along with antibiotics to prevent contamination </w:t>
      </w:r>
      <w:r>
        <w:rPr>
          <w:rFonts w:ascii="Times New Roman Regular" w:hAnsi="Times New Roman Regular" w:cs="Times New Roman Regular"/>
          <w:sz w:val="22"/>
          <w:szCs w:val="22"/>
          <w:vertAlign w:val="superscript"/>
        </w:rPr>
        <w:t>4</w:t>
      </w:r>
      <w:r>
        <w:rPr>
          <w:rFonts w:ascii="Times New Roman Regular" w:hAnsi="Times New Roman Regular" w:cs="Times New Roman Regular"/>
          <w:sz w:val="22"/>
          <w:szCs w:val="22"/>
        </w:rPr>
        <w:t xml:space="preserve">. While effective, the cost associated with these media continues to be a challenge, particularly for farmers in resource-limited settings </w:t>
      </w:r>
      <w:r>
        <w:rPr>
          <w:rFonts w:ascii="Times New Roman Regular" w:hAnsi="Times New Roman Regular" w:cs="Times New Roman Regular"/>
          <w:sz w:val="22"/>
          <w:szCs w:val="22"/>
          <w:vertAlign w:val="superscript"/>
        </w:rPr>
        <w:t>5</w:t>
      </w:r>
      <w:r>
        <w:rPr>
          <w:rFonts w:ascii="Times New Roman Regular" w:hAnsi="Times New Roman Regular" w:cs="Times New Roman Regular"/>
          <w:sz w:val="22"/>
          <w:szCs w:val="22"/>
        </w:rPr>
        <w: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Given the high costs of existing commercial media,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presents itself as a viable in-house alternative.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is compositionally similar to the optimal media required for maintaining oocyte viability during the OPU process. It includes essential salts, a zwitterion buffer, and antibiotics, providing a stable environment for oocytes. Additionally, heparin is being added as an anti-clotting agent to prevent coagulation during the OPU process, ensuring that the oocytes remain in an optimal environment. This addition is crucial for maintaining the fluidity and consistency of the media, which is essential for the effective handling and preservation of oocytes during aspiration and transport </w:t>
      </w:r>
      <w:r>
        <w:rPr>
          <w:rFonts w:ascii="Times New Roman Regular" w:hAnsi="Times New Roman Regular" w:cs="Times New Roman Regular"/>
          <w:sz w:val="22"/>
          <w:szCs w:val="22"/>
          <w:vertAlign w:val="superscript"/>
        </w:rPr>
        <w:t>6</w:t>
      </w:r>
      <w:r>
        <w:rPr>
          <w:rFonts w:ascii="Times New Roman Regular" w:hAnsi="Times New Roman Regular" w:cs="Times New Roman Regular"/>
          <w:sz w:val="22"/>
          <w:szCs w:val="22"/>
        </w:rPr>
        <w:t xml:space="preserve">. The use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could potentially reduce the overall cost of the OPU-IVEP-ET cycle while maintaining or even improving the efficiency of embryo production processes. This makes it a promising candidate for broader adoption in cost-sensitive contexts.</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objective of this research is to rigorously evaluate the efficacy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both as a standalone media and in combination with other formulations, in maintaining oocyte quality and supporting embryo production. The goal is to develop </w:t>
      </w:r>
      <w:proofErr w:type="spellStart"/>
      <w:proofErr w:type="gramStart"/>
      <w:r>
        <w:rPr>
          <w:rFonts w:ascii="Times New Roman Regular" w:hAnsi="Times New Roman Regular" w:cs="Times New Roman Regular"/>
          <w:sz w:val="22"/>
          <w:szCs w:val="22"/>
        </w:rPr>
        <w:t>a</w:t>
      </w:r>
      <w:proofErr w:type="spellEnd"/>
      <w:proofErr w:type="gramEnd"/>
      <w:r>
        <w:rPr>
          <w:rFonts w:ascii="Times New Roman Regular" w:hAnsi="Times New Roman Regular" w:cs="Times New Roman Regular"/>
          <w:sz w:val="22"/>
          <w:szCs w:val="22"/>
        </w:rPr>
        <w:t xml:space="preserve"> economical, sustainable efficient alternative to commercially available OPU media, making ART more accessible to a broader range of farmers. This research seeks to provide a scientifically validated, practical solution that can enhance the adoption of ART in regions where cost is a significant barrier.</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 </w:t>
      </w:r>
    </w:p>
    <w:p w:rsidR="00E0739D" w:rsidRDefault="00E0739D">
      <w:pPr>
        <w:pStyle w:val="NormalWeb"/>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lastRenderedPageBreak/>
        <w:t>MATERIALS AND METHODS</w:t>
      </w:r>
    </w:p>
    <w:p w:rsidR="00E0739D" w:rsidRDefault="00E0739D">
      <w:pPr>
        <w:spacing w:line="480" w:lineRule="auto"/>
        <w:jc w:val="both"/>
        <w:rPr>
          <w:rFonts w:ascii="Times New Roman Regular" w:hAnsi="Times New Roman Regular" w:cs="Times New Roman Regular"/>
          <w:sz w:val="22"/>
          <w:szCs w:val="22"/>
        </w:rPr>
      </w:pP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This study was conducted at the OPU-IVEP-ET facility of National Dairy Development Board, Anand, India (NDDB). Donor cows (n=92) housed in the farm of OPU-IVEP-ET facility of NDDB are used in the study. Total 1193 OPU sessions were conducted during the study period, with 700 using commercial OPU media and 493 </w:t>
      </w:r>
      <w:proofErr w:type="gramStart"/>
      <w:r>
        <w:rPr>
          <w:rFonts w:ascii="Times New Roman Regular" w:hAnsi="Times New Roman Regular" w:cs="Times New Roman Regular"/>
          <w:sz w:val="22"/>
          <w:szCs w:val="22"/>
        </w:rPr>
        <w:t>using  in</w:t>
      </w:r>
      <w:proofErr w:type="gramEnd"/>
      <w:r>
        <w:rPr>
          <w:rFonts w:ascii="Times New Roman Regular" w:hAnsi="Times New Roman Regular" w:cs="Times New Roman Regular"/>
          <w:sz w:val="22"/>
          <w:szCs w:val="22"/>
        </w:rPr>
        <w:t xml:space="preserve">-house OPU media. Ninety-two donor cows were housed at the NDDB farm facilities </w:t>
      </w:r>
    </w:p>
    <w:p w:rsidR="00E0739D" w:rsidRDefault="001852C1">
      <w:pPr>
        <w:spacing w:line="480" w:lineRule="auto"/>
        <w:jc w:val="both"/>
        <w:rPr>
          <w:rFonts w:ascii="Times New Roman Regular" w:hAnsi="Times New Roman Regular" w:cs="Times New Roman Regular"/>
          <w:i/>
          <w:iCs/>
          <w:sz w:val="24"/>
          <w:szCs w:val="24"/>
        </w:rPr>
      </w:pPr>
      <w:r>
        <w:rPr>
          <w:rFonts w:ascii="Times New Roman Bold" w:hAnsi="Times New Roman Bold" w:cs="Times New Roman Bold"/>
          <w:b/>
          <w:bCs/>
          <w:sz w:val="24"/>
          <w:szCs w:val="24"/>
        </w:rPr>
        <w:t xml:space="preserve"> Formulation of in-house and commercial OPU Media</w:t>
      </w:r>
    </w:p>
    <w:p w:rsidR="00E0739D" w:rsidRDefault="001852C1">
      <w:pPr>
        <w:spacing w:line="480" w:lineRule="auto"/>
        <w:jc w:val="both"/>
        <w:rPr>
          <w:rFonts w:ascii="Times New Roman Regular" w:hAnsi="Times New Roman Regular" w:cs="Times New Roman Regular"/>
          <w:sz w:val="22"/>
          <w:szCs w:val="22"/>
        </w:rPr>
      </w:pPr>
      <w:r>
        <w:rPr>
          <w:rFonts w:ascii="Times New Roman Regular" w:eastAsia="SimSun" w:hAnsi="Times New Roman Regular" w:cs="Times New Roman Regular"/>
          <w:sz w:val="22"/>
          <w:szCs w:val="22"/>
          <w:lang w:bidi="ar"/>
        </w:rPr>
        <w:t>On the day of OPU, the media was prepared to achieve a final heparin concentration of 50 µg/</w:t>
      </w:r>
      <w:proofErr w:type="spellStart"/>
      <w:r>
        <w:rPr>
          <w:rFonts w:ascii="Times New Roman Regular" w:eastAsia="SimSun" w:hAnsi="Times New Roman Regular" w:cs="Times New Roman Regular"/>
          <w:sz w:val="22"/>
          <w:szCs w:val="22"/>
          <w:lang w:bidi="ar"/>
        </w:rPr>
        <w:t>mL.</w:t>
      </w:r>
      <w:proofErr w:type="spellEnd"/>
      <w:r>
        <w:rPr>
          <w:rFonts w:ascii="Times New Roman Regular" w:eastAsia="SimSun" w:hAnsi="Times New Roman Regular" w:cs="Times New Roman Regular"/>
          <w:sz w:val="22"/>
          <w:szCs w:val="22"/>
          <w:lang w:bidi="ar"/>
        </w:rPr>
        <w:t xml:space="preserve"> This was done by diluting 1 mL of injectable heparin (</w:t>
      </w:r>
      <w:proofErr w:type="spellStart"/>
      <w:r>
        <w:rPr>
          <w:rFonts w:ascii="Times New Roman Regular" w:eastAsia="SimSun" w:hAnsi="Times New Roman Regular" w:cs="Times New Roman Regular"/>
          <w:sz w:val="22"/>
          <w:szCs w:val="22"/>
          <w:lang w:bidi="ar"/>
        </w:rPr>
        <w:t>Troyhep</w:t>
      </w:r>
      <w:proofErr w:type="spellEnd"/>
      <w:r>
        <w:rPr>
          <w:rFonts w:ascii="Times New Roman Regular" w:eastAsia="SimSun" w:hAnsi="Times New Roman Regular" w:cs="Times New Roman Regular"/>
          <w:sz w:val="22"/>
          <w:szCs w:val="22"/>
          <w:lang w:bidi="ar"/>
        </w:rPr>
        <w:t xml:space="preserve">, 1000 units heparin/mL, equivalent to 2 mg/mL) in 40 mL of </w:t>
      </w:r>
      <w:proofErr w:type="spellStart"/>
      <w:r>
        <w:rPr>
          <w:rFonts w:ascii="Times New Roman Regular" w:eastAsia="SimSun" w:hAnsi="Times New Roman Regular" w:cs="Times New Roman Regular"/>
          <w:sz w:val="22"/>
          <w:szCs w:val="22"/>
          <w:lang w:bidi="ar"/>
        </w:rPr>
        <w:t>EmXcell</w:t>
      </w:r>
      <w:proofErr w:type="spellEnd"/>
      <w:r>
        <w:rPr>
          <w:rFonts w:ascii="Times New Roman Regular" w:eastAsia="SimSun" w:hAnsi="Times New Roman Regular" w:cs="Times New Roman Regular"/>
          <w:sz w:val="22"/>
          <w:szCs w:val="22"/>
          <w:lang w:bidi="ar"/>
        </w:rPr>
        <w:t xml:space="preserve"> medium. The addition of heparin to the medium is crucial for preventing coagulation during the OPU process, ensuring that the oocytes remain in an optimal environment.</w:t>
      </w:r>
    </w:p>
    <w:p w:rsidR="00E0739D" w:rsidRDefault="001852C1">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Commercial media for OPU was sourced from IVF Biosciences, UK. A total 700 OPUs were performed using commercial OPU media and 493 OPUs </w:t>
      </w:r>
      <w:proofErr w:type="gramStart"/>
      <w:r>
        <w:rPr>
          <w:rFonts w:ascii="Times New Roman Regular" w:hAnsi="Times New Roman Regular" w:cs="Times New Roman Regular"/>
          <w:sz w:val="22"/>
          <w:szCs w:val="22"/>
        </w:rPr>
        <w:t>using  in</w:t>
      </w:r>
      <w:proofErr w:type="gramEnd"/>
      <w:r>
        <w:rPr>
          <w:rFonts w:ascii="Times New Roman Regular" w:hAnsi="Times New Roman Regular" w:cs="Times New Roman Regular"/>
          <w:sz w:val="22"/>
          <w:szCs w:val="22"/>
        </w:rPr>
        <w:t>-house OPU media.</w:t>
      </w:r>
    </w:p>
    <w:p w:rsidR="00E0739D" w:rsidRDefault="001852C1">
      <w:pPr>
        <w:pStyle w:val="NormalWeb"/>
        <w:spacing w:line="480" w:lineRule="auto"/>
        <w:jc w:val="both"/>
        <w:rPr>
          <w:rStyle w:val="Emphasis"/>
          <w:rFonts w:ascii="Times New Roman Bold" w:eastAsiaTheme="minorEastAsia" w:hAnsi="Times New Roman Bold" w:cs="Times New Roman Bold"/>
          <w:b/>
          <w:bCs/>
          <w:i w:val="0"/>
          <w:iCs w:val="0"/>
          <w:sz w:val="22"/>
          <w:szCs w:val="22"/>
          <w:lang w:bidi="ar-SA"/>
        </w:rPr>
      </w:pPr>
      <w:r>
        <w:rPr>
          <w:rStyle w:val="Emphasis"/>
          <w:rFonts w:ascii="Times New Roman Bold" w:hAnsi="Times New Roman Bold" w:cs="Times New Roman Bold"/>
          <w:b/>
          <w:bCs/>
          <w:i w:val="0"/>
          <w:iCs w:val="0"/>
          <w:sz w:val="22"/>
          <w:szCs w:val="22"/>
        </w:rPr>
        <w:t>Ovum pick-up and in vitro embryo production (OPU-IVEP)</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A total of 1193 OPU-IVEP cycles were performed in the donors following already </w:t>
      </w:r>
      <w:proofErr w:type="spellStart"/>
      <w:r>
        <w:rPr>
          <w:rFonts w:ascii="Times New Roman Regular" w:hAnsi="Times New Roman Regular" w:cs="Times New Roman Regular"/>
          <w:sz w:val="22"/>
          <w:szCs w:val="22"/>
        </w:rPr>
        <w:t>standardised</w:t>
      </w:r>
      <w:proofErr w:type="spellEnd"/>
      <w:r>
        <w:rPr>
          <w:rFonts w:ascii="Times New Roman Regular" w:hAnsi="Times New Roman Regular" w:cs="Times New Roman Regular"/>
          <w:sz w:val="22"/>
          <w:szCs w:val="22"/>
        </w:rPr>
        <w:t xml:space="preserve"> procedure in the facility [7-10]. Briefly, the donors were aspirated using an ultrasound-guided transvaginal aspiration device under epidural anesthesia. The ovaries were evaluated for the number of follicles and corpus luteum in non-stimulated donors. All follicles of 3 mm or above were aspirated into a 50 ml collection tube containing pre-warmed OPU media. After aspiration of both ovaries, the collection tube was immediately sealed and sent to the laboratory for searching.</w:t>
      </w:r>
    </w:p>
    <w:p w:rsidR="00E0739D" w:rsidRDefault="00E0739D">
      <w:pPr>
        <w:pStyle w:val="NormalWeb"/>
        <w:spacing w:line="480" w:lineRule="auto"/>
        <w:jc w:val="both"/>
        <w:rPr>
          <w:rFonts w:ascii="Times New Roman Regular" w:hAnsi="Times New Roman Regular" w:cs="Times New Roman Regular"/>
          <w:sz w:val="22"/>
          <w:szCs w:val="22"/>
        </w:rPr>
      </w:pPr>
    </w:p>
    <w:p w:rsidR="00E0739D" w:rsidRDefault="00E0739D">
      <w:pPr>
        <w:pStyle w:val="NormalWeb"/>
        <w:spacing w:line="480" w:lineRule="auto"/>
        <w:jc w:val="both"/>
        <w:rPr>
          <w:rFonts w:ascii="Times New Roman Regular" w:hAnsi="Times New Roman Regular" w:cs="Times New Roman Regular"/>
          <w:sz w:val="22"/>
          <w:szCs w:val="22"/>
        </w:rPr>
      </w:pP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Cumulus-oocyte complexes (COCs) were retrieved from the aspirated solution and selected based on quality criteria </w:t>
      </w:r>
      <w:r>
        <w:rPr>
          <w:rFonts w:ascii="Times New Roman Regular" w:hAnsi="Times New Roman Regular" w:cs="Times New Roman Regular"/>
          <w:sz w:val="22"/>
          <w:szCs w:val="22"/>
          <w:vertAlign w:val="superscript"/>
        </w:rPr>
        <w:t>10</w:t>
      </w:r>
      <w:r>
        <w:rPr>
          <w:rFonts w:ascii="Times New Roman Regular" w:hAnsi="Times New Roman Regular" w:cs="Times New Roman Regular"/>
          <w:sz w:val="22"/>
          <w:szCs w:val="22"/>
        </w:rPr>
        <w:t>. Oocytes of grades 1, 2, and 3 were washed in IVM media before shifting to pre-equilibrated IVM media drops. The selected oocytes were then incubated in an environment with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at 38.5°C</w:t>
      </w:r>
      <w:proofErr w:type="gramStart"/>
      <w:r>
        <w:rPr>
          <w:rFonts w:ascii="Times New Roman Regular" w:hAnsi="Times New Roman Regular" w:cs="Times New Roman Regular"/>
          <w:sz w:val="22"/>
          <w:szCs w:val="22"/>
        </w:rPr>
        <w:t>  and</w:t>
      </w:r>
      <w:proofErr w:type="gramEnd"/>
      <w:r>
        <w:rPr>
          <w:rFonts w:ascii="Times New Roman Regular" w:hAnsi="Times New Roman Regular" w:cs="Times New Roman Regular"/>
          <w:sz w:val="22"/>
          <w:szCs w:val="22"/>
        </w:rPr>
        <w:t xml:space="preserve"> more than 90% relative humidity for approximately 22–24 hours to facilitate maturation. After maturation, the oocytes were washed with IVF media and transferred to pre-equilibrated IVF media drops. Preselected frozen semen doses were prepared for </w:t>
      </w:r>
      <w:proofErr w:type="spellStart"/>
      <w:r>
        <w:rPr>
          <w:rFonts w:ascii="Times New Roman Regular" w:hAnsi="Times New Roman Regular" w:cs="Times New Roman Regular"/>
          <w:sz w:val="22"/>
          <w:szCs w:val="22"/>
        </w:rPr>
        <w:t>fertilisation</w:t>
      </w:r>
      <w:proofErr w:type="spellEnd"/>
      <w:r>
        <w:rPr>
          <w:rFonts w:ascii="Times New Roman Regular" w:hAnsi="Times New Roman Regular" w:cs="Times New Roman Regular"/>
          <w:sz w:val="22"/>
          <w:szCs w:val="22"/>
        </w:rPr>
        <w:t xml:space="preserve"> through a two-step centrifugation process, </w:t>
      </w:r>
      <w:r>
        <w:rPr>
          <w:rFonts w:ascii="Times New Roman Regular" w:hAnsi="Times New Roman Regular" w:cs="Times New Roman Regular"/>
          <w:i/>
          <w:iCs/>
          <w:sz w:val="22"/>
          <w:szCs w:val="22"/>
        </w:rPr>
        <w:t>viz</w:t>
      </w:r>
      <w:r>
        <w:rPr>
          <w:rFonts w:ascii="Times New Roman Regular" w:hAnsi="Times New Roman Regular" w:cs="Times New Roman Regular"/>
          <w:sz w:val="22"/>
          <w:szCs w:val="22"/>
        </w:rPr>
        <w:t xml:space="preserve">. initially at 2000 x g for 5 minutes in the Isolate® gradient, followed by resuspension in IVF media, and a second centrifugation at 500 x g for 5 minutes. The resultant sperm pallet was used for </w:t>
      </w:r>
      <w:proofErr w:type="spellStart"/>
      <w:r>
        <w:rPr>
          <w:rFonts w:ascii="Times New Roman Regular" w:hAnsi="Times New Roman Regular" w:cs="Times New Roman Regular"/>
          <w:sz w:val="22"/>
          <w:szCs w:val="22"/>
        </w:rPr>
        <w:t>fertilising</w:t>
      </w:r>
      <w:proofErr w:type="spellEnd"/>
      <w:r>
        <w:rPr>
          <w:rFonts w:ascii="Times New Roman Regular" w:hAnsi="Times New Roman Regular" w:cs="Times New Roman Regular"/>
          <w:sz w:val="22"/>
          <w:szCs w:val="22"/>
        </w:rPr>
        <w:t xml:space="preserve"> the drops with oocytes and incubated for 18 hours in an environment with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at 38.5°C</w:t>
      </w:r>
      <w:proofErr w:type="gramStart"/>
      <w:r>
        <w:rPr>
          <w:rFonts w:ascii="Times New Roman Regular" w:hAnsi="Times New Roman Regular" w:cs="Times New Roman Regular"/>
          <w:sz w:val="22"/>
          <w:szCs w:val="22"/>
        </w:rPr>
        <w:t>  and</w:t>
      </w:r>
      <w:proofErr w:type="gramEnd"/>
      <w:r>
        <w:rPr>
          <w:rFonts w:ascii="Times New Roman Regular" w:hAnsi="Times New Roman Regular" w:cs="Times New Roman Regular"/>
          <w:sz w:val="22"/>
          <w:szCs w:val="22"/>
        </w:rPr>
        <w:t xml:space="preserve"> more than 90% relative humidity.</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Following </w:t>
      </w:r>
      <w:proofErr w:type="spellStart"/>
      <w:r>
        <w:rPr>
          <w:rFonts w:ascii="Times New Roman Regular" w:hAnsi="Times New Roman Regular" w:cs="Times New Roman Regular"/>
          <w:sz w:val="22"/>
          <w:szCs w:val="22"/>
        </w:rPr>
        <w:t>fertilisation</w:t>
      </w:r>
      <w:proofErr w:type="spellEnd"/>
      <w:r>
        <w:rPr>
          <w:rFonts w:ascii="Times New Roman Regular" w:hAnsi="Times New Roman Regular" w:cs="Times New Roman Regular"/>
          <w:sz w:val="22"/>
          <w:szCs w:val="22"/>
        </w:rPr>
        <w:t xml:space="preserve">, presumptive zygotes were denuded carefully by removing all surrounding cumulus cells using a denuding pipette. The zygotes were then sequentially washed in wash media and pre-equilibrated </w:t>
      </w:r>
      <w:r>
        <w:rPr>
          <w:rStyle w:val="Emphasis"/>
          <w:rFonts w:ascii="Times New Roman Regular" w:hAnsi="Times New Roman Regular" w:cs="Times New Roman Regular"/>
          <w:sz w:val="22"/>
          <w:szCs w:val="22"/>
        </w:rPr>
        <w:t>in vitro</w:t>
      </w:r>
      <w:r>
        <w:rPr>
          <w:rFonts w:ascii="Times New Roman Regular" w:hAnsi="Times New Roman Regular" w:cs="Times New Roman Regular"/>
          <w:sz w:val="22"/>
          <w:szCs w:val="22"/>
        </w:rPr>
        <w:t xml:space="preserve"> culture (IVC) medium. Finally, they were transferred to pre-equilibrated IVC media drops and incubated in a mixed gas bench-top incubator at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5% O</w:t>
      </w:r>
      <w:r>
        <w:rPr>
          <w:rFonts w:ascii="Times New Roman Regular" w:hAnsi="Times New Roman Regular" w:cs="Times New Roman Regular"/>
          <w:sz w:val="22"/>
          <w:szCs w:val="22"/>
          <w:vertAlign w:val="subscript"/>
        </w:rPr>
        <w:t xml:space="preserve">2, </w:t>
      </w:r>
      <w:r>
        <w:rPr>
          <w:rFonts w:ascii="Times New Roman Regular" w:hAnsi="Times New Roman Regular" w:cs="Times New Roman Regular"/>
          <w:sz w:val="22"/>
          <w:szCs w:val="22"/>
        </w:rPr>
        <w:t>90% N</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xml:space="preserve"> 38.5°C</w:t>
      </w:r>
      <w:r>
        <w:rPr>
          <w:rFonts w:ascii="Times New Roman Regular" w:hAnsi="Times New Roman Regular" w:cs="Times New Roman Regular"/>
          <w:sz w:val="22"/>
          <w:szCs w:val="22"/>
          <w:vertAlign w:val="subscript"/>
        </w:rPr>
        <w:t>,</w:t>
      </w:r>
      <w:r>
        <w:rPr>
          <w:rFonts w:ascii="Times New Roman Regular" w:hAnsi="Times New Roman Regular" w:cs="Times New Roman Regular"/>
          <w:sz w:val="22"/>
          <w:szCs w:val="22"/>
        </w:rPr>
        <w:t xml:space="preserve"> and &gt;90% RH for seven days from the date of IVF.</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Cleavage rates were recorded 72 hours post-IVF, reflecting the percentage of embryos that had successfully divided into 8–16 cells. Blastocyst rates were determined on day seven post-IVF, indicating the proportion of cultured oocytes that developed into blastocysts. Embryos were evaluated for grade and stage according to International Embryo Technology Society (IETS) guidelines</w:t>
      </w:r>
      <w:r>
        <w:rPr>
          <w:rFonts w:ascii="Times New Roman Regular" w:hAnsi="Times New Roman Regular" w:cs="Times New Roman Regular"/>
          <w:sz w:val="22"/>
          <w:szCs w:val="22"/>
          <w:vertAlign w:val="superscript"/>
        </w:rPr>
        <w:t>11</w:t>
      </w:r>
      <w:r>
        <w:rPr>
          <w:rFonts w:ascii="Times New Roman Regular" w:hAnsi="Times New Roman Regular" w:cs="Times New Roman Regular"/>
          <w:sz w:val="22"/>
          <w:szCs w:val="22"/>
        </w:rPr>
        <w:t>. Embryos at the blastocyst and expanded blastocyst stages of development were considered in the study. Embryos were graded from Code 1 to Code 4 based on their quality as per IETS guidelines, and only embryos of grade 1 were used in the present study.</w:t>
      </w:r>
    </w:p>
    <w:p w:rsidR="00E0739D" w:rsidRDefault="00E0739D">
      <w:pPr>
        <w:pStyle w:val="NormalWeb"/>
        <w:spacing w:line="480" w:lineRule="auto"/>
        <w:jc w:val="both"/>
        <w:rPr>
          <w:rFonts w:ascii="Times New Roman Regular" w:hAnsi="Times New Roman Regular" w:cs="Times New Roman Regular"/>
          <w:sz w:val="22"/>
          <w:szCs w:val="22"/>
        </w:rPr>
      </w:pPr>
    </w:p>
    <w:p w:rsidR="00E0739D" w:rsidRDefault="001852C1">
      <w:pPr>
        <w:pStyle w:val="NormalWeb"/>
        <w:spacing w:line="480" w:lineRule="auto"/>
        <w:rPr>
          <w:rFonts w:ascii="Times New Roman Bold" w:hAnsi="Times New Roman Bold" w:cs="Times New Roman Bold"/>
          <w:b/>
          <w:bCs/>
          <w:sz w:val="22"/>
          <w:szCs w:val="22"/>
        </w:rPr>
      </w:pPr>
      <w:r>
        <w:rPr>
          <w:rStyle w:val="Strong"/>
          <w:rFonts w:ascii="Times New Roman Bold" w:hAnsi="Times New Roman Bold" w:cs="Times New Roman Bold"/>
          <w:sz w:val="22"/>
          <w:szCs w:val="22"/>
        </w:rPr>
        <w:t>Cleavage and Blastocyst Rate:</w:t>
      </w:r>
      <w:r>
        <w:rPr>
          <w:rFonts w:ascii="Times New Roman Bold" w:hAnsi="Times New Roman Bold" w:cs="Times New Roman Bold"/>
          <w:b/>
          <w:bCs/>
          <w:sz w:val="22"/>
          <w:szCs w:val="22"/>
        </w:rPr>
        <w:t xml:space="preserve"> </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Cleavage Rate: This metric, recorded after 72 hours from the IVF, reflects the percentage of embryos that have successfully divided into 8-16 cells, signifying early development.</w:t>
      </w:r>
    </w:p>
    <w:p w:rsidR="00E0739D" w:rsidRDefault="001852C1">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Blastocyst Rate: Determined on day 7 from the day of IVF, this indicates the proportion of cultured oocytes that have developed into blastocysts, the advanced stage embryos suitable for transfer. It is calculated by dividing the total number of blastocysts by the total number of oocytes kept for IVC.</w:t>
      </w: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sz w:val="22"/>
          <w:szCs w:val="22"/>
        </w:rPr>
      </w:pPr>
      <w:r>
        <w:rPr>
          <w:rFonts w:ascii="Times New Roman Bold" w:hAnsi="Times New Roman Bold" w:cs="Times New Roman Bold"/>
          <w:b/>
          <w:bCs/>
          <w:sz w:val="22"/>
          <w:szCs w:val="22"/>
        </w:rPr>
        <w:t xml:space="preserve"> Statistical Analysis: </w:t>
      </w:r>
    </w:p>
    <w:p w:rsidR="00E0739D" w:rsidRDefault="001852C1">
      <w:pPr>
        <w:spacing w:line="480" w:lineRule="auto"/>
        <w:jc w:val="both"/>
        <w:rPr>
          <w:rFonts w:ascii="Times New Roman Regular" w:eastAsia="SimSun" w:hAnsi="Times New Roman Regular" w:cs="Times New Roman Regular"/>
          <w:sz w:val="22"/>
          <w:szCs w:val="22"/>
          <w:lang w:bidi="ar"/>
        </w:rPr>
      </w:pPr>
      <w:r>
        <w:rPr>
          <w:rFonts w:ascii="Times New Roman Regular" w:hAnsi="Times New Roman Regular"/>
          <w:sz w:val="22"/>
          <w:szCs w:val="22"/>
        </w:rPr>
        <w:t xml:space="preserve">Standard statistical analysis was performed using R (RStudio Version 2024.04.1+748). Descriptive statistics (mean ± standard error of the mean, SEM) were calculated for oocyte recovery per OPU, cleavage rate and blastocyst rate for both the commercial (Group A) and in-house (Group B) media. Differences between groups were evaluated using a one-way analysis of variance (ANOVA) with a general linear model, and a p-value &lt; 0.05 was considered statistically significant. No statistically significant differences (p &gt; 0.05) were detected between the two media for any of the parameters </w:t>
      </w:r>
      <w:proofErr w:type="spellStart"/>
      <w:r>
        <w:rPr>
          <w:rFonts w:ascii="Times New Roman Regular" w:hAnsi="Times New Roman Regular"/>
          <w:sz w:val="22"/>
          <w:szCs w:val="22"/>
        </w:rPr>
        <w:t>analysed</w:t>
      </w:r>
      <w:proofErr w:type="spellEnd"/>
      <w:r>
        <w:rPr>
          <w:rFonts w:ascii="Times New Roman Regular" w:hAnsi="Times New Roman Regular"/>
          <w:sz w:val="22"/>
          <w:szCs w:val="22"/>
        </w:rPr>
        <w:t>.</w:t>
      </w:r>
      <w:r>
        <w:rPr>
          <w:rFonts w:ascii="Times New Roman Regular" w:eastAsia="SimSun" w:hAnsi="Times New Roman Regular" w:cs="Times New Roman Regular" w:hint="eastAsia"/>
          <w:sz w:val="22"/>
          <w:szCs w:val="22"/>
          <w:lang w:bidi="ar"/>
        </w:rPr>
        <w:br w:type="page"/>
      </w:r>
    </w:p>
    <w:p w:rsidR="00E0739D" w:rsidRDefault="00E0739D">
      <w:pPr>
        <w:spacing w:line="480" w:lineRule="auto"/>
        <w:jc w:val="both"/>
        <w:rPr>
          <w:rFonts w:ascii="Times New Roman Regular" w:hAnsi="Times New Roman Regular" w:cs="Times New Roman Regular"/>
          <w:b/>
          <w:bCs/>
          <w:sz w:val="22"/>
          <w:szCs w:val="22"/>
        </w:rPr>
      </w:pP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RESULTS</w:t>
      </w:r>
    </w:p>
    <w:p w:rsidR="00E0739D" w:rsidRDefault="001852C1">
      <w:pPr>
        <w:spacing w:line="480" w:lineRule="auto"/>
        <w:jc w:val="both"/>
        <w:rPr>
          <w:rFonts w:ascii="Times New Roman Bold" w:hAnsi="Times New Roman Bold" w:cs="Times New Roman Bold"/>
          <w:b/>
          <w:bCs/>
          <w:sz w:val="21"/>
          <w:szCs w:val="21"/>
        </w:rPr>
      </w:pPr>
      <w:r>
        <w:rPr>
          <w:rFonts w:ascii="Times New Roman Bold" w:hAnsi="Times New Roman Bold" w:cs="Times New Roman Bold"/>
          <w:b/>
          <w:bCs/>
          <w:sz w:val="21"/>
          <w:szCs w:val="21"/>
        </w:rPr>
        <w:t>Oocyte Recovery</w:t>
      </w: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sz w:val="22"/>
          <w:szCs w:val="22"/>
        </w:rPr>
        <w:t>The average number of oocytes retrieved per OPU session was slightly higher in Group B compared to Group A. However, this difference was not statistically significant (p&gt;0.05). The mean number of oocytes retrieved per OPU session was 12.12 ± 3.23 for the control group and 17.0 ± 3.7 for the trial group.</w:t>
      </w:r>
    </w:p>
    <w:p w:rsidR="00E0739D" w:rsidRDefault="001852C1">
      <w:pPr>
        <w:spacing w:line="480" w:lineRule="auto"/>
        <w:jc w:val="both"/>
        <w:rPr>
          <w:rFonts w:ascii="Times New Roman Regular" w:hAnsi="Times New Roman Regular" w:cs="Times New Roman Regular"/>
          <w:i/>
          <w:iCs/>
          <w:sz w:val="22"/>
          <w:szCs w:val="22"/>
        </w:rPr>
      </w:pPr>
      <w:r>
        <w:rPr>
          <w:rFonts w:ascii="Times New Roman Bold" w:hAnsi="Times New Roman Bold" w:cs="Times New Roman Bold"/>
          <w:b/>
          <w:bCs/>
          <w:sz w:val="22"/>
          <w:szCs w:val="22"/>
        </w:rPr>
        <w:t>Cleavage Rate</w:t>
      </w: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sz w:val="22"/>
          <w:szCs w:val="22"/>
        </w:rPr>
        <w:t>Group B demonstrated a higher overall cleavage rate compared to Group A. Despite this trend, the difference between the groups was not statistically significant (p&gt;0.05). The mean cleavage rate for the control group, representing the percentage of embryos that successfully divided into 8-16 cells, was 50.8 ± 14.9, while the trial group had a mean cleavage rate of 57.1 ± 9.8.</w:t>
      </w:r>
    </w:p>
    <w:p w:rsidR="00E0739D" w:rsidRDefault="001852C1">
      <w:pPr>
        <w:spacing w:line="480" w:lineRule="auto"/>
        <w:jc w:val="both"/>
        <w:rPr>
          <w:rFonts w:ascii="Times New Roman Regular" w:hAnsi="Times New Roman Regular" w:cs="Times New Roman Regular"/>
          <w:i/>
          <w:iCs/>
          <w:sz w:val="22"/>
          <w:szCs w:val="22"/>
        </w:rPr>
      </w:pPr>
      <w:r>
        <w:rPr>
          <w:rFonts w:ascii="Times New Roman Bold" w:hAnsi="Times New Roman Bold" w:cs="Times New Roman Bold"/>
          <w:b/>
          <w:bCs/>
          <w:sz w:val="22"/>
          <w:szCs w:val="22"/>
        </w:rPr>
        <w:t>Blastocyst Rate</w:t>
      </w: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eastAsia="SimSun" w:hAnsi="Times New Roman Regular" w:cs="Times New Roman Regular"/>
          <w:sz w:val="22"/>
          <w:szCs w:val="22"/>
          <w:lang w:bidi="ar"/>
        </w:rPr>
        <w:t>The total blastocyst rate, encompassing early, expanded, and hatched blastocysts, was comparable between the two groups. The mean blastocyst rate, indicating the proportion of cultured oocytes that developed into blastocysts by day 7, was 19.8 ± 6.6 for the control group and 21.8 ± 6.2 for the trial group, with no statistically significant difference (p &gt; 0.05), indicating that the two groups were comparable.</w:t>
      </w:r>
    </w:p>
    <w:p w:rsidR="00E0739D" w:rsidRDefault="001852C1">
      <w:pPr>
        <w:spacing w:line="480" w:lineRule="auto"/>
        <w:jc w:val="both"/>
        <w:rPr>
          <w:rFonts w:ascii="Times New Roman Regular" w:hAnsi="Times New Roman Regular" w:cs="Times New Roman Regular"/>
          <w:b/>
          <w:bCs/>
          <w:sz w:val="22"/>
          <w:szCs w:val="22"/>
        </w:rPr>
      </w:pPr>
      <w:r>
        <w:rPr>
          <w:rFonts w:ascii="Times New Roman Bold" w:hAnsi="Times New Roman Bold" w:cs="Times New Roman Bold"/>
          <w:b/>
          <w:bCs/>
          <w:sz w:val="22"/>
          <w:szCs w:val="22"/>
        </w:rPr>
        <w:t>Interpretation</w:t>
      </w:r>
    </w:p>
    <w:p w:rsidR="00E0739D" w:rsidRDefault="001852C1">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trial group demonstrated slightly higher mean values in oocyte retrieval, cleavage rates, and blastocyst development compared to the control group, although these differences were not statistically significant. No statistically significant differences were observed between the control and trial groups for oocyte characteristics (p = 0.12), cleavage rates (p = 0.18), blastocysts per OPU (p = 0.08), or blastocyst rates (p = 0.42</w:t>
      </w:r>
      <w:proofErr w:type="gramStart"/>
      <w:r>
        <w:rPr>
          <w:rFonts w:ascii="Times New Roman Regular" w:hAnsi="Times New Roman Regular" w:cs="Times New Roman Regular"/>
          <w:sz w:val="22"/>
          <w:szCs w:val="22"/>
        </w:rPr>
        <w:t>)(</w:t>
      </w:r>
      <w:proofErr w:type="gramEnd"/>
      <w:r>
        <w:rPr>
          <w:rFonts w:ascii="Times New Roman Regular" w:hAnsi="Times New Roman Regular" w:cs="Times New Roman Regular"/>
          <w:sz w:val="22"/>
          <w:szCs w:val="22"/>
        </w:rPr>
        <w:t xml:space="preserve">Figure 1)    </w:t>
      </w:r>
    </w:p>
    <w:p w:rsidR="00E0739D" w:rsidRDefault="001852C1">
      <w:pPr>
        <w:spacing w:line="480" w:lineRule="auto"/>
        <w:jc w:val="center"/>
        <w:rPr>
          <w:rFonts w:ascii="Times New Roman Regular" w:hAnsi="Times New Roman Regular" w:cs="Times New Roman Regular"/>
          <w:sz w:val="22"/>
          <w:szCs w:val="22"/>
        </w:rPr>
      </w:pPr>
      <w:r>
        <w:rPr>
          <w:rFonts w:ascii="Times New Roman Regular" w:hAnsi="Times New Roman Regular" w:cs="Times New Roman Regular"/>
          <w:sz w:val="22"/>
          <w:szCs w:val="22"/>
        </w:rPr>
        <w:t>.</w:t>
      </w: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DISCUSSION</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findings of this study demonstrate that the in-house developed OPU media is a viable and cost-effective alternative to commercially available OPU media for bovine IVEP. The performance metrics, including oocyte quality, cleavage rates, blastocyst formation, and overall embryo production efficiency, showed no significant differences between the two media types. This suggests that the in-house media can effectively support the various stages of embryo development.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One of the primary objectives of this study was to address the high costs associated with OPU-IVEP-ET cycles by developing a more affordable media solution. The results indicate that the in-house media can reduce costs significantly without compromising the efficacy of the IVEP process </w:t>
      </w:r>
      <w:r>
        <w:rPr>
          <w:rFonts w:ascii="Times New Roman Regular" w:hAnsi="Times New Roman Regular" w:cs="Times New Roman Regular"/>
          <w:sz w:val="22"/>
          <w:szCs w:val="22"/>
          <w:vertAlign w:val="superscript"/>
        </w:rPr>
        <w:t>12</w:t>
      </w:r>
      <w:r>
        <w:rPr>
          <w:rFonts w:ascii="Times New Roman Regular" w:hAnsi="Times New Roman Regular" w:cs="Times New Roman Regular"/>
          <w:sz w:val="22"/>
          <w:szCs w:val="22"/>
        </w:rPr>
        <w:t xml:space="preserve"> By lowering the entry barrier, more farmers can adopt these techniques, potentially leading to widespread improvements in livestock productivity and genetic quality </w:t>
      </w:r>
      <w:r>
        <w:rPr>
          <w:rFonts w:ascii="Times New Roman Regular" w:hAnsi="Times New Roman Regular" w:cs="Times New Roman Regular"/>
          <w:sz w:val="22"/>
          <w:szCs w:val="22"/>
          <w:vertAlign w:val="superscript"/>
        </w:rPr>
        <w:t>13</w:t>
      </w:r>
      <w:r>
        <w:rPr>
          <w:rFonts w:ascii="Times New Roman Regular" w:hAnsi="Times New Roman Regular" w:cs="Times New Roman Regular"/>
          <w:sz w:val="22"/>
          <w:szCs w:val="22"/>
        </w:rPr>
        <w: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mean number of oocytes per OPU session was comparable between the in-house and commercial media groups, indicating that the initial quality and viability of oocytes were not affected by the media used. Cleavage rates were slightly lower for the in-house media, but this difference was not statistically significant. Importantly, the mean blastocyst rate and the mean number of embryos per OPU session were higher for the in-house media, suggesting that the developed media supports later stages of embryo development at least as well as the commercial media.</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effectiveness of the in-house media can be attributed to its carefully selected components. The in-house media was developed using commercially available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and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Embryo Flushing media (IMV Technologies), with sodium heparin added externally </w:t>
      </w:r>
      <w:r>
        <w:rPr>
          <w:rFonts w:ascii="Times New Roman Regular" w:hAnsi="Times New Roman Regular" w:cs="Times New Roman Regular"/>
          <w:sz w:val="22"/>
          <w:szCs w:val="22"/>
          <w:vertAlign w:val="superscript"/>
        </w:rPr>
        <w:t>14</w:t>
      </w:r>
      <w:r>
        <w:rPr>
          <w:rFonts w:ascii="Times New Roman Regular" w:hAnsi="Times New Roman Regular" w:cs="Times New Roman Regular"/>
          <w:sz w:val="22"/>
          <w:szCs w:val="22"/>
        </w:rPr>
        <w:t xml:space="preserve">. The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medium is specifically designed to support embryo viability and </w:t>
      </w:r>
      <w:r>
        <w:rPr>
          <w:rFonts w:ascii="Times New Roman Regular" w:hAnsi="Times New Roman Regular" w:cs="Times New Roman Regular"/>
          <w:sz w:val="22"/>
          <w:szCs w:val="22"/>
        </w:rPr>
        <w:lastRenderedPageBreak/>
        <w:t xml:space="preserve">development, providing a balanced composition of electrolytes, energy substrates, and buffering agents that mimic the physiological conditions of the oviduct. The inclusion of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helps maintain pH stability during the OPU process, which is crucial for preserving oocyte integrity </w:t>
      </w:r>
      <w:r>
        <w:rPr>
          <w:rFonts w:ascii="Times New Roman Regular" w:hAnsi="Times New Roman Regular" w:cs="Times New Roman Regular"/>
          <w:sz w:val="22"/>
          <w:szCs w:val="22"/>
          <w:vertAlign w:val="superscript"/>
        </w:rPr>
        <w:t>15</w:t>
      </w:r>
      <w:r>
        <w:rPr>
          <w:rFonts w:ascii="Times New Roman Regular" w:hAnsi="Times New Roman Regular" w:cs="Times New Roman Regular"/>
          <w:sz w:val="22"/>
          <w:szCs w:val="22"/>
        </w:rPr>
        <w: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Sodium heparin, added at a concentration of 1250 IU per 50 ml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media, plays a critical role in preventing blood clotting during the aspiration process. This heparin is sourced from injectable human medicine, which is not only low-cost but also readily available. Its anticoagulant properties ensure that the oocytes are not exposed to blood clots, which can be detrimental to their quality and subsequent development. This combination of components creates a supportive environment that closely matches the natural conditions, contributing to the effective performance observed with the in-house media.</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similar performance of the in-house media can be attributed to the synergistic effects of its components. The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and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Embryo Flushing media create a stable and supportive environment for oocyte maintenance and development </w:t>
      </w:r>
      <w:r>
        <w:rPr>
          <w:rFonts w:ascii="Times New Roman Regular" w:hAnsi="Times New Roman Regular" w:cs="Times New Roman Regular"/>
          <w:sz w:val="22"/>
          <w:szCs w:val="22"/>
          <w:vertAlign w:val="superscript"/>
        </w:rPr>
        <w:t>16</w:t>
      </w:r>
      <w:r>
        <w:rPr>
          <w:rFonts w:ascii="Times New Roman Regular" w:hAnsi="Times New Roman Regular" w:cs="Times New Roman Regular"/>
          <w:sz w:val="22"/>
          <w:szCs w:val="22"/>
        </w:rPr>
        <w:t>. The presence of sodium heparin ensures that the oocytes are not exposed to blood clots, which can impair their quality and developmental potential. This optimal combination of buffering agents, electrolytes, and anticoagulants appears to provide an environment conducive to oocyte health and embryo development.</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success of the in-house media in this study opens up several avenues for future research. Further studies could focus on fine-tuning the media composition to enhance specific developmental stages or to adapt it for use with different bovine breeds. Additionally, long-term studies on the reproductive outcomes and health of offspring produced using this media would provide valuable insights into its overall efficacy and safety.</w:t>
      </w:r>
    </w:p>
    <w:p w:rsidR="00E0739D" w:rsidRDefault="001852C1">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From a practical standpoint, the adoption of in-house media could lead to significant cost savings for farmers and breeding facilities. This, in turn, could increase the adoption rate of </w:t>
      </w:r>
      <w:r>
        <w:rPr>
          <w:rFonts w:ascii="Times New Roman Regular" w:hAnsi="Times New Roman Regular" w:cs="Times New Roman Regular"/>
          <w:sz w:val="22"/>
          <w:szCs w:val="22"/>
        </w:rPr>
        <w:lastRenderedPageBreak/>
        <w:t xml:space="preserve">ART, leading to improved herd genetics and productivity. The ability to produce high-quality embryos in </w:t>
      </w:r>
      <w:proofErr w:type="spellStart"/>
      <w:proofErr w:type="gramStart"/>
      <w:r>
        <w:rPr>
          <w:rFonts w:ascii="Times New Roman Regular" w:hAnsi="Times New Roman Regular" w:cs="Times New Roman Regular"/>
          <w:sz w:val="22"/>
          <w:szCs w:val="22"/>
        </w:rPr>
        <w:t>a</w:t>
      </w:r>
      <w:proofErr w:type="spellEnd"/>
      <w:proofErr w:type="gramEnd"/>
      <w:r>
        <w:rPr>
          <w:rFonts w:ascii="Times New Roman Regular" w:hAnsi="Times New Roman Regular" w:cs="Times New Roman Regular"/>
          <w:sz w:val="22"/>
          <w:szCs w:val="22"/>
        </w:rPr>
        <w:t xml:space="preserve"> economical sustainable manner is a critical step towards sustainable and profitable livestock farming </w:t>
      </w:r>
      <w:r>
        <w:rPr>
          <w:rFonts w:ascii="Times New Roman Regular" w:hAnsi="Times New Roman Regular" w:cs="Times New Roman Regular"/>
          <w:sz w:val="22"/>
          <w:szCs w:val="22"/>
          <w:vertAlign w:val="superscript"/>
        </w:rPr>
        <w:t xml:space="preserve">17, 18. </w:t>
      </w:r>
    </w:p>
    <w:p w:rsidR="00E0739D" w:rsidRDefault="001852C1">
      <w:pPr>
        <w:spacing w:line="480" w:lineRule="auto"/>
        <w:jc w:val="both"/>
        <w:rPr>
          <w:rFonts w:ascii="Times New Roman Bold" w:hAnsi="Times New Roman Bold" w:cs="Times New Roman Bold"/>
          <w:b/>
          <w:bCs/>
          <w:sz w:val="22"/>
          <w:szCs w:val="22"/>
        </w:rPr>
      </w:pPr>
      <w:r>
        <w:rPr>
          <w:rFonts w:ascii="Times New Roman Bold" w:hAnsi="Times New Roman Bold" w:cs="Times New Roman Bold"/>
          <w:b/>
          <w:bCs/>
          <w:sz w:val="22"/>
          <w:szCs w:val="22"/>
        </w:rPr>
        <w:t>CONCLUSION</w:t>
      </w:r>
    </w:p>
    <w:p w:rsidR="00E0739D" w:rsidRDefault="001852C1">
      <w:pPr>
        <w:spacing w:line="480" w:lineRule="auto"/>
        <w:jc w:val="both"/>
        <w:rPr>
          <w:rFonts w:ascii="Times New Roman Regular" w:eastAsia="SimSun" w:hAnsi="Times New Roman Regular" w:cs="Times New Roman Regular"/>
          <w:sz w:val="24"/>
          <w:szCs w:val="24"/>
          <w:lang w:bidi="ar"/>
        </w:rPr>
      </w:pPr>
      <w:r>
        <w:rPr>
          <w:rFonts w:ascii="Times New Roman Regular" w:eastAsia="SimSun" w:hAnsi="Times New Roman Regular" w:cs="Times New Roman Regular"/>
          <w:sz w:val="22"/>
          <w:szCs w:val="22"/>
          <w:lang w:bidi="ar"/>
        </w:rPr>
        <w:t xml:space="preserve">This study demonstrates that the in-house developed OPU media is an efficient alternative to commercially available media for bovine IVEP. It supports comparable rates of oocyte retrieval, cleavage, and blastocyst formation while potentially reducing the overall cost of the OPU-IVEP-ET cycle. These findings highlight the viability of the in-house media for use in assisted reproductive technologies in livestock breeding. Our lab is focusing on further fine-tuning this media to optimize its performance and explore its broader applications to enhance reproductive efficiency and genetic improvement in cattle. </w:t>
      </w:r>
      <w:r>
        <w:rPr>
          <w:rFonts w:ascii="Times New Roman Regular" w:eastAsia="SimSun" w:hAnsi="Times New Roman Regular" w:cs="Times New Roman Regular"/>
          <w:sz w:val="24"/>
          <w:szCs w:val="24"/>
          <w:lang w:bidi="ar"/>
        </w:rPr>
        <w:t xml:space="preserve">Future research should focus on field validation across different herds and breeds and on long-term reproductive outcomes to further </w:t>
      </w:r>
      <w:proofErr w:type="spellStart"/>
      <w:r>
        <w:rPr>
          <w:rFonts w:ascii="Times New Roman Regular" w:eastAsia="SimSun" w:hAnsi="Times New Roman Regular" w:cs="Times New Roman Regular"/>
          <w:sz w:val="24"/>
          <w:szCs w:val="24"/>
          <w:lang w:bidi="ar"/>
        </w:rPr>
        <w:t>optimise</w:t>
      </w:r>
      <w:proofErr w:type="spellEnd"/>
      <w:r>
        <w:rPr>
          <w:rFonts w:ascii="Times New Roman Regular" w:eastAsia="SimSun" w:hAnsi="Times New Roman Regular" w:cs="Times New Roman Regular"/>
          <w:sz w:val="24"/>
          <w:szCs w:val="24"/>
          <w:lang w:bidi="ar"/>
        </w:rPr>
        <w:t xml:space="preserve"> and </w:t>
      </w:r>
      <w:proofErr w:type="spellStart"/>
      <w:r>
        <w:rPr>
          <w:rFonts w:ascii="Times New Roman Regular" w:eastAsia="SimSun" w:hAnsi="Times New Roman Regular" w:cs="Times New Roman Regular"/>
          <w:sz w:val="24"/>
          <w:szCs w:val="24"/>
          <w:lang w:bidi="ar"/>
        </w:rPr>
        <w:t>generalise</w:t>
      </w:r>
      <w:proofErr w:type="spellEnd"/>
      <w:r>
        <w:rPr>
          <w:rFonts w:ascii="Times New Roman Regular" w:eastAsia="SimSun" w:hAnsi="Times New Roman Regular" w:cs="Times New Roman Regular"/>
          <w:sz w:val="24"/>
          <w:szCs w:val="24"/>
          <w:lang w:bidi="ar"/>
        </w:rPr>
        <w:t xml:space="preserve"> this in-house OPU medium.</w:t>
      </w:r>
    </w:p>
    <w:p w:rsidR="00E0739D" w:rsidRDefault="00E0739D">
      <w:pPr>
        <w:spacing w:line="480" w:lineRule="auto"/>
        <w:jc w:val="both"/>
        <w:rPr>
          <w:rFonts w:ascii="Times New Roman Regular" w:eastAsia="SimSun" w:hAnsi="Times New Roman Regular" w:cs="Times New Roman Regular"/>
          <w:sz w:val="24"/>
          <w:szCs w:val="24"/>
          <w:lang w:bidi="ar"/>
        </w:rPr>
      </w:pPr>
    </w:p>
    <w:p w:rsidR="00E0739D" w:rsidRDefault="001852C1">
      <w:pPr>
        <w:spacing w:line="480" w:lineRule="auto"/>
        <w:jc w:val="both"/>
        <w:rPr>
          <w:highlight w:val="yellow"/>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0739D" w:rsidRDefault="00E0739D">
      <w:pPr>
        <w:spacing w:line="480" w:lineRule="auto"/>
        <w:jc w:val="both"/>
        <w:rPr>
          <w:rFonts w:ascii="Times New Roman Regular" w:eastAsia="SimSun" w:hAnsi="Times New Roman Regular" w:cs="Times New Roman Regular"/>
          <w:sz w:val="22"/>
          <w:szCs w:val="22"/>
          <w:lang w:bidi="ar"/>
        </w:rPr>
      </w:pPr>
    </w:p>
    <w:p w:rsidR="00E0739D" w:rsidRDefault="00E0739D">
      <w:pPr>
        <w:rPr>
          <w:rFonts w:ascii="Times New Roman Regular" w:eastAsia="SimSun" w:hAnsi="Times New Roman Regular" w:cs="Times New Roman Regular"/>
          <w:b/>
          <w:bCs/>
          <w:sz w:val="22"/>
          <w:szCs w:val="22"/>
        </w:rPr>
      </w:pPr>
    </w:p>
    <w:p w:rsidR="00E0739D" w:rsidRDefault="001852C1">
      <w:pPr>
        <w:rPr>
          <w:rFonts w:ascii="Times New Roman Regular" w:eastAsia="SimSun" w:hAnsi="Times New Roman Regular" w:cs="Times New Roman Regular"/>
          <w:b/>
          <w:bCs/>
          <w:sz w:val="22"/>
          <w:szCs w:val="22"/>
        </w:rPr>
      </w:pPr>
      <w:r>
        <w:rPr>
          <w:rFonts w:ascii="Times New Roman Regular" w:eastAsia="SimSun" w:hAnsi="Times New Roman Regular" w:cs="Times New Roman Regular"/>
          <w:b/>
          <w:bCs/>
          <w:sz w:val="22"/>
          <w:szCs w:val="22"/>
        </w:rPr>
        <w:br w:type="page"/>
      </w:r>
    </w:p>
    <w:p w:rsidR="00E0739D" w:rsidRDefault="001852C1">
      <w:pPr>
        <w:spacing w:line="480" w:lineRule="auto"/>
        <w:jc w:val="both"/>
        <w:rPr>
          <w:rFonts w:ascii="Times New Roman Regular" w:eastAsia="SimSun" w:hAnsi="Times New Roman Regular" w:cs="Times New Roman Regular"/>
          <w:sz w:val="22"/>
          <w:szCs w:val="22"/>
        </w:rPr>
      </w:pPr>
      <w:r>
        <w:rPr>
          <w:rFonts w:ascii="Times New Roman Regular" w:eastAsia="SimSun" w:hAnsi="Times New Roman Regular" w:cs="Times New Roman Regular"/>
          <w:b/>
          <w:bCs/>
          <w:sz w:val="22"/>
          <w:szCs w:val="22"/>
        </w:rPr>
        <w:lastRenderedPageBreak/>
        <w:t>REFERENCES:</w:t>
      </w: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Food and Agriculture Organization of the United Nations. (2020). Livestock and animal genetics. FAO.</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Galli, C., </w:t>
      </w:r>
      <w:proofErr w:type="spellStart"/>
      <w:r>
        <w:rPr>
          <w:rFonts w:ascii="Times New Roman Regular" w:eastAsia="SimSun" w:hAnsi="Times New Roman Regular"/>
          <w:sz w:val="22"/>
          <w:szCs w:val="22"/>
        </w:rPr>
        <w:t>Duchi</w:t>
      </w:r>
      <w:proofErr w:type="spellEnd"/>
      <w:r>
        <w:rPr>
          <w:rFonts w:ascii="Times New Roman Regular" w:eastAsia="SimSun" w:hAnsi="Times New Roman Regular"/>
          <w:sz w:val="22"/>
          <w:szCs w:val="22"/>
        </w:rPr>
        <w:t xml:space="preserve">, R., </w:t>
      </w:r>
      <w:proofErr w:type="spellStart"/>
      <w:r>
        <w:rPr>
          <w:rFonts w:ascii="Times New Roman Regular" w:eastAsia="SimSun" w:hAnsi="Times New Roman Regular"/>
          <w:sz w:val="22"/>
          <w:szCs w:val="22"/>
        </w:rPr>
        <w:t>Crotti</w:t>
      </w:r>
      <w:proofErr w:type="spellEnd"/>
      <w:r>
        <w:rPr>
          <w:rFonts w:ascii="Times New Roman Regular" w:eastAsia="SimSun" w:hAnsi="Times New Roman Regular"/>
          <w:sz w:val="22"/>
          <w:szCs w:val="22"/>
        </w:rPr>
        <w:t xml:space="preserve">, G., </w:t>
      </w:r>
      <w:proofErr w:type="spellStart"/>
      <w:r>
        <w:rPr>
          <w:rFonts w:ascii="Times New Roman Regular" w:eastAsia="SimSun" w:hAnsi="Times New Roman Regular"/>
          <w:sz w:val="22"/>
          <w:szCs w:val="22"/>
        </w:rPr>
        <w:t>Turini</w:t>
      </w:r>
      <w:proofErr w:type="spellEnd"/>
      <w:r>
        <w:rPr>
          <w:rFonts w:ascii="Times New Roman Regular" w:eastAsia="SimSun" w:hAnsi="Times New Roman Regular"/>
          <w:sz w:val="22"/>
          <w:szCs w:val="22"/>
        </w:rPr>
        <w:t xml:space="preserve">, P., </w:t>
      </w:r>
      <w:proofErr w:type="spellStart"/>
      <w:r>
        <w:rPr>
          <w:rFonts w:ascii="Times New Roman Regular" w:eastAsia="SimSun" w:hAnsi="Times New Roman Regular"/>
          <w:sz w:val="22"/>
          <w:szCs w:val="22"/>
        </w:rPr>
        <w:t>Ponderato</w:t>
      </w:r>
      <w:proofErr w:type="spellEnd"/>
      <w:r>
        <w:rPr>
          <w:rFonts w:ascii="Times New Roman Regular" w:eastAsia="SimSun" w:hAnsi="Times New Roman Regular"/>
          <w:sz w:val="22"/>
          <w:szCs w:val="22"/>
        </w:rPr>
        <w:t>, N., &amp; Colleoni, S. (2003). Bovine embryo technologies. Reproduction in Domestic Animals, 38, 173–177.</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Bo, G. A., </w:t>
      </w:r>
      <w:proofErr w:type="spellStart"/>
      <w:r>
        <w:rPr>
          <w:rFonts w:ascii="Times New Roman Regular" w:eastAsia="SimSun" w:hAnsi="Times New Roman Regular"/>
          <w:sz w:val="22"/>
          <w:szCs w:val="22"/>
        </w:rPr>
        <w:t>Mapletoft</w:t>
      </w:r>
      <w:proofErr w:type="spellEnd"/>
      <w:r>
        <w:rPr>
          <w:rFonts w:ascii="Times New Roman Regular" w:eastAsia="SimSun" w:hAnsi="Times New Roman Regular"/>
          <w:sz w:val="22"/>
          <w:szCs w:val="22"/>
        </w:rPr>
        <w:t xml:space="preserve">, R. J., Pierson, R. A., &amp; </w:t>
      </w:r>
      <w:proofErr w:type="spellStart"/>
      <w:r>
        <w:rPr>
          <w:rFonts w:ascii="Times New Roman Regular" w:eastAsia="SimSun" w:hAnsi="Times New Roman Regular"/>
          <w:sz w:val="22"/>
          <w:szCs w:val="22"/>
        </w:rPr>
        <w:t>Thundathil</w:t>
      </w:r>
      <w:proofErr w:type="spellEnd"/>
      <w:r>
        <w:rPr>
          <w:rFonts w:ascii="Times New Roman Regular" w:eastAsia="SimSun" w:hAnsi="Times New Roman Regular"/>
          <w:sz w:val="22"/>
          <w:szCs w:val="22"/>
        </w:rPr>
        <w:t>, J. C. (1995). Ovarian follicular wave emergence in cattle: Physiological and practical implications. Theriogenology, 43, 23–35.</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Pr="007C081E" w:rsidRDefault="00F4485B" w:rsidP="00F4485B">
      <w:pPr>
        <w:numPr>
          <w:ilvl w:val="0"/>
          <w:numId w:val="11"/>
        </w:numPr>
        <w:spacing w:line="360" w:lineRule="auto"/>
        <w:jc w:val="both"/>
        <w:rPr>
          <w:rFonts w:ascii="Times New Roman Regular" w:eastAsia="SimSun" w:hAnsi="Times New Roman Regular"/>
          <w:sz w:val="22"/>
          <w:szCs w:val="22"/>
          <w:highlight w:val="red"/>
        </w:rPr>
      </w:pPr>
      <w:proofErr w:type="spellStart"/>
      <w:r w:rsidRPr="00F4485B">
        <w:rPr>
          <w:rFonts w:ascii="Times New Roman Regular" w:eastAsia="SimSun" w:hAnsi="Times New Roman Regular"/>
          <w:sz w:val="22"/>
          <w:szCs w:val="22"/>
        </w:rPr>
        <w:t>Lonergan</w:t>
      </w:r>
      <w:proofErr w:type="spellEnd"/>
      <w:r w:rsidRPr="00F4485B">
        <w:rPr>
          <w:rFonts w:ascii="Times New Roman Regular" w:eastAsia="SimSun" w:hAnsi="Times New Roman Regular"/>
          <w:sz w:val="22"/>
          <w:szCs w:val="22"/>
        </w:rPr>
        <w:t xml:space="preserve">, P., </w:t>
      </w:r>
      <w:proofErr w:type="spellStart"/>
      <w:r w:rsidRPr="00F4485B">
        <w:rPr>
          <w:rFonts w:ascii="Times New Roman Regular" w:eastAsia="SimSun" w:hAnsi="Times New Roman Regular"/>
          <w:sz w:val="22"/>
          <w:szCs w:val="22"/>
        </w:rPr>
        <w:t>O'Kearney</w:t>
      </w:r>
      <w:proofErr w:type="spellEnd"/>
      <w:r w:rsidRPr="00F4485B">
        <w:rPr>
          <w:rFonts w:ascii="Times New Roman Regular" w:eastAsia="SimSun" w:hAnsi="Times New Roman Regular"/>
          <w:sz w:val="22"/>
          <w:szCs w:val="22"/>
        </w:rPr>
        <w:t xml:space="preserve">-Flynn, M., &amp; Boland, M. P. (1999). Effect of protein supplementation and presence of an antioxidant on the development of bovine zygotes in synthetic oviduct fluid medium under high or low oxygen tension. </w:t>
      </w:r>
      <w:proofErr w:type="spellStart"/>
      <w:r w:rsidRPr="00F4485B">
        <w:rPr>
          <w:rFonts w:ascii="Times New Roman Regular" w:eastAsia="SimSun" w:hAnsi="Times New Roman Regular"/>
          <w:sz w:val="22"/>
          <w:szCs w:val="22"/>
        </w:rPr>
        <w:t>Theriogenology</w:t>
      </w:r>
      <w:proofErr w:type="spellEnd"/>
      <w:r w:rsidRPr="00F4485B">
        <w:rPr>
          <w:rFonts w:ascii="Times New Roman Regular" w:eastAsia="SimSun" w:hAnsi="Times New Roman Regular"/>
          <w:sz w:val="22"/>
          <w:szCs w:val="22"/>
        </w:rPr>
        <w:t>, 51(8), 1565-1576.</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Fair, T. (2003). Follicular oocyte growth and acquisition of developmental competence. Animal Reproduction Science, 78(3–4), 203–216. https://doi.org/10.1016/S0378-4320(03)00091-5</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Bharti, A. V., </w:t>
      </w:r>
      <w:proofErr w:type="spellStart"/>
      <w:r>
        <w:rPr>
          <w:rFonts w:ascii="Times New Roman Regular" w:eastAsia="SimSun" w:hAnsi="Times New Roman Regular"/>
          <w:sz w:val="22"/>
          <w:szCs w:val="22"/>
        </w:rPr>
        <w:t>Layek</w:t>
      </w:r>
      <w:proofErr w:type="spellEnd"/>
      <w:r>
        <w:rPr>
          <w:rFonts w:ascii="Times New Roman Regular" w:eastAsia="SimSun" w:hAnsi="Times New Roman Regular"/>
          <w:sz w:val="22"/>
          <w:szCs w:val="22"/>
        </w:rPr>
        <w:t xml:space="preserve">, S. S., Raj, S., </w:t>
      </w:r>
      <w:proofErr w:type="spellStart"/>
      <w:r>
        <w:rPr>
          <w:rFonts w:ascii="Times New Roman Regular" w:eastAsia="SimSun" w:hAnsi="Times New Roman Regular"/>
          <w:sz w:val="22"/>
          <w:szCs w:val="22"/>
        </w:rPr>
        <w:t>Gorani</w:t>
      </w:r>
      <w:proofErr w:type="spellEnd"/>
      <w:r>
        <w:rPr>
          <w:rFonts w:ascii="Times New Roman Regular" w:eastAsia="SimSun" w:hAnsi="Times New Roman Regular"/>
          <w:sz w:val="22"/>
          <w:szCs w:val="22"/>
        </w:rPr>
        <w:t xml:space="preserve">, S., &amp; </w:t>
      </w:r>
      <w:proofErr w:type="spellStart"/>
      <w:r>
        <w:rPr>
          <w:rFonts w:ascii="Times New Roman Regular" w:eastAsia="SimSun" w:hAnsi="Times New Roman Regular"/>
          <w:sz w:val="22"/>
          <w:szCs w:val="22"/>
        </w:rPr>
        <w:t>Doultani</w:t>
      </w:r>
      <w:proofErr w:type="spellEnd"/>
      <w:r>
        <w:rPr>
          <w:rFonts w:ascii="Times New Roman Regular" w:eastAsia="SimSun" w:hAnsi="Times New Roman Regular"/>
          <w:sz w:val="22"/>
          <w:szCs w:val="22"/>
        </w:rPr>
        <w:t>, S. (2022). Vitrification of bovine in vitro-produced embryos: Can it replace slow freezing in bovines? Reproduction, Fertility and Development, 35(2), 146. https://doi.org/10.1071/RDv35n2Ab41</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proofErr w:type="spellStart"/>
      <w:r>
        <w:rPr>
          <w:rFonts w:ascii="Times New Roman Regular" w:eastAsia="SimSun" w:hAnsi="Times New Roman Regular"/>
          <w:sz w:val="22"/>
          <w:szCs w:val="22"/>
        </w:rPr>
        <w:t>Doultani</w:t>
      </w:r>
      <w:proofErr w:type="spellEnd"/>
      <w:r>
        <w:rPr>
          <w:rFonts w:ascii="Times New Roman Regular" w:eastAsia="SimSun" w:hAnsi="Times New Roman Regular"/>
          <w:sz w:val="22"/>
          <w:szCs w:val="22"/>
        </w:rPr>
        <w:t xml:space="preserve">, S., </w:t>
      </w:r>
      <w:proofErr w:type="spellStart"/>
      <w:r>
        <w:rPr>
          <w:rFonts w:ascii="Times New Roman Regular" w:eastAsia="SimSun" w:hAnsi="Times New Roman Regular"/>
          <w:sz w:val="22"/>
          <w:szCs w:val="22"/>
        </w:rPr>
        <w:t>Layek</w:t>
      </w:r>
      <w:proofErr w:type="spellEnd"/>
      <w:r>
        <w:rPr>
          <w:rFonts w:ascii="Times New Roman Regular" w:eastAsia="SimSun" w:hAnsi="Times New Roman Regular"/>
          <w:sz w:val="22"/>
          <w:szCs w:val="22"/>
        </w:rPr>
        <w:t xml:space="preserve">, S. S., </w:t>
      </w:r>
      <w:proofErr w:type="spellStart"/>
      <w:r>
        <w:rPr>
          <w:rFonts w:ascii="Times New Roman Regular" w:eastAsia="SimSun" w:hAnsi="Times New Roman Regular"/>
          <w:sz w:val="22"/>
          <w:szCs w:val="22"/>
        </w:rPr>
        <w:t>Karuppanasamy</w:t>
      </w:r>
      <w:proofErr w:type="spellEnd"/>
      <w:r>
        <w:rPr>
          <w:rFonts w:ascii="Times New Roman Regular" w:eastAsia="SimSun" w:hAnsi="Times New Roman Regular"/>
          <w:sz w:val="22"/>
          <w:szCs w:val="22"/>
        </w:rPr>
        <w:t xml:space="preserve">, K., Raj, S., </w:t>
      </w:r>
      <w:proofErr w:type="spellStart"/>
      <w:r>
        <w:rPr>
          <w:rFonts w:ascii="Times New Roman Regular" w:eastAsia="SimSun" w:hAnsi="Times New Roman Regular"/>
          <w:sz w:val="22"/>
          <w:szCs w:val="22"/>
        </w:rPr>
        <w:t>Gorani</w:t>
      </w:r>
      <w:proofErr w:type="spellEnd"/>
      <w:r>
        <w:rPr>
          <w:rFonts w:ascii="Times New Roman Regular" w:eastAsia="SimSun" w:hAnsi="Times New Roman Regular"/>
          <w:sz w:val="22"/>
          <w:szCs w:val="22"/>
        </w:rPr>
        <w:t>, S., &amp; Patil, S. P. (2022). Replacing ovum pickup media for in vitro embryo production in cattle: Quest to reduce the cost of production of embryos. Reproduction, Fertility and Development, 35(2), 186. https://doi.org/10.1071/RDv35n2Ab118</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proofErr w:type="spellStart"/>
      <w:r>
        <w:rPr>
          <w:rFonts w:ascii="Times New Roman Regular" w:eastAsia="SimSun" w:hAnsi="Times New Roman Regular"/>
          <w:sz w:val="22"/>
          <w:szCs w:val="22"/>
        </w:rPr>
        <w:t>Layek</w:t>
      </w:r>
      <w:proofErr w:type="spellEnd"/>
      <w:r>
        <w:rPr>
          <w:rFonts w:ascii="Times New Roman Regular" w:eastAsia="SimSun" w:hAnsi="Times New Roman Regular"/>
          <w:sz w:val="22"/>
          <w:szCs w:val="22"/>
        </w:rPr>
        <w:t xml:space="preserve">, S. S., </w:t>
      </w:r>
      <w:proofErr w:type="spellStart"/>
      <w:r>
        <w:rPr>
          <w:rFonts w:ascii="Times New Roman Regular" w:eastAsia="SimSun" w:hAnsi="Times New Roman Regular"/>
          <w:sz w:val="22"/>
          <w:szCs w:val="22"/>
        </w:rPr>
        <w:t>Gorani</w:t>
      </w:r>
      <w:proofErr w:type="spellEnd"/>
      <w:r>
        <w:rPr>
          <w:rFonts w:ascii="Times New Roman Regular" w:eastAsia="SimSun" w:hAnsi="Times New Roman Regular"/>
          <w:sz w:val="22"/>
          <w:szCs w:val="22"/>
        </w:rPr>
        <w:t xml:space="preserve">, S., </w:t>
      </w:r>
      <w:proofErr w:type="spellStart"/>
      <w:r>
        <w:rPr>
          <w:rFonts w:ascii="Times New Roman Regular" w:eastAsia="SimSun" w:hAnsi="Times New Roman Regular"/>
          <w:sz w:val="22"/>
          <w:szCs w:val="22"/>
        </w:rPr>
        <w:t>Karuppanasamy</w:t>
      </w:r>
      <w:proofErr w:type="spellEnd"/>
      <w:r>
        <w:rPr>
          <w:rFonts w:ascii="Times New Roman Regular" w:eastAsia="SimSun" w:hAnsi="Times New Roman Regular"/>
          <w:sz w:val="22"/>
          <w:szCs w:val="22"/>
        </w:rPr>
        <w:t xml:space="preserve">, K., Patil, S. P., Raj, S., </w:t>
      </w:r>
      <w:proofErr w:type="spellStart"/>
      <w:r>
        <w:rPr>
          <w:rFonts w:ascii="Times New Roman Regular" w:eastAsia="SimSun" w:hAnsi="Times New Roman Regular"/>
          <w:sz w:val="22"/>
          <w:szCs w:val="22"/>
        </w:rPr>
        <w:t>Raval</w:t>
      </w:r>
      <w:proofErr w:type="spellEnd"/>
      <w:r>
        <w:rPr>
          <w:rFonts w:ascii="Times New Roman Regular" w:eastAsia="SimSun" w:hAnsi="Times New Roman Regular"/>
          <w:sz w:val="22"/>
          <w:szCs w:val="22"/>
        </w:rPr>
        <w:t xml:space="preserve">, K. B., </w:t>
      </w:r>
      <w:proofErr w:type="spellStart"/>
      <w:r>
        <w:rPr>
          <w:rFonts w:ascii="Times New Roman Regular" w:eastAsia="SimSun" w:hAnsi="Times New Roman Regular"/>
          <w:sz w:val="22"/>
          <w:szCs w:val="22"/>
        </w:rPr>
        <w:t>Doultani</w:t>
      </w:r>
      <w:proofErr w:type="spellEnd"/>
      <w:r>
        <w:rPr>
          <w:rFonts w:ascii="Times New Roman Regular" w:eastAsia="SimSun" w:hAnsi="Times New Roman Regular"/>
          <w:sz w:val="22"/>
          <w:szCs w:val="22"/>
        </w:rPr>
        <w:t>, S., &amp; Sharma, P. (2023). Production and transfer of bovine embryos through the hub-and-spoke model: An innovative model to promote embryo transfer technology. Reproduction, Fertility and Development, 36(2), 156. https://doi.org/10.1071/RDv36n2Ab14</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Patil, S. P., </w:t>
      </w:r>
      <w:proofErr w:type="spellStart"/>
      <w:r>
        <w:rPr>
          <w:rFonts w:ascii="Times New Roman Regular" w:eastAsia="SimSun" w:hAnsi="Times New Roman Regular"/>
          <w:sz w:val="22"/>
          <w:szCs w:val="22"/>
        </w:rPr>
        <w:t>Layek</w:t>
      </w:r>
      <w:proofErr w:type="spellEnd"/>
      <w:r>
        <w:rPr>
          <w:rFonts w:ascii="Times New Roman Regular" w:eastAsia="SimSun" w:hAnsi="Times New Roman Regular"/>
          <w:sz w:val="22"/>
          <w:szCs w:val="22"/>
        </w:rPr>
        <w:t xml:space="preserve">, S. S., </w:t>
      </w:r>
      <w:proofErr w:type="spellStart"/>
      <w:r>
        <w:rPr>
          <w:rFonts w:ascii="Times New Roman Regular" w:eastAsia="SimSun" w:hAnsi="Times New Roman Regular"/>
          <w:sz w:val="22"/>
          <w:szCs w:val="22"/>
        </w:rPr>
        <w:t>Karuppanasamy</w:t>
      </w:r>
      <w:proofErr w:type="spellEnd"/>
      <w:r>
        <w:rPr>
          <w:rFonts w:ascii="Times New Roman Regular" w:eastAsia="SimSun" w:hAnsi="Times New Roman Regular"/>
          <w:sz w:val="22"/>
          <w:szCs w:val="22"/>
        </w:rPr>
        <w:t xml:space="preserve">, K. K., </w:t>
      </w:r>
      <w:proofErr w:type="spellStart"/>
      <w:r>
        <w:rPr>
          <w:rFonts w:ascii="Times New Roman Regular" w:eastAsia="SimSun" w:hAnsi="Times New Roman Regular"/>
          <w:sz w:val="22"/>
          <w:szCs w:val="22"/>
        </w:rPr>
        <w:t>Doultani</w:t>
      </w:r>
      <w:proofErr w:type="spellEnd"/>
      <w:r>
        <w:rPr>
          <w:rFonts w:ascii="Times New Roman Regular" w:eastAsia="SimSun" w:hAnsi="Times New Roman Regular"/>
          <w:sz w:val="22"/>
          <w:szCs w:val="22"/>
        </w:rPr>
        <w:t xml:space="preserve">, S., Raj, S., </w:t>
      </w:r>
      <w:proofErr w:type="spellStart"/>
      <w:r>
        <w:rPr>
          <w:rFonts w:ascii="Times New Roman Regular" w:eastAsia="SimSun" w:hAnsi="Times New Roman Regular"/>
          <w:sz w:val="22"/>
          <w:szCs w:val="22"/>
        </w:rPr>
        <w:t>Raval</w:t>
      </w:r>
      <w:proofErr w:type="spellEnd"/>
      <w:r>
        <w:rPr>
          <w:rFonts w:ascii="Times New Roman Regular" w:eastAsia="SimSun" w:hAnsi="Times New Roman Regular"/>
          <w:sz w:val="22"/>
          <w:szCs w:val="22"/>
        </w:rPr>
        <w:t xml:space="preserve">, K. B., Sharma, P., &amp; </w:t>
      </w:r>
      <w:proofErr w:type="spellStart"/>
      <w:r>
        <w:rPr>
          <w:rFonts w:ascii="Times New Roman Regular" w:eastAsia="SimSun" w:hAnsi="Times New Roman Regular"/>
          <w:sz w:val="22"/>
          <w:szCs w:val="22"/>
        </w:rPr>
        <w:t>Gorani</w:t>
      </w:r>
      <w:proofErr w:type="spellEnd"/>
      <w:r>
        <w:rPr>
          <w:rFonts w:ascii="Times New Roman Regular" w:eastAsia="SimSun" w:hAnsi="Times New Roman Regular"/>
          <w:sz w:val="22"/>
          <w:szCs w:val="22"/>
        </w:rPr>
        <w:t>, S. (2023). The use of recombinant human follicle-stimulating hormone in comparison to pituitary-derived follicle-stimulating hormone prior to ovum pickup in vitro embryo production in cattle. Reproduction, Fertility and Development, 36(2), 271. https://doi.org/10.1071/RDv36n2Ab230</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International Embryo Technology Society. (2022). Manual of the International Embryo Transfer Society (5th ed.).</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proofErr w:type="spellStart"/>
      <w:r>
        <w:rPr>
          <w:rFonts w:ascii="Times New Roman Regular" w:eastAsia="SimSun" w:hAnsi="Times New Roman Regular"/>
          <w:sz w:val="22"/>
          <w:szCs w:val="22"/>
        </w:rPr>
        <w:t>Tauer</w:t>
      </w:r>
      <w:proofErr w:type="spellEnd"/>
      <w:r>
        <w:rPr>
          <w:rFonts w:ascii="Times New Roman Regular" w:eastAsia="SimSun" w:hAnsi="Times New Roman Regular"/>
          <w:sz w:val="22"/>
          <w:szCs w:val="22"/>
        </w:rPr>
        <w:t>, L. W., &amp; Mishra, A. K. (2006). Dairy farm cost efficiency. Journal of Dairy Science, 89(12), 4937–4943. https://doi.org/10.3168/jds.S0022-0302(06)72544-9</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Lamb, G. C., </w:t>
      </w:r>
      <w:proofErr w:type="spellStart"/>
      <w:r>
        <w:rPr>
          <w:rFonts w:ascii="Times New Roman Regular" w:eastAsia="SimSun" w:hAnsi="Times New Roman Regular"/>
          <w:sz w:val="22"/>
          <w:szCs w:val="22"/>
        </w:rPr>
        <w:t>Mercadante</w:t>
      </w:r>
      <w:proofErr w:type="spellEnd"/>
      <w:r>
        <w:rPr>
          <w:rFonts w:ascii="Times New Roman Regular" w:eastAsia="SimSun" w:hAnsi="Times New Roman Regular"/>
          <w:sz w:val="22"/>
          <w:szCs w:val="22"/>
        </w:rPr>
        <w:t>, V. R. G., Henry, D. D., Dahlen, C. R., Larson, J. E., &amp; DiLorenzo, N. (2016). Invited review: Advantages of current and future reproductive technologies for beef cattle production. The Professional Animal Scientist, 32(2), 162–174. https://doi.org/10.15232/pas.2015-01455</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Nelson, L. D., &amp; Nelson, C. F. (2001). Handling and culture of bovine embryos: Survey of media used by 26 embryo transfer companies in the USA. Theriogenology, 56, 529–536.</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Common media, buffers and stock solutions. (1999). Current Protocols in Immunology, 34, A.2A.1–A.2A.8.</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IMV Technologies. (2019). </w:t>
      </w:r>
      <w:proofErr w:type="spellStart"/>
      <w:r>
        <w:rPr>
          <w:rFonts w:ascii="Times New Roman Regular" w:eastAsia="SimSun" w:hAnsi="Times New Roman Regular"/>
          <w:sz w:val="22"/>
          <w:szCs w:val="22"/>
        </w:rPr>
        <w:t>EmXcell</w:t>
      </w:r>
      <w:proofErr w:type="spellEnd"/>
      <w:r>
        <w:rPr>
          <w:rFonts w:ascii="Times New Roman Regular" w:eastAsia="SimSun" w:hAnsi="Times New Roman Regular"/>
          <w:sz w:val="22"/>
          <w:szCs w:val="22"/>
        </w:rPr>
        <w:t xml:space="preserve"> embryo flushing media [Product information]. IMV Technologies. https://www.imv-technologies.com/product/em-xcell</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proofErr w:type="spellStart"/>
      <w:r>
        <w:rPr>
          <w:rFonts w:ascii="Times New Roman Regular" w:eastAsia="SimSun" w:hAnsi="Times New Roman Regular"/>
          <w:sz w:val="22"/>
          <w:szCs w:val="22"/>
        </w:rPr>
        <w:t>Bedasa</w:t>
      </w:r>
      <w:proofErr w:type="spellEnd"/>
      <w:r>
        <w:rPr>
          <w:rFonts w:ascii="Times New Roman Regular" w:eastAsia="SimSun" w:hAnsi="Times New Roman Regular"/>
          <w:sz w:val="22"/>
          <w:szCs w:val="22"/>
        </w:rPr>
        <w:t>, S., Kebede, A., &amp; Abraha, B. (2017). Review on reproductive biotechnology and its role in dairy cattle production and health. Report and Opinion, 9(3), 60–70. https://doi.org/10.7537/marsroj090317.10</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Ribeiro, E. S., </w:t>
      </w:r>
      <w:proofErr w:type="spellStart"/>
      <w:r>
        <w:rPr>
          <w:rFonts w:ascii="Times New Roman Regular" w:eastAsia="SimSun" w:hAnsi="Times New Roman Regular"/>
          <w:sz w:val="22"/>
          <w:szCs w:val="22"/>
        </w:rPr>
        <w:t>Galvão</w:t>
      </w:r>
      <w:proofErr w:type="spellEnd"/>
      <w:r>
        <w:rPr>
          <w:rFonts w:ascii="Times New Roman Regular" w:eastAsia="SimSun" w:hAnsi="Times New Roman Regular"/>
          <w:sz w:val="22"/>
          <w:szCs w:val="22"/>
        </w:rPr>
        <w:t>, K. N., Thatcher, W. W., &amp; Santos, J. E. P. (2012). Economic aspects of applying reproductive technologies to dairy herds. Animal Reproduction, 9(3), 370–387.</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1852C1">
      <w:pPr>
        <w:numPr>
          <w:ilvl w:val="0"/>
          <w:numId w:val="11"/>
        </w:numPr>
        <w:spacing w:line="360" w:lineRule="auto"/>
        <w:jc w:val="both"/>
        <w:rPr>
          <w:rFonts w:ascii="Times New Roman Regular" w:eastAsia="SimSun" w:hAnsi="Times New Roman Regular"/>
          <w:sz w:val="22"/>
          <w:szCs w:val="22"/>
        </w:rPr>
      </w:pPr>
      <w:r>
        <w:rPr>
          <w:rFonts w:ascii="Times New Roman Regular" w:eastAsia="SimSun" w:hAnsi="Times New Roman Regular"/>
          <w:sz w:val="22"/>
          <w:szCs w:val="22"/>
        </w:rPr>
        <w:t xml:space="preserve">Lamb, G. C., </w:t>
      </w:r>
      <w:proofErr w:type="spellStart"/>
      <w:r>
        <w:rPr>
          <w:rFonts w:ascii="Times New Roman Regular" w:eastAsia="SimSun" w:hAnsi="Times New Roman Regular"/>
          <w:sz w:val="22"/>
          <w:szCs w:val="22"/>
        </w:rPr>
        <w:t>Mercadante</w:t>
      </w:r>
      <w:proofErr w:type="spellEnd"/>
      <w:r>
        <w:rPr>
          <w:rFonts w:ascii="Times New Roman Regular" w:eastAsia="SimSun" w:hAnsi="Times New Roman Regular"/>
          <w:sz w:val="22"/>
          <w:szCs w:val="22"/>
        </w:rPr>
        <w:t>, V. R. G., Henry, D. D., Dahlen, C. R., Larson, J. E., &amp; DiLorenzo, N. (2016). Advantages of current and future reproductive technologies for beef cattle production. Journal of Animal Science, 94, 2456–2470.</w:t>
      </w: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sz w:val="22"/>
          <w:szCs w:val="22"/>
        </w:rPr>
      </w:pPr>
    </w:p>
    <w:p w:rsidR="00E0739D" w:rsidRDefault="00E0739D">
      <w:pPr>
        <w:spacing w:line="360" w:lineRule="auto"/>
        <w:jc w:val="both"/>
        <w:rPr>
          <w:rFonts w:ascii="Times New Roman Regular" w:eastAsia="SimSun" w:hAnsi="Times New Roman Regular" w:cs="Times New Roman Regular"/>
          <w:sz w:val="22"/>
          <w:szCs w:val="22"/>
        </w:rPr>
      </w:pPr>
    </w:p>
    <w:p w:rsidR="00E0739D" w:rsidRDefault="001852C1">
      <w:pPr>
        <w:spacing w:line="360" w:lineRule="auto"/>
        <w:jc w:val="both"/>
      </w:pPr>
      <w:r>
        <w:rPr>
          <w:noProof/>
          <w:lang w:eastAsia="en-US"/>
        </w:rPr>
        <w:lastRenderedPageBreak/>
        <w:drawing>
          <wp:inline distT="0" distB="0" distL="114300" distR="114300">
            <wp:extent cx="5272405" cy="3942080"/>
            <wp:effectExtent l="0" t="0" r="10795" b="203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5272405" cy="3942080"/>
                    </a:xfrm>
                    <a:prstGeom prst="rect">
                      <a:avLst/>
                    </a:prstGeom>
                    <a:noFill/>
                    <a:ln>
                      <a:noFill/>
                    </a:ln>
                  </pic:spPr>
                </pic:pic>
              </a:graphicData>
            </a:graphic>
          </wp:inline>
        </w:drawing>
      </w:r>
    </w:p>
    <w:p w:rsidR="00E0739D" w:rsidRDefault="00E0739D">
      <w:pPr>
        <w:spacing w:line="360" w:lineRule="auto"/>
        <w:jc w:val="both"/>
      </w:pPr>
    </w:p>
    <w:p w:rsidR="00E0739D" w:rsidRDefault="00E0739D">
      <w:pPr>
        <w:spacing w:line="480" w:lineRule="auto"/>
        <w:jc w:val="both"/>
        <w:rPr>
          <w:rFonts w:ascii="Times New Roman Regular" w:hAnsi="Times New Roman Regular" w:cs="Times New Roman Regular"/>
          <w:sz w:val="22"/>
          <w:szCs w:val="22"/>
        </w:rPr>
      </w:pPr>
    </w:p>
    <w:p w:rsidR="00E0739D" w:rsidRDefault="00E0739D">
      <w:pPr>
        <w:spacing w:line="480" w:lineRule="auto"/>
        <w:jc w:val="both"/>
        <w:rPr>
          <w:rFonts w:ascii="Times New Roman Regular" w:hAnsi="Times New Roman Regular" w:cs="Times New Roman Regular"/>
          <w:sz w:val="22"/>
          <w:szCs w:val="22"/>
        </w:rPr>
      </w:pPr>
    </w:p>
    <w:p w:rsidR="00E0739D" w:rsidRDefault="001852C1">
      <w:pPr>
        <w:spacing w:line="480" w:lineRule="auto"/>
        <w:jc w:val="center"/>
        <w:rPr>
          <w:rFonts w:ascii="Times New Roman Regular" w:hAnsi="Times New Roman Regular" w:cs="Times New Roman Regular"/>
          <w:sz w:val="22"/>
          <w:szCs w:val="22"/>
        </w:rPr>
      </w:pPr>
      <w:r>
        <w:rPr>
          <w:rFonts w:ascii="Times New Roman Regular" w:hAnsi="Times New Roman Regular" w:cs="Times New Roman Regular"/>
          <w:i/>
          <w:iCs/>
          <w:sz w:val="22"/>
          <w:szCs w:val="22"/>
        </w:rPr>
        <w:t>Figure 1:</w:t>
      </w:r>
      <w:r>
        <w:rPr>
          <w:rFonts w:ascii="Times New Roman Regular" w:hAnsi="Times New Roman Regular" w:cs="Times New Roman Regular"/>
          <w:sz w:val="22"/>
          <w:szCs w:val="22"/>
        </w:rPr>
        <w:t xml:space="preserve"> Comparison of In-house Media and Control Media for parameters like blastocyst per OPU, Blastocyst rate (%) and cleavage rate (%)</w:t>
      </w:r>
    </w:p>
    <w:p w:rsidR="00E0739D" w:rsidRDefault="00E0739D">
      <w:pPr>
        <w:spacing w:line="360" w:lineRule="auto"/>
        <w:jc w:val="both"/>
      </w:pPr>
      <w:bookmarkStart w:id="0" w:name="_GoBack"/>
      <w:bookmarkEnd w:id="0"/>
    </w:p>
    <w:sectPr w:rsidR="00E0739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FC" w:rsidRDefault="00E92EFC">
      <w:r>
        <w:separator/>
      </w:r>
    </w:p>
  </w:endnote>
  <w:endnote w:type="continuationSeparator" w:id="0">
    <w:p w:rsidR="00E92EFC" w:rsidRDefault="00E9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0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07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0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FC" w:rsidRDefault="00E92EFC">
      <w:r>
        <w:separator/>
      </w:r>
    </w:p>
  </w:footnote>
  <w:footnote w:type="continuationSeparator" w:id="0">
    <w:p w:rsidR="00E92EFC" w:rsidRDefault="00E9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92EF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1" o:spid="_x0000_s3074"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92EF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2" o:spid="_x0000_s3075"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9D" w:rsidRDefault="00E92EF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0" o:spid="_x0000_s3073"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FE0734"/>
    <w:multiLevelType w:val="singleLevel"/>
    <w:tmpl w:val="99FE0734"/>
    <w:lvl w:ilvl="0">
      <w:start w:val="1"/>
      <w:numFmt w:val="decimal"/>
      <w:lvlText w:val="%1."/>
      <w:lvlJc w:val="left"/>
      <w:pPr>
        <w:tabs>
          <w:tab w:val="left" w:pos="425"/>
        </w:tabs>
        <w:ind w:left="42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AdBc1NjS2MTI2MzJR2l4NTi4sz8PJACw1oAAHbsGSwAAAA="/>
  </w:docVars>
  <w:rsids>
    <w:rsidRoot w:val="00172A27"/>
    <w:rsid w:val="8EF78D2D"/>
    <w:rsid w:val="95F704E2"/>
    <w:rsid w:val="B66FF966"/>
    <w:rsid w:val="BDFEE2B4"/>
    <w:rsid w:val="BE47723B"/>
    <w:rsid w:val="D55F3233"/>
    <w:rsid w:val="D5FF7D76"/>
    <w:rsid w:val="DDB76525"/>
    <w:rsid w:val="DF9BDAD1"/>
    <w:rsid w:val="EB7E38D4"/>
    <w:rsid w:val="EFED729E"/>
    <w:rsid w:val="FBDFD519"/>
    <w:rsid w:val="FF1BC4FD"/>
    <w:rsid w:val="FF7B1AEA"/>
    <w:rsid w:val="FFC79FA7"/>
    <w:rsid w:val="FFFF406C"/>
    <w:rsid w:val="00050A31"/>
    <w:rsid w:val="0006218A"/>
    <w:rsid w:val="000716D2"/>
    <w:rsid w:val="00071AAB"/>
    <w:rsid w:val="000B76C4"/>
    <w:rsid w:val="000C5610"/>
    <w:rsid w:val="000E6552"/>
    <w:rsid w:val="000F3A4F"/>
    <w:rsid w:val="000F59AC"/>
    <w:rsid w:val="001364FE"/>
    <w:rsid w:val="001368DD"/>
    <w:rsid w:val="00147DB3"/>
    <w:rsid w:val="001518A5"/>
    <w:rsid w:val="001605DF"/>
    <w:rsid w:val="00170095"/>
    <w:rsid w:val="00170E4F"/>
    <w:rsid w:val="00172A27"/>
    <w:rsid w:val="001743F4"/>
    <w:rsid w:val="001852C1"/>
    <w:rsid w:val="00187C33"/>
    <w:rsid w:val="001936B7"/>
    <w:rsid w:val="00196AB1"/>
    <w:rsid w:val="001A32DA"/>
    <w:rsid w:val="00201333"/>
    <w:rsid w:val="00210FA7"/>
    <w:rsid w:val="00216417"/>
    <w:rsid w:val="0026631D"/>
    <w:rsid w:val="002675C0"/>
    <w:rsid w:val="002C2F53"/>
    <w:rsid w:val="0033518C"/>
    <w:rsid w:val="00341C85"/>
    <w:rsid w:val="003437C2"/>
    <w:rsid w:val="00377186"/>
    <w:rsid w:val="003A1C03"/>
    <w:rsid w:val="00414627"/>
    <w:rsid w:val="00425D63"/>
    <w:rsid w:val="00462452"/>
    <w:rsid w:val="004643D8"/>
    <w:rsid w:val="00497C24"/>
    <w:rsid w:val="004C7BA5"/>
    <w:rsid w:val="004E7628"/>
    <w:rsid w:val="004F48F2"/>
    <w:rsid w:val="0051389B"/>
    <w:rsid w:val="005149B1"/>
    <w:rsid w:val="00523EAA"/>
    <w:rsid w:val="00541D4B"/>
    <w:rsid w:val="005647F2"/>
    <w:rsid w:val="005662D1"/>
    <w:rsid w:val="00573A09"/>
    <w:rsid w:val="005A4526"/>
    <w:rsid w:val="005C1B16"/>
    <w:rsid w:val="005E53D0"/>
    <w:rsid w:val="006002EB"/>
    <w:rsid w:val="006128EF"/>
    <w:rsid w:val="006264B4"/>
    <w:rsid w:val="00642969"/>
    <w:rsid w:val="00643033"/>
    <w:rsid w:val="00644CC3"/>
    <w:rsid w:val="00661468"/>
    <w:rsid w:val="006649F0"/>
    <w:rsid w:val="0067245D"/>
    <w:rsid w:val="006762D9"/>
    <w:rsid w:val="0068470E"/>
    <w:rsid w:val="00695DCD"/>
    <w:rsid w:val="006A05CC"/>
    <w:rsid w:val="006A35A7"/>
    <w:rsid w:val="006F0A99"/>
    <w:rsid w:val="006F4150"/>
    <w:rsid w:val="007152D7"/>
    <w:rsid w:val="00746C14"/>
    <w:rsid w:val="00772885"/>
    <w:rsid w:val="007C081E"/>
    <w:rsid w:val="007C2C59"/>
    <w:rsid w:val="00801F23"/>
    <w:rsid w:val="00805FCD"/>
    <w:rsid w:val="00837632"/>
    <w:rsid w:val="0085640F"/>
    <w:rsid w:val="008567AA"/>
    <w:rsid w:val="00892712"/>
    <w:rsid w:val="008A680A"/>
    <w:rsid w:val="008B0BB0"/>
    <w:rsid w:val="008E6C4B"/>
    <w:rsid w:val="008F18C0"/>
    <w:rsid w:val="008F5BD3"/>
    <w:rsid w:val="00901867"/>
    <w:rsid w:val="00907648"/>
    <w:rsid w:val="00930FDE"/>
    <w:rsid w:val="00965D87"/>
    <w:rsid w:val="00976080"/>
    <w:rsid w:val="009835BC"/>
    <w:rsid w:val="00984C93"/>
    <w:rsid w:val="00987CE1"/>
    <w:rsid w:val="0099405C"/>
    <w:rsid w:val="009C600F"/>
    <w:rsid w:val="009D3723"/>
    <w:rsid w:val="009E04F2"/>
    <w:rsid w:val="00A00271"/>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A4EE3"/>
    <w:rsid w:val="00BB7C2B"/>
    <w:rsid w:val="00BC1664"/>
    <w:rsid w:val="00BC2546"/>
    <w:rsid w:val="00BC5110"/>
    <w:rsid w:val="00BF6582"/>
    <w:rsid w:val="00C05085"/>
    <w:rsid w:val="00C1593D"/>
    <w:rsid w:val="00C56C7E"/>
    <w:rsid w:val="00C776A4"/>
    <w:rsid w:val="00C9212E"/>
    <w:rsid w:val="00CA2C6C"/>
    <w:rsid w:val="00CC0600"/>
    <w:rsid w:val="00CC78AC"/>
    <w:rsid w:val="00CF3F08"/>
    <w:rsid w:val="00CF7953"/>
    <w:rsid w:val="00D0212E"/>
    <w:rsid w:val="00D07232"/>
    <w:rsid w:val="00D10245"/>
    <w:rsid w:val="00D21BDD"/>
    <w:rsid w:val="00D65F07"/>
    <w:rsid w:val="00D758D6"/>
    <w:rsid w:val="00D92BB7"/>
    <w:rsid w:val="00DC76D2"/>
    <w:rsid w:val="00DD30ED"/>
    <w:rsid w:val="00E0739D"/>
    <w:rsid w:val="00E64C21"/>
    <w:rsid w:val="00E92EFC"/>
    <w:rsid w:val="00EC24C6"/>
    <w:rsid w:val="00EF2933"/>
    <w:rsid w:val="00F05146"/>
    <w:rsid w:val="00F1115D"/>
    <w:rsid w:val="00F3513C"/>
    <w:rsid w:val="00F4485B"/>
    <w:rsid w:val="00F465C5"/>
    <w:rsid w:val="00F5180D"/>
    <w:rsid w:val="00F51B21"/>
    <w:rsid w:val="00F51D87"/>
    <w:rsid w:val="00F8455C"/>
    <w:rsid w:val="13EFC8A6"/>
    <w:rsid w:val="37DFA8DC"/>
    <w:rsid w:val="577F2A3E"/>
    <w:rsid w:val="5B2F5B5D"/>
    <w:rsid w:val="5B7F418C"/>
    <w:rsid w:val="5F3BCB9B"/>
    <w:rsid w:val="6CFFF254"/>
    <w:rsid w:val="6EB80855"/>
    <w:rsid w:val="6FFDDB71"/>
    <w:rsid w:val="77DFBAD9"/>
    <w:rsid w:val="7DAF81E7"/>
    <w:rsid w:val="7DAFD364"/>
    <w:rsid w:val="7E7DA4B4"/>
    <w:rsid w:val="7EB569CD"/>
    <w:rsid w:val="7F7B8E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4E7D531"/>
  <w15:docId w15:val="{CAB3D71A-341F-4296-B465-D647162B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s-IN"/>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next w:val="Normal"/>
    <w:semiHidden/>
    <w:unhideWhenUsed/>
    <w:qFormat/>
    <w:pPr>
      <w:spacing w:beforeAutospacing="1" w:afterAutospacing="1"/>
      <w:outlineLvl w:val="2"/>
    </w:pPr>
    <w:rPr>
      <w:rFonts w:ascii="SimSun" w:hAnsi="SimSun" w:cs="Mangal" w:hint="eastAsia"/>
      <w:b/>
      <w:bCs/>
      <w:sz w:val="27"/>
      <w:szCs w:val="27"/>
      <w:lang w:val="en-US" w:eastAsia="zh-CN" w:bidi="hi-I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bidi="ar-SA"/>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rFonts w:cs="Mangal"/>
      <w:sz w:val="24"/>
      <w:szCs w:val="24"/>
      <w:lang w:val="en-US" w:eastAsia="zh-CN" w:bidi="hi-I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Style1">
    <w:name w:val="Style1"/>
    <w:basedOn w:val="Normal"/>
    <w:qFormat/>
    <w:pPr>
      <w:ind w:firstLineChars="200" w:firstLine="200"/>
    </w:pPr>
    <w:rPr>
      <w:rFonts w:ascii="Times New Roman" w:hAnsi="Times New Roman"/>
      <w:sz w:val="22"/>
      <w:szCs w:val="22"/>
      <w:lang w:val="en-IN" w:eastAsia="en-US"/>
    </w:rPr>
  </w:style>
  <w:style w:type="paragraph" w:customStyle="1" w:styleId="Revision1">
    <w:name w:val="Revision1"/>
    <w:hidden/>
    <w:uiPriority w:val="99"/>
    <w:unhideWhenUsed/>
    <w:rPr>
      <w:rFonts w:asciiTheme="minorHAnsi" w:eastAsiaTheme="minorEastAsia" w:hAnsiTheme="minorHAnsi" w:cstheme="minorBidi"/>
      <w:lang w:val="en-US" w:eastAsia="zh-CN" w:bidi="ar-SA"/>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6E901-B0A6-451E-978D-F78C6C35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3192</Words>
  <Characters>18195</Characters>
  <Application>Microsoft Office Word</Application>
  <DocSecurity>0</DocSecurity>
  <Lines>151</Lines>
  <Paragraphs>42</Paragraphs>
  <ScaleCrop>false</ScaleCrop>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Shilpa Doultani</dc:creator>
  <cp:lastModifiedBy>SDI CPU 1023</cp:lastModifiedBy>
  <cp:revision>4</cp:revision>
  <dcterms:created xsi:type="dcterms:W3CDTF">2024-06-23T22:25:00Z</dcterms:created>
  <dcterms:modified xsi:type="dcterms:W3CDTF">2025-11-08T10:22:00Z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B9DC01C9CF89AC25F4DD096942F748D3_43</vt:lpwstr>
  </property>
</Properties>
</file>