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2E9" w:rsidRPr="007E4977" w:rsidRDefault="00E202E9" w:rsidP="00841477">
      <w:pPr>
        <w:jc w:val="center"/>
        <w:rPr>
          <w:rFonts w:ascii="Arial" w:hAnsi="Arial" w:cs="Arial"/>
          <w:b/>
          <w:bCs/>
          <w:sz w:val="22"/>
          <w:szCs w:val="22"/>
        </w:rPr>
      </w:pPr>
      <w:r w:rsidRPr="007E4977">
        <w:rPr>
          <w:rFonts w:ascii="Arial" w:hAnsi="Arial" w:cs="Arial"/>
          <w:b/>
          <w:bCs/>
          <w:sz w:val="22"/>
          <w:szCs w:val="22"/>
        </w:rPr>
        <w:t>Original Research Article</w:t>
      </w:r>
    </w:p>
    <w:p w:rsidR="00E202E9" w:rsidRPr="007E4977" w:rsidRDefault="00E202E9" w:rsidP="00841477">
      <w:pPr>
        <w:jc w:val="center"/>
        <w:rPr>
          <w:rFonts w:ascii="Arial" w:hAnsi="Arial" w:cs="Arial"/>
          <w:b/>
          <w:bCs/>
          <w:sz w:val="22"/>
          <w:szCs w:val="22"/>
        </w:rPr>
      </w:pPr>
    </w:p>
    <w:p w:rsidR="00841477" w:rsidRPr="007E4977" w:rsidRDefault="00841477" w:rsidP="00841477">
      <w:pPr>
        <w:jc w:val="center"/>
        <w:rPr>
          <w:rFonts w:ascii="Arial" w:hAnsi="Arial" w:cs="Arial"/>
          <w:b/>
          <w:bCs/>
          <w:sz w:val="22"/>
          <w:szCs w:val="22"/>
        </w:rPr>
      </w:pPr>
      <w:r w:rsidRPr="007E4977">
        <w:rPr>
          <w:rFonts w:ascii="Arial" w:hAnsi="Arial" w:cs="Arial"/>
          <w:b/>
          <w:bCs/>
          <w:sz w:val="22"/>
          <w:szCs w:val="22"/>
        </w:rPr>
        <w:t>A study on Clinical Validity and Reliability of the Bengali Language Translated Gastroesophageal Reflux Disease Quality of Life Questionnaire (GERD-QOL) in Gastroesophageal Reflux Disease Patients</w:t>
      </w:r>
    </w:p>
    <w:p w:rsidR="00870159" w:rsidRPr="007E4977" w:rsidRDefault="00870159" w:rsidP="00841477">
      <w:pPr>
        <w:jc w:val="center"/>
        <w:rPr>
          <w:rFonts w:ascii="Arial" w:hAnsi="Arial" w:cs="Arial"/>
          <w:b/>
          <w:bCs/>
          <w:sz w:val="22"/>
          <w:szCs w:val="22"/>
        </w:rPr>
      </w:pPr>
    </w:p>
    <w:p w:rsidR="00841477" w:rsidRPr="007E4977" w:rsidRDefault="00C7123E" w:rsidP="00841477">
      <w:pPr>
        <w:rPr>
          <w:rFonts w:ascii="Arial" w:hAnsi="Arial" w:cs="Arial"/>
          <w:b/>
          <w:bCs/>
          <w:sz w:val="22"/>
          <w:szCs w:val="22"/>
        </w:rPr>
      </w:pPr>
      <w:r>
        <w:rPr>
          <w:rFonts w:ascii="Arial" w:hAnsi="Arial" w:cs="Arial"/>
          <w:noProof/>
          <w:sz w:val="22"/>
          <w:szCs w:val="22"/>
        </w:rPr>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rsidR="00841477" w:rsidRPr="00841477" w:rsidRDefault="00841477" w:rsidP="00F342CD">
                  <w:pPr>
                    <w:rPr>
                      <w:rFonts w:ascii="Arial" w:hAnsi="Arial" w:cs="Arial"/>
                      <w:b/>
                      <w:bCs/>
                      <w:sz w:val="22"/>
                      <w:szCs w:val="22"/>
                    </w:rPr>
                  </w:pPr>
                  <w:r w:rsidRPr="00841477">
                    <w:rPr>
                      <w:rFonts w:ascii="Arial" w:hAnsi="Arial" w:cs="Arial"/>
                      <w:b/>
                      <w:bCs/>
                      <w:sz w:val="22"/>
                      <w:szCs w:val="22"/>
                    </w:rPr>
                    <w:t>Abstract</w:t>
                  </w:r>
                </w:p>
                <w:p w:rsidR="00841477" w:rsidRPr="00841477" w:rsidRDefault="00841477" w:rsidP="000A024E">
                  <w:pPr>
                    <w:jc w:val="both"/>
                    <w:rPr>
                      <w:rFonts w:ascii="Arial" w:hAnsi="Arial" w:cs="Arial"/>
                      <w:sz w:val="22"/>
                      <w:szCs w:val="22"/>
                    </w:rPr>
                  </w:pPr>
                  <w:r w:rsidRPr="00841477">
                    <w:rPr>
                      <w:rFonts w:ascii="Arial" w:hAnsi="Arial" w:cs="Arial"/>
                      <w:sz w:val="22"/>
                      <w:szCs w:val="22"/>
                    </w:rPr>
                    <w:t>Background: Gastroesophageal reflux disease (GERD) significantly affects patients’ quality of life, yet no validated Bengali-language instrument existed to assess this impact.</w:t>
                  </w:r>
                </w:p>
                <w:p w:rsidR="00841477" w:rsidRPr="00841477" w:rsidRDefault="00841477" w:rsidP="000A024E">
                  <w:pPr>
                    <w:jc w:val="both"/>
                    <w:rPr>
                      <w:rFonts w:ascii="Arial" w:hAnsi="Arial" w:cs="Arial"/>
                      <w:sz w:val="22"/>
                      <w:szCs w:val="22"/>
                    </w:rPr>
                  </w:pPr>
                  <w:r w:rsidRPr="00841477">
                    <w:rPr>
                      <w:rFonts w:ascii="Arial" w:hAnsi="Arial" w:cs="Arial"/>
                      <w:sz w:val="22"/>
                      <w:szCs w:val="22"/>
                    </w:rPr>
                    <w:t>Objective: To translate, culturally adapt, and validate the Gastroesophageal Reflux Disease Quality of Life Questionnaire (GERD-QOL) into Bengali for use among Bengali-speaking GERD patients.</w:t>
                  </w:r>
                </w:p>
                <w:p w:rsidR="00841477" w:rsidRPr="00841477" w:rsidRDefault="00841477" w:rsidP="000A024E">
                  <w:pPr>
                    <w:jc w:val="both"/>
                    <w:rPr>
                      <w:rFonts w:ascii="Arial" w:hAnsi="Arial" w:cs="Arial"/>
                      <w:sz w:val="22"/>
                      <w:szCs w:val="22"/>
                    </w:rPr>
                  </w:pPr>
                  <w:r w:rsidRPr="00841477">
                    <w:rPr>
                      <w:rFonts w:ascii="Arial" w:hAnsi="Arial" w:cs="Arial"/>
                      <w:sz w:val="22"/>
                      <w:szCs w:val="22"/>
                    </w:rPr>
                    <w:t>Methods: A cross-sectional study was conducted at The Calcutta Homoeopathic Medical College &amp; Hospital. The GERD-QOL was translated into Bengali using a standardized forward–backward translation method, reviewed by an expert committee, and pilot tested for semantic and cultural equivalence. A total of 223 GERD patients completed the Bengali version of the questionnaire. Reliability was evaluated using Cronbach’s alpha, and content validity was assessed through expert review and participant feedback.</w:t>
                  </w:r>
                </w:p>
                <w:p w:rsidR="00841477" w:rsidRPr="00841477" w:rsidRDefault="00841477" w:rsidP="000A024E">
                  <w:pPr>
                    <w:jc w:val="both"/>
                    <w:rPr>
                      <w:rFonts w:ascii="Arial" w:hAnsi="Arial" w:cs="Arial"/>
                      <w:sz w:val="22"/>
                      <w:szCs w:val="22"/>
                    </w:rPr>
                  </w:pPr>
                  <w:r w:rsidRPr="00841477">
                    <w:rPr>
                      <w:rFonts w:ascii="Arial" w:hAnsi="Arial" w:cs="Arial"/>
                      <w:sz w:val="22"/>
                      <w:szCs w:val="22"/>
                    </w:rPr>
                    <w:t>Results: The Bengali-translated GERD-QOL was well comprehended by all participants. The instrument demonstrated excellent internal consistency with a Cronbach’s alpha of 0.901, confirming high reliability. Cultural adaptation was successfully achieved, and participants reported strong relevance of items to their daily experiences with GERD.</w:t>
                  </w:r>
                </w:p>
                <w:p w:rsidR="00841477" w:rsidRPr="00841477" w:rsidRDefault="00841477" w:rsidP="000A024E">
                  <w:pPr>
                    <w:jc w:val="both"/>
                    <w:rPr>
                      <w:rFonts w:ascii="Arial" w:hAnsi="Arial" w:cs="Arial"/>
                      <w:sz w:val="22"/>
                      <w:szCs w:val="22"/>
                    </w:rPr>
                  </w:pPr>
                  <w:r w:rsidRPr="00841477">
                    <w:rPr>
                      <w:rFonts w:ascii="Arial" w:hAnsi="Arial" w:cs="Arial"/>
                      <w:sz w:val="22"/>
                      <w:szCs w:val="22"/>
                    </w:rPr>
                    <w:t>Conclusion: The Bengali version of the GERD-QOL is a valid, reliable, and culturally appropriate tool for assessing quality of life among GERD patients. It can be effectively utilized in clinical practice and research to evaluate the disease burden and treatment outcomes in Bengali-speaking populations.</w:t>
                  </w:r>
                </w:p>
              </w:txbxContent>
            </v:textbox>
            <w10:wrap type="square"/>
          </v:shape>
        </w:pict>
      </w:r>
      <w:r w:rsidR="00841477" w:rsidRPr="007E4977">
        <w:rPr>
          <w:rFonts w:ascii="Arial" w:hAnsi="Arial" w:cs="Arial"/>
          <w:b/>
          <w:bCs/>
          <w:sz w:val="22"/>
          <w:szCs w:val="22"/>
        </w:rPr>
        <w:t>Keywords</w:t>
      </w:r>
    </w:p>
    <w:p w:rsidR="00841477" w:rsidRPr="007E4977" w:rsidRDefault="007C6547" w:rsidP="00841477">
      <w:pPr>
        <w:rPr>
          <w:rFonts w:ascii="Arial" w:hAnsi="Arial" w:cs="Arial"/>
          <w:b/>
          <w:bCs/>
          <w:sz w:val="22"/>
          <w:szCs w:val="22"/>
        </w:rPr>
      </w:pPr>
      <w:r w:rsidRPr="007E4977">
        <w:rPr>
          <w:rFonts w:ascii="Arial" w:hAnsi="Arial" w:cs="Arial"/>
          <w:b/>
          <w:bCs/>
          <w:sz w:val="22"/>
          <w:szCs w:val="22"/>
        </w:rPr>
        <w:t>Gastroesophageal Reflux Disease (Gerd); Gerd-</w:t>
      </w:r>
      <w:proofErr w:type="spellStart"/>
      <w:r w:rsidRPr="007E4977">
        <w:rPr>
          <w:rFonts w:ascii="Arial" w:hAnsi="Arial" w:cs="Arial"/>
          <w:b/>
          <w:bCs/>
          <w:sz w:val="22"/>
          <w:szCs w:val="22"/>
        </w:rPr>
        <w:t>Qol</w:t>
      </w:r>
      <w:proofErr w:type="spellEnd"/>
      <w:r w:rsidRPr="007E4977">
        <w:rPr>
          <w:rFonts w:ascii="Arial" w:hAnsi="Arial" w:cs="Arial"/>
          <w:b/>
          <w:bCs/>
          <w:sz w:val="22"/>
          <w:szCs w:val="22"/>
        </w:rPr>
        <w:t xml:space="preserve">; Quality </w:t>
      </w:r>
      <w:proofErr w:type="gramStart"/>
      <w:r w:rsidRPr="007E4977">
        <w:rPr>
          <w:rFonts w:ascii="Arial" w:hAnsi="Arial" w:cs="Arial"/>
          <w:b/>
          <w:bCs/>
          <w:sz w:val="22"/>
          <w:szCs w:val="22"/>
        </w:rPr>
        <w:t>Of</w:t>
      </w:r>
      <w:proofErr w:type="gramEnd"/>
      <w:r w:rsidRPr="007E4977">
        <w:rPr>
          <w:rFonts w:ascii="Arial" w:hAnsi="Arial" w:cs="Arial"/>
          <w:b/>
          <w:bCs/>
          <w:sz w:val="22"/>
          <w:szCs w:val="22"/>
        </w:rPr>
        <w:t xml:space="preserve"> Life; Bengali Translation; Validity; Reliability; Cultural Adaptation; Questionnaire Validation</w:t>
      </w:r>
    </w:p>
    <w:p w:rsidR="000A024E" w:rsidRPr="007E4977" w:rsidRDefault="000A024E" w:rsidP="000A024E">
      <w:pPr>
        <w:jc w:val="right"/>
        <w:rPr>
          <w:rFonts w:ascii="Arial" w:hAnsi="Arial" w:cs="Arial"/>
          <w:b/>
          <w:bCs/>
          <w:sz w:val="22"/>
          <w:szCs w:val="22"/>
        </w:rPr>
      </w:pPr>
    </w:p>
    <w:p w:rsidR="00E840C0" w:rsidRPr="007E4977" w:rsidRDefault="000A024E" w:rsidP="000A024E">
      <w:pPr>
        <w:jc w:val="right"/>
        <w:rPr>
          <w:rFonts w:ascii="Arial" w:hAnsi="Arial" w:cs="Arial"/>
          <w:b/>
          <w:bCs/>
          <w:sz w:val="22"/>
          <w:szCs w:val="22"/>
        </w:rPr>
      </w:pPr>
      <w:r w:rsidRPr="007E4977">
        <w:rPr>
          <w:rFonts w:ascii="Arial" w:hAnsi="Arial" w:cs="Arial"/>
          <w:b/>
          <w:bCs/>
          <w:sz w:val="22"/>
          <w:szCs w:val="22"/>
        </w:rPr>
        <w:t>INTRODUCTION</w:t>
      </w:r>
    </w:p>
    <w:p w:rsidR="00CB658D" w:rsidRPr="007E4977" w:rsidRDefault="007E4977" w:rsidP="007E4977">
      <w:pPr>
        <w:jc w:val="both"/>
        <w:rPr>
          <w:rFonts w:ascii="Arial" w:hAnsi="Arial" w:cs="Arial"/>
          <w:sz w:val="22"/>
          <w:szCs w:val="22"/>
        </w:rPr>
      </w:pPr>
      <w:r w:rsidRPr="007E4977">
        <w:rPr>
          <w:rFonts w:ascii="Arial" w:hAnsi="Arial" w:cs="Arial"/>
          <w:sz w:val="22"/>
          <w:szCs w:val="22"/>
        </w:rPr>
        <w:t xml:space="preserve">Gastroesophageal reflux disease (GERD) is a chronic and relapsing gastrointestinal disorder characterized by the reflux of gastric contents into the </w:t>
      </w:r>
      <w:proofErr w:type="spellStart"/>
      <w:r w:rsidRPr="007E4977">
        <w:rPr>
          <w:rFonts w:ascii="Arial" w:hAnsi="Arial" w:cs="Arial"/>
          <w:sz w:val="22"/>
          <w:szCs w:val="22"/>
        </w:rPr>
        <w:t>esophagus</w:t>
      </w:r>
      <w:proofErr w:type="spellEnd"/>
      <w:r w:rsidRPr="007E4977">
        <w:rPr>
          <w:rFonts w:ascii="Arial" w:hAnsi="Arial" w:cs="Arial"/>
          <w:sz w:val="22"/>
          <w:szCs w:val="22"/>
        </w:rPr>
        <w:t xml:space="preserve">, resulting in symptoms such as heartburn, acid regurgitation, chest discomfort, and dyspepsia </w:t>
      </w:r>
      <w:r w:rsidRPr="004B265A">
        <w:rPr>
          <w:rFonts w:ascii="Arial" w:hAnsi="Arial" w:cs="Arial"/>
          <w:sz w:val="22"/>
          <w:szCs w:val="22"/>
          <w:vertAlign w:val="superscript"/>
        </w:rPr>
        <w:t>[1]</w:t>
      </w:r>
      <w:r w:rsidRPr="007E4977">
        <w:rPr>
          <w:rFonts w:ascii="Arial" w:hAnsi="Arial" w:cs="Arial"/>
          <w:sz w:val="22"/>
          <w:szCs w:val="22"/>
        </w:rPr>
        <w:t xml:space="preserve">. It affects millions globally, with a growing prevalence in Asian countries, including India, due to lifestyle changes, dietary habits, and obesity </w:t>
      </w:r>
      <w:r w:rsidRPr="004B265A">
        <w:rPr>
          <w:rFonts w:ascii="Arial" w:hAnsi="Arial" w:cs="Arial"/>
          <w:sz w:val="22"/>
          <w:szCs w:val="22"/>
          <w:vertAlign w:val="superscript"/>
        </w:rPr>
        <w:t>[2,3]</w:t>
      </w:r>
      <w:r w:rsidRPr="007E4977">
        <w:rPr>
          <w:rFonts w:ascii="Arial" w:hAnsi="Arial" w:cs="Arial"/>
          <w:sz w:val="22"/>
          <w:szCs w:val="22"/>
        </w:rPr>
        <w:t xml:space="preserve">. Beyond its clinical manifestations, GERD exerts a profound influence on patients’ health-related quality of life (HRQOL), interfering with eating, </w:t>
      </w:r>
      <w:r w:rsidRPr="007E4977">
        <w:rPr>
          <w:rFonts w:ascii="Arial" w:hAnsi="Arial" w:cs="Arial"/>
          <w:sz w:val="22"/>
          <w:szCs w:val="22"/>
        </w:rPr>
        <w:lastRenderedPageBreak/>
        <w:t xml:space="preserve">sleep, social interactions, and overall psychological well-being </w:t>
      </w:r>
      <w:r w:rsidRPr="004B265A">
        <w:rPr>
          <w:rFonts w:ascii="Arial" w:hAnsi="Arial" w:cs="Arial"/>
          <w:sz w:val="22"/>
          <w:szCs w:val="22"/>
          <w:vertAlign w:val="superscript"/>
        </w:rPr>
        <w:t>[4]</w:t>
      </w:r>
      <w:r w:rsidRPr="007E4977">
        <w:rPr>
          <w:rFonts w:ascii="Arial" w:hAnsi="Arial" w:cs="Arial"/>
          <w:sz w:val="22"/>
          <w:szCs w:val="22"/>
        </w:rPr>
        <w:t xml:space="preserve">. The assessment of HRQOL has thus become an integral part of disease evaluation and management. Traditional clinical and endoscopic measures do not fully capture the subjective burden of GERD; hence, disease-specific quality of life instruments have been developed to complement objective findings </w:t>
      </w:r>
      <w:r w:rsidRPr="004B265A">
        <w:rPr>
          <w:rFonts w:ascii="Arial" w:hAnsi="Arial" w:cs="Arial"/>
          <w:sz w:val="22"/>
          <w:szCs w:val="22"/>
          <w:vertAlign w:val="superscript"/>
        </w:rPr>
        <w:t>[5]</w:t>
      </w:r>
      <w:r w:rsidRPr="007E4977">
        <w:rPr>
          <w:rFonts w:ascii="Arial" w:hAnsi="Arial" w:cs="Arial"/>
          <w:sz w:val="22"/>
          <w:szCs w:val="22"/>
        </w:rPr>
        <w:t xml:space="preserve">. Among them, the Gastroesophageal Reflux Disease Quality of Life Questionnaire (GERD-QOL) is a validated and widely used tool that measures the impact of GERD on patients’ daily functioning, emotional health, and satisfaction with treatment </w:t>
      </w:r>
      <w:r w:rsidRPr="004B265A">
        <w:rPr>
          <w:rFonts w:ascii="Arial" w:hAnsi="Arial" w:cs="Arial"/>
          <w:sz w:val="22"/>
          <w:szCs w:val="22"/>
          <w:vertAlign w:val="superscript"/>
        </w:rPr>
        <w:t>[6]</w:t>
      </w:r>
      <w:r w:rsidRPr="007E4977">
        <w:rPr>
          <w:rFonts w:ascii="Arial" w:hAnsi="Arial" w:cs="Arial"/>
          <w:sz w:val="22"/>
          <w:szCs w:val="22"/>
        </w:rPr>
        <w:t xml:space="preserve">. It has shown excellent psychometric properties across multiple populations and has been used both in clinical practice and research to monitor treatment outcomes </w:t>
      </w:r>
      <w:r w:rsidRPr="004B265A">
        <w:rPr>
          <w:rFonts w:ascii="Arial" w:hAnsi="Arial" w:cs="Arial"/>
          <w:sz w:val="22"/>
          <w:szCs w:val="22"/>
          <w:vertAlign w:val="superscript"/>
        </w:rPr>
        <w:t>[7]</w:t>
      </w:r>
      <w:r w:rsidRPr="007E4977">
        <w:rPr>
          <w:rFonts w:ascii="Arial" w:hAnsi="Arial" w:cs="Arial"/>
          <w:sz w:val="22"/>
          <w:szCs w:val="22"/>
        </w:rPr>
        <w:t xml:space="preserve">. However, the linguistic and cultural diversity of India poses challenges to the direct application of English-language questionnaires. Differences in literacy, cultural perceptions of illness, and symptom interpretation necessitate careful translation and cultural adaptation of such tools to ensure conceptual equivalence and validity </w:t>
      </w:r>
      <w:r w:rsidRPr="004B265A">
        <w:rPr>
          <w:rFonts w:ascii="Arial" w:hAnsi="Arial" w:cs="Arial"/>
          <w:sz w:val="22"/>
          <w:szCs w:val="22"/>
          <w:vertAlign w:val="superscript"/>
        </w:rPr>
        <w:t>[8]</w:t>
      </w:r>
      <w:r w:rsidRPr="007E4977">
        <w:rPr>
          <w:rFonts w:ascii="Arial" w:hAnsi="Arial" w:cs="Arial"/>
          <w:sz w:val="22"/>
          <w:szCs w:val="22"/>
        </w:rPr>
        <w:t xml:space="preserve">. According to Beaton et al., cross-cultural adaptation should follow a systematic process, including forward and backward translation, expert committee review, and pretesting for semantic and content equivalence </w:t>
      </w:r>
      <w:r w:rsidRPr="004B265A">
        <w:rPr>
          <w:rFonts w:ascii="Arial" w:hAnsi="Arial" w:cs="Arial"/>
          <w:sz w:val="22"/>
          <w:szCs w:val="22"/>
          <w:vertAlign w:val="superscript"/>
        </w:rPr>
        <w:t>[9]</w:t>
      </w:r>
      <w:r w:rsidRPr="007E4977">
        <w:rPr>
          <w:rFonts w:ascii="Arial" w:hAnsi="Arial" w:cs="Arial"/>
          <w:sz w:val="22"/>
          <w:szCs w:val="22"/>
        </w:rPr>
        <w:t>. Bengali, being the fifth most spoken language in the world and one of the major Indian languages, lacks a validated GERD-specific quality of life instrument. The absence of such a tool limits both clinical assessment and research among Bengali-speaking populations, who constitute a significant portion of GERD patients in Eastern India. Therefore, the present study was undertaken to translate, culturally adapt, and validate the GERD-QOL into the Bengali language, enabling reliable assessment of quality of life and disease burden in this linguistic group.</w:t>
      </w:r>
    </w:p>
    <w:p w:rsidR="00E840C0" w:rsidRPr="007E4977" w:rsidRDefault="00E840C0" w:rsidP="00E840C0">
      <w:pPr>
        <w:rPr>
          <w:rFonts w:ascii="Arial" w:hAnsi="Arial" w:cs="Arial"/>
          <w:sz w:val="22"/>
          <w:szCs w:val="22"/>
        </w:rPr>
      </w:pPr>
    </w:p>
    <w:p w:rsidR="000A024E" w:rsidRPr="007E4977" w:rsidRDefault="000A024E" w:rsidP="000A024E">
      <w:pPr>
        <w:pStyle w:val="Normal1"/>
        <w:spacing w:after="160" w:line="259" w:lineRule="auto"/>
        <w:jc w:val="right"/>
        <w:rPr>
          <w:rFonts w:eastAsia="Times New Roman"/>
          <w:b/>
        </w:rPr>
      </w:pPr>
    </w:p>
    <w:p w:rsidR="00E840C0" w:rsidRPr="007E4977" w:rsidRDefault="00E840C0" w:rsidP="000A024E">
      <w:pPr>
        <w:pStyle w:val="Normal1"/>
        <w:spacing w:after="160" w:line="259" w:lineRule="auto"/>
        <w:jc w:val="right"/>
        <w:rPr>
          <w:rFonts w:eastAsia="Times New Roman"/>
          <w:b/>
        </w:rPr>
      </w:pPr>
      <w:r w:rsidRPr="007E4977">
        <w:rPr>
          <w:rFonts w:eastAsia="Times New Roman"/>
          <w:b/>
        </w:rPr>
        <w:t>MATERIALS AND METHOD</w:t>
      </w:r>
    </w:p>
    <w:p w:rsidR="006313DB" w:rsidRPr="007E4977" w:rsidRDefault="00E840C0" w:rsidP="000A024E">
      <w:pPr>
        <w:jc w:val="both"/>
        <w:rPr>
          <w:rFonts w:ascii="Arial" w:hAnsi="Arial" w:cs="Arial"/>
          <w:b/>
          <w:bCs/>
          <w:sz w:val="22"/>
          <w:szCs w:val="22"/>
        </w:rPr>
      </w:pPr>
      <w:r w:rsidRPr="007E4977">
        <w:rPr>
          <w:rFonts w:ascii="Arial" w:hAnsi="Arial" w:cs="Arial"/>
          <w:b/>
          <w:bCs/>
          <w:sz w:val="22"/>
          <w:szCs w:val="22"/>
        </w:rPr>
        <w:t>Study design, participants, and setting</w:t>
      </w:r>
    </w:p>
    <w:p w:rsidR="007E4977" w:rsidRPr="007E4977" w:rsidRDefault="007E4977" w:rsidP="00B66FE0">
      <w:pPr>
        <w:spacing w:line="276" w:lineRule="auto"/>
        <w:jc w:val="both"/>
        <w:rPr>
          <w:rFonts w:ascii="Arial" w:eastAsia="Times New Roman" w:hAnsi="Arial" w:cs="Arial"/>
          <w:kern w:val="0"/>
          <w:sz w:val="22"/>
          <w:szCs w:val="22"/>
          <w:lang w:eastAsia="en-IN"/>
        </w:rPr>
      </w:pPr>
      <w:r w:rsidRPr="007E4977">
        <w:rPr>
          <w:rFonts w:ascii="Arial" w:eastAsia="Times New Roman" w:hAnsi="Arial" w:cs="Arial"/>
          <w:kern w:val="0"/>
          <w:sz w:val="22"/>
          <w:szCs w:val="22"/>
          <w:lang w:eastAsia="en-IN"/>
        </w:rPr>
        <w:t xml:space="preserve">This cross-sectional study was conducted at </w:t>
      </w:r>
      <w:r w:rsidRPr="007E4977">
        <w:rPr>
          <w:rFonts w:ascii="Arial" w:eastAsia="Times New Roman" w:hAnsi="Arial" w:cs="Arial"/>
          <w:i/>
          <w:iCs/>
          <w:kern w:val="0"/>
          <w:sz w:val="22"/>
          <w:szCs w:val="22"/>
          <w:lang w:eastAsia="en-IN"/>
        </w:rPr>
        <w:t>The Calcutta Homoeopathic Medical College &amp; Hospital, Kolkata</w:t>
      </w:r>
      <w:r w:rsidRPr="007E4977">
        <w:rPr>
          <w:rFonts w:ascii="Arial" w:eastAsia="Times New Roman" w:hAnsi="Arial" w:cs="Arial"/>
          <w:kern w:val="0"/>
          <w:sz w:val="22"/>
          <w:szCs w:val="22"/>
          <w:lang w:eastAsia="en-IN"/>
        </w:rPr>
        <w:t xml:space="preserve">, from April 2023 to May 2024. The study focused exclusively on the translation, cultural adaptation, and validation of the Gastroesophageal Reflux Disease Quality of Life Questionnaire (GERD-QOL) into the Bengali language. Participants aged 18 to 65 years, of both sexes, who were clinically diagnosed cases of non-erosive gastroesophageal reflux disease (GERD) according to the American College of Gastroenterology (ACG) criteria were included. Patients who were on regular proton pump inhibitor (PPI) therapy and had a positive score on the GERD Impact Scale were also eligible for inclusion. Participants who were on life-saving conventional therapies for controlled comorbidities such as diabetes mellitus, hypertension, or hypothyroidism were permitted to continue their routine medications during the study period. The exclusion criteria included patients with erosive GERD, a history of haematemesis or melena, non-ambulant patients, or those presenting with dysphagia or odynophagia. Individuals diagnosed with </w:t>
      </w:r>
      <w:r w:rsidR="00B66FE0">
        <w:rPr>
          <w:rFonts w:ascii="Arial" w:eastAsia="Times New Roman" w:hAnsi="Arial" w:cs="Arial"/>
          <w:kern w:val="0"/>
          <w:sz w:val="22"/>
          <w:szCs w:val="22"/>
          <w:lang w:eastAsia="en-IN"/>
        </w:rPr>
        <w:t>o</w:t>
      </w:r>
      <w:r w:rsidRPr="007E4977">
        <w:rPr>
          <w:rFonts w:ascii="Arial" w:eastAsia="Times New Roman" w:hAnsi="Arial" w:cs="Arial"/>
          <w:kern w:val="0"/>
          <w:sz w:val="22"/>
          <w:szCs w:val="22"/>
          <w:lang w:eastAsia="en-IN"/>
        </w:rPr>
        <w:t xml:space="preserve">esophageal stricture, Barrett’s </w:t>
      </w:r>
      <w:r w:rsidR="00B66FE0">
        <w:rPr>
          <w:rFonts w:ascii="Arial" w:eastAsia="Times New Roman" w:hAnsi="Arial" w:cs="Arial"/>
          <w:kern w:val="0"/>
          <w:sz w:val="22"/>
          <w:szCs w:val="22"/>
          <w:lang w:eastAsia="en-IN"/>
        </w:rPr>
        <w:t>o</w:t>
      </w:r>
      <w:r w:rsidRPr="007E4977">
        <w:rPr>
          <w:rFonts w:ascii="Arial" w:eastAsia="Times New Roman" w:hAnsi="Arial" w:cs="Arial"/>
          <w:kern w:val="0"/>
          <w:sz w:val="22"/>
          <w:szCs w:val="22"/>
          <w:lang w:eastAsia="en-IN"/>
        </w:rPr>
        <w:t xml:space="preserve">esophagus, or </w:t>
      </w:r>
      <w:r w:rsidR="00B66FE0">
        <w:rPr>
          <w:rFonts w:ascii="Arial" w:eastAsia="Times New Roman" w:hAnsi="Arial" w:cs="Arial"/>
          <w:kern w:val="0"/>
          <w:sz w:val="22"/>
          <w:szCs w:val="22"/>
          <w:lang w:eastAsia="en-IN"/>
        </w:rPr>
        <w:t>o</w:t>
      </w:r>
      <w:r w:rsidRPr="007E4977">
        <w:rPr>
          <w:rFonts w:ascii="Arial" w:eastAsia="Times New Roman" w:hAnsi="Arial" w:cs="Arial"/>
          <w:kern w:val="0"/>
          <w:sz w:val="22"/>
          <w:szCs w:val="22"/>
          <w:lang w:eastAsia="en-IN"/>
        </w:rPr>
        <w:t xml:space="preserve">esophageal adenocarcinoma were excluded. Patients with uncontrolled or complicated systemic illnesses (e.g., diabetes, hypertension, cardiovascular, renal, gastrointestinal, endocrinal, or </w:t>
      </w:r>
      <w:r w:rsidR="00B66FE0" w:rsidRPr="007E4977">
        <w:rPr>
          <w:rFonts w:ascii="Arial" w:eastAsia="Times New Roman" w:hAnsi="Arial" w:cs="Arial"/>
          <w:kern w:val="0"/>
          <w:sz w:val="22"/>
          <w:szCs w:val="22"/>
          <w:lang w:eastAsia="en-IN"/>
        </w:rPr>
        <w:t>gynaecological</w:t>
      </w:r>
      <w:r w:rsidRPr="007E4977">
        <w:rPr>
          <w:rFonts w:ascii="Arial" w:eastAsia="Times New Roman" w:hAnsi="Arial" w:cs="Arial"/>
          <w:kern w:val="0"/>
          <w:sz w:val="22"/>
          <w:szCs w:val="22"/>
          <w:lang w:eastAsia="en-IN"/>
        </w:rPr>
        <w:t xml:space="preserve"> disorders) or systemic infections that could affect quality of life were also excluded. Further exclusion applied to individuals with psychiatric illness, vital organ failure, or those who had received homeopathic treatment for any chronic disease within the last six months. Patients with </w:t>
      </w:r>
      <w:r w:rsidRPr="007E4977">
        <w:rPr>
          <w:rFonts w:ascii="Arial" w:eastAsia="Times New Roman" w:hAnsi="Arial" w:cs="Arial"/>
          <w:kern w:val="0"/>
          <w:sz w:val="22"/>
          <w:szCs w:val="22"/>
          <w:lang w:eastAsia="en-IN"/>
        </w:rPr>
        <w:lastRenderedPageBreak/>
        <w:t>immune-compromised states, alcohol or substance dependence, inability to comply with study procedures, and pregnant or lactating women were also excluded from participation.</w:t>
      </w:r>
    </w:p>
    <w:p w:rsidR="00535D74" w:rsidRPr="007E4977" w:rsidRDefault="00535D74" w:rsidP="000A024E">
      <w:pPr>
        <w:jc w:val="both"/>
        <w:rPr>
          <w:rFonts w:ascii="Arial" w:hAnsi="Arial" w:cs="Arial"/>
          <w:b/>
          <w:bCs/>
          <w:sz w:val="22"/>
          <w:szCs w:val="22"/>
        </w:rPr>
      </w:pPr>
      <w:r w:rsidRPr="007E4977">
        <w:rPr>
          <w:rFonts w:ascii="Arial" w:hAnsi="Arial" w:cs="Arial"/>
          <w:b/>
          <w:bCs/>
          <w:sz w:val="22"/>
          <w:szCs w:val="22"/>
        </w:rPr>
        <w:t>Study Objective</w:t>
      </w:r>
    </w:p>
    <w:p w:rsidR="007E4977" w:rsidRPr="007E4977" w:rsidRDefault="007E4977" w:rsidP="00B66FE0">
      <w:pPr>
        <w:pStyle w:val="Normal1"/>
        <w:rPr>
          <w:lang w:bidi="bn-IN"/>
        </w:rPr>
      </w:pPr>
      <w:r w:rsidRPr="007E4977">
        <w:t>The primary objective of this study was to translate and culturally adapt the GERD-QOL into the Bengali language, addressing the absence of a validated tool in Bengali for assessing quality of life among GERD patients. The aim was to facilitate accurate research, enhance clinical assessment, and minimize linguistic and cultural bias in evaluating GERD-related quality of life within the Bengali-speaking population, recognizing the high burden of GERD in this community.</w:t>
      </w:r>
    </w:p>
    <w:p w:rsidR="007E4977" w:rsidRPr="007E4977" w:rsidRDefault="007E4977" w:rsidP="000A024E">
      <w:pPr>
        <w:pStyle w:val="Normal1"/>
        <w:spacing w:after="160" w:line="259" w:lineRule="auto"/>
        <w:jc w:val="both"/>
        <w:rPr>
          <w:rFonts w:eastAsia="Times New Roman"/>
          <w:b/>
        </w:rPr>
      </w:pPr>
    </w:p>
    <w:p w:rsidR="00535D74" w:rsidRPr="007E4977" w:rsidRDefault="00535D74" w:rsidP="000A024E">
      <w:pPr>
        <w:pStyle w:val="Normal1"/>
        <w:spacing w:after="160" w:line="259" w:lineRule="auto"/>
        <w:jc w:val="both"/>
        <w:rPr>
          <w:rFonts w:eastAsia="Times New Roman"/>
          <w:b/>
        </w:rPr>
      </w:pPr>
      <w:r w:rsidRPr="007E4977">
        <w:rPr>
          <w:rFonts w:eastAsia="Times New Roman"/>
          <w:b/>
        </w:rPr>
        <w:t>Study population</w:t>
      </w:r>
    </w:p>
    <w:p w:rsidR="008E2CB2" w:rsidRPr="007E4977" w:rsidRDefault="008E2CB2" w:rsidP="000A024E">
      <w:pPr>
        <w:pStyle w:val="NormalWeb"/>
        <w:spacing w:line="276" w:lineRule="auto"/>
        <w:jc w:val="both"/>
        <w:rPr>
          <w:rFonts w:ascii="Arial" w:hAnsi="Arial" w:cs="Arial"/>
          <w:bCs/>
          <w:sz w:val="22"/>
          <w:szCs w:val="22"/>
          <w:lang w:val="en-US" w:eastAsia="en-US" w:bidi="hi-IN"/>
        </w:rPr>
      </w:pPr>
      <w:r w:rsidRPr="007E4977">
        <w:rPr>
          <w:rFonts w:ascii="Arial" w:hAnsi="Arial" w:cs="Arial"/>
          <w:bCs/>
          <w:sz w:val="22"/>
          <w:szCs w:val="22"/>
          <w:lang w:val="en-US" w:eastAsia="en-US" w:bidi="hi-IN"/>
        </w:rPr>
        <w:t>All eligible GERD patients attending the Outpatient Department (OPD) of The Calcutta Homoeopathic Medical College &amp; Hospital, Kolkata, during the defined 12-month data collection period, were approached for inclusion.</w:t>
      </w:r>
    </w:p>
    <w:p w:rsidR="00535D74" w:rsidRPr="007E4977" w:rsidRDefault="00535D74" w:rsidP="000A024E">
      <w:pPr>
        <w:pStyle w:val="NormalWeb"/>
        <w:spacing w:line="276" w:lineRule="auto"/>
        <w:jc w:val="both"/>
        <w:rPr>
          <w:rFonts w:ascii="Arial" w:hAnsi="Arial" w:cs="Arial"/>
          <w:b/>
          <w:bCs/>
          <w:sz w:val="22"/>
          <w:szCs w:val="22"/>
        </w:rPr>
      </w:pPr>
      <w:r w:rsidRPr="007E4977">
        <w:rPr>
          <w:rFonts w:ascii="Arial" w:hAnsi="Arial" w:cs="Arial"/>
          <w:b/>
          <w:bCs/>
          <w:sz w:val="22"/>
          <w:szCs w:val="22"/>
        </w:rPr>
        <w:t>Sample Size</w:t>
      </w:r>
    </w:p>
    <w:p w:rsidR="000A024E" w:rsidRPr="007E4977" w:rsidRDefault="000A024E" w:rsidP="000A024E">
      <w:pPr>
        <w:pStyle w:val="NormalWeb"/>
        <w:spacing w:line="276" w:lineRule="auto"/>
        <w:jc w:val="both"/>
        <w:rPr>
          <w:rFonts w:ascii="Arial" w:hAnsi="Arial" w:cs="Arial"/>
          <w:sz w:val="22"/>
          <w:szCs w:val="22"/>
        </w:rPr>
      </w:pPr>
      <w:r w:rsidRPr="007E4977">
        <w:rPr>
          <w:rFonts w:ascii="Arial" w:hAnsi="Arial" w:cs="Arial"/>
          <w:sz w:val="22"/>
          <w:szCs w:val="22"/>
        </w:rPr>
        <w:t xml:space="preserve">As no prior translation and validation of the GERDQOL was </w:t>
      </w:r>
      <w:proofErr w:type="gramStart"/>
      <w:r w:rsidRPr="007E4977">
        <w:rPr>
          <w:rFonts w:ascii="Arial" w:hAnsi="Arial" w:cs="Arial"/>
          <w:sz w:val="22"/>
          <w:szCs w:val="22"/>
        </w:rPr>
        <w:t>available,  we</w:t>
      </w:r>
      <w:proofErr w:type="gramEnd"/>
      <w:r w:rsidRPr="007E4977">
        <w:rPr>
          <w:rFonts w:ascii="Arial" w:hAnsi="Arial" w:cs="Arial"/>
          <w:sz w:val="22"/>
          <w:szCs w:val="22"/>
        </w:rPr>
        <w:t xml:space="preserve"> intended to carry out the translation with the complete enumeration format and in the respective time period of the study and a total 223 patients were included to complete the translation and validation. </w:t>
      </w:r>
    </w:p>
    <w:p w:rsidR="00535D74" w:rsidRPr="007E4977" w:rsidRDefault="00535D74" w:rsidP="000A024E">
      <w:pPr>
        <w:pStyle w:val="NormalWeb"/>
        <w:spacing w:line="276" w:lineRule="auto"/>
        <w:jc w:val="both"/>
        <w:rPr>
          <w:rFonts w:ascii="Arial" w:hAnsi="Arial" w:cs="Arial"/>
          <w:b/>
          <w:bCs/>
          <w:sz w:val="22"/>
          <w:szCs w:val="22"/>
        </w:rPr>
      </w:pPr>
      <w:r w:rsidRPr="007E4977">
        <w:rPr>
          <w:rFonts w:ascii="Arial" w:hAnsi="Arial" w:cs="Arial"/>
          <w:b/>
          <w:bCs/>
          <w:sz w:val="22"/>
          <w:szCs w:val="22"/>
        </w:rPr>
        <w:t>Sampling Technique</w:t>
      </w:r>
    </w:p>
    <w:p w:rsidR="008E2CB2" w:rsidRPr="007E4977" w:rsidRDefault="008E2CB2" w:rsidP="000A024E">
      <w:pPr>
        <w:pStyle w:val="NormalWeb"/>
        <w:spacing w:line="276" w:lineRule="auto"/>
        <w:jc w:val="both"/>
        <w:rPr>
          <w:rFonts w:ascii="Arial" w:hAnsi="Arial" w:cs="Arial"/>
          <w:sz w:val="22"/>
          <w:szCs w:val="22"/>
          <w:lang w:val="en-US" w:eastAsia="en-US" w:bidi="hi-IN"/>
        </w:rPr>
      </w:pPr>
      <w:r w:rsidRPr="007E4977">
        <w:rPr>
          <w:rFonts w:ascii="Arial" w:hAnsi="Arial" w:cs="Arial"/>
          <w:sz w:val="22"/>
          <w:szCs w:val="22"/>
          <w:lang w:val="en-US" w:eastAsia="en-US" w:bidi="hi-IN"/>
        </w:rPr>
        <w:t>A non-probability convenience sampling method was employed to recruit participants consecutively during the specified data collection period. This approach allowed inclusion of all eligible patients meeting the inclusion criteria within the study timeframe.</w:t>
      </w:r>
    </w:p>
    <w:p w:rsidR="00535D74" w:rsidRPr="007E4977" w:rsidRDefault="00535D74" w:rsidP="000A024E">
      <w:pPr>
        <w:pStyle w:val="NormalWeb"/>
        <w:spacing w:line="276" w:lineRule="auto"/>
        <w:jc w:val="both"/>
        <w:rPr>
          <w:rFonts w:ascii="Arial" w:hAnsi="Arial" w:cs="Arial"/>
          <w:b/>
          <w:bCs/>
          <w:sz w:val="22"/>
          <w:szCs w:val="22"/>
        </w:rPr>
      </w:pPr>
      <w:r w:rsidRPr="007E4977">
        <w:rPr>
          <w:rFonts w:ascii="Arial" w:hAnsi="Arial" w:cs="Arial"/>
          <w:b/>
          <w:bCs/>
          <w:sz w:val="22"/>
          <w:szCs w:val="22"/>
        </w:rPr>
        <w:t>Study Tools</w:t>
      </w:r>
    </w:p>
    <w:p w:rsidR="007E4977" w:rsidRPr="007E4977" w:rsidRDefault="007E4977" w:rsidP="00B66FE0">
      <w:pPr>
        <w:pStyle w:val="NormalWeb"/>
        <w:spacing w:line="276" w:lineRule="auto"/>
        <w:rPr>
          <w:rFonts w:ascii="Arial" w:hAnsi="Arial" w:cs="Arial"/>
          <w:sz w:val="22"/>
          <w:szCs w:val="22"/>
        </w:rPr>
      </w:pPr>
      <w:r w:rsidRPr="007E4977">
        <w:rPr>
          <w:rFonts w:ascii="Arial" w:hAnsi="Arial" w:cs="Arial"/>
          <w:sz w:val="22"/>
          <w:szCs w:val="22"/>
        </w:rPr>
        <w:t xml:space="preserve">The Gastroesophageal Reflux Disease Quality of Life Questionnaire (GERD-QOL) was utilized in this study to assess the impact of GERD on the health-related quality of life (HRQOL) of Bengali-speaking patients. The GERD-QOL is a disease-specific, self-administered instrument developed to evaluate how reflux symptoms affect an individual’s physical, emotional, and social functioning in daily life </w:t>
      </w:r>
      <w:r w:rsidRPr="007E4977">
        <w:rPr>
          <w:rFonts w:ascii="Arial" w:hAnsi="Arial" w:cs="Arial"/>
          <w:sz w:val="22"/>
          <w:szCs w:val="22"/>
          <w:vertAlign w:val="superscript"/>
        </w:rPr>
        <w:t>[10]</w:t>
      </w:r>
      <w:r w:rsidRPr="007E4977">
        <w:rPr>
          <w:rFonts w:ascii="Arial" w:hAnsi="Arial" w:cs="Arial"/>
          <w:sz w:val="22"/>
          <w:szCs w:val="22"/>
        </w:rPr>
        <w:t xml:space="preserve">. </w:t>
      </w:r>
      <w:proofErr w:type="gramStart"/>
      <w:r w:rsidR="00B66FE0">
        <w:rPr>
          <w:rFonts w:ascii="Arial" w:hAnsi="Arial" w:cs="Arial"/>
          <w:sz w:val="22"/>
          <w:szCs w:val="22"/>
        </w:rPr>
        <w:t xml:space="preserve">The </w:t>
      </w:r>
      <w:r w:rsidRPr="007E4977">
        <w:rPr>
          <w:rFonts w:ascii="Arial" w:hAnsi="Arial" w:cs="Arial"/>
          <w:sz w:val="22"/>
          <w:szCs w:val="22"/>
        </w:rPr>
        <w:t xml:space="preserve"> 1</w:t>
      </w:r>
      <w:r w:rsidR="00B66FE0">
        <w:rPr>
          <w:rFonts w:ascii="Arial" w:hAnsi="Arial" w:cs="Arial"/>
          <w:sz w:val="22"/>
          <w:szCs w:val="22"/>
        </w:rPr>
        <w:t>1</w:t>
      </w:r>
      <w:proofErr w:type="gramEnd"/>
      <w:r w:rsidRPr="007E4977">
        <w:rPr>
          <w:rFonts w:ascii="Arial" w:hAnsi="Arial" w:cs="Arial"/>
          <w:sz w:val="22"/>
          <w:szCs w:val="22"/>
        </w:rPr>
        <w:t xml:space="preserve"> items that measure domains such as heartburn severity, eating and drinking limitations, social functioning, sleep disturbance, and overall satisfaction with health status</w:t>
      </w:r>
      <w:r w:rsidR="00B66FE0">
        <w:rPr>
          <w:rFonts w:ascii="Arial" w:hAnsi="Arial" w:cs="Arial"/>
          <w:sz w:val="22"/>
          <w:szCs w:val="22"/>
        </w:rPr>
        <w:t xml:space="preserve"> were evaluated</w:t>
      </w:r>
      <w:r w:rsidRPr="007E4977">
        <w:rPr>
          <w:rFonts w:ascii="Arial" w:hAnsi="Arial" w:cs="Arial"/>
          <w:sz w:val="22"/>
          <w:szCs w:val="22"/>
        </w:rPr>
        <w:t xml:space="preserve">. Each item is rated on a five-point Likert scale, where lower scores indicate better quality of life, and higher scores represent greater impairment due to GERD symptoms </w:t>
      </w:r>
      <w:r w:rsidRPr="007E4977">
        <w:rPr>
          <w:rFonts w:ascii="Arial" w:hAnsi="Arial" w:cs="Arial"/>
          <w:sz w:val="22"/>
          <w:szCs w:val="22"/>
          <w:vertAlign w:val="superscript"/>
        </w:rPr>
        <w:t>[11]</w:t>
      </w:r>
      <w:r w:rsidRPr="007E4977">
        <w:rPr>
          <w:rFonts w:ascii="Arial" w:hAnsi="Arial" w:cs="Arial"/>
          <w:sz w:val="22"/>
          <w:szCs w:val="22"/>
        </w:rPr>
        <w:t xml:space="preserve">. The questionnaire has been widely validated in multiple languages and populations, demonstrating excellent reliability, validity, and responsiveness to therapeutic interventions. These psychometric properties make it a valuable tool for evaluating both the baseline disease burden and treatment outcomes among GERD patients </w:t>
      </w:r>
      <w:r w:rsidRPr="007E4977">
        <w:rPr>
          <w:rFonts w:ascii="Arial" w:hAnsi="Arial" w:cs="Arial"/>
          <w:sz w:val="22"/>
          <w:szCs w:val="22"/>
          <w:vertAlign w:val="superscript"/>
        </w:rPr>
        <w:t>[12]</w:t>
      </w:r>
      <w:r w:rsidRPr="007E4977">
        <w:rPr>
          <w:rFonts w:ascii="Arial" w:hAnsi="Arial" w:cs="Arial"/>
          <w:sz w:val="22"/>
          <w:szCs w:val="22"/>
        </w:rPr>
        <w:t>. In the present study, the GERD-QOL was translated and adapted into the Bengali language to ensure cultural relevance and conceptual equivalence for the target population.</w:t>
      </w:r>
    </w:p>
    <w:p w:rsidR="00E840C0" w:rsidRPr="007E4977" w:rsidRDefault="00E840C0" w:rsidP="000A024E">
      <w:pPr>
        <w:pStyle w:val="NormalWeb"/>
        <w:spacing w:line="276" w:lineRule="auto"/>
        <w:jc w:val="both"/>
        <w:rPr>
          <w:rFonts w:ascii="Arial" w:hAnsi="Arial" w:cs="Arial"/>
          <w:sz w:val="22"/>
          <w:szCs w:val="22"/>
        </w:rPr>
      </w:pPr>
      <w:r w:rsidRPr="007E4977">
        <w:rPr>
          <w:rFonts w:ascii="Arial" w:hAnsi="Arial" w:cs="Arial"/>
          <w:b/>
          <w:bCs/>
          <w:sz w:val="22"/>
          <w:szCs w:val="22"/>
        </w:rPr>
        <w:lastRenderedPageBreak/>
        <w:t>Instrument translation, procedure, and data collection</w:t>
      </w:r>
    </w:p>
    <w:p w:rsidR="007E4977" w:rsidRPr="007E4977" w:rsidRDefault="007E4977" w:rsidP="007E4977">
      <w:pPr>
        <w:jc w:val="both"/>
        <w:rPr>
          <w:rFonts w:ascii="Arial" w:hAnsi="Arial" w:cs="Arial"/>
          <w:sz w:val="22"/>
          <w:szCs w:val="22"/>
        </w:rPr>
      </w:pPr>
      <w:r w:rsidRPr="007E4977">
        <w:rPr>
          <w:rFonts w:ascii="Arial" w:hAnsi="Arial" w:cs="Arial"/>
          <w:sz w:val="22"/>
          <w:szCs w:val="22"/>
        </w:rPr>
        <w:t xml:space="preserve">The process of translation and validation of the GERD-QOL into Bengali followed established international guidelines for cross-cultural adaptation of patient-reported outcome measures </w:t>
      </w:r>
      <w:r w:rsidRPr="007E4977">
        <w:rPr>
          <w:rFonts w:ascii="Arial" w:hAnsi="Arial" w:cs="Arial"/>
          <w:sz w:val="22"/>
          <w:szCs w:val="22"/>
          <w:vertAlign w:val="superscript"/>
        </w:rPr>
        <w:t>[13,14]</w:t>
      </w:r>
      <w:r w:rsidRPr="007E4977">
        <w:rPr>
          <w:rFonts w:ascii="Arial" w:hAnsi="Arial" w:cs="Arial"/>
          <w:sz w:val="22"/>
          <w:szCs w:val="22"/>
        </w:rPr>
        <w:t>. The study was conducted in two main phases:</w:t>
      </w:r>
    </w:p>
    <w:p w:rsidR="007E4977" w:rsidRPr="007E4977" w:rsidRDefault="007E4977" w:rsidP="007E4977">
      <w:pPr>
        <w:numPr>
          <w:ilvl w:val="0"/>
          <w:numId w:val="8"/>
        </w:numPr>
        <w:jc w:val="both"/>
        <w:rPr>
          <w:rFonts w:ascii="Arial" w:hAnsi="Arial" w:cs="Arial"/>
          <w:sz w:val="22"/>
          <w:szCs w:val="22"/>
        </w:rPr>
      </w:pPr>
      <w:r w:rsidRPr="007E4977">
        <w:rPr>
          <w:rFonts w:ascii="Arial" w:hAnsi="Arial" w:cs="Arial"/>
          <w:sz w:val="22"/>
          <w:szCs w:val="22"/>
        </w:rPr>
        <w:t>Translation and cultural adaptation</w:t>
      </w:r>
    </w:p>
    <w:p w:rsidR="007E4977" w:rsidRPr="007E4977" w:rsidRDefault="007E4977" w:rsidP="007E4977">
      <w:pPr>
        <w:numPr>
          <w:ilvl w:val="0"/>
          <w:numId w:val="8"/>
        </w:numPr>
        <w:jc w:val="both"/>
        <w:rPr>
          <w:rFonts w:ascii="Arial" w:hAnsi="Arial" w:cs="Arial"/>
          <w:sz w:val="22"/>
          <w:szCs w:val="22"/>
        </w:rPr>
      </w:pPr>
      <w:r w:rsidRPr="007E4977">
        <w:rPr>
          <w:rFonts w:ascii="Arial" w:hAnsi="Arial" w:cs="Arial"/>
          <w:sz w:val="22"/>
          <w:szCs w:val="22"/>
        </w:rPr>
        <w:t>Data collection for validation and reliability testing</w:t>
      </w:r>
    </w:p>
    <w:p w:rsidR="007E4977" w:rsidRPr="007E4977" w:rsidRDefault="007E4977" w:rsidP="007E4977">
      <w:pPr>
        <w:jc w:val="both"/>
        <w:rPr>
          <w:rFonts w:ascii="Arial" w:hAnsi="Arial" w:cs="Arial"/>
          <w:sz w:val="22"/>
          <w:szCs w:val="22"/>
        </w:rPr>
      </w:pPr>
    </w:p>
    <w:p w:rsidR="007E4977" w:rsidRPr="007E4977" w:rsidRDefault="007E4977" w:rsidP="007E4977">
      <w:pPr>
        <w:jc w:val="both"/>
        <w:rPr>
          <w:rFonts w:ascii="Arial" w:hAnsi="Arial" w:cs="Arial"/>
          <w:b/>
          <w:bCs/>
          <w:sz w:val="22"/>
          <w:szCs w:val="22"/>
        </w:rPr>
      </w:pPr>
      <w:r w:rsidRPr="007E4977">
        <w:rPr>
          <w:rFonts w:ascii="Arial" w:hAnsi="Arial" w:cs="Arial"/>
          <w:b/>
          <w:bCs/>
          <w:sz w:val="22"/>
          <w:szCs w:val="22"/>
        </w:rPr>
        <w:t>Translation Process</w:t>
      </w:r>
    </w:p>
    <w:p w:rsidR="007E4977" w:rsidRPr="007E4977" w:rsidRDefault="007E4977" w:rsidP="007E4977">
      <w:pPr>
        <w:jc w:val="both"/>
        <w:rPr>
          <w:rFonts w:ascii="Arial" w:hAnsi="Arial" w:cs="Arial"/>
          <w:sz w:val="22"/>
          <w:szCs w:val="22"/>
        </w:rPr>
      </w:pPr>
      <w:r w:rsidRPr="007E4977">
        <w:rPr>
          <w:rFonts w:ascii="Arial" w:hAnsi="Arial" w:cs="Arial"/>
          <w:sz w:val="22"/>
          <w:szCs w:val="22"/>
        </w:rPr>
        <w:t xml:space="preserve">The translation and cultural adaptation of the GERD-QOL followed the methodological framework proposed by Sousa et al. and the recommendations of the World Health Organization (WHO) for instrument translation </w:t>
      </w:r>
      <w:r w:rsidRPr="007E4977">
        <w:rPr>
          <w:rFonts w:ascii="Arial" w:hAnsi="Arial" w:cs="Arial"/>
          <w:sz w:val="22"/>
          <w:szCs w:val="22"/>
          <w:vertAlign w:val="superscript"/>
        </w:rPr>
        <w:t>[13,14]</w:t>
      </w:r>
      <w:r w:rsidRPr="007E4977">
        <w:rPr>
          <w:rFonts w:ascii="Arial" w:hAnsi="Arial" w:cs="Arial"/>
          <w:sz w:val="22"/>
          <w:szCs w:val="22"/>
        </w:rPr>
        <w:t>.</w:t>
      </w:r>
    </w:p>
    <w:p w:rsidR="007E4977" w:rsidRPr="007E4977" w:rsidRDefault="007E4977" w:rsidP="007E4977">
      <w:pPr>
        <w:jc w:val="both"/>
        <w:rPr>
          <w:rFonts w:ascii="Arial" w:hAnsi="Arial" w:cs="Arial"/>
          <w:sz w:val="22"/>
          <w:szCs w:val="22"/>
        </w:rPr>
      </w:pPr>
      <w:r w:rsidRPr="007E4977">
        <w:rPr>
          <w:rFonts w:ascii="Arial" w:hAnsi="Arial" w:cs="Arial"/>
          <w:sz w:val="22"/>
          <w:szCs w:val="22"/>
        </w:rPr>
        <w:t xml:space="preserve">Forward Translation: The original English version of the GERD-QOL was translated independently into Bengali by two bilingual experts fluent in both languages and knowledgeable about medical terminology and Bengali cultural nuances. </w:t>
      </w:r>
    </w:p>
    <w:p w:rsidR="007E4977" w:rsidRPr="007E4977" w:rsidRDefault="007E4977" w:rsidP="007E4977">
      <w:pPr>
        <w:jc w:val="both"/>
        <w:rPr>
          <w:rFonts w:ascii="Arial" w:hAnsi="Arial" w:cs="Arial"/>
          <w:sz w:val="22"/>
          <w:szCs w:val="22"/>
        </w:rPr>
      </w:pPr>
      <w:r w:rsidRPr="007E4977">
        <w:rPr>
          <w:rFonts w:ascii="Arial" w:hAnsi="Arial" w:cs="Arial"/>
          <w:sz w:val="22"/>
          <w:szCs w:val="22"/>
        </w:rPr>
        <w:t xml:space="preserve">Reconciliation: The forward translations was reviewed by the research team and an independent expert panel to resolve discrepancies. A consensus Bengali draft was prepared. </w:t>
      </w:r>
    </w:p>
    <w:p w:rsidR="007E4977" w:rsidRPr="007E4977" w:rsidRDefault="007E4977" w:rsidP="007E4977">
      <w:pPr>
        <w:jc w:val="both"/>
        <w:rPr>
          <w:rFonts w:ascii="Arial" w:hAnsi="Arial" w:cs="Arial"/>
          <w:sz w:val="22"/>
          <w:szCs w:val="22"/>
        </w:rPr>
      </w:pPr>
      <w:r w:rsidRPr="007E4977">
        <w:rPr>
          <w:rFonts w:ascii="Arial" w:hAnsi="Arial" w:cs="Arial"/>
          <w:sz w:val="22"/>
          <w:szCs w:val="22"/>
        </w:rPr>
        <w:t xml:space="preserve">Backward Translation: The reconciled Bengali version was then back-translated into English by two other translators unfamiliar with the original questionnaire to ensure conceptual accuracy. </w:t>
      </w:r>
    </w:p>
    <w:p w:rsidR="007E4977" w:rsidRPr="007E4977" w:rsidRDefault="007E4977" w:rsidP="007E4977">
      <w:pPr>
        <w:jc w:val="both"/>
        <w:rPr>
          <w:rFonts w:ascii="Arial" w:hAnsi="Arial" w:cs="Arial"/>
          <w:sz w:val="22"/>
          <w:szCs w:val="22"/>
        </w:rPr>
      </w:pPr>
      <w:r w:rsidRPr="007E4977">
        <w:rPr>
          <w:rFonts w:ascii="Arial" w:hAnsi="Arial" w:cs="Arial"/>
          <w:sz w:val="22"/>
          <w:szCs w:val="22"/>
        </w:rPr>
        <w:t xml:space="preserve">Expert Committee Review: The back-translated versions </w:t>
      </w:r>
      <w:proofErr w:type="gramStart"/>
      <w:r w:rsidRPr="007E4977">
        <w:rPr>
          <w:rFonts w:ascii="Arial" w:hAnsi="Arial" w:cs="Arial"/>
          <w:sz w:val="22"/>
          <w:szCs w:val="22"/>
        </w:rPr>
        <w:t>was</w:t>
      </w:r>
      <w:proofErr w:type="gramEnd"/>
      <w:r w:rsidRPr="007E4977">
        <w:rPr>
          <w:rFonts w:ascii="Arial" w:hAnsi="Arial" w:cs="Arial"/>
          <w:sz w:val="22"/>
          <w:szCs w:val="22"/>
        </w:rPr>
        <w:t xml:space="preserve"> compared with the original instrument by the expert committee to confirm semantic, idiomatic, and conceptual equivalence. Minor adjustments were made for linguistic precision and cultural clarity. </w:t>
      </w:r>
    </w:p>
    <w:p w:rsidR="007E4977" w:rsidRPr="007E4977" w:rsidRDefault="007E4977" w:rsidP="007E4977">
      <w:pPr>
        <w:jc w:val="both"/>
        <w:rPr>
          <w:rFonts w:ascii="Arial" w:hAnsi="Arial" w:cs="Arial"/>
          <w:sz w:val="22"/>
          <w:szCs w:val="22"/>
        </w:rPr>
      </w:pPr>
      <w:r w:rsidRPr="007E4977">
        <w:rPr>
          <w:rFonts w:ascii="Arial" w:hAnsi="Arial" w:cs="Arial"/>
          <w:sz w:val="22"/>
          <w:szCs w:val="22"/>
        </w:rPr>
        <w:t xml:space="preserve">Pilot Testing: The pre-final Bengali GERD-QOL (Bn-GERD-QOL) was administered to 223 Bengali-speaking GERD patients from the outpatient department to assess comprehension, clarity, and cultural relevance. Participants provided feedback regarding any ambiguity or difficulty in interpretation. </w:t>
      </w:r>
    </w:p>
    <w:p w:rsidR="007E4977" w:rsidRPr="007E4977" w:rsidRDefault="007E4977" w:rsidP="007E4977">
      <w:pPr>
        <w:jc w:val="both"/>
        <w:rPr>
          <w:rFonts w:ascii="Arial" w:hAnsi="Arial" w:cs="Arial"/>
          <w:sz w:val="22"/>
          <w:szCs w:val="22"/>
        </w:rPr>
      </w:pPr>
      <w:r w:rsidRPr="007E4977">
        <w:rPr>
          <w:rFonts w:ascii="Arial" w:hAnsi="Arial" w:cs="Arial"/>
          <w:sz w:val="22"/>
          <w:szCs w:val="22"/>
        </w:rPr>
        <w:t>Finalization: Based on participant feedback, minor refinements were made. The final version was reviewed by professional Bengali linguists for grammatical and contextual appropriateness, resulting in the finalized Bengali-translated GERD-QOL (Bn-GERD-QOL).</w:t>
      </w:r>
    </w:p>
    <w:p w:rsidR="008E2CB2" w:rsidRPr="007E4977" w:rsidRDefault="008E2CB2" w:rsidP="000A024E">
      <w:pPr>
        <w:jc w:val="both"/>
        <w:rPr>
          <w:rFonts w:ascii="Arial" w:hAnsi="Arial" w:cs="Arial"/>
          <w:b/>
          <w:bCs/>
          <w:sz w:val="22"/>
          <w:szCs w:val="22"/>
        </w:rPr>
      </w:pPr>
      <w:r w:rsidRPr="007E4977">
        <w:rPr>
          <w:rFonts w:ascii="Arial" w:hAnsi="Arial" w:cs="Arial"/>
          <w:b/>
          <w:bCs/>
          <w:sz w:val="22"/>
          <w:szCs w:val="22"/>
        </w:rPr>
        <w:t>Statistical Analysis</w:t>
      </w:r>
    </w:p>
    <w:p w:rsidR="008E2CB2" w:rsidRPr="007E4977" w:rsidRDefault="008E2CB2" w:rsidP="00B66FE0">
      <w:pPr>
        <w:spacing w:line="276" w:lineRule="auto"/>
        <w:jc w:val="both"/>
        <w:rPr>
          <w:rFonts w:ascii="Arial" w:hAnsi="Arial" w:cs="Arial"/>
          <w:sz w:val="22"/>
          <w:szCs w:val="22"/>
        </w:rPr>
      </w:pPr>
      <w:r w:rsidRPr="007E4977">
        <w:rPr>
          <w:rFonts w:ascii="Arial" w:hAnsi="Arial" w:cs="Arial"/>
          <w:sz w:val="22"/>
          <w:szCs w:val="22"/>
        </w:rPr>
        <w:t xml:space="preserve">All quantitative and qualitative variables were entered into Microsoft Excel (version 7.0) and </w:t>
      </w:r>
      <w:proofErr w:type="spellStart"/>
      <w:r w:rsidRPr="007E4977">
        <w:rPr>
          <w:rFonts w:ascii="Arial" w:hAnsi="Arial" w:cs="Arial"/>
          <w:sz w:val="22"/>
          <w:szCs w:val="22"/>
        </w:rPr>
        <w:t>analyzed</w:t>
      </w:r>
      <w:proofErr w:type="spellEnd"/>
      <w:r w:rsidRPr="007E4977">
        <w:rPr>
          <w:rFonts w:ascii="Arial" w:hAnsi="Arial" w:cs="Arial"/>
          <w:sz w:val="22"/>
          <w:szCs w:val="22"/>
        </w:rPr>
        <w:t xml:space="preserve"> using IBM SPSS Statistics (version 16.0). Qualitative variables were summarized as frequencies and percentages, whereas quantitative variables were expressed as mean ± standard deviation (SD). The internal consistency and reliability of the Bengali GERDQ were evaluated using Cronbach’s alpha coefficient (α), with values ≥0.70 considered accep</w:t>
      </w:r>
      <w:bookmarkStart w:id="0" w:name="_GoBack"/>
      <w:r w:rsidRPr="007E4977">
        <w:rPr>
          <w:rFonts w:ascii="Arial" w:hAnsi="Arial" w:cs="Arial"/>
          <w:sz w:val="22"/>
          <w:szCs w:val="22"/>
        </w:rPr>
        <w:t>table</w:t>
      </w:r>
      <w:bookmarkEnd w:id="0"/>
      <w:r w:rsidRPr="007E4977">
        <w:rPr>
          <w:rFonts w:ascii="Arial" w:hAnsi="Arial" w:cs="Arial"/>
          <w:sz w:val="22"/>
          <w:szCs w:val="22"/>
        </w:rPr>
        <w:t xml:space="preserve"> for good reliability.</w:t>
      </w:r>
    </w:p>
    <w:p w:rsidR="007E4977" w:rsidRPr="007E4977" w:rsidRDefault="007E4977" w:rsidP="00B66FE0">
      <w:pPr>
        <w:spacing w:line="276" w:lineRule="auto"/>
        <w:jc w:val="both"/>
        <w:rPr>
          <w:rFonts w:ascii="Arial" w:hAnsi="Arial" w:cs="Arial"/>
          <w:sz w:val="22"/>
          <w:szCs w:val="22"/>
        </w:rPr>
      </w:pPr>
      <w:r w:rsidRPr="007E4977">
        <w:rPr>
          <w:rFonts w:ascii="Arial" w:hAnsi="Arial" w:cs="Arial"/>
          <w:sz w:val="22"/>
          <w:szCs w:val="22"/>
        </w:rPr>
        <w:t xml:space="preserve">All data were entered and managed in Microsoft Excel (version 7.0) and </w:t>
      </w:r>
      <w:proofErr w:type="spellStart"/>
      <w:r w:rsidRPr="007E4977">
        <w:rPr>
          <w:rFonts w:ascii="Arial" w:hAnsi="Arial" w:cs="Arial"/>
          <w:sz w:val="22"/>
          <w:szCs w:val="22"/>
        </w:rPr>
        <w:t>analyzed</w:t>
      </w:r>
      <w:proofErr w:type="spellEnd"/>
      <w:r w:rsidRPr="007E4977">
        <w:rPr>
          <w:rFonts w:ascii="Arial" w:hAnsi="Arial" w:cs="Arial"/>
          <w:sz w:val="22"/>
          <w:szCs w:val="22"/>
        </w:rPr>
        <w:t xml:space="preserve"> using IBM SPSS Statistics (version 16.0). Descriptive statistics were used to summarize demographic and clinical characteristics. Qualitative variables were expressed as frequencies and </w:t>
      </w:r>
      <w:r w:rsidRPr="007E4977">
        <w:rPr>
          <w:rFonts w:ascii="Arial" w:hAnsi="Arial" w:cs="Arial"/>
          <w:sz w:val="22"/>
          <w:szCs w:val="22"/>
        </w:rPr>
        <w:lastRenderedPageBreak/>
        <w:t>percentages, while quantitative variables were presented as mean ± standard deviation (SD). The internal consistency reliability of the Bengali GERD-QOL was evaluated using Cronbach’s alpha coefficient, with a value above 0.7 considered acceptable and above 0.9 indicating excellent reliability. Construct validity was assessed by examining item-total correlations and overall response consistency.</w:t>
      </w:r>
    </w:p>
    <w:p w:rsidR="00F10B00" w:rsidRPr="007E4977" w:rsidRDefault="00F72808" w:rsidP="000A024E">
      <w:pPr>
        <w:spacing w:line="360" w:lineRule="auto"/>
        <w:jc w:val="right"/>
        <w:rPr>
          <w:rFonts w:ascii="Arial" w:hAnsi="Arial" w:cs="Arial"/>
          <w:b/>
          <w:bCs/>
          <w:sz w:val="22"/>
          <w:szCs w:val="22"/>
        </w:rPr>
      </w:pPr>
      <w:r w:rsidRPr="007E4977">
        <w:rPr>
          <w:rFonts w:ascii="Arial" w:hAnsi="Arial" w:cs="Arial"/>
          <w:b/>
          <w:bCs/>
          <w:sz w:val="22"/>
          <w:szCs w:val="22"/>
        </w:rPr>
        <w:t xml:space="preserve">RESULT </w:t>
      </w:r>
    </w:p>
    <w:p w:rsidR="007E4977" w:rsidRPr="007E4977" w:rsidRDefault="007E4977" w:rsidP="007E4977">
      <w:pPr>
        <w:spacing w:line="276" w:lineRule="auto"/>
        <w:rPr>
          <w:rFonts w:ascii="Arial" w:hAnsi="Arial" w:cs="Arial"/>
          <w:sz w:val="22"/>
          <w:szCs w:val="22"/>
        </w:rPr>
      </w:pPr>
      <w:r w:rsidRPr="007E4977">
        <w:rPr>
          <w:rFonts w:ascii="Arial" w:hAnsi="Arial" w:cs="Arial"/>
          <w:sz w:val="22"/>
          <w:szCs w:val="22"/>
        </w:rPr>
        <w:t>A total of 223 GERD patients were enrolled in the study. The demographic characteristics is presented in table 1.0. The response for GERD-QOL questionnaire response is presented in table 2.0. The reliability measure, Cronbach’s alpha is presented in table 3.0.</w:t>
      </w:r>
    </w:p>
    <w:tbl>
      <w:tblPr>
        <w:tblpPr w:leftFromText="180" w:rightFromText="180" w:bottomFromText="160" w:vertAnchor="page" w:horzAnchor="margin" w:tblpY="120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700"/>
      </w:tblGrid>
      <w:tr w:rsidR="007E4977" w:rsidRPr="007E4977">
        <w:tc>
          <w:tcPr>
            <w:tcW w:w="595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b/>
                <w:bCs/>
                <w:sz w:val="22"/>
                <w:szCs w:val="22"/>
              </w:rPr>
            </w:pPr>
            <w:bookmarkStart w:id="1" w:name="_Hlk210321740"/>
            <w:r w:rsidRPr="007E4977">
              <w:rPr>
                <w:rFonts w:ascii="Arial" w:hAnsi="Arial" w:cs="Arial"/>
                <w:b/>
                <w:bCs/>
                <w:sz w:val="22"/>
                <w:szCs w:val="22"/>
              </w:rPr>
              <w:t>Variables</w:t>
            </w:r>
          </w:p>
        </w:tc>
        <w:tc>
          <w:tcPr>
            <w:tcW w:w="2700"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b/>
                <w:bCs/>
                <w:sz w:val="22"/>
                <w:szCs w:val="22"/>
              </w:rPr>
            </w:pPr>
            <w:r w:rsidRPr="007E4977">
              <w:rPr>
                <w:rFonts w:ascii="Arial" w:hAnsi="Arial" w:cs="Arial"/>
                <w:b/>
                <w:bCs/>
                <w:sz w:val="22"/>
                <w:szCs w:val="22"/>
              </w:rPr>
              <w:t>No. (%)</w:t>
            </w:r>
          </w:p>
        </w:tc>
      </w:tr>
      <w:tr w:rsidR="007E4977" w:rsidRPr="007E4977">
        <w:tc>
          <w:tcPr>
            <w:tcW w:w="595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b/>
                <w:bCs/>
                <w:sz w:val="22"/>
                <w:szCs w:val="22"/>
              </w:rPr>
              <w:t xml:space="preserve">Age </w:t>
            </w:r>
            <w:r w:rsidRPr="007E4977">
              <w:rPr>
                <w:rFonts w:ascii="Arial" w:hAnsi="Arial" w:cs="Arial"/>
                <w:sz w:val="22"/>
                <w:szCs w:val="22"/>
              </w:rPr>
              <w:t xml:space="preserve">(Mean ± </w:t>
            </w:r>
            <w:proofErr w:type="spellStart"/>
            <w:r w:rsidRPr="007E4977">
              <w:rPr>
                <w:rFonts w:ascii="Arial" w:hAnsi="Arial" w:cs="Arial"/>
                <w:sz w:val="22"/>
                <w:szCs w:val="22"/>
              </w:rPr>
              <w:t>St.Dev</w:t>
            </w:r>
            <w:proofErr w:type="spellEnd"/>
            <w:r w:rsidRPr="007E4977">
              <w:rPr>
                <w:rFonts w:ascii="Arial" w:hAnsi="Arial" w:cs="Arial"/>
                <w:sz w:val="22"/>
                <w:szCs w:val="22"/>
              </w:rPr>
              <w:t>.)</w:t>
            </w:r>
          </w:p>
        </w:tc>
        <w:tc>
          <w:tcPr>
            <w:tcW w:w="2700"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42.9±14.1</w:t>
            </w:r>
          </w:p>
        </w:tc>
      </w:tr>
      <w:tr w:rsidR="007E4977" w:rsidRPr="007E4977">
        <w:tc>
          <w:tcPr>
            <w:tcW w:w="595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b/>
                <w:bCs/>
                <w:sz w:val="22"/>
                <w:szCs w:val="22"/>
              </w:rPr>
              <w:t>Sex</w:t>
            </w:r>
            <w:r w:rsidRPr="007E4977">
              <w:rPr>
                <w:rFonts w:ascii="Arial" w:hAnsi="Arial" w:cs="Arial"/>
                <w:sz w:val="22"/>
                <w:szCs w:val="22"/>
              </w:rPr>
              <w:br/>
              <w:t xml:space="preserve">   Male</w:t>
            </w: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Female</w:t>
            </w:r>
          </w:p>
        </w:tc>
        <w:tc>
          <w:tcPr>
            <w:tcW w:w="2700" w:type="dxa"/>
            <w:tcBorders>
              <w:top w:val="single" w:sz="4" w:space="0" w:color="auto"/>
              <w:left w:val="single" w:sz="4" w:space="0" w:color="auto"/>
              <w:bottom w:val="single" w:sz="4" w:space="0" w:color="auto"/>
              <w:right w:val="single" w:sz="4" w:space="0" w:color="auto"/>
            </w:tcBorders>
          </w:tcPr>
          <w:p w:rsidR="007E4977" w:rsidRPr="007E4977" w:rsidRDefault="007E4977" w:rsidP="007E4977">
            <w:pPr>
              <w:spacing w:after="0" w:line="276" w:lineRule="auto"/>
              <w:jc w:val="center"/>
              <w:rPr>
                <w:rFonts w:ascii="Arial" w:hAnsi="Arial" w:cs="Arial"/>
                <w:sz w:val="22"/>
                <w:szCs w:val="22"/>
              </w:rPr>
            </w:pP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81(36.3)</w:t>
            </w: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142(63.7)</w:t>
            </w:r>
          </w:p>
        </w:tc>
      </w:tr>
      <w:tr w:rsidR="007E4977" w:rsidRPr="007E4977">
        <w:trPr>
          <w:trHeight w:val="1132"/>
        </w:trPr>
        <w:tc>
          <w:tcPr>
            <w:tcW w:w="595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b/>
                <w:bCs/>
                <w:sz w:val="22"/>
                <w:szCs w:val="22"/>
              </w:rPr>
            </w:pPr>
            <w:r w:rsidRPr="007E4977">
              <w:rPr>
                <w:rFonts w:ascii="Arial" w:hAnsi="Arial" w:cs="Arial"/>
                <w:b/>
                <w:bCs/>
                <w:sz w:val="22"/>
                <w:szCs w:val="22"/>
              </w:rPr>
              <w:t>Marital Status</w:t>
            </w: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Unmarried</w:t>
            </w: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Married</w:t>
            </w: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Divorced/Separated/Widow</w:t>
            </w:r>
          </w:p>
        </w:tc>
        <w:tc>
          <w:tcPr>
            <w:tcW w:w="2700" w:type="dxa"/>
            <w:tcBorders>
              <w:top w:val="single" w:sz="4" w:space="0" w:color="auto"/>
              <w:left w:val="single" w:sz="4" w:space="0" w:color="auto"/>
              <w:bottom w:val="single" w:sz="4" w:space="0" w:color="auto"/>
              <w:right w:val="single" w:sz="4" w:space="0" w:color="auto"/>
            </w:tcBorders>
          </w:tcPr>
          <w:p w:rsidR="007E4977" w:rsidRPr="007E4977" w:rsidRDefault="007E4977" w:rsidP="007E4977">
            <w:pPr>
              <w:spacing w:after="0" w:line="276" w:lineRule="auto"/>
              <w:jc w:val="center"/>
              <w:rPr>
                <w:rFonts w:ascii="Arial" w:hAnsi="Arial" w:cs="Arial"/>
                <w:sz w:val="22"/>
                <w:szCs w:val="22"/>
              </w:rPr>
            </w:pP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36(16.1)</w:t>
            </w: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181(81.2)</w:t>
            </w: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6(2.7)</w:t>
            </w:r>
          </w:p>
        </w:tc>
      </w:tr>
      <w:tr w:rsidR="007E4977" w:rsidRPr="007E4977">
        <w:trPr>
          <w:trHeight w:val="1132"/>
        </w:trPr>
        <w:tc>
          <w:tcPr>
            <w:tcW w:w="595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b/>
                <w:bCs/>
                <w:sz w:val="22"/>
                <w:szCs w:val="22"/>
              </w:rPr>
            </w:pPr>
            <w:r w:rsidRPr="007E4977">
              <w:rPr>
                <w:rFonts w:ascii="Arial" w:hAnsi="Arial" w:cs="Arial"/>
                <w:b/>
                <w:bCs/>
                <w:sz w:val="22"/>
                <w:szCs w:val="22"/>
              </w:rPr>
              <w:t>Educational Qualification</w:t>
            </w:r>
          </w:p>
          <w:p w:rsidR="007E4977" w:rsidRPr="007E4977" w:rsidRDefault="007E4977" w:rsidP="007E4977">
            <w:pPr>
              <w:spacing w:after="0" w:line="276" w:lineRule="auto"/>
              <w:jc w:val="center"/>
              <w:rPr>
                <w:rFonts w:ascii="Arial" w:hAnsi="Arial" w:cs="Arial"/>
                <w:sz w:val="22"/>
                <w:szCs w:val="22"/>
                <w:vertAlign w:val="superscript"/>
              </w:rPr>
            </w:pPr>
            <w:r w:rsidRPr="007E4977">
              <w:rPr>
                <w:rFonts w:ascii="Arial" w:hAnsi="Arial" w:cs="Arial"/>
                <w:sz w:val="22"/>
                <w:szCs w:val="22"/>
              </w:rPr>
              <w:t xml:space="preserve">Less than Class </w:t>
            </w:r>
            <w:proofErr w:type="spellStart"/>
            <w:r w:rsidRPr="007E4977">
              <w:rPr>
                <w:rFonts w:ascii="Arial" w:hAnsi="Arial" w:cs="Arial"/>
                <w:sz w:val="22"/>
                <w:szCs w:val="22"/>
              </w:rPr>
              <w:t>Xth</w:t>
            </w:r>
            <w:proofErr w:type="spellEnd"/>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 xml:space="preserve">Class </w:t>
            </w:r>
            <w:proofErr w:type="spellStart"/>
            <w:r w:rsidRPr="007E4977">
              <w:rPr>
                <w:rFonts w:ascii="Arial" w:hAnsi="Arial" w:cs="Arial"/>
                <w:sz w:val="22"/>
                <w:szCs w:val="22"/>
              </w:rPr>
              <w:t>Xth</w:t>
            </w:r>
            <w:proofErr w:type="spellEnd"/>
            <w:r w:rsidRPr="007E4977">
              <w:rPr>
                <w:rFonts w:ascii="Arial" w:hAnsi="Arial" w:cs="Arial"/>
                <w:sz w:val="22"/>
                <w:szCs w:val="22"/>
              </w:rPr>
              <w:t xml:space="preserve">- Class </w:t>
            </w:r>
            <w:proofErr w:type="spellStart"/>
            <w:r w:rsidRPr="007E4977">
              <w:rPr>
                <w:rFonts w:ascii="Arial" w:hAnsi="Arial" w:cs="Arial"/>
                <w:sz w:val="22"/>
                <w:szCs w:val="22"/>
              </w:rPr>
              <w:t>XII</w:t>
            </w:r>
            <w:r w:rsidRPr="007E4977">
              <w:rPr>
                <w:rFonts w:ascii="Arial" w:hAnsi="Arial" w:cs="Arial"/>
                <w:sz w:val="22"/>
                <w:szCs w:val="22"/>
                <w:vertAlign w:val="superscript"/>
              </w:rPr>
              <w:t>th</w:t>
            </w:r>
            <w:proofErr w:type="spellEnd"/>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Graduate &amp; above</w:t>
            </w:r>
          </w:p>
        </w:tc>
        <w:tc>
          <w:tcPr>
            <w:tcW w:w="2700" w:type="dxa"/>
            <w:tcBorders>
              <w:top w:val="single" w:sz="4" w:space="0" w:color="auto"/>
              <w:left w:val="single" w:sz="4" w:space="0" w:color="auto"/>
              <w:bottom w:val="single" w:sz="4" w:space="0" w:color="auto"/>
              <w:right w:val="single" w:sz="4" w:space="0" w:color="auto"/>
            </w:tcBorders>
          </w:tcPr>
          <w:p w:rsidR="007E4977" w:rsidRPr="007E4977" w:rsidRDefault="007E4977" w:rsidP="007E4977">
            <w:pPr>
              <w:spacing w:after="0" w:line="276" w:lineRule="auto"/>
              <w:jc w:val="center"/>
              <w:rPr>
                <w:rFonts w:ascii="Arial" w:hAnsi="Arial" w:cs="Arial"/>
                <w:sz w:val="22"/>
                <w:szCs w:val="22"/>
              </w:rPr>
            </w:pP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53(23.8)</w:t>
            </w: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70(31.4)</w:t>
            </w: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100(44.8)</w:t>
            </w:r>
          </w:p>
        </w:tc>
      </w:tr>
      <w:bookmarkEnd w:id="1"/>
    </w:tbl>
    <w:p w:rsidR="007E4977" w:rsidRPr="007E4977" w:rsidRDefault="007E4977" w:rsidP="007E4977">
      <w:pPr>
        <w:spacing w:line="276" w:lineRule="auto"/>
        <w:jc w:val="both"/>
        <w:rPr>
          <w:rFonts w:ascii="Arial" w:hAnsi="Arial" w:cs="Arial"/>
          <w:sz w:val="22"/>
          <w:szCs w:val="22"/>
        </w:rPr>
      </w:pPr>
    </w:p>
    <w:p w:rsidR="007E4977" w:rsidRPr="007E4977" w:rsidRDefault="007E4977" w:rsidP="007E4977">
      <w:pPr>
        <w:spacing w:line="276" w:lineRule="auto"/>
        <w:jc w:val="both"/>
        <w:rPr>
          <w:rFonts w:ascii="Arial" w:hAnsi="Arial" w:cs="Arial"/>
          <w:sz w:val="22"/>
          <w:szCs w:val="22"/>
        </w:rPr>
      </w:pPr>
    </w:p>
    <w:p w:rsidR="007E4977" w:rsidRPr="007E4977" w:rsidRDefault="007E4977" w:rsidP="007E4977">
      <w:pPr>
        <w:spacing w:line="276" w:lineRule="auto"/>
        <w:jc w:val="both"/>
        <w:rPr>
          <w:rFonts w:ascii="Arial" w:hAnsi="Arial" w:cs="Arial"/>
          <w:sz w:val="22"/>
          <w:szCs w:val="22"/>
        </w:rPr>
      </w:pPr>
    </w:p>
    <w:p w:rsidR="007E4977" w:rsidRPr="007E4977" w:rsidRDefault="007E4977" w:rsidP="007E4977">
      <w:pPr>
        <w:spacing w:after="0" w:line="276" w:lineRule="auto"/>
        <w:jc w:val="both"/>
        <w:rPr>
          <w:rFonts w:ascii="Arial" w:hAnsi="Arial" w:cs="Arial"/>
          <w:color w:val="000000"/>
          <w:sz w:val="22"/>
          <w:szCs w:val="22"/>
          <w:vertAlign w:val="superscript"/>
        </w:rPr>
      </w:pPr>
      <w:r w:rsidRPr="007E4977">
        <w:rPr>
          <w:rFonts w:ascii="Arial" w:hAnsi="Arial" w:cs="Arial"/>
          <w:sz w:val="22"/>
          <w:szCs w:val="22"/>
        </w:rPr>
        <w:t xml:space="preserve">The above table (1.0) shows the Baseline Demographic presentation of the study participants. Out of total 223 GERD patients most of them were female 142(63.7%). The mean (± standard deviation) age was found to be 42.9(±14.1) years. Majority of the study participants were married (81.2%) followed by unmarried (16.1%). Almost three fourth of the study participants were having </w:t>
      </w:r>
      <w:r w:rsidRPr="007E4977">
        <w:rPr>
          <w:rFonts w:ascii="Arial" w:hAnsi="Arial" w:cs="Arial"/>
          <w:color w:val="000000"/>
          <w:sz w:val="22"/>
          <w:szCs w:val="22"/>
        </w:rPr>
        <w:t xml:space="preserve">Educational Qualification more than Class </w:t>
      </w:r>
      <w:proofErr w:type="spellStart"/>
      <w:r w:rsidRPr="007E4977">
        <w:rPr>
          <w:rFonts w:ascii="Arial" w:hAnsi="Arial" w:cs="Arial"/>
          <w:color w:val="000000"/>
          <w:sz w:val="22"/>
          <w:szCs w:val="22"/>
        </w:rPr>
        <w:t>Xth</w:t>
      </w:r>
      <w:proofErr w:type="spellEnd"/>
      <w:r w:rsidRPr="007E4977">
        <w:rPr>
          <w:rFonts w:ascii="Arial" w:hAnsi="Arial" w:cs="Arial"/>
          <w:color w:val="000000"/>
          <w:sz w:val="22"/>
          <w:szCs w:val="22"/>
          <w:vertAlign w:val="subscript"/>
        </w:rPr>
        <w:t>.</w:t>
      </w:r>
    </w:p>
    <w:p w:rsidR="007E4977" w:rsidRPr="007E4977" w:rsidRDefault="007E4977" w:rsidP="007E4977">
      <w:pPr>
        <w:spacing w:line="276" w:lineRule="auto"/>
        <w:jc w:val="both"/>
        <w:rPr>
          <w:rFonts w:ascii="Arial" w:hAnsi="Arial" w:cs="Arial"/>
          <w:sz w:val="22"/>
          <w:szCs w:val="22"/>
        </w:rPr>
      </w:pPr>
    </w:p>
    <w:p w:rsidR="007E4977" w:rsidRPr="007E4977" w:rsidRDefault="00666964" w:rsidP="007E4977">
      <w:pPr>
        <w:spacing w:line="276" w:lineRule="auto"/>
        <w:jc w:val="both"/>
        <w:rPr>
          <w:rFonts w:ascii="Arial" w:hAnsi="Arial" w:cs="Arial"/>
          <w:sz w:val="22"/>
          <w:szCs w:val="22"/>
        </w:rPr>
      </w:pPr>
      <w:r w:rsidRPr="00666964">
        <w:rPr>
          <w:rFonts w:ascii="Arial" w:hAnsi="Arial" w:cs="Arial"/>
          <w:sz w:val="22"/>
          <w:szCs w:val="22"/>
        </w:rPr>
        <w:t>Table1.</w:t>
      </w:r>
      <w:proofErr w:type="gramStart"/>
      <w:r w:rsidRPr="00666964">
        <w:rPr>
          <w:rFonts w:ascii="Arial" w:hAnsi="Arial" w:cs="Arial"/>
          <w:sz w:val="22"/>
          <w:szCs w:val="22"/>
        </w:rPr>
        <w:t>0  Baseline</w:t>
      </w:r>
      <w:proofErr w:type="gramEnd"/>
      <w:r w:rsidRPr="00666964">
        <w:rPr>
          <w:rFonts w:ascii="Arial" w:hAnsi="Arial" w:cs="Arial"/>
          <w:sz w:val="22"/>
          <w:szCs w:val="22"/>
        </w:rPr>
        <w:t xml:space="preserve"> Demographic presentation of the study participants for GERD-QOL Questionnaire (n=223)</w:t>
      </w:r>
    </w:p>
    <w:p w:rsidR="007E4977" w:rsidRPr="007E4977" w:rsidRDefault="007E4977" w:rsidP="007E4977">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2970"/>
      </w:tblGrid>
      <w:tr w:rsidR="007E4977" w:rsidRPr="007E4977">
        <w:tc>
          <w:tcPr>
            <w:tcW w:w="622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b/>
                <w:bCs/>
                <w:sz w:val="22"/>
                <w:szCs w:val="22"/>
              </w:rPr>
            </w:pPr>
            <w:bookmarkStart w:id="2" w:name="_Hlk210322478"/>
            <w:r w:rsidRPr="007E4977">
              <w:rPr>
                <w:rFonts w:ascii="Arial" w:hAnsi="Arial" w:cs="Arial"/>
                <w:b/>
                <w:bCs/>
                <w:sz w:val="22"/>
                <w:szCs w:val="22"/>
              </w:rPr>
              <w:t>Response related to question on GERD-QOL</w:t>
            </w:r>
          </w:p>
        </w:tc>
        <w:tc>
          <w:tcPr>
            <w:tcW w:w="2970"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b/>
                <w:bCs/>
                <w:sz w:val="22"/>
                <w:szCs w:val="22"/>
              </w:rPr>
            </w:pPr>
            <w:proofErr w:type="gramStart"/>
            <w:r w:rsidRPr="007E4977">
              <w:rPr>
                <w:rFonts w:ascii="Arial" w:hAnsi="Arial" w:cs="Arial"/>
                <w:b/>
                <w:bCs/>
                <w:sz w:val="22"/>
                <w:szCs w:val="22"/>
              </w:rPr>
              <w:t>No.(</w:t>
            </w:r>
            <w:proofErr w:type="gramEnd"/>
            <w:r w:rsidRPr="007E4977">
              <w:rPr>
                <w:rFonts w:ascii="Arial" w:hAnsi="Arial" w:cs="Arial"/>
                <w:b/>
                <w:bCs/>
                <w:sz w:val="22"/>
                <w:szCs w:val="22"/>
              </w:rPr>
              <w:t>%)</w:t>
            </w:r>
          </w:p>
        </w:tc>
      </w:tr>
      <w:tr w:rsidR="007E4977" w:rsidRPr="007E4977">
        <w:tc>
          <w:tcPr>
            <w:tcW w:w="622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rPr>
                <w:rFonts w:ascii="Arial" w:hAnsi="Arial" w:cs="Arial"/>
                <w:sz w:val="22"/>
                <w:szCs w:val="22"/>
                <w:u w:val="single"/>
              </w:rPr>
            </w:pPr>
            <w:r w:rsidRPr="007E4977">
              <w:rPr>
                <w:rFonts w:ascii="Arial" w:hAnsi="Arial" w:cs="Arial"/>
                <w:sz w:val="22"/>
                <w:szCs w:val="22"/>
                <w:u w:val="single"/>
              </w:rPr>
              <w:t xml:space="preserve">How Bad is heart </w:t>
            </w:r>
            <w:proofErr w:type="gramStart"/>
            <w:r w:rsidRPr="007E4977">
              <w:rPr>
                <w:rFonts w:ascii="Arial" w:hAnsi="Arial" w:cs="Arial"/>
                <w:sz w:val="22"/>
                <w:szCs w:val="22"/>
                <w:u w:val="single"/>
              </w:rPr>
              <w:t>burn</w:t>
            </w:r>
            <w:proofErr w:type="gramEnd"/>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No symptoms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but not bothersome</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and bothersome, but not everyday</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 xml:space="preserve">Symptoms bothersome everyday </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affect daily activities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are incapacitating, unable to do daily activities</w:t>
            </w:r>
          </w:p>
        </w:tc>
        <w:tc>
          <w:tcPr>
            <w:tcW w:w="2970"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rPr>
                <w:rFonts w:ascii="Arial" w:hAnsi="Arial" w:cs="Arial"/>
                <w:color w:val="FF0000"/>
                <w:sz w:val="22"/>
                <w:szCs w:val="22"/>
              </w:rPr>
            </w:pPr>
          </w:p>
          <w:p w:rsidR="007E4977" w:rsidRPr="007E4977" w:rsidRDefault="007E4977" w:rsidP="007E4977">
            <w:pPr>
              <w:spacing w:after="0" w:line="276" w:lineRule="auto"/>
              <w:rPr>
                <w:rFonts w:ascii="Arial" w:hAnsi="Arial" w:cs="Arial"/>
                <w:color w:val="000000"/>
                <w:sz w:val="22"/>
                <w:szCs w:val="22"/>
              </w:rPr>
            </w:pPr>
            <w:r w:rsidRPr="007E4977">
              <w:rPr>
                <w:rFonts w:ascii="Arial" w:hAnsi="Arial" w:cs="Arial"/>
                <w:color w:val="000000"/>
                <w:sz w:val="22"/>
                <w:szCs w:val="22"/>
              </w:rPr>
              <w:t>47(21.1)</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58(26.0)</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42(18.8)</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27(12.1)</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27(12.1)</w:t>
            </w:r>
          </w:p>
          <w:p w:rsidR="007E4977" w:rsidRPr="007E4977" w:rsidRDefault="007E4977" w:rsidP="007E4977">
            <w:pPr>
              <w:spacing w:after="0" w:line="276" w:lineRule="auto"/>
              <w:jc w:val="center"/>
              <w:rPr>
                <w:rFonts w:ascii="Arial" w:hAnsi="Arial" w:cs="Arial"/>
                <w:color w:val="FF0000"/>
                <w:sz w:val="22"/>
                <w:szCs w:val="22"/>
              </w:rPr>
            </w:pPr>
            <w:r w:rsidRPr="007E4977">
              <w:rPr>
                <w:rFonts w:ascii="Arial" w:hAnsi="Arial" w:cs="Arial"/>
                <w:color w:val="000000"/>
                <w:sz w:val="22"/>
                <w:szCs w:val="22"/>
              </w:rPr>
              <w:t>22(9.9)</w:t>
            </w:r>
          </w:p>
        </w:tc>
      </w:tr>
      <w:tr w:rsidR="007E4977" w:rsidRPr="007E4977">
        <w:trPr>
          <w:trHeight w:val="1952"/>
        </w:trPr>
        <w:tc>
          <w:tcPr>
            <w:tcW w:w="622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sz w:val="22"/>
                <w:szCs w:val="22"/>
                <w:u w:val="single"/>
              </w:rPr>
            </w:pPr>
            <w:r w:rsidRPr="007E4977">
              <w:rPr>
                <w:rFonts w:ascii="Arial" w:hAnsi="Arial" w:cs="Arial"/>
                <w:sz w:val="22"/>
                <w:szCs w:val="22"/>
                <w:u w:val="single"/>
              </w:rPr>
              <w:lastRenderedPageBreak/>
              <w:t>Heartburn when lying down</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No symptoms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but not bothersome</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and bothersome, but not everyday</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 xml:space="preserve">Symptoms bothersome everyday </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affect daily activities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are incapacitating, unable to do daily activities</w:t>
            </w:r>
          </w:p>
        </w:tc>
        <w:tc>
          <w:tcPr>
            <w:tcW w:w="2970" w:type="dxa"/>
            <w:tcBorders>
              <w:top w:val="single" w:sz="4" w:space="0" w:color="auto"/>
              <w:left w:val="single" w:sz="4" w:space="0" w:color="auto"/>
              <w:bottom w:val="single" w:sz="4" w:space="0" w:color="auto"/>
              <w:right w:val="single" w:sz="4" w:space="0" w:color="auto"/>
            </w:tcBorders>
          </w:tcPr>
          <w:p w:rsidR="007E4977" w:rsidRPr="007E4977" w:rsidRDefault="007E4977" w:rsidP="007E4977">
            <w:pPr>
              <w:spacing w:after="0" w:line="276" w:lineRule="auto"/>
              <w:jc w:val="center"/>
              <w:rPr>
                <w:rFonts w:ascii="Arial" w:hAnsi="Arial" w:cs="Arial"/>
                <w:color w:val="FF0000"/>
                <w:sz w:val="22"/>
                <w:szCs w:val="22"/>
              </w:rPr>
            </w:pPr>
          </w:p>
          <w:p w:rsidR="007E4977" w:rsidRPr="007E4977" w:rsidRDefault="007E4977" w:rsidP="007E4977">
            <w:pPr>
              <w:spacing w:after="0" w:line="276" w:lineRule="auto"/>
              <w:rPr>
                <w:rFonts w:ascii="Arial" w:hAnsi="Arial" w:cs="Arial"/>
                <w:color w:val="000000"/>
                <w:sz w:val="22"/>
                <w:szCs w:val="22"/>
              </w:rPr>
            </w:pPr>
            <w:r w:rsidRPr="007E4977">
              <w:rPr>
                <w:rFonts w:ascii="Arial" w:hAnsi="Arial" w:cs="Arial"/>
                <w:color w:val="000000"/>
                <w:sz w:val="22"/>
                <w:szCs w:val="22"/>
              </w:rPr>
              <w:t>76(34.1)</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49(22.0)</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40(17.9)</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25(11.1)</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17(7.6)</w:t>
            </w:r>
          </w:p>
          <w:p w:rsidR="007E4977" w:rsidRPr="007E4977" w:rsidRDefault="007E4977" w:rsidP="007E4977">
            <w:pPr>
              <w:spacing w:after="0" w:line="276" w:lineRule="auto"/>
              <w:jc w:val="center"/>
              <w:rPr>
                <w:rFonts w:ascii="Arial" w:hAnsi="Arial" w:cs="Arial"/>
                <w:color w:val="FF0000"/>
                <w:sz w:val="22"/>
                <w:szCs w:val="22"/>
              </w:rPr>
            </w:pPr>
            <w:r w:rsidRPr="007E4977">
              <w:rPr>
                <w:rFonts w:ascii="Arial" w:hAnsi="Arial" w:cs="Arial"/>
                <w:color w:val="000000"/>
                <w:sz w:val="22"/>
                <w:szCs w:val="22"/>
              </w:rPr>
              <w:t>16(7.2)</w:t>
            </w:r>
          </w:p>
        </w:tc>
      </w:tr>
      <w:tr w:rsidR="007E4977" w:rsidRPr="007E4977">
        <w:tc>
          <w:tcPr>
            <w:tcW w:w="622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sz w:val="22"/>
                <w:szCs w:val="22"/>
                <w:u w:val="single"/>
              </w:rPr>
            </w:pPr>
            <w:r w:rsidRPr="007E4977">
              <w:rPr>
                <w:rFonts w:ascii="Arial" w:hAnsi="Arial" w:cs="Arial"/>
                <w:sz w:val="22"/>
                <w:szCs w:val="22"/>
                <w:u w:val="single"/>
              </w:rPr>
              <w:t>Heartburn when standing up</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No symptoms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but not bothersome</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and bothersome, but not everyday</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 xml:space="preserve">Symptoms bothersome everyday </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affect daily activities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are incapacitating, unable to do daily activities</w:t>
            </w:r>
          </w:p>
        </w:tc>
        <w:tc>
          <w:tcPr>
            <w:tcW w:w="2970" w:type="dxa"/>
            <w:tcBorders>
              <w:top w:val="single" w:sz="4" w:space="0" w:color="auto"/>
              <w:left w:val="single" w:sz="4" w:space="0" w:color="auto"/>
              <w:bottom w:val="single" w:sz="4" w:space="0" w:color="auto"/>
              <w:right w:val="single" w:sz="4" w:space="0" w:color="auto"/>
            </w:tcBorders>
          </w:tcPr>
          <w:p w:rsidR="007E4977" w:rsidRPr="007E4977" w:rsidRDefault="007E4977" w:rsidP="007E4977">
            <w:pPr>
              <w:spacing w:after="0" w:line="276" w:lineRule="auto"/>
              <w:jc w:val="center"/>
              <w:rPr>
                <w:rFonts w:ascii="Arial" w:hAnsi="Arial" w:cs="Arial"/>
                <w:color w:val="FF0000"/>
                <w:sz w:val="22"/>
                <w:szCs w:val="22"/>
              </w:rPr>
            </w:pPr>
          </w:p>
          <w:p w:rsidR="007E4977" w:rsidRPr="007E4977" w:rsidRDefault="007E4977" w:rsidP="007E4977">
            <w:pPr>
              <w:spacing w:after="0" w:line="276" w:lineRule="auto"/>
              <w:rPr>
                <w:rFonts w:ascii="Arial" w:hAnsi="Arial" w:cs="Arial"/>
                <w:color w:val="000000"/>
                <w:sz w:val="22"/>
                <w:szCs w:val="22"/>
              </w:rPr>
            </w:pPr>
            <w:r w:rsidRPr="007E4977">
              <w:rPr>
                <w:rFonts w:ascii="Arial" w:hAnsi="Arial" w:cs="Arial"/>
                <w:color w:val="FF0000"/>
                <w:sz w:val="22"/>
                <w:szCs w:val="22"/>
              </w:rPr>
              <w:tab/>
            </w:r>
            <w:r w:rsidRPr="007E4977">
              <w:rPr>
                <w:rFonts w:ascii="Arial" w:hAnsi="Arial" w:cs="Arial"/>
                <w:color w:val="000000"/>
                <w:sz w:val="22"/>
                <w:szCs w:val="22"/>
              </w:rPr>
              <w:t>71(31.8)</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46(20.6)</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43(19.3)</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34(15.2)</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18(8.1)</w:t>
            </w:r>
          </w:p>
          <w:p w:rsidR="007E4977" w:rsidRPr="007E4977" w:rsidRDefault="007E4977" w:rsidP="007E4977">
            <w:pPr>
              <w:tabs>
                <w:tab w:val="left" w:pos="880"/>
              </w:tabs>
              <w:spacing w:after="0" w:line="276" w:lineRule="auto"/>
              <w:rPr>
                <w:rFonts w:ascii="Arial" w:hAnsi="Arial" w:cs="Arial"/>
                <w:color w:val="FF0000"/>
                <w:sz w:val="22"/>
                <w:szCs w:val="22"/>
              </w:rPr>
            </w:pPr>
            <w:r w:rsidRPr="007E4977">
              <w:rPr>
                <w:rFonts w:ascii="Arial" w:hAnsi="Arial" w:cs="Arial"/>
                <w:color w:val="000000"/>
                <w:sz w:val="22"/>
                <w:szCs w:val="22"/>
              </w:rPr>
              <w:t xml:space="preserve">                     11(4.9)</w:t>
            </w:r>
          </w:p>
        </w:tc>
      </w:tr>
      <w:tr w:rsidR="007E4977" w:rsidRPr="007E4977">
        <w:tc>
          <w:tcPr>
            <w:tcW w:w="622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sz w:val="22"/>
                <w:szCs w:val="22"/>
                <w:u w:val="single"/>
              </w:rPr>
            </w:pPr>
            <w:r w:rsidRPr="007E4977">
              <w:rPr>
                <w:rFonts w:ascii="Arial" w:hAnsi="Arial" w:cs="Arial"/>
                <w:sz w:val="22"/>
                <w:szCs w:val="22"/>
                <w:u w:val="single"/>
              </w:rPr>
              <w:t>Heartburn after meals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No symptoms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but not bothersome</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and bothersome, but not everyday</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 xml:space="preserve">Symptoms bothersome everyday </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affect daily activities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are incapacitating, unable to do daily activities</w:t>
            </w:r>
          </w:p>
        </w:tc>
        <w:tc>
          <w:tcPr>
            <w:tcW w:w="2970"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rPr>
                <w:rFonts w:ascii="Arial" w:hAnsi="Arial" w:cs="Arial"/>
                <w:color w:val="FF0000"/>
                <w:sz w:val="22"/>
                <w:szCs w:val="22"/>
              </w:rPr>
            </w:pPr>
          </w:p>
          <w:p w:rsidR="007E4977" w:rsidRPr="007E4977" w:rsidRDefault="007E4977" w:rsidP="007E4977">
            <w:pPr>
              <w:spacing w:after="0" w:line="276" w:lineRule="auto"/>
              <w:rPr>
                <w:rFonts w:ascii="Arial" w:hAnsi="Arial" w:cs="Arial"/>
                <w:color w:val="000000"/>
                <w:sz w:val="22"/>
                <w:szCs w:val="22"/>
              </w:rPr>
            </w:pPr>
            <w:r w:rsidRPr="007E4977">
              <w:rPr>
                <w:rFonts w:ascii="Arial" w:hAnsi="Arial" w:cs="Arial"/>
                <w:color w:val="000000"/>
                <w:sz w:val="22"/>
                <w:szCs w:val="22"/>
              </w:rPr>
              <w:t>56(25.1)</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40(17.9)</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44(19.7)</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38(17.0)</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15(6.7)</w:t>
            </w:r>
          </w:p>
          <w:p w:rsidR="007E4977" w:rsidRPr="007E4977" w:rsidRDefault="007E4977" w:rsidP="007E4977">
            <w:pPr>
              <w:spacing w:after="0" w:line="276" w:lineRule="auto"/>
              <w:jc w:val="center"/>
              <w:rPr>
                <w:rFonts w:ascii="Arial" w:hAnsi="Arial" w:cs="Arial"/>
                <w:color w:val="FF0000"/>
                <w:sz w:val="22"/>
                <w:szCs w:val="22"/>
              </w:rPr>
            </w:pPr>
            <w:r w:rsidRPr="007E4977">
              <w:rPr>
                <w:rFonts w:ascii="Arial" w:hAnsi="Arial" w:cs="Arial"/>
                <w:color w:val="000000"/>
                <w:sz w:val="22"/>
                <w:szCs w:val="22"/>
              </w:rPr>
              <w:t>30(13.5)</w:t>
            </w:r>
          </w:p>
        </w:tc>
      </w:tr>
      <w:tr w:rsidR="007E4977" w:rsidRPr="007E4977">
        <w:tc>
          <w:tcPr>
            <w:tcW w:w="622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rPr>
                <w:rFonts w:ascii="Arial" w:hAnsi="Arial" w:cs="Arial"/>
                <w:sz w:val="22"/>
                <w:szCs w:val="22"/>
                <w:u w:val="single"/>
              </w:rPr>
            </w:pPr>
            <w:r w:rsidRPr="007E4977">
              <w:rPr>
                <w:rFonts w:ascii="Arial" w:hAnsi="Arial" w:cs="Arial"/>
                <w:sz w:val="22"/>
                <w:szCs w:val="22"/>
                <w:u w:val="single"/>
              </w:rPr>
              <w:t>heartburn leads to change your diet</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No symptoms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but not bothersome</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and bothersome, but not everyday</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 xml:space="preserve">Symptoms bothersome everyday </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affect daily activities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are incapacitating, unable to do daily activities</w:t>
            </w:r>
          </w:p>
        </w:tc>
        <w:tc>
          <w:tcPr>
            <w:tcW w:w="2970" w:type="dxa"/>
            <w:tcBorders>
              <w:top w:val="single" w:sz="4" w:space="0" w:color="auto"/>
              <w:left w:val="single" w:sz="4" w:space="0" w:color="auto"/>
              <w:bottom w:val="single" w:sz="4" w:space="0" w:color="auto"/>
              <w:right w:val="single" w:sz="4" w:space="0" w:color="auto"/>
            </w:tcBorders>
          </w:tcPr>
          <w:p w:rsidR="007E4977" w:rsidRPr="007E4977" w:rsidRDefault="007E4977" w:rsidP="007E4977">
            <w:pPr>
              <w:spacing w:after="0" w:line="276" w:lineRule="auto"/>
              <w:jc w:val="center"/>
              <w:rPr>
                <w:rFonts w:ascii="Arial" w:hAnsi="Arial" w:cs="Arial"/>
                <w:color w:val="FF0000"/>
                <w:sz w:val="22"/>
                <w:szCs w:val="22"/>
              </w:rPr>
            </w:pPr>
          </w:p>
          <w:p w:rsidR="007E4977" w:rsidRPr="007E4977" w:rsidRDefault="007E4977" w:rsidP="007E4977">
            <w:pPr>
              <w:spacing w:after="0" w:line="276" w:lineRule="auto"/>
              <w:rPr>
                <w:rFonts w:ascii="Arial" w:hAnsi="Arial" w:cs="Arial"/>
                <w:color w:val="000000"/>
                <w:sz w:val="22"/>
                <w:szCs w:val="22"/>
              </w:rPr>
            </w:pPr>
            <w:r w:rsidRPr="007E4977">
              <w:rPr>
                <w:rFonts w:ascii="Arial" w:hAnsi="Arial" w:cs="Arial"/>
                <w:color w:val="000000"/>
                <w:sz w:val="22"/>
                <w:szCs w:val="22"/>
              </w:rPr>
              <w:t>37(16.6)</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46(20.6)</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51(22.9)</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35(15.7)</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27(12.1)</w:t>
            </w:r>
          </w:p>
          <w:p w:rsidR="007E4977" w:rsidRPr="007E4977" w:rsidRDefault="007E4977" w:rsidP="007E4977">
            <w:pPr>
              <w:spacing w:after="0" w:line="276" w:lineRule="auto"/>
              <w:jc w:val="center"/>
              <w:rPr>
                <w:rFonts w:ascii="Arial" w:hAnsi="Arial" w:cs="Arial"/>
                <w:color w:val="FF0000"/>
                <w:sz w:val="22"/>
                <w:szCs w:val="22"/>
              </w:rPr>
            </w:pPr>
            <w:r w:rsidRPr="007E4977">
              <w:rPr>
                <w:rFonts w:ascii="Arial" w:hAnsi="Arial" w:cs="Arial"/>
                <w:color w:val="000000"/>
                <w:sz w:val="22"/>
                <w:szCs w:val="22"/>
              </w:rPr>
              <w:t>27(12.1)</w:t>
            </w:r>
          </w:p>
        </w:tc>
      </w:tr>
      <w:tr w:rsidR="007E4977" w:rsidRPr="007E4977">
        <w:tc>
          <w:tcPr>
            <w:tcW w:w="622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sz w:val="22"/>
                <w:szCs w:val="22"/>
                <w:u w:val="single"/>
              </w:rPr>
            </w:pPr>
            <w:r w:rsidRPr="007E4977">
              <w:rPr>
                <w:rFonts w:ascii="Arial" w:hAnsi="Arial" w:cs="Arial"/>
                <w:sz w:val="22"/>
                <w:szCs w:val="22"/>
                <w:u w:val="single"/>
              </w:rPr>
              <w:t>Heartburn awakes you</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No symptoms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but not bothersome</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and bothersome, but not everyday</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 xml:space="preserve">Symptoms bothersome everyday </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affect daily activities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are incapacitating, unable to do daily activities</w:t>
            </w:r>
          </w:p>
        </w:tc>
        <w:tc>
          <w:tcPr>
            <w:tcW w:w="2970" w:type="dxa"/>
            <w:tcBorders>
              <w:top w:val="single" w:sz="4" w:space="0" w:color="auto"/>
              <w:left w:val="single" w:sz="4" w:space="0" w:color="auto"/>
              <w:bottom w:val="single" w:sz="4" w:space="0" w:color="auto"/>
              <w:right w:val="single" w:sz="4" w:space="0" w:color="auto"/>
            </w:tcBorders>
          </w:tcPr>
          <w:p w:rsidR="007E4977" w:rsidRPr="007E4977" w:rsidRDefault="007E4977" w:rsidP="007E4977">
            <w:pPr>
              <w:spacing w:after="0" w:line="276" w:lineRule="auto"/>
              <w:jc w:val="center"/>
              <w:rPr>
                <w:rFonts w:ascii="Arial" w:hAnsi="Arial" w:cs="Arial"/>
                <w:color w:val="FF0000"/>
                <w:sz w:val="22"/>
                <w:szCs w:val="22"/>
              </w:rPr>
            </w:pPr>
          </w:p>
          <w:p w:rsidR="007E4977" w:rsidRPr="007E4977" w:rsidRDefault="007E4977" w:rsidP="007E4977">
            <w:pPr>
              <w:spacing w:after="0" w:line="276" w:lineRule="auto"/>
              <w:rPr>
                <w:rFonts w:ascii="Arial" w:hAnsi="Arial" w:cs="Arial"/>
                <w:color w:val="000000"/>
                <w:sz w:val="22"/>
                <w:szCs w:val="22"/>
              </w:rPr>
            </w:pPr>
            <w:r w:rsidRPr="007E4977">
              <w:rPr>
                <w:rFonts w:ascii="Arial" w:hAnsi="Arial" w:cs="Arial"/>
                <w:color w:val="000000"/>
                <w:sz w:val="22"/>
                <w:szCs w:val="22"/>
              </w:rPr>
              <w:t xml:space="preserve">                    69(30.9)</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48(21.5)</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41(18.4)</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36(16.1)</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14(6.3)</w:t>
            </w:r>
          </w:p>
          <w:p w:rsidR="007E4977" w:rsidRPr="007E4977" w:rsidRDefault="007E4977" w:rsidP="007E4977">
            <w:pPr>
              <w:spacing w:after="0" w:line="276" w:lineRule="auto"/>
              <w:jc w:val="center"/>
              <w:rPr>
                <w:rFonts w:ascii="Arial" w:hAnsi="Arial" w:cs="Arial"/>
                <w:color w:val="FF0000"/>
                <w:sz w:val="22"/>
                <w:szCs w:val="22"/>
              </w:rPr>
            </w:pPr>
            <w:r w:rsidRPr="007E4977">
              <w:rPr>
                <w:rFonts w:ascii="Arial" w:hAnsi="Arial" w:cs="Arial"/>
                <w:color w:val="000000"/>
                <w:sz w:val="22"/>
                <w:szCs w:val="22"/>
              </w:rPr>
              <w:t>15(6.7)</w:t>
            </w:r>
          </w:p>
        </w:tc>
      </w:tr>
      <w:tr w:rsidR="007E4977" w:rsidRPr="007E4977">
        <w:tc>
          <w:tcPr>
            <w:tcW w:w="622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sz w:val="22"/>
                <w:szCs w:val="22"/>
                <w:u w:val="single"/>
              </w:rPr>
            </w:pPr>
            <w:r w:rsidRPr="007E4977">
              <w:rPr>
                <w:rFonts w:ascii="Arial" w:hAnsi="Arial" w:cs="Arial"/>
                <w:sz w:val="22"/>
                <w:szCs w:val="22"/>
                <w:u w:val="single"/>
              </w:rPr>
              <w:t>Difficulty in swallowing</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No symptoms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but not bothersome</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and bothersome, but not everyday</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 xml:space="preserve">Symptoms bothersome everyday </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affect daily activities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are incapacitating, unable to do daily activities</w:t>
            </w:r>
          </w:p>
        </w:tc>
        <w:tc>
          <w:tcPr>
            <w:tcW w:w="2970" w:type="dxa"/>
            <w:tcBorders>
              <w:top w:val="single" w:sz="4" w:space="0" w:color="auto"/>
              <w:left w:val="single" w:sz="4" w:space="0" w:color="auto"/>
              <w:bottom w:val="single" w:sz="4" w:space="0" w:color="auto"/>
              <w:right w:val="single" w:sz="4" w:space="0" w:color="auto"/>
            </w:tcBorders>
          </w:tcPr>
          <w:p w:rsidR="007E4977" w:rsidRPr="007E4977" w:rsidRDefault="007E4977" w:rsidP="007E4977">
            <w:pPr>
              <w:spacing w:after="0" w:line="276" w:lineRule="auto"/>
              <w:jc w:val="center"/>
              <w:rPr>
                <w:rFonts w:ascii="Arial" w:hAnsi="Arial" w:cs="Arial"/>
                <w:color w:val="FF0000"/>
                <w:sz w:val="22"/>
                <w:szCs w:val="22"/>
              </w:rPr>
            </w:pP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87(39.0)</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56(25.1)</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43(19.3)</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15(6.7)</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13(5.8)</w:t>
            </w:r>
          </w:p>
          <w:p w:rsidR="007E4977" w:rsidRPr="007E4977" w:rsidRDefault="007E4977" w:rsidP="007E4977">
            <w:pPr>
              <w:spacing w:after="0" w:line="276" w:lineRule="auto"/>
              <w:jc w:val="center"/>
              <w:rPr>
                <w:rFonts w:ascii="Arial" w:hAnsi="Arial" w:cs="Arial"/>
                <w:color w:val="FF0000"/>
                <w:sz w:val="22"/>
                <w:szCs w:val="22"/>
              </w:rPr>
            </w:pPr>
            <w:r w:rsidRPr="007E4977">
              <w:rPr>
                <w:rFonts w:ascii="Arial" w:hAnsi="Arial" w:cs="Arial"/>
                <w:color w:val="000000"/>
                <w:sz w:val="22"/>
                <w:szCs w:val="22"/>
              </w:rPr>
              <w:t>9(4.0)</w:t>
            </w:r>
          </w:p>
        </w:tc>
      </w:tr>
      <w:tr w:rsidR="007E4977" w:rsidRPr="007E4977">
        <w:tc>
          <w:tcPr>
            <w:tcW w:w="622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sz w:val="22"/>
                <w:szCs w:val="22"/>
                <w:u w:val="single"/>
              </w:rPr>
            </w:pPr>
            <w:r w:rsidRPr="007E4977">
              <w:rPr>
                <w:rFonts w:ascii="Arial" w:hAnsi="Arial" w:cs="Arial"/>
                <w:sz w:val="22"/>
                <w:szCs w:val="22"/>
                <w:u w:val="single"/>
              </w:rPr>
              <w:t>Pain with swallowing</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No symptoms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but not bothersome</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and bothersome, but not everyday</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 xml:space="preserve">Symptoms bothersome everyday </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lastRenderedPageBreak/>
              <w:t>Symptoms affect daily activities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are incapacitating, unable to do daily activities</w:t>
            </w:r>
          </w:p>
        </w:tc>
        <w:tc>
          <w:tcPr>
            <w:tcW w:w="2970" w:type="dxa"/>
            <w:tcBorders>
              <w:top w:val="single" w:sz="4" w:space="0" w:color="auto"/>
              <w:left w:val="single" w:sz="4" w:space="0" w:color="auto"/>
              <w:bottom w:val="single" w:sz="4" w:space="0" w:color="auto"/>
              <w:right w:val="single" w:sz="4" w:space="0" w:color="auto"/>
            </w:tcBorders>
          </w:tcPr>
          <w:p w:rsidR="007E4977" w:rsidRPr="007E4977" w:rsidRDefault="007E4977" w:rsidP="007E4977">
            <w:pPr>
              <w:spacing w:after="0" w:line="276" w:lineRule="auto"/>
              <w:jc w:val="center"/>
              <w:rPr>
                <w:rFonts w:ascii="Arial" w:hAnsi="Arial" w:cs="Arial"/>
                <w:color w:val="FF0000"/>
                <w:sz w:val="22"/>
                <w:szCs w:val="22"/>
              </w:rPr>
            </w:pP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94(42.2)</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50(22.4)</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42(18.8)</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18(8.1)</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lastRenderedPageBreak/>
              <w:t>11(4.9)</w:t>
            </w:r>
          </w:p>
          <w:p w:rsidR="007E4977" w:rsidRPr="007E4977" w:rsidRDefault="007E4977" w:rsidP="007E4977">
            <w:pPr>
              <w:spacing w:after="0" w:line="276" w:lineRule="auto"/>
              <w:jc w:val="center"/>
              <w:rPr>
                <w:rFonts w:ascii="Arial" w:hAnsi="Arial" w:cs="Arial"/>
                <w:color w:val="FF0000"/>
                <w:sz w:val="22"/>
                <w:szCs w:val="22"/>
              </w:rPr>
            </w:pPr>
            <w:r w:rsidRPr="007E4977">
              <w:rPr>
                <w:rFonts w:ascii="Arial" w:hAnsi="Arial" w:cs="Arial"/>
                <w:color w:val="000000"/>
                <w:sz w:val="22"/>
                <w:szCs w:val="22"/>
              </w:rPr>
              <w:t>8(3.6)</w:t>
            </w:r>
          </w:p>
        </w:tc>
      </w:tr>
      <w:tr w:rsidR="007E4977" w:rsidRPr="007E4977">
        <w:tc>
          <w:tcPr>
            <w:tcW w:w="622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sz w:val="22"/>
                <w:szCs w:val="22"/>
                <w:u w:val="single"/>
              </w:rPr>
            </w:pPr>
            <w:r w:rsidRPr="007E4977">
              <w:rPr>
                <w:rFonts w:ascii="Arial" w:hAnsi="Arial" w:cs="Arial"/>
                <w:sz w:val="22"/>
                <w:szCs w:val="22"/>
                <w:u w:val="single"/>
              </w:rPr>
              <w:lastRenderedPageBreak/>
              <w:t>Have bloating or gassy feeling</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No symptoms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but not bothersome</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and bothersome, but not everyday</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 xml:space="preserve">Symptoms bothersome everyday </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affect daily activities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are incapacitating, unable to do daily activities</w:t>
            </w:r>
          </w:p>
        </w:tc>
        <w:tc>
          <w:tcPr>
            <w:tcW w:w="2970" w:type="dxa"/>
            <w:tcBorders>
              <w:top w:val="single" w:sz="4" w:space="0" w:color="auto"/>
              <w:left w:val="single" w:sz="4" w:space="0" w:color="auto"/>
              <w:bottom w:val="single" w:sz="4" w:space="0" w:color="auto"/>
              <w:right w:val="single" w:sz="4" w:space="0" w:color="auto"/>
            </w:tcBorders>
          </w:tcPr>
          <w:p w:rsidR="007E4977" w:rsidRPr="007E4977" w:rsidRDefault="007E4977" w:rsidP="007E4977">
            <w:pPr>
              <w:spacing w:after="0" w:line="276" w:lineRule="auto"/>
              <w:jc w:val="center"/>
              <w:rPr>
                <w:rFonts w:ascii="Arial" w:hAnsi="Arial" w:cs="Arial"/>
                <w:color w:val="FF0000"/>
                <w:sz w:val="22"/>
                <w:szCs w:val="22"/>
              </w:rPr>
            </w:pP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31(13.9)</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39(17.5)</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50(22.4)</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50(22.4)</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22(9.9)</w:t>
            </w:r>
          </w:p>
          <w:p w:rsidR="007E4977" w:rsidRPr="007E4977" w:rsidRDefault="007E4977" w:rsidP="007E4977">
            <w:pPr>
              <w:spacing w:after="0" w:line="276" w:lineRule="auto"/>
              <w:jc w:val="center"/>
              <w:rPr>
                <w:rFonts w:ascii="Arial" w:hAnsi="Arial" w:cs="Arial"/>
                <w:color w:val="FF0000"/>
                <w:sz w:val="22"/>
                <w:szCs w:val="22"/>
              </w:rPr>
            </w:pPr>
            <w:r w:rsidRPr="007E4977">
              <w:rPr>
                <w:rFonts w:ascii="Arial" w:hAnsi="Arial" w:cs="Arial"/>
                <w:color w:val="000000"/>
                <w:sz w:val="22"/>
                <w:szCs w:val="22"/>
              </w:rPr>
              <w:t>31(13.9)</w:t>
            </w:r>
          </w:p>
        </w:tc>
      </w:tr>
      <w:tr w:rsidR="007E4977" w:rsidRPr="007E4977">
        <w:tc>
          <w:tcPr>
            <w:tcW w:w="622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sz w:val="22"/>
                <w:szCs w:val="22"/>
                <w:u w:val="single"/>
              </w:rPr>
            </w:pPr>
            <w:r w:rsidRPr="007E4977">
              <w:rPr>
                <w:rFonts w:ascii="Arial" w:hAnsi="Arial" w:cs="Arial"/>
                <w:sz w:val="22"/>
                <w:szCs w:val="22"/>
                <w:u w:val="single"/>
              </w:rPr>
              <w:t>Medication affect your daily life</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No symptoms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but not bothersome</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noticeable and bothersome, but not everyday</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 xml:space="preserve">Symptoms bothersome everyday </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affect daily activities</w:t>
            </w:r>
          </w:p>
          <w:p w:rsidR="007E4977" w:rsidRPr="007E4977" w:rsidRDefault="007E4977" w:rsidP="007E4977">
            <w:pPr>
              <w:spacing w:after="0" w:line="276" w:lineRule="auto"/>
              <w:rPr>
                <w:rFonts w:ascii="Arial" w:hAnsi="Arial" w:cs="Arial"/>
                <w:sz w:val="22"/>
                <w:szCs w:val="22"/>
              </w:rPr>
            </w:pPr>
            <w:r w:rsidRPr="007E4977">
              <w:rPr>
                <w:rFonts w:ascii="Arial" w:hAnsi="Arial" w:cs="Arial"/>
                <w:sz w:val="22"/>
                <w:szCs w:val="22"/>
              </w:rPr>
              <w:t>Symptoms are incapacitating, unable to do daily activities</w:t>
            </w:r>
          </w:p>
        </w:tc>
        <w:tc>
          <w:tcPr>
            <w:tcW w:w="2970"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rPr>
                <w:rFonts w:ascii="Arial" w:hAnsi="Arial" w:cs="Arial"/>
                <w:color w:val="000000"/>
                <w:sz w:val="22"/>
                <w:szCs w:val="22"/>
              </w:rPr>
            </w:pPr>
          </w:p>
          <w:p w:rsidR="007E4977" w:rsidRPr="007E4977" w:rsidRDefault="007E4977" w:rsidP="007E4977">
            <w:pPr>
              <w:spacing w:after="0" w:line="276" w:lineRule="auto"/>
              <w:rPr>
                <w:rFonts w:ascii="Arial" w:hAnsi="Arial" w:cs="Arial"/>
                <w:color w:val="000000"/>
                <w:sz w:val="22"/>
                <w:szCs w:val="22"/>
              </w:rPr>
            </w:pPr>
            <w:r w:rsidRPr="007E4977">
              <w:rPr>
                <w:rFonts w:ascii="Arial" w:hAnsi="Arial" w:cs="Arial"/>
                <w:color w:val="000000"/>
                <w:sz w:val="22"/>
                <w:szCs w:val="22"/>
              </w:rPr>
              <w:t xml:space="preserve">                    48(21.5)</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53(23.8)</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52(23.3)</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34(15.2)</w:t>
            </w:r>
          </w:p>
          <w:p w:rsidR="007E4977" w:rsidRPr="007E4977" w:rsidRDefault="007E4977" w:rsidP="007E4977">
            <w:pPr>
              <w:spacing w:after="0" w:line="276" w:lineRule="auto"/>
              <w:jc w:val="center"/>
              <w:rPr>
                <w:rFonts w:ascii="Arial" w:hAnsi="Arial" w:cs="Arial"/>
                <w:color w:val="000000"/>
                <w:sz w:val="22"/>
                <w:szCs w:val="22"/>
              </w:rPr>
            </w:pPr>
            <w:r w:rsidRPr="007E4977">
              <w:rPr>
                <w:rFonts w:ascii="Arial" w:hAnsi="Arial" w:cs="Arial"/>
                <w:color w:val="000000"/>
                <w:sz w:val="22"/>
                <w:szCs w:val="22"/>
              </w:rPr>
              <w:t>16(7.2)</w:t>
            </w:r>
          </w:p>
          <w:p w:rsidR="007E4977" w:rsidRPr="007E4977" w:rsidRDefault="007E4977" w:rsidP="007E4977">
            <w:pPr>
              <w:spacing w:after="0" w:line="276" w:lineRule="auto"/>
              <w:jc w:val="center"/>
              <w:rPr>
                <w:rFonts w:ascii="Arial" w:hAnsi="Arial" w:cs="Arial"/>
                <w:color w:val="FF0000"/>
                <w:sz w:val="22"/>
                <w:szCs w:val="22"/>
              </w:rPr>
            </w:pPr>
            <w:r w:rsidRPr="007E4977">
              <w:rPr>
                <w:rFonts w:ascii="Arial" w:hAnsi="Arial" w:cs="Arial"/>
                <w:color w:val="000000"/>
                <w:sz w:val="22"/>
                <w:szCs w:val="22"/>
              </w:rPr>
              <w:t>20(9.0)</w:t>
            </w:r>
          </w:p>
        </w:tc>
      </w:tr>
      <w:tr w:rsidR="007E4977" w:rsidRPr="007E4977">
        <w:tc>
          <w:tcPr>
            <w:tcW w:w="622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after="0" w:line="276" w:lineRule="auto"/>
              <w:jc w:val="center"/>
              <w:rPr>
                <w:rFonts w:ascii="Arial" w:hAnsi="Arial" w:cs="Arial"/>
                <w:sz w:val="22"/>
                <w:szCs w:val="22"/>
                <w:u w:val="single"/>
              </w:rPr>
            </w:pPr>
            <w:r w:rsidRPr="007E4977">
              <w:rPr>
                <w:rFonts w:ascii="Arial" w:hAnsi="Arial" w:cs="Arial"/>
                <w:sz w:val="22"/>
                <w:szCs w:val="22"/>
                <w:u w:val="single"/>
              </w:rPr>
              <w:t>Satisfied with present condition</w:t>
            </w: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Dissatisfied</w:t>
            </w: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Neutral</w:t>
            </w: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Satisfied</w:t>
            </w:r>
          </w:p>
        </w:tc>
        <w:tc>
          <w:tcPr>
            <w:tcW w:w="2970" w:type="dxa"/>
            <w:tcBorders>
              <w:top w:val="single" w:sz="4" w:space="0" w:color="auto"/>
              <w:left w:val="single" w:sz="4" w:space="0" w:color="auto"/>
              <w:bottom w:val="single" w:sz="4" w:space="0" w:color="auto"/>
              <w:right w:val="single" w:sz="4" w:space="0" w:color="auto"/>
            </w:tcBorders>
          </w:tcPr>
          <w:p w:rsidR="007E4977" w:rsidRPr="007E4977" w:rsidRDefault="007E4977" w:rsidP="007E4977">
            <w:pPr>
              <w:spacing w:after="0" w:line="276" w:lineRule="auto"/>
              <w:jc w:val="center"/>
              <w:rPr>
                <w:rFonts w:ascii="Arial" w:hAnsi="Arial" w:cs="Arial"/>
                <w:sz w:val="22"/>
                <w:szCs w:val="22"/>
              </w:rPr>
            </w:pP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49(22.0)</w:t>
            </w: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99(44.4)</w:t>
            </w:r>
          </w:p>
          <w:p w:rsidR="007E4977" w:rsidRPr="007E4977" w:rsidRDefault="007E4977" w:rsidP="007E4977">
            <w:pPr>
              <w:spacing w:after="0" w:line="276" w:lineRule="auto"/>
              <w:jc w:val="center"/>
              <w:rPr>
                <w:rFonts w:ascii="Arial" w:hAnsi="Arial" w:cs="Arial"/>
                <w:sz w:val="22"/>
                <w:szCs w:val="22"/>
              </w:rPr>
            </w:pPr>
            <w:r w:rsidRPr="007E4977">
              <w:rPr>
                <w:rFonts w:ascii="Arial" w:hAnsi="Arial" w:cs="Arial"/>
                <w:sz w:val="22"/>
                <w:szCs w:val="22"/>
              </w:rPr>
              <w:t>75(33.6)</w:t>
            </w:r>
          </w:p>
        </w:tc>
      </w:tr>
      <w:bookmarkEnd w:id="2"/>
    </w:tbl>
    <w:p w:rsidR="007E4977" w:rsidRPr="007E4977" w:rsidRDefault="007E4977" w:rsidP="007E4977">
      <w:pPr>
        <w:spacing w:line="276" w:lineRule="auto"/>
        <w:jc w:val="both"/>
        <w:rPr>
          <w:rFonts w:ascii="Arial" w:hAnsi="Arial" w:cs="Arial"/>
          <w:sz w:val="22"/>
          <w:szCs w:val="22"/>
        </w:rPr>
      </w:pPr>
    </w:p>
    <w:p w:rsidR="007E4977" w:rsidRPr="007E4977" w:rsidRDefault="007E4977" w:rsidP="007E4977">
      <w:pPr>
        <w:spacing w:line="276" w:lineRule="auto"/>
        <w:jc w:val="both"/>
        <w:rPr>
          <w:rFonts w:ascii="Arial" w:hAnsi="Arial" w:cs="Arial"/>
          <w:sz w:val="22"/>
          <w:szCs w:val="22"/>
        </w:rPr>
      </w:pPr>
      <w:r w:rsidRPr="007E4977">
        <w:rPr>
          <w:rFonts w:ascii="Arial" w:hAnsi="Arial" w:cs="Arial"/>
          <w:b/>
          <w:bCs/>
          <w:sz w:val="22"/>
          <w:szCs w:val="22"/>
        </w:rPr>
        <w:t>Table2.0</w:t>
      </w:r>
      <w:r w:rsidRPr="007E4977">
        <w:rPr>
          <w:rFonts w:ascii="Arial" w:hAnsi="Arial" w:cs="Arial"/>
          <w:sz w:val="22"/>
          <w:szCs w:val="22"/>
        </w:rPr>
        <w:t xml:space="preserve"> Frequency distribution of GERD-QOL related response of the study participants</w:t>
      </w:r>
    </w:p>
    <w:p w:rsidR="007E4977" w:rsidRPr="007E4977" w:rsidRDefault="007E4977" w:rsidP="007E4977">
      <w:pPr>
        <w:spacing w:line="276" w:lineRule="auto"/>
        <w:jc w:val="both"/>
        <w:rPr>
          <w:rFonts w:ascii="Arial" w:hAnsi="Arial" w:cs="Arial"/>
          <w:sz w:val="22"/>
          <w:szCs w:val="22"/>
        </w:rPr>
      </w:pPr>
    </w:p>
    <w:p w:rsidR="007E4977" w:rsidRPr="007E4977" w:rsidRDefault="007E4977" w:rsidP="007E4977">
      <w:pPr>
        <w:spacing w:after="0" w:line="276" w:lineRule="auto"/>
        <w:jc w:val="both"/>
        <w:rPr>
          <w:rFonts w:ascii="Arial" w:hAnsi="Arial" w:cs="Arial"/>
          <w:sz w:val="22"/>
          <w:szCs w:val="22"/>
        </w:rPr>
      </w:pPr>
      <w:r w:rsidRPr="007E4977">
        <w:rPr>
          <w:rFonts w:ascii="Arial" w:hAnsi="Arial" w:cs="Arial"/>
          <w:sz w:val="22"/>
          <w:szCs w:val="22"/>
        </w:rPr>
        <w:t>The above table (2.0) presents the response related to questions asked on GERD-QOL Score of the study participants.58(26.0%) participants responded Symptoms noticeable, but not bothersome followed by 47(21.1%) of the study participants responded for no symptom Questions related to how bad is heart burn. Almost half (56.1%) of the study participants reported no symptom or Symptoms noticeable, but not bothersome of heartburn when lying down.14.2% of the study participants reported Symptoms are incapacitating, unable to do daily activities/ affects daily activities when lying down. For question related to heartburn when standing up, almost half (52.4%) reported no symptom or Symptoms noticeable, but not bothersome).Approximately one fourth (23.3%) of the study participants reported Symptoms are incapacitating, unable to do daily activities/ affects daily activities when standing up.45(20.2%) of the study participants reported Symptoms are incapacitating, unable to do daily activities/ affects daily activities when hearts burns happens after meal.54(24.2%) of the study participants reported Symptoms are incapacitating, unable to do daily activities/ affects daily activities when question was asked related to heartburn leads to change your diet.</w:t>
      </w:r>
      <w:r w:rsidRPr="007E4977">
        <w:rPr>
          <w:rFonts w:ascii="Arial" w:hAnsi="Arial" w:cs="Arial"/>
          <w:color w:val="000000"/>
          <w:sz w:val="22"/>
          <w:szCs w:val="22"/>
        </w:rPr>
        <w:t xml:space="preserve"> 69(30.9 %) of study participants reported no symptoms related to awakening from sleep due to heartburn. For question related to difficulty of swallowing due to heartburn, majority 143(64.1%) reported no symptoms or </w:t>
      </w:r>
      <w:r w:rsidRPr="007E4977">
        <w:rPr>
          <w:rFonts w:ascii="Arial" w:hAnsi="Arial" w:cs="Arial"/>
          <w:sz w:val="22"/>
          <w:szCs w:val="22"/>
        </w:rPr>
        <w:t xml:space="preserve">Symptoms noticeable, but not bothersome. only 19(8.5%) participants reported symptoms are incapacitating, unable to do daily activities/ affects daily activities when question was asked related to difficulty in swallowing due to heartburn. Almost one-fourth (23.8%) of the study participants reported symptoms are incapacitating, unable to do daily activities/ affects daily activities when question was asked related to Have bloating or gassy feeling due to heartburn. Half (47.3%) of the study participants reported no symptom or Symptoms noticeable, but not bothersome </w:t>
      </w:r>
      <w:r w:rsidRPr="007E4977">
        <w:rPr>
          <w:rFonts w:ascii="Arial" w:hAnsi="Arial" w:cs="Arial"/>
          <w:sz w:val="22"/>
          <w:szCs w:val="22"/>
        </w:rPr>
        <w:lastRenderedPageBreak/>
        <w:t>on question related to medication affecting your daily life. 99(44.4%) of the study participants reported neutral followed by 75(33.6%) on question related to Satisfaction with present condition. Only 49(22.0%) study participants were dissatisfied with present condition.</w:t>
      </w:r>
    </w:p>
    <w:p w:rsidR="007E4977" w:rsidRPr="007E4977" w:rsidRDefault="007E4977" w:rsidP="007E4977">
      <w:pPr>
        <w:spacing w:line="276" w:lineRule="auto"/>
        <w:jc w:val="both"/>
        <w:rPr>
          <w:rFonts w:ascii="Arial" w:hAnsi="Arial" w:cs="Arial"/>
          <w:sz w:val="22"/>
          <w:szCs w:val="22"/>
        </w:rPr>
      </w:pPr>
    </w:p>
    <w:p w:rsidR="007E4977" w:rsidRPr="007E4977" w:rsidRDefault="007E4977" w:rsidP="007E4977">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1559"/>
        <w:gridCol w:w="1733"/>
        <w:gridCol w:w="2886"/>
      </w:tblGrid>
      <w:tr w:rsidR="007E4977" w:rsidRPr="007E4977">
        <w:tc>
          <w:tcPr>
            <w:tcW w:w="3348" w:type="dxa"/>
            <w:tcBorders>
              <w:top w:val="single" w:sz="4" w:space="0" w:color="auto"/>
              <w:left w:val="single" w:sz="4" w:space="0" w:color="auto"/>
              <w:bottom w:val="single" w:sz="4" w:space="0" w:color="auto"/>
              <w:right w:val="single" w:sz="4" w:space="0" w:color="auto"/>
            </w:tcBorders>
          </w:tcPr>
          <w:p w:rsidR="007E4977" w:rsidRPr="007E4977" w:rsidRDefault="007E4977" w:rsidP="007E4977">
            <w:pPr>
              <w:spacing w:line="276" w:lineRule="auto"/>
              <w:rPr>
                <w:rFonts w:ascii="Arial" w:hAnsi="Arial" w:cs="Arial"/>
                <w:sz w:val="22"/>
                <w:szCs w:val="22"/>
              </w:rPr>
            </w:pPr>
          </w:p>
        </w:tc>
        <w:tc>
          <w:tcPr>
            <w:tcW w:w="1610"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line="276" w:lineRule="auto"/>
              <w:rPr>
                <w:rFonts w:ascii="Arial" w:hAnsi="Arial" w:cs="Arial"/>
                <w:sz w:val="22"/>
                <w:szCs w:val="22"/>
              </w:rPr>
            </w:pPr>
            <w:r w:rsidRPr="007E4977">
              <w:rPr>
                <w:rFonts w:ascii="Arial" w:hAnsi="Arial" w:cs="Arial"/>
                <w:sz w:val="22"/>
                <w:szCs w:val="22"/>
              </w:rPr>
              <w:t xml:space="preserve">Mean± </w:t>
            </w:r>
            <w:proofErr w:type="spellStart"/>
            <w:r w:rsidRPr="007E4977">
              <w:rPr>
                <w:rFonts w:ascii="Arial" w:hAnsi="Arial" w:cs="Arial"/>
                <w:sz w:val="22"/>
                <w:szCs w:val="22"/>
              </w:rPr>
              <w:t>St.Dev</w:t>
            </w:r>
            <w:proofErr w:type="spellEnd"/>
            <w:r w:rsidRPr="007E4977">
              <w:rPr>
                <w:rFonts w:ascii="Arial" w:hAnsi="Arial" w:cs="Arial"/>
                <w:sz w:val="22"/>
                <w:szCs w:val="22"/>
              </w:rPr>
              <w:t>.</w:t>
            </w:r>
          </w:p>
        </w:tc>
        <w:tc>
          <w:tcPr>
            <w:tcW w:w="150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line="276" w:lineRule="auto"/>
              <w:rPr>
                <w:rFonts w:ascii="Arial" w:hAnsi="Arial" w:cs="Arial"/>
                <w:sz w:val="22"/>
                <w:szCs w:val="22"/>
              </w:rPr>
            </w:pPr>
            <w:r w:rsidRPr="007E4977">
              <w:rPr>
                <w:rFonts w:ascii="Arial" w:hAnsi="Arial" w:cs="Arial"/>
                <w:sz w:val="22"/>
                <w:szCs w:val="22"/>
              </w:rPr>
              <w:t>Median(Q</w:t>
            </w:r>
            <w:proofErr w:type="gramStart"/>
            <w:r w:rsidRPr="007E4977">
              <w:rPr>
                <w:rFonts w:ascii="Arial" w:hAnsi="Arial" w:cs="Arial"/>
                <w:sz w:val="22"/>
                <w:szCs w:val="22"/>
              </w:rPr>
              <w:t>1,Q</w:t>
            </w:r>
            <w:proofErr w:type="gramEnd"/>
            <w:r w:rsidRPr="007E4977">
              <w:rPr>
                <w:rFonts w:ascii="Arial" w:hAnsi="Arial" w:cs="Arial"/>
                <w:sz w:val="22"/>
                <w:szCs w:val="22"/>
              </w:rPr>
              <w:t>3)</w:t>
            </w:r>
          </w:p>
        </w:tc>
        <w:tc>
          <w:tcPr>
            <w:tcW w:w="3110"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line="276" w:lineRule="auto"/>
              <w:rPr>
                <w:rFonts w:ascii="Arial" w:hAnsi="Arial" w:cs="Arial"/>
                <w:sz w:val="22"/>
                <w:szCs w:val="22"/>
              </w:rPr>
            </w:pPr>
            <w:r w:rsidRPr="007E4977">
              <w:rPr>
                <w:rFonts w:ascii="Arial" w:hAnsi="Arial" w:cs="Arial"/>
                <w:sz w:val="22"/>
                <w:szCs w:val="22"/>
              </w:rPr>
              <w:t>(</w:t>
            </w:r>
            <w:proofErr w:type="spellStart"/>
            <w:proofErr w:type="gramStart"/>
            <w:r w:rsidRPr="007E4977">
              <w:rPr>
                <w:rFonts w:ascii="Arial" w:hAnsi="Arial" w:cs="Arial"/>
                <w:sz w:val="22"/>
                <w:szCs w:val="22"/>
              </w:rPr>
              <w:t>Min,Max</w:t>
            </w:r>
            <w:proofErr w:type="spellEnd"/>
            <w:proofErr w:type="gramEnd"/>
            <w:r w:rsidRPr="007E4977">
              <w:rPr>
                <w:rFonts w:ascii="Arial" w:hAnsi="Arial" w:cs="Arial"/>
                <w:sz w:val="22"/>
                <w:szCs w:val="22"/>
              </w:rPr>
              <w:t>)</w:t>
            </w:r>
          </w:p>
        </w:tc>
      </w:tr>
      <w:tr w:rsidR="007E4977" w:rsidRPr="007E4977">
        <w:tc>
          <w:tcPr>
            <w:tcW w:w="334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line="276" w:lineRule="auto"/>
              <w:rPr>
                <w:rFonts w:ascii="Arial" w:hAnsi="Arial" w:cs="Arial"/>
                <w:sz w:val="22"/>
                <w:szCs w:val="22"/>
              </w:rPr>
            </w:pPr>
            <w:r w:rsidRPr="007E4977">
              <w:rPr>
                <w:rFonts w:ascii="Arial" w:hAnsi="Arial" w:cs="Arial"/>
                <w:sz w:val="22"/>
                <w:szCs w:val="22"/>
              </w:rPr>
              <w:t>GERD-QOL Score</w:t>
            </w:r>
          </w:p>
        </w:tc>
        <w:tc>
          <w:tcPr>
            <w:tcW w:w="1610"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line="276" w:lineRule="auto"/>
              <w:rPr>
                <w:rFonts w:ascii="Arial" w:hAnsi="Arial" w:cs="Arial"/>
                <w:sz w:val="22"/>
                <w:szCs w:val="22"/>
              </w:rPr>
            </w:pPr>
            <w:r w:rsidRPr="007E4977">
              <w:rPr>
                <w:rFonts w:ascii="Arial" w:hAnsi="Arial" w:cs="Arial"/>
                <w:sz w:val="22"/>
                <w:szCs w:val="22"/>
              </w:rPr>
              <w:t>17.8±11.2</w:t>
            </w:r>
          </w:p>
        </w:tc>
        <w:tc>
          <w:tcPr>
            <w:tcW w:w="1508"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line="276" w:lineRule="auto"/>
              <w:rPr>
                <w:rFonts w:ascii="Arial" w:hAnsi="Arial" w:cs="Arial"/>
                <w:sz w:val="22"/>
                <w:szCs w:val="22"/>
              </w:rPr>
            </w:pPr>
            <w:r w:rsidRPr="007E4977">
              <w:rPr>
                <w:rFonts w:ascii="Arial" w:hAnsi="Arial" w:cs="Arial"/>
                <w:sz w:val="22"/>
                <w:szCs w:val="22"/>
              </w:rPr>
              <w:t xml:space="preserve">    15(10,24)</w:t>
            </w:r>
          </w:p>
        </w:tc>
        <w:tc>
          <w:tcPr>
            <w:tcW w:w="3110" w:type="dxa"/>
            <w:tcBorders>
              <w:top w:val="single" w:sz="4" w:space="0" w:color="auto"/>
              <w:left w:val="single" w:sz="4" w:space="0" w:color="auto"/>
              <w:bottom w:val="single" w:sz="4" w:space="0" w:color="auto"/>
              <w:right w:val="single" w:sz="4" w:space="0" w:color="auto"/>
            </w:tcBorders>
            <w:hideMark/>
          </w:tcPr>
          <w:p w:rsidR="007E4977" w:rsidRPr="007E4977" w:rsidRDefault="007E4977" w:rsidP="007E4977">
            <w:pPr>
              <w:spacing w:line="276" w:lineRule="auto"/>
              <w:rPr>
                <w:rFonts w:ascii="Arial" w:hAnsi="Arial" w:cs="Arial"/>
                <w:sz w:val="22"/>
                <w:szCs w:val="22"/>
              </w:rPr>
            </w:pPr>
            <w:r w:rsidRPr="007E4977">
              <w:rPr>
                <w:rFonts w:ascii="Arial" w:hAnsi="Arial" w:cs="Arial"/>
                <w:sz w:val="22"/>
                <w:szCs w:val="22"/>
              </w:rPr>
              <w:t>(0,50)</w:t>
            </w:r>
          </w:p>
        </w:tc>
      </w:tr>
    </w:tbl>
    <w:p w:rsidR="007E4977" w:rsidRPr="007E4977" w:rsidRDefault="007E4977" w:rsidP="007E4977">
      <w:pPr>
        <w:spacing w:line="276" w:lineRule="auto"/>
        <w:jc w:val="both"/>
        <w:rPr>
          <w:rFonts w:ascii="Arial" w:hAnsi="Arial" w:cs="Arial"/>
          <w:sz w:val="22"/>
          <w:szCs w:val="22"/>
        </w:rPr>
      </w:pPr>
    </w:p>
    <w:p w:rsidR="007E4977" w:rsidRPr="007E4977" w:rsidRDefault="007E4977" w:rsidP="007E4977">
      <w:pPr>
        <w:spacing w:line="276" w:lineRule="auto"/>
        <w:rPr>
          <w:rFonts w:ascii="Arial" w:hAnsi="Arial" w:cs="Arial"/>
          <w:sz w:val="22"/>
          <w:szCs w:val="22"/>
        </w:rPr>
      </w:pPr>
      <w:r w:rsidRPr="007E4977">
        <w:rPr>
          <w:rFonts w:ascii="Arial" w:hAnsi="Arial" w:cs="Arial"/>
          <w:b/>
          <w:bCs/>
          <w:sz w:val="22"/>
          <w:szCs w:val="22"/>
        </w:rPr>
        <w:t>Table 3.0</w:t>
      </w:r>
      <w:r w:rsidRPr="007E4977">
        <w:rPr>
          <w:rFonts w:ascii="Arial" w:hAnsi="Arial" w:cs="Arial"/>
          <w:sz w:val="22"/>
          <w:szCs w:val="22"/>
        </w:rPr>
        <w:t xml:space="preserve"> Mean and Standard deviation of the total GERD-QOL Score for the study participants.</w:t>
      </w:r>
    </w:p>
    <w:p w:rsidR="007E4977" w:rsidRPr="007E4977" w:rsidRDefault="007E4977" w:rsidP="007E4977">
      <w:pPr>
        <w:spacing w:line="276" w:lineRule="auto"/>
        <w:jc w:val="both"/>
        <w:rPr>
          <w:rFonts w:ascii="Arial" w:hAnsi="Arial" w:cs="Arial"/>
          <w:sz w:val="22"/>
          <w:szCs w:val="22"/>
        </w:rPr>
      </w:pPr>
    </w:p>
    <w:p w:rsidR="007E4977" w:rsidRPr="007E4977" w:rsidRDefault="007E4977" w:rsidP="007E4977">
      <w:pPr>
        <w:spacing w:line="276" w:lineRule="auto"/>
        <w:rPr>
          <w:rFonts w:ascii="Arial" w:hAnsi="Arial" w:cs="Arial"/>
          <w:sz w:val="22"/>
          <w:szCs w:val="22"/>
        </w:rPr>
      </w:pPr>
      <w:r w:rsidRPr="007E4977">
        <w:rPr>
          <w:rFonts w:ascii="Arial" w:hAnsi="Arial" w:cs="Arial"/>
          <w:sz w:val="22"/>
          <w:szCs w:val="22"/>
        </w:rPr>
        <w:t xml:space="preserve">The above table (3.0) presents the statistics on total GERD-QOL Score of the study participants. The average score was found to be 17.8±11.2 (Mean± </w:t>
      </w:r>
      <w:proofErr w:type="spellStart"/>
      <w:r w:rsidRPr="007E4977">
        <w:rPr>
          <w:rFonts w:ascii="Arial" w:hAnsi="Arial" w:cs="Arial"/>
          <w:sz w:val="22"/>
          <w:szCs w:val="22"/>
        </w:rPr>
        <w:t>St.Dev</w:t>
      </w:r>
      <w:proofErr w:type="spellEnd"/>
      <w:r w:rsidRPr="007E4977">
        <w:rPr>
          <w:rFonts w:ascii="Arial" w:hAnsi="Arial" w:cs="Arial"/>
          <w:sz w:val="22"/>
          <w:szCs w:val="22"/>
        </w:rPr>
        <w:t>.) with minimum value 0 and maximum value 50. The Median score was found to be 15 with 25</w:t>
      </w:r>
      <w:r w:rsidRPr="007E4977">
        <w:rPr>
          <w:rFonts w:ascii="Arial" w:hAnsi="Arial" w:cs="Arial"/>
          <w:sz w:val="22"/>
          <w:szCs w:val="22"/>
          <w:vertAlign w:val="superscript"/>
        </w:rPr>
        <w:t>th</w:t>
      </w:r>
      <w:r w:rsidRPr="007E4977">
        <w:rPr>
          <w:rFonts w:ascii="Arial" w:hAnsi="Arial" w:cs="Arial"/>
          <w:sz w:val="22"/>
          <w:szCs w:val="22"/>
        </w:rPr>
        <w:t xml:space="preserve"> percentile as 10 and 75</w:t>
      </w:r>
      <w:r w:rsidRPr="007E4977">
        <w:rPr>
          <w:rFonts w:ascii="Arial" w:hAnsi="Arial" w:cs="Arial"/>
          <w:sz w:val="22"/>
          <w:szCs w:val="22"/>
          <w:vertAlign w:val="superscript"/>
        </w:rPr>
        <w:t xml:space="preserve">th </w:t>
      </w:r>
      <w:r w:rsidRPr="00B66FE0">
        <w:rPr>
          <w:rFonts w:ascii="Arial" w:hAnsi="Arial" w:cs="Arial"/>
          <w:sz w:val="22"/>
          <w:szCs w:val="22"/>
        </w:rPr>
        <w:t>percentile</w:t>
      </w:r>
      <w:r w:rsidRPr="007E4977">
        <w:rPr>
          <w:rFonts w:ascii="Arial" w:hAnsi="Arial" w:cs="Arial"/>
          <w:sz w:val="22"/>
          <w:szCs w:val="22"/>
        </w:rPr>
        <w:t xml:space="preserve"> as 24.</w:t>
      </w:r>
    </w:p>
    <w:p w:rsidR="007E4977" w:rsidRPr="007E4977" w:rsidRDefault="007E4977" w:rsidP="007E4977">
      <w:pPr>
        <w:spacing w:line="276" w:lineRule="auto"/>
        <w:rPr>
          <w:rFonts w:ascii="Arial" w:hAnsi="Arial" w:cs="Arial"/>
          <w:sz w:val="22"/>
          <w:szCs w:val="22"/>
        </w:rPr>
      </w:pPr>
      <w:r w:rsidRPr="007E4977">
        <w:rPr>
          <w:rFonts w:ascii="Arial" w:hAnsi="Arial" w:cs="Arial"/>
          <w:sz w:val="22"/>
          <w:szCs w:val="22"/>
        </w:rPr>
        <w:t>The content validity of GERD-QOL was checked through the experts of the concerned subject. The measure of reliability for GERD –QOL was found to be 0.901(perfectly reliable)</w:t>
      </w:r>
    </w:p>
    <w:p w:rsidR="00881D8A" w:rsidRPr="007E4977" w:rsidRDefault="000A024E" w:rsidP="000A024E">
      <w:pPr>
        <w:jc w:val="right"/>
        <w:rPr>
          <w:rFonts w:ascii="Arial" w:hAnsi="Arial" w:cs="Arial"/>
          <w:b/>
          <w:bCs/>
          <w:sz w:val="22"/>
          <w:szCs w:val="22"/>
        </w:rPr>
      </w:pPr>
      <w:r w:rsidRPr="007E4977">
        <w:rPr>
          <w:rFonts w:ascii="Arial" w:hAnsi="Arial" w:cs="Arial"/>
          <w:b/>
          <w:bCs/>
          <w:sz w:val="22"/>
          <w:szCs w:val="22"/>
        </w:rPr>
        <w:t>DISCUSSION</w:t>
      </w:r>
    </w:p>
    <w:p w:rsidR="007E4977" w:rsidRPr="007E4977" w:rsidRDefault="007E4977" w:rsidP="007E4977">
      <w:pPr>
        <w:rPr>
          <w:rFonts w:ascii="Arial" w:hAnsi="Arial" w:cs="Arial"/>
          <w:sz w:val="22"/>
          <w:szCs w:val="22"/>
        </w:rPr>
      </w:pPr>
      <w:r w:rsidRPr="007E4977">
        <w:rPr>
          <w:rFonts w:ascii="Arial" w:hAnsi="Arial" w:cs="Arial"/>
          <w:sz w:val="22"/>
          <w:szCs w:val="22"/>
        </w:rPr>
        <w:t xml:space="preserve">The present study represents the first attempt to translate, culturally adapt, and validate the Gastroesophageal Reflux Disease Quality of Life (GERD-QOL) questionnaire into the Bengali language. The findings of this study indicate that the Bengali version of the GERD-QOL (Bn-GERD-QOL) is a reliable and valid instrument for assessing the impact of GERD on the health-related quality of life among Bengali-speaking patients. In the current study, the mean age of participants was 42.9 ± 14.1 years, with a predominance of female patients (63.7%), which is consistent with global epidemiological data showing a higher prevalence of GERD-related quality-of-life impairment among middle-aged adults and females </w:t>
      </w:r>
      <w:r w:rsidRPr="007E4977">
        <w:rPr>
          <w:rFonts w:ascii="Arial" w:hAnsi="Arial" w:cs="Arial"/>
          <w:sz w:val="22"/>
          <w:szCs w:val="22"/>
          <w:vertAlign w:val="superscript"/>
        </w:rPr>
        <w:t>[15,16]</w:t>
      </w:r>
      <w:r w:rsidRPr="007E4977">
        <w:rPr>
          <w:rFonts w:ascii="Arial" w:hAnsi="Arial" w:cs="Arial"/>
          <w:sz w:val="22"/>
          <w:szCs w:val="22"/>
        </w:rPr>
        <w:t xml:space="preserve">. The majority of participants were married and educated above secondary level, which may have contributed to the good comprehension and acceptability of the translated tool. The mean GERD-QOL score was found to be 17.8 ± 11.2, indicating a moderate impact of GERD symptoms on patients’ daily living. A substantial proportion of respondents (over 50%) reported either no or mild symptoms across several domains, reflecting the presence of mild to moderate disease severity in the outpatient setting. These findings </w:t>
      </w:r>
      <w:proofErr w:type="gramStart"/>
      <w:r w:rsidRPr="007E4977">
        <w:rPr>
          <w:rFonts w:ascii="Arial" w:hAnsi="Arial" w:cs="Arial"/>
          <w:sz w:val="22"/>
          <w:szCs w:val="22"/>
        </w:rPr>
        <w:t>are in agreement</w:t>
      </w:r>
      <w:proofErr w:type="gramEnd"/>
      <w:r w:rsidRPr="007E4977">
        <w:rPr>
          <w:rFonts w:ascii="Arial" w:hAnsi="Arial" w:cs="Arial"/>
          <w:sz w:val="22"/>
          <w:szCs w:val="22"/>
        </w:rPr>
        <w:t xml:space="preserve"> with earlier studies conducted in Western and Asian populations, which reported comparable quality-of-life scores among non-hospitalized GERD patients </w:t>
      </w:r>
      <w:r w:rsidRPr="007E4977">
        <w:rPr>
          <w:rFonts w:ascii="Arial" w:hAnsi="Arial" w:cs="Arial"/>
          <w:sz w:val="22"/>
          <w:szCs w:val="22"/>
          <w:vertAlign w:val="superscript"/>
        </w:rPr>
        <w:t>[17,18]</w:t>
      </w:r>
      <w:r w:rsidRPr="007E4977">
        <w:rPr>
          <w:rFonts w:ascii="Arial" w:hAnsi="Arial" w:cs="Arial"/>
          <w:sz w:val="22"/>
          <w:szCs w:val="22"/>
        </w:rPr>
        <w:t xml:space="preserve">. The Cronbach’s alpha coefficient of 0.901 obtained in the present study signifies excellent internal consistency and aligns closely with previous linguistic validation studies conducted in Arabic (α = 0.89) </w:t>
      </w:r>
      <w:r w:rsidRPr="007E4977">
        <w:rPr>
          <w:rFonts w:ascii="Arial" w:hAnsi="Arial" w:cs="Arial"/>
          <w:sz w:val="22"/>
          <w:szCs w:val="22"/>
          <w:vertAlign w:val="superscript"/>
        </w:rPr>
        <w:t>[19]</w:t>
      </w:r>
      <w:r w:rsidRPr="007E4977">
        <w:rPr>
          <w:rFonts w:ascii="Arial" w:hAnsi="Arial" w:cs="Arial"/>
          <w:sz w:val="22"/>
          <w:szCs w:val="22"/>
        </w:rPr>
        <w:t xml:space="preserve">, Malay (α = 0.90) </w:t>
      </w:r>
      <w:r w:rsidRPr="007E4977">
        <w:rPr>
          <w:rFonts w:ascii="Arial" w:hAnsi="Arial" w:cs="Arial"/>
          <w:sz w:val="22"/>
          <w:szCs w:val="22"/>
          <w:vertAlign w:val="superscript"/>
        </w:rPr>
        <w:t>[20]</w:t>
      </w:r>
      <w:r w:rsidRPr="007E4977">
        <w:rPr>
          <w:rFonts w:ascii="Arial" w:hAnsi="Arial" w:cs="Arial"/>
          <w:sz w:val="22"/>
          <w:szCs w:val="22"/>
        </w:rPr>
        <w:t xml:space="preserve">, and Korean (α = 0.87) </w:t>
      </w:r>
      <w:r w:rsidRPr="007E4977">
        <w:rPr>
          <w:rFonts w:ascii="Arial" w:hAnsi="Arial" w:cs="Arial"/>
          <w:sz w:val="22"/>
          <w:szCs w:val="22"/>
          <w:vertAlign w:val="superscript"/>
        </w:rPr>
        <w:t>[21]</w:t>
      </w:r>
      <w:r w:rsidRPr="007E4977">
        <w:rPr>
          <w:rFonts w:ascii="Arial" w:hAnsi="Arial" w:cs="Arial"/>
          <w:sz w:val="22"/>
          <w:szCs w:val="22"/>
        </w:rPr>
        <w:t xml:space="preserve">. This high reliability value confirms that the translated items of the GERD-QOL retained their conceptual and semantic equivalence to the original instrument developed by </w:t>
      </w:r>
      <w:proofErr w:type="spellStart"/>
      <w:r w:rsidRPr="007E4977">
        <w:rPr>
          <w:rFonts w:ascii="Arial" w:hAnsi="Arial" w:cs="Arial"/>
          <w:sz w:val="22"/>
          <w:szCs w:val="22"/>
        </w:rPr>
        <w:t>Revicki</w:t>
      </w:r>
      <w:proofErr w:type="spellEnd"/>
      <w:r w:rsidRPr="007E4977">
        <w:rPr>
          <w:rFonts w:ascii="Arial" w:hAnsi="Arial" w:cs="Arial"/>
          <w:sz w:val="22"/>
          <w:szCs w:val="22"/>
        </w:rPr>
        <w:t xml:space="preserve"> et al. </w:t>
      </w:r>
      <w:r w:rsidRPr="007E4977">
        <w:rPr>
          <w:rFonts w:ascii="Arial" w:hAnsi="Arial" w:cs="Arial"/>
          <w:sz w:val="22"/>
          <w:szCs w:val="22"/>
          <w:vertAlign w:val="superscript"/>
        </w:rPr>
        <w:t>[22]</w:t>
      </w:r>
      <w:r w:rsidRPr="007E4977">
        <w:rPr>
          <w:rFonts w:ascii="Arial" w:hAnsi="Arial" w:cs="Arial"/>
          <w:sz w:val="22"/>
          <w:szCs w:val="22"/>
        </w:rPr>
        <w:t xml:space="preserve">. The consistency across domains—covering physical symptoms, diet, sleep, emotional well-being, and satisfaction—indicates that the questionnaire effectively captures multiple dimensions of GERD’s impact on quality </w:t>
      </w:r>
      <w:r w:rsidRPr="007E4977">
        <w:rPr>
          <w:rFonts w:ascii="Arial" w:hAnsi="Arial" w:cs="Arial"/>
          <w:sz w:val="22"/>
          <w:szCs w:val="22"/>
        </w:rPr>
        <w:lastRenderedPageBreak/>
        <w:t xml:space="preserve">of life. The translation and adaptation process followed the methodological framework proposed by Sousa and </w:t>
      </w:r>
      <w:proofErr w:type="spellStart"/>
      <w:r w:rsidRPr="007E4977">
        <w:rPr>
          <w:rFonts w:ascii="Arial" w:hAnsi="Arial" w:cs="Arial"/>
          <w:sz w:val="22"/>
          <w:szCs w:val="22"/>
        </w:rPr>
        <w:t>Rojjanasrirat</w:t>
      </w:r>
      <w:proofErr w:type="spellEnd"/>
      <w:r w:rsidRPr="007E4977">
        <w:rPr>
          <w:rFonts w:ascii="Arial" w:hAnsi="Arial" w:cs="Arial"/>
          <w:sz w:val="22"/>
          <w:szCs w:val="22"/>
        </w:rPr>
        <w:t xml:space="preserve"> (2011) </w:t>
      </w:r>
      <w:r w:rsidRPr="007E4977">
        <w:rPr>
          <w:rFonts w:ascii="Arial" w:hAnsi="Arial" w:cs="Arial"/>
          <w:sz w:val="22"/>
          <w:szCs w:val="22"/>
          <w:vertAlign w:val="superscript"/>
        </w:rPr>
        <w:t>[23]</w:t>
      </w:r>
      <w:r w:rsidRPr="007E4977">
        <w:rPr>
          <w:rFonts w:ascii="Arial" w:hAnsi="Arial" w:cs="Arial"/>
          <w:sz w:val="22"/>
          <w:szCs w:val="22"/>
        </w:rPr>
        <w:t xml:space="preserve"> and the World Health Organization (WHO) guidelines for cross-cultural adaptation of health instruments </w:t>
      </w:r>
      <w:r w:rsidRPr="007E4977">
        <w:rPr>
          <w:rFonts w:ascii="Arial" w:hAnsi="Arial" w:cs="Arial"/>
          <w:sz w:val="22"/>
          <w:szCs w:val="22"/>
          <w:vertAlign w:val="superscript"/>
        </w:rPr>
        <w:t>[24]</w:t>
      </w:r>
      <w:r w:rsidRPr="007E4977">
        <w:rPr>
          <w:rFonts w:ascii="Arial" w:hAnsi="Arial" w:cs="Arial"/>
          <w:sz w:val="22"/>
          <w:szCs w:val="22"/>
        </w:rPr>
        <w:t xml:space="preserve">. The careful forward–backward translation, expert committee review, and pilot testing ensured semantic, idiomatic, experiential, and conceptual equivalence between the Bengali and English versions. The feedback from participants during the pre-testing phase suggested good clarity, acceptability, and cultural appropriateness, requiring only minor linguistic modifications. Quality-of-life assessment tools such as the GERD-QOL are crucial because GERD is a chronic relapsing condition that significantly affects physical comfort, sleep, and social functioning, even when symptoms are mild </w:t>
      </w:r>
      <w:r w:rsidRPr="007E4977">
        <w:rPr>
          <w:rFonts w:ascii="Arial" w:hAnsi="Arial" w:cs="Arial"/>
          <w:sz w:val="22"/>
          <w:szCs w:val="22"/>
          <w:vertAlign w:val="superscript"/>
        </w:rPr>
        <w:t>[25,26]</w:t>
      </w:r>
      <w:r w:rsidRPr="007E4977">
        <w:rPr>
          <w:rFonts w:ascii="Arial" w:hAnsi="Arial" w:cs="Arial"/>
          <w:sz w:val="22"/>
          <w:szCs w:val="22"/>
        </w:rPr>
        <w:t xml:space="preserve">. Disease-specific instruments like the GERD-QOL are more sensitive to therapeutic changes than generic health scales, allowing clinicians to evaluate treatment efficacy and patient satisfaction over time </w:t>
      </w:r>
      <w:r w:rsidRPr="007E4977">
        <w:rPr>
          <w:rFonts w:ascii="Arial" w:hAnsi="Arial" w:cs="Arial"/>
          <w:sz w:val="22"/>
          <w:szCs w:val="22"/>
          <w:vertAlign w:val="superscript"/>
        </w:rPr>
        <w:t>[27]</w:t>
      </w:r>
      <w:r w:rsidRPr="007E4977">
        <w:rPr>
          <w:rFonts w:ascii="Arial" w:hAnsi="Arial" w:cs="Arial"/>
          <w:sz w:val="22"/>
          <w:szCs w:val="22"/>
        </w:rPr>
        <w:t xml:space="preserve">. The strong internal reliability observed in this study supports its potential application in clinical practice and future interventional trials among Bengali-speaking populations. The findings also reinforce the broader literature emphasizing that cultural and linguistic validation is essential for ensuring the psychometric soundness of translated patient-reported outcome measures </w:t>
      </w:r>
      <w:r w:rsidRPr="007E4977">
        <w:rPr>
          <w:rFonts w:ascii="Arial" w:hAnsi="Arial" w:cs="Arial"/>
          <w:sz w:val="22"/>
          <w:szCs w:val="22"/>
          <w:vertAlign w:val="superscript"/>
        </w:rPr>
        <w:t>[23,28]</w:t>
      </w:r>
      <w:r w:rsidRPr="007E4977">
        <w:rPr>
          <w:rFonts w:ascii="Arial" w:hAnsi="Arial" w:cs="Arial"/>
          <w:sz w:val="22"/>
          <w:szCs w:val="22"/>
        </w:rPr>
        <w:t>. Without such adaptation, tools developed in other languages may yield inaccurate or culturally biased results, limiting their applicability in non-English-speaking contexts.</w:t>
      </w:r>
    </w:p>
    <w:p w:rsidR="007E4977" w:rsidRPr="007E4977" w:rsidRDefault="007E4977" w:rsidP="007E4977">
      <w:pPr>
        <w:rPr>
          <w:rFonts w:ascii="Arial" w:hAnsi="Arial" w:cs="Arial"/>
          <w:b/>
          <w:bCs/>
          <w:sz w:val="22"/>
          <w:szCs w:val="22"/>
        </w:rPr>
      </w:pPr>
      <w:r w:rsidRPr="007E4977">
        <w:rPr>
          <w:rFonts w:ascii="Arial" w:hAnsi="Arial" w:cs="Arial"/>
          <w:b/>
          <w:bCs/>
          <w:sz w:val="22"/>
          <w:szCs w:val="22"/>
        </w:rPr>
        <w:t>Study Strengths and Limitations</w:t>
      </w:r>
    </w:p>
    <w:p w:rsidR="007E4977" w:rsidRPr="007E4977" w:rsidRDefault="007E4977" w:rsidP="007E4977">
      <w:pPr>
        <w:rPr>
          <w:rFonts w:ascii="Arial" w:hAnsi="Arial" w:cs="Arial"/>
          <w:sz w:val="22"/>
          <w:szCs w:val="22"/>
        </w:rPr>
      </w:pPr>
      <w:r w:rsidRPr="007E4977">
        <w:rPr>
          <w:rFonts w:ascii="Arial" w:hAnsi="Arial" w:cs="Arial"/>
          <w:sz w:val="22"/>
          <w:szCs w:val="22"/>
        </w:rPr>
        <w:t xml:space="preserve">The present study has several notable strengths. It represents the first effort to translate, culturally adapt, and validate the GERD-QOL questionnaire into Bengali, addressing the lack of disease-specific quality-of-life tools for this population. The study followed rigorous WHO- and Sousa-recommended translation procedures, ensuring semantic, conceptual, and cultural equivalence. With a sample size of 223 participants, the study provides robust reliability estimates, and the Cronbach’s alpha of 0.901 demonstrates excellent internal consistency. The questionnaire was also well comprehended and easily self-administered, highlighting its clinical feasibility. However, some limitations exist. The study was conducted at a single tertiary care </w:t>
      </w:r>
      <w:proofErr w:type="spellStart"/>
      <w:r w:rsidRPr="007E4977">
        <w:rPr>
          <w:rFonts w:ascii="Arial" w:hAnsi="Arial" w:cs="Arial"/>
          <w:sz w:val="22"/>
          <w:szCs w:val="22"/>
        </w:rPr>
        <w:t>center</w:t>
      </w:r>
      <w:proofErr w:type="spellEnd"/>
      <w:r w:rsidRPr="007E4977">
        <w:rPr>
          <w:rFonts w:ascii="Arial" w:hAnsi="Arial" w:cs="Arial"/>
          <w:sz w:val="22"/>
          <w:szCs w:val="22"/>
        </w:rPr>
        <w:t>, limiting generalizability, and employed a cross-sectional design, preventing assessment of test–retest reliability or responsiveness to clinical change. Additionally, the study did not correlate GERD-QOL scores with objective diagnostic measures such as endoscopy or pH monitoring, nor include a control group to evaluate discriminant validity. Finally, the use of convenience sampling may introduce selection bias, though the participant pool was demographically diverse.</w:t>
      </w:r>
    </w:p>
    <w:p w:rsidR="00C24EEA" w:rsidRDefault="00C24EEA" w:rsidP="007E4977">
      <w:pPr>
        <w:rPr>
          <w:rFonts w:ascii="Arial" w:hAnsi="Arial" w:cs="Arial"/>
          <w:b/>
          <w:bCs/>
          <w:sz w:val="22"/>
          <w:szCs w:val="22"/>
        </w:rPr>
      </w:pPr>
    </w:p>
    <w:p w:rsidR="007E4977" w:rsidRPr="007E4977" w:rsidRDefault="007E4977" w:rsidP="007E4977">
      <w:pPr>
        <w:rPr>
          <w:rFonts w:ascii="Arial" w:hAnsi="Arial" w:cs="Arial"/>
          <w:b/>
          <w:bCs/>
          <w:sz w:val="22"/>
          <w:szCs w:val="22"/>
        </w:rPr>
      </w:pPr>
      <w:r w:rsidRPr="007E4977">
        <w:rPr>
          <w:rFonts w:ascii="Arial" w:hAnsi="Arial" w:cs="Arial"/>
          <w:b/>
          <w:bCs/>
          <w:sz w:val="22"/>
          <w:szCs w:val="22"/>
        </w:rPr>
        <w:t>Conclusion</w:t>
      </w:r>
    </w:p>
    <w:p w:rsidR="007E4977" w:rsidRPr="007E4977" w:rsidRDefault="007E4977" w:rsidP="007E4977">
      <w:pPr>
        <w:rPr>
          <w:rFonts w:ascii="Arial" w:hAnsi="Arial" w:cs="Arial"/>
          <w:sz w:val="22"/>
          <w:szCs w:val="22"/>
        </w:rPr>
      </w:pPr>
      <w:r w:rsidRPr="007E4977">
        <w:rPr>
          <w:rFonts w:ascii="Arial" w:hAnsi="Arial" w:cs="Arial"/>
          <w:sz w:val="22"/>
          <w:szCs w:val="22"/>
        </w:rPr>
        <w:t>The Bengali-translated GERD-QOL demonstrated excellent internal consistency, content validity, and cultural adaptability, indicating its suitability for use among Bengali-speaking GERD patients. It can serve as a reliable tool for both clinical evaluation and research applications in assessing disease burden and treatment outcomes in GERD.</w:t>
      </w:r>
    </w:p>
    <w:p w:rsidR="00F342CD" w:rsidRPr="007E4977" w:rsidRDefault="00F342CD" w:rsidP="004820DA">
      <w:pPr>
        <w:rPr>
          <w:rFonts w:ascii="Arial" w:hAnsi="Arial" w:cs="Arial"/>
          <w:b/>
          <w:bCs/>
          <w:sz w:val="22"/>
          <w:szCs w:val="22"/>
        </w:rPr>
      </w:pPr>
    </w:p>
    <w:p w:rsidR="004820DA" w:rsidRPr="007E4977" w:rsidRDefault="004820DA" w:rsidP="004820DA">
      <w:pPr>
        <w:rPr>
          <w:rFonts w:ascii="Arial" w:hAnsi="Arial" w:cs="Arial"/>
          <w:b/>
          <w:bCs/>
          <w:sz w:val="22"/>
          <w:szCs w:val="22"/>
        </w:rPr>
      </w:pPr>
      <w:r w:rsidRPr="007E4977">
        <w:rPr>
          <w:rFonts w:ascii="Arial" w:hAnsi="Arial" w:cs="Arial"/>
          <w:b/>
          <w:bCs/>
          <w:sz w:val="22"/>
          <w:szCs w:val="22"/>
        </w:rPr>
        <w:t>Ethics Statement</w:t>
      </w:r>
    </w:p>
    <w:p w:rsidR="004820DA" w:rsidRPr="007E4977" w:rsidRDefault="004820DA" w:rsidP="004820DA">
      <w:pPr>
        <w:rPr>
          <w:rFonts w:ascii="Arial" w:hAnsi="Arial" w:cs="Arial"/>
          <w:sz w:val="22"/>
          <w:szCs w:val="22"/>
        </w:rPr>
      </w:pPr>
      <w:r w:rsidRPr="007E4977">
        <w:rPr>
          <w:rFonts w:ascii="Arial" w:hAnsi="Arial" w:cs="Arial"/>
          <w:sz w:val="22"/>
          <w:szCs w:val="22"/>
        </w:rPr>
        <w:t xml:space="preserve">The study was conducted after obtaining clearance from the Institutional Ethics Committee of The Calcutta Homoeopathic Medical College &amp; Hospital (Approval No. </w:t>
      </w:r>
      <w:r w:rsidRPr="007E4977">
        <w:rPr>
          <w:rFonts w:ascii="Arial" w:hAnsi="Arial" w:cs="Arial"/>
          <w:sz w:val="22"/>
          <w:szCs w:val="22"/>
        </w:rPr>
        <w:lastRenderedPageBreak/>
        <w:t>CHMCH/IEC/13/2023). Written informed consent was obtained from all participants before enrolment. Confidentiality and anonymity of participant data were strictly maintained throughout the study.</w:t>
      </w:r>
    </w:p>
    <w:p w:rsidR="004820DA" w:rsidRPr="007E4977" w:rsidRDefault="004820DA" w:rsidP="004820DA">
      <w:pPr>
        <w:rPr>
          <w:rFonts w:ascii="Arial" w:hAnsi="Arial" w:cs="Arial"/>
          <w:b/>
          <w:bCs/>
          <w:sz w:val="22"/>
          <w:szCs w:val="22"/>
        </w:rPr>
      </w:pPr>
      <w:r w:rsidRPr="007E4977">
        <w:rPr>
          <w:rFonts w:ascii="Arial" w:hAnsi="Arial" w:cs="Arial"/>
          <w:b/>
          <w:bCs/>
          <w:sz w:val="22"/>
          <w:szCs w:val="22"/>
        </w:rPr>
        <w:t>Disclosure Statement</w:t>
      </w:r>
    </w:p>
    <w:p w:rsidR="004820DA" w:rsidRDefault="004820DA" w:rsidP="004820DA">
      <w:pPr>
        <w:rPr>
          <w:rFonts w:ascii="Arial" w:hAnsi="Arial" w:cs="Arial"/>
          <w:sz w:val="22"/>
          <w:szCs w:val="22"/>
        </w:rPr>
      </w:pPr>
      <w:r w:rsidRPr="007E4977">
        <w:rPr>
          <w:rFonts w:ascii="Arial" w:hAnsi="Arial" w:cs="Arial"/>
          <w:sz w:val="22"/>
          <w:szCs w:val="22"/>
        </w:rPr>
        <w:t>The authors declare no conflict of interest related to this study. No funding was received from any commercial or financial agency.</w:t>
      </w:r>
    </w:p>
    <w:p w:rsidR="00666964" w:rsidRPr="00666964" w:rsidRDefault="00666964" w:rsidP="00666964">
      <w:pPr>
        <w:rPr>
          <w:rFonts w:ascii="Arial" w:hAnsi="Arial" w:cs="Arial"/>
          <w:sz w:val="22"/>
          <w:szCs w:val="22"/>
        </w:rPr>
      </w:pPr>
      <w:r w:rsidRPr="00666964">
        <w:rPr>
          <w:rFonts w:ascii="Arial" w:hAnsi="Arial" w:cs="Arial"/>
          <w:sz w:val="22"/>
          <w:szCs w:val="22"/>
        </w:rPr>
        <w:t>Disclaimer (Artificial intelligence)</w:t>
      </w:r>
    </w:p>
    <w:p w:rsidR="00666964" w:rsidRPr="00666964" w:rsidRDefault="00666964" w:rsidP="00666964">
      <w:pPr>
        <w:rPr>
          <w:rFonts w:ascii="Arial" w:hAnsi="Arial" w:cs="Arial"/>
          <w:sz w:val="22"/>
          <w:szCs w:val="22"/>
        </w:rPr>
      </w:pPr>
      <w:r w:rsidRPr="00666964">
        <w:rPr>
          <w:rFonts w:ascii="Arial" w:hAnsi="Arial" w:cs="Arial"/>
          <w:sz w:val="22"/>
          <w:szCs w:val="22"/>
        </w:rPr>
        <w:t xml:space="preserve">Option 1: </w:t>
      </w:r>
    </w:p>
    <w:p w:rsidR="00666964" w:rsidRDefault="00666964" w:rsidP="00666964">
      <w:pPr>
        <w:rPr>
          <w:rFonts w:ascii="Arial" w:hAnsi="Arial" w:cs="Arial"/>
          <w:sz w:val="22"/>
          <w:szCs w:val="22"/>
        </w:rPr>
      </w:pPr>
      <w:r w:rsidRPr="00666964">
        <w:rPr>
          <w:rFonts w:ascii="Arial" w:hAnsi="Arial" w:cs="Arial"/>
          <w:sz w:val="22"/>
          <w:szCs w:val="22"/>
        </w:rPr>
        <w:t>Author(s) hereby declare that NO generative AI technologies such as Large Language Models (</w:t>
      </w:r>
      <w:proofErr w:type="spellStart"/>
      <w:r w:rsidRPr="00666964">
        <w:rPr>
          <w:rFonts w:ascii="Arial" w:hAnsi="Arial" w:cs="Arial"/>
          <w:sz w:val="22"/>
          <w:szCs w:val="22"/>
        </w:rPr>
        <w:t>ChatGPT</w:t>
      </w:r>
      <w:proofErr w:type="spellEnd"/>
      <w:r w:rsidRPr="00666964">
        <w:rPr>
          <w:rFonts w:ascii="Arial" w:hAnsi="Arial" w:cs="Arial"/>
          <w:sz w:val="22"/>
          <w:szCs w:val="22"/>
        </w:rPr>
        <w:t>, COPILOT, etc.) and text-to-image generators have been used during the writing or editing of this manuscript.</w:t>
      </w:r>
    </w:p>
    <w:p w:rsidR="00666964" w:rsidRPr="007E4977" w:rsidRDefault="00666964" w:rsidP="004820DA">
      <w:pPr>
        <w:rPr>
          <w:rFonts w:ascii="Arial" w:hAnsi="Arial" w:cs="Arial"/>
          <w:sz w:val="22"/>
          <w:szCs w:val="22"/>
        </w:rPr>
      </w:pPr>
    </w:p>
    <w:p w:rsidR="007204C1" w:rsidRPr="007E4977" w:rsidRDefault="007204C1" w:rsidP="007204C1">
      <w:pPr>
        <w:rPr>
          <w:rFonts w:ascii="Arial" w:hAnsi="Arial" w:cs="Arial"/>
          <w:b/>
          <w:bCs/>
          <w:sz w:val="22"/>
          <w:szCs w:val="22"/>
        </w:rPr>
      </w:pPr>
      <w:r w:rsidRPr="007E4977">
        <w:rPr>
          <w:rFonts w:ascii="Arial" w:hAnsi="Arial" w:cs="Arial"/>
          <w:b/>
          <w:bCs/>
          <w:sz w:val="22"/>
          <w:szCs w:val="22"/>
        </w:rPr>
        <w:t>References</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 xml:space="preserve">Vakil N, van </w:t>
      </w:r>
      <w:proofErr w:type="spellStart"/>
      <w:r w:rsidRPr="007E4977">
        <w:rPr>
          <w:rFonts w:ascii="Arial" w:hAnsi="Arial" w:cs="Arial"/>
          <w:sz w:val="22"/>
          <w:szCs w:val="22"/>
        </w:rPr>
        <w:t>Zanten</w:t>
      </w:r>
      <w:proofErr w:type="spellEnd"/>
      <w:r w:rsidRPr="007E4977">
        <w:rPr>
          <w:rFonts w:ascii="Arial" w:hAnsi="Arial" w:cs="Arial"/>
          <w:sz w:val="22"/>
          <w:szCs w:val="22"/>
        </w:rPr>
        <w:t xml:space="preserve"> SV, </w:t>
      </w:r>
      <w:proofErr w:type="spellStart"/>
      <w:r w:rsidRPr="007E4977">
        <w:rPr>
          <w:rFonts w:ascii="Arial" w:hAnsi="Arial" w:cs="Arial"/>
          <w:sz w:val="22"/>
          <w:szCs w:val="22"/>
        </w:rPr>
        <w:t>Kahrilas</w:t>
      </w:r>
      <w:proofErr w:type="spellEnd"/>
      <w:r w:rsidRPr="007E4977">
        <w:rPr>
          <w:rFonts w:ascii="Arial" w:hAnsi="Arial" w:cs="Arial"/>
          <w:sz w:val="22"/>
          <w:szCs w:val="22"/>
        </w:rPr>
        <w:t xml:space="preserve"> P, Dent J, Jones R; Global Consensus Group. The Montreal definition and classification of gastroesophageal reflux disease: a global evidence-based consensus. </w:t>
      </w:r>
      <w:r w:rsidRPr="007E4977">
        <w:rPr>
          <w:rFonts w:ascii="Arial" w:hAnsi="Arial" w:cs="Arial"/>
          <w:i/>
          <w:iCs/>
          <w:sz w:val="22"/>
          <w:szCs w:val="22"/>
        </w:rPr>
        <w:t>Am J Gastroenterol</w:t>
      </w:r>
      <w:r w:rsidRPr="007E4977">
        <w:rPr>
          <w:rFonts w:ascii="Arial" w:hAnsi="Arial" w:cs="Arial"/>
          <w:sz w:val="22"/>
          <w:szCs w:val="22"/>
        </w:rPr>
        <w:t>. 2006;101(8):1900–20.</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 xml:space="preserve">Ghoshal UC, Singh R, Chang FY, Hou X, Wong BC, </w:t>
      </w:r>
      <w:proofErr w:type="spellStart"/>
      <w:r w:rsidRPr="007E4977">
        <w:rPr>
          <w:rFonts w:ascii="Arial" w:hAnsi="Arial" w:cs="Arial"/>
          <w:sz w:val="22"/>
          <w:szCs w:val="22"/>
        </w:rPr>
        <w:t>Kachintorn</w:t>
      </w:r>
      <w:proofErr w:type="spellEnd"/>
      <w:r w:rsidRPr="007E4977">
        <w:rPr>
          <w:rFonts w:ascii="Arial" w:hAnsi="Arial" w:cs="Arial"/>
          <w:sz w:val="22"/>
          <w:szCs w:val="22"/>
        </w:rPr>
        <w:t xml:space="preserve"> U. Epidemiology of </w:t>
      </w:r>
      <w:proofErr w:type="spellStart"/>
      <w:r w:rsidRPr="007E4977">
        <w:rPr>
          <w:rFonts w:ascii="Arial" w:hAnsi="Arial" w:cs="Arial"/>
          <w:sz w:val="22"/>
          <w:szCs w:val="22"/>
        </w:rPr>
        <w:t>uninvestigated</w:t>
      </w:r>
      <w:proofErr w:type="spellEnd"/>
      <w:r w:rsidRPr="007E4977">
        <w:rPr>
          <w:rFonts w:ascii="Arial" w:hAnsi="Arial" w:cs="Arial"/>
          <w:sz w:val="22"/>
          <w:szCs w:val="22"/>
        </w:rPr>
        <w:t xml:space="preserve"> and functional dyspepsia in Asia: facts and fiction. </w:t>
      </w:r>
      <w:r w:rsidRPr="007E4977">
        <w:rPr>
          <w:rFonts w:ascii="Arial" w:hAnsi="Arial" w:cs="Arial"/>
          <w:i/>
          <w:iCs/>
          <w:sz w:val="22"/>
          <w:szCs w:val="22"/>
        </w:rPr>
        <w:t xml:space="preserve">J </w:t>
      </w:r>
      <w:proofErr w:type="spellStart"/>
      <w:r w:rsidRPr="007E4977">
        <w:rPr>
          <w:rFonts w:ascii="Arial" w:hAnsi="Arial" w:cs="Arial"/>
          <w:i/>
          <w:iCs/>
          <w:sz w:val="22"/>
          <w:szCs w:val="22"/>
        </w:rPr>
        <w:t>Neurogastroenterol</w:t>
      </w:r>
      <w:proofErr w:type="spellEnd"/>
      <w:r w:rsidRPr="007E4977">
        <w:rPr>
          <w:rFonts w:ascii="Arial" w:hAnsi="Arial" w:cs="Arial"/>
          <w:i/>
          <w:iCs/>
          <w:sz w:val="22"/>
          <w:szCs w:val="22"/>
        </w:rPr>
        <w:t xml:space="preserve"> </w:t>
      </w:r>
      <w:proofErr w:type="spellStart"/>
      <w:r w:rsidRPr="007E4977">
        <w:rPr>
          <w:rFonts w:ascii="Arial" w:hAnsi="Arial" w:cs="Arial"/>
          <w:i/>
          <w:iCs/>
          <w:sz w:val="22"/>
          <w:szCs w:val="22"/>
        </w:rPr>
        <w:t>Motil</w:t>
      </w:r>
      <w:proofErr w:type="spellEnd"/>
      <w:r w:rsidRPr="007E4977">
        <w:rPr>
          <w:rFonts w:ascii="Arial" w:hAnsi="Arial" w:cs="Arial"/>
          <w:sz w:val="22"/>
          <w:szCs w:val="22"/>
        </w:rPr>
        <w:t>. 2011;17(3):235–44.</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 xml:space="preserve">Rajendra S, </w:t>
      </w:r>
      <w:proofErr w:type="spellStart"/>
      <w:r w:rsidRPr="007E4977">
        <w:rPr>
          <w:rFonts w:ascii="Arial" w:hAnsi="Arial" w:cs="Arial"/>
          <w:sz w:val="22"/>
          <w:szCs w:val="22"/>
        </w:rPr>
        <w:t>Alahakoon</w:t>
      </w:r>
      <w:proofErr w:type="spellEnd"/>
      <w:r w:rsidRPr="007E4977">
        <w:rPr>
          <w:rFonts w:ascii="Arial" w:hAnsi="Arial" w:cs="Arial"/>
          <w:sz w:val="22"/>
          <w:szCs w:val="22"/>
        </w:rPr>
        <w:t xml:space="preserve"> P, Karim N, </w:t>
      </w:r>
      <w:proofErr w:type="spellStart"/>
      <w:r w:rsidRPr="007E4977">
        <w:rPr>
          <w:rFonts w:ascii="Arial" w:hAnsi="Arial" w:cs="Arial"/>
          <w:sz w:val="22"/>
          <w:szCs w:val="22"/>
        </w:rPr>
        <w:t>Ooi</w:t>
      </w:r>
      <w:proofErr w:type="spellEnd"/>
      <w:r w:rsidRPr="007E4977">
        <w:rPr>
          <w:rFonts w:ascii="Arial" w:hAnsi="Arial" w:cs="Arial"/>
          <w:sz w:val="22"/>
          <w:szCs w:val="22"/>
        </w:rPr>
        <w:t xml:space="preserve"> C, Wong H, Kang JY. Gastro-oesophageal reflux disease in a </w:t>
      </w:r>
      <w:proofErr w:type="spellStart"/>
      <w:r w:rsidRPr="007E4977">
        <w:rPr>
          <w:rFonts w:ascii="Arial" w:hAnsi="Arial" w:cs="Arial"/>
          <w:sz w:val="22"/>
          <w:szCs w:val="22"/>
        </w:rPr>
        <w:t>multiethnic</w:t>
      </w:r>
      <w:proofErr w:type="spellEnd"/>
      <w:r w:rsidRPr="007E4977">
        <w:rPr>
          <w:rFonts w:ascii="Arial" w:hAnsi="Arial" w:cs="Arial"/>
          <w:sz w:val="22"/>
          <w:szCs w:val="22"/>
        </w:rPr>
        <w:t xml:space="preserve"> Asian population: results of the DIGEST study. </w:t>
      </w:r>
      <w:proofErr w:type="spellStart"/>
      <w:r w:rsidRPr="007E4977">
        <w:rPr>
          <w:rFonts w:ascii="Arial" w:hAnsi="Arial" w:cs="Arial"/>
          <w:i/>
          <w:iCs/>
          <w:sz w:val="22"/>
          <w:szCs w:val="22"/>
        </w:rPr>
        <w:t>Neurogastroenterol</w:t>
      </w:r>
      <w:proofErr w:type="spellEnd"/>
      <w:r w:rsidRPr="007E4977">
        <w:rPr>
          <w:rFonts w:ascii="Arial" w:hAnsi="Arial" w:cs="Arial"/>
          <w:i/>
          <w:iCs/>
          <w:sz w:val="22"/>
          <w:szCs w:val="22"/>
        </w:rPr>
        <w:t xml:space="preserve"> </w:t>
      </w:r>
      <w:proofErr w:type="spellStart"/>
      <w:r w:rsidRPr="007E4977">
        <w:rPr>
          <w:rFonts w:ascii="Arial" w:hAnsi="Arial" w:cs="Arial"/>
          <w:i/>
          <w:iCs/>
          <w:sz w:val="22"/>
          <w:szCs w:val="22"/>
        </w:rPr>
        <w:t>Motil</w:t>
      </w:r>
      <w:proofErr w:type="spellEnd"/>
      <w:r w:rsidRPr="007E4977">
        <w:rPr>
          <w:rFonts w:ascii="Arial" w:hAnsi="Arial" w:cs="Arial"/>
          <w:sz w:val="22"/>
          <w:szCs w:val="22"/>
        </w:rPr>
        <w:t>. 2004;16(4):569–76.</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El-</w:t>
      </w:r>
      <w:proofErr w:type="spellStart"/>
      <w:r w:rsidRPr="007E4977">
        <w:rPr>
          <w:rFonts w:ascii="Arial" w:hAnsi="Arial" w:cs="Arial"/>
          <w:sz w:val="22"/>
          <w:szCs w:val="22"/>
        </w:rPr>
        <w:t>Serag</w:t>
      </w:r>
      <w:proofErr w:type="spellEnd"/>
      <w:r w:rsidRPr="007E4977">
        <w:rPr>
          <w:rFonts w:ascii="Arial" w:hAnsi="Arial" w:cs="Arial"/>
          <w:sz w:val="22"/>
          <w:szCs w:val="22"/>
        </w:rPr>
        <w:t xml:space="preserve"> HB, Sweet S, Winchester CC, Dent J. Update on the epidemiology of gastro-oesophageal reflux disease: a systematic review. </w:t>
      </w:r>
      <w:r w:rsidRPr="007E4977">
        <w:rPr>
          <w:rFonts w:ascii="Arial" w:hAnsi="Arial" w:cs="Arial"/>
          <w:i/>
          <w:iCs/>
          <w:sz w:val="22"/>
          <w:szCs w:val="22"/>
        </w:rPr>
        <w:t>Gut</w:t>
      </w:r>
      <w:r w:rsidRPr="007E4977">
        <w:rPr>
          <w:rFonts w:ascii="Arial" w:hAnsi="Arial" w:cs="Arial"/>
          <w:sz w:val="22"/>
          <w:szCs w:val="22"/>
        </w:rPr>
        <w:t>. 2014;63(6):871–80.</w:t>
      </w:r>
    </w:p>
    <w:p w:rsidR="007E4977" w:rsidRPr="007E4977" w:rsidRDefault="007E4977" w:rsidP="007E4977">
      <w:pPr>
        <w:pStyle w:val="ListParagraph"/>
        <w:numPr>
          <w:ilvl w:val="0"/>
          <w:numId w:val="6"/>
        </w:numPr>
        <w:spacing w:after="200"/>
        <w:rPr>
          <w:rFonts w:ascii="Arial" w:hAnsi="Arial" w:cs="Arial"/>
          <w:sz w:val="22"/>
          <w:szCs w:val="22"/>
        </w:rPr>
      </w:pPr>
      <w:proofErr w:type="spellStart"/>
      <w:r w:rsidRPr="007E4977">
        <w:rPr>
          <w:rFonts w:ascii="Arial" w:hAnsi="Arial" w:cs="Arial"/>
          <w:sz w:val="22"/>
          <w:szCs w:val="22"/>
        </w:rPr>
        <w:t>Velanovich</w:t>
      </w:r>
      <w:proofErr w:type="spellEnd"/>
      <w:r w:rsidRPr="007E4977">
        <w:rPr>
          <w:rFonts w:ascii="Arial" w:hAnsi="Arial" w:cs="Arial"/>
          <w:sz w:val="22"/>
          <w:szCs w:val="22"/>
        </w:rPr>
        <w:t xml:space="preserve"> V. The development of the GERD-HRQL symptom severity instrument. </w:t>
      </w:r>
      <w:r w:rsidRPr="007E4977">
        <w:rPr>
          <w:rFonts w:ascii="Arial" w:hAnsi="Arial" w:cs="Arial"/>
          <w:i/>
          <w:iCs/>
          <w:sz w:val="22"/>
          <w:szCs w:val="22"/>
        </w:rPr>
        <w:t xml:space="preserve">Dis </w:t>
      </w:r>
      <w:proofErr w:type="spellStart"/>
      <w:r w:rsidRPr="007E4977">
        <w:rPr>
          <w:rFonts w:ascii="Arial" w:hAnsi="Arial" w:cs="Arial"/>
          <w:i/>
          <w:iCs/>
          <w:sz w:val="22"/>
          <w:szCs w:val="22"/>
        </w:rPr>
        <w:t>Esophagus</w:t>
      </w:r>
      <w:proofErr w:type="spellEnd"/>
      <w:r w:rsidRPr="007E4977">
        <w:rPr>
          <w:rFonts w:ascii="Arial" w:hAnsi="Arial" w:cs="Arial"/>
          <w:sz w:val="22"/>
          <w:szCs w:val="22"/>
        </w:rPr>
        <w:t>. 2007;20(2):130–4.</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 xml:space="preserve">Dent J, </w:t>
      </w:r>
      <w:proofErr w:type="spellStart"/>
      <w:r w:rsidRPr="007E4977">
        <w:rPr>
          <w:rFonts w:ascii="Arial" w:hAnsi="Arial" w:cs="Arial"/>
          <w:sz w:val="22"/>
          <w:szCs w:val="22"/>
        </w:rPr>
        <w:t>Halling</w:t>
      </w:r>
      <w:proofErr w:type="spellEnd"/>
      <w:r w:rsidRPr="007E4977">
        <w:rPr>
          <w:rFonts w:ascii="Arial" w:hAnsi="Arial" w:cs="Arial"/>
          <w:sz w:val="22"/>
          <w:szCs w:val="22"/>
        </w:rPr>
        <w:t xml:space="preserve"> K, </w:t>
      </w:r>
      <w:proofErr w:type="spellStart"/>
      <w:r w:rsidRPr="007E4977">
        <w:rPr>
          <w:rFonts w:ascii="Arial" w:hAnsi="Arial" w:cs="Arial"/>
          <w:sz w:val="22"/>
          <w:szCs w:val="22"/>
        </w:rPr>
        <w:t>Kahrilas</w:t>
      </w:r>
      <w:proofErr w:type="spellEnd"/>
      <w:r w:rsidRPr="007E4977">
        <w:rPr>
          <w:rFonts w:ascii="Arial" w:hAnsi="Arial" w:cs="Arial"/>
          <w:sz w:val="22"/>
          <w:szCs w:val="22"/>
        </w:rPr>
        <w:t xml:space="preserve"> PJ, Khatami S, Johansson KE, </w:t>
      </w:r>
      <w:proofErr w:type="spellStart"/>
      <w:r w:rsidRPr="007E4977">
        <w:rPr>
          <w:rFonts w:ascii="Arial" w:hAnsi="Arial" w:cs="Arial"/>
          <w:sz w:val="22"/>
          <w:szCs w:val="22"/>
        </w:rPr>
        <w:t>Lindeberg</w:t>
      </w:r>
      <w:proofErr w:type="spellEnd"/>
      <w:r w:rsidRPr="007E4977">
        <w:rPr>
          <w:rFonts w:ascii="Arial" w:hAnsi="Arial" w:cs="Arial"/>
          <w:sz w:val="22"/>
          <w:szCs w:val="22"/>
        </w:rPr>
        <w:t xml:space="preserve"> B, et al. Development and validation of a disease-specific quality of life questionnaire for gastro-oesophageal reflux disease: the GERD-QOL questionnaire. </w:t>
      </w:r>
      <w:r w:rsidRPr="007E4977">
        <w:rPr>
          <w:rFonts w:ascii="Arial" w:hAnsi="Arial" w:cs="Arial"/>
          <w:i/>
          <w:iCs/>
          <w:sz w:val="22"/>
          <w:szCs w:val="22"/>
        </w:rPr>
        <w:t xml:space="preserve">Dis </w:t>
      </w:r>
      <w:proofErr w:type="spellStart"/>
      <w:r w:rsidRPr="007E4977">
        <w:rPr>
          <w:rFonts w:ascii="Arial" w:hAnsi="Arial" w:cs="Arial"/>
          <w:i/>
          <w:iCs/>
          <w:sz w:val="22"/>
          <w:szCs w:val="22"/>
        </w:rPr>
        <w:t>Esophagus</w:t>
      </w:r>
      <w:proofErr w:type="spellEnd"/>
      <w:r w:rsidRPr="007E4977">
        <w:rPr>
          <w:rFonts w:ascii="Arial" w:hAnsi="Arial" w:cs="Arial"/>
          <w:sz w:val="22"/>
          <w:szCs w:val="22"/>
        </w:rPr>
        <w:t>. 2005;18(4):215–22.</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 xml:space="preserve">Chan Y, Bao H, Wang C, Zhang G, Xu R. Quality of life scales for patients with gastroesophageal reflux disease: a review. </w:t>
      </w:r>
      <w:r w:rsidRPr="007E4977">
        <w:rPr>
          <w:rFonts w:ascii="Arial" w:hAnsi="Arial" w:cs="Arial"/>
          <w:i/>
          <w:iCs/>
          <w:sz w:val="22"/>
          <w:szCs w:val="22"/>
        </w:rPr>
        <w:t xml:space="preserve">Best </w:t>
      </w:r>
      <w:proofErr w:type="spellStart"/>
      <w:r w:rsidRPr="007E4977">
        <w:rPr>
          <w:rFonts w:ascii="Arial" w:hAnsi="Arial" w:cs="Arial"/>
          <w:i/>
          <w:iCs/>
          <w:sz w:val="22"/>
          <w:szCs w:val="22"/>
        </w:rPr>
        <w:t>Pract</w:t>
      </w:r>
      <w:proofErr w:type="spellEnd"/>
      <w:r w:rsidRPr="007E4977">
        <w:rPr>
          <w:rFonts w:ascii="Arial" w:hAnsi="Arial" w:cs="Arial"/>
          <w:i/>
          <w:iCs/>
          <w:sz w:val="22"/>
          <w:szCs w:val="22"/>
        </w:rPr>
        <w:t xml:space="preserve"> Res Clin Gastroenterol</w:t>
      </w:r>
      <w:r w:rsidRPr="007E4977">
        <w:rPr>
          <w:rFonts w:ascii="Arial" w:hAnsi="Arial" w:cs="Arial"/>
          <w:sz w:val="22"/>
          <w:szCs w:val="22"/>
        </w:rPr>
        <w:t>. 2015;29(6):781–97.</w:t>
      </w:r>
    </w:p>
    <w:p w:rsidR="007E4977" w:rsidRPr="007E4977" w:rsidRDefault="007E4977" w:rsidP="007E4977">
      <w:pPr>
        <w:pStyle w:val="ListParagraph"/>
        <w:numPr>
          <w:ilvl w:val="0"/>
          <w:numId w:val="6"/>
        </w:numPr>
        <w:spacing w:after="200"/>
        <w:rPr>
          <w:rFonts w:ascii="Arial" w:hAnsi="Arial" w:cs="Arial"/>
          <w:sz w:val="22"/>
          <w:szCs w:val="22"/>
        </w:rPr>
      </w:pPr>
      <w:proofErr w:type="spellStart"/>
      <w:r w:rsidRPr="007E4977">
        <w:rPr>
          <w:rFonts w:ascii="Arial" w:hAnsi="Arial" w:cs="Arial"/>
          <w:sz w:val="22"/>
          <w:szCs w:val="22"/>
        </w:rPr>
        <w:t>Streiner</w:t>
      </w:r>
      <w:proofErr w:type="spellEnd"/>
      <w:r w:rsidRPr="007E4977">
        <w:rPr>
          <w:rFonts w:ascii="Arial" w:hAnsi="Arial" w:cs="Arial"/>
          <w:sz w:val="22"/>
          <w:szCs w:val="22"/>
        </w:rPr>
        <w:t xml:space="preserve"> DL, Norman GR, </w:t>
      </w:r>
      <w:proofErr w:type="spellStart"/>
      <w:r w:rsidRPr="007E4977">
        <w:rPr>
          <w:rFonts w:ascii="Arial" w:hAnsi="Arial" w:cs="Arial"/>
          <w:sz w:val="22"/>
          <w:szCs w:val="22"/>
        </w:rPr>
        <w:t>Cairney</w:t>
      </w:r>
      <w:proofErr w:type="spellEnd"/>
      <w:r w:rsidRPr="007E4977">
        <w:rPr>
          <w:rFonts w:ascii="Arial" w:hAnsi="Arial" w:cs="Arial"/>
          <w:sz w:val="22"/>
          <w:szCs w:val="22"/>
        </w:rPr>
        <w:t xml:space="preserve"> J. </w:t>
      </w:r>
      <w:r w:rsidRPr="007E4977">
        <w:rPr>
          <w:rFonts w:ascii="Arial" w:hAnsi="Arial" w:cs="Arial"/>
          <w:i/>
          <w:iCs/>
          <w:sz w:val="22"/>
          <w:szCs w:val="22"/>
        </w:rPr>
        <w:t>Health Measurement Scales: A Practical Guide to Their Development and Use.</w:t>
      </w:r>
      <w:r w:rsidRPr="007E4977">
        <w:rPr>
          <w:rFonts w:ascii="Arial" w:hAnsi="Arial" w:cs="Arial"/>
          <w:sz w:val="22"/>
          <w:szCs w:val="22"/>
        </w:rPr>
        <w:t xml:space="preserve"> 5th ed. Oxford: Oxford University Press; 2015.</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 xml:space="preserve">Beaton DE, Bombardier C, Guillemin F, </w:t>
      </w:r>
      <w:proofErr w:type="spellStart"/>
      <w:r w:rsidRPr="007E4977">
        <w:rPr>
          <w:rFonts w:ascii="Arial" w:hAnsi="Arial" w:cs="Arial"/>
          <w:sz w:val="22"/>
          <w:szCs w:val="22"/>
        </w:rPr>
        <w:t>Ferraz</w:t>
      </w:r>
      <w:proofErr w:type="spellEnd"/>
      <w:r w:rsidRPr="007E4977">
        <w:rPr>
          <w:rFonts w:ascii="Arial" w:hAnsi="Arial" w:cs="Arial"/>
          <w:sz w:val="22"/>
          <w:szCs w:val="22"/>
        </w:rPr>
        <w:t xml:space="preserve"> MB. Guidelines for the process of cross-cultural adaptation of self-report measures. </w:t>
      </w:r>
      <w:r w:rsidRPr="007E4977">
        <w:rPr>
          <w:rFonts w:ascii="Arial" w:hAnsi="Arial" w:cs="Arial"/>
          <w:i/>
          <w:iCs/>
          <w:sz w:val="22"/>
          <w:szCs w:val="22"/>
        </w:rPr>
        <w:t>Spine</w:t>
      </w:r>
      <w:r w:rsidRPr="007E4977">
        <w:rPr>
          <w:rFonts w:ascii="Arial" w:hAnsi="Arial" w:cs="Arial"/>
          <w:sz w:val="22"/>
          <w:szCs w:val="22"/>
        </w:rPr>
        <w:t>. 2000;25(24):3186–91.</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 xml:space="preserve">Dent J, </w:t>
      </w:r>
      <w:proofErr w:type="spellStart"/>
      <w:r w:rsidRPr="007E4977">
        <w:rPr>
          <w:rFonts w:ascii="Arial" w:hAnsi="Arial" w:cs="Arial"/>
          <w:sz w:val="22"/>
          <w:szCs w:val="22"/>
        </w:rPr>
        <w:t>Halling</w:t>
      </w:r>
      <w:proofErr w:type="spellEnd"/>
      <w:r w:rsidRPr="007E4977">
        <w:rPr>
          <w:rFonts w:ascii="Arial" w:hAnsi="Arial" w:cs="Arial"/>
          <w:sz w:val="22"/>
          <w:szCs w:val="22"/>
        </w:rPr>
        <w:t xml:space="preserve"> K, </w:t>
      </w:r>
      <w:proofErr w:type="spellStart"/>
      <w:r w:rsidRPr="007E4977">
        <w:rPr>
          <w:rFonts w:ascii="Arial" w:hAnsi="Arial" w:cs="Arial"/>
          <w:sz w:val="22"/>
          <w:szCs w:val="22"/>
        </w:rPr>
        <w:t>Kahrilas</w:t>
      </w:r>
      <w:proofErr w:type="spellEnd"/>
      <w:r w:rsidRPr="007E4977">
        <w:rPr>
          <w:rFonts w:ascii="Arial" w:hAnsi="Arial" w:cs="Arial"/>
          <w:sz w:val="22"/>
          <w:szCs w:val="22"/>
        </w:rPr>
        <w:t xml:space="preserve"> PJ, Khatami S, Johansson KE, </w:t>
      </w:r>
      <w:proofErr w:type="spellStart"/>
      <w:r w:rsidRPr="007E4977">
        <w:rPr>
          <w:rFonts w:ascii="Arial" w:hAnsi="Arial" w:cs="Arial"/>
          <w:sz w:val="22"/>
          <w:szCs w:val="22"/>
        </w:rPr>
        <w:t>Lindeberg</w:t>
      </w:r>
      <w:proofErr w:type="spellEnd"/>
      <w:r w:rsidRPr="007E4977">
        <w:rPr>
          <w:rFonts w:ascii="Arial" w:hAnsi="Arial" w:cs="Arial"/>
          <w:sz w:val="22"/>
          <w:szCs w:val="22"/>
        </w:rPr>
        <w:t xml:space="preserve"> B, et al. Development and validation of a disease-specific quality of life questionnaire for gastro-oesophageal reflux disease: the GERD-QOL questionnaire. </w:t>
      </w:r>
      <w:r w:rsidRPr="007E4977">
        <w:rPr>
          <w:rFonts w:ascii="Arial" w:hAnsi="Arial" w:cs="Arial"/>
          <w:i/>
          <w:iCs/>
          <w:sz w:val="22"/>
          <w:szCs w:val="22"/>
        </w:rPr>
        <w:t xml:space="preserve">Dis </w:t>
      </w:r>
      <w:proofErr w:type="spellStart"/>
      <w:r w:rsidRPr="007E4977">
        <w:rPr>
          <w:rFonts w:ascii="Arial" w:hAnsi="Arial" w:cs="Arial"/>
          <w:i/>
          <w:iCs/>
          <w:sz w:val="22"/>
          <w:szCs w:val="22"/>
        </w:rPr>
        <w:t>Esophagus</w:t>
      </w:r>
      <w:proofErr w:type="spellEnd"/>
      <w:r w:rsidRPr="007E4977">
        <w:rPr>
          <w:rFonts w:ascii="Arial" w:hAnsi="Arial" w:cs="Arial"/>
          <w:sz w:val="22"/>
          <w:szCs w:val="22"/>
        </w:rPr>
        <w:t>. 2005;18(4):215–22.</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lastRenderedPageBreak/>
        <w:t xml:space="preserve">Chan Y, Bao H, Wang C, Zhang G, Xu R. Quality of life scales for patients with gastroesophageal reflux disease: a review. </w:t>
      </w:r>
      <w:r w:rsidRPr="007E4977">
        <w:rPr>
          <w:rFonts w:ascii="Arial" w:hAnsi="Arial" w:cs="Arial"/>
          <w:i/>
          <w:iCs/>
          <w:sz w:val="22"/>
          <w:szCs w:val="22"/>
        </w:rPr>
        <w:t xml:space="preserve">Best </w:t>
      </w:r>
      <w:proofErr w:type="spellStart"/>
      <w:r w:rsidRPr="007E4977">
        <w:rPr>
          <w:rFonts w:ascii="Arial" w:hAnsi="Arial" w:cs="Arial"/>
          <w:i/>
          <w:iCs/>
          <w:sz w:val="22"/>
          <w:szCs w:val="22"/>
        </w:rPr>
        <w:t>Pract</w:t>
      </w:r>
      <w:proofErr w:type="spellEnd"/>
      <w:r w:rsidRPr="007E4977">
        <w:rPr>
          <w:rFonts w:ascii="Arial" w:hAnsi="Arial" w:cs="Arial"/>
          <w:i/>
          <w:iCs/>
          <w:sz w:val="22"/>
          <w:szCs w:val="22"/>
        </w:rPr>
        <w:t xml:space="preserve"> Res Clin Gastroenterol</w:t>
      </w:r>
      <w:r w:rsidRPr="007E4977">
        <w:rPr>
          <w:rFonts w:ascii="Arial" w:hAnsi="Arial" w:cs="Arial"/>
          <w:sz w:val="22"/>
          <w:szCs w:val="22"/>
        </w:rPr>
        <w:t>. 2015;29(6):781–97.</w:t>
      </w:r>
    </w:p>
    <w:p w:rsidR="007E4977" w:rsidRPr="007E4977" w:rsidRDefault="007E4977" w:rsidP="007E4977">
      <w:pPr>
        <w:pStyle w:val="ListParagraph"/>
        <w:numPr>
          <w:ilvl w:val="0"/>
          <w:numId w:val="6"/>
        </w:numPr>
        <w:spacing w:after="200"/>
        <w:rPr>
          <w:rFonts w:ascii="Arial" w:hAnsi="Arial" w:cs="Arial"/>
          <w:sz w:val="22"/>
          <w:szCs w:val="22"/>
        </w:rPr>
      </w:pPr>
      <w:proofErr w:type="spellStart"/>
      <w:r w:rsidRPr="007E4977">
        <w:rPr>
          <w:rFonts w:ascii="Arial" w:hAnsi="Arial" w:cs="Arial"/>
          <w:sz w:val="22"/>
          <w:szCs w:val="22"/>
        </w:rPr>
        <w:t>Velanovich</w:t>
      </w:r>
      <w:proofErr w:type="spellEnd"/>
      <w:r w:rsidRPr="007E4977">
        <w:rPr>
          <w:rFonts w:ascii="Arial" w:hAnsi="Arial" w:cs="Arial"/>
          <w:sz w:val="22"/>
          <w:szCs w:val="22"/>
        </w:rPr>
        <w:t xml:space="preserve"> V. The development of the GERD-HRQL symptom severity instrument. </w:t>
      </w:r>
      <w:r w:rsidRPr="007E4977">
        <w:rPr>
          <w:rFonts w:ascii="Arial" w:hAnsi="Arial" w:cs="Arial"/>
          <w:i/>
          <w:iCs/>
          <w:sz w:val="22"/>
          <w:szCs w:val="22"/>
        </w:rPr>
        <w:t xml:space="preserve">Dis </w:t>
      </w:r>
      <w:proofErr w:type="spellStart"/>
      <w:r w:rsidRPr="007E4977">
        <w:rPr>
          <w:rFonts w:ascii="Arial" w:hAnsi="Arial" w:cs="Arial"/>
          <w:i/>
          <w:iCs/>
          <w:sz w:val="22"/>
          <w:szCs w:val="22"/>
        </w:rPr>
        <w:t>Esophagus</w:t>
      </w:r>
      <w:proofErr w:type="spellEnd"/>
      <w:r w:rsidRPr="007E4977">
        <w:rPr>
          <w:rFonts w:ascii="Arial" w:hAnsi="Arial" w:cs="Arial"/>
          <w:sz w:val="22"/>
          <w:szCs w:val="22"/>
        </w:rPr>
        <w:t>. 2007;20(2):130–4.</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 xml:space="preserve">Sousa VD, </w:t>
      </w:r>
      <w:proofErr w:type="spellStart"/>
      <w:r w:rsidRPr="007E4977">
        <w:rPr>
          <w:rFonts w:ascii="Arial" w:hAnsi="Arial" w:cs="Arial"/>
          <w:sz w:val="22"/>
          <w:szCs w:val="22"/>
        </w:rPr>
        <w:t>Rojjanasrirat</w:t>
      </w:r>
      <w:proofErr w:type="spellEnd"/>
      <w:r w:rsidRPr="007E4977">
        <w:rPr>
          <w:rFonts w:ascii="Arial" w:hAnsi="Arial" w:cs="Arial"/>
          <w:sz w:val="22"/>
          <w:szCs w:val="22"/>
        </w:rPr>
        <w:t xml:space="preserve"> W. Translation, adaptation and validation of instruments or scales for use in cross-cultural health care research: a clear and user-friendly guideline. </w:t>
      </w:r>
      <w:r w:rsidRPr="007E4977">
        <w:rPr>
          <w:rFonts w:ascii="Arial" w:hAnsi="Arial" w:cs="Arial"/>
          <w:i/>
          <w:iCs/>
          <w:sz w:val="22"/>
          <w:szCs w:val="22"/>
        </w:rPr>
        <w:t xml:space="preserve">J Eval Clin </w:t>
      </w:r>
      <w:proofErr w:type="spellStart"/>
      <w:r w:rsidRPr="007E4977">
        <w:rPr>
          <w:rFonts w:ascii="Arial" w:hAnsi="Arial" w:cs="Arial"/>
          <w:i/>
          <w:iCs/>
          <w:sz w:val="22"/>
          <w:szCs w:val="22"/>
        </w:rPr>
        <w:t>Pract</w:t>
      </w:r>
      <w:proofErr w:type="spellEnd"/>
      <w:r w:rsidRPr="007E4977">
        <w:rPr>
          <w:rFonts w:ascii="Arial" w:hAnsi="Arial" w:cs="Arial"/>
          <w:sz w:val="22"/>
          <w:szCs w:val="22"/>
        </w:rPr>
        <w:t>. 2011;17(2):268–74.</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 xml:space="preserve">Beaton DE, Bombardier C, Guillemin F, </w:t>
      </w:r>
      <w:proofErr w:type="spellStart"/>
      <w:r w:rsidRPr="007E4977">
        <w:rPr>
          <w:rFonts w:ascii="Arial" w:hAnsi="Arial" w:cs="Arial"/>
          <w:sz w:val="22"/>
          <w:szCs w:val="22"/>
        </w:rPr>
        <w:t>Ferraz</w:t>
      </w:r>
      <w:proofErr w:type="spellEnd"/>
      <w:r w:rsidRPr="007E4977">
        <w:rPr>
          <w:rFonts w:ascii="Arial" w:hAnsi="Arial" w:cs="Arial"/>
          <w:sz w:val="22"/>
          <w:szCs w:val="22"/>
        </w:rPr>
        <w:t xml:space="preserve"> MB. Guidelines for the process of cross-cultural adaptation of self-report measures. </w:t>
      </w:r>
      <w:r w:rsidRPr="007E4977">
        <w:rPr>
          <w:rFonts w:ascii="Arial" w:hAnsi="Arial" w:cs="Arial"/>
          <w:i/>
          <w:iCs/>
          <w:sz w:val="22"/>
          <w:szCs w:val="22"/>
        </w:rPr>
        <w:t>Spine</w:t>
      </w:r>
      <w:r w:rsidRPr="007E4977">
        <w:rPr>
          <w:rFonts w:ascii="Arial" w:hAnsi="Arial" w:cs="Arial"/>
          <w:sz w:val="22"/>
          <w:szCs w:val="22"/>
        </w:rPr>
        <w:t>. 2000;25(24):3186–91.</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El-</w:t>
      </w:r>
      <w:proofErr w:type="spellStart"/>
      <w:r w:rsidRPr="007E4977">
        <w:rPr>
          <w:rFonts w:ascii="Arial" w:hAnsi="Arial" w:cs="Arial"/>
          <w:sz w:val="22"/>
          <w:szCs w:val="22"/>
        </w:rPr>
        <w:t>Serag</w:t>
      </w:r>
      <w:proofErr w:type="spellEnd"/>
      <w:r w:rsidRPr="007E4977">
        <w:rPr>
          <w:rFonts w:ascii="Arial" w:hAnsi="Arial" w:cs="Arial"/>
          <w:sz w:val="22"/>
          <w:szCs w:val="22"/>
        </w:rPr>
        <w:t xml:space="preserve"> HB, Sweet S, Winchester CC, Dent J. Update on the epidemiology of gastro-oesophageal reflux disease: a systematic review. </w:t>
      </w:r>
      <w:r w:rsidRPr="007E4977">
        <w:rPr>
          <w:rFonts w:ascii="Arial" w:hAnsi="Arial" w:cs="Arial"/>
          <w:i/>
          <w:iCs/>
          <w:sz w:val="22"/>
          <w:szCs w:val="22"/>
        </w:rPr>
        <w:t>Gut.</w:t>
      </w:r>
      <w:r w:rsidRPr="007E4977">
        <w:rPr>
          <w:rFonts w:ascii="Arial" w:hAnsi="Arial" w:cs="Arial"/>
          <w:sz w:val="22"/>
          <w:szCs w:val="22"/>
        </w:rPr>
        <w:t xml:space="preserve"> 2014;63(6):871–880.</w:t>
      </w:r>
    </w:p>
    <w:p w:rsidR="007E4977" w:rsidRPr="007E4977" w:rsidRDefault="007E4977" w:rsidP="007E4977">
      <w:pPr>
        <w:pStyle w:val="ListParagraph"/>
        <w:numPr>
          <w:ilvl w:val="0"/>
          <w:numId w:val="6"/>
        </w:numPr>
        <w:spacing w:after="200"/>
        <w:rPr>
          <w:rFonts w:ascii="Arial" w:hAnsi="Arial" w:cs="Arial"/>
          <w:sz w:val="22"/>
          <w:szCs w:val="22"/>
        </w:rPr>
      </w:pPr>
      <w:proofErr w:type="spellStart"/>
      <w:r w:rsidRPr="007E4977">
        <w:rPr>
          <w:rFonts w:ascii="Arial" w:hAnsi="Arial" w:cs="Arial"/>
          <w:sz w:val="22"/>
          <w:szCs w:val="22"/>
        </w:rPr>
        <w:t>Ronkainen</w:t>
      </w:r>
      <w:proofErr w:type="spellEnd"/>
      <w:r w:rsidRPr="007E4977">
        <w:rPr>
          <w:rFonts w:ascii="Arial" w:hAnsi="Arial" w:cs="Arial"/>
          <w:sz w:val="22"/>
          <w:szCs w:val="22"/>
        </w:rPr>
        <w:t xml:space="preserve"> J, </w:t>
      </w:r>
      <w:proofErr w:type="spellStart"/>
      <w:r w:rsidRPr="007E4977">
        <w:rPr>
          <w:rFonts w:ascii="Arial" w:hAnsi="Arial" w:cs="Arial"/>
          <w:sz w:val="22"/>
          <w:szCs w:val="22"/>
        </w:rPr>
        <w:t>Aro</w:t>
      </w:r>
      <w:proofErr w:type="spellEnd"/>
      <w:r w:rsidRPr="007E4977">
        <w:rPr>
          <w:rFonts w:ascii="Arial" w:hAnsi="Arial" w:cs="Arial"/>
          <w:sz w:val="22"/>
          <w:szCs w:val="22"/>
        </w:rPr>
        <w:t xml:space="preserve"> P, </w:t>
      </w:r>
      <w:proofErr w:type="spellStart"/>
      <w:r w:rsidRPr="007E4977">
        <w:rPr>
          <w:rFonts w:ascii="Arial" w:hAnsi="Arial" w:cs="Arial"/>
          <w:sz w:val="22"/>
          <w:szCs w:val="22"/>
        </w:rPr>
        <w:t>Storskrubb</w:t>
      </w:r>
      <w:proofErr w:type="spellEnd"/>
      <w:r w:rsidRPr="007E4977">
        <w:rPr>
          <w:rFonts w:ascii="Arial" w:hAnsi="Arial" w:cs="Arial"/>
          <w:sz w:val="22"/>
          <w:szCs w:val="22"/>
        </w:rPr>
        <w:t xml:space="preserve"> T, Johansson SE, Lind T, Bolling-</w:t>
      </w:r>
      <w:proofErr w:type="spellStart"/>
      <w:r w:rsidRPr="007E4977">
        <w:rPr>
          <w:rFonts w:ascii="Arial" w:hAnsi="Arial" w:cs="Arial"/>
          <w:sz w:val="22"/>
          <w:szCs w:val="22"/>
        </w:rPr>
        <w:t>Sternevald</w:t>
      </w:r>
      <w:proofErr w:type="spellEnd"/>
      <w:r w:rsidRPr="007E4977">
        <w:rPr>
          <w:rFonts w:ascii="Arial" w:hAnsi="Arial" w:cs="Arial"/>
          <w:sz w:val="22"/>
          <w:szCs w:val="22"/>
        </w:rPr>
        <w:t xml:space="preserve"> E, et al. High prevalence of gastroesophageal reflux symptoms and esophagitis with or without symptoms in the general adult Swedish population: a </w:t>
      </w:r>
      <w:proofErr w:type="spellStart"/>
      <w:r w:rsidRPr="007E4977">
        <w:rPr>
          <w:rFonts w:ascii="Arial" w:hAnsi="Arial" w:cs="Arial"/>
          <w:sz w:val="22"/>
          <w:szCs w:val="22"/>
        </w:rPr>
        <w:t>Kalixanda</w:t>
      </w:r>
      <w:proofErr w:type="spellEnd"/>
      <w:r w:rsidRPr="007E4977">
        <w:rPr>
          <w:rFonts w:ascii="Arial" w:hAnsi="Arial" w:cs="Arial"/>
          <w:sz w:val="22"/>
          <w:szCs w:val="22"/>
        </w:rPr>
        <w:t xml:space="preserve"> study report. </w:t>
      </w:r>
      <w:proofErr w:type="spellStart"/>
      <w:r w:rsidRPr="007E4977">
        <w:rPr>
          <w:rFonts w:ascii="Arial" w:hAnsi="Arial" w:cs="Arial"/>
          <w:i/>
          <w:iCs/>
          <w:sz w:val="22"/>
          <w:szCs w:val="22"/>
        </w:rPr>
        <w:t>Scand</w:t>
      </w:r>
      <w:proofErr w:type="spellEnd"/>
      <w:r w:rsidRPr="007E4977">
        <w:rPr>
          <w:rFonts w:ascii="Arial" w:hAnsi="Arial" w:cs="Arial"/>
          <w:i/>
          <w:iCs/>
          <w:sz w:val="22"/>
          <w:szCs w:val="22"/>
        </w:rPr>
        <w:t xml:space="preserve"> J Gastroenterol.</w:t>
      </w:r>
      <w:r w:rsidRPr="007E4977">
        <w:rPr>
          <w:rFonts w:ascii="Arial" w:hAnsi="Arial" w:cs="Arial"/>
          <w:sz w:val="22"/>
          <w:szCs w:val="22"/>
        </w:rPr>
        <w:t xml:space="preserve"> 2005;40(3):275–285.</w:t>
      </w:r>
    </w:p>
    <w:p w:rsidR="007E4977" w:rsidRPr="007E4977" w:rsidRDefault="007E4977" w:rsidP="007E4977">
      <w:pPr>
        <w:pStyle w:val="ListParagraph"/>
        <w:numPr>
          <w:ilvl w:val="0"/>
          <w:numId w:val="6"/>
        </w:numPr>
        <w:spacing w:after="200"/>
        <w:rPr>
          <w:rFonts w:ascii="Arial" w:hAnsi="Arial" w:cs="Arial"/>
          <w:sz w:val="22"/>
          <w:szCs w:val="22"/>
        </w:rPr>
      </w:pPr>
      <w:proofErr w:type="spellStart"/>
      <w:r w:rsidRPr="007E4977">
        <w:rPr>
          <w:rFonts w:ascii="Arial" w:hAnsi="Arial" w:cs="Arial"/>
          <w:sz w:val="22"/>
          <w:szCs w:val="22"/>
        </w:rPr>
        <w:t>Kulig</w:t>
      </w:r>
      <w:proofErr w:type="spellEnd"/>
      <w:r w:rsidRPr="007E4977">
        <w:rPr>
          <w:rFonts w:ascii="Arial" w:hAnsi="Arial" w:cs="Arial"/>
          <w:sz w:val="22"/>
          <w:szCs w:val="22"/>
        </w:rPr>
        <w:t xml:space="preserve"> M, </w:t>
      </w:r>
      <w:proofErr w:type="spellStart"/>
      <w:r w:rsidRPr="007E4977">
        <w:rPr>
          <w:rFonts w:ascii="Arial" w:hAnsi="Arial" w:cs="Arial"/>
          <w:sz w:val="22"/>
          <w:szCs w:val="22"/>
        </w:rPr>
        <w:t>Leodolter</w:t>
      </w:r>
      <w:proofErr w:type="spellEnd"/>
      <w:r w:rsidRPr="007E4977">
        <w:rPr>
          <w:rFonts w:ascii="Arial" w:hAnsi="Arial" w:cs="Arial"/>
          <w:sz w:val="22"/>
          <w:szCs w:val="22"/>
        </w:rPr>
        <w:t xml:space="preserve"> A, </w:t>
      </w:r>
      <w:proofErr w:type="spellStart"/>
      <w:r w:rsidRPr="007E4977">
        <w:rPr>
          <w:rFonts w:ascii="Arial" w:hAnsi="Arial" w:cs="Arial"/>
          <w:sz w:val="22"/>
          <w:szCs w:val="22"/>
        </w:rPr>
        <w:t>Vieth</w:t>
      </w:r>
      <w:proofErr w:type="spellEnd"/>
      <w:r w:rsidRPr="007E4977">
        <w:rPr>
          <w:rFonts w:ascii="Arial" w:hAnsi="Arial" w:cs="Arial"/>
          <w:sz w:val="22"/>
          <w:szCs w:val="22"/>
        </w:rPr>
        <w:t xml:space="preserve"> M, Schulte E, </w:t>
      </w:r>
      <w:proofErr w:type="spellStart"/>
      <w:r w:rsidRPr="007E4977">
        <w:rPr>
          <w:rFonts w:ascii="Arial" w:hAnsi="Arial" w:cs="Arial"/>
          <w:sz w:val="22"/>
          <w:szCs w:val="22"/>
        </w:rPr>
        <w:t>Jaspersen</w:t>
      </w:r>
      <w:proofErr w:type="spellEnd"/>
      <w:r w:rsidRPr="007E4977">
        <w:rPr>
          <w:rFonts w:ascii="Arial" w:hAnsi="Arial" w:cs="Arial"/>
          <w:sz w:val="22"/>
          <w:szCs w:val="22"/>
        </w:rPr>
        <w:t xml:space="preserve"> D, </w:t>
      </w:r>
      <w:proofErr w:type="spellStart"/>
      <w:r w:rsidRPr="007E4977">
        <w:rPr>
          <w:rFonts w:ascii="Arial" w:hAnsi="Arial" w:cs="Arial"/>
          <w:sz w:val="22"/>
          <w:szCs w:val="22"/>
        </w:rPr>
        <w:t>Labenz</w:t>
      </w:r>
      <w:proofErr w:type="spellEnd"/>
      <w:r w:rsidRPr="007E4977">
        <w:rPr>
          <w:rFonts w:ascii="Arial" w:hAnsi="Arial" w:cs="Arial"/>
          <w:sz w:val="22"/>
          <w:szCs w:val="22"/>
        </w:rPr>
        <w:t xml:space="preserve"> J, et al. Quality of life in relation to symptoms in patients with gastro-oesophageal reflux disease—an analysis based on the </w:t>
      </w:r>
      <w:proofErr w:type="spellStart"/>
      <w:r w:rsidRPr="007E4977">
        <w:rPr>
          <w:rFonts w:ascii="Arial" w:hAnsi="Arial" w:cs="Arial"/>
          <w:sz w:val="22"/>
          <w:szCs w:val="22"/>
        </w:rPr>
        <w:t>ProGERD</w:t>
      </w:r>
      <w:proofErr w:type="spellEnd"/>
      <w:r w:rsidRPr="007E4977">
        <w:rPr>
          <w:rFonts w:ascii="Arial" w:hAnsi="Arial" w:cs="Arial"/>
          <w:sz w:val="22"/>
          <w:szCs w:val="22"/>
        </w:rPr>
        <w:t xml:space="preserve"> initiative. </w:t>
      </w:r>
      <w:r w:rsidRPr="007E4977">
        <w:rPr>
          <w:rFonts w:ascii="Arial" w:hAnsi="Arial" w:cs="Arial"/>
          <w:i/>
          <w:iCs/>
          <w:sz w:val="22"/>
          <w:szCs w:val="22"/>
        </w:rPr>
        <w:t xml:space="preserve">Aliment </w:t>
      </w:r>
      <w:proofErr w:type="spellStart"/>
      <w:r w:rsidRPr="007E4977">
        <w:rPr>
          <w:rFonts w:ascii="Arial" w:hAnsi="Arial" w:cs="Arial"/>
          <w:i/>
          <w:iCs/>
          <w:sz w:val="22"/>
          <w:szCs w:val="22"/>
        </w:rPr>
        <w:t>Pharmacol</w:t>
      </w:r>
      <w:proofErr w:type="spellEnd"/>
      <w:r w:rsidRPr="007E4977">
        <w:rPr>
          <w:rFonts w:ascii="Arial" w:hAnsi="Arial" w:cs="Arial"/>
          <w:i/>
          <w:iCs/>
          <w:sz w:val="22"/>
          <w:szCs w:val="22"/>
        </w:rPr>
        <w:t xml:space="preserve"> </w:t>
      </w:r>
      <w:proofErr w:type="spellStart"/>
      <w:r w:rsidRPr="007E4977">
        <w:rPr>
          <w:rFonts w:ascii="Arial" w:hAnsi="Arial" w:cs="Arial"/>
          <w:i/>
          <w:iCs/>
          <w:sz w:val="22"/>
          <w:szCs w:val="22"/>
        </w:rPr>
        <w:t>Ther</w:t>
      </w:r>
      <w:proofErr w:type="spellEnd"/>
      <w:r w:rsidRPr="007E4977">
        <w:rPr>
          <w:rFonts w:ascii="Arial" w:hAnsi="Arial" w:cs="Arial"/>
          <w:i/>
          <w:iCs/>
          <w:sz w:val="22"/>
          <w:szCs w:val="22"/>
        </w:rPr>
        <w:t>.</w:t>
      </w:r>
      <w:r w:rsidRPr="007E4977">
        <w:rPr>
          <w:rFonts w:ascii="Arial" w:hAnsi="Arial" w:cs="Arial"/>
          <w:sz w:val="22"/>
          <w:szCs w:val="22"/>
        </w:rPr>
        <w:t xml:space="preserve"> 2003;18(8):767–776.</w:t>
      </w:r>
    </w:p>
    <w:p w:rsidR="007E4977" w:rsidRPr="007E4977" w:rsidRDefault="007E4977" w:rsidP="007E4977">
      <w:pPr>
        <w:pStyle w:val="ListParagraph"/>
        <w:numPr>
          <w:ilvl w:val="0"/>
          <w:numId w:val="6"/>
        </w:numPr>
        <w:spacing w:after="200"/>
        <w:rPr>
          <w:rFonts w:ascii="Arial" w:hAnsi="Arial" w:cs="Arial"/>
          <w:sz w:val="22"/>
          <w:szCs w:val="22"/>
        </w:rPr>
      </w:pPr>
      <w:proofErr w:type="spellStart"/>
      <w:r w:rsidRPr="007E4977">
        <w:rPr>
          <w:rFonts w:ascii="Arial" w:hAnsi="Arial" w:cs="Arial"/>
          <w:sz w:val="22"/>
          <w:szCs w:val="22"/>
        </w:rPr>
        <w:t>Kamolratanakul</w:t>
      </w:r>
      <w:proofErr w:type="spellEnd"/>
      <w:r w:rsidRPr="007E4977">
        <w:rPr>
          <w:rFonts w:ascii="Arial" w:hAnsi="Arial" w:cs="Arial"/>
          <w:sz w:val="22"/>
          <w:szCs w:val="22"/>
        </w:rPr>
        <w:t xml:space="preserve"> M, </w:t>
      </w:r>
      <w:proofErr w:type="spellStart"/>
      <w:r w:rsidRPr="007E4977">
        <w:rPr>
          <w:rFonts w:ascii="Arial" w:hAnsi="Arial" w:cs="Arial"/>
          <w:sz w:val="22"/>
          <w:szCs w:val="22"/>
        </w:rPr>
        <w:t>Vatanasapt</w:t>
      </w:r>
      <w:proofErr w:type="spellEnd"/>
      <w:r w:rsidRPr="007E4977">
        <w:rPr>
          <w:rFonts w:ascii="Arial" w:hAnsi="Arial" w:cs="Arial"/>
          <w:sz w:val="22"/>
          <w:szCs w:val="22"/>
        </w:rPr>
        <w:t xml:space="preserve"> P, </w:t>
      </w:r>
      <w:proofErr w:type="spellStart"/>
      <w:r w:rsidRPr="007E4977">
        <w:rPr>
          <w:rFonts w:ascii="Arial" w:hAnsi="Arial" w:cs="Arial"/>
          <w:sz w:val="22"/>
          <w:szCs w:val="22"/>
        </w:rPr>
        <w:t>Suntornlimsiri</w:t>
      </w:r>
      <w:proofErr w:type="spellEnd"/>
      <w:r w:rsidRPr="007E4977">
        <w:rPr>
          <w:rFonts w:ascii="Arial" w:hAnsi="Arial" w:cs="Arial"/>
          <w:sz w:val="22"/>
          <w:szCs w:val="22"/>
        </w:rPr>
        <w:t xml:space="preserve"> N, </w:t>
      </w:r>
      <w:proofErr w:type="spellStart"/>
      <w:r w:rsidRPr="007E4977">
        <w:rPr>
          <w:rFonts w:ascii="Arial" w:hAnsi="Arial" w:cs="Arial"/>
          <w:sz w:val="22"/>
          <w:szCs w:val="22"/>
        </w:rPr>
        <w:t>Khemakanok</w:t>
      </w:r>
      <w:proofErr w:type="spellEnd"/>
      <w:r w:rsidRPr="007E4977">
        <w:rPr>
          <w:rFonts w:ascii="Arial" w:hAnsi="Arial" w:cs="Arial"/>
          <w:sz w:val="22"/>
          <w:szCs w:val="22"/>
        </w:rPr>
        <w:t xml:space="preserve"> P, </w:t>
      </w:r>
      <w:proofErr w:type="spellStart"/>
      <w:r w:rsidRPr="007E4977">
        <w:rPr>
          <w:rFonts w:ascii="Arial" w:hAnsi="Arial" w:cs="Arial"/>
          <w:sz w:val="22"/>
          <w:szCs w:val="22"/>
        </w:rPr>
        <w:t>Rojanapithayakorn</w:t>
      </w:r>
      <w:proofErr w:type="spellEnd"/>
      <w:r w:rsidRPr="007E4977">
        <w:rPr>
          <w:rFonts w:ascii="Arial" w:hAnsi="Arial" w:cs="Arial"/>
          <w:sz w:val="22"/>
          <w:szCs w:val="22"/>
        </w:rPr>
        <w:t xml:space="preserve"> W, </w:t>
      </w:r>
      <w:proofErr w:type="spellStart"/>
      <w:r w:rsidRPr="007E4977">
        <w:rPr>
          <w:rFonts w:ascii="Arial" w:hAnsi="Arial" w:cs="Arial"/>
          <w:sz w:val="22"/>
          <w:szCs w:val="22"/>
        </w:rPr>
        <w:t>Dechakupt</w:t>
      </w:r>
      <w:proofErr w:type="spellEnd"/>
      <w:r w:rsidRPr="007E4977">
        <w:rPr>
          <w:rFonts w:ascii="Arial" w:hAnsi="Arial" w:cs="Arial"/>
          <w:sz w:val="22"/>
          <w:szCs w:val="22"/>
        </w:rPr>
        <w:t xml:space="preserve"> A, et al. Validation of the Thai version of the GERD questionnaire and GERD-QOL in gastroesophageal reflux disease. </w:t>
      </w:r>
      <w:r w:rsidRPr="007E4977">
        <w:rPr>
          <w:rFonts w:ascii="Arial" w:hAnsi="Arial" w:cs="Arial"/>
          <w:i/>
          <w:iCs/>
          <w:sz w:val="22"/>
          <w:szCs w:val="22"/>
        </w:rPr>
        <w:t>J Med Assoc Thai.</w:t>
      </w:r>
      <w:r w:rsidRPr="007E4977">
        <w:rPr>
          <w:rFonts w:ascii="Arial" w:hAnsi="Arial" w:cs="Arial"/>
          <w:sz w:val="22"/>
          <w:szCs w:val="22"/>
        </w:rPr>
        <w:t xml:space="preserve"> 2011;94(</w:t>
      </w:r>
      <w:proofErr w:type="spellStart"/>
      <w:r w:rsidRPr="007E4977">
        <w:rPr>
          <w:rFonts w:ascii="Arial" w:hAnsi="Arial" w:cs="Arial"/>
          <w:sz w:val="22"/>
          <w:szCs w:val="22"/>
        </w:rPr>
        <w:t>Suppl</w:t>
      </w:r>
      <w:proofErr w:type="spellEnd"/>
      <w:r w:rsidRPr="007E4977">
        <w:rPr>
          <w:rFonts w:ascii="Arial" w:hAnsi="Arial" w:cs="Arial"/>
          <w:sz w:val="22"/>
          <w:szCs w:val="22"/>
        </w:rPr>
        <w:t xml:space="preserve"> 3</w:t>
      </w:r>
      <w:proofErr w:type="gramStart"/>
      <w:r w:rsidRPr="007E4977">
        <w:rPr>
          <w:rFonts w:ascii="Arial" w:hAnsi="Arial" w:cs="Arial"/>
          <w:sz w:val="22"/>
          <w:szCs w:val="22"/>
        </w:rPr>
        <w:t>):S</w:t>
      </w:r>
      <w:proofErr w:type="gramEnd"/>
      <w:r w:rsidRPr="007E4977">
        <w:rPr>
          <w:rFonts w:ascii="Arial" w:hAnsi="Arial" w:cs="Arial"/>
          <w:sz w:val="22"/>
          <w:szCs w:val="22"/>
        </w:rPr>
        <w:t>16–S25.</w:t>
      </w:r>
    </w:p>
    <w:p w:rsidR="007E4977" w:rsidRPr="007E4977" w:rsidRDefault="007E4977" w:rsidP="007E4977">
      <w:pPr>
        <w:pStyle w:val="ListParagraph"/>
        <w:numPr>
          <w:ilvl w:val="0"/>
          <w:numId w:val="6"/>
        </w:numPr>
        <w:spacing w:after="200"/>
        <w:rPr>
          <w:rFonts w:ascii="Arial" w:hAnsi="Arial" w:cs="Arial"/>
          <w:sz w:val="22"/>
          <w:szCs w:val="22"/>
        </w:rPr>
      </w:pPr>
      <w:proofErr w:type="spellStart"/>
      <w:r w:rsidRPr="007E4977">
        <w:rPr>
          <w:rFonts w:ascii="Arial" w:hAnsi="Arial" w:cs="Arial"/>
          <w:sz w:val="22"/>
          <w:szCs w:val="22"/>
        </w:rPr>
        <w:t>Alharthi</w:t>
      </w:r>
      <w:proofErr w:type="spellEnd"/>
      <w:r w:rsidRPr="007E4977">
        <w:rPr>
          <w:rFonts w:ascii="Arial" w:hAnsi="Arial" w:cs="Arial"/>
          <w:sz w:val="22"/>
          <w:szCs w:val="22"/>
        </w:rPr>
        <w:t xml:space="preserve"> H, </w:t>
      </w:r>
      <w:proofErr w:type="spellStart"/>
      <w:r w:rsidRPr="007E4977">
        <w:rPr>
          <w:rFonts w:ascii="Arial" w:hAnsi="Arial" w:cs="Arial"/>
          <w:sz w:val="22"/>
          <w:szCs w:val="22"/>
        </w:rPr>
        <w:t>Almalki</w:t>
      </w:r>
      <w:proofErr w:type="spellEnd"/>
      <w:r w:rsidRPr="007E4977">
        <w:rPr>
          <w:rFonts w:ascii="Arial" w:hAnsi="Arial" w:cs="Arial"/>
          <w:sz w:val="22"/>
          <w:szCs w:val="22"/>
        </w:rPr>
        <w:t xml:space="preserve"> O, </w:t>
      </w:r>
      <w:proofErr w:type="spellStart"/>
      <w:r w:rsidRPr="007E4977">
        <w:rPr>
          <w:rFonts w:ascii="Arial" w:hAnsi="Arial" w:cs="Arial"/>
          <w:sz w:val="22"/>
          <w:szCs w:val="22"/>
        </w:rPr>
        <w:t>Alharbi</w:t>
      </w:r>
      <w:proofErr w:type="spellEnd"/>
      <w:r w:rsidRPr="007E4977">
        <w:rPr>
          <w:rFonts w:ascii="Arial" w:hAnsi="Arial" w:cs="Arial"/>
          <w:sz w:val="22"/>
          <w:szCs w:val="22"/>
        </w:rPr>
        <w:t xml:space="preserve"> A, </w:t>
      </w:r>
      <w:proofErr w:type="spellStart"/>
      <w:r w:rsidRPr="007E4977">
        <w:rPr>
          <w:rFonts w:ascii="Arial" w:hAnsi="Arial" w:cs="Arial"/>
          <w:sz w:val="22"/>
          <w:szCs w:val="22"/>
        </w:rPr>
        <w:t>Aljohani</w:t>
      </w:r>
      <w:proofErr w:type="spellEnd"/>
      <w:r w:rsidRPr="007E4977">
        <w:rPr>
          <w:rFonts w:ascii="Arial" w:hAnsi="Arial" w:cs="Arial"/>
          <w:sz w:val="22"/>
          <w:szCs w:val="22"/>
        </w:rPr>
        <w:t xml:space="preserve"> M, </w:t>
      </w:r>
      <w:proofErr w:type="spellStart"/>
      <w:r w:rsidRPr="007E4977">
        <w:rPr>
          <w:rFonts w:ascii="Arial" w:hAnsi="Arial" w:cs="Arial"/>
          <w:sz w:val="22"/>
          <w:szCs w:val="22"/>
        </w:rPr>
        <w:t>Alsulami</w:t>
      </w:r>
      <w:proofErr w:type="spellEnd"/>
      <w:r w:rsidRPr="007E4977">
        <w:rPr>
          <w:rFonts w:ascii="Arial" w:hAnsi="Arial" w:cs="Arial"/>
          <w:sz w:val="22"/>
          <w:szCs w:val="22"/>
        </w:rPr>
        <w:t xml:space="preserve"> R, </w:t>
      </w:r>
      <w:proofErr w:type="spellStart"/>
      <w:r w:rsidRPr="007E4977">
        <w:rPr>
          <w:rFonts w:ascii="Arial" w:hAnsi="Arial" w:cs="Arial"/>
          <w:sz w:val="22"/>
          <w:szCs w:val="22"/>
        </w:rPr>
        <w:t>Alharthi</w:t>
      </w:r>
      <w:proofErr w:type="spellEnd"/>
      <w:r w:rsidRPr="007E4977">
        <w:rPr>
          <w:rFonts w:ascii="Arial" w:hAnsi="Arial" w:cs="Arial"/>
          <w:sz w:val="22"/>
          <w:szCs w:val="22"/>
        </w:rPr>
        <w:t xml:space="preserve"> S, et al. Reliability and validity of the Arabic version of the GERD-QOL questionnaire. </w:t>
      </w:r>
      <w:r w:rsidRPr="007E4977">
        <w:rPr>
          <w:rFonts w:ascii="Arial" w:hAnsi="Arial" w:cs="Arial"/>
          <w:i/>
          <w:iCs/>
          <w:sz w:val="22"/>
          <w:szCs w:val="22"/>
        </w:rPr>
        <w:t>Saudi J Gastroenterol.</w:t>
      </w:r>
      <w:r w:rsidRPr="007E4977">
        <w:rPr>
          <w:rFonts w:ascii="Arial" w:hAnsi="Arial" w:cs="Arial"/>
          <w:sz w:val="22"/>
          <w:szCs w:val="22"/>
        </w:rPr>
        <w:t xml:space="preserve"> 2021;27(3):176–182.</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 xml:space="preserve">Lee YY, Mahadeva S, Chua AS, Chin SC, Goh KL. Translation, cultural adaptation and validation of the Malay version of the GERD-QOL questionnaire. </w:t>
      </w:r>
      <w:r w:rsidRPr="007E4977">
        <w:rPr>
          <w:rFonts w:ascii="Arial" w:hAnsi="Arial" w:cs="Arial"/>
          <w:i/>
          <w:iCs/>
          <w:sz w:val="22"/>
          <w:szCs w:val="22"/>
        </w:rPr>
        <w:t>World J Gastroenterol.</w:t>
      </w:r>
      <w:r w:rsidRPr="007E4977">
        <w:rPr>
          <w:rFonts w:ascii="Arial" w:hAnsi="Arial" w:cs="Arial"/>
          <w:sz w:val="22"/>
          <w:szCs w:val="22"/>
        </w:rPr>
        <w:t xml:space="preserve"> 2010;16(41):5188–5193.</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 xml:space="preserve">Kim N, Lee SW, Cho SI, Park CG, Kim HS, </w:t>
      </w:r>
      <w:proofErr w:type="spellStart"/>
      <w:r w:rsidRPr="007E4977">
        <w:rPr>
          <w:rFonts w:ascii="Arial" w:hAnsi="Arial" w:cs="Arial"/>
          <w:sz w:val="22"/>
          <w:szCs w:val="22"/>
        </w:rPr>
        <w:t>Seo</w:t>
      </w:r>
      <w:proofErr w:type="spellEnd"/>
      <w:r w:rsidRPr="007E4977">
        <w:rPr>
          <w:rFonts w:ascii="Arial" w:hAnsi="Arial" w:cs="Arial"/>
          <w:sz w:val="22"/>
          <w:szCs w:val="22"/>
        </w:rPr>
        <w:t xml:space="preserve"> GS, et al. Validation of the Korean version of the GERD questionnaire and GERD-QOL questionnaire. </w:t>
      </w:r>
      <w:r w:rsidRPr="007E4977">
        <w:rPr>
          <w:rFonts w:ascii="Arial" w:hAnsi="Arial" w:cs="Arial"/>
          <w:i/>
          <w:iCs/>
          <w:sz w:val="22"/>
          <w:szCs w:val="22"/>
        </w:rPr>
        <w:t xml:space="preserve">J </w:t>
      </w:r>
      <w:proofErr w:type="spellStart"/>
      <w:r w:rsidRPr="007E4977">
        <w:rPr>
          <w:rFonts w:ascii="Arial" w:hAnsi="Arial" w:cs="Arial"/>
          <w:i/>
          <w:iCs/>
          <w:sz w:val="22"/>
          <w:szCs w:val="22"/>
        </w:rPr>
        <w:t>Neurogastroenterol</w:t>
      </w:r>
      <w:proofErr w:type="spellEnd"/>
      <w:r w:rsidRPr="007E4977">
        <w:rPr>
          <w:rFonts w:ascii="Arial" w:hAnsi="Arial" w:cs="Arial"/>
          <w:i/>
          <w:iCs/>
          <w:sz w:val="22"/>
          <w:szCs w:val="22"/>
        </w:rPr>
        <w:t xml:space="preserve"> </w:t>
      </w:r>
      <w:proofErr w:type="spellStart"/>
      <w:r w:rsidRPr="007E4977">
        <w:rPr>
          <w:rFonts w:ascii="Arial" w:hAnsi="Arial" w:cs="Arial"/>
          <w:i/>
          <w:iCs/>
          <w:sz w:val="22"/>
          <w:szCs w:val="22"/>
        </w:rPr>
        <w:t>Motil</w:t>
      </w:r>
      <w:proofErr w:type="spellEnd"/>
      <w:r w:rsidRPr="007E4977">
        <w:rPr>
          <w:rFonts w:ascii="Arial" w:hAnsi="Arial" w:cs="Arial"/>
          <w:i/>
          <w:iCs/>
          <w:sz w:val="22"/>
          <w:szCs w:val="22"/>
        </w:rPr>
        <w:t>.</w:t>
      </w:r>
      <w:r w:rsidRPr="007E4977">
        <w:rPr>
          <w:rFonts w:ascii="Arial" w:hAnsi="Arial" w:cs="Arial"/>
          <w:sz w:val="22"/>
          <w:szCs w:val="22"/>
        </w:rPr>
        <w:t xml:space="preserve"> 2014;20(4):453–459.</w:t>
      </w:r>
    </w:p>
    <w:p w:rsidR="007E4977" w:rsidRPr="007E4977" w:rsidRDefault="007E4977" w:rsidP="007E4977">
      <w:pPr>
        <w:pStyle w:val="ListParagraph"/>
        <w:numPr>
          <w:ilvl w:val="0"/>
          <w:numId w:val="6"/>
        </w:numPr>
        <w:spacing w:after="200"/>
        <w:rPr>
          <w:rFonts w:ascii="Arial" w:hAnsi="Arial" w:cs="Arial"/>
          <w:sz w:val="22"/>
          <w:szCs w:val="22"/>
        </w:rPr>
      </w:pPr>
      <w:proofErr w:type="spellStart"/>
      <w:r w:rsidRPr="007E4977">
        <w:rPr>
          <w:rFonts w:ascii="Arial" w:hAnsi="Arial" w:cs="Arial"/>
          <w:sz w:val="22"/>
          <w:szCs w:val="22"/>
        </w:rPr>
        <w:t>Revicki</w:t>
      </w:r>
      <w:proofErr w:type="spellEnd"/>
      <w:r w:rsidRPr="007E4977">
        <w:rPr>
          <w:rFonts w:ascii="Arial" w:hAnsi="Arial" w:cs="Arial"/>
          <w:sz w:val="22"/>
          <w:szCs w:val="22"/>
        </w:rPr>
        <w:t xml:space="preserve"> DA, Wood M, </w:t>
      </w:r>
      <w:proofErr w:type="spellStart"/>
      <w:r w:rsidRPr="007E4977">
        <w:rPr>
          <w:rFonts w:ascii="Arial" w:hAnsi="Arial" w:cs="Arial"/>
          <w:sz w:val="22"/>
          <w:szCs w:val="22"/>
        </w:rPr>
        <w:t>Maton</w:t>
      </w:r>
      <w:proofErr w:type="spellEnd"/>
      <w:r w:rsidRPr="007E4977">
        <w:rPr>
          <w:rFonts w:ascii="Arial" w:hAnsi="Arial" w:cs="Arial"/>
          <w:sz w:val="22"/>
          <w:szCs w:val="22"/>
        </w:rPr>
        <w:t xml:space="preserve"> PN, Sorensen S. The impact of gastroesophageal reflux disease on health-related quality of life. </w:t>
      </w:r>
      <w:r w:rsidRPr="007E4977">
        <w:rPr>
          <w:rFonts w:ascii="Arial" w:hAnsi="Arial" w:cs="Arial"/>
          <w:i/>
          <w:iCs/>
          <w:sz w:val="22"/>
          <w:szCs w:val="22"/>
        </w:rPr>
        <w:t>Am J Med.</w:t>
      </w:r>
      <w:r w:rsidRPr="007E4977">
        <w:rPr>
          <w:rFonts w:ascii="Arial" w:hAnsi="Arial" w:cs="Arial"/>
          <w:sz w:val="22"/>
          <w:szCs w:val="22"/>
        </w:rPr>
        <w:t xml:space="preserve"> 1998;104(3):252–258.</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 xml:space="preserve">Sousa VD, </w:t>
      </w:r>
      <w:proofErr w:type="spellStart"/>
      <w:r w:rsidRPr="007E4977">
        <w:rPr>
          <w:rFonts w:ascii="Arial" w:hAnsi="Arial" w:cs="Arial"/>
          <w:sz w:val="22"/>
          <w:szCs w:val="22"/>
        </w:rPr>
        <w:t>Rojjanasrirat</w:t>
      </w:r>
      <w:proofErr w:type="spellEnd"/>
      <w:r w:rsidRPr="007E4977">
        <w:rPr>
          <w:rFonts w:ascii="Arial" w:hAnsi="Arial" w:cs="Arial"/>
          <w:sz w:val="22"/>
          <w:szCs w:val="22"/>
        </w:rPr>
        <w:t xml:space="preserve"> W. Translation, adaptation and validation of instruments or scales for use in cross-cultural health care research: a clear and user-friendly guideline. </w:t>
      </w:r>
      <w:r w:rsidRPr="007E4977">
        <w:rPr>
          <w:rFonts w:ascii="Arial" w:hAnsi="Arial" w:cs="Arial"/>
          <w:i/>
          <w:iCs/>
          <w:sz w:val="22"/>
          <w:szCs w:val="22"/>
        </w:rPr>
        <w:t xml:space="preserve">J Eval Clin </w:t>
      </w:r>
      <w:proofErr w:type="spellStart"/>
      <w:r w:rsidRPr="007E4977">
        <w:rPr>
          <w:rFonts w:ascii="Arial" w:hAnsi="Arial" w:cs="Arial"/>
          <w:i/>
          <w:iCs/>
          <w:sz w:val="22"/>
          <w:szCs w:val="22"/>
        </w:rPr>
        <w:t>Pract</w:t>
      </w:r>
      <w:proofErr w:type="spellEnd"/>
      <w:r w:rsidRPr="007E4977">
        <w:rPr>
          <w:rFonts w:ascii="Arial" w:hAnsi="Arial" w:cs="Arial"/>
          <w:i/>
          <w:iCs/>
          <w:sz w:val="22"/>
          <w:szCs w:val="22"/>
        </w:rPr>
        <w:t>.</w:t>
      </w:r>
      <w:r w:rsidRPr="007E4977">
        <w:rPr>
          <w:rFonts w:ascii="Arial" w:hAnsi="Arial" w:cs="Arial"/>
          <w:sz w:val="22"/>
          <w:szCs w:val="22"/>
        </w:rPr>
        <w:t xml:space="preserve"> 2011;17(2):268–274.</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World Health Organization. Process of translation and adaptation of instruments. WHO guidelines. Geneva: WHO; 2013.</w:t>
      </w:r>
    </w:p>
    <w:p w:rsidR="007E4977" w:rsidRPr="007E4977" w:rsidRDefault="007E4977" w:rsidP="007E4977">
      <w:pPr>
        <w:pStyle w:val="ListParagraph"/>
        <w:numPr>
          <w:ilvl w:val="0"/>
          <w:numId w:val="6"/>
        </w:numPr>
        <w:spacing w:after="200"/>
        <w:rPr>
          <w:rFonts w:ascii="Arial" w:hAnsi="Arial" w:cs="Arial"/>
          <w:sz w:val="22"/>
          <w:szCs w:val="22"/>
        </w:rPr>
      </w:pPr>
      <w:proofErr w:type="spellStart"/>
      <w:r w:rsidRPr="007E4977">
        <w:rPr>
          <w:rFonts w:ascii="Arial" w:hAnsi="Arial" w:cs="Arial"/>
          <w:sz w:val="22"/>
          <w:szCs w:val="22"/>
        </w:rPr>
        <w:t>Kulig</w:t>
      </w:r>
      <w:proofErr w:type="spellEnd"/>
      <w:r w:rsidRPr="007E4977">
        <w:rPr>
          <w:rFonts w:ascii="Arial" w:hAnsi="Arial" w:cs="Arial"/>
          <w:sz w:val="22"/>
          <w:szCs w:val="22"/>
        </w:rPr>
        <w:t xml:space="preserve"> M, </w:t>
      </w:r>
      <w:proofErr w:type="spellStart"/>
      <w:r w:rsidRPr="007E4977">
        <w:rPr>
          <w:rFonts w:ascii="Arial" w:hAnsi="Arial" w:cs="Arial"/>
          <w:sz w:val="22"/>
          <w:szCs w:val="22"/>
        </w:rPr>
        <w:t>Nocon</w:t>
      </w:r>
      <w:proofErr w:type="spellEnd"/>
      <w:r w:rsidRPr="007E4977">
        <w:rPr>
          <w:rFonts w:ascii="Arial" w:hAnsi="Arial" w:cs="Arial"/>
          <w:sz w:val="22"/>
          <w:szCs w:val="22"/>
        </w:rPr>
        <w:t xml:space="preserve"> M, </w:t>
      </w:r>
      <w:proofErr w:type="spellStart"/>
      <w:r w:rsidRPr="007E4977">
        <w:rPr>
          <w:rFonts w:ascii="Arial" w:hAnsi="Arial" w:cs="Arial"/>
          <w:sz w:val="22"/>
          <w:szCs w:val="22"/>
        </w:rPr>
        <w:t>Vieth</w:t>
      </w:r>
      <w:proofErr w:type="spellEnd"/>
      <w:r w:rsidRPr="007E4977">
        <w:rPr>
          <w:rFonts w:ascii="Arial" w:hAnsi="Arial" w:cs="Arial"/>
          <w:sz w:val="22"/>
          <w:szCs w:val="22"/>
        </w:rPr>
        <w:t xml:space="preserve"> M, </w:t>
      </w:r>
      <w:proofErr w:type="spellStart"/>
      <w:r w:rsidRPr="007E4977">
        <w:rPr>
          <w:rFonts w:ascii="Arial" w:hAnsi="Arial" w:cs="Arial"/>
          <w:sz w:val="22"/>
          <w:szCs w:val="22"/>
        </w:rPr>
        <w:t>Leodolter</w:t>
      </w:r>
      <w:proofErr w:type="spellEnd"/>
      <w:r w:rsidRPr="007E4977">
        <w:rPr>
          <w:rFonts w:ascii="Arial" w:hAnsi="Arial" w:cs="Arial"/>
          <w:sz w:val="22"/>
          <w:szCs w:val="22"/>
        </w:rPr>
        <w:t xml:space="preserve"> A, </w:t>
      </w:r>
      <w:proofErr w:type="spellStart"/>
      <w:r w:rsidRPr="007E4977">
        <w:rPr>
          <w:rFonts w:ascii="Arial" w:hAnsi="Arial" w:cs="Arial"/>
          <w:sz w:val="22"/>
          <w:szCs w:val="22"/>
        </w:rPr>
        <w:t>Jaspersen</w:t>
      </w:r>
      <w:proofErr w:type="spellEnd"/>
      <w:r w:rsidRPr="007E4977">
        <w:rPr>
          <w:rFonts w:ascii="Arial" w:hAnsi="Arial" w:cs="Arial"/>
          <w:sz w:val="22"/>
          <w:szCs w:val="22"/>
        </w:rPr>
        <w:t xml:space="preserve"> D, </w:t>
      </w:r>
      <w:proofErr w:type="spellStart"/>
      <w:r w:rsidRPr="007E4977">
        <w:rPr>
          <w:rFonts w:ascii="Arial" w:hAnsi="Arial" w:cs="Arial"/>
          <w:sz w:val="22"/>
          <w:szCs w:val="22"/>
        </w:rPr>
        <w:t>Labenz</w:t>
      </w:r>
      <w:proofErr w:type="spellEnd"/>
      <w:r w:rsidRPr="007E4977">
        <w:rPr>
          <w:rFonts w:ascii="Arial" w:hAnsi="Arial" w:cs="Arial"/>
          <w:sz w:val="22"/>
          <w:szCs w:val="22"/>
        </w:rPr>
        <w:t xml:space="preserve"> J, et al. Risk factors of gastroesophageal reflux disease: methodology and first epidemiological results of the </w:t>
      </w:r>
      <w:proofErr w:type="spellStart"/>
      <w:r w:rsidRPr="007E4977">
        <w:rPr>
          <w:rFonts w:ascii="Arial" w:hAnsi="Arial" w:cs="Arial"/>
          <w:sz w:val="22"/>
          <w:szCs w:val="22"/>
        </w:rPr>
        <w:t>ProGERD</w:t>
      </w:r>
      <w:proofErr w:type="spellEnd"/>
      <w:r w:rsidRPr="007E4977">
        <w:rPr>
          <w:rFonts w:ascii="Arial" w:hAnsi="Arial" w:cs="Arial"/>
          <w:sz w:val="22"/>
          <w:szCs w:val="22"/>
        </w:rPr>
        <w:t xml:space="preserve"> study. </w:t>
      </w:r>
      <w:r w:rsidRPr="007E4977">
        <w:rPr>
          <w:rFonts w:ascii="Arial" w:hAnsi="Arial" w:cs="Arial"/>
          <w:i/>
          <w:iCs/>
          <w:sz w:val="22"/>
          <w:szCs w:val="22"/>
        </w:rPr>
        <w:t>J Clin Gastroenterol.</w:t>
      </w:r>
      <w:r w:rsidRPr="007E4977">
        <w:rPr>
          <w:rFonts w:ascii="Arial" w:hAnsi="Arial" w:cs="Arial"/>
          <w:sz w:val="22"/>
          <w:szCs w:val="22"/>
        </w:rPr>
        <w:t xml:space="preserve"> 2004;38(9):763–772.</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Dent J, El-</w:t>
      </w:r>
      <w:proofErr w:type="spellStart"/>
      <w:r w:rsidRPr="007E4977">
        <w:rPr>
          <w:rFonts w:ascii="Arial" w:hAnsi="Arial" w:cs="Arial"/>
          <w:sz w:val="22"/>
          <w:szCs w:val="22"/>
        </w:rPr>
        <w:t>Serag</w:t>
      </w:r>
      <w:proofErr w:type="spellEnd"/>
      <w:r w:rsidRPr="007E4977">
        <w:rPr>
          <w:rFonts w:ascii="Arial" w:hAnsi="Arial" w:cs="Arial"/>
          <w:sz w:val="22"/>
          <w:szCs w:val="22"/>
        </w:rPr>
        <w:t xml:space="preserve"> HB, Wallander MA, Johansson S. Epidemiology of gastro-oesophageal reflux disease: a systematic review. </w:t>
      </w:r>
      <w:r w:rsidRPr="007E4977">
        <w:rPr>
          <w:rFonts w:ascii="Arial" w:hAnsi="Arial" w:cs="Arial"/>
          <w:i/>
          <w:iCs/>
          <w:sz w:val="22"/>
          <w:szCs w:val="22"/>
        </w:rPr>
        <w:t>Gut.</w:t>
      </w:r>
      <w:r w:rsidRPr="007E4977">
        <w:rPr>
          <w:rFonts w:ascii="Arial" w:hAnsi="Arial" w:cs="Arial"/>
          <w:sz w:val="22"/>
          <w:szCs w:val="22"/>
        </w:rPr>
        <w:t xml:space="preserve"> 2005;54(5):710–717.</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lastRenderedPageBreak/>
        <w:t xml:space="preserve">Jones R, </w:t>
      </w:r>
      <w:proofErr w:type="spellStart"/>
      <w:r w:rsidRPr="007E4977">
        <w:rPr>
          <w:rFonts w:ascii="Arial" w:hAnsi="Arial" w:cs="Arial"/>
          <w:sz w:val="22"/>
          <w:szCs w:val="22"/>
        </w:rPr>
        <w:t>Junghard</w:t>
      </w:r>
      <w:proofErr w:type="spellEnd"/>
      <w:r w:rsidRPr="007E4977">
        <w:rPr>
          <w:rFonts w:ascii="Arial" w:hAnsi="Arial" w:cs="Arial"/>
          <w:sz w:val="22"/>
          <w:szCs w:val="22"/>
        </w:rPr>
        <w:t xml:space="preserve"> O, Dent J, Vakil N, </w:t>
      </w:r>
      <w:proofErr w:type="spellStart"/>
      <w:r w:rsidRPr="007E4977">
        <w:rPr>
          <w:rFonts w:ascii="Arial" w:hAnsi="Arial" w:cs="Arial"/>
          <w:sz w:val="22"/>
          <w:szCs w:val="22"/>
        </w:rPr>
        <w:t>Halling</w:t>
      </w:r>
      <w:proofErr w:type="spellEnd"/>
      <w:r w:rsidRPr="007E4977">
        <w:rPr>
          <w:rFonts w:ascii="Arial" w:hAnsi="Arial" w:cs="Arial"/>
          <w:sz w:val="22"/>
          <w:szCs w:val="22"/>
        </w:rPr>
        <w:t xml:space="preserve"> K, </w:t>
      </w:r>
      <w:proofErr w:type="spellStart"/>
      <w:r w:rsidRPr="007E4977">
        <w:rPr>
          <w:rFonts w:ascii="Arial" w:hAnsi="Arial" w:cs="Arial"/>
          <w:sz w:val="22"/>
          <w:szCs w:val="22"/>
        </w:rPr>
        <w:t>Wernersson</w:t>
      </w:r>
      <w:proofErr w:type="spellEnd"/>
      <w:r w:rsidRPr="007E4977">
        <w:rPr>
          <w:rFonts w:ascii="Arial" w:hAnsi="Arial" w:cs="Arial"/>
          <w:sz w:val="22"/>
          <w:szCs w:val="22"/>
        </w:rPr>
        <w:t xml:space="preserve"> B, Lind T. Development of the </w:t>
      </w:r>
      <w:proofErr w:type="spellStart"/>
      <w:r w:rsidRPr="007E4977">
        <w:rPr>
          <w:rFonts w:ascii="Arial" w:hAnsi="Arial" w:cs="Arial"/>
          <w:sz w:val="22"/>
          <w:szCs w:val="22"/>
        </w:rPr>
        <w:t>GerdQ</w:t>
      </w:r>
      <w:proofErr w:type="spellEnd"/>
      <w:r w:rsidRPr="007E4977">
        <w:rPr>
          <w:rFonts w:ascii="Arial" w:hAnsi="Arial" w:cs="Arial"/>
          <w:sz w:val="22"/>
          <w:szCs w:val="22"/>
        </w:rPr>
        <w:t>, a tool for the diagnosis and management of gastro</w:t>
      </w:r>
      <w:r w:rsidRPr="007E4977">
        <w:rPr>
          <w:rFonts w:ascii="Cambria Math" w:hAnsi="Cambria Math" w:cs="Cambria Math"/>
          <w:sz w:val="22"/>
          <w:szCs w:val="22"/>
        </w:rPr>
        <w:t>‐</w:t>
      </w:r>
      <w:r w:rsidRPr="007E4977">
        <w:rPr>
          <w:rFonts w:ascii="Arial" w:hAnsi="Arial" w:cs="Arial"/>
          <w:sz w:val="22"/>
          <w:szCs w:val="22"/>
        </w:rPr>
        <w:t xml:space="preserve">oesophageal reflux disease in primary care. </w:t>
      </w:r>
      <w:r w:rsidRPr="007E4977">
        <w:rPr>
          <w:rFonts w:ascii="Arial" w:hAnsi="Arial" w:cs="Arial"/>
          <w:i/>
          <w:iCs/>
          <w:sz w:val="22"/>
          <w:szCs w:val="22"/>
        </w:rPr>
        <w:t xml:space="preserve">Aliment </w:t>
      </w:r>
      <w:proofErr w:type="spellStart"/>
      <w:r w:rsidRPr="007E4977">
        <w:rPr>
          <w:rFonts w:ascii="Arial" w:hAnsi="Arial" w:cs="Arial"/>
          <w:i/>
          <w:iCs/>
          <w:sz w:val="22"/>
          <w:szCs w:val="22"/>
        </w:rPr>
        <w:t>Pharmacol</w:t>
      </w:r>
      <w:proofErr w:type="spellEnd"/>
      <w:r w:rsidRPr="007E4977">
        <w:rPr>
          <w:rFonts w:ascii="Arial" w:hAnsi="Arial" w:cs="Arial"/>
          <w:i/>
          <w:iCs/>
          <w:sz w:val="22"/>
          <w:szCs w:val="22"/>
        </w:rPr>
        <w:t xml:space="preserve"> </w:t>
      </w:r>
      <w:proofErr w:type="spellStart"/>
      <w:r w:rsidRPr="007E4977">
        <w:rPr>
          <w:rFonts w:ascii="Arial" w:hAnsi="Arial" w:cs="Arial"/>
          <w:i/>
          <w:iCs/>
          <w:sz w:val="22"/>
          <w:szCs w:val="22"/>
        </w:rPr>
        <w:t>Ther</w:t>
      </w:r>
      <w:proofErr w:type="spellEnd"/>
      <w:r w:rsidRPr="007E4977">
        <w:rPr>
          <w:rFonts w:ascii="Arial" w:hAnsi="Arial" w:cs="Arial"/>
          <w:i/>
          <w:iCs/>
          <w:sz w:val="22"/>
          <w:szCs w:val="22"/>
        </w:rPr>
        <w:t>.</w:t>
      </w:r>
      <w:r w:rsidRPr="007E4977">
        <w:rPr>
          <w:rFonts w:ascii="Arial" w:hAnsi="Arial" w:cs="Arial"/>
          <w:sz w:val="22"/>
          <w:szCs w:val="22"/>
        </w:rPr>
        <w:t xml:space="preserve"> 2009;30(10):1030–1038.</w:t>
      </w:r>
    </w:p>
    <w:p w:rsidR="007E4977" w:rsidRPr="007E4977" w:rsidRDefault="007E4977" w:rsidP="007E4977">
      <w:pPr>
        <w:pStyle w:val="ListParagraph"/>
        <w:numPr>
          <w:ilvl w:val="0"/>
          <w:numId w:val="6"/>
        </w:numPr>
        <w:spacing w:after="200"/>
        <w:rPr>
          <w:rFonts w:ascii="Arial" w:hAnsi="Arial" w:cs="Arial"/>
          <w:sz w:val="22"/>
          <w:szCs w:val="22"/>
        </w:rPr>
      </w:pPr>
      <w:r w:rsidRPr="007E4977">
        <w:rPr>
          <w:rFonts w:ascii="Arial" w:hAnsi="Arial" w:cs="Arial"/>
          <w:sz w:val="22"/>
          <w:szCs w:val="22"/>
        </w:rPr>
        <w:t xml:space="preserve">Epstein J, Santo RM, Guillemin F. A review of guidelines for cross-cultural adaptation of questionnaires could not bring out a consensus. </w:t>
      </w:r>
      <w:r w:rsidRPr="007E4977">
        <w:rPr>
          <w:rFonts w:ascii="Arial" w:hAnsi="Arial" w:cs="Arial"/>
          <w:i/>
          <w:iCs/>
          <w:sz w:val="22"/>
          <w:szCs w:val="22"/>
        </w:rPr>
        <w:t xml:space="preserve">J Clin </w:t>
      </w:r>
      <w:proofErr w:type="spellStart"/>
      <w:r w:rsidRPr="007E4977">
        <w:rPr>
          <w:rFonts w:ascii="Arial" w:hAnsi="Arial" w:cs="Arial"/>
          <w:i/>
          <w:iCs/>
          <w:sz w:val="22"/>
          <w:szCs w:val="22"/>
        </w:rPr>
        <w:t>Epidemiol</w:t>
      </w:r>
      <w:proofErr w:type="spellEnd"/>
      <w:r w:rsidRPr="007E4977">
        <w:rPr>
          <w:rFonts w:ascii="Arial" w:hAnsi="Arial" w:cs="Arial"/>
          <w:i/>
          <w:iCs/>
          <w:sz w:val="22"/>
          <w:szCs w:val="22"/>
        </w:rPr>
        <w:t>.</w:t>
      </w:r>
      <w:r w:rsidRPr="007E4977">
        <w:rPr>
          <w:rFonts w:ascii="Arial" w:hAnsi="Arial" w:cs="Arial"/>
          <w:sz w:val="22"/>
          <w:szCs w:val="22"/>
        </w:rPr>
        <w:t xml:space="preserve"> 2015;68(4):435–441.</w:t>
      </w:r>
    </w:p>
    <w:p w:rsidR="007204C1" w:rsidRPr="007E4977" w:rsidRDefault="007204C1" w:rsidP="007E4977">
      <w:pPr>
        <w:pStyle w:val="ListParagraph"/>
        <w:spacing w:after="200" w:line="276" w:lineRule="auto"/>
        <w:jc w:val="both"/>
        <w:rPr>
          <w:rFonts w:ascii="Arial" w:hAnsi="Arial" w:cs="Arial"/>
          <w:sz w:val="22"/>
          <w:szCs w:val="22"/>
        </w:rPr>
      </w:pPr>
    </w:p>
    <w:sectPr w:rsidR="007204C1" w:rsidRPr="007E4977" w:rsidSect="00F342C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23E" w:rsidRDefault="00C7123E" w:rsidP="00841477">
      <w:pPr>
        <w:spacing w:after="0" w:line="240" w:lineRule="auto"/>
      </w:pPr>
      <w:r>
        <w:separator/>
      </w:r>
    </w:p>
  </w:endnote>
  <w:endnote w:type="continuationSeparator" w:id="0">
    <w:p w:rsidR="00C7123E" w:rsidRDefault="00C7123E" w:rsidP="0084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2CD" w:rsidRDefault="00F34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2CD" w:rsidRDefault="00F34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2CD" w:rsidRDefault="00F34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23E" w:rsidRDefault="00C7123E" w:rsidP="00841477">
      <w:pPr>
        <w:spacing w:after="0" w:line="240" w:lineRule="auto"/>
      </w:pPr>
      <w:r>
        <w:separator/>
      </w:r>
    </w:p>
  </w:footnote>
  <w:footnote w:type="continuationSeparator" w:id="0">
    <w:p w:rsidR="00C7123E" w:rsidRDefault="00C7123E" w:rsidP="00841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2CD" w:rsidRDefault="00C712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00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2CD" w:rsidRDefault="00C712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00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2CD" w:rsidRDefault="00C712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00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4FD"/>
    <w:multiLevelType w:val="hybridMultilevel"/>
    <w:tmpl w:val="F4E4615A"/>
    <w:lvl w:ilvl="0" w:tplc="ADA2BC0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9F702D"/>
    <w:multiLevelType w:val="hybridMultilevel"/>
    <w:tmpl w:val="6E228E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C261F17"/>
    <w:multiLevelType w:val="hybridMultilevel"/>
    <w:tmpl w:val="873EB9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A34443"/>
    <w:multiLevelType w:val="hybridMultilevel"/>
    <w:tmpl w:val="22A8E8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2304CD"/>
    <w:multiLevelType w:val="hybridMultilevel"/>
    <w:tmpl w:val="B002D71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D09739D"/>
    <w:multiLevelType w:val="hybridMultilevel"/>
    <w:tmpl w:val="27D4526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05619A1"/>
    <w:multiLevelType w:val="multilevel"/>
    <w:tmpl w:val="D972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F51FD7"/>
    <w:multiLevelType w:val="multilevel"/>
    <w:tmpl w:val="6B504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4"/>
  </w:num>
  <w:num w:numId="5">
    <w:abstractNumId w:val="0"/>
  </w:num>
  <w:num w:numId="6">
    <w:abstractNumId w:val="2"/>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13DB"/>
    <w:rsid w:val="00081576"/>
    <w:rsid w:val="000A024E"/>
    <w:rsid w:val="000D29C1"/>
    <w:rsid w:val="000D3B9E"/>
    <w:rsid w:val="000D3C38"/>
    <w:rsid w:val="00105DF0"/>
    <w:rsid w:val="00157C1A"/>
    <w:rsid w:val="001677F7"/>
    <w:rsid w:val="00170C2F"/>
    <w:rsid w:val="001C5F4B"/>
    <w:rsid w:val="002408F8"/>
    <w:rsid w:val="00334EA6"/>
    <w:rsid w:val="00342404"/>
    <w:rsid w:val="003D5400"/>
    <w:rsid w:val="0048086F"/>
    <w:rsid w:val="004820DA"/>
    <w:rsid w:val="004B265A"/>
    <w:rsid w:val="00501152"/>
    <w:rsid w:val="00535D74"/>
    <w:rsid w:val="00565FB1"/>
    <w:rsid w:val="006313DB"/>
    <w:rsid w:val="00666964"/>
    <w:rsid w:val="007204C1"/>
    <w:rsid w:val="0072435A"/>
    <w:rsid w:val="007439DC"/>
    <w:rsid w:val="007A2792"/>
    <w:rsid w:val="007C6547"/>
    <w:rsid w:val="007E4977"/>
    <w:rsid w:val="00841477"/>
    <w:rsid w:val="00857585"/>
    <w:rsid w:val="00870159"/>
    <w:rsid w:val="00881D8A"/>
    <w:rsid w:val="0088711B"/>
    <w:rsid w:val="008B76D1"/>
    <w:rsid w:val="008C7217"/>
    <w:rsid w:val="008E2CB2"/>
    <w:rsid w:val="0099773A"/>
    <w:rsid w:val="009A5530"/>
    <w:rsid w:val="009B3BC1"/>
    <w:rsid w:val="009C4B8A"/>
    <w:rsid w:val="009F7873"/>
    <w:rsid w:val="00A3352C"/>
    <w:rsid w:val="00A57EE6"/>
    <w:rsid w:val="00A87745"/>
    <w:rsid w:val="00A91126"/>
    <w:rsid w:val="00AA15D3"/>
    <w:rsid w:val="00AC3012"/>
    <w:rsid w:val="00AE4F4B"/>
    <w:rsid w:val="00AF298B"/>
    <w:rsid w:val="00B66FE0"/>
    <w:rsid w:val="00C24EEA"/>
    <w:rsid w:val="00C6227B"/>
    <w:rsid w:val="00C7123E"/>
    <w:rsid w:val="00CB658D"/>
    <w:rsid w:val="00CC2898"/>
    <w:rsid w:val="00D12C05"/>
    <w:rsid w:val="00D30C86"/>
    <w:rsid w:val="00DB7690"/>
    <w:rsid w:val="00E202E9"/>
    <w:rsid w:val="00E24806"/>
    <w:rsid w:val="00E60F09"/>
    <w:rsid w:val="00E840C0"/>
    <w:rsid w:val="00F070CF"/>
    <w:rsid w:val="00F10B00"/>
    <w:rsid w:val="00F342CD"/>
    <w:rsid w:val="00F72808"/>
    <w:rsid w:val="00FC76F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C3A0C6"/>
  <w15:docId w15:val="{2226DD0A-35B6-4B81-8DE3-F8EF7F51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IN" w:eastAsia="en-US" w:bidi="bn-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4C1"/>
    <w:rPr>
      <w:rFonts w:ascii="Calibri" w:eastAsia="Calibri" w:hAnsi="Calibri" w:cs="Vrinda"/>
    </w:rPr>
  </w:style>
  <w:style w:type="paragraph" w:styleId="Heading1">
    <w:name w:val="heading 1"/>
    <w:basedOn w:val="Normal"/>
    <w:next w:val="Normal"/>
    <w:link w:val="Heading1Char"/>
    <w:uiPriority w:val="9"/>
    <w:qFormat/>
    <w:rsid w:val="006313D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313D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313D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313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13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1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3D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313D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313D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313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13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1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3DB"/>
    <w:rPr>
      <w:rFonts w:eastAsiaTheme="majorEastAsia" w:cstheme="majorBidi"/>
      <w:color w:val="272727" w:themeColor="text1" w:themeTint="D8"/>
    </w:rPr>
  </w:style>
  <w:style w:type="paragraph" w:styleId="Title">
    <w:name w:val="Title"/>
    <w:basedOn w:val="Normal"/>
    <w:next w:val="Normal"/>
    <w:link w:val="TitleChar"/>
    <w:uiPriority w:val="10"/>
    <w:qFormat/>
    <w:rsid w:val="006313D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313D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313D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313D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313DB"/>
    <w:pPr>
      <w:spacing w:before="160"/>
      <w:jc w:val="center"/>
    </w:pPr>
    <w:rPr>
      <w:i/>
      <w:iCs/>
      <w:color w:val="404040" w:themeColor="text1" w:themeTint="BF"/>
    </w:rPr>
  </w:style>
  <w:style w:type="character" w:customStyle="1" w:styleId="QuoteChar">
    <w:name w:val="Quote Char"/>
    <w:basedOn w:val="DefaultParagraphFont"/>
    <w:link w:val="Quote"/>
    <w:uiPriority w:val="29"/>
    <w:rsid w:val="006313DB"/>
    <w:rPr>
      <w:i/>
      <w:iCs/>
      <w:color w:val="404040" w:themeColor="text1" w:themeTint="BF"/>
    </w:rPr>
  </w:style>
  <w:style w:type="paragraph" w:styleId="ListParagraph">
    <w:name w:val="List Paragraph"/>
    <w:basedOn w:val="Normal"/>
    <w:uiPriority w:val="34"/>
    <w:qFormat/>
    <w:rsid w:val="006313DB"/>
    <w:pPr>
      <w:ind w:left="720"/>
      <w:contextualSpacing/>
    </w:pPr>
  </w:style>
  <w:style w:type="character" w:styleId="IntenseEmphasis">
    <w:name w:val="Intense Emphasis"/>
    <w:basedOn w:val="DefaultParagraphFont"/>
    <w:uiPriority w:val="21"/>
    <w:qFormat/>
    <w:rsid w:val="006313DB"/>
    <w:rPr>
      <w:i/>
      <w:iCs/>
      <w:color w:val="2F5496" w:themeColor="accent1" w:themeShade="BF"/>
    </w:rPr>
  </w:style>
  <w:style w:type="paragraph" w:styleId="IntenseQuote">
    <w:name w:val="Intense Quote"/>
    <w:basedOn w:val="Normal"/>
    <w:next w:val="Normal"/>
    <w:link w:val="IntenseQuoteChar"/>
    <w:uiPriority w:val="30"/>
    <w:qFormat/>
    <w:rsid w:val="00631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13DB"/>
    <w:rPr>
      <w:i/>
      <w:iCs/>
      <w:color w:val="2F5496" w:themeColor="accent1" w:themeShade="BF"/>
    </w:rPr>
  </w:style>
  <w:style w:type="character" w:styleId="IntenseReference">
    <w:name w:val="Intense Reference"/>
    <w:basedOn w:val="DefaultParagraphFont"/>
    <w:uiPriority w:val="32"/>
    <w:qFormat/>
    <w:rsid w:val="006313DB"/>
    <w:rPr>
      <w:b/>
      <w:bCs/>
      <w:smallCaps/>
      <w:color w:val="2F5496" w:themeColor="accent1" w:themeShade="BF"/>
      <w:spacing w:val="5"/>
    </w:rPr>
  </w:style>
  <w:style w:type="paragraph" w:customStyle="1" w:styleId="Normal1">
    <w:name w:val="Normal1"/>
    <w:rsid w:val="00E840C0"/>
    <w:pPr>
      <w:spacing w:after="0" w:line="276" w:lineRule="auto"/>
    </w:pPr>
    <w:rPr>
      <w:rFonts w:ascii="Arial" w:eastAsia="Arial" w:hAnsi="Arial" w:cs="Arial"/>
      <w:kern w:val="0"/>
      <w:sz w:val="22"/>
      <w:szCs w:val="22"/>
      <w:lang w:val="en-US" w:bidi="hi-IN"/>
    </w:rPr>
  </w:style>
  <w:style w:type="paragraph" w:styleId="NormalWeb">
    <w:name w:val="Normal (Web)"/>
    <w:basedOn w:val="Normal"/>
    <w:uiPriority w:val="99"/>
    <w:semiHidden/>
    <w:unhideWhenUsed/>
    <w:rsid w:val="00E840C0"/>
    <w:pPr>
      <w:spacing w:before="100" w:beforeAutospacing="1" w:after="100" w:afterAutospacing="1" w:line="240" w:lineRule="auto"/>
    </w:pPr>
    <w:rPr>
      <w:rFonts w:ascii="Times New Roman" w:eastAsia="Times New Roman" w:hAnsi="Times New Roman" w:cs="Times New Roman"/>
      <w:kern w:val="0"/>
      <w:szCs w:val="24"/>
      <w:lang w:eastAsia="en-IN"/>
    </w:rPr>
  </w:style>
  <w:style w:type="table" w:styleId="TableGrid">
    <w:name w:val="Table Grid"/>
    <w:basedOn w:val="TableNormal"/>
    <w:uiPriority w:val="39"/>
    <w:rsid w:val="0074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204C1"/>
    <w:rPr>
      <w:color w:val="0563C1"/>
      <w:u w:val="single"/>
    </w:rPr>
  </w:style>
  <w:style w:type="character" w:styleId="LineNumber">
    <w:name w:val="line number"/>
    <w:basedOn w:val="DefaultParagraphFont"/>
    <w:uiPriority w:val="99"/>
    <w:semiHidden/>
    <w:unhideWhenUsed/>
    <w:rsid w:val="000D29C1"/>
  </w:style>
  <w:style w:type="paragraph" w:styleId="Header">
    <w:name w:val="header"/>
    <w:basedOn w:val="Normal"/>
    <w:link w:val="HeaderChar"/>
    <w:uiPriority w:val="99"/>
    <w:unhideWhenUsed/>
    <w:rsid w:val="00841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477"/>
    <w:rPr>
      <w:rFonts w:ascii="Calibri" w:eastAsia="Calibri" w:hAnsi="Calibri" w:cs="Vrinda"/>
    </w:rPr>
  </w:style>
  <w:style w:type="paragraph" w:styleId="Footer">
    <w:name w:val="footer"/>
    <w:basedOn w:val="Normal"/>
    <w:link w:val="FooterChar"/>
    <w:uiPriority w:val="99"/>
    <w:unhideWhenUsed/>
    <w:rsid w:val="00841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477"/>
    <w:rPr>
      <w:rFonts w:ascii="Calibri" w:eastAsia="Calibri" w:hAnsi="Calibri" w:cs="Vrinda"/>
    </w:rPr>
  </w:style>
  <w:style w:type="character" w:customStyle="1" w:styleId="UnresolvedMention1">
    <w:name w:val="Unresolved Mention1"/>
    <w:basedOn w:val="DefaultParagraphFont"/>
    <w:uiPriority w:val="99"/>
    <w:semiHidden/>
    <w:unhideWhenUsed/>
    <w:rsid w:val="00841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C5F9-782F-4CDE-A8C6-2533FD03C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12</Pages>
  <Words>4394</Words>
  <Characters>25050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Rayba Khatoon</dc:creator>
  <cp:keywords/>
  <dc:description/>
  <cp:lastModifiedBy>SDI 1089</cp:lastModifiedBy>
  <cp:revision>4</cp:revision>
  <dcterms:created xsi:type="dcterms:W3CDTF">2025-10-30T13:52:00Z</dcterms:created>
  <dcterms:modified xsi:type="dcterms:W3CDTF">2025-11-03T11:43:00Z</dcterms:modified>
</cp:coreProperties>
</file>