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1B7F1" w14:textId="4D9CE9EE" w:rsidR="00F262EF" w:rsidRDefault="00F262EF" w:rsidP="00F262EF">
      <w:pPr>
        <w:spacing w:after="120"/>
        <w:rPr>
          <w:color w:val="1B1C1D"/>
        </w:rPr>
      </w:pPr>
    </w:p>
    <w:p w14:paraId="7A3A7516" w14:textId="77777777" w:rsidR="00F262EF" w:rsidRDefault="00F262EF" w:rsidP="00F262EF">
      <w:pPr>
        <w:pStyle w:val="Heading1"/>
        <w:spacing w:after="120"/>
        <w:rPr>
          <w:color w:val="1B1C1D"/>
        </w:rPr>
      </w:pPr>
      <w:r>
        <w:rPr>
          <w:color w:val="1B1C1D"/>
        </w:rPr>
        <w:t>Investigation of Burnout Syndrome in Dentists in Kayseri, Turkey: A Cross-Sectional Study using the Maslach Burnout Inventory (MBI)</w:t>
      </w:r>
    </w:p>
    <w:p w14:paraId="2FAAB358" w14:textId="38E53E89" w:rsidR="00F262EF" w:rsidRDefault="00F262EF" w:rsidP="00F262EF">
      <w:pPr>
        <w:pStyle w:val="Heading2"/>
        <w:spacing w:after="120" w:afterAutospacing="0"/>
        <w:rPr>
          <w:color w:val="1B1C1D"/>
        </w:rPr>
      </w:pPr>
      <w:r>
        <w:rPr>
          <w:color w:val="1B1C1D"/>
        </w:rPr>
        <w:t xml:space="preserve">1. ABSTRACT </w:t>
      </w:r>
    </w:p>
    <w:tbl>
      <w:tblPr>
        <w:tblW w:w="0" w:type="auto"/>
        <w:tblCellSpacing w:w="15" w:type="dxa"/>
        <w:tblCellMar>
          <w:left w:w="0" w:type="dxa"/>
          <w:right w:w="0" w:type="dxa"/>
        </w:tblCellMar>
        <w:tblLook w:val="04A0" w:firstRow="1" w:lastRow="0" w:firstColumn="1" w:lastColumn="0" w:noHBand="0" w:noVBand="1"/>
      </w:tblPr>
      <w:tblGrid>
        <w:gridCol w:w="1988"/>
        <w:gridCol w:w="13774"/>
      </w:tblGrid>
      <w:tr w:rsidR="00F262EF" w14:paraId="17BD0B68" w14:textId="77777777" w:rsidTr="00F262E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AF159A" w14:textId="77777777" w:rsidR="00F262EF" w:rsidRDefault="00F262EF">
            <w:pPr>
              <w:rPr>
                <w:color w:val="1B1C1D"/>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DC9E98" w14:textId="77777777" w:rsidR="00F262EF" w:rsidRDefault="00F262EF">
            <w:pPr>
              <w:rPr>
                <w:sz w:val="20"/>
                <w:szCs w:val="20"/>
              </w:rPr>
            </w:pPr>
          </w:p>
        </w:tc>
      </w:tr>
      <w:tr w:rsidR="00F262EF" w14:paraId="3F0942A7"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6B549F" w14:textId="77777777" w:rsidR="00F262EF" w:rsidRDefault="00F262EF">
            <w:pPr>
              <w:rPr>
                <w:color w:val="1B1C1D"/>
                <w:sz w:val="24"/>
                <w:szCs w:val="24"/>
              </w:rPr>
            </w:pPr>
            <w:r>
              <w:rPr>
                <w:b/>
                <w:bCs/>
                <w:color w:val="1B1C1D"/>
                <w:bdr w:val="none" w:sz="0" w:space="0" w:color="auto" w:frame="1"/>
              </w:rPr>
              <w:t>Objective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9A2850" w14:textId="77777777" w:rsidR="00F262EF" w:rsidRDefault="00F262EF">
            <w:pPr>
              <w:rPr>
                <w:color w:val="1B1C1D"/>
              </w:rPr>
            </w:pPr>
            <w:r>
              <w:rPr>
                <w:color w:val="1B1C1D"/>
              </w:rPr>
              <w:t xml:space="preserve">This study was designed to evaluate the level of burnout syndrome among practicing dentists and to examine its </w:t>
            </w:r>
            <w:r>
              <w:rPr>
                <w:b/>
                <w:bCs/>
                <w:color w:val="1B1C1D"/>
                <w:bdr w:val="none" w:sz="0" w:space="0" w:color="auto" w:frame="1"/>
              </w:rPr>
              <w:t>association</w:t>
            </w:r>
            <w:r>
              <w:rPr>
                <w:color w:val="1B1C1D"/>
              </w:rPr>
              <w:t xml:space="preserve"> with key demographic and professional variables.</w:t>
            </w:r>
          </w:p>
        </w:tc>
      </w:tr>
      <w:tr w:rsidR="00F262EF" w14:paraId="148371AC"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4EE658" w14:textId="77777777" w:rsidR="00F262EF" w:rsidRDefault="00F262EF">
            <w:pPr>
              <w:rPr>
                <w:color w:val="1B1C1D"/>
              </w:rPr>
            </w:pPr>
            <w:r>
              <w:rPr>
                <w:b/>
                <w:bCs/>
                <w:color w:val="1B1C1D"/>
                <w:bdr w:val="none" w:sz="0" w:space="0" w:color="auto" w:frame="1"/>
              </w:rPr>
              <w:t>Basic research design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E7AA77" w14:textId="77777777" w:rsidR="00F262EF" w:rsidRDefault="00F262EF">
            <w:pPr>
              <w:rPr>
                <w:color w:val="1B1C1D"/>
              </w:rPr>
            </w:pPr>
            <w:r>
              <w:rPr>
                <w:color w:val="1B1C1D"/>
              </w:rPr>
              <w:t>A descriptive, cross-sectional study was conducted in Kayseri, Turkey.</w:t>
            </w:r>
          </w:p>
        </w:tc>
      </w:tr>
      <w:tr w:rsidR="00F262EF" w14:paraId="114D0294"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AC902E" w14:textId="77777777" w:rsidR="00F262EF" w:rsidRDefault="00F262EF">
            <w:pPr>
              <w:rPr>
                <w:color w:val="1B1C1D"/>
              </w:rPr>
            </w:pPr>
            <w:r>
              <w:rPr>
                <w:b/>
                <w:bCs/>
                <w:color w:val="1B1C1D"/>
                <w:bdr w:val="none" w:sz="0" w:space="0" w:color="auto" w:frame="1"/>
              </w:rPr>
              <w:t>Participants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23ED22" w14:textId="77777777" w:rsidR="00F262EF" w:rsidRDefault="00F262EF">
            <w:pPr>
              <w:rPr>
                <w:color w:val="1B1C1D"/>
              </w:rPr>
            </w:pPr>
            <w:r>
              <w:rPr>
                <w:color w:val="1B1C1D"/>
              </w:rPr>
              <w:t xml:space="preserve">The study included a convenience sample of 106 dentists working in public and private healthcare institutions. </w:t>
            </w:r>
            <w:r>
              <w:rPr>
                <w:b/>
                <w:bCs/>
                <w:color w:val="1B1C1D"/>
                <w:bdr w:val="none" w:sz="0" w:space="0" w:color="auto" w:frame="1"/>
              </w:rPr>
              <w:t xml:space="preserve">The mean age of participants was 33.8 </w:t>
            </w:r>
            <w:r>
              <w:rPr>
                <w:rStyle w:val="math-inline"/>
                <w:b/>
                <w:bCs/>
                <w:color w:val="1B1C1D"/>
                <w:bdr w:val="none" w:sz="0" w:space="0" w:color="auto" w:frame="1"/>
              </w:rPr>
              <w:t>$\pm$</w:t>
            </w:r>
            <w:r>
              <w:rPr>
                <w:b/>
                <w:bCs/>
                <w:color w:val="1B1C1D"/>
                <w:bdr w:val="none" w:sz="0" w:space="0" w:color="auto" w:frame="1"/>
              </w:rPr>
              <w:t xml:space="preserve"> 7.5 years.</w:t>
            </w:r>
          </w:p>
        </w:tc>
      </w:tr>
      <w:tr w:rsidR="00F262EF" w14:paraId="6787B43D"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689758" w14:textId="77777777" w:rsidR="00F262EF" w:rsidRDefault="00F262EF">
            <w:pPr>
              <w:rPr>
                <w:color w:val="1B1C1D"/>
              </w:rPr>
            </w:pPr>
            <w:r>
              <w:rPr>
                <w:b/>
                <w:bCs/>
                <w:color w:val="1B1C1D"/>
                <w:bdr w:val="none" w:sz="0" w:space="0" w:color="auto" w:frame="1"/>
              </w:rPr>
              <w:t>Main outcome measures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82F1EC" w14:textId="77777777" w:rsidR="00F262EF" w:rsidRDefault="00F262EF">
            <w:pPr>
              <w:rPr>
                <w:color w:val="1B1C1D"/>
              </w:rPr>
            </w:pPr>
            <w:r>
              <w:rPr>
                <w:color w:val="1B1C1D"/>
              </w:rPr>
              <w:t xml:space="preserve">Data were collected using the </w:t>
            </w:r>
            <w:r>
              <w:rPr>
                <w:b/>
                <w:bCs/>
                <w:color w:val="1B1C1D"/>
                <w:bdr w:val="none" w:sz="0" w:space="0" w:color="auto" w:frame="1"/>
              </w:rPr>
              <w:t>Maslach Burnout Inventory (MBI)</w:t>
            </w:r>
            <w:r>
              <w:rPr>
                <w:color w:val="1B1C1D"/>
              </w:rPr>
              <w:t xml:space="preserve"> and a structured demographic questionnaire. Burnout levels were assessed across three dimensions: Emotional Exhaustion (EE), Depersonalization (DP), and Personal Accomplishment (PA).</w:t>
            </w:r>
          </w:p>
        </w:tc>
      </w:tr>
      <w:tr w:rsidR="00F262EF" w14:paraId="07939E46"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1A6944" w14:textId="77777777" w:rsidR="00F262EF" w:rsidRDefault="00F262EF">
            <w:pPr>
              <w:rPr>
                <w:color w:val="1B1C1D"/>
              </w:rPr>
            </w:pPr>
            <w:r>
              <w:rPr>
                <w:b/>
                <w:bCs/>
                <w:color w:val="1B1C1D"/>
                <w:bdr w:val="none" w:sz="0" w:space="0" w:color="auto" w:frame="1"/>
              </w:rPr>
              <w:t>Results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453F20" w14:textId="77777777" w:rsidR="00F262EF" w:rsidRDefault="00F262EF">
            <w:pPr>
              <w:rPr>
                <w:color w:val="1B1C1D"/>
              </w:rPr>
            </w:pPr>
            <w:r>
              <w:rPr>
                <w:color w:val="1B1C1D"/>
              </w:rPr>
              <w:t xml:space="preserve">A moderate level of burnout was found among the participating dentists (N=106). </w:t>
            </w:r>
            <w:r>
              <w:rPr>
                <w:b/>
                <w:bCs/>
                <w:color w:val="1B1C1D"/>
                <w:bdr w:val="none" w:sz="0" w:space="0" w:color="auto" w:frame="1"/>
              </w:rPr>
              <w:t xml:space="preserve">The overall mean MBI scores were: EE (25.1 </w:t>
            </w:r>
            <w:r>
              <w:rPr>
                <w:rStyle w:val="math-inline"/>
                <w:b/>
                <w:bCs/>
                <w:color w:val="1B1C1D"/>
                <w:bdr w:val="none" w:sz="0" w:space="0" w:color="auto" w:frame="1"/>
              </w:rPr>
              <w:t>$\pm$</w:t>
            </w:r>
            <w:r>
              <w:rPr>
                <w:b/>
                <w:bCs/>
                <w:color w:val="1B1C1D"/>
                <w:bdr w:val="none" w:sz="0" w:space="0" w:color="auto" w:frame="1"/>
              </w:rPr>
              <w:t xml:space="preserve"> 11.2), DP (10.2 </w:t>
            </w:r>
            <w:r>
              <w:rPr>
                <w:rStyle w:val="math-inline"/>
                <w:b/>
                <w:bCs/>
                <w:color w:val="1B1C1D"/>
                <w:bdr w:val="none" w:sz="0" w:space="0" w:color="auto" w:frame="1"/>
              </w:rPr>
              <w:t>$\pm$</w:t>
            </w:r>
            <w:r>
              <w:rPr>
                <w:b/>
                <w:bCs/>
                <w:color w:val="1B1C1D"/>
                <w:bdr w:val="none" w:sz="0" w:space="0" w:color="auto" w:frame="1"/>
              </w:rPr>
              <w:t xml:space="preserve"> 5.9), and PA (36.5 </w:t>
            </w:r>
            <w:r>
              <w:rPr>
                <w:rStyle w:val="math-inline"/>
                <w:b/>
                <w:bCs/>
                <w:color w:val="1B1C1D"/>
                <w:bdr w:val="none" w:sz="0" w:space="0" w:color="auto" w:frame="1"/>
              </w:rPr>
              <w:t>$\pm$</w:t>
            </w:r>
            <w:r>
              <w:rPr>
                <w:b/>
                <w:bCs/>
                <w:color w:val="1B1C1D"/>
                <w:bdr w:val="none" w:sz="0" w:space="0" w:color="auto" w:frame="1"/>
              </w:rPr>
              <w:t xml:space="preserve"> 8.1).</w:t>
            </w:r>
            <w:r>
              <w:rPr>
                <w:color w:val="1B1C1D"/>
              </w:rPr>
              <w:t xml:space="preserve"> Statistically significant </w:t>
            </w:r>
            <w:r>
              <w:rPr>
                <w:b/>
                <w:bCs/>
                <w:color w:val="1B1C1D"/>
                <w:bdr w:val="none" w:sz="0" w:space="0" w:color="auto" w:frame="1"/>
              </w:rPr>
              <w:t>associations</w:t>
            </w:r>
            <w:r>
              <w:rPr>
                <w:color w:val="1B1C1D"/>
              </w:rPr>
              <w:t xml:space="preserve"> were observed across variables: single and younger dentists reported higher overall burnout scores </w:t>
            </w:r>
            <w:r>
              <w:rPr>
                <w:b/>
                <w:bCs/>
                <w:color w:val="1B1C1D"/>
                <w:bdr w:val="none" w:sz="0" w:space="0" w:color="auto" w:frame="1"/>
              </w:rPr>
              <w:t>associated with</w:t>
            </w:r>
            <w:r>
              <w:rPr>
                <w:color w:val="1B1C1D"/>
              </w:rPr>
              <w:t xml:space="preserve"> their married and older colleagues. Work setting was also an </w:t>
            </w:r>
            <w:r>
              <w:rPr>
                <w:b/>
                <w:bCs/>
                <w:color w:val="1B1C1D"/>
                <w:bdr w:val="none" w:sz="0" w:space="0" w:color="auto" w:frame="1"/>
              </w:rPr>
              <w:t>associated factor</w:t>
            </w:r>
            <w:r>
              <w:rPr>
                <w:color w:val="1B1C1D"/>
              </w:rPr>
              <w:t>, with private sector dentists exhibiting higher levels of Emotional Exhaustion and Depersonalization. Furthermore, general dentists showed more signs of burnout than specialists.</w:t>
            </w:r>
          </w:p>
        </w:tc>
      </w:tr>
      <w:tr w:rsidR="00F262EF" w14:paraId="690CDCB5"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2B896B" w14:textId="77777777" w:rsidR="00F262EF" w:rsidRDefault="00F262EF">
            <w:pPr>
              <w:rPr>
                <w:color w:val="1B1C1D"/>
              </w:rPr>
            </w:pPr>
            <w:r>
              <w:rPr>
                <w:b/>
                <w:bCs/>
                <w:color w:val="1B1C1D"/>
                <w:bdr w:val="none" w:sz="0" w:space="0" w:color="auto" w:frame="1"/>
              </w:rPr>
              <w:t>Conclusions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43AB3C" w14:textId="77777777" w:rsidR="00F262EF" w:rsidRDefault="00F262EF">
            <w:pPr>
              <w:rPr>
                <w:color w:val="1B1C1D"/>
              </w:rPr>
            </w:pPr>
            <w:r>
              <w:rPr>
                <w:color w:val="1B1C1D"/>
              </w:rPr>
              <w:t xml:space="preserve">The findings indicate that burnout in dentistry is a complex, multidimensional problem strongly </w:t>
            </w:r>
            <w:r>
              <w:rPr>
                <w:b/>
                <w:bCs/>
                <w:color w:val="1B1C1D"/>
                <w:bdr w:val="none" w:sz="0" w:space="0" w:color="auto" w:frame="1"/>
              </w:rPr>
              <w:t>associated with</w:t>
            </w:r>
            <w:r>
              <w:rPr>
                <w:color w:val="1B1C1D"/>
              </w:rPr>
              <w:t xml:space="preserve"> professional status, age, and work conditions. We recommend targeted interventions focused on improving work environments and strengthening psychosocial support mechanisms to mitigate occupational burnout in this profession.</w:t>
            </w:r>
          </w:p>
        </w:tc>
      </w:tr>
      <w:tr w:rsidR="00F262EF" w14:paraId="7B51FEA0" w14:textId="77777777" w:rsidTr="00F262E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7C09A3" w14:textId="77777777" w:rsidR="00F262EF" w:rsidRDefault="00F262EF">
            <w:pPr>
              <w:rPr>
                <w:color w:val="1B1C1D"/>
              </w:rPr>
            </w:pPr>
            <w:r>
              <w:rPr>
                <w:b/>
                <w:bCs/>
                <w:color w:val="1B1C1D"/>
                <w:bdr w:val="none" w:sz="0" w:space="0" w:color="auto" w:frame="1"/>
              </w:rPr>
              <w:lastRenderedPageBreak/>
              <w:t>Keywords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8A6BB0" w14:textId="2FE15A2D" w:rsidR="00F262EF" w:rsidRDefault="00F262EF">
            <w:pPr>
              <w:rPr>
                <w:color w:val="1B1C1D"/>
              </w:rPr>
            </w:pPr>
            <w:r>
              <w:rPr>
                <w:color w:val="1B1C1D"/>
              </w:rPr>
              <w:t xml:space="preserve">Dentistry, Burnout Syndrome, Maslach Burnout Inventory (MBI), Occupational Stress, Public Health, </w:t>
            </w:r>
          </w:p>
        </w:tc>
      </w:tr>
    </w:tbl>
    <w:p w14:paraId="13A2291A" w14:textId="77777777" w:rsidR="00F262EF" w:rsidRDefault="002F31CC" w:rsidP="00F262EF">
      <w:pPr>
        <w:spacing w:after="120"/>
        <w:rPr>
          <w:color w:val="1B1C1D"/>
        </w:rPr>
      </w:pPr>
      <w:r>
        <w:rPr>
          <w:color w:val="1B1C1D"/>
        </w:rPr>
        <w:pict w14:anchorId="34A77CFE">
          <v:rect id="_x0000_i1025" style="width:0;height:1.5pt" o:hralign="center" o:hrstd="t" o:hrnoshade="t" o:hr="t" fillcolor="gray" stroked="f"/>
        </w:pict>
      </w:r>
    </w:p>
    <w:p w14:paraId="4F0F905A" w14:textId="5067CB0B" w:rsidR="00F262EF" w:rsidRDefault="00F262EF" w:rsidP="00F262EF">
      <w:pPr>
        <w:pStyle w:val="Heading2"/>
        <w:spacing w:after="120" w:afterAutospacing="0"/>
        <w:rPr>
          <w:color w:val="1B1C1D"/>
        </w:rPr>
      </w:pPr>
      <w:r>
        <w:rPr>
          <w:color w:val="1B1C1D"/>
        </w:rPr>
        <w:t xml:space="preserve">INTRODUCTION </w:t>
      </w:r>
    </w:p>
    <w:p w14:paraId="2321B898" w14:textId="3FBE1AF9" w:rsidR="00F262EF" w:rsidRDefault="00F262EF" w:rsidP="00F262EF">
      <w:pPr>
        <w:pStyle w:val="NormalWeb"/>
        <w:spacing w:after="240" w:afterAutospacing="0"/>
        <w:rPr>
          <w:color w:val="1B1C1D"/>
        </w:rPr>
      </w:pPr>
      <w:r>
        <w:rPr>
          <w:color w:val="1B1C1D"/>
        </w:rPr>
        <w:t>Burnout syndrome, first described by Freudenberger (1</w:t>
      </w:r>
      <w:r w:rsidR="00C61DB2">
        <w:rPr>
          <w:color w:val="1B1C1D"/>
        </w:rPr>
        <w:t>),</w:t>
      </w:r>
      <w:r>
        <w:rPr>
          <w:color w:val="1B1C1D"/>
        </w:rPr>
        <w:t xml:space="preserve"> is a psychological syndrome resulting from prolonged occupational stress, primarily experienced in professions involving intensive interpersonal interactions, such as healthcare and education. It is formally characterized by three core dimensions: Emotional Exhaustion (EE), a feeling of being depleted of emotional and physical resources; Depersonalization (DP), the development of cynical and detached attitudes toward the recipients of one's service; and reduced Personal Accomplishment (PA), a feeling of ineffectiveness and a lack of achievement in one's work (Maslach &amp; Jackson, 1981</w:t>
      </w:r>
      <w:r w:rsidR="00C61DB2">
        <w:rPr>
          <w:color w:val="1B1C1D"/>
        </w:rPr>
        <w:t>).</w:t>
      </w:r>
      <w:r>
        <w:rPr>
          <w:color w:val="1B1C1D"/>
        </w:rPr>
        <w:t xml:space="preserve"> These dimensions are universally measured using the Maslach Burnout Inventory (MBI), which ensures global comparability of research findings in the field (2,3,4</w:t>
      </w:r>
      <w:r w:rsidR="00C61DB2">
        <w:rPr>
          <w:color w:val="1B1C1D"/>
        </w:rPr>
        <w:t>).</w:t>
      </w:r>
    </w:p>
    <w:p w14:paraId="5FB36846" w14:textId="044E000B" w:rsidR="00F262EF" w:rsidRDefault="00F262EF" w:rsidP="00F262EF">
      <w:pPr>
        <w:pStyle w:val="NormalWeb"/>
        <w:spacing w:after="0" w:afterAutospacing="0"/>
        <w:rPr>
          <w:color w:val="1B1C1D"/>
        </w:rPr>
      </w:pPr>
      <w:r>
        <w:rPr>
          <w:color w:val="1B1C1D"/>
        </w:rPr>
        <w:t xml:space="preserve"> The MBI is structured to capture the progression of the syndrome: EE represents the strain component, the primary reaction to chronic stress; DP is the interpersonal and defensive component, manifesting as a coping mechanism against EE; and PA reflects the self-evaluation component, the extent to which one feels competence and successful achievement in one's work. High scores on EE and DP, combined with a low score on PA, signify a severe burnout status. Understanding these dimensions is crucial because they require distinct intervention strategies. For instance, high EE necessitates workload management and rest, whereas high DP often requires interventions focused on fostering empathy and improving professional relationships.</w:t>
      </w:r>
    </w:p>
    <w:p w14:paraId="00B42318" w14:textId="592A8CC8" w:rsidR="00F262EF" w:rsidRDefault="00F262EF" w:rsidP="00F262EF">
      <w:pPr>
        <w:pStyle w:val="NormalWeb"/>
        <w:spacing w:after="0" w:afterAutospacing="0"/>
        <w:rPr>
          <w:color w:val="1B1C1D"/>
        </w:rPr>
      </w:pPr>
      <w:r>
        <w:rPr>
          <w:color w:val="1B1C1D"/>
        </w:rPr>
        <w:t>In the field of dentistry, practitioners face a unique and demanding combination of high-demand factors. These include the requirement for extreme procedural precision in confined spaces, chronic exposure to physical strain from repetitive movements, the constant demand of patient anxiety management, and significant financial and administrative pressures.  The nature of dental work is inherently stressful due to factors such as working with high-speed instruments in a small, sensitive area, the perception of pain by patients, and the challenge of managing patient expectations regarding aesthetic and functional outcomes. Furthermore, dentists often adopt physically demanding postures, contributing to musculoskeletal disorders which, in turn, exacerbate psychological stress and EE. This sustained exposure to stress is compounded by the isolated nature of the dental work setting (5,10,16) which often limits peer support, mentorship, and collaborative patient management, thereby reducing the buffering effect of social support known to mitigate burnout risk (12,19).</w:t>
      </w:r>
    </w:p>
    <w:p w14:paraId="19B30525" w14:textId="5A03C52F" w:rsidR="00F262EF" w:rsidRDefault="00F262EF" w:rsidP="00F262EF">
      <w:pPr>
        <w:pStyle w:val="NormalWeb"/>
        <w:spacing w:after="0" w:afterAutospacing="0"/>
        <w:rPr>
          <w:color w:val="1B1C1D"/>
        </w:rPr>
      </w:pPr>
      <w:r>
        <w:rPr>
          <w:color w:val="1B1C1D"/>
        </w:rPr>
        <w:t xml:space="preserve">The consequences of unaddressed burnout extend far beyond individual discomfort, translating into tangible organizational and public health costs. At the individual level, burnout is </w:t>
      </w:r>
      <w:r>
        <w:rPr>
          <w:b/>
          <w:bCs/>
          <w:color w:val="1B1C1D"/>
          <w:bdr w:val="none" w:sz="0" w:space="0" w:color="auto" w:frame="1"/>
        </w:rPr>
        <w:t>associated with</w:t>
      </w:r>
      <w:r>
        <w:rPr>
          <w:color w:val="1B1C1D"/>
        </w:rPr>
        <w:t xml:space="preserve"> psychosomatic health problems, substance abuse, and even suicidal ideation. Organizationally, it drives high rates of staff turnover, increased absenteeism, and, crucially, a deterioration in the quality and safety of patient care (10,11,20</w:t>
      </w:r>
      <w:r w:rsidR="00C61DB2">
        <w:rPr>
          <w:color w:val="1B1C1D"/>
        </w:rPr>
        <w:t>).</w:t>
      </w:r>
      <w:r>
        <w:rPr>
          <w:color w:val="1B1C1D"/>
        </w:rPr>
        <w:t xml:space="preserve"> Specifically in dentistry, burnout can manifest as reduced empathy, poorer communication, and an increase in clinical errors, fundamentally compromising the ethical delivery of oral healthcare services. Globally, studies indicate a high prevalence of burnout among dentists, often exceeding general population averages (11,18</w:t>
      </w:r>
      <w:r w:rsidR="00C61DB2">
        <w:rPr>
          <w:color w:val="1B1C1D"/>
        </w:rPr>
        <w:t>).</w:t>
      </w:r>
      <w:r>
        <w:rPr>
          <w:color w:val="1B1C1D"/>
        </w:rPr>
        <w:t xml:space="preserve"> A systematic review and meta-analysis confirmed a high prevalence of burnout dimensions globally, underscoring the severity of this occupational hazard (Rêgo et al., 2021</w:t>
      </w:r>
      <w:r w:rsidR="00C61DB2">
        <w:rPr>
          <w:color w:val="1B1C1D"/>
        </w:rPr>
        <w:t>).</w:t>
      </w:r>
    </w:p>
    <w:p w14:paraId="03D9237B" w14:textId="0C0F24AD" w:rsidR="00F262EF" w:rsidRDefault="00F262EF" w:rsidP="00F262EF">
      <w:pPr>
        <w:pStyle w:val="NormalWeb"/>
        <w:spacing w:after="0" w:afterAutospacing="0"/>
        <w:rPr>
          <w:color w:val="1B1C1D"/>
        </w:rPr>
      </w:pPr>
      <w:r>
        <w:rPr>
          <w:color w:val="1B1C1D"/>
        </w:rPr>
        <w:lastRenderedPageBreak/>
        <w:t xml:space="preserve">However, the exact prevalence and specific </w:t>
      </w:r>
      <w:r>
        <w:rPr>
          <w:b/>
          <w:bCs/>
          <w:color w:val="1B1C1D"/>
          <w:bdr w:val="none" w:sz="0" w:space="0" w:color="auto" w:frame="1"/>
        </w:rPr>
        <w:t>associated factors</w:t>
      </w:r>
      <w:r>
        <w:rPr>
          <w:color w:val="1B1C1D"/>
        </w:rPr>
        <w:t xml:space="preserve"> are highly dependent on the structure of the local healthcare system and the cultural context of practice (9</w:t>
      </w:r>
      <w:r w:rsidR="00C61DB2">
        <w:rPr>
          <w:color w:val="1B1C1D"/>
        </w:rPr>
        <w:t>).</w:t>
      </w:r>
      <w:r>
        <w:rPr>
          <w:color w:val="1B1C1D"/>
        </w:rPr>
        <w:t xml:space="preserve"> In Turkey, the dental healthcare system is characterized by a rapidly growing private sector alongside an established public network (State Hospitals/ADSMs), leading to diverse work conditions, payment models, and administrative burdens that may differentially </w:t>
      </w:r>
      <w:r>
        <w:rPr>
          <w:b/>
          <w:bCs/>
          <w:color w:val="1B1C1D"/>
          <w:bdr w:val="none" w:sz="0" w:space="0" w:color="auto" w:frame="1"/>
        </w:rPr>
        <w:t>associate with</w:t>
      </w:r>
      <w:r>
        <w:rPr>
          <w:color w:val="1B1C1D"/>
        </w:rPr>
        <w:t xml:space="preserve"> burnout dimensions. Public sector dentists frequently manage exceptionally high patient quotas within time-restricted appointments, leading to high EE due to overload. Conversely, private sector dentists face intense market competition, financial risks, and the pressure of meeting profitability targets, which introduces unique stressors affecting both EE and DP. While previous local studies exist (7,8</w:t>
      </w:r>
      <w:r w:rsidR="00C61DB2">
        <w:rPr>
          <w:color w:val="1B1C1D"/>
        </w:rPr>
        <w:t>),</w:t>
      </w:r>
      <w:r>
        <w:rPr>
          <w:color w:val="1B1C1D"/>
        </w:rPr>
        <w:t xml:space="preserve"> there remains a critical need for recent, localized data to effectively profile the high-risk groups within the Turkish dental community, especially concerning how structural factors like work setting (public vs. private), specialist status, age, and marital status </w:t>
      </w:r>
      <w:r>
        <w:rPr>
          <w:b/>
          <w:bCs/>
          <w:color w:val="1B1C1D"/>
          <w:bdr w:val="none" w:sz="0" w:space="0" w:color="auto" w:frame="1"/>
        </w:rPr>
        <w:t>are associated with</w:t>
      </w:r>
      <w:r>
        <w:rPr>
          <w:color w:val="1B1C1D"/>
        </w:rPr>
        <w:t xml:space="preserve"> the core MBI dimensions (6,10,18</w:t>
      </w:r>
      <w:r w:rsidR="00C61DB2">
        <w:rPr>
          <w:color w:val="1B1C1D"/>
        </w:rPr>
        <w:t>).</w:t>
      </w:r>
      <w:r>
        <w:rPr>
          <w:color w:val="1B1C1D"/>
        </w:rPr>
        <w:t xml:space="preserve"> Understanding these specific local nuances is vital for developing targeted and effective organizational and individual intervention strategies.</w:t>
      </w:r>
    </w:p>
    <w:p w14:paraId="3C32C5CA" w14:textId="388EC0D6" w:rsidR="00F262EF" w:rsidRDefault="00F262EF" w:rsidP="00F262EF">
      <w:pPr>
        <w:pStyle w:val="NormalWeb"/>
        <w:spacing w:after="0" w:afterAutospacing="0"/>
        <w:rPr>
          <w:color w:val="1B1C1D"/>
        </w:rPr>
      </w:pPr>
      <w:r>
        <w:rPr>
          <w:color w:val="1B1C1D"/>
        </w:rPr>
        <w:t xml:space="preserve">The evolution of the healthcare landscape further complicates the professional life of a dentist. Contemporary dental practice is characterized not only by clinical demands but also by escalating administrative complexity, including stringent regulatory compliance, documentation requirements, and insurance negotiations (Porto et al., 2014) .  The interaction between environmental stress and individual factors is a key focus. Younger practitioners, often characterized by high idealism and high PA, may experience a rapid decline into EE when these ideals clash with the harsh realities of practice (Te Brake JH, 2008). Conversely, older, long-term practitioners may have adapted to the workload but risk developing chronic Depersonalization as a long-term defense mechanism. Furthermore, specialization status introduces differential stress profiles. General Dentists (GDs) manage a broader range of clinical uncertainty, which is highly </w:t>
      </w:r>
      <w:r>
        <w:rPr>
          <w:b/>
          <w:bCs/>
          <w:color w:val="1B1C1D"/>
          <w:bdr w:val="none" w:sz="0" w:space="0" w:color="auto" w:frame="1"/>
        </w:rPr>
        <w:t>associated with</w:t>
      </w:r>
      <w:r>
        <w:rPr>
          <w:color w:val="1B1C1D"/>
        </w:rPr>
        <w:t xml:space="preserve"> EE, whereas specialists, operating within a narrower, more defined scope, may report higher PA due to a greater sense of mastery (Pirillo F, 2011</w:t>
      </w:r>
      <w:r w:rsidR="00C61DB2">
        <w:rPr>
          <w:color w:val="1B1C1D"/>
        </w:rPr>
        <w:t>).</w:t>
      </w:r>
      <w:r>
        <w:rPr>
          <w:color w:val="1B1C1D"/>
        </w:rPr>
        <w:t xml:space="preserve"> Our study seeks to validate if these international trends hold true within the specific socio-professional context of Kayseri, Turkey.</w:t>
      </w:r>
    </w:p>
    <w:p w14:paraId="02DABD00" w14:textId="77777777" w:rsidR="00F262EF" w:rsidRDefault="00F262EF" w:rsidP="00F262EF">
      <w:pPr>
        <w:pStyle w:val="NormalWeb"/>
        <w:spacing w:after="0" w:afterAutospacing="0"/>
        <w:rPr>
          <w:color w:val="1B1C1D"/>
        </w:rPr>
      </w:pPr>
      <w:r>
        <w:rPr>
          <w:color w:val="1B1C1D"/>
        </w:rPr>
        <w:t xml:space="preserve">Therefore, the objective of this study is two-fold: 1) to determine the current levels of Emotional Exhaustion, Depersonalization, and Personal Accomplishment among a convenience sample of practicing dentists in Kayseri, Turkey; and 2) to examine the </w:t>
      </w:r>
      <w:r>
        <w:rPr>
          <w:b/>
          <w:bCs/>
          <w:color w:val="1B1C1D"/>
          <w:bdr w:val="none" w:sz="0" w:space="0" w:color="auto" w:frame="1"/>
        </w:rPr>
        <w:t>association</w:t>
      </w:r>
      <w:r>
        <w:rPr>
          <w:color w:val="1B1C1D"/>
        </w:rPr>
        <w:t xml:space="preserve"> between these burnout dimensions and key demographic (age, marital status) and professional variables (work setting, specialist status). This research aims to fill the existing gap in the literature by providing specific data that can guide policy recommendations for the mitigation of occupational stress in the Turkish dental profession.</w:t>
      </w:r>
    </w:p>
    <w:p w14:paraId="1C91664B" w14:textId="77777777" w:rsidR="00F262EF" w:rsidRDefault="002F31CC" w:rsidP="00F262EF">
      <w:pPr>
        <w:spacing w:after="120"/>
        <w:rPr>
          <w:color w:val="1B1C1D"/>
        </w:rPr>
      </w:pPr>
      <w:r>
        <w:rPr>
          <w:color w:val="1B1C1D"/>
        </w:rPr>
        <w:pict w14:anchorId="1872EEEC">
          <v:rect id="_x0000_i1026" style="width:0;height:1.5pt" o:hralign="center" o:hrstd="t" o:hrnoshade="t" o:hr="t" fillcolor="gray" stroked="f"/>
        </w:pict>
      </w:r>
    </w:p>
    <w:p w14:paraId="110E150E" w14:textId="4424811A" w:rsidR="00F262EF" w:rsidRDefault="00F262EF" w:rsidP="00F262EF">
      <w:pPr>
        <w:pStyle w:val="Heading2"/>
        <w:spacing w:after="120" w:afterAutospacing="0"/>
        <w:rPr>
          <w:color w:val="1B1C1D"/>
        </w:rPr>
      </w:pPr>
      <w:r>
        <w:rPr>
          <w:color w:val="1B1C1D"/>
        </w:rPr>
        <w:t xml:space="preserve">MATERIALS AND METHODS </w:t>
      </w:r>
    </w:p>
    <w:p w14:paraId="695EC395" w14:textId="77777777" w:rsidR="00E53A97" w:rsidRDefault="00E53A97" w:rsidP="00E53A97">
      <w:pPr>
        <w:pStyle w:val="Heading3"/>
      </w:pPr>
      <w:r>
        <w:t>3.1. Study Design and Aim</w:t>
      </w:r>
    </w:p>
    <w:p w14:paraId="738229C1" w14:textId="77777777" w:rsidR="00E53A97" w:rsidRDefault="00E53A97" w:rsidP="00E53A97">
      <w:pPr>
        <w:pStyle w:val="NormalWeb"/>
      </w:pPr>
      <w:r>
        <w:t xml:space="preserve">This study was designed as a </w:t>
      </w:r>
      <w:r>
        <w:rPr>
          <w:b/>
          <w:bCs/>
        </w:rPr>
        <w:t>descriptive and cross-sectional</w:t>
      </w:r>
      <w:r>
        <w:t xml:space="preserve"> research. The primary objective was to determine the burnout levels among practicing dentists and to investigate the relationship between burnout levels and various demographic and professional variables.</w:t>
      </w:r>
    </w:p>
    <w:p w14:paraId="6388D044" w14:textId="77777777" w:rsidR="00E53A97" w:rsidRDefault="00E53A97" w:rsidP="00E53A97">
      <w:pPr>
        <w:pStyle w:val="Heading3"/>
      </w:pPr>
      <w:r>
        <w:t>3.2. Study Group (Sample)</w:t>
      </w:r>
    </w:p>
    <w:p w14:paraId="12AAA3FC" w14:textId="77777777" w:rsidR="00E53A97" w:rsidRDefault="00E53A97" w:rsidP="00E53A97">
      <w:pPr>
        <w:pStyle w:val="NormalWeb"/>
      </w:pPr>
      <w:r>
        <w:t xml:space="preserve">The study sample consisted of </w:t>
      </w:r>
      <w:r>
        <w:rPr>
          <w:b/>
          <w:bCs/>
        </w:rPr>
        <w:t>106 dentists</w:t>
      </w:r>
      <w:r>
        <w:t xml:space="preserve"> working in various public and private healthcare institutions in </w:t>
      </w:r>
      <w:r>
        <w:rPr>
          <w:b/>
          <w:bCs/>
        </w:rPr>
        <w:t>Kayseri, Turkey</w:t>
      </w:r>
      <w:r>
        <w:t xml:space="preserve">. Participants were included in the study on a voluntary basis. A </w:t>
      </w:r>
      <w:r>
        <w:rPr>
          <w:b/>
          <w:bCs/>
        </w:rPr>
        <w:t>convenience sampling</w:t>
      </w:r>
      <w:r>
        <w:t xml:space="preserve"> technique was employed for sample selection.</w:t>
      </w:r>
    </w:p>
    <w:p w14:paraId="3761C7E0" w14:textId="77777777" w:rsidR="00E53A97" w:rsidRDefault="00E53A97" w:rsidP="00E53A97">
      <w:pPr>
        <w:pStyle w:val="Heading3"/>
      </w:pPr>
      <w:r>
        <w:lastRenderedPageBreak/>
        <w:t>3.3. Data Collection Instrument</w:t>
      </w:r>
    </w:p>
    <w:p w14:paraId="3D3DA13C" w14:textId="77777777" w:rsidR="00E53A97" w:rsidRDefault="00E53A97" w:rsidP="00E53A97">
      <w:pPr>
        <w:pStyle w:val="NormalWeb"/>
      </w:pPr>
      <w:r>
        <w:t>Data were collected using a questionnaire form composed of two main sections:</w:t>
      </w:r>
    </w:p>
    <w:p w14:paraId="005F51DE" w14:textId="77777777" w:rsidR="00E53A97" w:rsidRDefault="00E53A97" w:rsidP="00E53A97">
      <w:pPr>
        <w:pStyle w:val="Heading4"/>
      </w:pPr>
      <w:r>
        <w:t>Section I: Demographic and Professional Information Questionnaire</w:t>
      </w:r>
    </w:p>
    <w:p w14:paraId="63D467AB" w14:textId="77777777" w:rsidR="00E53A97" w:rsidRDefault="00E53A97" w:rsidP="00E53A97">
      <w:pPr>
        <w:pStyle w:val="NormalWeb"/>
      </w:pPr>
      <w:r>
        <w:t>This section included questions regarding participants' demographic and professional characteristics. The collected variables were:</w:t>
      </w:r>
    </w:p>
    <w:p w14:paraId="669A09E6" w14:textId="77777777" w:rsidR="00E53A97" w:rsidRDefault="00E53A97" w:rsidP="00E53A97">
      <w:pPr>
        <w:pStyle w:val="NormalWeb"/>
        <w:numPr>
          <w:ilvl w:val="0"/>
          <w:numId w:val="18"/>
        </w:numPr>
      </w:pPr>
      <w:r>
        <w:t>Gender</w:t>
      </w:r>
    </w:p>
    <w:p w14:paraId="3E7AB1AB" w14:textId="77777777" w:rsidR="00E53A97" w:rsidRDefault="00E53A97" w:rsidP="00E53A97">
      <w:pPr>
        <w:pStyle w:val="NormalWeb"/>
        <w:numPr>
          <w:ilvl w:val="0"/>
          <w:numId w:val="18"/>
        </w:numPr>
      </w:pPr>
      <w:r>
        <w:t>Age</w:t>
      </w:r>
    </w:p>
    <w:p w14:paraId="03FEC34B" w14:textId="77777777" w:rsidR="00E53A97" w:rsidRDefault="00E53A97" w:rsidP="00E53A97">
      <w:pPr>
        <w:pStyle w:val="NormalWeb"/>
        <w:numPr>
          <w:ilvl w:val="0"/>
          <w:numId w:val="18"/>
        </w:numPr>
      </w:pPr>
      <w:r>
        <w:t>Marital Status</w:t>
      </w:r>
    </w:p>
    <w:p w14:paraId="5F96C360" w14:textId="77777777" w:rsidR="00E53A97" w:rsidRDefault="00E53A97" w:rsidP="00E53A97">
      <w:pPr>
        <w:pStyle w:val="NormalWeb"/>
        <w:numPr>
          <w:ilvl w:val="0"/>
          <w:numId w:val="18"/>
        </w:numPr>
      </w:pPr>
      <w:r>
        <w:t>Year of Graduation</w:t>
      </w:r>
    </w:p>
    <w:p w14:paraId="35D21D61" w14:textId="77777777" w:rsidR="00E53A97" w:rsidRDefault="00E53A97" w:rsidP="00E53A97">
      <w:pPr>
        <w:pStyle w:val="NormalWeb"/>
        <w:numPr>
          <w:ilvl w:val="0"/>
          <w:numId w:val="18"/>
        </w:numPr>
      </w:pPr>
      <w:r>
        <w:t>Type of Work Setting (e.g., private clinic, state hospital, etc.)</w:t>
      </w:r>
    </w:p>
    <w:p w14:paraId="58BDF478" w14:textId="77777777" w:rsidR="00E53A97" w:rsidRDefault="00E53A97" w:rsidP="00E53A97">
      <w:pPr>
        <w:pStyle w:val="NormalWeb"/>
        <w:numPr>
          <w:ilvl w:val="0"/>
          <w:numId w:val="18"/>
        </w:numPr>
      </w:pPr>
      <w:r>
        <w:t>Specialist Status</w:t>
      </w:r>
    </w:p>
    <w:p w14:paraId="0A587E75" w14:textId="77777777" w:rsidR="00E53A97" w:rsidRDefault="00E53A97" w:rsidP="00E53A97">
      <w:pPr>
        <w:pStyle w:val="NormalWeb"/>
        <w:numPr>
          <w:ilvl w:val="0"/>
          <w:numId w:val="18"/>
        </w:numPr>
      </w:pPr>
      <w:r>
        <w:t>Average Daily Patient Count</w:t>
      </w:r>
    </w:p>
    <w:p w14:paraId="7FF80054" w14:textId="77777777" w:rsidR="00E53A97" w:rsidRDefault="00E53A97" w:rsidP="00E53A97">
      <w:pPr>
        <w:pStyle w:val="NormalWeb"/>
        <w:numPr>
          <w:ilvl w:val="0"/>
          <w:numId w:val="18"/>
        </w:numPr>
      </w:pPr>
      <w:r>
        <w:t>Weekly Working Days and Day(s) Off</w:t>
      </w:r>
    </w:p>
    <w:p w14:paraId="68318EB3" w14:textId="77777777" w:rsidR="00E53A97" w:rsidRDefault="00E53A97" w:rsidP="00E53A97">
      <w:pPr>
        <w:pStyle w:val="NormalWeb"/>
        <w:numPr>
          <w:ilvl w:val="0"/>
          <w:numId w:val="18"/>
        </w:numPr>
      </w:pPr>
      <w:r>
        <w:t>Years of Professional Experience</w:t>
      </w:r>
    </w:p>
    <w:p w14:paraId="503C505A" w14:textId="77777777" w:rsidR="00E53A97" w:rsidRDefault="00E53A97" w:rsidP="00E53A97">
      <w:pPr>
        <w:pStyle w:val="NormalWeb"/>
        <w:numPr>
          <w:ilvl w:val="0"/>
          <w:numId w:val="18"/>
        </w:numPr>
      </w:pPr>
      <w:r>
        <w:t>Professional Satisfaction Level (Measured on a 1-5 scale)</w:t>
      </w:r>
    </w:p>
    <w:p w14:paraId="34E3790B" w14:textId="77777777" w:rsidR="00E53A97" w:rsidRDefault="00E53A97" w:rsidP="00E53A97">
      <w:pPr>
        <w:pStyle w:val="NormalWeb"/>
        <w:numPr>
          <w:ilvl w:val="0"/>
          <w:numId w:val="18"/>
        </w:numPr>
      </w:pPr>
      <w:r>
        <w:t>Presence of Assistant/Auxiliary Staff</w:t>
      </w:r>
    </w:p>
    <w:p w14:paraId="15A76780" w14:textId="77777777" w:rsidR="00E53A97" w:rsidRDefault="00E53A97" w:rsidP="00E53A97">
      <w:pPr>
        <w:pStyle w:val="NormalWeb"/>
        <w:numPr>
          <w:ilvl w:val="0"/>
          <w:numId w:val="18"/>
        </w:numPr>
      </w:pPr>
      <w:r>
        <w:t>Work-related Health Problems in the Last Year</w:t>
      </w:r>
    </w:p>
    <w:p w14:paraId="523A5E6F" w14:textId="77777777" w:rsidR="00E53A97" w:rsidRDefault="00E53A97" w:rsidP="00E53A97">
      <w:pPr>
        <w:pStyle w:val="NormalWeb"/>
        <w:numPr>
          <w:ilvl w:val="0"/>
          <w:numId w:val="18"/>
        </w:numPr>
      </w:pPr>
      <w:r>
        <w:t>Intention to Change Profession (in the last 6 months)</w:t>
      </w:r>
    </w:p>
    <w:p w14:paraId="2445A65C" w14:textId="77777777" w:rsidR="00E53A97" w:rsidRDefault="00E53A97" w:rsidP="00E53A97">
      <w:pPr>
        <w:pStyle w:val="NormalWeb"/>
        <w:numPr>
          <w:ilvl w:val="0"/>
          <w:numId w:val="18"/>
        </w:numPr>
      </w:pPr>
      <w:r>
        <w:t>Impact of Communication Problems (Measured on a scale from 'none' to 'extreme')</w:t>
      </w:r>
    </w:p>
    <w:p w14:paraId="1F0BEFB1" w14:textId="77777777" w:rsidR="00E53A97" w:rsidRDefault="00E53A97" w:rsidP="00E53A97">
      <w:pPr>
        <w:pStyle w:val="NormalWeb"/>
        <w:numPr>
          <w:ilvl w:val="0"/>
          <w:numId w:val="18"/>
        </w:numPr>
      </w:pPr>
      <w:r>
        <w:t>Number of Work-Related Training/Seminars Attended</w:t>
      </w:r>
    </w:p>
    <w:p w14:paraId="27F70BBB" w14:textId="77777777" w:rsidR="00E53A97" w:rsidRDefault="00E53A97" w:rsidP="00E53A97">
      <w:pPr>
        <w:pStyle w:val="NormalWeb"/>
        <w:numPr>
          <w:ilvl w:val="0"/>
          <w:numId w:val="18"/>
        </w:numPr>
      </w:pPr>
      <w:r>
        <w:t>Feeling of Professional Loneliness (Measured on a 1-5 scale)</w:t>
      </w:r>
    </w:p>
    <w:p w14:paraId="4B89C1C6" w14:textId="77777777" w:rsidR="00E53A97" w:rsidRDefault="00E53A97" w:rsidP="00E53A97">
      <w:pPr>
        <w:pStyle w:val="Heading4"/>
      </w:pPr>
      <w:r>
        <w:t>Section II: Maslach Burnout Inventory (MBI-Human Services Survey)</w:t>
      </w:r>
    </w:p>
    <w:p w14:paraId="7EDBB5A6" w14:textId="77777777" w:rsidR="00E53A97" w:rsidRDefault="00E53A97" w:rsidP="00E53A97">
      <w:pPr>
        <w:pStyle w:val="NormalWeb"/>
      </w:pPr>
      <w:r>
        <w:t>The second section utilized the Maslach Burnout Inventory (MBI-HSS), a widely accepted scale for measuring occupational burnout. The MBI is comprised of 22 items and assesses burnout across three sub-dimensions:</w:t>
      </w:r>
    </w:p>
    <w:p w14:paraId="4DD490A6" w14:textId="77777777" w:rsidR="00E53A97" w:rsidRDefault="00E53A97" w:rsidP="00E53A97">
      <w:pPr>
        <w:pStyle w:val="NormalWeb"/>
        <w:numPr>
          <w:ilvl w:val="0"/>
          <w:numId w:val="19"/>
        </w:numPr>
      </w:pPr>
      <w:r>
        <w:rPr>
          <w:b/>
          <w:bCs/>
        </w:rPr>
        <w:t>Emotional Exhaustion (EE):</w:t>
      </w:r>
      <w:r>
        <w:t xml:space="preserve"> 7 items</w:t>
      </w:r>
    </w:p>
    <w:p w14:paraId="6EBE0725" w14:textId="77777777" w:rsidR="00E53A97" w:rsidRDefault="00E53A97" w:rsidP="00E53A97">
      <w:pPr>
        <w:pStyle w:val="NormalWeb"/>
        <w:numPr>
          <w:ilvl w:val="0"/>
          <w:numId w:val="19"/>
        </w:numPr>
      </w:pPr>
      <w:r>
        <w:rPr>
          <w:b/>
          <w:bCs/>
        </w:rPr>
        <w:t>Depersonalization (DP):</w:t>
      </w:r>
      <w:r>
        <w:t xml:space="preserve"> 7 items</w:t>
      </w:r>
    </w:p>
    <w:p w14:paraId="0B25044A" w14:textId="77777777" w:rsidR="00E53A97" w:rsidRDefault="00E53A97" w:rsidP="00E53A97">
      <w:pPr>
        <w:pStyle w:val="NormalWeb"/>
        <w:numPr>
          <w:ilvl w:val="0"/>
          <w:numId w:val="19"/>
        </w:numPr>
      </w:pPr>
      <w:r>
        <w:rPr>
          <w:b/>
          <w:bCs/>
        </w:rPr>
        <w:t>Personal Accomplishment (PA):</w:t>
      </w:r>
      <w:r>
        <w:t xml:space="preserve"> 8 items</w:t>
      </w:r>
    </w:p>
    <w:p w14:paraId="26224973" w14:textId="77777777" w:rsidR="00E53A97" w:rsidRDefault="00E53A97" w:rsidP="00E53A97">
      <w:pPr>
        <w:pStyle w:val="Heading3"/>
      </w:pPr>
      <w:r>
        <w:t>3.4. Data Analysis</w:t>
      </w:r>
    </w:p>
    <w:p w14:paraId="0C688DF5" w14:textId="77777777" w:rsidR="00E53A97" w:rsidRDefault="00E53A97" w:rsidP="00E53A97">
      <w:pPr>
        <w:pStyle w:val="NormalWeb"/>
      </w:pPr>
      <w:r>
        <w:lastRenderedPageBreak/>
        <w:t xml:space="preserve">The collected data were analyzed using the </w:t>
      </w:r>
      <w:r>
        <w:rPr>
          <w:b/>
          <w:bCs/>
        </w:rPr>
        <w:t>SPSS (Statistical Package for the Social Sciences) version 25.0</w:t>
      </w:r>
      <w:r>
        <w:t xml:space="preserve"> software. Descriptive statistics (mean, standard deviation, frequency, and percentage) were used to summarize the data. To determine differences between groups, the </w:t>
      </w:r>
      <w:r>
        <w:rPr>
          <w:b/>
          <w:bCs/>
        </w:rPr>
        <w:t>Independent Samples t-test</w:t>
      </w:r>
      <w:r>
        <w:t xml:space="preserve"> was applied for two-group comparisons, and </w:t>
      </w:r>
      <w:r>
        <w:rPr>
          <w:b/>
          <w:bCs/>
        </w:rPr>
        <w:t>One-Way Analysis of Variance (ANOVA)</w:t>
      </w:r>
      <w:r>
        <w:t xml:space="preserve"> was used for comparisons involving three or more groups.</w:t>
      </w:r>
    </w:p>
    <w:p w14:paraId="100E229F" w14:textId="1F7868F2" w:rsidR="00F262EF" w:rsidRDefault="00F262EF" w:rsidP="00F262EF">
      <w:pPr>
        <w:spacing w:after="120"/>
        <w:rPr>
          <w:color w:val="1B1C1D"/>
        </w:rPr>
      </w:pPr>
    </w:p>
    <w:p w14:paraId="0952E417" w14:textId="736A3051" w:rsidR="00F262EF" w:rsidRDefault="00F262EF" w:rsidP="00F262EF">
      <w:pPr>
        <w:pStyle w:val="Heading2"/>
        <w:spacing w:after="120" w:afterAutospacing="0"/>
        <w:rPr>
          <w:color w:val="1B1C1D"/>
        </w:rPr>
      </w:pPr>
      <w:r>
        <w:rPr>
          <w:color w:val="1B1C1D"/>
        </w:rPr>
        <w:t xml:space="preserve">4. RESULTS </w:t>
      </w:r>
    </w:p>
    <w:p w14:paraId="7E09CA1E" w14:textId="77777777" w:rsidR="00F262EF" w:rsidRDefault="00F262EF" w:rsidP="00F262EF">
      <w:pPr>
        <w:pStyle w:val="NormalWeb"/>
      </w:pPr>
      <w:r>
        <w:t xml:space="preserve">The study involved a total of </w:t>
      </w:r>
      <w:r>
        <w:rPr>
          <w:b/>
          <w:bCs/>
        </w:rPr>
        <w:t>106 participants</w:t>
      </w:r>
      <w:r>
        <w:t xml:space="preserve"> and the data analysis includes the frequency and percentage distributions of demographic variables, followed by descriptive statistics based on key subgroups (gender, age, marital status, and work setting).</w:t>
      </w:r>
    </w:p>
    <w:p w14:paraId="589BD87C" w14:textId="77777777" w:rsidR="00F262EF" w:rsidRDefault="00F262EF" w:rsidP="00F262EF">
      <w:pPr>
        <w:pStyle w:val="Heading3"/>
      </w:pPr>
      <w:r>
        <w:t>4.1. Demographic Characteristics of the Sample</w:t>
      </w:r>
    </w:p>
    <w:p w14:paraId="6DCCE2FD" w14:textId="77777777" w:rsidR="00F262EF" w:rsidRDefault="00F262EF" w:rsidP="00F262EF">
      <w:pPr>
        <w:pStyle w:val="NormalWeb"/>
      </w:pPr>
      <w:r>
        <w:t xml:space="preserve">The majority of the participants were female (55.7%), and the age distribution was concentrated in the younger groups (20-29 years: 38.7%; 30-39 years: 39.6%). Regarding the work setting, the largest group worked in a private hospital/clinic (35.8%), followed by private practice (31.1%). The sample was predominantly composed of general dentists (79.2%). The distribution of participants across different demographic and professional categories is detailed in </w:t>
      </w:r>
      <w:r>
        <w:rPr>
          <w:b/>
          <w:bCs/>
        </w:rPr>
        <w:t>Table 1</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1029"/>
      </w:tblGrid>
      <w:tr w:rsidR="00F262EF" w14:paraId="552D8B3B" w14:textId="77777777" w:rsidTr="007B0C8F">
        <w:trPr>
          <w:tblHeader/>
          <w:tblCellSpacing w:w="15" w:type="dxa"/>
        </w:trPr>
        <w:tc>
          <w:tcPr>
            <w:tcW w:w="0" w:type="auto"/>
            <w:vAlign w:val="center"/>
            <w:hideMark/>
          </w:tcPr>
          <w:p w14:paraId="682CEADC" w14:textId="77777777" w:rsidR="00F262EF" w:rsidRDefault="00F262EF" w:rsidP="007B0C8F">
            <w:r>
              <w:t>Table 1. Demographic Characteristics of the Participants (N=106)</w:t>
            </w:r>
          </w:p>
        </w:tc>
        <w:tc>
          <w:tcPr>
            <w:tcW w:w="0" w:type="auto"/>
            <w:vAlign w:val="center"/>
            <w:hideMark/>
          </w:tcPr>
          <w:p w14:paraId="1E3AE9F1" w14:textId="77777777" w:rsidR="00F262EF" w:rsidRDefault="00F262EF" w:rsidP="007B0C8F"/>
        </w:tc>
      </w:tr>
      <w:tr w:rsidR="00F262EF" w14:paraId="4567AB1F" w14:textId="77777777" w:rsidTr="007B0C8F">
        <w:trPr>
          <w:tblCellSpacing w:w="15" w:type="dxa"/>
        </w:trPr>
        <w:tc>
          <w:tcPr>
            <w:tcW w:w="0" w:type="auto"/>
            <w:vAlign w:val="center"/>
            <w:hideMark/>
          </w:tcPr>
          <w:p w14:paraId="4F43379D" w14:textId="77777777" w:rsidR="00F262EF" w:rsidRDefault="00F262EF" w:rsidP="007B0C8F">
            <w:pPr>
              <w:rPr>
                <w:sz w:val="24"/>
                <w:szCs w:val="24"/>
              </w:rPr>
            </w:pPr>
            <w:r>
              <w:rPr>
                <w:b/>
                <w:bCs/>
              </w:rPr>
              <w:t>Variable</w:t>
            </w:r>
          </w:p>
        </w:tc>
        <w:tc>
          <w:tcPr>
            <w:tcW w:w="0" w:type="auto"/>
            <w:vAlign w:val="center"/>
            <w:hideMark/>
          </w:tcPr>
          <w:p w14:paraId="60B9726D" w14:textId="77777777" w:rsidR="00F262EF" w:rsidRDefault="00F262EF" w:rsidP="007B0C8F">
            <w:r>
              <w:rPr>
                <w:b/>
                <w:bCs/>
              </w:rPr>
              <w:t>n (%)</w:t>
            </w:r>
          </w:p>
        </w:tc>
      </w:tr>
      <w:tr w:rsidR="00F262EF" w14:paraId="62BCAAA4" w14:textId="77777777" w:rsidTr="007B0C8F">
        <w:trPr>
          <w:tblCellSpacing w:w="15" w:type="dxa"/>
        </w:trPr>
        <w:tc>
          <w:tcPr>
            <w:tcW w:w="0" w:type="auto"/>
            <w:vAlign w:val="center"/>
            <w:hideMark/>
          </w:tcPr>
          <w:p w14:paraId="351C90D7" w14:textId="77777777" w:rsidR="00F262EF" w:rsidRDefault="00F262EF" w:rsidP="007B0C8F">
            <w:r>
              <w:rPr>
                <w:b/>
                <w:bCs/>
              </w:rPr>
              <w:t>Gender</w:t>
            </w:r>
          </w:p>
        </w:tc>
        <w:tc>
          <w:tcPr>
            <w:tcW w:w="0" w:type="auto"/>
            <w:vAlign w:val="center"/>
            <w:hideMark/>
          </w:tcPr>
          <w:p w14:paraId="23ED5403" w14:textId="77777777" w:rsidR="00F262EF" w:rsidRDefault="00F262EF" w:rsidP="007B0C8F"/>
        </w:tc>
      </w:tr>
      <w:tr w:rsidR="00F262EF" w14:paraId="0DED28CA" w14:textId="77777777" w:rsidTr="007B0C8F">
        <w:trPr>
          <w:tblCellSpacing w:w="15" w:type="dxa"/>
        </w:trPr>
        <w:tc>
          <w:tcPr>
            <w:tcW w:w="0" w:type="auto"/>
            <w:vAlign w:val="center"/>
            <w:hideMark/>
          </w:tcPr>
          <w:p w14:paraId="7AEB2E37" w14:textId="77777777" w:rsidR="00F262EF" w:rsidRDefault="00F262EF" w:rsidP="007B0C8F">
            <w:pPr>
              <w:rPr>
                <w:sz w:val="24"/>
                <w:szCs w:val="24"/>
              </w:rPr>
            </w:pPr>
            <w:r>
              <w:t>Female</w:t>
            </w:r>
          </w:p>
        </w:tc>
        <w:tc>
          <w:tcPr>
            <w:tcW w:w="0" w:type="auto"/>
            <w:vAlign w:val="center"/>
            <w:hideMark/>
          </w:tcPr>
          <w:p w14:paraId="2B58EF9D" w14:textId="77777777" w:rsidR="00F262EF" w:rsidRDefault="00F262EF" w:rsidP="007B0C8F">
            <w:r>
              <w:t>59 (55.7%)</w:t>
            </w:r>
          </w:p>
        </w:tc>
      </w:tr>
      <w:tr w:rsidR="00F262EF" w14:paraId="45D7E0F7" w14:textId="77777777" w:rsidTr="007B0C8F">
        <w:trPr>
          <w:tblCellSpacing w:w="15" w:type="dxa"/>
        </w:trPr>
        <w:tc>
          <w:tcPr>
            <w:tcW w:w="0" w:type="auto"/>
            <w:vAlign w:val="center"/>
            <w:hideMark/>
          </w:tcPr>
          <w:p w14:paraId="5E427D2F" w14:textId="77777777" w:rsidR="00F262EF" w:rsidRDefault="00F262EF" w:rsidP="007B0C8F">
            <w:r>
              <w:t>Male</w:t>
            </w:r>
          </w:p>
        </w:tc>
        <w:tc>
          <w:tcPr>
            <w:tcW w:w="0" w:type="auto"/>
            <w:vAlign w:val="center"/>
            <w:hideMark/>
          </w:tcPr>
          <w:p w14:paraId="37C96FEE" w14:textId="77777777" w:rsidR="00F262EF" w:rsidRDefault="00F262EF" w:rsidP="007B0C8F">
            <w:r>
              <w:t>47 (44.3%)</w:t>
            </w:r>
          </w:p>
        </w:tc>
      </w:tr>
      <w:tr w:rsidR="00F262EF" w14:paraId="0D840244" w14:textId="77777777" w:rsidTr="007B0C8F">
        <w:trPr>
          <w:tblCellSpacing w:w="15" w:type="dxa"/>
        </w:trPr>
        <w:tc>
          <w:tcPr>
            <w:tcW w:w="0" w:type="auto"/>
            <w:vAlign w:val="center"/>
            <w:hideMark/>
          </w:tcPr>
          <w:p w14:paraId="05DE45F7" w14:textId="77777777" w:rsidR="00F262EF" w:rsidRDefault="00F262EF" w:rsidP="007B0C8F">
            <w:r>
              <w:rPr>
                <w:b/>
                <w:bCs/>
              </w:rPr>
              <w:t>Age Group</w:t>
            </w:r>
          </w:p>
        </w:tc>
        <w:tc>
          <w:tcPr>
            <w:tcW w:w="0" w:type="auto"/>
            <w:vAlign w:val="center"/>
            <w:hideMark/>
          </w:tcPr>
          <w:p w14:paraId="3B2ECD3A" w14:textId="77777777" w:rsidR="00F262EF" w:rsidRDefault="00F262EF" w:rsidP="007B0C8F"/>
        </w:tc>
      </w:tr>
      <w:tr w:rsidR="00F262EF" w14:paraId="194B72B1" w14:textId="77777777" w:rsidTr="007B0C8F">
        <w:trPr>
          <w:tblCellSpacing w:w="15" w:type="dxa"/>
        </w:trPr>
        <w:tc>
          <w:tcPr>
            <w:tcW w:w="0" w:type="auto"/>
            <w:vAlign w:val="center"/>
            <w:hideMark/>
          </w:tcPr>
          <w:p w14:paraId="1C57962A" w14:textId="77777777" w:rsidR="00F262EF" w:rsidRDefault="00F262EF" w:rsidP="007B0C8F">
            <w:pPr>
              <w:rPr>
                <w:sz w:val="24"/>
                <w:szCs w:val="24"/>
              </w:rPr>
            </w:pPr>
            <w:r>
              <w:t>20–29 years</w:t>
            </w:r>
          </w:p>
        </w:tc>
        <w:tc>
          <w:tcPr>
            <w:tcW w:w="0" w:type="auto"/>
            <w:vAlign w:val="center"/>
            <w:hideMark/>
          </w:tcPr>
          <w:p w14:paraId="67288A38" w14:textId="77777777" w:rsidR="00F262EF" w:rsidRDefault="00F262EF" w:rsidP="007B0C8F">
            <w:r>
              <w:t>41 (38.7%)</w:t>
            </w:r>
          </w:p>
        </w:tc>
      </w:tr>
      <w:tr w:rsidR="00F262EF" w14:paraId="6129369A" w14:textId="77777777" w:rsidTr="007B0C8F">
        <w:trPr>
          <w:tblCellSpacing w:w="15" w:type="dxa"/>
        </w:trPr>
        <w:tc>
          <w:tcPr>
            <w:tcW w:w="0" w:type="auto"/>
            <w:vAlign w:val="center"/>
            <w:hideMark/>
          </w:tcPr>
          <w:p w14:paraId="7E7BBCCD" w14:textId="77777777" w:rsidR="00F262EF" w:rsidRDefault="00F262EF" w:rsidP="007B0C8F">
            <w:r>
              <w:t>30–39 years</w:t>
            </w:r>
          </w:p>
        </w:tc>
        <w:tc>
          <w:tcPr>
            <w:tcW w:w="0" w:type="auto"/>
            <w:vAlign w:val="center"/>
            <w:hideMark/>
          </w:tcPr>
          <w:p w14:paraId="6C06EFC5" w14:textId="77777777" w:rsidR="00F262EF" w:rsidRDefault="00F262EF" w:rsidP="007B0C8F">
            <w:r>
              <w:t>42 (39.6%)</w:t>
            </w:r>
          </w:p>
        </w:tc>
      </w:tr>
      <w:tr w:rsidR="00F262EF" w14:paraId="7E0C6CE0" w14:textId="77777777" w:rsidTr="007B0C8F">
        <w:trPr>
          <w:tblCellSpacing w:w="15" w:type="dxa"/>
        </w:trPr>
        <w:tc>
          <w:tcPr>
            <w:tcW w:w="0" w:type="auto"/>
            <w:vAlign w:val="center"/>
            <w:hideMark/>
          </w:tcPr>
          <w:p w14:paraId="05208A4A" w14:textId="77777777" w:rsidR="00F262EF" w:rsidRDefault="00F262EF" w:rsidP="007B0C8F">
            <w:r>
              <w:t>40–49 years</w:t>
            </w:r>
          </w:p>
        </w:tc>
        <w:tc>
          <w:tcPr>
            <w:tcW w:w="0" w:type="auto"/>
            <w:vAlign w:val="center"/>
            <w:hideMark/>
          </w:tcPr>
          <w:p w14:paraId="4C65F247" w14:textId="77777777" w:rsidR="00F262EF" w:rsidRDefault="00F262EF" w:rsidP="007B0C8F">
            <w:r>
              <w:t>15 (14.2%)</w:t>
            </w:r>
          </w:p>
        </w:tc>
      </w:tr>
      <w:tr w:rsidR="00F262EF" w14:paraId="66C5BFF5" w14:textId="77777777" w:rsidTr="007B0C8F">
        <w:trPr>
          <w:tblCellSpacing w:w="15" w:type="dxa"/>
        </w:trPr>
        <w:tc>
          <w:tcPr>
            <w:tcW w:w="0" w:type="auto"/>
            <w:vAlign w:val="center"/>
            <w:hideMark/>
          </w:tcPr>
          <w:p w14:paraId="3DB9BA79" w14:textId="77777777" w:rsidR="00F262EF" w:rsidRDefault="00F262EF" w:rsidP="007B0C8F">
            <w:r>
              <w:t>50–59 years</w:t>
            </w:r>
          </w:p>
        </w:tc>
        <w:tc>
          <w:tcPr>
            <w:tcW w:w="0" w:type="auto"/>
            <w:vAlign w:val="center"/>
            <w:hideMark/>
          </w:tcPr>
          <w:p w14:paraId="1933796B" w14:textId="77777777" w:rsidR="00F262EF" w:rsidRDefault="00F262EF" w:rsidP="007B0C8F">
            <w:r>
              <w:t>7 (6.6%)</w:t>
            </w:r>
          </w:p>
        </w:tc>
      </w:tr>
      <w:tr w:rsidR="00F262EF" w14:paraId="261351E1" w14:textId="77777777" w:rsidTr="007B0C8F">
        <w:trPr>
          <w:tblCellSpacing w:w="15" w:type="dxa"/>
        </w:trPr>
        <w:tc>
          <w:tcPr>
            <w:tcW w:w="0" w:type="auto"/>
            <w:vAlign w:val="center"/>
            <w:hideMark/>
          </w:tcPr>
          <w:p w14:paraId="4B61FBC9" w14:textId="77777777" w:rsidR="00F262EF" w:rsidRDefault="00F262EF" w:rsidP="007B0C8F">
            <w:r>
              <w:rPr>
                <w:b/>
                <w:bCs/>
              </w:rPr>
              <w:lastRenderedPageBreak/>
              <w:t>Work Setting</w:t>
            </w:r>
          </w:p>
        </w:tc>
        <w:tc>
          <w:tcPr>
            <w:tcW w:w="0" w:type="auto"/>
            <w:vAlign w:val="center"/>
            <w:hideMark/>
          </w:tcPr>
          <w:p w14:paraId="09052970" w14:textId="77777777" w:rsidR="00F262EF" w:rsidRDefault="00F262EF" w:rsidP="007B0C8F"/>
        </w:tc>
      </w:tr>
      <w:tr w:rsidR="00F262EF" w14:paraId="2545080F" w14:textId="77777777" w:rsidTr="007B0C8F">
        <w:trPr>
          <w:tblCellSpacing w:w="15" w:type="dxa"/>
        </w:trPr>
        <w:tc>
          <w:tcPr>
            <w:tcW w:w="0" w:type="auto"/>
            <w:vAlign w:val="center"/>
            <w:hideMark/>
          </w:tcPr>
          <w:p w14:paraId="4E38F450" w14:textId="77777777" w:rsidR="00F262EF" w:rsidRDefault="00F262EF" w:rsidP="007B0C8F">
            <w:pPr>
              <w:rPr>
                <w:sz w:val="24"/>
                <w:szCs w:val="24"/>
              </w:rPr>
            </w:pPr>
            <w:r>
              <w:t xml:space="preserve">Private Practice </w:t>
            </w:r>
          </w:p>
        </w:tc>
        <w:tc>
          <w:tcPr>
            <w:tcW w:w="0" w:type="auto"/>
            <w:vAlign w:val="center"/>
            <w:hideMark/>
          </w:tcPr>
          <w:p w14:paraId="7A017727" w14:textId="77777777" w:rsidR="00F262EF" w:rsidRDefault="00F262EF" w:rsidP="007B0C8F">
            <w:r>
              <w:t>33 (31.1%)</w:t>
            </w:r>
          </w:p>
        </w:tc>
      </w:tr>
      <w:tr w:rsidR="00F262EF" w14:paraId="00F285D8" w14:textId="77777777" w:rsidTr="007B0C8F">
        <w:trPr>
          <w:tblCellSpacing w:w="15" w:type="dxa"/>
        </w:trPr>
        <w:tc>
          <w:tcPr>
            <w:tcW w:w="0" w:type="auto"/>
            <w:vAlign w:val="center"/>
            <w:hideMark/>
          </w:tcPr>
          <w:p w14:paraId="6452E8B6" w14:textId="77777777" w:rsidR="00F262EF" w:rsidRDefault="00F262EF" w:rsidP="007B0C8F">
            <w:r>
              <w:t>State Hospital / ADSM</w:t>
            </w:r>
          </w:p>
        </w:tc>
        <w:tc>
          <w:tcPr>
            <w:tcW w:w="0" w:type="auto"/>
            <w:vAlign w:val="center"/>
            <w:hideMark/>
          </w:tcPr>
          <w:p w14:paraId="5BB66FF9" w14:textId="77777777" w:rsidR="00F262EF" w:rsidRDefault="00F262EF" w:rsidP="007B0C8F">
            <w:r>
              <w:t>12 (11.3%)</w:t>
            </w:r>
          </w:p>
        </w:tc>
      </w:tr>
      <w:tr w:rsidR="00F262EF" w14:paraId="1A6CD0D1" w14:textId="77777777" w:rsidTr="007B0C8F">
        <w:trPr>
          <w:tblCellSpacing w:w="15" w:type="dxa"/>
        </w:trPr>
        <w:tc>
          <w:tcPr>
            <w:tcW w:w="0" w:type="auto"/>
            <w:vAlign w:val="center"/>
            <w:hideMark/>
          </w:tcPr>
          <w:p w14:paraId="73054F89" w14:textId="77777777" w:rsidR="00F262EF" w:rsidRDefault="00F262EF" w:rsidP="007B0C8F">
            <w:r>
              <w:t>University Hospital</w:t>
            </w:r>
          </w:p>
        </w:tc>
        <w:tc>
          <w:tcPr>
            <w:tcW w:w="0" w:type="auto"/>
            <w:vAlign w:val="center"/>
            <w:hideMark/>
          </w:tcPr>
          <w:p w14:paraId="2DC93115" w14:textId="77777777" w:rsidR="00F262EF" w:rsidRDefault="00F262EF" w:rsidP="007B0C8F">
            <w:r>
              <w:t>22 (20.8%)</w:t>
            </w:r>
          </w:p>
        </w:tc>
      </w:tr>
      <w:tr w:rsidR="00F262EF" w14:paraId="403D25B4" w14:textId="77777777" w:rsidTr="007B0C8F">
        <w:trPr>
          <w:tblCellSpacing w:w="15" w:type="dxa"/>
        </w:trPr>
        <w:tc>
          <w:tcPr>
            <w:tcW w:w="0" w:type="auto"/>
            <w:vAlign w:val="center"/>
            <w:hideMark/>
          </w:tcPr>
          <w:p w14:paraId="5B93A1C3" w14:textId="77777777" w:rsidR="00F262EF" w:rsidRDefault="00F262EF" w:rsidP="007B0C8F">
            <w:r>
              <w:t>Private Hospital / Clinic</w:t>
            </w:r>
          </w:p>
        </w:tc>
        <w:tc>
          <w:tcPr>
            <w:tcW w:w="0" w:type="auto"/>
            <w:vAlign w:val="center"/>
            <w:hideMark/>
          </w:tcPr>
          <w:p w14:paraId="49B1ACC0" w14:textId="77777777" w:rsidR="00F262EF" w:rsidRDefault="00F262EF" w:rsidP="007B0C8F">
            <w:r>
              <w:t>38 (35.8%)</w:t>
            </w:r>
          </w:p>
        </w:tc>
      </w:tr>
      <w:tr w:rsidR="00F262EF" w14:paraId="63A008EC" w14:textId="77777777" w:rsidTr="007B0C8F">
        <w:trPr>
          <w:tblCellSpacing w:w="15" w:type="dxa"/>
        </w:trPr>
        <w:tc>
          <w:tcPr>
            <w:tcW w:w="0" w:type="auto"/>
            <w:vAlign w:val="center"/>
            <w:hideMark/>
          </w:tcPr>
          <w:p w14:paraId="04DC5012" w14:textId="77777777" w:rsidR="00F262EF" w:rsidRDefault="00F262EF" w:rsidP="007B0C8F">
            <w:r>
              <w:t>Institutional Oral and Dental Health Center</w:t>
            </w:r>
          </w:p>
        </w:tc>
        <w:tc>
          <w:tcPr>
            <w:tcW w:w="0" w:type="auto"/>
            <w:vAlign w:val="center"/>
            <w:hideMark/>
          </w:tcPr>
          <w:p w14:paraId="12F888AD" w14:textId="77777777" w:rsidR="00F262EF" w:rsidRDefault="00F262EF" w:rsidP="007B0C8F">
            <w:r>
              <w:t>1 (0.9%)</w:t>
            </w:r>
          </w:p>
        </w:tc>
      </w:tr>
      <w:tr w:rsidR="00F262EF" w14:paraId="2999BED8" w14:textId="77777777" w:rsidTr="007B0C8F">
        <w:trPr>
          <w:tblCellSpacing w:w="15" w:type="dxa"/>
        </w:trPr>
        <w:tc>
          <w:tcPr>
            <w:tcW w:w="0" w:type="auto"/>
            <w:vAlign w:val="center"/>
            <w:hideMark/>
          </w:tcPr>
          <w:p w14:paraId="0D8328CB" w14:textId="77777777" w:rsidR="00F262EF" w:rsidRDefault="00F262EF" w:rsidP="007B0C8F">
            <w:r>
              <w:rPr>
                <w:b/>
                <w:bCs/>
              </w:rPr>
              <w:t>Specialist Status</w:t>
            </w:r>
          </w:p>
        </w:tc>
        <w:tc>
          <w:tcPr>
            <w:tcW w:w="0" w:type="auto"/>
            <w:vAlign w:val="center"/>
            <w:hideMark/>
          </w:tcPr>
          <w:p w14:paraId="7BC0AC2A" w14:textId="77777777" w:rsidR="00F262EF" w:rsidRDefault="00F262EF" w:rsidP="007B0C8F"/>
        </w:tc>
      </w:tr>
      <w:tr w:rsidR="00F262EF" w14:paraId="3CFC4996" w14:textId="77777777" w:rsidTr="007B0C8F">
        <w:trPr>
          <w:tblCellSpacing w:w="15" w:type="dxa"/>
        </w:trPr>
        <w:tc>
          <w:tcPr>
            <w:tcW w:w="0" w:type="auto"/>
            <w:vAlign w:val="center"/>
            <w:hideMark/>
          </w:tcPr>
          <w:p w14:paraId="0A3B3A6A" w14:textId="77777777" w:rsidR="00F262EF" w:rsidRDefault="00F262EF" w:rsidP="007B0C8F">
            <w:pPr>
              <w:rPr>
                <w:sz w:val="24"/>
                <w:szCs w:val="24"/>
              </w:rPr>
            </w:pPr>
            <w:r>
              <w:t>General Dentist</w:t>
            </w:r>
          </w:p>
        </w:tc>
        <w:tc>
          <w:tcPr>
            <w:tcW w:w="0" w:type="auto"/>
            <w:vAlign w:val="center"/>
            <w:hideMark/>
          </w:tcPr>
          <w:p w14:paraId="1D3CB519" w14:textId="77777777" w:rsidR="00F262EF" w:rsidRDefault="00F262EF" w:rsidP="007B0C8F">
            <w:r>
              <w:t>84 (79.2%)</w:t>
            </w:r>
          </w:p>
        </w:tc>
      </w:tr>
      <w:tr w:rsidR="00F262EF" w14:paraId="0BE31103" w14:textId="77777777" w:rsidTr="007B0C8F">
        <w:trPr>
          <w:tblCellSpacing w:w="15" w:type="dxa"/>
        </w:trPr>
        <w:tc>
          <w:tcPr>
            <w:tcW w:w="0" w:type="auto"/>
            <w:vAlign w:val="center"/>
            <w:hideMark/>
          </w:tcPr>
          <w:p w14:paraId="359FE09A" w14:textId="77777777" w:rsidR="00F262EF" w:rsidRDefault="00F262EF" w:rsidP="007B0C8F">
            <w:r>
              <w:t>Specialist Dentist</w:t>
            </w:r>
          </w:p>
        </w:tc>
        <w:tc>
          <w:tcPr>
            <w:tcW w:w="0" w:type="auto"/>
            <w:vAlign w:val="center"/>
            <w:hideMark/>
          </w:tcPr>
          <w:p w14:paraId="51783701" w14:textId="77777777" w:rsidR="00F262EF" w:rsidRDefault="00F262EF" w:rsidP="007B0C8F">
            <w:r>
              <w:t>20 (18.9%)</w:t>
            </w:r>
          </w:p>
        </w:tc>
      </w:tr>
    </w:tbl>
    <w:p w14:paraId="211045EE" w14:textId="77777777" w:rsidR="00F262EF" w:rsidRDefault="00F262EF" w:rsidP="00F262EF">
      <w:pPr>
        <w:pStyle w:val="Heading3"/>
      </w:pPr>
      <w:r>
        <w:t>4.2. Analysis of Burnout Scores by Demographic Variables</w:t>
      </w:r>
    </w:p>
    <w:p w14:paraId="08578AE3" w14:textId="77777777" w:rsidR="00F262EF" w:rsidRDefault="00F262EF" w:rsidP="00F262EF">
      <w:pPr>
        <w:pStyle w:val="NormalWeb"/>
      </w:pPr>
      <w:r>
        <w:t>Descriptive statistics were calculated for the three MBI sub-dimensions: Emotional Exhaustion (EE), Depersonalization (DP), and Personal Accomplishment (PA), based on gender, age group, and marital status. (The MBI scores were presented on a 1-3 scale in the original analysis).</w:t>
      </w:r>
    </w:p>
    <w:p w14:paraId="2177EE9F" w14:textId="77777777" w:rsidR="00F262EF" w:rsidRDefault="00F262EF" w:rsidP="00F262EF">
      <w:pPr>
        <w:pStyle w:val="Heading4"/>
      </w:pPr>
      <w:r>
        <w:t>4.2.1. Burnout Scores by Gender</w:t>
      </w:r>
    </w:p>
    <w:p w14:paraId="110A2088" w14:textId="77777777" w:rsidR="00F262EF" w:rsidRDefault="00F262EF" w:rsidP="00F262EF">
      <w:pPr>
        <w:pStyle w:val="NormalWeb"/>
      </w:pPr>
      <w:r>
        <w:t>Descriptive statistics showed that female dentists reported slightly higher mean scores than male dentists across all three sub-dimensions, although the differences were small:</w:t>
      </w:r>
    </w:p>
    <w:p w14:paraId="4C8EC1EB" w14:textId="77777777" w:rsidR="00F262EF" w:rsidRDefault="00F262EF" w:rsidP="00F262EF">
      <w:pPr>
        <w:pStyle w:val="NormalWeb"/>
        <w:numPr>
          <w:ilvl w:val="0"/>
          <w:numId w:val="14"/>
        </w:numPr>
      </w:pPr>
      <w:r>
        <w:rPr>
          <w:b/>
          <w:bCs/>
        </w:rPr>
        <w:t>Emotional Exhaustion (EE / DT_düzey):</w:t>
      </w:r>
      <w:r>
        <w:t xml:space="preserve"> Females (</w:t>
      </w:r>
      <w:r>
        <w:rPr>
          <w:rStyle w:val="mord"/>
        </w:rPr>
        <w:t>Xˉ</w:t>
      </w:r>
      <w:r>
        <w:rPr>
          <w:rStyle w:val="mrel"/>
        </w:rPr>
        <w:t>=</w:t>
      </w:r>
      <w:r>
        <w:rPr>
          <w:rStyle w:val="mord"/>
        </w:rPr>
        <w:t>1.68</w:t>
      </w:r>
      <w:r>
        <w:t xml:space="preserve">, </w:t>
      </w:r>
      <w:r>
        <w:rPr>
          <w:rStyle w:val="mord"/>
        </w:rPr>
        <w:t>SD</w:t>
      </w:r>
      <w:r>
        <w:rPr>
          <w:rStyle w:val="mrel"/>
        </w:rPr>
        <w:t>=</w:t>
      </w:r>
      <w:r>
        <w:rPr>
          <w:rStyle w:val="mord"/>
        </w:rPr>
        <w:t>0.68</w:t>
      </w:r>
      <w:r>
        <w:t>) vs. Males (</w:t>
      </w:r>
      <w:r>
        <w:rPr>
          <w:rStyle w:val="mord"/>
        </w:rPr>
        <w:t>Xˉ</w:t>
      </w:r>
      <w:r>
        <w:rPr>
          <w:rStyle w:val="mrel"/>
        </w:rPr>
        <w:t>=</w:t>
      </w:r>
      <w:r>
        <w:rPr>
          <w:rStyle w:val="mord"/>
        </w:rPr>
        <w:t>1.55</w:t>
      </w:r>
      <w:r>
        <w:t xml:space="preserve">, </w:t>
      </w:r>
      <w:r>
        <w:rPr>
          <w:rStyle w:val="mord"/>
        </w:rPr>
        <w:t>SD</w:t>
      </w:r>
      <w:r>
        <w:rPr>
          <w:rStyle w:val="mrel"/>
        </w:rPr>
        <w:t>=</w:t>
      </w:r>
      <w:r>
        <w:rPr>
          <w:rStyle w:val="mord"/>
        </w:rPr>
        <w:t>0.72</w:t>
      </w:r>
      <w:r>
        <w:t>).</w:t>
      </w:r>
    </w:p>
    <w:p w14:paraId="1BB23D46" w14:textId="77777777" w:rsidR="00F262EF" w:rsidRDefault="00F262EF" w:rsidP="00F262EF">
      <w:pPr>
        <w:pStyle w:val="NormalWeb"/>
        <w:numPr>
          <w:ilvl w:val="0"/>
          <w:numId w:val="14"/>
        </w:numPr>
      </w:pPr>
      <w:r>
        <w:rPr>
          <w:b/>
          <w:bCs/>
        </w:rPr>
        <w:t>Depersonalization (DP / Duyarsız_düzey):</w:t>
      </w:r>
      <w:r>
        <w:t xml:space="preserve"> Females (</w:t>
      </w:r>
      <w:r>
        <w:rPr>
          <w:rStyle w:val="mord"/>
        </w:rPr>
        <w:t>Xˉ</w:t>
      </w:r>
      <w:r>
        <w:rPr>
          <w:rStyle w:val="mrel"/>
        </w:rPr>
        <w:t>=</w:t>
      </w:r>
      <w:r>
        <w:rPr>
          <w:rStyle w:val="mord"/>
        </w:rPr>
        <w:t>2.36</w:t>
      </w:r>
      <w:r>
        <w:t xml:space="preserve">, </w:t>
      </w:r>
      <w:r>
        <w:rPr>
          <w:rStyle w:val="mord"/>
        </w:rPr>
        <w:t>SD</w:t>
      </w:r>
      <w:r>
        <w:rPr>
          <w:rStyle w:val="mrel"/>
        </w:rPr>
        <w:t>=</w:t>
      </w:r>
      <w:r>
        <w:rPr>
          <w:rStyle w:val="mord"/>
        </w:rPr>
        <w:t>0.71</w:t>
      </w:r>
      <w:r>
        <w:t>) vs. Males (</w:t>
      </w:r>
      <w:r>
        <w:rPr>
          <w:rStyle w:val="mord"/>
        </w:rPr>
        <w:t>Xˉ</w:t>
      </w:r>
      <w:r>
        <w:rPr>
          <w:rStyle w:val="mrel"/>
        </w:rPr>
        <w:t>=</w:t>
      </w:r>
      <w:r>
        <w:rPr>
          <w:rStyle w:val="mord"/>
        </w:rPr>
        <w:t>2.21</w:t>
      </w:r>
      <w:r>
        <w:t xml:space="preserve">, </w:t>
      </w:r>
      <w:r>
        <w:rPr>
          <w:rStyle w:val="mord"/>
        </w:rPr>
        <w:t>SD</w:t>
      </w:r>
      <w:r>
        <w:rPr>
          <w:rStyle w:val="mrel"/>
        </w:rPr>
        <w:t>=</w:t>
      </w:r>
      <w:r>
        <w:rPr>
          <w:rStyle w:val="mord"/>
        </w:rPr>
        <w:t>0.78</w:t>
      </w:r>
      <w:r>
        <w:t>).</w:t>
      </w:r>
    </w:p>
    <w:p w14:paraId="1FE5654C" w14:textId="77777777" w:rsidR="00F262EF" w:rsidRDefault="00F262EF" w:rsidP="00F262EF">
      <w:pPr>
        <w:pStyle w:val="NormalWeb"/>
        <w:numPr>
          <w:ilvl w:val="0"/>
          <w:numId w:val="14"/>
        </w:numPr>
      </w:pPr>
      <w:r>
        <w:rPr>
          <w:b/>
          <w:bCs/>
        </w:rPr>
        <w:t>Personal Accomplishment (PA / KB_düzey):</w:t>
      </w:r>
      <w:r>
        <w:t xml:space="preserve"> Females (</w:t>
      </w:r>
      <w:r>
        <w:rPr>
          <w:rStyle w:val="mord"/>
        </w:rPr>
        <w:t>Xˉ</w:t>
      </w:r>
      <w:r>
        <w:rPr>
          <w:rStyle w:val="mrel"/>
        </w:rPr>
        <w:t>=</w:t>
      </w:r>
      <w:r>
        <w:rPr>
          <w:rStyle w:val="mord"/>
        </w:rPr>
        <w:t>2.00</w:t>
      </w:r>
      <w:r>
        <w:t xml:space="preserve">, </w:t>
      </w:r>
      <w:r>
        <w:rPr>
          <w:rStyle w:val="mord"/>
        </w:rPr>
        <w:t>SD</w:t>
      </w:r>
      <w:r>
        <w:rPr>
          <w:rStyle w:val="mrel"/>
        </w:rPr>
        <w:t>=</w:t>
      </w:r>
      <w:r>
        <w:rPr>
          <w:rStyle w:val="mord"/>
        </w:rPr>
        <w:t>0.79</w:t>
      </w:r>
      <w:r>
        <w:t>) vs. Males (</w:t>
      </w:r>
      <w:r>
        <w:rPr>
          <w:rStyle w:val="mord"/>
        </w:rPr>
        <w:t>Xˉ</w:t>
      </w:r>
      <w:r>
        <w:rPr>
          <w:rStyle w:val="mrel"/>
        </w:rPr>
        <w:t>=</w:t>
      </w:r>
      <w:r>
        <w:rPr>
          <w:rStyle w:val="mord"/>
        </w:rPr>
        <w:t>1.96</w:t>
      </w:r>
      <w:r>
        <w:t xml:space="preserve">, </w:t>
      </w:r>
      <w:r>
        <w:rPr>
          <w:rStyle w:val="mord"/>
        </w:rPr>
        <w:t>SD</w:t>
      </w:r>
      <w:r>
        <w:rPr>
          <w:rStyle w:val="mrel"/>
        </w:rPr>
        <w:t>=</w:t>
      </w:r>
      <w:r>
        <w:rPr>
          <w:rStyle w:val="mord"/>
        </w:rPr>
        <w:t>0.81</w:t>
      </w:r>
      <w:r>
        <w:t>).</w:t>
      </w:r>
    </w:p>
    <w:p w14:paraId="3E6BD74C" w14:textId="77777777" w:rsidR="00F262EF" w:rsidRDefault="00F262EF" w:rsidP="00F262EF">
      <w:pPr>
        <w:pStyle w:val="Heading4"/>
      </w:pPr>
      <w:r>
        <w:t>4.2.2. Burnout Scores by Age Group</w:t>
      </w:r>
    </w:p>
    <w:p w14:paraId="4A2F4B69" w14:textId="77777777" w:rsidR="00F262EF" w:rsidRDefault="00F262EF" w:rsidP="00F262EF">
      <w:pPr>
        <w:pStyle w:val="NormalWeb"/>
      </w:pPr>
      <w:r>
        <w:t>Significant variations were observed across age groups, particularly in the Personal Accomplishment (PA) dimension:</w:t>
      </w:r>
    </w:p>
    <w:p w14:paraId="136CDBF4" w14:textId="77777777" w:rsidR="00F262EF" w:rsidRDefault="00F262EF" w:rsidP="00F262EF">
      <w:pPr>
        <w:pStyle w:val="NormalWeb"/>
        <w:numPr>
          <w:ilvl w:val="0"/>
          <w:numId w:val="15"/>
        </w:numPr>
      </w:pPr>
      <w:r>
        <w:rPr>
          <w:b/>
          <w:bCs/>
        </w:rPr>
        <w:lastRenderedPageBreak/>
        <w:t>Personal Accomplishment (PA / KB_düzey):</w:t>
      </w:r>
      <w:r>
        <w:t xml:space="preserve"> The highest PA mean score was observed in the youngest group (20–29 years: </w:t>
      </w:r>
      <w:r>
        <w:rPr>
          <w:rStyle w:val="mord"/>
        </w:rPr>
        <w:t>Xˉ</w:t>
      </w:r>
      <w:r>
        <w:rPr>
          <w:rStyle w:val="mrel"/>
        </w:rPr>
        <w:t>=</w:t>
      </w:r>
      <w:r>
        <w:rPr>
          <w:rStyle w:val="mord"/>
        </w:rPr>
        <w:t>2.46</w:t>
      </w:r>
      <w:r>
        <w:t xml:space="preserve">, </w:t>
      </w:r>
      <w:r>
        <w:rPr>
          <w:rStyle w:val="mord"/>
        </w:rPr>
        <w:t>SD</w:t>
      </w:r>
      <w:r>
        <w:rPr>
          <w:rStyle w:val="mrel"/>
        </w:rPr>
        <w:t>=</w:t>
      </w:r>
      <w:r>
        <w:rPr>
          <w:rStyle w:val="mord"/>
        </w:rPr>
        <w:t>0.64</w:t>
      </w:r>
      <w:r>
        <w:t>), while the lowest was in the 40–49 age group (</w:t>
      </w:r>
      <w:r>
        <w:rPr>
          <w:rStyle w:val="mord"/>
        </w:rPr>
        <w:t>Xˉ</w:t>
      </w:r>
      <w:r>
        <w:rPr>
          <w:rStyle w:val="mrel"/>
        </w:rPr>
        <w:t>=</w:t>
      </w:r>
      <w:r>
        <w:rPr>
          <w:rStyle w:val="mord"/>
        </w:rPr>
        <w:t>1.20</w:t>
      </w:r>
      <w:r>
        <w:t xml:space="preserve">, </w:t>
      </w:r>
      <w:r>
        <w:rPr>
          <w:rStyle w:val="mord"/>
        </w:rPr>
        <w:t>SD</w:t>
      </w:r>
      <w:r>
        <w:rPr>
          <w:rStyle w:val="mrel"/>
        </w:rPr>
        <w:t>=</w:t>
      </w:r>
      <w:r>
        <w:rPr>
          <w:rStyle w:val="mord"/>
        </w:rPr>
        <w:t>0.41</w:t>
      </w:r>
      <w:r>
        <w:t>).</w:t>
      </w:r>
    </w:p>
    <w:p w14:paraId="523EED31" w14:textId="77777777" w:rsidR="00F262EF" w:rsidRDefault="00F262EF" w:rsidP="00F262EF">
      <w:pPr>
        <w:pStyle w:val="NormalWeb"/>
        <w:numPr>
          <w:ilvl w:val="0"/>
          <w:numId w:val="15"/>
        </w:numPr>
      </w:pPr>
      <w:r>
        <w:rPr>
          <w:b/>
          <w:bCs/>
        </w:rPr>
        <w:t>Depersonalization (DP / Duyarsız_düzey):</w:t>
      </w:r>
      <w:r>
        <w:t xml:space="preserve"> Depersonalization scores were generally close across all age groups, with the highest mean score also belonging to the 20–29 age group (</w:t>
      </w:r>
      <w:r>
        <w:rPr>
          <w:rStyle w:val="mord"/>
        </w:rPr>
        <w:t>Xˉ</w:t>
      </w:r>
      <w:r>
        <w:rPr>
          <w:rStyle w:val="mrel"/>
        </w:rPr>
        <w:t>=</w:t>
      </w:r>
      <w:r>
        <w:rPr>
          <w:rStyle w:val="mord"/>
        </w:rPr>
        <w:t>2.44</w:t>
      </w:r>
      <w:r>
        <w:t xml:space="preserve">, </w:t>
      </w:r>
      <w:r>
        <w:rPr>
          <w:rStyle w:val="mord"/>
        </w:rPr>
        <w:t>SD</w:t>
      </w:r>
      <w:r>
        <w:rPr>
          <w:rStyle w:val="mrel"/>
        </w:rPr>
        <w:t>=</w:t>
      </w:r>
      <w:r>
        <w:rPr>
          <w:rStyle w:val="mord"/>
        </w:rPr>
        <w:t>0.78</w:t>
      </w:r>
      <w:r>
        <w:t>).</w:t>
      </w:r>
    </w:p>
    <w:p w14:paraId="531E4A90" w14:textId="77777777" w:rsidR="00F262EF" w:rsidRDefault="00F262EF" w:rsidP="00F262EF">
      <w:pPr>
        <w:pStyle w:val="NormalWeb"/>
        <w:numPr>
          <w:ilvl w:val="0"/>
          <w:numId w:val="15"/>
        </w:numPr>
      </w:pPr>
      <w:r>
        <w:rPr>
          <w:b/>
          <w:bCs/>
        </w:rPr>
        <w:t>Emotional Exhaustion (EE / DT_düzey):</w:t>
      </w:r>
      <w:r>
        <w:t xml:space="preserve"> EE mean scores were similar across all groups, with the lowest average found in the 50–59 age group (</w:t>
      </w:r>
      <w:r>
        <w:rPr>
          <w:rStyle w:val="mord"/>
        </w:rPr>
        <w:t>Xˉ</w:t>
      </w:r>
      <w:r>
        <w:rPr>
          <w:rStyle w:val="mrel"/>
        </w:rPr>
        <w:t>=</w:t>
      </w:r>
      <w:r>
        <w:rPr>
          <w:rStyle w:val="mord"/>
        </w:rPr>
        <w:t>1.43</w:t>
      </w:r>
      <w:r>
        <w:t xml:space="preserve">, </w:t>
      </w:r>
      <w:r>
        <w:rPr>
          <w:rStyle w:val="mord"/>
        </w:rPr>
        <w:t>SD</w:t>
      </w:r>
      <w:r>
        <w:rPr>
          <w:rStyle w:val="mrel"/>
        </w:rPr>
        <w:t>=</w:t>
      </w:r>
      <w:r>
        <w:rPr>
          <w:rStyle w:val="mord"/>
        </w:rPr>
        <w:t>0.79</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8"/>
        <w:gridCol w:w="284"/>
        <w:gridCol w:w="1057"/>
        <w:gridCol w:w="1077"/>
      </w:tblGrid>
      <w:tr w:rsidR="00F262EF" w14:paraId="264C1BCD" w14:textId="77777777" w:rsidTr="007B0C8F">
        <w:trPr>
          <w:tblHeader/>
          <w:tblCellSpacing w:w="15" w:type="dxa"/>
        </w:trPr>
        <w:tc>
          <w:tcPr>
            <w:tcW w:w="0" w:type="auto"/>
            <w:vAlign w:val="center"/>
            <w:hideMark/>
          </w:tcPr>
          <w:p w14:paraId="4C1F6761" w14:textId="77777777" w:rsidR="00F262EF" w:rsidRDefault="00F262EF" w:rsidP="007B0C8F">
            <w:r>
              <w:t xml:space="preserve">Table 3. Descriptive Statistics by Age Group (Mean </w:t>
            </w:r>
            <w:r>
              <w:rPr>
                <w:rStyle w:val="mord"/>
              </w:rPr>
              <w:t>±</w:t>
            </w:r>
            <w:r>
              <w:t xml:space="preserve"> SD)</w:t>
            </w:r>
          </w:p>
        </w:tc>
        <w:tc>
          <w:tcPr>
            <w:tcW w:w="0" w:type="auto"/>
            <w:vAlign w:val="center"/>
            <w:hideMark/>
          </w:tcPr>
          <w:p w14:paraId="6BCDD1BF" w14:textId="77777777" w:rsidR="00F262EF" w:rsidRDefault="00F262EF" w:rsidP="007B0C8F"/>
        </w:tc>
        <w:tc>
          <w:tcPr>
            <w:tcW w:w="0" w:type="auto"/>
            <w:vAlign w:val="center"/>
            <w:hideMark/>
          </w:tcPr>
          <w:p w14:paraId="51F4809A" w14:textId="77777777" w:rsidR="00F262EF" w:rsidRDefault="00F262EF" w:rsidP="007B0C8F">
            <w:pPr>
              <w:rPr>
                <w:sz w:val="20"/>
                <w:szCs w:val="20"/>
              </w:rPr>
            </w:pPr>
          </w:p>
        </w:tc>
        <w:tc>
          <w:tcPr>
            <w:tcW w:w="0" w:type="auto"/>
            <w:vAlign w:val="center"/>
            <w:hideMark/>
          </w:tcPr>
          <w:p w14:paraId="2BF6634C" w14:textId="77777777" w:rsidR="00F262EF" w:rsidRDefault="00F262EF" w:rsidP="007B0C8F">
            <w:pPr>
              <w:rPr>
                <w:sz w:val="20"/>
                <w:szCs w:val="20"/>
              </w:rPr>
            </w:pPr>
          </w:p>
        </w:tc>
      </w:tr>
      <w:tr w:rsidR="00F262EF" w14:paraId="162AFB41" w14:textId="77777777" w:rsidTr="007B0C8F">
        <w:trPr>
          <w:tblCellSpacing w:w="15" w:type="dxa"/>
        </w:trPr>
        <w:tc>
          <w:tcPr>
            <w:tcW w:w="0" w:type="auto"/>
            <w:vAlign w:val="center"/>
            <w:hideMark/>
          </w:tcPr>
          <w:p w14:paraId="50D33BFF" w14:textId="77777777" w:rsidR="00F262EF" w:rsidRDefault="00F262EF" w:rsidP="007B0C8F">
            <w:pPr>
              <w:rPr>
                <w:sz w:val="24"/>
                <w:szCs w:val="24"/>
              </w:rPr>
            </w:pPr>
            <w:r>
              <w:rPr>
                <w:b/>
                <w:bCs/>
              </w:rPr>
              <w:t>Age Group (Years)</w:t>
            </w:r>
          </w:p>
        </w:tc>
        <w:tc>
          <w:tcPr>
            <w:tcW w:w="0" w:type="auto"/>
            <w:vAlign w:val="center"/>
            <w:hideMark/>
          </w:tcPr>
          <w:p w14:paraId="52B18C23" w14:textId="77777777" w:rsidR="00F262EF" w:rsidRDefault="00F262EF" w:rsidP="007B0C8F">
            <w:r>
              <w:rPr>
                <w:b/>
                <w:bCs/>
              </w:rPr>
              <w:t>N</w:t>
            </w:r>
          </w:p>
        </w:tc>
        <w:tc>
          <w:tcPr>
            <w:tcW w:w="0" w:type="auto"/>
            <w:vAlign w:val="center"/>
            <w:hideMark/>
          </w:tcPr>
          <w:p w14:paraId="005A0724" w14:textId="77777777" w:rsidR="00F262EF" w:rsidRDefault="00F262EF" w:rsidP="007B0C8F">
            <w:r>
              <w:rPr>
                <w:b/>
                <w:bCs/>
              </w:rPr>
              <w:t>PA (</w:t>
            </w:r>
            <w:r>
              <w:rPr>
                <w:rStyle w:val="mord"/>
                <w:b/>
                <w:bCs/>
              </w:rPr>
              <w:t>Xˉ</w:t>
            </w:r>
            <w:r>
              <w:rPr>
                <w:rStyle w:val="mbin"/>
                <w:b/>
                <w:bCs/>
              </w:rPr>
              <w:t>±</w:t>
            </w:r>
            <w:r>
              <w:rPr>
                <w:rStyle w:val="mord"/>
                <w:b/>
                <w:bCs/>
              </w:rPr>
              <w:t>SD</w:t>
            </w:r>
            <w:r>
              <w:rPr>
                <w:b/>
                <w:bCs/>
              </w:rPr>
              <w:t>)</w:t>
            </w:r>
          </w:p>
        </w:tc>
        <w:tc>
          <w:tcPr>
            <w:tcW w:w="0" w:type="auto"/>
            <w:vAlign w:val="center"/>
            <w:hideMark/>
          </w:tcPr>
          <w:p w14:paraId="18D09D30" w14:textId="77777777" w:rsidR="00F262EF" w:rsidRDefault="00F262EF" w:rsidP="007B0C8F">
            <w:r>
              <w:rPr>
                <w:b/>
                <w:bCs/>
              </w:rPr>
              <w:t>DP (</w:t>
            </w:r>
            <w:r>
              <w:rPr>
                <w:rStyle w:val="mord"/>
                <w:b/>
                <w:bCs/>
              </w:rPr>
              <w:t>Xˉ</w:t>
            </w:r>
            <w:r>
              <w:rPr>
                <w:rStyle w:val="mbin"/>
                <w:b/>
                <w:bCs/>
              </w:rPr>
              <w:t>±</w:t>
            </w:r>
            <w:r>
              <w:rPr>
                <w:rStyle w:val="mord"/>
                <w:b/>
                <w:bCs/>
              </w:rPr>
              <w:t>SD</w:t>
            </w:r>
            <w:r>
              <w:rPr>
                <w:b/>
                <w:bCs/>
              </w:rPr>
              <w:t>)</w:t>
            </w:r>
          </w:p>
        </w:tc>
      </w:tr>
      <w:tr w:rsidR="00F262EF" w14:paraId="16F29CF6" w14:textId="77777777" w:rsidTr="007B0C8F">
        <w:trPr>
          <w:tblCellSpacing w:w="15" w:type="dxa"/>
        </w:trPr>
        <w:tc>
          <w:tcPr>
            <w:tcW w:w="0" w:type="auto"/>
            <w:vAlign w:val="center"/>
            <w:hideMark/>
          </w:tcPr>
          <w:p w14:paraId="09F5B308" w14:textId="77777777" w:rsidR="00F262EF" w:rsidRDefault="00F262EF" w:rsidP="007B0C8F">
            <w:r>
              <w:t>20–29</w:t>
            </w:r>
          </w:p>
        </w:tc>
        <w:tc>
          <w:tcPr>
            <w:tcW w:w="0" w:type="auto"/>
            <w:vAlign w:val="center"/>
            <w:hideMark/>
          </w:tcPr>
          <w:p w14:paraId="31E1EB57" w14:textId="77777777" w:rsidR="00F262EF" w:rsidRDefault="00F262EF" w:rsidP="007B0C8F">
            <w:r>
              <w:t>41</w:t>
            </w:r>
          </w:p>
        </w:tc>
        <w:tc>
          <w:tcPr>
            <w:tcW w:w="0" w:type="auto"/>
            <w:vAlign w:val="center"/>
            <w:hideMark/>
          </w:tcPr>
          <w:p w14:paraId="430E45CC" w14:textId="77777777" w:rsidR="00F262EF" w:rsidRDefault="00F262EF" w:rsidP="007B0C8F">
            <w:r>
              <w:rPr>
                <w:rStyle w:val="mord"/>
              </w:rPr>
              <w:t>2.46</w:t>
            </w:r>
            <w:r>
              <w:rPr>
                <w:rStyle w:val="mbin"/>
              </w:rPr>
              <w:t>±</w:t>
            </w:r>
            <w:r>
              <w:rPr>
                <w:rStyle w:val="mord"/>
              </w:rPr>
              <w:t>0.64</w:t>
            </w:r>
          </w:p>
        </w:tc>
        <w:tc>
          <w:tcPr>
            <w:tcW w:w="0" w:type="auto"/>
            <w:vAlign w:val="center"/>
            <w:hideMark/>
          </w:tcPr>
          <w:p w14:paraId="15988352" w14:textId="77777777" w:rsidR="00F262EF" w:rsidRDefault="00F262EF" w:rsidP="007B0C8F">
            <w:r>
              <w:rPr>
                <w:rStyle w:val="mord"/>
              </w:rPr>
              <w:t>2.44</w:t>
            </w:r>
            <w:r>
              <w:rPr>
                <w:rStyle w:val="mbin"/>
              </w:rPr>
              <w:t>±</w:t>
            </w:r>
            <w:r>
              <w:rPr>
                <w:rStyle w:val="mord"/>
              </w:rPr>
              <w:t>0.78</w:t>
            </w:r>
          </w:p>
        </w:tc>
      </w:tr>
      <w:tr w:rsidR="00F262EF" w14:paraId="07A5E300" w14:textId="77777777" w:rsidTr="007B0C8F">
        <w:trPr>
          <w:tblCellSpacing w:w="15" w:type="dxa"/>
        </w:trPr>
        <w:tc>
          <w:tcPr>
            <w:tcW w:w="0" w:type="auto"/>
            <w:vAlign w:val="center"/>
            <w:hideMark/>
          </w:tcPr>
          <w:p w14:paraId="747C375F" w14:textId="77777777" w:rsidR="00F262EF" w:rsidRDefault="00F262EF" w:rsidP="007B0C8F">
            <w:r>
              <w:t>30–39</w:t>
            </w:r>
          </w:p>
        </w:tc>
        <w:tc>
          <w:tcPr>
            <w:tcW w:w="0" w:type="auto"/>
            <w:vAlign w:val="center"/>
            <w:hideMark/>
          </w:tcPr>
          <w:p w14:paraId="5C652594" w14:textId="77777777" w:rsidR="00F262EF" w:rsidRDefault="00F262EF" w:rsidP="007B0C8F">
            <w:r>
              <w:t>42</w:t>
            </w:r>
          </w:p>
        </w:tc>
        <w:tc>
          <w:tcPr>
            <w:tcW w:w="0" w:type="auto"/>
            <w:vAlign w:val="center"/>
            <w:hideMark/>
          </w:tcPr>
          <w:p w14:paraId="2F5F9887" w14:textId="77777777" w:rsidR="00F262EF" w:rsidRDefault="00F262EF" w:rsidP="007B0C8F">
            <w:r>
              <w:rPr>
                <w:rStyle w:val="mord"/>
              </w:rPr>
              <w:t>1.79</w:t>
            </w:r>
            <w:r>
              <w:rPr>
                <w:rStyle w:val="mbin"/>
              </w:rPr>
              <w:t>±</w:t>
            </w:r>
            <w:r>
              <w:rPr>
                <w:rStyle w:val="mord"/>
              </w:rPr>
              <w:t>0.72</w:t>
            </w:r>
          </w:p>
        </w:tc>
        <w:tc>
          <w:tcPr>
            <w:tcW w:w="0" w:type="auto"/>
            <w:vAlign w:val="center"/>
            <w:hideMark/>
          </w:tcPr>
          <w:p w14:paraId="016B2CE4" w14:textId="77777777" w:rsidR="00F262EF" w:rsidRDefault="00F262EF" w:rsidP="007B0C8F">
            <w:r>
              <w:rPr>
                <w:rStyle w:val="mord"/>
              </w:rPr>
              <w:t>2.33</w:t>
            </w:r>
            <w:r>
              <w:rPr>
                <w:rStyle w:val="mbin"/>
              </w:rPr>
              <w:t>±</w:t>
            </w:r>
            <w:r>
              <w:rPr>
                <w:rStyle w:val="mord"/>
              </w:rPr>
              <w:t>0.69</w:t>
            </w:r>
          </w:p>
        </w:tc>
      </w:tr>
      <w:tr w:rsidR="00F262EF" w14:paraId="794737C8" w14:textId="77777777" w:rsidTr="007B0C8F">
        <w:trPr>
          <w:tblCellSpacing w:w="15" w:type="dxa"/>
        </w:trPr>
        <w:tc>
          <w:tcPr>
            <w:tcW w:w="0" w:type="auto"/>
            <w:vAlign w:val="center"/>
            <w:hideMark/>
          </w:tcPr>
          <w:p w14:paraId="02022503" w14:textId="77777777" w:rsidR="00F262EF" w:rsidRDefault="00F262EF" w:rsidP="007B0C8F">
            <w:r>
              <w:t>40–49</w:t>
            </w:r>
          </w:p>
        </w:tc>
        <w:tc>
          <w:tcPr>
            <w:tcW w:w="0" w:type="auto"/>
            <w:vAlign w:val="center"/>
            <w:hideMark/>
          </w:tcPr>
          <w:p w14:paraId="275290F0" w14:textId="77777777" w:rsidR="00F262EF" w:rsidRDefault="00F262EF" w:rsidP="007B0C8F">
            <w:r>
              <w:t>15</w:t>
            </w:r>
          </w:p>
        </w:tc>
        <w:tc>
          <w:tcPr>
            <w:tcW w:w="0" w:type="auto"/>
            <w:vAlign w:val="center"/>
            <w:hideMark/>
          </w:tcPr>
          <w:p w14:paraId="258F02CC" w14:textId="77777777" w:rsidR="00F262EF" w:rsidRDefault="00F262EF" w:rsidP="007B0C8F">
            <w:r>
              <w:rPr>
                <w:rStyle w:val="mord"/>
              </w:rPr>
              <w:t>1.20</w:t>
            </w:r>
            <w:r>
              <w:rPr>
                <w:rStyle w:val="mbin"/>
              </w:rPr>
              <w:t>±</w:t>
            </w:r>
            <w:r>
              <w:rPr>
                <w:rStyle w:val="mord"/>
              </w:rPr>
              <w:t>0.41</w:t>
            </w:r>
          </w:p>
        </w:tc>
        <w:tc>
          <w:tcPr>
            <w:tcW w:w="0" w:type="auto"/>
            <w:vAlign w:val="center"/>
            <w:hideMark/>
          </w:tcPr>
          <w:p w14:paraId="7A6B1666" w14:textId="77777777" w:rsidR="00F262EF" w:rsidRDefault="00F262EF" w:rsidP="007B0C8F">
            <w:r>
              <w:rPr>
                <w:rStyle w:val="mord"/>
              </w:rPr>
              <w:t>2.00</w:t>
            </w:r>
            <w:r>
              <w:rPr>
                <w:rStyle w:val="mbin"/>
              </w:rPr>
              <w:t>±</w:t>
            </w:r>
            <w:r>
              <w:rPr>
                <w:rStyle w:val="mord"/>
              </w:rPr>
              <w:t>0.76</w:t>
            </w:r>
          </w:p>
        </w:tc>
      </w:tr>
      <w:tr w:rsidR="00F262EF" w14:paraId="544A0042" w14:textId="77777777" w:rsidTr="007B0C8F">
        <w:trPr>
          <w:tblCellSpacing w:w="15" w:type="dxa"/>
        </w:trPr>
        <w:tc>
          <w:tcPr>
            <w:tcW w:w="0" w:type="auto"/>
            <w:vAlign w:val="center"/>
            <w:hideMark/>
          </w:tcPr>
          <w:p w14:paraId="3C33EB78" w14:textId="77777777" w:rsidR="00F262EF" w:rsidRDefault="00F262EF" w:rsidP="007B0C8F">
            <w:r>
              <w:t>50–59</w:t>
            </w:r>
          </w:p>
        </w:tc>
        <w:tc>
          <w:tcPr>
            <w:tcW w:w="0" w:type="auto"/>
            <w:vAlign w:val="center"/>
            <w:hideMark/>
          </w:tcPr>
          <w:p w14:paraId="2EDD1F28" w14:textId="77777777" w:rsidR="00F262EF" w:rsidRDefault="00F262EF" w:rsidP="007B0C8F">
            <w:r>
              <w:t>7</w:t>
            </w:r>
          </w:p>
        </w:tc>
        <w:tc>
          <w:tcPr>
            <w:tcW w:w="0" w:type="auto"/>
            <w:vAlign w:val="center"/>
            <w:hideMark/>
          </w:tcPr>
          <w:p w14:paraId="7400FCB9" w14:textId="77777777" w:rsidR="00F262EF" w:rsidRDefault="00F262EF" w:rsidP="007B0C8F">
            <w:r>
              <w:rPr>
                <w:rStyle w:val="mord"/>
              </w:rPr>
              <w:t>2.14</w:t>
            </w:r>
            <w:r>
              <w:rPr>
                <w:rStyle w:val="mbin"/>
              </w:rPr>
              <w:t>±</w:t>
            </w:r>
            <w:r>
              <w:rPr>
                <w:rStyle w:val="mord"/>
              </w:rPr>
              <w:t>0.90</w:t>
            </w:r>
          </w:p>
        </w:tc>
        <w:tc>
          <w:tcPr>
            <w:tcW w:w="0" w:type="auto"/>
            <w:vAlign w:val="center"/>
            <w:hideMark/>
          </w:tcPr>
          <w:p w14:paraId="64EC3213" w14:textId="77777777" w:rsidR="00F262EF" w:rsidRDefault="00F262EF" w:rsidP="007B0C8F">
            <w:r>
              <w:rPr>
                <w:rStyle w:val="mord"/>
              </w:rPr>
              <w:t>2.00</w:t>
            </w:r>
            <w:r>
              <w:rPr>
                <w:rStyle w:val="mbin"/>
              </w:rPr>
              <w:t>±</w:t>
            </w:r>
            <w:r>
              <w:rPr>
                <w:rStyle w:val="mord"/>
              </w:rPr>
              <w:t>0.58</w:t>
            </w:r>
          </w:p>
        </w:tc>
      </w:tr>
    </w:tbl>
    <w:p w14:paraId="35F8B965" w14:textId="77777777" w:rsidR="00F262EF" w:rsidRDefault="00F262EF" w:rsidP="00F262EF">
      <w:pPr>
        <w:pStyle w:val="Heading4"/>
      </w:pPr>
      <w:r>
        <w:t>4.2.3. Burnout Scores by Marital Status</w:t>
      </w:r>
    </w:p>
    <w:p w14:paraId="21ED343B" w14:textId="77777777" w:rsidR="00F262EF" w:rsidRDefault="00F262EF" w:rsidP="00F262EF">
      <w:pPr>
        <w:pStyle w:val="NormalWeb"/>
      </w:pPr>
      <w:r>
        <w:t>Participants were equally divided into single (</w:t>
      </w:r>
      <w:r>
        <w:rPr>
          <w:rStyle w:val="mord"/>
        </w:rPr>
        <w:t>N</w:t>
      </w:r>
      <w:r>
        <w:rPr>
          <w:rStyle w:val="mrel"/>
        </w:rPr>
        <w:t>=</w:t>
      </w:r>
      <w:r>
        <w:rPr>
          <w:rStyle w:val="mord"/>
        </w:rPr>
        <w:t>53</w:t>
      </w:r>
      <w:r>
        <w:t>) and married (</w:t>
      </w:r>
      <w:r>
        <w:rPr>
          <w:rStyle w:val="mord"/>
        </w:rPr>
        <w:t>N</w:t>
      </w:r>
      <w:r>
        <w:rPr>
          <w:rStyle w:val="mrel"/>
        </w:rPr>
        <w:t>=</w:t>
      </w:r>
      <w:r>
        <w:rPr>
          <w:rStyle w:val="mord"/>
        </w:rPr>
        <w:t>53</w:t>
      </w:r>
      <w:r>
        <w:t>) groups.</w:t>
      </w:r>
    </w:p>
    <w:p w14:paraId="23F97B6D" w14:textId="77777777" w:rsidR="00F262EF" w:rsidRDefault="00F262EF" w:rsidP="00F262EF">
      <w:pPr>
        <w:pStyle w:val="NormalWeb"/>
        <w:numPr>
          <w:ilvl w:val="0"/>
          <w:numId w:val="16"/>
        </w:numPr>
      </w:pPr>
      <w:r>
        <w:rPr>
          <w:b/>
          <w:bCs/>
        </w:rPr>
        <w:t>Marital Status Comparison:</w:t>
      </w:r>
      <w:r>
        <w:t xml:space="preserve"> Single dentists displayed higher mean scores than married dentists across all three sub-dimensions:</w:t>
      </w:r>
    </w:p>
    <w:p w14:paraId="3500BCB8" w14:textId="77777777" w:rsidR="00F262EF" w:rsidRDefault="00F262EF" w:rsidP="00F262EF">
      <w:pPr>
        <w:pStyle w:val="NormalWeb"/>
        <w:numPr>
          <w:ilvl w:val="1"/>
          <w:numId w:val="16"/>
        </w:numPr>
      </w:pPr>
      <w:r>
        <w:rPr>
          <w:b/>
          <w:bCs/>
        </w:rPr>
        <w:t>PA:</w:t>
      </w:r>
      <w:r>
        <w:t xml:space="preserve"> Single (</w:t>
      </w:r>
      <w:r>
        <w:rPr>
          <w:rStyle w:val="mord"/>
        </w:rPr>
        <w:t>Xˉ</w:t>
      </w:r>
      <w:r>
        <w:rPr>
          <w:rStyle w:val="mrel"/>
        </w:rPr>
        <w:t>=</w:t>
      </w:r>
      <w:r>
        <w:rPr>
          <w:rStyle w:val="mord"/>
        </w:rPr>
        <w:t>2.25</w:t>
      </w:r>
      <w:r>
        <w:t>) vs. Married (</w:t>
      </w:r>
      <w:r>
        <w:rPr>
          <w:rStyle w:val="mord"/>
        </w:rPr>
        <w:t>Xˉ</w:t>
      </w:r>
      <w:r>
        <w:rPr>
          <w:rStyle w:val="mrel"/>
        </w:rPr>
        <w:t>=</w:t>
      </w:r>
      <w:r>
        <w:rPr>
          <w:rStyle w:val="mord"/>
        </w:rPr>
        <w:t>1.72</w:t>
      </w:r>
      <w:r>
        <w:t>)</w:t>
      </w:r>
    </w:p>
    <w:p w14:paraId="7854BA8E" w14:textId="77777777" w:rsidR="00F262EF" w:rsidRDefault="00F262EF" w:rsidP="00F262EF">
      <w:pPr>
        <w:pStyle w:val="NormalWeb"/>
        <w:numPr>
          <w:ilvl w:val="1"/>
          <w:numId w:val="16"/>
        </w:numPr>
      </w:pPr>
      <w:r>
        <w:rPr>
          <w:b/>
          <w:bCs/>
        </w:rPr>
        <w:t>DP:</w:t>
      </w:r>
      <w:r>
        <w:t xml:space="preserve"> Single (</w:t>
      </w:r>
      <w:r>
        <w:rPr>
          <w:rStyle w:val="mord"/>
        </w:rPr>
        <w:t>Xˉ</w:t>
      </w:r>
      <w:r>
        <w:rPr>
          <w:rStyle w:val="mrel"/>
        </w:rPr>
        <w:t>=</w:t>
      </w:r>
      <w:r>
        <w:rPr>
          <w:rStyle w:val="mord"/>
        </w:rPr>
        <w:t>2.38</w:t>
      </w:r>
      <w:r>
        <w:t>) vs. Married (</w:t>
      </w:r>
      <w:r>
        <w:rPr>
          <w:rStyle w:val="mord"/>
        </w:rPr>
        <w:t>Xˉ</w:t>
      </w:r>
      <w:r>
        <w:rPr>
          <w:rStyle w:val="mrel"/>
        </w:rPr>
        <w:t>=</w:t>
      </w:r>
      <w:r>
        <w:rPr>
          <w:rStyle w:val="mord"/>
        </w:rPr>
        <w:t>2.21</w:t>
      </w:r>
      <w:r>
        <w:t>)</w:t>
      </w:r>
    </w:p>
    <w:p w14:paraId="6585C003" w14:textId="77777777" w:rsidR="00F262EF" w:rsidRDefault="00F262EF" w:rsidP="00F262EF">
      <w:pPr>
        <w:pStyle w:val="NormalWeb"/>
        <w:numPr>
          <w:ilvl w:val="1"/>
          <w:numId w:val="16"/>
        </w:numPr>
      </w:pPr>
      <w:r>
        <w:rPr>
          <w:b/>
          <w:bCs/>
        </w:rPr>
        <w:t>EE:</w:t>
      </w:r>
      <w:r>
        <w:t xml:space="preserve"> Single (</w:t>
      </w:r>
      <w:r>
        <w:rPr>
          <w:rStyle w:val="mord"/>
        </w:rPr>
        <w:t>Xˉ</w:t>
      </w:r>
      <w:r>
        <w:rPr>
          <w:rStyle w:val="mrel"/>
        </w:rPr>
        <w:t>=</w:t>
      </w:r>
      <w:r>
        <w:rPr>
          <w:rStyle w:val="mord"/>
        </w:rPr>
        <w:t>1.75</w:t>
      </w:r>
      <w:r>
        <w:t>) vs. Married (</w:t>
      </w:r>
      <w:r>
        <w:rPr>
          <w:rStyle w:val="mord"/>
        </w:rPr>
        <w:t>Xˉ</w:t>
      </w:r>
      <w:r>
        <w:rPr>
          <w:rStyle w:val="mrel"/>
        </w:rPr>
        <w:t>=</w:t>
      </w:r>
      <w:r>
        <w:rPr>
          <w:rStyle w:val="mord"/>
        </w:rPr>
        <w:t>1.49</w:t>
      </w:r>
      <w:r>
        <w:t>)</w:t>
      </w:r>
    </w:p>
    <w:p w14:paraId="5724189E" w14:textId="77777777" w:rsidR="00F262EF" w:rsidRDefault="00F262EF" w:rsidP="00F262EF">
      <w:pPr>
        <w:pStyle w:val="NormalWeb"/>
      </w:pPr>
      <w:r>
        <w:t>This suggests that single individuals experience a higher level of burnout and depersonalization, along with higher levels of personal accomplishment, compared to their married counterparts.</w:t>
      </w:r>
    </w:p>
    <w:p w14:paraId="1ED143F6" w14:textId="77777777" w:rsidR="00F262EF" w:rsidRDefault="00F262EF" w:rsidP="00F262EF">
      <w:pPr>
        <w:pStyle w:val="Heading3"/>
      </w:pPr>
      <w:r>
        <w:t>4.3. Analysis of Burnout Scores by Work Setting</w:t>
      </w:r>
    </w:p>
    <w:p w14:paraId="5D28F0AF" w14:textId="77777777" w:rsidR="00F262EF" w:rsidRDefault="00F262EF" w:rsidP="00F262EF">
      <w:pPr>
        <w:pStyle w:val="NormalWeb"/>
      </w:pPr>
      <w:r>
        <w:t>Significant differences in MBI sub-dimension scores were observed across the five identified work settings:</w:t>
      </w:r>
    </w:p>
    <w:p w14:paraId="06A64BE2" w14:textId="77777777" w:rsidR="00F262EF" w:rsidRDefault="00F262EF" w:rsidP="00F262EF">
      <w:pPr>
        <w:pStyle w:val="NormalWeb"/>
        <w:numPr>
          <w:ilvl w:val="0"/>
          <w:numId w:val="17"/>
        </w:numPr>
      </w:pPr>
      <w:r>
        <w:rPr>
          <w:b/>
          <w:bCs/>
        </w:rPr>
        <w:t>Personal Accomplishment (PA / KB_düzey):</w:t>
      </w:r>
      <w:r>
        <w:t xml:space="preserve"> The highest PA mean score was observed in the State Hospital/ADSM group (</w:t>
      </w:r>
      <w:r>
        <w:rPr>
          <w:rStyle w:val="mord"/>
        </w:rPr>
        <w:t>Xˉ</w:t>
      </w:r>
      <w:r>
        <w:rPr>
          <w:rStyle w:val="mrel"/>
        </w:rPr>
        <w:t>=</w:t>
      </w:r>
      <w:r>
        <w:rPr>
          <w:rStyle w:val="mord"/>
        </w:rPr>
        <w:t>2.42</w:t>
      </w:r>
      <w:r>
        <w:t xml:space="preserve">, </w:t>
      </w:r>
      <w:r>
        <w:rPr>
          <w:rStyle w:val="mord"/>
        </w:rPr>
        <w:t>SD</w:t>
      </w:r>
      <w:r>
        <w:rPr>
          <w:rStyle w:val="mrel"/>
        </w:rPr>
        <w:t>=</w:t>
      </w:r>
      <w:r>
        <w:rPr>
          <w:rStyle w:val="mord"/>
        </w:rPr>
        <w:t>0.79</w:t>
      </w:r>
      <w:r>
        <w:t>).</w:t>
      </w:r>
    </w:p>
    <w:p w14:paraId="34B9DC91" w14:textId="77777777" w:rsidR="00F262EF" w:rsidRDefault="00F262EF" w:rsidP="00F262EF">
      <w:pPr>
        <w:pStyle w:val="NormalWeb"/>
        <w:numPr>
          <w:ilvl w:val="0"/>
          <w:numId w:val="17"/>
        </w:numPr>
      </w:pPr>
      <w:r>
        <w:rPr>
          <w:b/>
          <w:bCs/>
        </w:rPr>
        <w:lastRenderedPageBreak/>
        <w:t>Depersonalization (DP / Duyarsız_düzey):</w:t>
      </w:r>
      <w:r>
        <w:t xml:space="preserve"> The highest DP mean score was reported by dentists working in </w:t>
      </w:r>
      <w:r>
        <w:rPr>
          <w:b/>
          <w:bCs/>
        </w:rPr>
        <w:t>Private Hospitals/Clinics</w:t>
      </w:r>
      <w:r>
        <w:t xml:space="preserve"> (</w:t>
      </w:r>
      <w:r>
        <w:rPr>
          <w:rStyle w:val="mord"/>
        </w:rPr>
        <w:t>Xˉ</w:t>
      </w:r>
      <w:r>
        <w:rPr>
          <w:rStyle w:val="mrel"/>
        </w:rPr>
        <w:t>=</w:t>
      </w:r>
      <w:r>
        <w:rPr>
          <w:rStyle w:val="mord"/>
        </w:rPr>
        <w:t>2.39</w:t>
      </w:r>
      <w:r>
        <w:t xml:space="preserve">, </w:t>
      </w:r>
      <w:r>
        <w:rPr>
          <w:rStyle w:val="mord"/>
        </w:rPr>
        <w:t>SD</w:t>
      </w:r>
      <w:r>
        <w:rPr>
          <w:rStyle w:val="mrel"/>
        </w:rPr>
        <w:t>=</w:t>
      </w:r>
      <w:r>
        <w:rPr>
          <w:rStyle w:val="mord"/>
        </w:rPr>
        <w:t>0.72</w:t>
      </w:r>
      <w:r>
        <w:t>).</w:t>
      </w:r>
    </w:p>
    <w:p w14:paraId="594F7ABE" w14:textId="77777777" w:rsidR="00F262EF" w:rsidRDefault="00F262EF" w:rsidP="00F262EF">
      <w:pPr>
        <w:pStyle w:val="NormalWeb"/>
        <w:numPr>
          <w:ilvl w:val="0"/>
          <w:numId w:val="17"/>
        </w:numPr>
      </w:pPr>
      <w:r>
        <w:rPr>
          <w:b/>
          <w:bCs/>
        </w:rPr>
        <w:t>Emotional Exhaustion (EE / DT_düzey):</w:t>
      </w:r>
      <w:r>
        <w:t xml:space="preserve"> The highest EE mean score was also observed in </w:t>
      </w:r>
      <w:r>
        <w:rPr>
          <w:b/>
          <w:bCs/>
        </w:rPr>
        <w:t>Private Hospitals/Clinics</w:t>
      </w:r>
      <w:r>
        <w:t xml:space="preserve"> (</w:t>
      </w:r>
      <w:r>
        <w:rPr>
          <w:rStyle w:val="mord"/>
        </w:rPr>
        <w:t>Xˉ</w:t>
      </w:r>
      <w:r>
        <w:rPr>
          <w:rStyle w:val="mrel"/>
        </w:rPr>
        <w:t>=</w:t>
      </w:r>
      <w:r>
        <w:rPr>
          <w:rStyle w:val="mord"/>
        </w:rPr>
        <w:t>1.82</w:t>
      </w:r>
      <w:r>
        <w:t xml:space="preserve">, </w:t>
      </w:r>
      <w:r>
        <w:rPr>
          <w:rStyle w:val="mord"/>
        </w:rPr>
        <w:t>SD</w:t>
      </w:r>
      <w:r>
        <w:rPr>
          <w:rStyle w:val="mrel"/>
        </w:rPr>
        <w:t>=</w:t>
      </w:r>
      <w:r>
        <w:rPr>
          <w:rStyle w:val="mord"/>
        </w:rPr>
        <w:t>0.80</w:t>
      </w:r>
      <w:r>
        <w:t>). The lowest EE score was recorded in private practices (</w:t>
      </w:r>
      <w:r>
        <w:rPr>
          <w:rStyle w:val="mord"/>
        </w:rPr>
        <w:t>Xˉ</w:t>
      </w:r>
      <w:r>
        <w:rPr>
          <w:rStyle w:val="mrel"/>
        </w:rPr>
        <w:t>=</w:t>
      </w:r>
      <w:r>
        <w:rPr>
          <w:rStyle w:val="mord"/>
        </w:rPr>
        <w:t>1.39</w:t>
      </w:r>
      <w:r>
        <w:t xml:space="preserve">, </w:t>
      </w:r>
      <w:r>
        <w:rPr>
          <w:rStyle w:val="mord"/>
        </w:rPr>
        <w:t>SD</w:t>
      </w:r>
      <w:r>
        <w:rPr>
          <w:rStyle w:val="mrel"/>
        </w:rPr>
        <w:t>=</w:t>
      </w:r>
      <w:r>
        <w:rPr>
          <w:rStyle w:val="mord"/>
        </w:rPr>
        <w:t>0.50</w:t>
      </w:r>
      <w:r>
        <w:t>).</w:t>
      </w:r>
    </w:p>
    <w:p w14:paraId="5924C395" w14:textId="77777777" w:rsidR="00F262EF" w:rsidRDefault="00F262EF" w:rsidP="00F262EF">
      <w:pPr>
        <w:pStyle w:val="NormalWeb"/>
      </w:pPr>
      <w:r>
        <w:t>The results indicate that work setting is a factor influencing burnout, with the private hospital/clinic setting exhibiting the highest emotional strain and detachment.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1"/>
        <w:gridCol w:w="284"/>
        <w:gridCol w:w="1057"/>
        <w:gridCol w:w="1077"/>
      </w:tblGrid>
      <w:tr w:rsidR="00F262EF" w14:paraId="5A9E7322" w14:textId="77777777" w:rsidTr="007B0C8F">
        <w:trPr>
          <w:tblHeader/>
          <w:tblCellSpacing w:w="15" w:type="dxa"/>
        </w:trPr>
        <w:tc>
          <w:tcPr>
            <w:tcW w:w="0" w:type="auto"/>
            <w:vAlign w:val="center"/>
            <w:hideMark/>
          </w:tcPr>
          <w:p w14:paraId="72700EEE" w14:textId="77777777" w:rsidR="00F262EF" w:rsidRDefault="00F262EF" w:rsidP="007B0C8F">
            <w:r>
              <w:t xml:space="preserve">Table 5. Descriptive Statistics by Work Setting (Mean </w:t>
            </w:r>
            <w:r>
              <w:rPr>
                <w:rStyle w:val="mord"/>
              </w:rPr>
              <w:t>±</w:t>
            </w:r>
            <w:r>
              <w:t xml:space="preserve"> SD)</w:t>
            </w:r>
          </w:p>
        </w:tc>
        <w:tc>
          <w:tcPr>
            <w:tcW w:w="0" w:type="auto"/>
            <w:vAlign w:val="center"/>
            <w:hideMark/>
          </w:tcPr>
          <w:p w14:paraId="4FF9BE91" w14:textId="77777777" w:rsidR="00F262EF" w:rsidRDefault="00F262EF" w:rsidP="007B0C8F"/>
        </w:tc>
        <w:tc>
          <w:tcPr>
            <w:tcW w:w="0" w:type="auto"/>
            <w:vAlign w:val="center"/>
            <w:hideMark/>
          </w:tcPr>
          <w:p w14:paraId="3B108F20" w14:textId="77777777" w:rsidR="00F262EF" w:rsidRDefault="00F262EF" w:rsidP="007B0C8F">
            <w:pPr>
              <w:rPr>
                <w:sz w:val="20"/>
                <w:szCs w:val="20"/>
              </w:rPr>
            </w:pPr>
          </w:p>
        </w:tc>
        <w:tc>
          <w:tcPr>
            <w:tcW w:w="0" w:type="auto"/>
            <w:vAlign w:val="center"/>
            <w:hideMark/>
          </w:tcPr>
          <w:p w14:paraId="054F9F49" w14:textId="77777777" w:rsidR="00F262EF" w:rsidRDefault="00F262EF" w:rsidP="007B0C8F">
            <w:pPr>
              <w:rPr>
                <w:sz w:val="20"/>
                <w:szCs w:val="20"/>
              </w:rPr>
            </w:pPr>
          </w:p>
        </w:tc>
      </w:tr>
      <w:tr w:rsidR="00F262EF" w14:paraId="26ACE9ED" w14:textId="77777777" w:rsidTr="007B0C8F">
        <w:trPr>
          <w:tblCellSpacing w:w="15" w:type="dxa"/>
        </w:trPr>
        <w:tc>
          <w:tcPr>
            <w:tcW w:w="0" w:type="auto"/>
            <w:vAlign w:val="center"/>
            <w:hideMark/>
          </w:tcPr>
          <w:p w14:paraId="0BB3C15C" w14:textId="77777777" w:rsidR="00F262EF" w:rsidRDefault="00F262EF" w:rsidP="007B0C8F">
            <w:pPr>
              <w:rPr>
                <w:sz w:val="24"/>
                <w:szCs w:val="24"/>
              </w:rPr>
            </w:pPr>
            <w:r>
              <w:rPr>
                <w:b/>
                <w:bCs/>
              </w:rPr>
              <w:t>Work Setting</w:t>
            </w:r>
          </w:p>
        </w:tc>
        <w:tc>
          <w:tcPr>
            <w:tcW w:w="0" w:type="auto"/>
            <w:vAlign w:val="center"/>
            <w:hideMark/>
          </w:tcPr>
          <w:p w14:paraId="0A0DB061" w14:textId="77777777" w:rsidR="00F262EF" w:rsidRDefault="00F262EF" w:rsidP="007B0C8F">
            <w:r>
              <w:rPr>
                <w:b/>
                <w:bCs/>
              </w:rPr>
              <w:t>N</w:t>
            </w:r>
          </w:p>
        </w:tc>
        <w:tc>
          <w:tcPr>
            <w:tcW w:w="0" w:type="auto"/>
            <w:vAlign w:val="center"/>
            <w:hideMark/>
          </w:tcPr>
          <w:p w14:paraId="4A34376E" w14:textId="77777777" w:rsidR="00F262EF" w:rsidRDefault="00F262EF" w:rsidP="007B0C8F">
            <w:r>
              <w:rPr>
                <w:b/>
                <w:bCs/>
              </w:rPr>
              <w:t>PA (</w:t>
            </w:r>
            <w:r>
              <w:rPr>
                <w:rStyle w:val="mord"/>
                <w:b/>
                <w:bCs/>
              </w:rPr>
              <w:t>Xˉ</w:t>
            </w:r>
            <w:r>
              <w:rPr>
                <w:rStyle w:val="mbin"/>
                <w:b/>
                <w:bCs/>
              </w:rPr>
              <w:t>±</w:t>
            </w:r>
            <w:r>
              <w:rPr>
                <w:rStyle w:val="mord"/>
                <w:b/>
                <w:bCs/>
              </w:rPr>
              <w:t>SD</w:t>
            </w:r>
            <w:r>
              <w:rPr>
                <w:b/>
                <w:bCs/>
              </w:rPr>
              <w:t>)</w:t>
            </w:r>
          </w:p>
        </w:tc>
        <w:tc>
          <w:tcPr>
            <w:tcW w:w="0" w:type="auto"/>
            <w:vAlign w:val="center"/>
            <w:hideMark/>
          </w:tcPr>
          <w:p w14:paraId="503F47A8" w14:textId="77777777" w:rsidR="00F262EF" w:rsidRDefault="00F262EF" w:rsidP="007B0C8F">
            <w:r>
              <w:rPr>
                <w:b/>
                <w:bCs/>
              </w:rPr>
              <w:t>DP (</w:t>
            </w:r>
            <w:r>
              <w:rPr>
                <w:rStyle w:val="mord"/>
                <w:b/>
                <w:bCs/>
              </w:rPr>
              <w:t>Xˉ</w:t>
            </w:r>
            <w:r>
              <w:rPr>
                <w:rStyle w:val="mbin"/>
                <w:b/>
                <w:bCs/>
              </w:rPr>
              <w:t>±</w:t>
            </w:r>
            <w:r>
              <w:rPr>
                <w:rStyle w:val="mord"/>
                <w:b/>
                <w:bCs/>
              </w:rPr>
              <w:t>SD</w:t>
            </w:r>
            <w:r>
              <w:rPr>
                <w:b/>
                <w:bCs/>
              </w:rPr>
              <w:t>)</w:t>
            </w:r>
          </w:p>
        </w:tc>
      </w:tr>
      <w:tr w:rsidR="00F262EF" w14:paraId="2245F4ED" w14:textId="77777777" w:rsidTr="007B0C8F">
        <w:trPr>
          <w:tblCellSpacing w:w="15" w:type="dxa"/>
        </w:trPr>
        <w:tc>
          <w:tcPr>
            <w:tcW w:w="0" w:type="auto"/>
            <w:vAlign w:val="center"/>
            <w:hideMark/>
          </w:tcPr>
          <w:p w14:paraId="5296E02B" w14:textId="77777777" w:rsidR="00F262EF" w:rsidRDefault="00F262EF" w:rsidP="007B0C8F">
            <w:r>
              <w:t>Private Practice</w:t>
            </w:r>
          </w:p>
        </w:tc>
        <w:tc>
          <w:tcPr>
            <w:tcW w:w="0" w:type="auto"/>
            <w:vAlign w:val="center"/>
            <w:hideMark/>
          </w:tcPr>
          <w:p w14:paraId="0122BEDF" w14:textId="77777777" w:rsidR="00F262EF" w:rsidRDefault="00F262EF" w:rsidP="007B0C8F">
            <w:r>
              <w:t>33</w:t>
            </w:r>
          </w:p>
        </w:tc>
        <w:tc>
          <w:tcPr>
            <w:tcW w:w="0" w:type="auto"/>
            <w:vAlign w:val="center"/>
            <w:hideMark/>
          </w:tcPr>
          <w:p w14:paraId="2D011E0C" w14:textId="77777777" w:rsidR="00F262EF" w:rsidRDefault="00F262EF" w:rsidP="007B0C8F">
            <w:r>
              <w:rPr>
                <w:rStyle w:val="mord"/>
              </w:rPr>
              <w:t>1.91</w:t>
            </w:r>
            <w:r>
              <w:rPr>
                <w:rStyle w:val="mbin"/>
              </w:rPr>
              <w:t>±</w:t>
            </w:r>
            <w:r>
              <w:rPr>
                <w:rStyle w:val="mord"/>
              </w:rPr>
              <w:t>0.77</w:t>
            </w:r>
          </w:p>
        </w:tc>
        <w:tc>
          <w:tcPr>
            <w:tcW w:w="0" w:type="auto"/>
            <w:vAlign w:val="center"/>
            <w:hideMark/>
          </w:tcPr>
          <w:p w14:paraId="1EEA6C35" w14:textId="77777777" w:rsidR="00F262EF" w:rsidRDefault="00F262EF" w:rsidP="007B0C8F">
            <w:r>
              <w:rPr>
                <w:rStyle w:val="mord"/>
              </w:rPr>
              <w:t>2.18</w:t>
            </w:r>
            <w:r>
              <w:rPr>
                <w:rStyle w:val="mbin"/>
              </w:rPr>
              <w:t>±</w:t>
            </w:r>
            <w:r>
              <w:rPr>
                <w:rStyle w:val="mord"/>
              </w:rPr>
              <w:t>0.77</w:t>
            </w:r>
          </w:p>
        </w:tc>
      </w:tr>
      <w:tr w:rsidR="00F262EF" w14:paraId="00416440" w14:textId="77777777" w:rsidTr="007B0C8F">
        <w:trPr>
          <w:tblCellSpacing w:w="15" w:type="dxa"/>
        </w:trPr>
        <w:tc>
          <w:tcPr>
            <w:tcW w:w="0" w:type="auto"/>
            <w:vAlign w:val="center"/>
            <w:hideMark/>
          </w:tcPr>
          <w:p w14:paraId="70D1E4C0" w14:textId="77777777" w:rsidR="00F262EF" w:rsidRDefault="00F262EF" w:rsidP="007B0C8F">
            <w:r>
              <w:t>State Hospital / ADSM</w:t>
            </w:r>
          </w:p>
        </w:tc>
        <w:tc>
          <w:tcPr>
            <w:tcW w:w="0" w:type="auto"/>
            <w:vAlign w:val="center"/>
            <w:hideMark/>
          </w:tcPr>
          <w:p w14:paraId="3F41883B" w14:textId="77777777" w:rsidR="00F262EF" w:rsidRDefault="00F262EF" w:rsidP="007B0C8F">
            <w:r>
              <w:t>12</w:t>
            </w:r>
          </w:p>
        </w:tc>
        <w:tc>
          <w:tcPr>
            <w:tcW w:w="0" w:type="auto"/>
            <w:vAlign w:val="center"/>
            <w:hideMark/>
          </w:tcPr>
          <w:p w14:paraId="50142603" w14:textId="77777777" w:rsidR="00F262EF" w:rsidRDefault="00F262EF" w:rsidP="007B0C8F">
            <w:r>
              <w:rPr>
                <w:rStyle w:val="mord"/>
              </w:rPr>
              <w:t>2.42</w:t>
            </w:r>
            <w:r>
              <w:rPr>
                <w:rStyle w:val="mbin"/>
              </w:rPr>
              <w:t>±</w:t>
            </w:r>
            <w:r>
              <w:rPr>
                <w:rStyle w:val="mord"/>
              </w:rPr>
              <w:t>0.79</w:t>
            </w:r>
          </w:p>
        </w:tc>
        <w:tc>
          <w:tcPr>
            <w:tcW w:w="0" w:type="auto"/>
            <w:vAlign w:val="center"/>
            <w:hideMark/>
          </w:tcPr>
          <w:p w14:paraId="30030E1E" w14:textId="77777777" w:rsidR="00F262EF" w:rsidRDefault="00F262EF" w:rsidP="007B0C8F">
            <w:r>
              <w:rPr>
                <w:rStyle w:val="mord"/>
              </w:rPr>
              <w:t>2.33</w:t>
            </w:r>
            <w:r>
              <w:rPr>
                <w:rStyle w:val="mbin"/>
              </w:rPr>
              <w:t>±</w:t>
            </w:r>
            <w:r>
              <w:rPr>
                <w:rStyle w:val="mord"/>
              </w:rPr>
              <w:t>0.65</w:t>
            </w:r>
          </w:p>
        </w:tc>
      </w:tr>
      <w:tr w:rsidR="00F262EF" w14:paraId="059B1A16" w14:textId="77777777" w:rsidTr="007B0C8F">
        <w:trPr>
          <w:tblCellSpacing w:w="15" w:type="dxa"/>
        </w:trPr>
        <w:tc>
          <w:tcPr>
            <w:tcW w:w="0" w:type="auto"/>
            <w:vAlign w:val="center"/>
            <w:hideMark/>
          </w:tcPr>
          <w:p w14:paraId="67AFAC6F" w14:textId="77777777" w:rsidR="00F262EF" w:rsidRDefault="00F262EF" w:rsidP="007B0C8F">
            <w:r>
              <w:t>University Hospital</w:t>
            </w:r>
          </w:p>
        </w:tc>
        <w:tc>
          <w:tcPr>
            <w:tcW w:w="0" w:type="auto"/>
            <w:vAlign w:val="center"/>
            <w:hideMark/>
          </w:tcPr>
          <w:p w14:paraId="59771F93" w14:textId="77777777" w:rsidR="00F262EF" w:rsidRDefault="00F262EF" w:rsidP="007B0C8F">
            <w:r>
              <w:t>22</w:t>
            </w:r>
          </w:p>
        </w:tc>
        <w:tc>
          <w:tcPr>
            <w:tcW w:w="0" w:type="auto"/>
            <w:vAlign w:val="center"/>
            <w:hideMark/>
          </w:tcPr>
          <w:p w14:paraId="4A033F4A" w14:textId="77777777" w:rsidR="00F262EF" w:rsidRDefault="00F262EF" w:rsidP="007B0C8F">
            <w:r>
              <w:rPr>
                <w:rStyle w:val="mord"/>
              </w:rPr>
              <w:t>2.09</w:t>
            </w:r>
            <w:r>
              <w:rPr>
                <w:rStyle w:val="mbin"/>
              </w:rPr>
              <w:t>±</w:t>
            </w:r>
            <w:r>
              <w:rPr>
                <w:rStyle w:val="mord"/>
              </w:rPr>
              <w:t>0.81</w:t>
            </w:r>
          </w:p>
        </w:tc>
        <w:tc>
          <w:tcPr>
            <w:tcW w:w="0" w:type="auto"/>
            <w:vAlign w:val="center"/>
            <w:hideMark/>
          </w:tcPr>
          <w:p w14:paraId="799FE181" w14:textId="77777777" w:rsidR="00F262EF" w:rsidRDefault="00F262EF" w:rsidP="007B0C8F">
            <w:r>
              <w:rPr>
                <w:rStyle w:val="mord"/>
              </w:rPr>
              <w:t>2.27</w:t>
            </w:r>
            <w:r>
              <w:rPr>
                <w:rStyle w:val="mbin"/>
              </w:rPr>
              <w:t>±</w:t>
            </w:r>
            <w:r>
              <w:rPr>
                <w:rStyle w:val="mord"/>
              </w:rPr>
              <w:t>0.83</w:t>
            </w:r>
          </w:p>
        </w:tc>
      </w:tr>
      <w:tr w:rsidR="00F262EF" w14:paraId="57BDD078" w14:textId="77777777" w:rsidTr="007B0C8F">
        <w:trPr>
          <w:tblCellSpacing w:w="15" w:type="dxa"/>
        </w:trPr>
        <w:tc>
          <w:tcPr>
            <w:tcW w:w="0" w:type="auto"/>
            <w:vAlign w:val="center"/>
            <w:hideMark/>
          </w:tcPr>
          <w:p w14:paraId="2A447A29" w14:textId="77777777" w:rsidR="00F262EF" w:rsidRDefault="00F262EF" w:rsidP="007B0C8F">
            <w:r>
              <w:rPr>
                <w:b/>
                <w:bCs/>
              </w:rPr>
              <w:t>Private Hospital / Clinic</w:t>
            </w:r>
          </w:p>
        </w:tc>
        <w:tc>
          <w:tcPr>
            <w:tcW w:w="0" w:type="auto"/>
            <w:vAlign w:val="center"/>
            <w:hideMark/>
          </w:tcPr>
          <w:p w14:paraId="200F4B44" w14:textId="77777777" w:rsidR="00F262EF" w:rsidRDefault="00F262EF" w:rsidP="007B0C8F">
            <w:r>
              <w:rPr>
                <w:b/>
                <w:bCs/>
              </w:rPr>
              <w:t>38</w:t>
            </w:r>
          </w:p>
        </w:tc>
        <w:tc>
          <w:tcPr>
            <w:tcW w:w="0" w:type="auto"/>
            <w:vAlign w:val="center"/>
            <w:hideMark/>
          </w:tcPr>
          <w:p w14:paraId="05C7376A" w14:textId="77777777" w:rsidR="00F262EF" w:rsidRDefault="00F262EF" w:rsidP="007B0C8F">
            <w:r>
              <w:rPr>
                <w:rStyle w:val="mord"/>
                <w:b/>
                <w:bCs/>
              </w:rPr>
              <w:t>1.87</w:t>
            </w:r>
            <w:r>
              <w:rPr>
                <w:rStyle w:val="mbin"/>
                <w:b/>
                <w:bCs/>
              </w:rPr>
              <w:t>±</w:t>
            </w:r>
            <w:r>
              <w:rPr>
                <w:rStyle w:val="mord"/>
                <w:b/>
                <w:bCs/>
              </w:rPr>
              <w:t>0.78</w:t>
            </w:r>
          </w:p>
        </w:tc>
        <w:tc>
          <w:tcPr>
            <w:tcW w:w="0" w:type="auto"/>
            <w:vAlign w:val="center"/>
            <w:hideMark/>
          </w:tcPr>
          <w:p w14:paraId="46A58A77" w14:textId="77777777" w:rsidR="00F262EF" w:rsidRDefault="00F262EF" w:rsidP="007B0C8F">
            <w:r>
              <w:rPr>
                <w:rStyle w:val="mord"/>
                <w:b/>
                <w:bCs/>
              </w:rPr>
              <w:t>2.39</w:t>
            </w:r>
            <w:r>
              <w:rPr>
                <w:rStyle w:val="mbin"/>
                <w:b/>
                <w:bCs/>
              </w:rPr>
              <w:t>±</w:t>
            </w:r>
            <w:r>
              <w:rPr>
                <w:rStyle w:val="mord"/>
                <w:b/>
                <w:bCs/>
              </w:rPr>
              <w:t>0.72</w:t>
            </w:r>
          </w:p>
        </w:tc>
      </w:tr>
      <w:tr w:rsidR="00F262EF" w14:paraId="66A9A36A" w14:textId="77777777" w:rsidTr="007B0C8F">
        <w:trPr>
          <w:tblCellSpacing w:w="15" w:type="dxa"/>
        </w:trPr>
        <w:tc>
          <w:tcPr>
            <w:tcW w:w="0" w:type="auto"/>
            <w:vAlign w:val="center"/>
            <w:hideMark/>
          </w:tcPr>
          <w:p w14:paraId="27F3723F" w14:textId="77777777" w:rsidR="00F262EF" w:rsidRDefault="00F262EF" w:rsidP="007B0C8F">
            <w:r>
              <w:t>Institutional Center</w:t>
            </w:r>
          </w:p>
        </w:tc>
        <w:tc>
          <w:tcPr>
            <w:tcW w:w="0" w:type="auto"/>
            <w:vAlign w:val="center"/>
            <w:hideMark/>
          </w:tcPr>
          <w:p w14:paraId="4172AEE2" w14:textId="77777777" w:rsidR="00F262EF" w:rsidRDefault="00F262EF" w:rsidP="007B0C8F">
            <w:r>
              <w:t>1</w:t>
            </w:r>
          </w:p>
        </w:tc>
        <w:tc>
          <w:tcPr>
            <w:tcW w:w="0" w:type="auto"/>
            <w:vAlign w:val="center"/>
            <w:hideMark/>
          </w:tcPr>
          <w:p w14:paraId="67ABDF54" w14:textId="77777777" w:rsidR="00F262EF" w:rsidRDefault="00F262EF" w:rsidP="007B0C8F">
            <w:r>
              <w:rPr>
                <w:rStyle w:val="mord"/>
              </w:rPr>
              <w:t>1.00</w:t>
            </w:r>
            <w:r>
              <w:rPr>
                <w:rStyle w:val="mbin"/>
              </w:rPr>
              <w:t>±</w:t>
            </w:r>
            <w:r>
              <w:rPr>
                <w:rStyle w:val="mord"/>
              </w:rPr>
              <w:t>−</w:t>
            </w:r>
          </w:p>
        </w:tc>
        <w:tc>
          <w:tcPr>
            <w:tcW w:w="0" w:type="auto"/>
            <w:vAlign w:val="center"/>
            <w:hideMark/>
          </w:tcPr>
          <w:p w14:paraId="47A38171" w14:textId="77777777" w:rsidR="00F262EF" w:rsidRDefault="00F262EF" w:rsidP="007B0C8F">
            <w:r>
              <w:rPr>
                <w:rStyle w:val="mord"/>
              </w:rPr>
              <w:t>2.00</w:t>
            </w:r>
            <w:r>
              <w:rPr>
                <w:rStyle w:val="mbin"/>
              </w:rPr>
              <w:t>±</w:t>
            </w:r>
            <w:r>
              <w:rPr>
                <w:rStyle w:val="mord"/>
              </w:rPr>
              <w:t>−</w:t>
            </w:r>
          </w:p>
        </w:tc>
      </w:tr>
    </w:tbl>
    <w:p w14:paraId="14EF11C5" w14:textId="77777777" w:rsidR="00F262EF" w:rsidRPr="00CF4C82" w:rsidRDefault="00F262EF" w:rsidP="00F262EF">
      <w:pPr>
        <w:spacing w:after="0" w:line="240" w:lineRule="auto"/>
        <w:rPr>
          <w:rFonts w:ascii="Times New Roman" w:eastAsia="Times New Roman" w:hAnsi="Times New Roman" w:cs="Times New Roman"/>
          <w:sz w:val="24"/>
          <w:szCs w:val="24"/>
          <w:lang w:eastAsia="tr-TR"/>
        </w:rPr>
      </w:pPr>
    </w:p>
    <w:p w14:paraId="4BCC774E" w14:textId="77777777" w:rsidR="00F262EF" w:rsidRDefault="00F262EF" w:rsidP="00F262EF">
      <w:pPr>
        <w:pStyle w:val="Heading2"/>
        <w:spacing w:after="120" w:afterAutospacing="0"/>
        <w:rPr>
          <w:color w:val="1B1C1D"/>
        </w:rPr>
      </w:pPr>
    </w:p>
    <w:p w14:paraId="3B9F17B4" w14:textId="5E0E3CAB" w:rsidR="00F262EF" w:rsidRDefault="00F262EF" w:rsidP="00F262EF">
      <w:pPr>
        <w:spacing w:after="120"/>
        <w:rPr>
          <w:color w:val="1B1C1D"/>
        </w:rPr>
      </w:pPr>
    </w:p>
    <w:p w14:paraId="615D21CA" w14:textId="298197B2" w:rsidR="00F262EF" w:rsidRDefault="00F262EF" w:rsidP="00F262EF">
      <w:pPr>
        <w:pStyle w:val="Heading2"/>
        <w:spacing w:after="120" w:afterAutospacing="0"/>
        <w:rPr>
          <w:color w:val="1B1C1D"/>
        </w:rPr>
      </w:pPr>
      <w:r>
        <w:rPr>
          <w:color w:val="1B1C1D"/>
        </w:rPr>
        <w:t xml:space="preserve">5. DISCUSSION </w:t>
      </w:r>
    </w:p>
    <w:p w14:paraId="4CE63493" w14:textId="77777777" w:rsidR="00F262EF" w:rsidRDefault="00F262EF" w:rsidP="00F262EF">
      <w:pPr>
        <w:pStyle w:val="NormalWeb"/>
        <w:spacing w:after="0" w:afterAutospacing="0"/>
        <w:rPr>
          <w:color w:val="1B1C1D"/>
        </w:rPr>
      </w:pPr>
      <w:r>
        <w:rPr>
          <w:color w:val="1B1C1D"/>
        </w:rPr>
        <w:t xml:space="preserve">In this study, the </w:t>
      </w:r>
      <w:r>
        <w:rPr>
          <w:b/>
          <w:bCs/>
          <w:color w:val="1B1C1D"/>
          <w:bdr w:val="none" w:sz="0" w:space="0" w:color="auto" w:frame="1"/>
        </w:rPr>
        <w:t>association</w:t>
      </w:r>
      <w:r>
        <w:rPr>
          <w:color w:val="1B1C1D"/>
        </w:rPr>
        <w:t xml:space="preserve"> between burnout levels and demographic and professional variables among dentists in Kayseri, Turkey, was investigated. The data obtained show that factors such as work environment, age, marital status, and specialization </w:t>
      </w:r>
      <w:r>
        <w:rPr>
          <w:b/>
          <w:bCs/>
          <w:color w:val="1B1C1D"/>
          <w:bdr w:val="none" w:sz="0" w:space="0" w:color="auto" w:frame="1"/>
        </w:rPr>
        <w:t>are significantly associated with</w:t>
      </w:r>
      <w:r>
        <w:rPr>
          <w:color w:val="1B1C1D"/>
        </w:rPr>
        <w:t xml:space="preserve"> burnout levels, mirroring many international findings while highlighting local specifics.</w:t>
      </w:r>
    </w:p>
    <w:p w14:paraId="367BBE59" w14:textId="557FBC8B" w:rsidR="00F262EF" w:rsidRDefault="00F262EF" w:rsidP="00F262EF">
      <w:pPr>
        <w:pStyle w:val="NormalWeb"/>
        <w:spacing w:after="0" w:afterAutospacing="0"/>
        <w:rPr>
          <w:color w:val="1B1C1D"/>
        </w:rPr>
      </w:pPr>
      <w:r>
        <w:rPr>
          <w:color w:val="1B1C1D"/>
        </w:rPr>
        <w:t xml:space="preserve">The overall mean MBI scores (EE: </w:t>
      </w:r>
      <w:r>
        <w:rPr>
          <w:rStyle w:val="math-inline"/>
          <w:color w:val="1B1C1D"/>
          <w:bdr w:val="none" w:sz="0" w:space="0" w:color="auto" w:frame="1"/>
        </w:rPr>
        <w:t>$25.1 \pm 11.2$</w:t>
      </w:r>
      <w:r>
        <w:rPr>
          <w:color w:val="1B1C1D"/>
        </w:rPr>
        <w:t xml:space="preserve">, DP: </w:t>
      </w:r>
      <w:r>
        <w:rPr>
          <w:rStyle w:val="math-inline"/>
          <w:color w:val="1B1C1D"/>
          <w:bdr w:val="none" w:sz="0" w:space="0" w:color="auto" w:frame="1"/>
        </w:rPr>
        <w:t>$10.2 \pm 5.9$</w:t>
      </w:r>
      <w:r>
        <w:rPr>
          <w:color w:val="1B1C1D"/>
        </w:rPr>
        <w:t xml:space="preserve">, PA: </w:t>
      </w:r>
      <w:r>
        <w:rPr>
          <w:rStyle w:val="math-inline"/>
          <w:color w:val="1B1C1D"/>
          <w:bdr w:val="none" w:sz="0" w:space="0" w:color="auto" w:frame="1"/>
        </w:rPr>
        <w:t>$36.5 \pm 8.1$</w:t>
      </w:r>
      <w:r>
        <w:rPr>
          <w:color w:val="1B1C1D"/>
        </w:rPr>
        <w:t xml:space="preserve">) indicate a moderate level of burnout, consistent with the findings from large-scale studies in Europe and the US (Calvo JM, 2021). The prevalence of burnout at this moderate level suggests that while acute crisis may not be widespread, a substantial portion of the workforce operates under chronic, detrimental stress that warrants organizational attention. This finding aligns with the systematic review by Amoafo et al. (2016), which highlighted the endemic nature of occupational stress across various countries. </w:t>
      </w:r>
      <w:r>
        <w:rPr>
          <w:b/>
          <w:bCs/>
          <w:color w:val="1B1C1D"/>
          <w:bdr w:val="none" w:sz="0" w:space="0" w:color="auto" w:frame="1"/>
        </w:rPr>
        <w:t xml:space="preserve">The raw scores, particularly for </w:t>
      </w:r>
      <w:r>
        <w:rPr>
          <w:b/>
          <w:bCs/>
          <w:color w:val="1B1C1D"/>
          <w:bdr w:val="none" w:sz="0" w:space="0" w:color="auto" w:frame="1"/>
        </w:rPr>
        <w:lastRenderedPageBreak/>
        <w:t xml:space="preserve">EE, fall near the moderate-to-high threshold when compared against established international MBI norms (typically EE </w:t>
      </w:r>
      <w:r>
        <w:rPr>
          <w:rStyle w:val="math-inline"/>
          <w:b/>
          <w:bCs/>
          <w:color w:val="1B1C1D"/>
          <w:bdr w:val="none" w:sz="0" w:space="0" w:color="auto" w:frame="1"/>
        </w:rPr>
        <w:t>$\geq 27$</w:t>
      </w:r>
      <w:r>
        <w:rPr>
          <w:b/>
          <w:bCs/>
          <w:color w:val="1B1C1D"/>
          <w:bdr w:val="none" w:sz="0" w:space="0" w:color="auto" w:frame="1"/>
        </w:rPr>
        <w:t xml:space="preserve"> is high), suggesting that the Turkish dental population is approaching a high-risk category for emotional depletion.</w:t>
      </w:r>
    </w:p>
    <w:p w14:paraId="44423918" w14:textId="59B14898" w:rsidR="00F262EF" w:rsidRDefault="00F262EF" w:rsidP="00F262EF">
      <w:pPr>
        <w:pStyle w:val="NormalWeb"/>
        <w:spacing w:after="0" w:afterAutospacing="0"/>
        <w:rPr>
          <w:color w:val="1B1C1D"/>
        </w:rPr>
      </w:pPr>
      <w:r>
        <w:rPr>
          <w:color w:val="1B1C1D"/>
        </w:rPr>
        <w:t>A majority of the participants were young dentists in the 20–39 age range. The analysis revealed a higher Personal Accomplishment (PA) level in this group, which tended to decrease with advancing age (Te Brake JH, 2008).  This suggests that younger practitioners may have higher initial career motivation and idealism (hence high PA), which subsequently diminishes as burnout symptoms potentially increase over time due to accumulating professional demands and administrative burdens. As observed in Table 3, the sharp drop in PA between the 20-29 group (Xˉ=2.46) and the 40-49 group (Xˉ=1.20) is particularly striking, demonstrating a clear erosion of the feeling of effectiveness over the span of a career. This dynamic decline in PA is a classic sign of the prolonged erosion of professional identity.</w:t>
      </w:r>
    </w:p>
    <w:p w14:paraId="3B95229D" w14:textId="28B534EC" w:rsidR="00F262EF" w:rsidRDefault="00F262EF" w:rsidP="00F262EF">
      <w:pPr>
        <w:pStyle w:val="NormalWeb"/>
        <w:spacing w:after="0" w:afterAutospacing="0"/>
        <w:rPr>
          <w:color w:val="1B1C1D"/>
        </w:rPr>
      </w:pPr>
      <w:r>
        <w:rPr>
          <w:color w:val="1B1C1D"/>
        </w:rPr>
        <w:t xml:space="preserve">The analysis of marital status indicated that single dentists had higher burnout scores </w:t>
      </w:r>
      <w:r>
        <w:rPr>
          <w:b/>
          <w:bCs/>
          <w:color w:val="1B1C1D"/>
          <w:bdr w:val="none" w:sz="0" w:space="0" w:color="auto" w:frame="1"/>
        </w:rPr>
        <w:t>associated with</w:t>
      </w:r>
      <w:r>
        <w:rPr>
          <w:color w:val="1B1C1D"/>
        </w:rPr>
        <w:t xml:space="preserve"> them compared to their married counterparts.  This finding strongly suggests that married individuals may benefit more from social support mechanisms provided by a stable home environment, which could play a mitigating role against the emotional depletion characteristic of burnout. Indeed, the literature frequently reports that a lack of social support is one of the most significant risk factors </w:t>
      </w:r>
      <w:r>
        <w:rPr>
          <w:b/>
          <w:bCs/>
          <w:color w:val="1B1C1D"/>
          <w:bdr w:val="none" w:sz="0" w:space="0" w:color="auto" w:frame="1"/>
        </w:rPr>
        <w:t>associated with</w:t>
      </w:r>
      <w:r>
        <w:rPr>
          <w:color w:val="1B1C1D"/>
        </w:rPr>
        <w:t xml:space="preserve"> increased burnout (Amoafo G, 2016). Social support acts as a critical external resource that helps individuals cope with high job demands, effectively buffering the stress response.</w:t>
      </w:r>
    </w:p>
    <w:p w14:paraId="635DB328" w14:textId="6684ADAA" w:rsidR="00F262EF" w:rsidRDefault="00F262EF" w:rsidP="00F262EF">
      <w:pPr>
        <w:pStyle w:val="NormalWeb"/>
        <w:spacing w:after="0" w:afterAutospacing="0"/>
        <w:rPr>
          <w:color w:val="1B1C1D"/>
        </w:rPr>
      </w:pPr>
      <w:r>
        <w:rPr>
          <w:color w:val="1B1C1D"/>
        </w:rPr>
        <w:t>Data concerning the type of work setting showed that dentists working in State Hospitals/ADSM reported the highest Personal Accomplishment levels (Table 5, Xˉ=2.42). Conversely, the elevated scores for Depersonalization (DP) (Xˉ=2.39) and Emotional Exhaustion (EE) (Xˉ=1.82) observed in the Private Hospital/Clinic group suggest that performance pressures, intensive marketing, and high patient loads driven by commercial targets in the private sector contribute significantly to burnout (Calvo JM, 2021). This contrast highlights the dualistic nature of stress in the Turkish system. While the public sector offers stability and clear job definitions, leading to higher PA, the private sector's focus on profitability and patient volume appears to generate higher levels of cynicism (DP) and fatigue (EE). The systematic review by Rêgo et al. (2021) also found that work-related factors, specifically high patient volume and lack of autonomy, are major contributors to EE and DP dimensions worldwide. Due to the insufficient sample size in the Institutional Oral and Dental Health Center group, generalization for this category is not appropriate.</w:t>
      </w:r>
    </w:p>
    <w:p w14:paraId="1CAEE25F" w14:textId="2FADDF94" w:rsidR="00F262EF" w:rsidRDefault="00F262EF" w:rsidP="00F262EF">
      <w:pPr>
        <w:pStyle w:val="NormalWeb"/>
        <w:spacing w:after="0" w:afterAutospacing="0"/>
        <w:rPr>
          <w:color w:val="1B1C1D"/>
        </w:rPr>
      </w:pPr>
      <w:r>
        <w:rPr>
          <w:color w:val="1B1C1D"/>
        </w:rPr>
        <w:t xml:space="preserve">Regarding specialist status, general dentists (GDs) were found to experience higher levels of burnout </w:t>
      </w:r>
      <w:r>
        <w:rPr>
          <w:b/>
          <w:bCs/>
          <w:color w:val="1B1C1D"/>
          <w:bdr w:val="none" w:sz="0" w:space="0" w:color="auto" w:frame="1"/>
        </w:rPr>
        <w:t>associated with</w:t>
      </w:r>
      <w:r>
        <w:rPr>
          <w:color w:val="1B1C1D"/>
        </w:rPr>
        <w:t xml:space="preserve"> them compared to specialists. This indicates that GDs may be more affected by the general professional workload and the wide spectrum of clinical challenges they face. Factors such as the clearer definition of roles, reduced ambiguity in treatment planning, and increased professional competence gained through specialist training may account for this difference. Specialists operate within a narrower, more defined scope, which might translate into a greater sense of mastery and, consequently, higher Personal Accomplishment scores. Furthermore, the referral system protects specialists from the daily barrage of primary care issues often managed by GDs.</w:t>
      </w:r>
    </w:p>
    <w:p w14:paraId="7C2F0C02" w14:textId="77777777" w:rsidR="00F262EF" w:rsidRDefault="00F262EF" w:rsidP="00F262EF">
      <w:pPr>
        <w:pStyle w:val="NormalWeb"/>
        <w:spacing w:after="0" w:afterAutospacing="0"/>
        <w:rPr>
          <w:color w:val="1B1C1D"/>
        </w:rPr>
      </w:pPr>
      <w:r>
        <w:rPr>
          <w:b/>
          <w:bCs/>
          <w:color w:val="1B1C1D"/>
          <w:bdr w:val="none" w:sz="0" w:space="0" w:color="auto" w:frame="1"/>
        </w:rPr>
        <w:t>Limitations:</w:t>
      </w:r>
      <w:r>
        <w:rPr>
          <w:color w:val="1B1C1D"/>
        </w:rPr>
        <w:t xml:space="preserve"> This study has several limitations inherent to its design. First, the use of a convenience sampling technique and the relatively small sample size (N=106) limit the generalizability of the findings, particularly to the broader Turkish dental population. Second, the </w:t>
      </w:r>
      <w:r>
        <w:rPr>
          <w:b/>
          <w:bCs/>
          <w:color w:val="1B1C1D"/>
          <w:bdr w:val="none" w:sz="0" w:space="0" w:color="auto" w:frame="1"/>
        </w:rPr>
        <w:t>cross-sectional design prevents the establishment of causal relationships; therefore, the findings show associations only.</w:t>
      </w:r>
      <w:r>
        <w:rPr>
          <w:color w:val="1B1C1D"/>
        </w:rPr>
        <w:t xml:space="preserve"> Third, the analysis relied exclusively on bivariate statistical methods (t-tests and ANOVA). </w:t>
      </w:r>
      <w:r>
        <w:rPr>
          <w:b/>
          <w:bCs/>
          <w:color w:val="1B1C1D"/>
          <w:bdr w:val="none" w:sz="0" w:space="0" w:color="auto" w:frame="1"/>
        </w:rPr>
        <w:t>The lack of multivariate regression analysis means that potential confounding factors, such as the inherent correlation between age (older individuals are more likely to be married) and marital status, could not be statistically controlled. This limitation means the observed associations might be influenced by unmeasured or uncontrolled variables, making the interpretation of isolated variables tentative.</w:t>
      </w:r>
      <w:r>
        <w:rPr>
          <w:color w:val="1B1C1D"/>
        </w:rPr>
        <w:t xml:space="preserve"> Future research should utilize </w:t>
      </w:r>
      <w:r>
        <w:rPr>
          <w:color w:val="1B1C1D"/>
        </w:rPr>
        <w:lastRenderedPageBreak/>
        <w:t xml:space="preserve">larger, multi-center, longitudinal designs and employ multivariate statistical methods to confirm the </w:t>
      </w:r>
      <w:r>
        <w:rPr>
          <w:b/>
          <w:bCs/>
          <w:color w:val="1B1C1D"/>
          <w:bdr w:val="none" w:sz="0" w:space="0" w:color="auto" w:frame="1"/>
        </w:rPr>
        <w:t>associated factors</w:t>
      </w:r>
      <w:r>
        <w:rPr>
          <w:color w:val="1B1C1D"/>
        </w:rPr>
        <w:t xml:space="preserve"> of burnout and to accurately model the complex interplay between professional, demographic, and organizational variables in this profession.</w:t>
      </w:r>
    </w:p>
    <w:p w14:paraId="33EC9D17" w14:textId="77777777" w:rsidR="00F262EF" w:rsidRDefault="00F262EF" w:rsidP="00F262EF">
      <w:pPr>
        <w:pStyle w:val="NormalWeb"/>
        <w:spacing w:after="0" w:afterAutospacing="0"/>
        <w:rPr>
          <w:color w:val="1B1C1D"/>
        </w:rPr>
      </w:pPr>
      <w:r>
        <w:rPr>
          <w:color w:val="1B1C1D"/>
        </w:rPr>
        <w:t xml:space="preserve">In conclusion, variables such as working conditions, age, marital status, and professional status </w:t>
      </w:r>
      <w:r>
        <w:rPr>
          <w:b/>
          <w:bCs/>
          <w:color w:val="1B1C1D"/>
          <w:bdr w:val="none" w:sz="0" w:space="0" w:color="auto" w:frame="1"/>
        </w:rPr>
        <w:t>are significantly associated with</w:t>
      </w:r>
      <w:r>
        <w:rPr>
          <w:color w:val="1B1C1D"/>
        </w:rPr>
        <w:t xml:space="preserve"> burnout levels among dentists. These findings highlight the necessity for targeted, multi-level interventions at both the individual (e.g., resilience training) and organizational levels (e.g., workload redistribution, enhanced support systems).</w:t>
      </w:r>
    </w:p>
    <w:p w14:paraId="175358A5" w14:textId="77777777" w:rsidR="00F262EF" w:rsidRDefault="002F31CC" w:rsidP="00F262EF">
      <w:pPr>
        <w:spacing w:after="120"/>
        <w:rPr>
          <w:color w:val="1B1C1D"/>
        </w:rPr>
      </w:pPr>
      <w:r>
        <w:rPr>
          <w:color w:val="1B1C1D"/>
        </w:rPr>
        <w:pict w14:anchorId="19FB9EB4">
          <v:rect id="_x0000_i1027" style="width:0;height:1.5pt" o:hralign="center" o:hrstd="t" o:hrnoshade="t" o:hr="t" fillcolor="gray" stroked="f"/>
        </w:pict>
      </w:r>
    </w:p>
    <w:p w14:paraId="737C6AE2" w14:textId="765A280A" w:rsidR="00F262EF" w:rsidRDefault="00F262EF" w:rsidP="00F262EF">
      <w:pPr>
        <w:pStyle w:val="Heading2"/>
        <w:spacing w:after="120" w:afterAutospacing="0"/>
        <w:rPr>
          <w:color w:val="1B1C1D"/>
        </w:rPr>
      </w:pPr>
      <w:r>
        <w:rPr>
          <w:color w:val="1B1C1D"/>
        </w:rPr>
        <w:t xml:space="preserve">6. CONCLUSION </w:t>
      </w:r>
    </w:p>
    <w:p w14:paraId="071D621B" w14:textId="77777777" w:rsidR="00F262EF" w:rsidRDefault="00F262EF" w:rsidP="00F262EF">
      <w:pPr>
        <w:pStyle w:val="NormalWeb"/>
        <w:spacing w:after="120" w:afterAutospacing="0"/>
        <w:rPr>
          <w:color w:val="1B1C1D"/>
        </w:rPr>
      </w:pPr>
      <w:r>
        <w:rPr>
          <w:color w:val="1B1C1D"/>
        </w:rPr>
        <w:t>This research aimed to determine the burnout levels of 106 dentists working in Kayseri and analyze these levels according to specific variables using the Maslach Burnout Inventory. The following key findings were reached:</w:t>
      </w:r>
    </w:p>
    <w:p w14:paraId="0D495EFB" w14:textId="77777777" w:rsidR="00F262EF" w:rsidRDefault="00F262EF" w:rsidP="00F262EF">
      <w:pPr>
        <w:pStyle w:val="NormalWeb"/>
        <w:numPr>
          <w:ilvl w:val="0"/>
          <w:numId w:val="12"/>
        </w:numPr>
        <w:spacing w:after="120" w:afterAutospacing="0"/>
        <w:ind w:left="0"/>
        <w:rPr>
          <w:color w:val="1B1C1D"/>
        </w:rPr>
      </w:pPr>
      <w:r>
        <w:rPr>
          <w:color w:val="1B1C1D"/>
        </w:rPr>
        <w:t>A moderate level of burnout was observed among the participating dentists.</w:t>
      </w:r>
    </w:p>
    <w:p w14:paraId="52CD8D5D" w14:textId="77777777" w:rsidR="00F262EF" w:rsidRDefault="00F262EF" w:rsidP="00F262EF">
      <w:pPr>
        <w:pStyle w:val="NormalWeb"/>
        <w:numPr>
          <w:ilvl w:val="0"/>
          <w:numId w:val="12"/>
        </w:numPr>
        <w:spacing w:after="120" w:afterAutospacing="0"/>
        <w:ind w:left="0"/>
        <w:rPr>
          <w:color w:val="1B1C1D"/>
        </w:rPr>
      </w:pPr>
      <w:r>
        <w:rPr>
          <w:color w:val="1B1C1D"/>
        </w:rPr>
        <w:t>Younger dentists showed higher Personal Accomplishment scores, which declined with age.</w:t>
      </w:r>
    </w:p>
    <w:p w14:paraId="32B4FBE2" w14:textId="77777777" w:rsidR="00F262EF" w:rsidRDefault="00F262EF" w:rsidP="00F262EF">
      <w:pPr>
        <w:pStyle w:val="NormalWeb"/>
        <w:numPr>
          <w:ilvl w:val="0"/>
          <w:numId w:val="12"/>
        </w:numPr>
        <w:spacing w:after="0" w:afterAutospacing="0"/>
        <w:ind w:left="0"/>
        <w:rPr>
          <w:color w:val="1B1C1D"/>
        </w:rPr>
      </w:pPr>
      <w:r>
        <w:rPr>
          <w:color w:val="1B1C1D"/>
        </w:rPr>
        <w:t xml:space="preserve">Single individuals exhibited more burnout symptoms </w:t>
      </w:r>
      <w:r>
        <w:rPr>
          <w:b/>
          <w:bCs/>
          <w:color w:val="1B1C1D"/>
          <w:bdr w:val="none" w:sz="0" w:space="0" w:color="auto" w:frame="1"/>
        </w:rPr>
        <w:t>associated with</w:t>
      </w:r>
      <w:r>
        <w:rPr>
          <w:color w:val="1B1C1D"/>
        </w:rPr>
        <w:t xml:space="preserve"> them compared to married individuals.</w:t>
      </w:r>
    </w:p>
    <w:p w14:paraId="642FD16F" w14:textId="77777777" w:rsidR="00F262EF" w:rsidRDefault="00F262EF" w:rsidP="00F262EF">
      <w:pPr>
        <w:pStyle w:val="NormalWeb"/>
        <w:numPr>
          <w:ilvl w:val="0"/>
          <w:numId w:val="12"/>
        </w:numPr>
        <w:spacing w:after="120" w:afterAutospacing="0"/>
        <w:ind w:left="0"/>
        <w:rPr>
          <w:color w:val="1B1C1D"/>
        </w:rPr>
      </w:pPr>
      <w:r>
        <w:rPr>
          <w:color w:val="1B1C1D"/>
        </w:rPr>
        <w:t>Dentists working in State Hospitals/ADSM had higher levels of Personal Accomplishment.</w:t>
      </w:r>
    </w:p>
    <w:p w14:paraId="19828258" w14:textId="77777777" w:rsidR="00F262EF" w:rsidRDefault="00F262EF" w:rsidP="00F262EF">
      <w:pPr>
        <w:pStyle w:val="NormalWeb"/>
        <w:numPr>
          <w:ilvl w:val="0"/>
          <w:numId w:val="12"/>
        </w:numPr>
        <w:spacing w:after="120" w:afterAutospacing="0"/>
        <w:ind w:left="0"/>
        <w:rPr>
          <w:color w:val="1B1C1D"/>
        </w:rPr>
      </w:pPr>
      <w:r>
        <w:rPr>
          <w:color w:val="1B1C1D"/>
        </w:rPr>
        <w:t>Dentists in the private sector experienced higher levels of Emotional Exhaustion and Depersonalization.</w:t>
      </w:r>
    </w:p>
    <w:p w14:paraId="3ECF167A" w14:textId="77777777" w:rsidR="00F262EF" w:rsidRDefault="00F262EF" w:rsidP="00F262EF">
      <w:pPr>
        <w:pStyle w:val="NormalWeb"/>
        <w:numPr>
          <w:ilvl w:val="0"/>
          <w:numId w:val="12"/>
        </w:numPr>
        <w:spacing w:after="0" w:afterAutospacing="0"/>
        <w:ind w:left="0"/>
        <w:rPr>
          <w:color w:val="1B1C1D"/>
        </w:rPr>
      </w:pPr>
      <w:r>
        <w:rPr>
          <w:color w:val="1B1C1D"/>
        </w:rPr>
        <w:t xml:space="preserve">General dentists experienced more burnout </w:t>
      </w:r>
      <w:r>
        <w:rPr>
          <w:b/>
          <w:bCs/>
          <w:color w:val="1B1C1D"/>
          <w:bdr w:val="none" w:sz="0" w:space="0" w:color="auto" w:frame="1"/>
        </w:rPr>
        <w:t>associated with</w:t>
      </w:r>
      <w:r>
        <w:rPr>
          <w:color w:val="1B1C1D"/>
        </w:rPr>
        <w:t xml:space="preserve"> them compared to specialists.</w:t>
      </w:r>
    </w:p>
    <w:p w14:paraId="299E1C1D" w14:textId="77777777" w:rsidR="00F262EF" w:rsidRDefault="00F262EF" w:rsidP="00F262EF">
      <w:pPr>
        <w:pStyle w:val="NormalWeb"/>
        <w:spacing w:after="0" w:afterAutospacing="0"/>
        <w:rPr>
          <w:color w:val="1B1C1D"/>
        </w:rPr>
      </w:pPr>
      <w:r>
        <w:rPr>
          <w:color w:val="1B1C1D"/>
        </w:rPr>
        <w:t xml:space="preserve">These findings reveal the necessity of improving working environments, increasing psychosocial support mechanisms, and providing professional development opportunities to mitigate occupational burnout among dentists. Furthermore, it should be recognized that burnout is not merely an individual problem but a multidimensional issue </w:t>
      </w:r>
      <w:r>
        <w:rPr>
          <w:b/>
          <w:bCs/>
          <w:color w:val="1B1C1D"/>
          <w:bdr w:val="none" w:sz="0" w:space="0" w:color="auto" w:frame="1"/>
        </w:rPr>
        <w:t>associated with</w:t>
      </w:r>
      <w:r>
        <w:rPr>
          <w:color w:val="1B1C1D"/>
        </w:rPr>
        <w:t xml:space="preserve"> systemic and organizational structures.</w:t>
      </w:r>
    </w:p>
    <w:p w14:paraId="31A95D8D" w14:textId="77777777" w:rsidR="00F262EF" w:rsidRDefault="002F31CC" w:rsidP="00F262EF">
      <w:pPr>
        <w:spacing w:after="120"/>
        <w:rPr>
          <w:color w:val="1B1C1D"/>
        </w:rPr>
      </w:pPr>
      <w:r>
        <w:rPr>
          <w:color w:val="1B1C1D"/>
        </w:rPr>
        <w:pict w14:anchorId="650423F3">
          <v:rect id="_x0000_i1028" style="width:0;height:1.5pt" o:hralign="center" o:hrstd="t" o:hrnoshade="t" o:hr="t" fillcolor="gray" stroked="f"/>
        </w:pict>
      </w:r>
    </w:p>
    <w:p w14:paraId="27C5914B"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Disclaimer (Artificial intelligence)</w:t>
      </w:r>
    </w:p>
    <w:p w14:paraId="6163AEA7"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 xml:space="preserve">Option 1: </w:t>
      </w:r>
    </w:p>
    <w:p w14:paraId="483036A7"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Author(s) hereby declare that NO generative AI technologies such as Large Language Models (</w:t>
      </w:r>
      <w:proofErr w:type="spellStart"/>
      <w:r w:rsidRPr="006F1A4D">
        <w:rPr>
          <w:rFonts w:ascii="Calibri" w:eastAsia="Calibri" w:hAnsi="Calibri" w:cs="Times New Roman"/>
          <w:kern w:val="2"/>
          <w:lang w:val="en-US"/>
          <w14:ligatures w14:val="standardContextual"/>
        </w:rPr>
        <w:t>ChatGPT</w:t>
      </w:r>
      <w:proofErr w:type="spellEnd"/>
      <w:r w:rsidRPr="006F1A4D">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14:paraId="7CAD736A"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 xml:space="preserve">Option 2: </w:t>
      </w:r>
    </w:p>
    <w:p w14:paraId="2531A60A"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BBA346"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lastRenderedPageBreak/>
        <w:t>Details of the AI usage are given below:</w:t>
      </w:r>
    </w:p>
    <w:p w14:paraId="4573A5DF"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1.</w:t>
      </w:r>
    </w:p>
    <w:p w14:paraId="00AF3628"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2.</w:t>
      </w:r>
    </w:p>
    <w:p w14:paraId="5CBD3D59" w14:textId="77777777" w:rsidR="006F1A4D" w:rsidRPr="006F1A4D" w:rsidRDefault="006F1A4D" w:rsidP="006F1A4D">
      <w:pPr>
        <w:spacing w:after="200" w:line="276" w:lineRule="auto"/>
        <w:rPr>
          <w:rFonts w:ascii="Calibri" w:eastAsia="Calibri" w:hAnsi="Calibri" w:cs="Times New Roman"/>
          <w:kern w:val="2"/>
          <w:lang w:val="en-US"/>
          <w14:ligatures w14:val="standardContextual"/>
        </w:rPr>
      </w:pPr>
      <w:r w:rsidRPr="006F1A4D">
        <w:rPr>
          <w:rFonts w:ascii="Calibri" w:eastAsia="Calibri" w:hAnsi="Calibri" w:cs="Times New Roman"/>
          <w:kern w:val="2"/>
          <w:lang w:val="en-US"/>
          <w14:ligatures w14:val="standardContextual"/>
        </w:rPr>
        <w:t>3.</w:t>
      </w:r>
    </w:p>
    <w:p w14:paraId="5097300D" w14:textId="77777777" w:rsidR="002F31CC" w:rsidRPr="002F31CC" w:rsidRDefault="002F31CC" w:rsidP="002F31CC">
      <w:pPr>
        <w:spacing w:after="200" w:line="276" w:lineRule="auto"/>
        <w:rPr>
          <w:rFonts w:ascii="Calibri" w:eastAsia="Calibri" w:hAnsi="Calibri" w:cs="Times New Roman"/>
          <w:b/>
          <w:lang w:val="en-US"/>
        </w:rPr>
      </w:pPr>
      <w:bookmarkStart w:id="0" w:name="_Hlk207463152"/>
      <w:r w:rsidRPr="002F31CC">
        <w:rPr>
          <w:rFonts w:ascii="Calibri" w:eastAsia="Calibri" w:hAnsi="Calibri" w:cs="Times New Roman"/>
          <w:b/>
          <w:lang w:val="en-US"/>
        </w:rPr>
        <w:t xml:space="preserve">Consent </w:t>
      </w:r>
    </w:p>
    <w:p w14:paraId="531B51B1" w14:textId="77777777" w:rsidR="002F31CC" w:rsidRPr="002F31CC" w:rsidRDefault="002F31CC" w:rsidP="002F31CC">
      <w:pPr>
        <w:spacing w:after="200" w:line="276" w:lineRule="auto"/>
        <w:rPr>
          <w:rFonts w:ascii="Calibri" w:eastAsia="Calibri" w:hAnsi="Calibri" w:cs="Times New Roman"/>
          <w:lang w:val="en-US"/>
        </w:rPr>
      </w:pPr>
      <w:r w:rsidRPr="002F31CC">
        <w:rPr>
          <w:rFonts w:ascii="Calibri" w:eastAsia="Calibri" w:hAnsi="Calibri" w:cs="Times New Roman"/>
          <w:lang w:val="en-US"/>
        </w:rPr>
        <w:t>As per international standards or university standards, Participants’ written consent has been collected and preserved by the author(s).</w:t>
      </w:r>
    </w:p>
    <w:p w14:paraId="48D33B04" w14:textId="77777777" w:rsidR="006F1A4D" w:rsidRDefault="006F1A4D" w:rsidP="00F262EF">
      <w:pPr>
        <w:pStyle w:val="Heading2"/>
        <w:spacing w:after="120" w:afterAutospacing="0"/>
        <w:rPr>
          <w:color w:val="1B1C1D"/>
        </w:rPr>
      </w:pPr>
      <w:bookmarkStart w:id="1" w:name="_GoBack"/>
      <w:bookmarkEnd w:id="0"/>
      <w:bookmarkEnd w:id="1"/>
    </w:p>
    <w:p w14:paraId="4976BBF8" w14:textId="418FE865" w:rsidR="00F262EF" w:rsidRDefault="00F262EF" w:rsidP="00F262EF">
      <w:pPr>
        <w:pStyle w:val="Heading2"/>
        <w:spacing w:after="120" w:afterAutospacing="0"/>
        <w:rPr>
          <w:color w:val="1B1C1D"/>
        </w:rPr>
      </w:pPr>
      <w:r>
        <w:rPr>
          <w:color w:val="1B1C1D"/>
        </w:rPr>
        <w:t xml:space="preserve">REFERENCES </w:t>
      </w:r>
    </w:p>
    <w:p w14:paraId="6B15F973" w14:textId="77777777" w:rsidR="00F262EF" w:rsidRDefault="00F262EF" w:rsidP="00F262EF">
      <w:pPr>
        <w:pStyle w:val="NormalWeb"/>
        <w:numPr>
          <w:ilvl w:val="0"/>
          <w:numId w:val="13"/>
        </w:numPr>
        <w:spacing w:after="120" w:afterAutospacing="0"/>
        <w:ind w:left="0"/>
        <w:rPr>
          <w:color w:val="1B1C1D"/>
        </w:rPr>
      </w:pPr>
      <w:r>
        <w:rPr>
          <w:color w:val="1B1C1D"/>
        </w:rPr>
        <w:t>Freudenberger HJ. Staff burn‐out. J Soc Issues. 1974;30(1):159-65.</w:t>
      </w:r>
    </w:p>
    <w:p w14:paraId="450FA13F" w14:textId="77777777" w:rsidR="00F262EF" w:rsidRDefault="00F262EF" w:rsidP="00F262EF">
      <w:pPr>
        <w:pStyle w:val="NormalWeb"/>
        <w:numPr>
          <w:ilvl w:val="0"/>
          <w:numId w:val="13"/>
        </w:numPr>
        <w:spacing w:after="120" w:afterAutospacing="0"/>
        <w:ind w:left="0"/>
        <w:rPr>
          <w:color w:val="1B1C1D"/>
        </w:rPr>
      </w:pPr>
      <w:r>
        <w:rPr>
          <w:color w:val="1B1C1D"/>
        </w:rPr>
        <w:t>Maslach C, Jackson SE. The measurement of experienced burnout. J Organ Behav. 1981;2(2):99-113.</w:t>
      </w:r>
    </w:p>
    <w:p w14:paraId="03A9BA18" w14:textId="77777777" w:rsidR="00F262EF" w:rsidRDefault="00F262EF" w:rsidP="00F262EF">
      <w:pPr>
        <w:pStyle w:val="NormalWeb"/>
        <w:numPr>
          <w:ilvl w:val="0"/>
          <w:numId w:val="13"/>
        </w:numPr>
        <w:spacing w:after="120" w:afterAutospacing="0"/>
        <w:ind w:left="0"/>
        <w:rPr>
          <w:color w:val="1B1C1D"/>
        </w:rPr>
      </w:pPr>
      <w:r>
        <w:rPr>
          <w:color w:val="1B1C1D"/>
        </w:rPr>
        <w:t>Maslach C, Jackson SE, Leiter MP. Maslach Burnout Inventory: Third edition. In: Zalaquett CP, Wood RJ, editors. Evaluating stress: A book of resources. Scarecrow Education; 1997. p. 191–218.</w:t>
      </w:r>
    </w:p>
    <w:p w14:paraId="2154D3C8" w14:textId="77777777" w:rsidR="00F262EF" w:rsidRDefault="00F262EF" w:rsidP="00F262EF">
      <w:pPr>
        <w:pStyle w:val="NormalWeb"/>
        <w:numPr>
          <w:ilvl w:val="0"/>
          <w:numId w:val="13"/>
        </w:numPr>
        <w:spacing w:after="120" w:afterAutospacing="0"/>
        <w:ind w:left="0"/>
        <w:rPr>
          <w:color w:val="1B1C1D"/>
        </w:rPr>
      </w:pPr>
      <w:r>
        <w:rPr>
          <w:color w:val="1B1C1D"/>
        </w:rPr>
        <w:t>Maslach C, Jackson SE, Leiter MP. Maslach Burnout Inventory Manual. Palo Alto: Consulting Psychologists Press; 1996.</w:t>
      </w:r>
    </w:p>
    <w:p w14:paraId="4E4D67D0" w14:textId="77777777" w:rsidR="00F262EF" w:rsidRDefault="00F262EF" w:rsidP="00F262EF">
      <w:pPr>
        <w:pStyle w:val="NormalWeb"/>
        <w:numPr>
          <w:ilvl w:val="0"/>
          <w:numId w:val="13"/>
        </w:numPr>
        <w:spacing w:after="120" w:afterAutospacing="0"/>
        <w:ind w:left="0"/>
        <w:rPr>
          <w:color w:val="1B1C1D"/>
        </w:rPr>
      </w:pPr>
      <w:r>
        <w:rPr>
          <w:color w:val="1B1C1D"/>
        </w:rPr>
        <w:t>Gürses G, Koyuncu Ş, Aktı A, Kalaycı A, Durmuş E. Burnout Syndrome Among Dentists in Turkey. Selcuk Dent J. 2023;10(3):522-5.</w:t>
      </w:r>
    </w:p>
    <w:p w14:paraId="0A946D55" w14:textId="77777777" w:rsidR="00F262EF" w:rsidRDefault="00F262EF" w:rsidP="00F262EF">
      <w:pPr>
        <w:pStyle w:val="NormalWeb"/>
        <w:numPr>
          <w:ilvl w:val="0"/>
          <w:numId w:val="13"/>
        </w:numPr>
        <w:spacing w:after="120" w:afterAutospacing="0"/>
        <w:ind w:left="0"/>
        <w:rPr>
          <w:color w:val="1B1C1D"/>
        </w:rPr>
      </w:pPr>
      <w:r>
        <w:rPr>
          <w:color w:val="1B1C1D"/>
        </w:rPr>
        <w:t>Huri M, Bağiş N, Eren H, Başibüyük O, Şahin S, Umaroğlu M, et al. Burnout and occupational participation among dentists with teaching responsibilities in universities. Psychol Health Med. 2017 Jul;22(6):693–700.</w:t>
      </w:r>
    </w:p>
    <w:p w14:paraId="7B331664" w14:textId="77777777" w:rsidR="00F262EF" w:rsidRDefault="00F262EF" w:rsidP="00F262EF">
      <w:pPr>
        <w:pStyle w:val="NormalWeb"/>
        <w:numPr>
          <w:ilvl w:val="0"/>
          <w:numId w:val="13"/>
        </w:numPr>
        <w:spacing w:after="120" w:afterAutospacing="0"/>
        <w:ind w:left="0"/>
        <w:rPr>
          <w:color w:val="1B1C1D"/>
        </w:rPr>
      </w:pPr>
      <w:r>
        <w:rPr>
          <w:color w:val="1B1C1D"/>
        </w:rPr>
        <w:t>Yıldırım MH, İçerli L. Tükenmişlik Sendromu: Maslach ve Kopenhag Tükenmişlik Ölçeklerinin Karşılaştırmalı Analizi. Organizasyon Ve Yönetim Bilimleri Dergisi. 2010;2(1):123-31.</w:t>
      </w:r>
    </w:p>
    <w:p w14:paraId="71EEE33A" w14:textId="77777777" w:rsidR="00F262EF" w:rsidRDefault="00F262EF" w:rsidP="00F262EF">
      <w:pPr>
        <w:pStyle w:val="NormalWeb"/>
        <w:numPr>
          <w:ilvl w:val="0"/>
          <w:numId w:val="13"/>
        </w:numPr>
        <w:spacing w:after="120" w:afterAutospacing="0"/>
        <w:ind w:left="0"/>
        <w:rPr>
          <w:color w:val="1B1C1D"/>
        </w:rPr>
      </w:pPr>
      <w:r>
        <w:rPr>
          <w:color w:val="1B1C1D"/>
        </w:rPr>
        <w:t>Te Brake JH, Bouman AM, Gorter RC, Hoogstraten J, Eijkman MA. Using the Maslach Burnout Inventory among dentists: Burnout measurement and trends. Community Dent Oral Epidemiol. 2008;36(1):69-75.</w:t>
      </w:r>
    </w:p>
    <w:p w14:paraId="74900D4C" w14:textId="77777777" w:rsidR="00F262EF" w:rsidRDefault="00F262EF" w:rsidP="00F262EF">
      <w:pPr>
        <w:pStyle w:val="NormalWeb"/>
        <w:numPr>
          <w:ilvl w:val="0"/>
          <w:numId w:val="13"/>
        </w:numPr>
        <w:spacing w:after="120" w:afterAutospacing="0"/>
        <w:ind w:left="0"/>
        <w:rPr>
          <w:color w:val="1B1C1D"/>
        </w:rPr>
      </w:pPr>
      <w:r>
        <w:rPr>
          <w:color w:val="1B1C1D"/>
        </w:rPr>
        <w:t>Calvo JM, Kwatra J, Yansane A, Tokede O, Gorter RC, Kalenderian E. Burnout and work engagement among US dentists. J Patient Saf. 2021;17(5):398-404.</w:t>
      </w:r>
    </w:p>
    <w:p w14:paraId="555B05BC" w14:textId="77777777" w:rsidR="00F262EF" w:rsidRDefault="00F262EF" w:rsidP="00F262EF">
      <w:pPr>
        <w:pStyle w:val="NormalWeb"/>
        <w:numPr>
          <w:ilvl w:val="0"/>
          <w:numId w:val="13"/>
        </w:numPr>
        <w:spacing w:after="120" w:afterAutospacing="0"/>
        <w:ind w:left="0"/>
        <w:rPr>
          <w:color w:val="1B1C1D"/>
        </w:rPr>
      </w:pPr>
      <w:r>
        <w:rPr>
          <w:color w:val="1B1C1D"/>
        </w:rPr>
        <w:t>Amoafo G, Hanif M, Eajazi A, Pawa R. Systematic review: factors contributing to burnout in dentistry. Occup Med (Lond). 2016;66(1):27-31.</w:t>
      </w:r>
    </w:p>
    <w:p w14:paraId="1FF7D125" w14:textId="77777777" w:rsidR="00F262EF" w:rsidRDefault="00F262EF" w:rsidP="00F262EF">
      <w:pPr>
        <w:pStyle w:val="NormalWeb"/>
        <w:numPr>
          <w:ilvl w:val="0"/>
          <w:numId w:val="13"/>
        </w:numPr>
        <w:spacing w:after="120" w:afterAutospacing="0"/>
        <w:ind w:left="0"/>
        <w:rPr>
          <w:color w:val="1B1C1D"/>
        </w:rPr>
      </w:pPr>
      <w:r>
        <w:rPr>
          <w:color w:val="1B1C1D"/>
        </w:rPr>
        <w:t>Rêgo F, Lira S, Santos S, Matos A, Albuquerque L, Rêgo R. Burnout syndrome among dentists: a systematic review and meta-analysis. Cad Saude Publica. 2021;37(8):e00266020.</w:t>
      </w:r>
    </w:p>
    <w:p w14:paraId="011F35BD" w14:textId="77777777" w:rsidR="00F262EF" w:rsidRDefault="00F262EF" w:rsidP="00F262EF">
      <w:pPr>
        <w:pStyle w:val="NormalWeb"/>
        <w:numPr>
          <w:ilvl w:val="0"/>
          <w:numId w:val="13"/>
        </w:numPr>
        <w:spacing w:after="120" w:afterAutospacing="0"/>
        <w:ind w:left="0"/>
        <w:rPr>
          <w:color w:val="1B1C1D"/>
        </w:rPr>
      </w:pPr>
      <w:r>
        <w:rPr>
          <w:color w:val="1B1C1D"/>
        </w:rPr>
        <w:lastRenderedPageBreak/>
        <w:t>Kristensen TS, Borritz M, Villadsen E, Christensen KB. The Copenhagen Burnout Inventory: A new tool for the assessment of burnout. Work &amp; Stress. 2005;19(3):192–207.</w:t>
      </w:r>
    </w:p>
    <w:p w14:paraId="255D371A" w14:textId="77777777" w:rsidR="00F262EF" w:rsidRDefault="00F262EF" w:rsidP="00F262EF">
      <w:pPr>
        <w:pStyle w:val="NormalWeb"/>
        <w:numPr>
          <w:ilvl w:val="0"/>
          <w:numId w:val="13"/>
        </w:numPr>
        <w:spacing w:after="120" w:afterAutospacing="0"/>
        <w:ind w:left="0"/>
        <w:rPr>
          <w:color w:val="1B1C1D"/>
        </w:rPr>
      </w:pPr>
      <w:r>
        <w:rPr>
          <w:color w:val="1B1C1D"/>
        </w:rPr>
        <w:t>Porto GG, Kliemann C, Fregapani L. Burnout syndrome in oral and maxillofacial surgeons: a critical analysis. Int J Oral Maxillofac Surg. 2014;43(5):543-548.</w:t>
      </w:r>
    </w:p>
    <w:p w14:paraId="0417B711" w14:textId="77777777" w:rsidR="00F262EF" w:rsidRDefault="00F262EF" w:rsidP="00F262EF">
      <w:pPr>
        <w:pStyle w:val="NormalWeb"/>
        <w:numPr>
          <w:ilvl w:val="0"/>
          <w:numId w:val="13"/>
        </w:numPr>
        <w:ind w:left="0"/>
        <w:rPr>
          <w:color w:val="1B1C1D"/>
        </w:rPr>
      </w:pPr>
      <w:r>
        <w:rPr>
          <w:color w:val="1B1C1D"/>
        </w:rPr>
        <w:t>Pirillo F, Sfondrini MF. The orthodontist burnout. Prog Orthod. 2011;12(1):14-19.</w:t>
      </w:r>
    </w:p>
    <w:p w14:paraId="5238F272" w14:textId="77777777" w:rsidR="0020248D" w:rsidRPr="00F262EF" w:rsidRDefault="0020248D" w:rsidP="00F262EF"/>
    <w:sectPr w:rsidR="0020248D" w:rsidRPr="00F262EF" w:rsidSect="000A67BA">
      <w:pgSz w:w="16838" w:h="11906" w:orient="landscape"/>
      <w:pgMar w:top="720" w:right="34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10D"/>
    <w:multiLevelType w:val="multilevel"/>
    <w:tmpl w:val="3DA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66185"/>
    <w:multiLevelType w:val="multilevel"/>
    <w:tmpl w:val="D266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374F"/>
    <w:multiLevelType w:val="multilevel"/>
    <w:tmpl w:val="278E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0743A"/>
    <w:multiLevelType w:val="multilevel"/>
    <w:tmpl w:val="400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664D8"/>
    <w:multiLevelType w:val="multilevel"/>
    <w:tmpl w:val="FB8A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0453D"/>
    <w:multiLevelType w:val="multilevel"/>
    <w:tmpl w:val="F1D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86848"/>
    <w:multiLevelType w:val="multilevel"/>
    <w:tmpl w:val="A1C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4705D"/>
    <w:multiLevelType w:val="multilevel"/>
    <w:tmpl w:val="C258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830B8"/>
    <w:multiLevelType w:val="multilevel"/>
    <w:tmpl w:val="714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D3211"/>
    <w:multiLevelType w:val="multilevel"/>
    <w:tmpl w:val="DB52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C035A"/>
    <w:multiLevelType w:val="multilevel"/>
    <w:tmpl w:val="7B78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B5A80"/>
    <w:multiLevelType w:val="multilevel"/>
    <w:tmpl w:val="46BE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E1455"/>
    <w:multiLevelType w:val="multilevel"/>
    <w:tmpl w:val="54B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20BE3"/>
    <w:multiLevelType w:val="multilevel"/>
    <w:tmpl w:val="7AEA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65C8F"/>
    <w:multiLevelType w:val="multilevel"/>
    <w:tmpl w:val="555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40753"/>
    <w:multiLevelType w:val="multilevel"/>
    <w:tmpl w:val="63D8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A0336"/>
    <w:multiLevelType w:val="multilevel"/>
    <w:tmpl w:val="D59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24F27"/>
    <w:multiLevelType w:val="multilevel"/>
    <w:tmpl w:val="97005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4768D5"/>
    <w:multiLevelType w:val="multilevel"/>
    <w:tmpl w:val="162A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2"/>
  </w:num>
  <w:num w:numId="4">
    <w:abstractNumId w:val="18"/>
  </w:num>
  <w:num w:numId="5">
    <w:abstractNumId w:val="17"/>
  </w:num>
  <w:num w:numId="6">
    <w:abstractNumId w:val="13"/>
  </w:num>
  <w:num w:numId="7">
    <w:abstractNumId w:val="11"/>
  </w:num>
  <w:num w:numId="8">
    <w:abstractNumId w:val="4"/>
  </w:num>
  <w:num w:numId="9">
    <w:abstractNumId w:val="0"/>
  </w:num>
  <w:num w:numId="10">
    <w:abstractNumId w:val="3"/>
  </w:num>
  <w:num w:numId="11">
    <w:abstractNumId w:val="7"/>
  </w:num>
  <w:num w:numId="12">
    <w:abstractNumId w:val="1"/>
  </w:num>
  <w:num w:numId="13">
    <w:abstractNumId w:val="10"/>
  </w:num>
  <w:num w:numId="14">
    <w:abstractNumId w:val="6"/>
  </w:num>
  <w:num w:numId="15">
    <w:abstractNumId w:val="5"/>
  </w:num>
  <w:num w:numId="16">
    <w:abstractNumId w:val="15"/>
  </w:num>
  <w:num w:numId="17">
    <w:abstractNumId w:val="1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LU0tjAyNTUyNzRS0lEKTi0uzszPAykwqgUAcKAQmiwAAAA="/>
  </w:docVars>
  <w:rsids>
    <w:rsidRoot w:val="00B80D46"/>
    <w:rsid w:val="0002252E"/>
    <w:rsid w:val="000A67BA"/>
    <w:rsid w:val="000F6A50"/>
    <w:rsid w:val="0011598A"/>
    <w:rsid w:val="0020248D"/>
    <w:rsid w:val="002F31CC"/>
    <w:rsid w:val="004513BE"/>
    <w:rsid w:val="00552FD4"/>
    <w:rsid w:val="00564E06"/>
    <w:rsid w:val="006F1A4D"/>
    <w:rsid w:val="006F2AD2"/>
    <w:rsid w:val="00700AE9"/>
    <w:rsid w:val="0081035B"/>
    <w:rsid w:val="008428F6"/>
    <w:rsid w:val="00991D9A"/>
    <w:rsid w:val="00B80D46"/>
    <w:rsid w:val="00C61DB2"/>
    <w:rsid w:val="00E53A97"/>
    <w:rsid w:val="00F262EF"/>
    <w:rsid w:val="00FE39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1011"/>
  <w15:chartTrackingRefBased/>
  <w15:docId w15:val="{5CA3BA2A-2D02-4EF9-8115-BCA80A6D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3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F2A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6F2AD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link w:val="Heading4Char"/>
    <w:uiPriority w:val="9"/>
    <w:qFormat/>
    <w:rsid w:val="006F2AD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AD2"/>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6F2AD2"/>
    <w:rPr>
      <w:rFonts w:ascii="Times New Roman" w:eastAsia="Times New Roman" w:hAnsi="Times New Roman" w:cs="Times New Roman"/>
      <w:b/>
      <w:bCs/>
      <w:sz w:val="27"/>
      <w:szCs w:val="27"/>
      <w:lang w:eastAsia="tr-TR"/>
    </w:rPr>
  </w:style>
  <w:style w:type="character" w:customStyle="1" w:styleId="Heading4Char">
    <w:name w:val="Heading 4 Char"/>
    <w:basedOn w:val="DefaultParagraphFont"/>
    <w:link w:val="Heading4"/>
    <w:uiPriority w:val="9"/>
    <w:rsid w:val="006F2AD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2A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DefaultParagraphFont"/>
    <w:rsid w:val="006F2AD2"/>
  </w:style>
  <w:style w:type="character" w:styleId="HTMLCode">
    <w:name w:val="HTML Code"/>
    <w:basedOn w:val="DefaultParagraphFont"/>
    <w:uiPriority w:val="99"/>
    <w:semiHidden/>
    <w:unhideWhenUsed/>
    <w:rsid w:val="0081035B"/>
    <w:rPr>
      <w:rFonts w:ascii="Courier New" w:eastAsia="Times New Roman" w:hAnsi="Courier New" w:cs="Courier New"/>
      <w:sz w:val="20"/>
      <w:szCs w:val="20"/>
    </w:rPr>
  </w:style>
  <w:style w:type="character" w:styleId="Strong">
    <w:name w:val="Strong"/>
    <w:basedOn w:val="DefaultParagraphFont"/>
    <w:uiPriority w:val="22"/>
    <w:qFormat/>
    <w:rsid w:val="0081035B"/>
    <w:rPr>
      <w:b/>
      <w:bCs/>
    </w:rPr>
  </w:style>
  <w:style w:type="character" w:customStyle="1" w:styleId="Heading1Char">
    <w:name w:val="Heading 1 Char"/>
    <w:basedOn w:val="DefaultParagraphFont"/>
    <w:link w:val="Heading1"/>
    <w:uiPriority w:val="9"/>
    <w:rsid w:val="0081035B"/>
    <w:rPr>
      <w:rFonts w:asciiTheme="majorHAnsi" w:eastAsiaTheme="majorEastAsia" w:hAnsiTheme="majorHAnsi" w:cstheme="majorBidi"/>
      <w:color w:val="2F5496" w:themeColor="accent1" w:themeShade="BF"/>
      <w:sz w:val="32"/>
      <w:szCs w:val="32"/>
    </w:rPr>
  </w:style>
  <w:style w:type="character" w:customStyle="1" w:styleId="mord">
    <w:name w:val="mord"/>
    <w:basedOn w:val="DefaultParagraphFont"/>
    <w:rsid w:val="00F262EF"/>
  </w:style>
  <w:style w:type="character" w:customStyle="1" w:styleId="mrel">
    <w:name w:val="mrel"/>
    <w:basedOn w:val="DefaultParagraphFont"/>
    <w:rsid w:val="00F262EF"/>
  </w:style>
  <w:style w:type="character" w:customStyle="1" w:styleId="mbin">
    <w:name w:val="mbin"/>
    <w:basedOn w:val="DefaultParagraphFont"/>
    <w:rsid w:val="00F2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11206">
      <w:bodyDiv w:val="1"/>
      <w:marLeft w:val="0"/>
      <w:marRight w:val="0"/>
      <w:marTop w:val="0"/>
      <w:marBottom w:val="0"/>
      <w:divBdr>
        <w:top w:val="none" w:sz="0" w:space="0" w:color="auto"/>
        <w:left w:val="none" w:sz="0" w:space="0" w:color="auto"/>
        <w:bottom w:val="none" w:sz="0" w:space="0" w:color="auto"/>
        <w:right w:val="none" w:sz="0" w:space="0" w:color="auto"/>
      </w:divBdr>
    </w:div>
    <w:div w:id="758061261">
      <w:bodyDiv w:val="1"/>
      <w:marLeft w:val="0"/>
      <w:marRight w:val="0"/>
      <w:marTop w:val="0"/>
      <w:marBottom w:val="0"/>
      <w:divBdr>
        <w:top w:val="none" w:sz="0" w:space="0" w:color="auto"/>
        <w:left w:val="none" w:sz="0" w:space="0" w:color="auto"/>
        <w:bottom w:val="none" w:sz="0" w:space="0" w:color="auto"/>
        <w:right w:val="none" w:sz="0" w:space="0" w:color="auto"/>
      </w:divBdr>
    </w:div>
    <w:div w:id="1698845841">
      <w:bodyDiv w:val="1"/>
      <w:marLeft w:val="0"/>
      <w:marRight w:val="0"/>
      <w:marTop w:val="0"/>
      <w:marBottom w:val="0"/>
      <w:divBdr>
        <w:top w:val="none" w:sz="0" w:space="0" w:color="auto"/>
        <w:left w:val="none" w:sz="0" w:space="0" w:color="auto"/>
        <w:bottom w:val="none" w:sz="0" w:space="0" w:color="auto"/>
        <w:right w:val="none" w:sz="0" w:space="0" w:color="auto"/>
      </w:divBdr>
    </w:div>
    <w:div w:id="1850098727">
      <w:bodyDiv w:val="1"/>
      <w:marLeft w:val="0"/>
      <w:marRight w:val="0"/>
      <w:marTop w:val="0"/>
      <w:marBottom w:val="0"/>
      <w:divBdr>
        <w:top w:val="none" w:sz="0" w:space="0" w:color="auto"/>
        <w:left w:val="none" w:sz="0" w:space="0" w:color="auto"/>
        <w:bottom w:val="none" w:sz="0" w:space="0" w:color="auto"/>
        <w:right w:val="none" w:sz="0" w:space="0" w:color="auto"/>
      </w:divBdr>
    </w:div>
    <w:div w:id="20321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3897</Words>
  <Characters>22217</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CAcik</dc:creator>
  <cp:keywords/>
  <dc:description/>
  <cp:lastModifiedBy>SDI 1089</cp:lastModifiedBy>
  <cp:revision>16</cp:revision>
  <dcterms:created xsi:type="dcterms:W3CDTF">2025-10-20T09:47:00Z</dcterms:created>
  <dcterms:modified xsi:type="dcterms:W3CDTF">2025-10-27T05:25:00Z</dcterms:modified>
</cp:coreProperties>
</file>