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1A74" w:rsidRDefault="00E5176C">
      <w:pPr>
        <w:widowControl w:val="0"/>
        <w:pBdr>
          <w:top w:val="nil"/>
          <w:left w:val="nil"/>
          <w:bottom w:val="nil"/>
          <w:right w:val="nil"/>
          <w:between w:val="nil"/>
        </w:pBdr>
        <w:spacing w:after="0" w:line="276" w:lineRule="auto"/>
      </w:pPr>
      <w:r>
        <w:pict w14:anchorId="13F7F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BAD6356">
          <v:shape id="_x0000_s1027" type="#_x0000_t136" style="position:absolute;margin-left:0;margin-top:0;width:50pt;height:50pt;z-index:251657728;visibility:hidden">
            <o:lock v:ext="edit" selection="t"/>
          </v:shape>
        </w:pict>
      </w:r>
      <w:r>
        <w:pict w14:anchorId="6F162248">
          <v:shape id="_x0000_s1026" type="#_x0000_t136" style="position:absolute;margin-left:0;margin-top:0;width:50pt;height:50pt;z-index:251658752;visibility:hidden">
            <o:lock v:ext="edit" selection="t"/>
          </v:shape>
        </w:pict>
      </w:r>
    </w:p>
    <w:p w:rsidR="00201A74" w:rsidRDefault="00E5176C">
      <w:pPr>
        <w:spacing w:line="48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The Gut–NET–ICB Axis: Microbial Metabolite-Mediated Regulation of </w:t>
      </w:r>
      <w:proofErr w:type="spellStart"/>
      <w:r>
        <w:rPr>
          <w:rFonts w:ascii="Times New Roman" w:eastAsia="Times New Roman" w:hAnsi="Times New Roman" w:cs="Times New Roman"/>
          <w:sz w:val="24"/>
          <w:szCs w:val="24"/>
          <w:highlight w:val="yellow"/>
        </w:rPr>
        <w:t>NETosis</w:t>
      </w:r>
      <w:proofErr w:type="spellEnd"/>
      <w:r>
        <w:rPr>
          <w:rFonts w:ascii="Times New Roman" w:eastAsia="Times New Roman" w:hAnsi="Times New Roman" w:cs="Times New Roman"/>
          <w:sz w:val="24"/>
          <w:szCs w:val="24"/>
          <w:highlight w:val="yellow"/>
        </w:rPr>
        <w:t xml:space="preserve"> and Implications for Cancer Immunotherapy</w:t>
      </w:r>
    </w:p>
    <w:p w:rsidR="00201A74" w:rsidRDefault="00201A74">
      <w:pPr>
        <w:spacing w:line="480" w:lineRule="auto"/>
        <w:jc w:val="right"/>
        <w:rPr>
          <w:rFonts w:ascii="Times New Roman" w:eastAsia="Times New Roman" w:hAnsi="Times New Roman" w:cs="Times New Roman"/>
          <w:sz w:val="24"/>
          <w:szCs w:val="24"/>
        </w:rPr>
      </w:pPr>
    </w:p>
    <w:p w:rsidR="00201A74" w:rsidRDefault="00201A74">
      <w:pPr>
        <w:spacing w:line="480" w:lineRule="auto"/>
        <w:jc w:val="center"/>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201A74" w:rsidRDefault="00E5176C">
      <w:pPr>
        <w:spacing w:line="480" w:lineRule="auto"/>
        <w:jc w:val="both"/>
        <w:rPr>
          <w:rFonts w:ascii="Times New Roman" w:eastAsia="Times New Roman" w:hAnsi="Times New Roman" w:cs="Times New Roman"/>
          <w:sz w:val="24"/>
          <w:szCs w:val="24"/>
        </w:rPr>
      </w:pPr>
      <w:r w:rsidRPr="009735D2">
        <w:rPr>
          <w:rFonts w:ascii="Times New Roman" w:eastAsia="Times New Roman" w:hAnsi="Times New Roman" w:cs="Times New Roman"/>
          <w:b/>
          <w:sz w:val="24"/>
          <w:szCs w:val="24"/>
        </w:rPr>
        <w:t>Background:</w:t>
      </w:r>
      <w:r>
        <w:rPr>
          <w:rFonts w:ascii="Times New Roman" w:eastAsia="Times New Roman" w:hAnsi="Times New Roman" w:cs="Times New Roman"/>
          <w:sz w:val="24"/>
          <w:szCs w:val="24"/>
        </w:rPr>
        <w:t xml:space="preserve"> Immune checkpoint blockade (ICB) has transformed oncology, but its efficacy is limited by primary and acquired resistance. The gut microbiome is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established determinant of ICB response, while neutrophil extracellular traps (NETs) have recentl</w:t>
      </w:r>
      <w:r>
        <w:rPr>
          <w:rFonts w:ascii="Times New Roman" w:eastAsia="Times New Roman" w:hAnsi="Times New Roman" w:cs="Times New Roman"/>
          <w:sz w:val="24"/>
          <w:szCs w:val="24"/>
        </w:rPr>
        <w:t>y emerged as key mediators of an immunosuppressive tumor microenvironment (TME) and ICB resistance. The mechanistic link between these two phenomena remains elusive. We hypothesize that gut microbial metabolites serve as critical systemic messengers that m</w:t>
      </w:r>
      <w:r>
        <w:rPr>
          <w:rFonts w:ascii="Times New Roman" w:eastAsia="Times New Roman" w:hAnsi="Times New Roman" w:cs="Times New Roman"/>
          <w:sz w:val="24"/>
          <w:szCs w:val="24"/>
        </w:rPr>
        <w:t>odulate NET formation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thereby influencing ICB outcomes.</w:t>
      </w:r>
    </w:p>
    <w:p w:rsidR="00201A74" w:rsidRDefault="00E5176C">
      <w:pPr>
        <w:spacing w:line="480" w:lineRule="auto"/>
        <w:jc w:val="both"/>
        <w:rPr>
          <w:rFonts w:ascii="Times New Roman" w:eastAsia="Times New Roman" w:hAnsi="Times New Roman" w:cs="Times New Roman"/>
          <w:sz w:val="24"/>
          <w:szCs w:val="24"/>
        </w:rPr>
      </w:pPr>
      <w:r w:rsidRPr="009735D2">
        <w:rPr>
          <w:rFonts w:ascii="Times New Roman" w:eastAsia="Times New Roman" w:hAnsi="Times New Roman" w:cs="Times New Roman"/>
          <w:b/>
          <w:sz w:val="24"/>
          <w:szCs w:val="24"/>
        </w:rPr>
        <w:t>Methods &amp; Findings:</w:t>
      </w:r>
      <w:r>
        <w:rPr>
          <w:rFonts w:ascii="Times New Roman" w:eastAsia="Times New Roman" w:hAnsi="Times New Roman" w:cs="Times New Roman"/>
          <w:sz w:val="24"/>
          <w:szCs w:val="24"/>
        </w:rPr>
        <w:t xml:space="preserve"> Through a synthesis of recent literature, we delineate a novel "gut-NET-ICB" axis. We provide evidence that specific microbiota-derived metabolites directly regulate </w:t>
      </w:r>
      <w:proofErr w:type="spellStart"/>
      <w:r>
        <w:rPr>
          <w:rFonts w:ascii="Times New Roman" w:eastAsia="Times New Roman" w:hAnsi="Times New Roman" w:cs="Times New Roman"/>
          <w:sz w:val="24"/>
          <w:szCs w:val="24"/>
        </w:rPr>
        <w:t>NET</w:t>
      </w:r>
      <w:r>
        <w:rPr>
          <w:rFonts w:ascii="Times New Roman" w:eastAsia="Times New Roman" w:hAnsi="Times New Roman" w:cs="Times New Roman"/>
          <w:sz w:val="24"/>
          <w:szCs w:val="24"/>
        </w:rPr>
        <w:t>osis</w:t>
      </w:r>
      <w:proofErr w:type="spellEnd"/>
      <w:r>
        <w:rPr>
          <w:rFonts w:ascii="Times New Roman" w:eastAsia="Times New Roman" w:hAnsi="Times New Roman" w:cs="Times New Roman"/>
          <w:sz w:val="24"/>
          <w:szCs w:val="24"/>
        </w:rPr>
        <w:t xml:space="preserve">. Short-chain fatty acids (SCFAs) like butyrate and polyamines such as spermidine suppress NET formation by </w:t>
      </w:r>
      <w:bookmarkStart w:id="0" w:name="_GoBack"/>
      <w:bookmarkEnd w:id="0"/>
      <w:r>
        <w:rPr>
          <w:rFonts w:ascii="Times New Roman" w:eastAsia="Times New Roman" w:hAnsi="Times New Roman" w:cs="Times New Roman"/>
          <w:sz w:val="24"/>
          <w:szCs w:val="24"/>
        </w:rPr>
        <w:t>inhibiting histone deacetylases (HDACs), reactive oxygen species (ROS) production, and peptidyl arginine deiminase 4 (PAD4) activity. Conversely</w:t>
      </w:r>
      <w:r>
        <w:rPr>
          <w:rFonts w:ascii="Times New Roman" w:eastAsia="Times New Roman" w:hAnsi="Times New Roman" w:cs="Times New Roman"/>
          <w:sz w:val="24"/>
          <w:szCs w:val="24"/>
        </w:rPr>
        <w:t xml:space="preserve">, certain secondary bile acids can promote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We propose a model wherein a favorable gut microbiome generates a metabolite profile that systemically suppresses pathological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thereby remodeling the TME to enhance CD8+ T-cell infiltration and f</w:t>
      </w:r>
      <w:r>
        <w:rPr>
          <w:rFonts w:ascii="Times New Roman" w:eastAsia="Times New Roman" w:hAnsi="Times New Roman" w:cs="Times New Roman"/>
          <w:sz w:val="24"/>
          <w:szCs w:val="24"/>
        </w:rPr>
        <w:t xml:space="preserve">unction, creating a state </w:t>
      </w:r>
      <w:r>
        <w:rPr>
          <w:rFonts w:ascii="Times New Roman" w:eastAsia="Times New Roman" w:hAnsi="Times New Roman" w:cs="Times New Roman"/>
          <w:sz w:val="24"/>
          <w:szCs w:val="24"/>
        </w:rPr>
        <w:lastRenderedPageBreak/>
        <w:t>permissive to ICB. Conversely, dysbiosis fosters a pro-</w:t>
      </w:r>
      <w:proofErr w:type="spellStart"/>
      <w:r>
        <w:rPr>
          <w:rFonts w:ascii="Times New Roman" w:eastAsia="Times New Roman" w:hAnsi="Times New Roman" w:cs="Times New Roman"/>
          <w:sz w:val="24"/>
          <w:szCs w:val="24"/>
        </w:rPr>
        <w:t>NETotic</w:t>
      </w:r>
      <w:proofErr w:type="spellEnd"/>
      <w:r>
        <w:rPr>
          <w:rFonts w:ascii="Times New Roman" w:eastAsia="Times New Roman" w:hAnsi="Times New Roman" w:cs="Times New Roman"/>
          <w:sz w:val="24"/>
          <w:szCs w:val="24"/>
        </w:rPr>
        <w:t xml:space="preserve"> environment that drives resistance.</w:t>
      </w:r>
    </w:p>
    <w:p w:rsidR="00201A74" w:rsidRDefault="00E5176C">
      <w:pPr>
        <w:spacing w:line="480" w:lineRule="auto"/>
        <w:jc w:val="both"/>
        <w:rPr>
          <w:rFonts w:ascii="Times New Roman" w:eastAsia="Times New Roman" w:hAnsi="Times New Roman" w:cs="Times New Roman"/>
          <w:sz w:val="24"/>
          <w:szCs w:val="24"/>
        </w:rPr>
      </w:pPr>
      <w:r w:rsidRPr="009735D2">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The modulation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by gut microbial metabolites represents a crucial mechanism underlying the microbiome's impac</w:t>
      </w:r>
      <w:r>
        <w:rPr>
          <w:rFonts w:ascii="Times New Roman" w:eastAsia="Times New Roman" w:hAnsi="Times New Roman" w:cs="Times New Roman"/>
          <w:sz w:val="24"/>
          <w:szCs w:val="24"/>
        </w:rPr>
        <w:t xml:space="preserve">t on cancer immunotherapy. This mechanistic insight positions the gut microbiome and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as complementary therapeutic targets. Strategies to promote a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-suppressive metabolite profile through dietary interventions, pre/probiotics, or postbiotic s</w:t>
      </w:r>
      <w:r>
        <w:rPr>
          <w:rFonts w:ascii="Times New Roman" w:eastAsia="Times New Roman" w:hAnsi="Times New Roman" w:cs="Times New Roman"/>
          <w:sz w:val="24"/>
          <w:szCs w:val="24"/>
        </w:rPr>
        <w:t xml:space="preserve">upplements or to directly inhibit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(e.g., with PAD4 inhibitors) hold significant promise for overcoming ICB resistance and improving patient outcomes.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Gut Microbiome, Microbial Metabolites, Neutrophil Extracellular Traps (NETs),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I</w:t>
      </w:r>
      <w:r>
        <w:rPr>
          <w:rFonts w:ascii="Times New Roman" w:eastAsia="Times New Roman" w:hAnsi="Times New Roman" w:cs="Times New Roman"/>
          <w:sz w:val="24"/>
          <w:szCs w:val="24"/>
        </w:rPr>
        <w:t>mmune Checkpoint Blockade, Cancer Immunotherapy, Tumor Microenvironment.</w:t>
      </w: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201A74">
      <w:pPr>
        <w:spacing w:line="480" w:lineRule="auto"/>
        <w:jc w:val="both"/>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advent of immune checkpoint blockade (ICB), which targets regulatory pathways such as PD-1/PD-L1 and CTLA-4 to reinvigorate anti-tumor immunity, represents a paradigm shift in oncology [1]. Despite producing remarkable and durable responses in a subset</w:t>
      </w:r>
      <w:r>
        <w:rPr>
          <w:rFonts w:ascii="Times New Roman" w:eastAsia="Times New Roman" w:hAnsi="Times New Roman" w:cs="Times New Roman"/>
          <w:sz w:val="24"/>
          <w:szCs w:val="24"/>
        </w:rPr>
        <w:t xml:space="preserve"> of patients, ICB therapy is hampered by the fact that a significant majority of individuals experience primary or acquired resistance [2]. This stark variability in treatment outcomes has spurred intensive research into the factors that govern ICB efficac</w:t>
      </w:r>
      <w:r>
        <w:rPr>
          <w:rFonts w:ascii="Times New Roman" w:eastAsia="Times New Roman" w:hAnsi="Times New Roman" w:cs="Times New Roman"/>
          <w:sz w:val="24"/>
          <w:szCs w:val="24"/>
        </w:rPr>
        <w:t>y, leading to the seminal discovery that the gut microbiome is a critical determinant of therapeutic success.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Compelling evidence from both preclinical models and clinical studies has established a causal relationship between the composition of the gut mic</w:t>
      </w:r>
      <w:r>
        <w:rPr>
          <w:rFonts w:ascii="Times New Roman" w:eastAsia="Times New Roman" w:hAnsi="Times New Roman" w:cs="Times New Roman"/>
          <w:sz w:val="24"/>
          <w:szCs w:val="24"/>
        </w:rPr>
        <w:t>robiota and response to ICB. Fecal microbiota transplantation (FMT) from ICB responders can convert non-responders into responders, demonstrating the microbiome's potent role in modulating the anti-tumor immune response [3, 4]. Concurrently, the role of in</w:t>
      </w:r>
      <w:r>
        <w:rPr>
          <w:rFonts w:ascii="Times New Roman" w:eastAsia="Times New Roman" w:hAnsi="Times New Roman" w:cs="Times New Roman"/>
          <w:sz w:val="24"/>
          <w:szCs w:val="24"/>
        </w:rPr>
        <w:t>nate immune players in shaping the tumor microenvironment (TME) has gained prominence. Neutrophils, and specifically their ability to release neutrophil extracellular traps (NETs), have been implicated in cancer progression and therapy resistance. NETs are</w:t>
      </w:r>
      <w:r>
        <w:rPr>
          <w:rFonts w:ascii="Times New Roman" w:eastAsia="Times New Roman" w:hAnsi="Times New Roman" w:cs="Times New Roman"/>
          <w:sz w:val="24"/>
          <w:szCs w:val="24"/>
        </w:rPr>
        <w:t xml:space="preserve"> web-like structures composed of decondensed chromatin decorated with histones and cytotoxic granule proteins that are extruded by neutrophils in a process called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[5]. While physiologically a host defense mechanism, aberrant NET formation in the TM</w:t>
      </w:r>
      <w:r>
        <w:rPr>
          <w:rFonts w:ascii="Times New Roman" w:eastAsia="Times New Roman" w:hAnsi="Times New Roman" w:cs="Times New Roman"/>
          <w:sz w:val="24"/>
          <w:szCs w:val="24"/>
        </w:rPr>
        <w:t xml:space="preserve">E promotes metastasis, angiogenesis, and, crucially, immunosuppression by physically impeding T-cell </w:t>
      </w:r>
      <w:r>
        <w:rPr>
          <w:rFonts w:ascii="Times New Roman" w:eastAsia="Times New Roman" w:hAnsi="Times New Roman" w:cs="Times New Roman"/>
          <w:sz w:val="24"/>
          <w:szCs w:val="24"/>
        </w:rPr>
        <w:lastRenderedPageBreak/>
        <w:t xml:space="preserve">infiltration and directly suppressing T-cell cytotoxic function [6, 7]. Recent work has directly correlated elevated levels of NETs with resistance to ICB </w:t>
      </w:r>
      <w:r>
        <w:rPr>
          <w:rFonts w:ascii="Times New Roman" w:eastAsia="Times New Roman" w:hAnsi="Times New Roman" w:cs="Times New Roman"/>
          <w:sz w:val="24"/>
          <w:szCs w:val="24"/>
        </w:rPr>
        <w:t>in both murine models and cancer patients [8].</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crucial, yet under-explored, link connecting these two fields is the functional output of the gut microbiome: its dynamic metabolome. Gut bacteria metabolize dietary and host-derived substrates into a vast a</w:t>
      </w:r>
      <w:r>
        <w:rPr>
          <w:rFonts w:ascii="Times New Roman" w:eastAsia="Times New Roman" w:hAnsi="Times New Roman" w:cs="Times New Roman"/>
          <w:sz w:val="24"/>
          <w:szCs w:val="24"/>
        </w:rPr>
        <w:t>rray of small molecules, including short-chain fatty acids (SCFAs), secondary bile acids, polyamines, and tryptophan metabolites that can enter systemic circulation and directly influence the function of immune cells, both within and outside the gut [9, 10</w:t>
      </w:r>
      <w:r>
        <w:rPr>
          <w:rFonts w:ascii="Times New Roman" w:eastAsia="Times New Roman" w:hAnsi="Times New Roman" w:cs="Times New Roman"/>
          <w:sz w:val="24"/>
          <w:szCs w:val="24"/>
        </w:rPr>
        <w:t xml:space="preserve">, 11, 12]. We hypothesize that these microbial metabolites serve as systemic rheostats for neutrophil activity and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review aims to synthesize emerging evidence and provide a comprehensive mechanistic framework for the "gut-NET-ICB" axis. We wi</w:t>
      </w:r>
      <w:r>
        <w:rPr>
          <w:rFonts w:ascii="Times New Roman" w:eastAsia="Times New Roman" w:hAnsi="Times New Roman" w:cs="Times New Roman"/>
          <w:sz w:val="24"/>
          <w:szCs w:val="24"/>
        </w:rPr>
        <w:t xml:space="preserve">ll explore how specific gut microbial metabolites directly and indirectly modulate the molecular pathways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Furthermore, we will propose an integrated model wherein a favorable microbiome, through its metabolite profile, suppresses pathological N</w:t>
      </w:r>
      <w:r>
        <w:rPr>
          <w:rFonts w:ascii="Times New Roman" w:eastAsia="Times New Roman" w:hAnsi="Times New Roman" w:cs="Times New Roman"/>
          <w:sz w:val="24"/>
          <w:szCs w:val="24"/>
        </w:rPr>
        <w:t>ET formation, thereby remodeling the TME to be more permissive to T-cell-mediated killing and enhancing ICB efficacy. Elucidating this axis not only deepens our fundamental understanding of immunotherapy resistance but also unveils novel therapeutic strate</w:t>
      </w:r>
      <w:r>
        <w:rPr>
          <w:rFonts w:ascii="Times New Roman" w:eastAsia="Times New Roman" w:hAnsi="Times New Roman" w:cs="Times New Roman"/>
          <w:sz w:val="24"/>
          <w:szCs w:val="24"/>
        </w:rPr>
        <w:t>gies to modulate the immune system for improved cancer treatment.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91317" cy="515631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91317" cy="5156311"/>
                    </a:xfrm>
                    <a:prstGeom prst="rect">
                      <a:avLst/>
                    </a:prstGeom>
                    <a:ln/>
                  </pic:spPr>
                </pic:pic>
              </a:graphicData>
            </a:graphic>
          </wp:inline>
        </w:drawing>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1: THE HUMAN </w:t>
      </w:r>
      <w:proofErr w:type="gramStart"/>
      <w:r>
        <w:rPr>
          <w:rFonts w:ascii="Times New Roman" w:eastAsia="Times New Roman" w:hAnsi="Times New Roman" w:cs="Times New Roman"/>
          <w:b/>
          <w:bCs/>
          <w:sz w:val="24"/>
          <w:szCs w:val="24"/>
        </w:rPr>
        <w:t>GUT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36]</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GUT MICROBIAL METABOLITES: KEY MEDIATORS OF HOST IMMUNITY</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 microbiome exerts a profound influence on host physiology not merely through its presence </w:t>
      </w:r>
      <w:r>
        <w:rPr>
          <w:rFonts w:ascii="Times New Roman" w:eastAsia="Times New Roman" w:hAnsi="Times New Roman" w:cs="Times New Roman"/>
          <w:sz w:val="24"/>
          <w:szCs w:val="24"/>
        </w:rPr>
        <w:t xml:space="preserve">but through its immense metabolic activity. It functions as a virtual endocrine organ, converting dietary components and host-derived substances into a diverse array of small molecules that serve as key communicators with the host's immune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6]. These</w:t>
      </w:r>
      <w:r>
        <w:rPr>
          <w:rFonts w:ascii="Times New Roman" w:eastAsia="Times New Roman" w:hAnsi="Times New Roman" w:cs="Times New Roman"/>
          <w:sz w:val="24"/>
          <w:szCs w:val="24"/>
        </w:rPr>
        <w:t xml:space="preserve"> metabolites can mediate their effects locally within the gastrointestinal tract or, upon absorption into the portal circulation, </w:t>
      </w:r>
      <w:r>
        <w:rPr>
          <w:rFonts w:ascii="Times New Roman" w:eastAsia="Times New Roman" w:hAnsi="Times New Roman" w:cs="Times New Roman"/>
          <w:sz w:val="24"/>
          <w:szCs w:val="24"/>
        </w:rPr>
        <w:lastRenderedPageBreak/>
        <w:t xml:space="preserve">systemically throughout the body, thereby influencing immune responses in distant sites, including the tumor microenvironment </w:t>
      </w:r>
      <w:r>
        <w:rPr>
          <w:rFonts w:ascii="Times New Roman" w:eastAsia="Times New Roman" w:hAnsi="Times New Roman" w:cs="Times New Roman"/>
          <w:sz w:val="24"/>
          <w:szCs w:val="24"/>
        </w:rPr>
        <w:t>(TME). [12]</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proofErr w:type="gramStart"/>
      <w:r>
        <w:rPr>
          <w:rFonts w:ascii="Times New Roman" w:eastAsia="Times New Roman" w:hAnsi="Times New Roman" w:cs="Times New Roman"/>
          <w:sz w:val="24"/>
          <w:szCs w:val="24"/>
        </w:rPr>
        <w:t>1 :</w:t>
      </w:r>
      <w:proofErr w:type="gramEnd"/>
      <w:r>
        <w:rPr>
          <w:rFonts w:ascii="Times New Roman" w:eastAsia="Times New Roman" w:hAnsi="Times New Roman" w:cs="Times New Roman"/>
          <w:sz w:val="24"/>
          <w:szCs w:val="24"/>
        </w:rPr>
        <w:t xml:space="preserve">  Key Classes of Microbiota-Derived Metabolites and Their Immunomodulatory Mechanisms</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1856"/>
        <w:gridCol w:w="1962"/>
        <w:gridCol w:w="1829"/>
        <w:gridCol w:w="2203"/>
      </w:tblGrid>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Metabolite Class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Examples</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Bacterial Origin / Precursor</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Immunologic Mechanisms</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 on Immunity</w:t>
            </w:r>
          </w:p>
        </w:tc>
      </w:tr>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Short-Chain Fatty Acids (SCFAs)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Acetate, Propionate, Butyrate</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Fermentation of dietary fiber by genera like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Roseburia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Lachnospiraceae</w:t>
            </w:r>
            <w:proofErr w:type="spellEnd"/>
            <w:r>
              <w:rPr>
                <w:rFonts w:ascii="Times New Roman" w:eastAsia="Times New Roman" w:hAnsi="Times New Roman" w:cs="Times New Roman"/>
                <w:sz w:val="24"/>
                <w:szCs w:val="24"/>
              </w:rPr>
              <w:t xml:space="preserve"> [13].</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Roseburia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Lachnospiraceae</w:t>
            </w:r>
            <w:proofErr w:type="spellEnd"/>
            <w:r>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ab/>
              <w:t>- HDAC inhibition [13]</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Signaling via GPCRs (GPR41, GPR43, GPR109a) [14]</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Energy source for co</w:t>
            </w:r>
            <w:r>
              <w:rPr>
                <w:rFonts w:ascii="Times New Roman" w:eastAsia="Times New Roman" w:hAnsi="Times New Roman" w:cs="Times New Roman"/>
                <w:sz w:val="24"/>
                <w:szCs w:val="24"/>
              </w:rPr>
              <w:t>lonocytes &amp; immune cells.</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Generally Anti-inflammatory: Promote </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xml:space="preserve"> differentiation, maintain gut barrier integrity, modulate neutrophil chemotaxis and function.</w:t>
            </w:r>
          </w:p>
        </w:tc>
      </w:tr>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Bile Acids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Deoxycholic Acid (DCA), Lithocholic Acid (LCA), </w:t>
            </w:r>
            <w:proofErr w:type="spellStart"/>
            <w:r>
              <w:rPr>
                <w:rFonts w:ascii="Times New Roman" w:eastAsia="Times New Roman" w:hAnsi="Times New Roman" w:cs="Times New Roman"/>
                <w:sz w:val="24"/>
                <w:szCs w:val="24"/>
              </w:rPr>
              <w:lastRenderedPageBreak/>
              <w:t>Ursodeoxycholic</w:t>
            </w:r>
            <w:proofErr w:type="spellEnd"/>
            <w:r>
              <w:rPr>
                <w:rFonts w:ascii="Times New Roman" w:eastAsia="Times New Roman" w:hAnsi="Times New Roman" w:cs="Times New Roman"/>
                <w:sz w:val="24"/>
                <w:szCs w:val="24"/>
              </w:rPr>
              <w:t xml:space="preserve"> Acid (UD</w:t>
            </w:r>
            <w:r>
              <w:rPr>
                <w:rFonts w:ascii="Times New Roman" w:eastAsia="Times New Roman" w:hAnsi="Times New Roman" w:cs="Times New Roman"/>
                <w:sz w:val="24"/>
                <w:szCs w:val="24"/>
              </w:rPr>
              <w:t>CA)</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Bacterial </w:t>
            </w:r>
            <w:proofErr w:type="spellStart"/>
            <w:r>
              <w:rPr>
                <w:rFonts w:ascii="Times New Roman" w:eastAsia="Times New Roman" w:hAnsi="Times New Roman" w:cs="Times New Roman"/>
                <w:sz w:val="24"/>
                <w:szCs w:val="24"/>
              </w:rPr>
              <w:t>dehydroxylation</w:t>
            </w:r>
            <w:proofErr w:type="spellEnd"/>
            <w:r>
              <w:rPr>
                <w:rFonts w:ascii="Times New Roman" w:eastAsia="Times New Roman" w:hAnsi="Times New Roman" w:cs="Times New Roman"/>
                <w:sz w:val="24"/>
                <w:szCs w:val="24"/>
              </w:rPr>
              <w:t xml:space="preserve"> of primary bile acids (cholic acid, </w:t>
            </w:r>
            <w:r>
              <w:rPr>
                <w:rFonts w:ascii="Times New Roman" w:eastAsia="Times New Roman" w:hAnsi="Times New Roman" w:cs="Times New Roman"/>
                <w:sz w:val="24"/>
                <w:szCs w:val="24"/>
              </w:rPr>
              <w:lastRenderedPageBreak/>
              <w:t xml:space="preserve">chenodeoxycholic acid) by species like Clostridium cluster </w:t>
            </w:r>
            <w:proofErr w:type="spellStart"/>
            <w:r>
              <w:rPr>
                <w:rFonts w:ascii="Times New Roman" w:eastAsia="Times New Roman" w:hAnsi="Times New Roman" w:cs="Times New Roman"/>
                <w:sz w:val="24"/>
                <w:szCs w:val="24"/>
              </w:rPr>
              <w:t>XIVa</w:t>
            </w:r>
            <w:proofErr w:type="spellEnd"/>
            <w:r>
              <w:rPr>
                <w:rFonts w:ascii="Times New Roman" w:eastAsia="Times New Roman" w:hAnsi="Times New Roman" w:cs="Times New Roman"/>
                <w:sz w:val="24"/>
                <w:szCs w:val="24"/>
              </w:rPr>
              <w:t xml:space="preserve"> [15].</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Signaling via nuclear receptor FXR &amp; membrane </w:t>
            </w:r>
            <w:r>
              <w:rPr>
                <w:rFonts w:ascii="Times New Roman" w:eastAsia="Times New Roman" w:hAnsi="Times New Roman" w:cs="Times New Roman"/>
                <w:sz w:val="24"/>
                <w:szCs w:val="24"/>
              </w:rPr>
              <w:lastRenderedPageBreak/>
              <w:t>receptor TGR5 [16].</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Context-Dependent: Can be pro-inflammatory (DCA) or </w:t>
            </w:r>
            <w:r>
              <w:rPr>
                <w:rFonts w:ascii="Times New Roman" w:eastAsia="Times New Roman" w:hAnsi="Times New Roman" w:cs="Times New Roman"/>
                <w:sz w:val="24"/>
                <w:szCs w:val="24"/>
              </w:rPr>
              <w:t>anti-</w:t>
            </w:r>
            <w:r>
              <w:rPr>
                <w:rFonts w:ascii="Times New Roman" w:eastAsia="Times New Roman" w:hAnsi="Times New Roman" w:cs="Times New Roman"/>
                <w:sz w:val="24"/>
                <w:szCs w:val="24"/>
              </w:rPr>
              <w:lastRenderedPageBreak/>
              <w:t>inflammatory (UDCA). Regulate metabolic homeostasis and macrophage differentiation.</w:t>
            </w:r>
          </w:p>
        </w:tc>
      </w:tr>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Polyamines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Spermidine, Spermine, Putrescine</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Decarboxylation of amino acids (e.g., arginine, ornithine) by bacteria like Bifidobacterium and Lactobacillus [17].</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Regu</w:t>
            </w:r>
            <w:r>
              <w:rPr>
                <w:rFonts w:ascii="Times New Roman" w:eastAsia="Times New Roman" w:hAnsi="Times New Roman" w:cs="Times New Roman"/>
                <w:sz w:val="24"/>
                <w:szCs w:val="24"/>
              </w:rPr>
              <w:t xml:space="preserve">lation of autophagy, translation (via </w:t>
            </w:r>
            <w:proofErr w:type="spellStart"/>
            <w:r>
              <w:rPr>
                <w:rFonts w:ascii="Times New Roman" w:eastAsia="Times New Roman" w:hAnsi="Times New Roman" w:cs="Times New Roman"/>
                <w:sz w:val="24"/>
                <w:szCs w:val="24"/>
              </w:rPr>
              <w:t>hypusination</w:t>
            </w:r>
            <w:proofErr w:type="spellEnd"/>
            <w:r>
              <w:rPr>
                <w:rFonts w:ascii="Times New Roman" w:eastAsia="Times New Roman" w:hAnsi="Times New Roman" w:cs="Times New Roman"/>
                <w:sz w:val="24"/>
                <w:szCs w:val="24"/>
              </w:rPr>
              <w:t>) [18]</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Anti-oxidant effects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Modulation of ion channels.</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Immunomodulatory: Support T-cell differentiation and function, suppress pro-inflammatory cytokine production, can inhibit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tc>
      </w:tr>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Tryptophan Catabolites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Indole, Indole-3-aldehyde, </w:t>
            </w:r>
            <w:proofErr w:type="spellStart"/>
            <w:r>
              <w:rPr>
                <w:rFonts w:ascii="Times New Roman" w:eastAsia="Times New Roman" w:hAnsi="Times New Roman" w:cs="Times New Roman"/>
                <w:sz w:val="24"/>
                <w:szCs w:val="24"/>
              </w:rPr>
              <w:t>Indolepropionic</w:t>
            </w:r>
            <w:proofErr w:type="spellEnd"/>
            <w:r>
              <w:rPr>
                <w:rFonts w:ascii="Times New Roman" w:eastAsia="Times New Roman" w:hAnsi="Times New Roman" w:cs="Times New Roman"/>
                <w:sz w:val="24"/>
                <w:szCs w:val="24"/>
              </w:rPr>
              <w:t xml:space="preserve"> Acid (IPA)</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Tryptophan metabolism by bacteria (e.g., Lactobacillus spp.) expressing tryptophanase [19].</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Activation of the Aryl Hydrocarbon Receptor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[20].</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 Fortification &amp; Immun</w:t>
            </w:r>
            <w:r>
              <w:rPr>
                <w:rFonts w:ascii="Times New Roman" w:eastAsia="Times New Roman" w:hAnsi="Times New Roman" w:cs="Times New Roman"/>
                <w:sz w:val="24"/>
                <w:szCs w:val="24"/>
              </w:rPr>
              <w:t xml:space="preserve">e Regulation: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activation strengthens epithelial barriers, modulates Th17/</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xml:space="preserve"> balance, </w:t>
            </w:r>
            <w:r>
              <w:rPr>
                <w:rFonts w:ascii="Times New Roman" w:eastAsia="Times New Roman" w:hAnsi="Times New Roman" w:cs="Times New Roman"/>
                <w:sz w:val="24"/>
                <w:szCs w:val="24"/>
              </w:rPr>
              <w:lastRenderedPageBreak/>
              <w:t>and suppresses innate immune activation.</w:t>
            </w:r>
          </w:p>
        </w:tc>
      </w:tr>
      <w:tr w:rsidR="00201A74">
        <w:tc>
          <w:tcPr>
            <w:tcW w:w="139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Other Bioactive Metabolites</w:t>
            </w:r>
          </w:p>
        </w:tc>
        <w:tc>
          <w:tcPr>
            <w:tcW w:w="185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Inosine, D-lactate, Trimethylamine N-oxide (TMAO)</w:t>
            </w:r>
          </w:p>
        </w:tc>
        <w:tc>
          <w:tcPr>
            <w:tcW w:w="1962"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Purine metabolism (Inosine), fermentation (D-</w:t>
            </w:r>
            <w:r>
              <w:rPr>
                <w:rFonts w:ascii="Times New Roman" w:eastAsia="Times New Roman" w:hAnsi="Times New Roman" w:cs="Times New Roman"/>
                <w:sz w:val="24"/>
                <w:szCs w:val="24"/>
              </w:rPr>
              <w:t>lactate), choline/carnitine metabolism (TMAO).</w:t>
            </w:r>
          </w:p>
        </w:tc>
        <w:tc>
          <w:tcPr>
            <w:tcW w:w="1829"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Adenosine A2A receptor signaling (Inosine) [21]</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Precursor to pro-atherogenic TMAO.</w:t>
            </w:r>
          </w:p>
        </w:tc>
        <w:tc>
          <w:tcPr>
            <w:tcW w:w="220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Inosine enhances Th1 differentiation and ICB response; TMAO is generally pro-inflammatory and linked to cardiova</w:t>
            </w:r>
            <w:r>
              <w:rPr>
                <w:rFonts w:ascii="Times New Roman" w:eastAsia="Times New Roman" w:hAnsi="Times New Roman" w:cs="Times New Roman"/>
                <w:sz w:val="24"/>
                <w:szCs w:val="24"/>
              </w:rPr>
              <w:t>scular disease.</w:t>
            </w:r>
          </w:p>
        </w:tc>
      </w:tr>
    </w:tbl>
    <w:p w:rsidR="00201A74" w:rsidRDefault="00201A74">
      <w:pPr>
        <w:spacing w:line="480" w:lineRule="auto"/>
        <w:jc w:val="both"/>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Short-Chain Fatty Acids (SCFAs): Microbial Fermentation Products with Systemic Reach</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SCFAs are the most extensively studied microbial metabolites. Butyrate is a primary energy source for colonocytes, crucially maintaining gut barrier</w:t>
      </w:r>
      <w:r>
        <w:rPr>
          <w:rFonts w:ascii="Times New Roman" w:eastAsia="Times New Roman" w:hAnsi="Times New Roman" w:cs="Times New Roman"/>
          <w:sz w:val="24"/>
          <w:szCs w:val="24"/>
        </w:rPr>
        <w:t xml:space="preserve"> function and preventing systemic inflammation. Beyond this local role, SCFAs function as potent epigenetic regulators via HDAC inhibition, leading to increased histone acetylation and altered gene expression in immune cells [11,13]. This mechanism promote</w:t>
      </w:r>
      <w:r>
        <w:rPr>
          <w:rFonts w:ascii="Times New Roman" w:eastAsia="Times New Roman" w:hAnsi="Times New Roman" w:cs="Times New Roman"/>
          <w:sz w:val="24"/>
          <w:szCs w:val="24"/>
        </w:rPr>
        <w:t>s the differentiation of regulatory T cells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which are critical for maintaining immune tolerance. SCFA signaling through GPCRs like GPR43 on neutrophils can also dampen their inflammatory potential and chemotaxis, representing a direct pathway for </w:t>
      </w:r>
      <w:r>
        <w:rPr>
          <w:rFonts w:ascii="Times New Roman" w:eastAsia="Times New Roman" w:hAnsi="Times New Roman" w:cs="Times New Roman"/>
          <w:sz w:val="24"/>
          <w:szCs w:val="24"/>
        </w:rPr>
        <w:t xml:space="preserve">systemic immunomodulation relevant to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[14].</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2.2. Secondary Bile Acids (BAs): From Digestion to Immunomodulation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Primary bile acids, synthesized in the liver, are transformed into secondary bile acids by gut bacteria. This process significantly alters their signaling properties. Secondary BAs act as signaling molecules through the nuclear receptor FXR and the G-prote</w:t>
      </w:r>
      <w:r>
        <w:rPr>
          <w:rFonts w:ascii="Times New Roman" w:eastAsia="Times New Roman" w:hAnsi="Times New Roman" w:cs="Times New Roman"/>
          <w:sz w:val="24"/>
          <w:szCs w:val="24"/>
        </w:rPr>
        <w:t>in-coupled receptor TGR5, regulating not only metabolic homeostasis but also immune cell function [16]. For instance, specific secondary BAs can promote the differentiation of anti-inflammatory macrophages, while others, in excess, can be cytotoxic and ind</w:t>
      </w:r>
      <w:r>
        <w:rPr>
          <w:rFonts w:ascii="Times New Roman" w:eastAsia="Times New Roman" w:hAnsi="Times New Roman" w:cs="Times New Roman"/>
          <w:sz w:val="24"/>
          <w:szCs w:val="24"/>
        </w:rPr>
        <w:t>uce inflammatory stress responses.</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Polyamines: Crucial for Cellular and Immune Homeostasis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Polyamines are essential for cell proliferation and are produced by both mammalian cells and gut bacteria. Bacterial-derived polyamines can influence host immun</w:t>
      </w:r>
      <w:r>
        <w:rPr>
          <w:rFonts w:ascii="Times New Roman" w:eastAsia="Times New Roman" w:hAnsi="Times New Roman" w:cs="Times New Roman"/>
          <w:sz w:val="24"/>
          <w:szCs w:val="24"/>
        </w:rPr>
        <w:t xml:space="preserve">ity by modulating autophagy, a process critical for immune cell function and antigen presentation [18]. Spermidine, in particular, has been shown to have anti-inflammatory and life-span-extending effects, partly through its ability to induce autophagy and </w:t>
      </w:r>
      <w:r>
        <w:rPr>
          <w:rFonts w:ascii="Times New Roman" w:eastAsia="Times New Roman" w:hAnsi="Times New Roman" w:cs="Times New Roman"/>
          <w:sz w:val="24"/>
          <w:szCs w:val="24"/>
        </w:rPr>
        <w:t>suppress oxidative stress.</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 Tryptophan Metabolites: </w:t>
      </w:r>
      <w:proofErr w:type="spellStart"/>
      <w:r>
        <w:rPr>
          <w:rFonts w:ascii="Times New Roman" w:eastAsia="Times New Roman" w:hAnsi="Times New Roman" w:cs="Times New Roman"/>
          <w:b/>
          <w:bCs/>
          <w:sz w:val="24"/>
          <w:szCs w:val="24"/>
        </w:rPr>
        <w:t>AhR</w:t>
      </w:r>
      <w:proofErr w:type="spellEnd"/>
      <w:r>
        <w:rPr>
          <w:rFonts w:ascii="Times New Roman" w:eastAsia="Times New Roman" w:hAnsi="Times New Roman" w:cs="Times New Roman"/>
          <w:b/>
          <w:bCs/>
          <w:sz w:val="24"/>
          <w:szCs w:val="24"/>
        </w:rPr>
        <w:t xml:space="preserve"> Ligands and Barrier Regulators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 bacteria that metabolize the essential amino acid tryptophan into ligands for the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play a vital role in immune education and barrier integrity.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activation</w:t>
      </w:r>
      <w:r>
        <w:rPr>
          <w:rFonts w:ascii="Times New Roman" w:eastAsia="Times New Roman" w:hAnsi="Times New Roman" w:cs="Times New Roman"/>
          <w:sz w:val="24"/>
          <w:szCs w:val="24"/>
        </w:rPr>
        <w:t xml:space="preserve"> in intestinal epithelial cells and intraepithelial lymphocytes strengthens the mucosal barrier and helps maintain a balanced immune response, preventing aberrant inflammation [20]. The systemic immunologic impact of these metabolites is an area of active </w:t>
      </w:r>
      <w:r>
        <w:rPr>
          <w:rFonts w:ascii="Times New Roman" w:eastAsia="Times New Roman" w:hAnsi="Times New Roman" w:cs="Times New Roman"/>
          <w:sz w:val="24"/>
          <w:szCs w:val="24"/>
        </w:rPr>
        <w:t>investigation.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gut microbial metabolome constitutes a critical interface between the external environment and the host immune system. The balance and composition of these metabolites directly influence the functional state of innate and adaptive immune</w:t>
      </w:r>
      <w:r>
        <w:rPr>
          <w:rFonts w:ascii="Times New Roman" w:eastAsia="Times New Roman" w:hAnsi="Times New Roman" w:cs="Times New Roman"/>
          <w:sz w:val="24"/>
          <w:szCs w:val="24"/>
        </w:rPr>
        <w:t xml:space="preserve"> cells, creating a systemic milieu that can either </w:t>
      </w:r>
      <w:r>
        <w:rPr>
          <w:rFonts w:ascii="Times New Roman" w:eastAsia="Times New Roman" w:hAnsi="Times New Roman" w:cs="Times New Roman"/>
          <w:sz w:val="24"/>
          <w:szCs w:val="24"/>
        </w:rPr>
        <w:lastRenderedPageBreak/>
        <w:t xml:space="preserve">favor or suppress anti-tumor immunity. The subsequent sections will delve into how these specific metabolites interact with the process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to shape this immunologic landscape [20].</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3.0 MECHANISTIC </w:t>
      </w:r>
      <w:r>
        <w:rPr>
          <w:rFonts w:ascii="Times New Roman" w:eastAsia="Times New Roman" w:hAnsi="Times New Roman" w:cs="Times New Roman"/>
          <w:b/>
          <w:bCs/>
          <w:sz w:val="24"/>
          <w:szCs w:val="24"/>
        </w:rPr>
        <w:t>INTERPLAY: MICROBIAL METABOLITES AS REGULATORS OF NETOSIS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central hypothesis of the gut-NET-ICB axis posits that gut microbial metabolites systemically influence the propensity of neutrophils to undergo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thereby shaping the immune landscape of </w:t>
      </w:r>
      <w:r>
        <w:rPr>
          <w:rFonts w:ascii="Times New Roman" w:eastAsia="Times New Roman" w:hAnsi="Times New Roman" w:cs="Times New Roman"/>
          <w:sz w:val="24"/>
          <w:szCs w:val="24"/>
        </w:rPr>
        <w:t>the tumor microenvironment (TME). This interaction is not merely correlative; a growing body of evidence demonstrates direct and indirect mechanistic pathways through which these bacterial byproducts modulate the molecular machinery of NET formation. The b</w:t>
      </w:r>
      <w:r>
        <w:rPr>
          <w:rFonts w:ascii="Times New Roman" w:eastAsia="Times New Roman" w:hAnsi="Times New Roman" w:cs="Times New Roman"/>
          <w:sz w:val="24"/>
          <w:szCs w:val="24"/>
        </w:rPr>
        <w:t xml:space="preserve">alance between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-suppressive and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-promoting metabolites can critically determine the outcome of anti-tumor immunity [16].</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Table 2: Mechanisms of Gut Microbial Metabolites in Regulating </w:t>
      </w:r>
      <w:proofErr w:type="spellStart"/>
      <w:r>
        <w:rPr>
          <w:rFonts w:ascii="Times New Roman" w:eastAsia="Times New Roman" w:hAnsi="Times New Roman" w:cs="Times New Roman"/>
          <w:b/>
          <w:bCs/>
          <w:sz w:val="24"/>
          <w:szCs w:val="24"/>
        </w:rPr>
        <w:t>NETosis</w:t>
      </w:r>
      <w:proofErr w:type="spellEnd"/>
    </w:p>
    <w:tbl>
      <w:tblPr>
        <w:tblStyle w:val="a3"/>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1"/>
        <w:gridCol w:w="1553"/>
        <w:gridCol w:w="4251"/>
        <w:gridCol w:w="2970"/>
      </w:tblGrid>
      <w:tr w:rsidR="00201A74">
        <w:tc>
          <w:tcPr>
            <w:tcW w:w="157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Metabolite Class</w:t>
            </w:r>
          </w:p>
        </w:tc>
        <w:tc>
          <w:tcPr>
            <w:tcW w:w="155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 Effect on </w:t>
            </w:r>
            <w:proofErr w:type="spellStart"/>
            <w:r>
              <w:rPr>
                <w:rFonts w:ascii="Times New Roman" w:eastAsia="Times New Roman" w:hAnsi="Times New Roman" w:cs="Times New Roman"/>
                <w:sz w:val="24"/>
                <w:szCs w:val="24"/>
              </w:rPr>
              <w:t>NETosis</w:t>
            </w:r>
            <w:proofErr w:type="spellEnd"/>
          </w:p>
        </w:tc>
        <w:tc>
          <w:tcPr>
            <w:tcW w:w="425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 Mole</w:t>
            </w:r>
            <w:r>
              <w:rPr>
                <w:rFonts w:ascii="Times New Roman" w:eastAsia="Times New Roman" w:hAnsi="Times New Roman" w:cs="Times New Roman"/>
                <w:sz w:val="24"/>
                <w:szCs w:val="24"/>
              </w:rPr>
              <w:t>cular Mechanisms</w:t>
            </w:r>
          </w:p>
        </w:tc>
        <w:tc>
          <w:tcPr>
            <w:tcW w:w="2970"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Indirect Immunological Mechanisms</w:t>
            </w:r>
          </w:p>
        </w:tc>
      </w:tr>
      <w:tr w:rsidR="00201A74">
        <w:tc>
          <w:tcPr>
            <w:tcW w:w="157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Short-Chain Fatty Acids (SCFAs)</w:t>
            </w:r>
          </w:p>
        </w:tc>
        <w:tc>
          <w:tcPr>
            <w:tcW w:w="155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Potently Suppressive</w:t>
            </w:r>
          </w:p>
        </w:tc>
        <w:tc>
          <w:tcPr>
            <w:tcW w:w="425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HDAC Inhibition: Hyperacetylation of histones and other proteins interferes with PAD4 activity and chromatin </w:t>
            </w:r>
            <w:proofErr w:type="spellStart"/>
            <w:r>
              <w:rPr>
                <w:rFonts w:ascii="Times New Roman" w:eastAsia="Times New Roman" w:hAnsi="Times New Roman" w:cs="Times New Roman"/>
                <w:sz w:val="24"/>
                <w:szCs w:val="24"/>
              </w:rPr>
              <w:t>decondensation</w:t>
            </w:r>
            <w:proofErr w:type="spellEnd"/>
            <w:r>
              <w:rPr>
                <w:rFonts w:ascii="Times New Roman" w:eastAsia="Times New Roman" w:hAnsi="Times New Roman" w:cs="Times New Roman"/>
                <w:sz w:val="24"/>
                <w:szCs w:val="24"/>
              </w:rPr>
              <w:t xml:space="preserve"> [22].</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GPCR (GPR43) Sign</w:t>
            </w:r>
            <w:r>
              <w:rPr>
                <w:rFonts w:ascii="Times New Roman" w:eastAsia="Times New Roman" w:hAnsi="Times New Roman" w:cs="Times New Roman"/>
                <w:sz w:val="24"/>
                <w:szCs w:val="24"/>
              </w:rPr>
              <w:t xml:space="preserve">aling: Downregulates NADPH oxidase assembly and ROS production, a key trigger for suicidal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[23].</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Inhibition of NF-</w:t>
            </w:r>
            <w:proofErr w:type="spellStart"/>
            <w:r>
              <w:rPr>
                <w:rFonts w:ascii="Times New Roman" w:eastAsia="Times New Roman" w:hAnsi="Times New Roman" w:cs="Times New Roman"/>
                <w:sz w:val="24"/>
                <w:szCs w:val="24"/>
              </w:rPr>
              <w:t>κB</w:t>
            </w:r>
            <w:proofErr w:type="spellEnd"/>
            <w:r>
              <w:rPr>
                <w:rFonts w:ascii="Times New Roman" w:eastAsia="Times New Roman" w:hAnsi="Times New Roman" w:cs="Times New Roman"/>
                <w:sz w:val="24"/>
                <w:szCs w:val="24"/>
              </w:rPr>
              <w:t xml:space="preserve"> Pathway: Reduces transcription of pro-inflammatory cytokines that prime neutrophils.</w:t>
            </w:r>
          </w:p>
        </w:tc>
        <w:tc>
          <w:tcPr>
            <w:tcW w:w="2970"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Promotes differentiation of anti-inflammatory </w:t>
            </w:r>
            <w:proofErr w:type="spellStart"/>
            <w:r>
              <w:rPr>
                <w:rFonts w:ascii="Times New Roman" w:eastAsia="Times New Roman" w:hAnsi="Times New Roman" w:cs="Times New Roman"/>
                <w:sz w:val="24"/>
                <w:szCs w:val="24"/>
              </w:rPr>
              <w:t>Tregs</w:t>
            </w:r>
            <w:proofErr w:type="spellEnd"/>
            <w:r>
              <w:rPr>
                <w:rFonts w:ascii="Times New Roman" w:eastAsia="Times New Roman" w:hAnsi="Times New Roman" w:cs="Times New Roman"/>
                <w:sz w:val="24"/>
                <w:szCs w:val="24"/>
              </w:rPr>
              <w:t xml:space="preserve">, reducing the cytokine drive for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Enhances gut barrier integrity, reducing systemic translocation of LPS, a potent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inducer.</w:t>
            </w:r>
          </w:p>
        </w:tc>
      </w:tr>
      <w:tr w:rsidR="00201A74">
        <w:tc>
          <w:tcPr>
            <w:tcW w:w="157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Polyamines </w:t>
            </w:r>
          </w:p>
        </w:tc>
        <w:tc>
          <w:tcPr>
            <w:tcW w:w="155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Potently Suppressive</w:t>
            </w:r>
          </w:p>
        </w:tc>
        <w:tc>
          <w:tcPr>
            <w:tcW w:w="425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Direct Inhibition of PAD</w:t>
            </w:r>
            <w:r>
              <w:rPr>
                <w:rFonts w:ascii="Times New Roman" w:eastAsia="Times New Roman" w:hAnsi="Times New Roman" w:cs="Times New Roman"/>
                <w:sz w:val="24"/>
                <w:szCs w:val="24"/>
              </w:rPr>
              <w:t>4: Competitively binds to the enzyme's active site, preventing histone citrullination [24].</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Suppression of ROS: Inhibits the assembly and function of the NADPH oxidase complex.</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Induction of Autophagy: Autophagic flux can clear damaged mitochondria (mit</w:t>
            </w:r>
            <w:r>
              <w:rPr>
                <w:rFonts w:ascii="Times New Roman" w:eastAsia="Times New Roman" w:hAnsi="Times New Roman" w:cs="Times New Roman"/>
                <w:sz w:val="24"/>
                <w:szCs w:val="24"/>
              </w:rPr>
              <w:t xml:space="preserve">ophagy), preventing </w:t>
            </w:r>
            <w:proofErr w:type="spellStart"/>
            <w:r>
              <w:rPr>
                <w:rFonts w:ascii="Times New Roman" w:eastAsia="Times New Roman" w:hAnsi="Times New Roman" w:cs="Times New Roman"/>
                <w:sz w:val="24"/>
                <w:szCs w:val="24"/>
              </w:rPr>
              <w:t>mtROS</w:t>
            </w:r>
            <w:proofErr w:type="spellEnd"/>
            <w:r>
              <w:rPr>
                <w:rFonts w:ascii="Times New Roman" w:eastAsia="Times New Roman" w:hAnsi="Times New Roman" w:cs="Times New Roman"/>
                <w:sz w:val="24"/>
                <w:szCs w:val="24"/>
              </w:rPr>
              <w:t xml:space="preserve">-induced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[25].</w:t>
            </w:r>
          </w:p>
        </w:tc>
        <w:tc>
          <w:tcPr>
            <w:tcW w:w="2970"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Modulates macrophage polarization towards an M2-like, anti-inflammatory phenotype.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Supports T-cell function, creating a cytokine milieu less conducive to persistent neutrophil activation.</w:t>
            </w:r>
          </w:p>
        </w:tc>
      </w:tr>
      <w:tr w:rsidR="00201A74">
        <w:tc>
          <w:tcPr>
            <w:tcW w:w="157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Tryptophan Meta</w:t>
            </w:r>
            <w:r>
              <w:rPr>
                <w:rFonts w:ascii="Times New Roman" w:eastAsia="Times New Roman" w:hAnsi="Times New Roman" w:cs="Times New Roman"/>
                <w:sz w:val="24"/>
                <w:szCs w:val="24"/>
              </w:rPr>
              <w:t>bolites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Ligands)</w:t>
            </w:r>
          </w:p>
        </w:tc>
        <w:tc>
          <w:tcPr>
            <w:tcW w:w="155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Suppressive</w:t>
            </w:r>
          </w:p>
        </w:tc>
        <w:tc>
          <w:tcPr>
            <w:tcW w:w="425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Activation: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signaling in neutrophils directly upregulates anti-apoptotic genes and downregulates pro-inflammatory pathways, raising the activation threshold for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[26].</w:t>
            </w:r>
          </w:p>
        </w:tc>
        <w:tc>
          <w:tcPr>
            <w:tcW w:w="2970"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activation in dendritic cells a</w:t>
            </w:r>
            <w:r>
              <w:rPr>
                <w:rFonts w:ascii="Times New Roman" w:eastAsia="Times New Roman" w:hAnsi="Times New Roman" w:cs="Times New Roman"/>
                <w:sz w:val="24"/>
                <w:szCs w:val="24"/>
              </w:rPr>
              <w:t>nd T cells promotes immune tolerance and a balanced cytokine response.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Strengthening of the gut barrier reduces systemic inflammatory tone.</w:t>
            </w:r>
          </w:p>
        </w:tc>
      </w:tr>
      <w:tr w:rsidR="00201A74">
        <w:tc>
          <w:tcPr>
            <w:tcW w:w="157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Bile Acids</w:t>
            </w:r>
          </w:p>
        </w:tc>
        <w:tc>
          <w:tcPr>
            <w:tcW w:w="1553"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Context-Dependent </w:t>
            </w:r>
            <w:r>
              <w:rPr>
                <w:rFonts w:ascii="Times New Roman" w:eastAsia="Times New Roman" w:hAnsi="Times New Roman" w:cs="Times New Roman"/>
                <w:sz w:val="24"/>
                <w:szCs w:val="24"/>
              </w:rPr>
              <w:lastRenderedPageBreak/>
              <w:t>(Often Promotive in Dysbiosis</w:t>
            </w:r>
          </w:p>
        </w:tc>
        <w:tc>
          <w:tcPr>
            <w:tcW w:w="4251"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Mitochondrial Stress: High concentrations of DCA act as detergents, </w:t>
            </w:r>
            <w:r>
              <w:rPr>
                <w:rFonts w:ascii="Times New Roman" w:eastAsia="Times New Roman" w:hAnsi="Times New Roman" w:cs="Times New Roman"/>
                <w:sz w:val="24"/>
                <w:szCs w:val="24"/>
              </w:rPr>
              <w:lastRenderedPageBreak/>
              <w:t>disrupting mitochondrial membranes and inducing mitochondrial ROS (</w:t>
            </w:r>
            <w:proofErr w:type="spellStart"/>
            <w:r>
              <w:rPr>
                <w:rFonts w:ascii="Times New Roman" w:eastAsia="Times New Roman" w:hAnsi="Times New Roman" w:cs="Times New Roman"/>
                <w:sz w:val="24"/>
                <w:szCs w:val="24"/>
              </w:rPr>
              <w:t>mtROS</w:t>
            </w:r>
            <w:proofErr w:type="spellEnd"/>
            <w:r>
              <w:rPr>
                <w:rFonts w:ascii="Times New Roman" w:eastAsia="Times New Roman" w:hAnsi="Times New Roman" w:cs="Times New Roman"/>
                <w:sz w:val="24"/>
                <w:szCs w:val="24"/>
              </w:rPr>
              <w:t xml:space="preserve">), which drives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[27].</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NLRP3 Inflammasome Activation: Can prime and activate the inflammasome in immune c</w:t>
            </w:r>
            <w:r>
              <w:rPr>
                <w:rFonts w:ascii="Times New Roman" w:eastAsia="Times New Roman" w:hAnsi="Times New Roman" w:cs="Times New Roman"/>
                <w:sz w:val="24"/>
                <w:szCs w:val="24"/>
              </w:rPr>
              <w:t xml:space="preserve">ells, leading to IL-1β release, a potent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trigger.</w:t>
            </w:r>
          </w:p>
        </w:tc>
        <w:tc>
          <w:tcPr>
            <w:tcW w:w="2970"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Certain BAs can have anti-inflammatory effects. An </w:t>
            </w:r>
            <w:r>
              <w:rPr>
                <w:rFonts w:ascii="Times New Roman" w:eastAsia="Times New Roman" w:hAnsi="Times New Roman" w:cs="Times New Roman"/>
                <w:sz w:val="24"/>
                <w:szCs w:val="24"/>
              </w:rPr>
              <w:lastRenderedPageBreak/>
              <w:t>imbalanced ratio of pro- to anti-inflammatory BAs creates a systemic environment that favors neutrophil activation.</w:t>
            </w:r>
          </w:p>
        </w:tc>
      </w:tr>
    </w:tbl>
    <w:p w:rsidR="00201A74" w:rsidRDefault="00201A74">
      <w:pPr>
        <w:spacing w:line="480" w:lineRule="auto"/>
        <w:jc w:val="both"/>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Suppressive Metabolites</w:t>
      </w:r>
      <w:r>
        <w:rPr>
          <w:rFonts w:ascii="Times New Roman" w:eastAsia="Times New Roman" w:hAnsi="Times New Roman" w:cs="Times New Roman"/>
          <w:b/>
          <w:bCs/>
          <w:sz w:val="24"/>
          <w:szCs w:val="24"/>
        </w:rPr>
        <w:t xml:space="preserve">: SCFAs and Polyamines as </w:t>
      </w:r>
      <w:proofErr w:type="spellStart"/>
      <w:r>
        <w:rPr>
          <w:rFonts w:ascii="Times New Roman" w:eastAsia="Times New Roman" w:hAnsi="Times New Roman" w:cs="Times New Roman"/>
          <w:b/>
          <w:bCs/>
          <w:sz w:val="24"/>
          <w:szCs w:val="24"/>
        </w:rPr>
        <w:t>NETosis</w:t>
      </w:r>
      <w:proofErr w:type="spellEnd"/>
      <w:r>
        <w:rPr>
          <w:rFonts w:ascii="Times New Roman" w:eastAsia="Times New Roman" w:hAnsi="Times New Roman" w:cs="Times New Roman"/>
          <w:b/>
          <w:bCs/>
          <w:sz w:val="24"/>
          <w:szCs w:val="24"/>
        </w:rPr>
        <w:t xml:space="preserve"> Brakes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Short-Chain Fatty Acids (SCFAs): Butyrate has been demonstrated to robustly inhibit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induced by various stimuli, including PMA and LPS, in human neutrophils in vitro [22]. The primary mechanism is epigenetic:</w:t>
      </w:r>
      <w:r>
        <w:rPr>
          <w:rFonts w:ascii="Times New Roman" w:eastAsia="Times New Roman" w:hAnsi="Times New Roman" w:cs="Times New Roman"/>
          <w:sz w:val="24"/>
          <w:szCs w:val="24"/>
        </w:rPr>
        <w:t xml:space="preserve"> as potent HDAC inhibitors, SCFAs lead to hyperacetylation of histones. This increased negative charge makes the chromatin less accessible to PAD4, thereby preventing the histone citrullination that is essential for chromatin </w:t>
      </w:r>
      <w:proofErr w:type="spellStart"/>
      <w:r>
        <w:rPr>
          <w:rFonts w:ascii="Times New Roman" w:eastAsia="Times New Roman" w:hAnsi="Times New Roman" w:cs="Times New Roman"/>
          <w:sz w:val="24"/>
          <w:szCs w:val="24"/>
        </w:rPr>
        <w:t>decondensation</w:t>
      </w:r>
      <w:proofErr w:type="spellEnd"/>
      <w:r>
        <w:rPr>
          <w:rFonts w:ascii="Times New Roman" w:eastAsia="Times New Roman" w:hAnsi="Times New Roman" w:cs="Times New Roman"/>
          <w:sz w:val="24"/>
          <w:szCs w:val="24"/>
        </w:rPr>
        <w:t>. Furthermore, S</w:t>
      </w:r>
      <w:r>
        <w:rPr>
          <w:rFonts w:ascii="Times New Roman" w:eastAsia="Times New Roman" w:hAnsi="Times New Roman" w:cs="Times New Roman"/>
          <w:sz w:val="24"/>
          <w:szCs w:val="24"/>
        </w:rPr>
        <w:t xml:space="preserve">CFA signaling through GPR43 on the neutrophil surface directly suppresses phorbol ester-induced ROS production, dismantling a critical trigger for the </w:t>
      </w:r>
      <w:proofErr w:type="spellStart"/>
      <w:r>
        <w:rPr>
          <w:rFonts w:ascii="Times New Roman" w:eastAsia="Times New Roman" w:hAnsi="Times New Roman" w:cs="Times New Roman"/>
          <w:sz w:val="24"/>
          <w:szCs w:val="24"/>
        </w:rPr>
        <w:t>NETotic</w:t>
      </w:r>
      <w:proofErr w:type="spellEnd"/>
      <w:r>
        <w:rPr>
          <w:rFonts w:ascii="Times New Roman" w:eastAsia="Times New Roman" w:hAnsi="Times New Roman" w:cs="Times New Roman"/>
          <w:sz w:val="24"/>
          <w:szCs w:val="24"/>
        </w:rPr>
        <w:t xml:space="preserve"> cascade [23].</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Polyamines: Spermidine emerges as a powerful, direct inhibitor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It exert</w:t>
      </w:r>
      <w:r>
        <w:rPr>
          <w:rFonts w:ascii="Times New Roman" w:eastAsia="Times New Roman" w:hAnsi="Times New Roman" w:cs="Times New Roman"/>
          <w:sz w:val="24"/>
          <w:szCs w:val="24"/>
        </w:rPr>
        <w:t xml:space="preserve">s its effect by targeting two key nodes in the process. First, it directly inhibits PAD4 enzymatic activity, preventing the initiation of chromatin </w:t>
      </w:r>
      <w:proofErr w:type="spellStart"/>
      <w:r>
        <w:rPr>
          <w:rFonts w:ascii="Times New Roman" w:eastAsia="Times New Roman" w:hAnsi="Times New Roman" w:cs="Times New Roman"/>
          <w:sz w:val="24"/>
          <w:szCs w:val="24"/>
        </w:rPr>
        <w:t>decondensation</w:t>
      </w:r>
      <w:proofErr w:type="spellEnd"/>
      <w:r>
        <w:rPr>
          <w:rFonts w:ascii="Times New Roman" w:eastAsia="Times New Roman" w:hAnsi="Times New Roman" w:cs="Times New Roman"/>
          <w:sz w:val="24"/>
          <w:szCs w:val="24"/>
        </w:rPr>
        <w:t xml:space="preserve"> [24]. Second, it suppresses the generation of ROS by the NADPH oxidase complex. Additionally,</w:t>
      </w:r>
      <w:r>
        <w:rPr>
          <w:rFonts w:ascii="Times New Roman" w:eastAsia="Times New Roman" w:hAnsi="Times New Roman" w:cs="Times New Roman"/>
          <w:sz w:val="24"/>
          <w:szCs w:val="24"/>
        </w:rPr>
        <w:t xml:space="preserve"> its well-established role as an inducer of autophagy [25] helps maintain cellular homeostasis in neutrophils by clearing damaged organelles that could otherwise serve as intrinsic inducers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Inductive Metabolites: The Detrimental Role of Dy</w:t>
      </w:r>
      <w:r>
        <w:rPr>
          <w:rFonts w:ascii="Times New Roman" w:eastAsia="Times New Roman" w:hAnsi="Times New Roman" w:cs="Times New Roman"/>
          <w:sz w:val="24"/>
          <w:szCs w:val="24"/>
        </w:rPr>
        <w:t>sbiosis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Bile Acids: In a state of dysbiosis, an overabundance of certain secondary bile acids like deoxycholic acid (DCA) can have the opposite effect. At high concentrations, DCA can disrupt mitochondrial membranes in neutrophils, leading to the</w:t>
      </w:r>
      <w:r>
        <w:rPr>
          <w:rFonts w:ascii="Times New Roman" w:eastAsia="Times New Roman" w:hAnsi="Times New Roman" w:cs="Times New Roman"/>
          <w:sz w:val="24"/>
          <w:szCs w:val="24"/>
        </w:rPr>
        <w:t xml:space="preserve"> leakage of mitochondrial DNA and the generation of mitochondrial ROS (</w:t>
      </w:r>
      <w:proofErr w:type="spellStart"/>
      <w:r>
        <w:rPr>
          <w:rFonts w:ascii="Times New Roman" w:eastAsia="Times New Roman" w:hAnsi="Times New Roman" w:cs="Times New Roman"/>
          <w:sz w:val="24"/>
          <w:szCs w:val="24"/>
        </w:rPr>
        <w:t>mtROS</w:t>
      </w:r>
      <w:proofErr w:type="spellEnd"/>
      <w:r>
        <w:rPr>
          <w:rFonts w:ascii="Times New Roman" w:eastAsia="Times New Roman" w:hAnsi="Times New Roman" w:cs="Times New Roman"/>
          <w:sz w:val="24"/>
          <w:szCs w:val="24"/>
        </w:rPr>
        <w:t xml:space="preserve">). This </w:t>
      </w:r>
      <w:proofErr w:type="spellStart"/>
      <w:r>
        <w:rPr>
          <w:rFonts w:ascii="Times New Roman" w:eastAsia="Times New Roman" w:hAnsi="Times New Roman" w:cs="Times New Roman"/>
          <w:sz w:val="24"/>
          <w:szCs w:val="24"/>
        </w:rPr>
        <w:t>mtROS</w:t>
      </w:r>
      <w:proofErr w:type="spellEnd"/>
      <w:r>
        <w:rPr>
          <w:rFonts w:ascii="Times New Roman" w:eastAsia="Times New Roman" w:hAnsi="Times New Roman" w:cs="Times New Roman"/>
          <w:sz w:val="24"/>
          <w:szCs w:val="24"/>
        </w:rPr>
        <w:t xml:space="preserve"> can act as a potent trigger for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independent of or synergistic with the NADPH oxidase pathway [25]. This highlights that the impact of microbial metabolites i</w:t>
      </w:r>
      <w:r>
        <w:rPr>
          <w:rFonts w:ascii="Times New Roman" w:eastAsia="Times New Roman" w:hAnsi="Times New Roman" w:cs="Times New Roman"/>
          <w:sz w:val="24"/>
          <w:szCs w:val="24"/>
        </w:rPr>
        <w:t>s not universally beneficial and is entirely dependent on the compositional and metabolic balance of the gut community.</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Indirect Modulation via the Tumor Microenvironment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direct actions on neutrophils, microbial metabolites sculpt the broader T</w:t>
      </w:r>
      <w:r>
        <w:rPr>
          <w:rFonts w:ascii="Times New Roman" w:eastAsia="Times New Roman" w:hAnsi="Times New Roman" w:cs="Times New Roman"/>
          <w:sz w:val="24"/>
          <w:szCs w:val="24"/>
        </w:rPr>
        <w:t xml:space="preserve">ME, creating feedback loops that influence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For instance, SCFAs and inosine promote the activation and tumor infiltration of CD8+ T cells and Th1 cells [26]. These activated T cells produce IFN-γ, which can have complex effects on neutrophils but c</w:t>
      </w:r>
      <w:r>
        <w:rPr>
          <w:rFonts w:ascii="Times New Roman" w:eastAsia="Times New Roman" w:hAnsi="Times New Roman" w:cs="Times New Roman"/>
          <w:sz w:val="24"/>
          <w:szCs w:val="24"/>
        </w:rPr>
        <w:t xml:space="preserve">an also contribute to an anti-tumor immune cycle that suppresses the pro-tumorigenic functions of neutrophils, including excessive NET formation. Conversely, a metabolite profile that favors </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xml:space="preserve"> expansion and M2 macrophage polarization can create an immun</w:t>
      </w:r>
      <w:r>
        <w:rPr>
          <w:rFonts w:ascii="Times New Roman" w:eastAsia="Times New Roman" w:hAnsi="Times New Roman" w:cs="Times New Roman"/>
          <w:sz w:val="24"/>
          <w:szCs w:val="24"/>
        </w:rPr>
        <w:t xml:space="preserve">osuppressive environment that indirectly permits sustained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 microbial metabolites function as master regulators of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through a multi-pronged strategy involving direct epigenetic and enzymatic interference, receptor-mediated signaling, and</w:t>
      </w:r>
      <w:r>
        <w:rPr>
          <w:rFonts w:ascii="Times New Roman" w:eastAsia="Times New Roman" w:hAnsi="Times New Roman" w:cs="Times New Roman"/>
          <w:sz w:val="24"/>
          <w:szCs w:val="24"/>
        </w:rPr>
        <w:t xml:space="preserve"> systemic modulation of inflammatory tone. A favorable microbiome generates a metabolite profile that acts as a "brake" on pathological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while a </w:t>
      </w:r>
      <w:proofErr w:type="spellStart"/>
      <w:r>
        <w:rPr>
          <w:rFonts w:ascii="Times New Roman" w:eastAsia="Times New Roman" w:hAnsi="Times New Roman" w:cs="Times New Roman"/>
          <w:sz w:val="24"/>
          <w:szCs w:val="24"/>
        </w:rPr>
        <w:t>dysbiotic</w:t>
      </w:r>
      <w:proofErr w:type="spellEnd"/>
      <w:r>
        <w:rPr>
          <w:rFonts w:ascii="Times New Roman" w:eastAsia="Times New Roman" w:hAnsi="Times New Roman" w:cs="Times New Roman"/>
          <w:sz w:val="24"/>
          <w:szCs w:val="24"/>
        </w:rPr>
        <w:t xml:space="preserve"> microbiome often releases the "accelerator," contributing to an ICB-resistant TME [25]</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 THE</w:t>
      </w:r>
      <w:r>
        <w:rPr>
          <w:rFonts w:ascii="Times New Roman" w:eastAsia="Times New Roman" w:hAnsi="Times New Roman" w:cs="Times New Roman"/>
          <w:b/>
          <w:bCs/>
          <w:sz w:val="24"/>
          <w:szCs w:val="24"/>
        </w:rPr>
        <w:t xml:space="preserve"> GUT-NET-ICB AXIS: AN INTEGRATED MODEL</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propose a comprehensive model wherein the gut microbiome dictates clinical response to Immune Checkpoint Blockade (ICB) through the systemic regulation of Neutrophil Extracellular Trap (NET) formation, with microbi</w:t>
      </w:r>
      <w:r>
        <w:rPr>
          <w:rFonts w:ascii="Times New Roman" w:eastAsia="Times New Roman" w:hAnsi="Times New Roman" w:cs="Times New Roman"/>
          <w:sz w:val="24"/>
          <w:szCs w:val="24"/>
        </w:rPr>
        <w:t xml:space="preserve">al metabolites serving as the primary signaling intermediaries. This "Gut-NET-ICB Axis" provides a mechanistic framework to explain how the intestinal microbiota can influence anti-tumor immunity in distant tissues. The model pivots on the balance between </w:t>
      </w:r>
      <w:r>
        <w:rPr>
          <w:rFonts w:ascii="Times New Roman" w:eastAsia="Times New Roman" w:hAnsi="Times New Roman" w:cs="Times New Roman"/>
          <w:sz w:val="24"/>
          <w:szCs w:val="24"/>
        </w:rPr>
        <w:t xml:space="preserve">two contrasting states: a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-Suppressive, ICB-Permissive state and a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-Promotive, ICB-Resistant state.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outlines the contrasting characteristics of these two states within our integrated model.</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The Two States of the G</w:t>
      </w:r>
      <w:r>
        <w:rPr>
          <w:rFonts w:ascii="Times New Roman" w:eastAsia="Times New Roman" w:hAnsi="Times New Roman" w:cs="Times New Roman"/>
          <w:sz w:val="24"/>
          <w:szCs w:val="24"/>
        </w:rPr>
        <w:t>ut-NET-ICB Axis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Feature</w:t>
            </w:r>
          </w:p>
        </w:tc>
        <w:tc>
          <w:tcPr>
            <w:tcW w:w="3117" w:type="dxa"/>
          </w:tcPr>
          <w:p w:rsidR="00201A74" w:rsidRDefault="00E5176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-Suppressive, ICB-Permissive State</w:t>
            </w:r>
          </w:p>
        </w:tc>
        <w:tc>
          <w:tcPr>
            <w:tcW w:w="3117" w:type="dxa"/>
          </w:tcPr>
          <w:p w:rsidR="00201A74" w:rsidRDefault="00E5176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-Promotive, ICB-Resistant State</w:t>
            </w:r>
          </w:p>
        </w:tc>
      </w:tr>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Gut Microbiome Profile</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"Favorable" / </w:t>
            </w:r>
            <w:proofErr w:type="spellStart"/>
            <w:r>
              <w:rPr>
                <w:rFonts w:ascii="Times New Roman" w:eastAsia="Times New Roman" w:hAnsi="Times New Roman" w:cs="Times New Roman"/>
                <w:sz w:val="24"/>
                <w:szCs w:val="24"/>
              </w:rPr>
              <w:t>Eubiotic</w:t>
            </w:r>
            <w:proofErr w:type="spellEnd"/>
            <w:r>
              <w:rPr>
                <w:rFonts w:ascii="Times New Roman" w:eastAsia="Times New Roman" w:hAnsi="Times New Roman" w:cs="Times New Roman"/>
                <w:sz w:val="24"/>
                <w:szCs w:val="24"/>
              </w:rPr>
              <w:t xml:space="preserve">. Enriched with SCFA-producers polyamine-producers, and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-ligand generators.</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"Unfavorable" / </w:t>
            </w:r>
            <w:proofErr w:type="spellStart"/>
            <w:r>
              <w:rPr>
                <w:rFonts w:ascii="Times New Roman" w:eastAsia="Times New Roman" w:hAnsi="Times New Roman" w:cs="Times New Roman"/>
                <w:sz w:val="24"/>
                <w:szCs w:val="24"/>
              </w:rPr>
              <w:t>Dysbiotic</w:t>
            </w:r>
            <w:proofErr w:type="spellEnd"/>
            <w:r>
              <w:rPr>
                <w:rFonts w:ascii="Times New Roman" w:eastAsia="Times New Roman" w:hAnsi="Times New Roman" w:cs="Times New Roman"/>
                <w:sz w:val="24"/>
                <w:szCs w:val="24"/>
              </w:rPr>
              <w:t>. Enriched with pathobionts, reduced microbial diversity, and bacteria producing pro-inflammatory metabolites.</w:t>
            </w:r>
          </w:p>
        </w:tc>
      </w:tr>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Systemic Metabolite Profile</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circulating levels of Butyrate, Propionate, Spermidine, and Indoles. </w:t>
            </w:r>
            <w:r>
              <w:rPr>
                <w:rFonts w:ascii="Times New Roman" w:eastAsia="Times New Roman" w:hAnsi="Times New Roman" w:cs="Times New Roman"/>
                <w:sz w:val="24"/>
                <w:szCs w:val="24"/>
              </w:rPr>
              <w:lastRenderedPageBreak/>
              <w:t>Balanced secondar</w:t>
            </w:r>
            <w:r>
              <w:rPr>
                <w:rFonts w:ascii="Times New Roman" w:eastAsia="Times New Roman" w:hAnsi="Times New Roman" w:cs="Times New Roman"/>
                <w:sz w:val="24"/>
                <w:szCs w:val="24"/>
              </w:rPr>
              <w:t>y bile acid ratio.</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Low levels of beneficial metabolites. High levels of pro-inflammatory secondary bile acids.</w:t>
            </w:r>
          </w:p>
        </w:tc>
      </w:tr>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Impact on Neutrophils &amp; </w:t>
            </w:r>
            <w:proofErr w:type="spellStart"/>
            <w:r>
              <w:rPr>
                <w:rFonts w:ascii="Times New Roman" w:eastAsia="Times New Roman" w:hAnsi="Times New Roman" w:cs="Times New Roman"/>
                <w:sz w:val="24"/>
                <w:szCs w:val="24"/>
              </w:rPr>
              <w:t>NETosis</w:t>
            </w:r>
            <w:proofErr w:type="spellEnd"/>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Suppressed Pathological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Metabolites directly inhibit PAD4, reduce ROS, and block HDACs. Neutrophils are</w:t>
            </w:r>
            <w:r>
              <w:rPr>
                <w:rFonts w:ascii="Times New Roman" w:eastAsia="Times New Roman" w:hAnsi="Times New Roman" w:cs="Times New Roman"/>
                <w:sz w:val="24"/>
                <w:szCs w:val="24"/>
              </w:rPr>
              <w:t xml:space="preserve"> less prone to excessive NET release.</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Promoted Pathological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Lack of suppression and presence of inflammatory inducers lead to rampant NET formation.</w:t>
            </w:r>
          </w:p>
        </w:tc>
      </w:tr>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Tumor Microenvironment (TME)</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Low NET Density</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Enhanced T-cell Infiltration: Physical barrier </w:t>
            </w:r>
            <w:r>
              <w:rPr>
                <w:rFonts w:ascii="Times New Roman" w:eastAsia="Times New Roman" w:hAnsi="Times New Roman" w:cs="Times New Roman"/>
                <w:sz w:val="24"/>
                <w:szCs w:val="24"/>
              </w:rPr>
              <w:t>is removed.</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Functional T-cells: Reduced T-cell exhaustion and impairment.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Favorable CD8+/</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xml:space="preserve"> ratio.</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High NET Density</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Impaired T-cell Infiltration: NETs form a physical barrier.</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T-cell Exhaustion: NET components directly suppress T-cell function.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Immunosuppressive milieu.</w:t>
            </w:r>
          </w:p>
        </w:tc>
      </w:tr>
      <w:tr w:rsidR="00201A74">
        <w:tc>
          <w:tcPr>
            <w:tcW w:w="3116"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 ICB Outcome</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Responsive. Checkpoint inhibitors effectively reinvigorate pre-existing, functional, and infiltrated T cells, leading to tumor cell killing.</w:t>
            </w:r>
          </w:p>
        </w:tc>
        <w:tc>
          <w:tcPr>
            <w:tcW w:w="3117" w:type="dxa"/>
          </w:tcPr>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Refractory. T cells are excluded, dysfunctional, and exhausted; ICB</w:t>
            </w:r>
            <w:r>
              <w:rPr>
                <w:rFonts w:ascii="Times New Roman" w:eastAsia="Times New Roman" w:hAnsi="Times New Roman" w:cs="Times New Roman"/>
                <w:sz w:val="24"/>
                <w:szCs w:val="24"/>
              </w:rPr>
              <w:t xml:space="preserve"> fails to initiate an effective anti-tumor response.</w:t>
            </w:r>
          </w:p>
        </w:tc>
      </w:tr>
    </w:tbl>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THE ICB-PERMISSIVE CYCLE: A FAVORABLE MICROBIOME SUPPRESSES NETS</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In this virtuous cycle, a diverse and balanced gut microbiome, characterized by taxa such as </w:t>
      </w:r>
      <w:proofErr w:type="spellStart"/>
      <w:r>
        <w:rPr>
          <w:rFonts w:ascii="Times New Roman" w:eastAsia="Times New Roman" w:hAnsi="Times New Roman" w:cs="Times New Roman"/>
          <w:i/>
          <w:iCs/>
          <w:sz w:val="24"/>
          <w:szCs w:val="24"/>
        </w:rPr>
        <w:t>Akkermansia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muciniphila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Faecalibacteri</w:t>
      </w:r>
      <w:r>
        <w:rPr>
          <w:rFonts w:ascii="Times New Roman" w:eastAsia="Times New Roman" w:hAnsi="Times New Roman" w:cs="Times New Roman"/>
          <w:i/>
          <w:iCs/>
          <w:sz w:val="24"/>
          <w:szCs w:val="24"/>
        </w:rPr>
        <w:t>um</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prausnitzii</w:t>
      </w:r>
      <w:proofErr w:type="spellEnd"/>
      <w:r>
        <w:rPr>
          <w:rFonts w:ascii="Times New Roman" w:eastAsia="Times New Roman" w:hAnsi="Times New Roman" w:cs="Times New Roman"/>
          <w:sz w:val="24"/>
          <w:szCs w:val="24"/>
        </w:rPr>
        <w:t xml:space="preserve">, and Bifidobacterium spp., generates a metabolite profile rich in SCFAs, polyamines, and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ligands.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Metabolite Production</w:t>
      </w:r>
      <w:r>
        <w:rPr>
          <w:rFonts w:ascii="Times New Roman" w:eastAsia="Times New Roman" w:hAnsi="Times New Roman" w:cs="Times New Roman"/>
          <w:sz w:val="24"/>
          <w:szCs w:val="24"/>
        </w:rPr>
        <w:t>: These microbes ferment dietary fiber to produce high levels of butyrate and other SCFAs. They also generate immunomo</w:t>
      </w:r>
      <w:r>
        <w:rPr>
          <w:rFonts w:ascii="Times New Roman" w:eastAsia="Times New Roman" w:hAnsi="Times New Roman" w:cs="Times New Roman"/>
          <w:sz w:val="24"/>
          <w:szCs w:val="24"/>
        </w:rPr>
        <w:t xml:space="preserve">dulatory polyamines like spermidine and tryptophan-derived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ligands.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Systemic Signaling</w:t>
      </w:r>
      <w:r>
        <w:rPr>
          <w:rFonts w:ascii="Times New Roman" w:eastAsia="Times New Roman" w:hAnsi="Times New Roman" w:cs="Times New Roman"/>
          <w:sz w:val="24"/>
          <w:szCs w:val="24"/>
        </w:rPr>
        <w:t>: These metabolites are absorbed into the portal circulation and exert systemic effects. They reach the bone marrow and the TME, where they encounter neutrophils.</w:t>
      </w:r>
    </w:p>
    <w:p w:rsidR="00201A74" w:rsidRDefault="00E5176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NET</w:t>
      </w:r>
      <w:r>
        <w:rPr>
          <w:rFonts w:ascii="Times New Roman" w:eastAsia="Times New Roman" w:hAnsi="Times New Roman" w:cs="Times New Roman"/>
          <w:b/>
          <w:bCs/>
          <w:sz w:val="24"/>
          <w:szCs w:val="24"/>
        </w:rPr>
        <w:t>osis</w:t>
      </w:r>
      <w:proofErr w:type="spellEnd"/>
      <w:r>
        <w:rPr>
          <w:rFonts w:ascii="Times New Roman" w:eastAsia="Times New Roman" w:hAnsi="Times New Roman" w:cs="Times New Roman"/>
          <w:b/>
          <w:bCs/>
          <w:sz w:val="24"/>
          <w:szCs w:val="24"/>
        </w:rPr>
        <w:t xml:space="preserve"> Suppression</w:t>
      </w:r>
      <w:r>
        <w:rPr>
          <w:rFonts w:ascii="Times New Roman" w:eastAsia="Times New Roman" w:hAnsi="Times New Roman" w:cs="Times New Roman"/>
          <w:sz w:val="24"/>
          <w:szCs w:val="24"/>
        </w:rPr>
        <w:t xml:space="preserve">: As detailed in Section 4, these metabolites directly "raise the threshold" for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Butyrate (via </w:t>
      </w:r>
      <w:proofErr w:type="spellStart"/>
      <w:r>
        <w:rPr>
          <w:rFonts w:ascii="Times New Roman" w:eastAsia="Times New Roman" w:hAnsi="Times New Roman" w:cs="Times New Roman"/>
          <w:sz w:val="24"/>
          <w:szCs w:val="24"/>
        </w:rPr>
        <w:t>HDACi</w:t>
      </w:r>
      <w:proofErr w:type="spellEnd"/>
      <w:r>
        <w:rPr>
          <w:rFonts w:ascii="Times New Roman" w:eastAsia="Times New Roman" w:hAnsi="Times New Roman" w:cs="Times New Roman"/>
          <w:sz w:val="24"/>
          <w:szCs w:val="24"/>
        </w:rPr>
        <w:t xml:space="preserve">) and spermidine (via PAD4 inhibition) disrupt the core biochemical pathways required for chromatin </w:t>
      </w:r>
      <w:proofErr w:type="spellStart"/>
      <w:r>
        <w:rPr>
          <w:rFonts w:ascii="Times New Roman" w:eastAsia="Times New Roman" w:hAnsi="Times New Roman" w:cs="Times New Roman"/>
          <w:sz w:val="24"/>
          <w:szCs w:val="24"/>
        </w:rPr>
        <w:t>decondensation</w:t>
      </w:r>
      <w:proofErr w:type="spellEnd"/>
      <w:r>
        <w:rPr>
          <w:rFonts w:ascii="Times New Roman" w:eastAsia="Times New Roman" w:hAnsi="Times New Roman" w:cs="Times New Roman"/>
          <w:sz w:val="24"/>
          <w:szCs w:val="24"/>
        </w:rPr>
        <w:t xml:space="preserve"> and NET release.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TME Remodeling</w:t>
      </w:r>
      <w:r>
        <w:rPr>
          <w:rFonts w:ascii="Times New Roman" w:eastAsia="Times New Roman" w:hAnsi="Times New Roman" w:cs="Times New Roman"/>
          <w:sz w:val="24"/>
          <w:szCs w:val="24"/>
        </w:rPr>
        <w:t>: The consequent low level of NETs in the TME dismantles a major immunosuppressive barrier. CD8+ T cells can effectively infiltrate the tumor parenchyma, encounter their antigen, and execute cytotoxic functions without being suppressed by NE</w:t>
      </w:r>
      <w:r>
        <w:rPr>
          <w:rFonts w:ascii="Times New Roman" w:eastAsia="Times New Roman" w:hAnsi="Times New Roman" w:cs="Times New Roman"/>
          <w:sz w:val="24"/>
          <w:szCs w:val="24"/>
        </w:rPr>
        <w:t>T-derived components like histones and proteases.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Effective ICB Response:</w:t>
      </w:r>
      <w:r>
        <w:rPr>
          <w:rFonts w:ascii="Times New Roman" w:eastAsia="Times New Roman" w:hAnsi="Times New Roman" w:cs="Times New Roman"/>
          <w:sz w:val="24"/>
          <w:szCs w:val="24"/>
        </w:rPr>
        <w:t xml:space="preserve"> In this permissive environment, the administration of ICB can effectively reinvigorate these functional, tumor-infiltrating T cells, leading to robust tumor control and clinical resp</w:t>
      </w:r>
      <w:r>
        <w:rPr>
          <w:rFonts w:ascii="Times New Roman" w:eastAsia="Times New Roman" w:hAnsi="Times New Roman" w:cs="Times New Roman"/>
          <w:sz w:val="24"/>
          <w:szCs w:val="24"/>
        </w:rPr>
        <w:t>onse [30, 31].</w:t>
      </w:r>
    </w:p>
    <w:p w:rsidR="00201A74" w:rsidRDefault="00201A74">
      <w:pPr>
        <w:spacing w:line="480" w:lineRule="auto"/>
        <w:jc w:val="both"/>
        <w:rPr>
          <w:rFonts w:ascii="Times New Roman" w:eastAsia="Times New Roman" w:hAnsi="Times New Roman" w:cs="Times New Roman"/>
          <w:b/>
          <w:bCs/>
          <w:sz w:val="24"/>
          <w:szCs w:val="24"/>
        </w:rPr>
      </w:pPr>
    </w:p>
    <w:p w:rsidR="00201A74" w:rsidRDefault="00201A74">
      <w:pPr>
        <w:spacing w:line="480" w:lineRule="auto"/>
        <w:jc w:val="both"/>
        <w:rPr>
          <w:rFonts w:ascii="Times New Roman" w:eastAsia="Times New Roman" w:hAnsi="Times New Roman" w:cs="Times New Roman"/>
          <w:b/>
          <w:bCs/>
          <w:sz w:val="24"/>
          <w:szCs w:val="24"/>
        </w:rPr>
      </w:pP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4.2. THE ICB-RESISTANT CYCLE: DYSBIOSIS PROMOTES NET-DRIVEN IMMUNOSUPPRESSION</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Conversely, a state of dysbiosis, potentially driven by antibiotics, a Western diet, or disease, initiates a vicious cycle that culminates in ICB resistance.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Dysbiosis and Metabolite Imbalance</w:t>
      </w:r>
      <w:r>
        <w:rPr>
          <w:rFonts w:ascii="Times New Roman" w:eastAsia="Times New Roman" w:hAnsi="Times New Roman" w:cs="Times New Roman"/>
          <w:sz w:val="24"/>
          <w:szCs w:val="24"/>
        </w:rPr>
        <w:t>: The gut community is depleted of beneficial metabolite producers. This leads to low systemic levels of SCFAs and spermidine. Concurrently, there may be an expansion of bacteria that produce pro-inflammatory metabolites o</w:t>
      </w:r>
      <w:r>
        <w:rPr>
          <w:rFonts w:ascii="Times New Roman" w:eastAsia="Times New Roman" w:hAnsi="Times New Roman" w:cs="Times New Roman"/>
          <w:sz w:val="24"/>
          <w:szCs w:val="24"/>
        </w:rPr>
        <w:t>r, through a weakened gut barrier, allow the translocation of microbial products like Lipopolysaccharide (LPS) [11].</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Loss of </w:t>
      </w:r>
      <w:proofErr w:type="spellStart"/>
      <w:r>
        <w:rPr>
          <w:rFonts w:ascii="Times New Roman" w:eastAsia="Times New Roman" w:hAnsi="Times New Roman" w:cs="Times New Roman"/>
          <w:b/>
          <w:bCs/>
          <w:sz w:val="24"/>
          <w:szCs w:val="24"/>
        </w:rPr>
        <w:t>NETosis</w:t>
      </w:r>
      <w:proofErr w:type="spellEnd"/>
      <w:r>
        <w:rPr>
          <w:rFonts w:ascii="Times New Roman" w:eastAsia="Times New Roman" w:hAnsi="Times New Roman" w:cs="Times New Roman"/>
          <w:b/>
          <w:bCs/>
          <w:sz w:val="24"/>
          <w:szCs w:val="24"/>
        </w:rPr>
        <w:t xml:space="preserve"> Suppression</w:t>
      </w:r>
      <w:r>
        <w:rPr>
          <w:rFonts w:ascii="Times New Roman" w:eastAsia="Times New Roman" w:hAnsi="Times New Roman" w:cs="Times New Roman"/>
          <w:sz w:val="24"/>
          <w:szCs w:val="24"/>
        </w:rPr>
        <w:t>: The absence of the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brake" (SCFAs, spermidine) leaves neutrophils hypersensitive to activation signals</w:t>
      </w:r>
      <w:r>
        <w:rPr>
          <w:rFonts w:ascii="Times New Roman" w:eastAsia="Times New Roman" w:hAnsi="Times New Roman" w:cs="Times New Roman"/>
          <w:sz w:val="24"/>
          <w:szCs w:val="24"/>
        </w:rPr>
        <w:t xml:space="preserve">. Furthermore, circulating LPS and certain secondary bile acids provide direct triggers for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NET-Driven Immunosuppressive TME</w:t>
      </w:r>
      <w:r>
        <w:rPr>
          <w:rFonts w:ascii="Times New Roman" w:eastAsia="Times New Roman" w:hAnsi="Times New Roman" w:cs="Times New Roman"/>
          <w:sz w:val="24"/>
          <w:szCs w:val="24"/>
        </w:rPr>
        <w:t xml:space="preserve">: Neutrophils in the TME readily undergo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leading to high NET density. These NETs physically trap T cells and preve</w:t>
      </w:r>
      <w:r>
        <w:rPr>
          <w:rFonts w:ascii="Times New Roman" w:eastAsia="Times New Roman" w:hAnsi="Times New Roman" w:cs="Times New Roman"/>
          <w:sz w:val="24"/>
          <w:szCs w:val="24"/>
        </w:rPr>
        <w:t>nt their infiltration [32]. More critically, NET components have been shown to directly promote T cell exhaustion by upregulating PD-1 expression and suppressing their proliferative and cytotoxic capacity [33].</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ICB Failure</w:t>
      </w:r>
      <w:r>
        <w:rPr>
          <w:rFonts w:ascii="Times New Roman" w:eastAsia="Times New Roman" w:hAnsi="Times New Roman" w:cs="Times New Roman"/>
          <w:sz w:val="24"/>
          <w:szCs w:val="24"/>
        </w:rPr>
        <w:t>: In this scenario, the TME is cha</w:t>
      </w:r>
      <w:r>
        <w:rPr>
          <w:rFonts w:ascii="Times New Roman" w:eastAsia="Times New Roman" w:hAnsi="Times New Roman" w:cs="Times New Roman"/>
          <w:sz w:val="24"/>
          <w:szCs w:val="24"/>
        </w:rPr>
        <w:t>racterized by excluded and profoundly exhausted T cells. Even when PD-1 is blocked by ICB, the T cells are too dysfunctional or physically sequestered to mount an effective anti-tumor response, resulting in primary therapeutic resistance.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302514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3025140"/>
                    </a:xfrm>
                    <a:prstGeom prst="rect">
                      <a:avLst/>
                    </a:prstGeom>
                    <a:ln/>
                  </pic:spPr>
                </pic:pic>
              </a:graphicData>
            </a:graphic>
          </wp:inline>
        </w:drawing>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2: </w:t>
      </w:r>
      <w:r>
        <w:rPr>
          <w:rFonts w:ascii="Times New Roman" w:eastAsia="Times New Roman" w:hAnsi="Times New Roman" w:cs="Times New Roman"/>
          <w:sz w:val="24"/>
          <w:szCs w:val="24"/>
        </w:rPr>
        <w:t>Acqui</w:t>
      </w:r>
      <w:r>
        <w:rPr>
          <w:rFonts w:ascii="Times New Roman" w:eastAsia="Times New Roman" w:hAnsi="Times New Roman" w:cs="Times New Roman"/>
          <w:sz w:val="24"/>
          <w:szCs w:val="24"/>
        </w:rPr>
        <w:t xml:space="preserve">red Resistance to Immune Checkpoint </w:t>
      </w:r>
      <w:proofErr w:type="gramStart"/>
      <w:r>
        <w:rPr>
          <w:rFonts w:ascii="Times New Roman" w:eastAsia="Times New Roman" w:hAnsi="Times New Roman" w:cs="Times New Roman"/>
          <w:sz w:val="24"/>
          <w:szCs w:val="24"/>
        </w:rPr>
        <w:t>Blockades[</w:t>
      </w:r>
      <w:proofErr w:type="gramEnd"/>
      <w:r>
        <w:rPr>
          <w:rFonts w:ascii="Times New Roman" w:eastAsia="Times New Roman" w:hAnsi="Times New Roman" w:cs="Times New Roman"/>
          <w:sz w:val="24"/>
          <w:szCs w:val="24"/>
        </w:rPr>
        <w:t>35]</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 Therapeutic Implications of the Axis </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model directly suggests novel therapeutic strategies aimed at interrupting the resistant cycle and promoting the permissive one. These interventions can target different nodes of the axis: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Targeting the Gut: Using prebiotics, probiotics, or FMT to est</w:t>
      </w:r>
      <w:r>
        <w:rPr>
          <w:rFonts w:ascii="Times New Roman" w:eastAsia="Times New Roman" w:hAnsi="Times New Roman" w:cs="Times New Roman"/>
          <w:sz w:val="24"/>
          <w:szCs w:val="24"/>
        </w:rPr>
        <w:t xml:space="preserve">ablish a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-suppressive microbiome.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Targeting the Metabolite: Using postbiotic supplements to directly deliver the inhibitory signals.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Targeting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Using pharmacological PAD4 inhibitors (e.g., GSK484) or DNase I to directly prevent NET formation</w:t>
      </w:r>
      <w:r>
        <w:rPr>
          <w:rFonts w:ascii="Times New Roman" w:eastAsia="Times New Roman" w:hAnsi="Times New Roman" w:cs="Times New Roman"/>
          <w:sz w:val="24"/>
          <w:szCs w:val="24"/>
        </w:rPr>
        <w:t xml:space="preserve"> or degrade existing NETs, thereby breaking the immunosuppressive barrier and potentially synergizing with ICB [35, 36].</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Gut-NET-ICB Axis provides a powerful, mechanistic model that integrates the fields of microbiome research, neutrophil biology, and </w:t>
      </w:r>
      <w:r>
        <w:rPr>
          <w:rFonts w:ascii="Times New Roman" w:eastAsia="Times New Roman" w:hAnsi="Times New Roman" w:cs="Times New Roman"/>
          <w:sz w:val="24"/>
          <w:szCs w:val="24"/>
        </w:rPr>
        <w:t xml:space="preserve">cancer immunotherapy [37]. It explains how a </w:t>
      </w:r>
      <w:r>
        <w:rPr>
          <w:rFonts w:ascii="Times New Roman" w:eastAsia="Times New Roman" w:hAnsi="Times New Roman" w:cs="Times New Roman"/>
          <w:sz w:val="24"/>
          <w:szCs w:val="24"/>
        </w:rPr>
        <w:lastRenderedPageBreak/>
        <w:t xml:space="preserve">systemic factor of the gut microbiome can locally determine treatment efficacy by controlling a specific innate immune process,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that directly shapes the adaptive anti-tumor response [33].</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intricate interplay between the gut microbiome, host immunity, and cancer therapy continues to redefine our understanding of </w:t>
      </w:r>
      <w:proofErr w:type="spellStart"/>
      <w:r>
        <w:rPr>
          <w:rFonts w:ascii="Times New Roman" w:eastAsia="Times New Roman" w:hAnsi="Times New Roman" w:cs="Times New Roman"/>
          <w:sz w:val="24"/>
          <w:szCs w:val="24"/>
        </w:rPr>
        <w:t>oncobiology</w:t>
      </w:r>
      <w:proofErr w:type="spellEnd"/>
      <w:r>
        <w:rPr>
          <w:rFonts w:ascii="Times New Roman" w:eastAsia="Times New Roman" w:hAnsi="Times New Roman" w:cs="Times New Roman"/>
          <w:sz w:val="24"/>
          <w:szCs w:val="24"/>
        </w:rPr>
        <w:t xml:space="preserve">. This review has synthesized compelling evidence to establish a novel and critical pathway: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Gut-NET-ICB Axis. W</w:t>
      </w:r>
      <w:r>
        <w:rPr>
          <w:rFonts w:ascii="Times New Roman" w:eastAsia="Times New Roman" w:hAnsi="Times New Roman" w:cs="Times New Roman"/>
          <w:sz w:val="24"/>
          <w:szCs w:val="24"/>
        </w:rPr>
        <w:t>e have delineated a mechanistic framework wherein gut microbial metabolites serve as pivotal systemic regulators of neutrophil extracellular trap (NET) formation, which in turn exerts a profound influence on the efficacy of immune checkpoint blockade (ICB)</w:t>
      </w:r>
      <w:r>
        <w:rPr>
          <w:rFonts w:ascii="Times New Roman" w:eastAsia="Times New Roman" w:hAnsi="Times New Roman" w:cs="Times New Roman"/>
          <w:sz w:val="24"/>
          <w:szCs w:val="24"/>
        </w:rPr>
        <w:t>.</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posits two divergent states. A favorable gut microbiome, characterized by producers of short-chain fatty acids (SCFAs), polyamines, and </w:t>
      </w:r>
      <w:proofErr w:type="spellStart"/>
      <w:r>
        <w:rPr>
          <w:rFonts w:ascii="Times New Roman" w:eastAsia="Times New Roman" w:hAnsi="Times New Roman" w:cs="Times New Roman"/>
          <w:sz w:val="24"/>
          <w:szCs w:val="24"/>
        </w:rPr>
        <w:t>AhR</w:t>
      </w:r>
      <w:proofErr w:type="spellEnd"/>
      <w:r>
        <w:rPr>
          <w:rFonts w:ascii="Times New Roman" w:eastAsia="Times New Roman" w:hAnsi="Times New Roman" w:cs="Times New Roman"/>
          <w:sz w:val="24"/>
          <w:szCs w:val="24"/>
        </w:rPr>
        <w:t xml:space="preserve"> ligands, generates a metabolite profile that systemically suppresses pathological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This creates </w:t>
      </w:r>
      <w:r>
        <w:rPr>
          <w:rFonts w:ascii="Times New Roman" w:eastAsia="Times New Roman" w:hAnsi="Times New Roman" w:cs="Times New Roman"/>
          <w:sz w:val="24"/>
          <w:szCs w:val="24"/>
        </w:rPr>
        <w:t xml:space="preserve">a tumor microenvironment (TME) that is permissive to T-cell infiltration and function, thereby enabling a robust response to ICB. Conversely, a state of dysbiosis fails to provide these suppressive signals and may even promote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leading to a NET-ric</w:t>
      </w:r>
      <w:r>
        <w:rPr>
          <w:rFonts w:ascii="Times New Roman" w:eastAsia="Times New Roman" w:hAnsi="Times New Roman" w:cs="Times New Roman"/>
          <w:sz w:val="24"/>
          <w:szCs w:val="24"/>
        </w:rPr>
        <w:t>h, immunosuppressive TME that fosters T-cell exclusion and exhaustion, ultimately resulting in ICB resistance.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paradigm shift from viewing the microbiome as a simple correlate to understanding it as an active modulator of specific innate immune effect</w:t>
      </w:r>
      <w:r>
        <w:rPr>
          <w:rFonts w:ascii="Times New Roman" w:eastAsia="Times New Roman" w:hAnsi="Times New Roman" w:cs="Times New Roman"/>
          <w:sz w:val="24"/>
          <w:szCs w:val="24"/>
        </w:rPr>
        <w:t xml:space="preserve">or mechanisms like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has significant implications. It moves the field beyond taxonomic associations and towards a functional, metabolite-driven understanding of therapy response. The axis provides a unifying explanation for how a distal community of </w:t>
      </w:r>
      <w:r>
        <w:rPr>
          <w:rFonts w:ascii="Times New Roman" w:eastAsia="Times New Roman" w:hAnsi="Times New Roman" w:cs="Times New Roman"/>
          <w:sz w:val="24"/>
          <w:szCs w:val="24"/>
        </w:rPr>
        <w:t>microbes can precisely tune the immune landscape of a distant tumor.</w:t>
      </w:r>
    </w:p>
    <w:p w:rsidR="00201A74" w:rsidRDefault="00201A74">
      <w:pPr>
        <w:spacing w:line="480" w:lineRule="auto"/>
        <w:jc w:val="both"/>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Looking forward, this knowledge opens up a promising frontier for clinical translation. The Gut-NET-ICB axis is not merely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explanatory model; it is a roadmap for therapeutic innovation</w:t>
      </w:r>
      <w:r>
        <w:rPr>
          <w:rFonts w:ascii="Times New Roman" w:eastAsia="Times New Roman" w:hAnsi="Times New Roman" w:cs="Times New Roman"/>
          <w:sz w:val="24"/>
          <w:szCs w:val="24"/>
        </w:rPr>
        <w:t xml:space="preserve">. Strategies targeting the gut microbiome, its metabolic output (postbiotics), or the downstream </w:t>
      </w:r>
      <w:proofErr w:type="spellStart"/>
      <w:r>
        <w:rPr>
          <w:rFonts w:ascii="Times New Roman" w:eastAsia="Times New Roman" w:hAnsi="Times New Roman" w:cs="Times New Roman"/>
          <w:sz w:val="24"/>
          <w:szCs w:val="24"/>
        </w:rPr>
        <w:t>NETotic</w:t>
      </w:r>
      <w:proofErr w:type="spellEnd"/>
      <w:r>
        <w:rPr>
          <w:rFonts w:ascii="Times New Roman" w:eastAsia="Times New Roman" w:hAnsi="Times New Roman" w:cs="Times New Roman"/>
          <w:sz w:val="24"/>
          <w:szCs w:val="24"/>
        </w:rPr>
        <w:t xml:space="preserve"> process itself (PAD4 inhibitors, DNase) represent tangible, combinatorial approaches to overcome immunotherapy resistance. Future research must focus o</w:t>
      </w:r>
      <w:r>
        <w:rPr>
          <w:rFonts w:ascii="Times New Roman" w:eastAsia="Times New Roman" w:hAnsi="Times New Roman" w:cs="Times New Roman"/>
          <w:sz w:val="24"/>
          <w:szCs w:val="24"/>
        </w:rPr>
        <w:t>n validating these mechanistic links in human cohorts, identifying predictive metabolite and NET-based biomarkers, and launching clinical trials that strategically manipulate this axis. By harnessing the power of the gut microbiome to disarm a key mechanis</w:t>
      </w:r>
      <w:r>
        <w:rPr>
          <w:rFonts w:ascii="Times New Roman" w:eastAsia="Times New Roman" w:hAnsi="Times New Roman" w:cs="Times New Roman"/>
          <w:sz w:val="24"/>
          <w:szCs w:val="24"/>
        </w:rPr>
        <w:t>m of immunosuppression, we can ultimately expand the reach and success of cancer immunotherapy for a greater number of patients.</w:t>
      </w: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Future Perspectives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elucidated Gut-NET-ICB axis provides a powerful, mechanistic framework that connects the gut microb</w:t>
      </w:r>
      <w:r>
        <w:rPr>
          <w:rFonts w:ascii="Times New Roman" w:eastAsia="Times New Roman" w:hAnsi="Times New Roman" w:cs="Times New Roman"/>
          <w:sz w:val="24"/>
          <w:szCs w:val="24"/>
        </w:rPr>
        <w:t xml:space="preserve">iome's metabolic output to a specific innate immune process,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which critically determines the efficacy of adaptive immunotherapy. This model not only deepens our fundamental understanding of ICB resistance but also unveils a suite of novel, actiona</w:t>
      </w:r>
      <w:r>
        <w:rPr>
          <w:rFonts w:ascii="Times New Roman" w:eastAsia="Times New Roman" w:hAnsi="Times New Roman" w:cs="Times New Roman"/>
          <w:sz w:val="24"/>
          <w:szCs w:val="24"/>
        </w:rPr>
        <w:t>ble strategies to improve clinical outcomes. Based on the evidence synthesized in this review, we put forth the following recommendations for future research and clinical translation:</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Prioritize Functional Metabolomics in Clinical Cohorts.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clinic</w:t>
      </w:r>
      <w:r>
        <w:rPr>
          <w:rFonts w:ascii="Times New Roman" w:eastAsia="Times New Roman" w:hAnsi="Times New Roman" w:cs="Times New Roman"/>
          <w:sz w:val="24"/>
          <w:szCs w:val="24"/>
        </w:rPr>
        <w:t>al studies correlating the microbiome with ICB response must move beyond 16S rRNA sequencing and integrate deep metagenomics with metabolomic profiling of patient serum and feces. The primary goal should be to define a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-Suppressive Metabolite Signa</w:t>
      </w:r>
      <w:r>
        <w:rPr>
          <w:rFonts w:ascii="Times New Roman" w:eastAsia="Times New Roman" w:hAnsi="Times New Roman" w:cs="Times New Roman"/>
          <w:sz w:val="24"/>
          <w:szCs w:val="24"/>
        </w:rPr>
        <w:t>ture" that can serve as a superior predictive biomarker compared to taxonomic data alone.</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Establish Causality in Gnotobiotic Models.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move from correlation to causation, well-defined gnotobiotic mouse models should be employed. Colonizing germ-free mi</w:t>
      </w:r>
      <w:r>
        <w:rPr>
          <w:rFonts w:ascii="Times New Roman" w:eastAsia="Times New Roman" w:hAnsi="Times New Roman" w:cs="Times New Roman"/>
          <w:sz w:val="24"/>
          <w:szCs w:val="24"/>
        </w:rPr>
        <w:t xml:space="preserve">ce with consortia of bacteria engineered to produce specific metabolites (e.g., SCFA-producers versus non-producers) and subjecting them to ICB and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assays will provide direct proof of the metabolite-NET link.</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Explore Combinatorial Clinical Trial</w:t>
      </w:r>
      <w:r>
        <w:rPr>
          <w:rFonts w:ascii="Times New Roman" w:eastAsia="Times New Roman" w:hAnsi="Times New Roman" w:cs="Times New Roman"/>
          <w:sz w:val="24"/>
          <w:szCs w:val="24"/>
        </w:rPr>
        <w:t>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immediate translational path involves designing clinical trials that combine ICB with interventions targeting the Gut-NET axis. We recommend prioritizing:</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ICB + Pre/Postbiotics: Testing high-fiber diets or SCFA/spermidine supplements in conjunc</w:t>
      </w:r>
      <w:r>
        <w:rPr>
          <w:rFonts w:ascii="Times New Roman" w:eastAsia="Times New Roman" w:hAnsi="Times New Roman" w:cs="Times New Roman"/>
          <w:sz w:val="24"/>
          <w:szCs w:val="24"/>
        </w:rPr>
        <w:t>tion with anti-PD-1 therapy.</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ICB +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 xml:space="preserve"> Inhibition: Investigating the safety and efficacy of PAD4 inhibitors or DNase I in overcoming resistance in selected cancer types.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Develop Standardized NET Biomarkers.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field requires a concerted effort to standardize the measurement of NETs in human samples. Validated assays for circulating NET remnants are needed to correlate systemic NET load with metabolite levels and ICB response in patient cohorts.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Personaliz</w:t>
      </w:r>
      <w:r>
        <w:rPr>
          <w:rFonts w:ascii="Times New Roman" w:eastAsia="Times New Roman" w:hAnsi="Times New Roman" w:cs="Times New Roman"/>
          <w:sz w:val="24"/>
          <w:szCs w:val="24"/>
        </w:rPr>
        <w:t>e Microbiome-Modulating Therapies.</w:t>
      </w:r>
    </w:p>
    <w:p w:rsidR="00201A74" w:rsidRDefault="00E5176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Recognizing that a "one-size-fits-all" microbiome intervention may be ineffective, we recommend developing diagnostic platforms to match patients with </w:t>
      </w:r>
      <w:proofErr w:type="spellStart"/>
      <w:r>
        <w:rPr>
          <w:rFonts w:ascii="Times New Roman" w:eastAsia="Times New Roman" w:hAnsi="Times New Roman" w:cs="Times New Roman"/>
          <w:sz w:val="24"/>
          <w:szCs w:val="24"/>
        </w:rPr>
        <w:t>dysbiotic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NETosis</w:t>
      </w:r>
      <w:proofErr w:type="spellEnd"/>
      <w:r>
        <w:rPr>
          <w:rFonts w:ascii="Times New Roman" w:eastAsia="Times New Roman" w:hAnsi="Times New Roman" w:cs="Times New Roman"/>
          <w:sz w:val="24"/>
          <w:szCs w:val="24"/>
        </w:rPr>
        <w:t>-promoting profiles to tailored interventional strat</w:t>
      </w:r>
      <w:r>
        <w:rPr>
          <w:rFonts w:ascii="Times New Roman" w:eastAsia="Times New Roman" w:hAnsi="Times New Roman" w:cs="Times New Roman"/>
          <w:sz w:val="24"/>
          <w:szCs w:val="24"/>
        </w:rPr>
        <w:t>egies, such as FMT from donors with a validated beneficial metabolome.</w:t>
      </w:r>
    </w:p>
    <w:p w:rsidR="00201A74" w:rsidRDefault="00E5176C">
      <w:pPr>
        <w:rPr>
          <w:highlight w:val="yellow"/>
        </w:rPr>
      </w:pPr>
      <w:r>
        <w:rPr>
          <w:highlight w:val="yellow"/>
        </w:rPr>
        <w:lastRenderedPageBreak/>
        <w:t>Disclaimer (Artificial intelligence): Author(s) hereby declare that NO generative AI technologies such as Large Language Models (</w:t>
      </w:r>
      <w:proofErr w:type="spellStart"/>
      <w:r>
        <w:rPr>
          <w:highlight w:val="yellow"/>
        </w:rPr>
        <w:t>ChatGPT</w:t>
      </w:r>
      <w:proofErr w:type="spellEnd"/>
      <w:r>
        <w:rPr>
          <w:highlight w:val="yellow"/>
        </w:rPr>
        <w:t>, COPILOT, etc.) and text-to-image generators hav</w:t>
      </w:r>
      <w:r>
        <w:rPr>
          <w:highlight w:val="yellow"/>
        </w:rPr>
        <w:t xml:space="preserve">e been used during the writing or editing of this manuscript. </w:t>
      </w:r>
    </w:p>
    <w:p w:rsidR="00201A74" w:rsidRDefault="00201A74">
      <w:pPr>
        <w:rPr>
          <w:highlight w:val="yellow"/>
        </w:rPr>
      </w:pPr>
    </w:p>
    <w:p w:rsidR="00201A74" w:rsidRDefault="00201A74">
      <w:pPr>
        <w:rPr>
          <w:highlight w:val="yellow"/>
        </w:rPr>
      </w:pPr>
    </w:p>
    <w:p w:rsidR="00201A74" w:rsidRDefault="00E5176C">
      <w:pPr>
        <w:rPr>
          <w:highlight w:val="yellow"/>
        </w:rPr>
      </w:pPr>
      <w:r>
        <w:rPr>
          <w:highlight w:val="yellow"/>
        </w:rPr>
        <w:t xml:space="preserve">Option 1: </w:t>
      </w:r>
    </w:p>
    <w:p w:rsidR="00201A74" w:rsidRDefault="00E5176C">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COPILOT, etc.) and text-to-image generators have been used during the writing or</w:t>
      </w:r>
      <w:r>
        <w:rPr>
          <w:highlight w:val="yellow"/>
        </w:rPr>
        <w:t xml:space="preserve"> editing of this manuscript. </w:t>
      </w:r>
    </w:p>
    <w:p w:rsidR="00201A74" w:rsidRDefault="00E5176C">
      <w:pPr>
        <w:rPr>
          <w:highlight w:val="yellow"/>
        </w:rPr>
      </w:pPr>
      <w:r>
        <w:rPr>
          <w:highlight w:val="yellow"/>
        </w:rPr>
        <w:t xml:space="preserve">Option 2: </w:t>
      </w:r>
    </w:p>
    <w:p w:rsidR="00201A74" w:rsidRDefault="00E5176C">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w:t>
      </w:r>
      <w:r>
        <w:rPr>
          <w:highlight w:val="yellow"/>
        </w:rPr>
        <w:t>ource of the generative AI technology and as well as all input prompts provided to the generative AI technology</w:t>
      </w:r>
    </w:p>
    <w:p w:rsidR="00201A74" w:rsidRDefault="00E5176C">
      <w:pPr>
        <w:rPr>
          <w:highlight w:val="yellow"/>
        </w:rPr>
      </w:pPr>
      <w:r>
        <w:rPr>
          <w:highlight w:val="yellow"/>
        </w:rPr>
        <w:t>Details of the AI usage are given below:</w:t>
      </w:r>
    </w:p>
    <w:p w:rsidR="00201A74" w:rsidRDefault="00E5176C">
      <w:pPr>
        <w:rPr>
          <w:highlight w:val="yellow"/>
        </w:rPr>
      </w:pPr>
      <w:r>
        <w:rPr>
          <w:highlight w:val="yellow"/>
        </w:rPr>
        <w:t>1.</w:t>
      </w:r>
    </w:p>
    <w:p w:rsidR="00201A74" w:rsidRDefault="00E5176C">
      <w:pPr>
        <w:rPr>
          <w:highlight w:val="yellow"/>
        </w:rPr>
      </w:pPr>
      <w:r>
        <w:rPr>
          <w:highlight w:val="yellow"/>
        </w:rPr>
        <w:t>2.</w:t>
      </w:r>
    </w:p>
    <w:p w:rsidR="00201A74" w:rsidRDefault="00E5176C">
      <w:r>
        <w:rPr>
          <w:highlight w:val="yellow"/>
        </w:rPr>
        <w:t>3.</w:t>
      </w:r>
    </w:p>
    <w:p w:rsidR="00201A74" w:rsidRDefault="00201A74">
      <w:pPr>
        <w:spacing w:line="480" w:lineRule="auto"/>
        <w:jc w:val="both"/>
        <w:rPr>
          <w:rFonts w:ascii="Times New Roman" w:eastAsia="Times New Roman" w:hAnsi="Times New Roman" w:cs="Times New Roman"/>
          <w:sz w:val="24"/>
          <w:szCs w:val="24"/>
        </w:rPr>
      </w:pPr>
      <w:bookmarkStart w:id="1" w:name="_heading=h.or24b7rvtibx" w:colFirst="0" w:colLast="0"/>
      <w:bookmarkEnd w:id="1"/>
    </w:p>
    <w:p w:rsidR="00201A74" w:rsidRDefault="00201A74">
      <w:pPr>
        <w:spacing w:line="480" w:lineRule="auto"/>
        <w:jc w:val="both"/>
        <w:rPr>
          <w:rFonts w:ascii="Times New Roman" w:eastAsia="Times New Roman" w:hAnsi="Times New Roman" w:cs="Times New Roman"/>
          <w:sz w:val="24"/>
          <w:szCs w:val="24"/>
        </w:rPr>
      </w:pPr>
    </w:p>
    <w:p w:rsidR="00201A74" w:rsidRDefault="00E5176C">
      <w:pPr>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Ribas</w:t>
      </w:r>
      <w:proofErr w:type="spellEnd"/>
      <w:r>
        <w:rPr>
          <w:rFonts w:ascii="Times New Roman" w:eastAsia="Times New Roman" w:hAnsi="Times New Roman" w:cs="Times New Roman"/>
          <w:color w:val="000000"/>
          <w:sz w:val="24"/>
          <w:szCs w:val="24"/>
        </w:rPr>
        <w:t xml:space="preserve">, A., &amp; </w:t>
      </w:r>
      <w:proofErr w:type="spellStart"/>
      <w:r>
        <w:rPr>
          <w:rFonts w:ascii="Times New Roman" w:eastAsia="Times New Roman" w:hAnsi="Times New Roman" w:cs="Times New Roman"/>
          <w:color w:val="000000"/>
          <w:sz w:val="24"/>
          <w:szCs w:val="24"/>
        </w:rPr>
        <w:t>Wolchok</w:t>
      </w:r>
      <w:proofErr w:type="spellEnd"/>
      <w:r>
        <w:rPr>
          <w:rFonts w:ascii="Times New Roman" w:eastAsia="Times New Roman" w:hAnsi="Times New Roman" w:cs="Times New Roman"/>
          <w:color w:val="000000"/>
          <w:sz w:val="24"/>
          <w:szCs w:val="24"/>
        </w:rPr>
        <w:t>, J. D. (2018). Cancer immunotherapy using checkpoint blockade. Science, 359(6382), 1350-1355.</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Mariniello</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Borgeaud</w:t>
      </w:r>
      <w:proofErr w:type="spellEnd"/>
      <w:r>
        <w:rPr>
          <w:rFonts w:ascii="Times New Roman" w:eastAsia="Times New Roman" w:hAnsi="Times New Roman" w:cs="Times New Roman"/>
          <w:color w:val="000000"/>
          <w:sz w:val="24"/>
          <w:szCs w:val="24"/>
        </w:rPr>
        <w:t xml:space="preserve">, M., Weiner, M., </w:t>
      </w:r>
      <w:proofErr w:type="spellStart"/>
      <w:r>
        <w:rPr>
          <w:rFonts w:ascii="Times New Roman" w:eastAsia="Times New Roman" w:hAnsi="Times New Roman" w:cs="Times New Roman"/>
          <w:color w:val="000000"/>
          <w:sz w:val="24"/>
          <w:szCs w:val="24"/>
        </w:rPr>
        <w:t>Frisone</w:t>
      </w:r>
      <w:proofErr w:type="spellEnd"/>
      <w:r>
        <w:rPr>
          <w:rFonts w:ascii="Times New Roman" w:eastAsia="Times New Roman" w:hAnsi="Times New Roman" w:cs="Times New Roman"/>
          <w:color w:val="000000"/>
          <w:sz w:val="24"/>
          <w:szCs w:val="24"/>
        </w:rPr>
        <w:t xml:space="preserve">, D., Kim, F., &amp; </w:t>
      </w:r>
      <w:proofErr w:type="spellStart"/>
      <w:r>
        <w:rPr>
          <w:rFonts w:ascii="Times New Roman" w:eastAsia="Times New Roman" w:hAnsi="Times New Roman" w:cs="Times New Roman"/>
          <w:color w:val="000000"/>
          <w:sz w:val="24"/>
          <w:szCs w:val="24"/>
        </w:rPr>
        <w:t>Addeo</w:t>
      </w:r>
      <w:proofErr w:type="spellEnd"/>
      <w:r>
        <w:rPr>
          <w:rFonts w:ascii="Times New Roman" w:eastAsia="Times New Roman" w:hAnsi="Times New Roman" w:cs="Times New Roman"/>
          <w:color w:val="000000"/>
          <w:sz w:val="24"/>
          <w:szCs w:val="24"/>
        </w:rPr>
        <w:t>, A. (2025). Primary and acquired resistance to immunotherapy with che</w:t>
      </w:r>
      <w:r>
        <w:rPr>
          <w:rFonts w:ascii="Times New Roman" w:eastAsia="Times New Roman" w:hAnsi="Times New Roman" w:cs="Times New Roman"/>
          <w:color w:val="000000"/>
          <w:sz w:val="24"/>
          <w:szCs w:val="24"/>
        </w:rPr>
        <w:t xml:space="preserve">ckpoint inhibitors in NSCLC: from bedside to bench and back. </w:t>
      </w:r>
      <w:proofErr w:type="spellStart"/>
      <w:r>
        <w:rPr>
          <w:rFonts w:ascii="Times New Roman" w:eastAsia="Times New Roman" w:hAnsi="Times New Roman" w:cs="Times New Roman"/>
          <w:color w:val="000000"/>
          <w:sz w:val="24"/>
          <w:szCs w:val="24"/>
        </w:rPr>
        <w:t>BioDrugs</w:t>
      </w:r>
      <w:proofErr w:type="spellEnd"/>
      <w:r>
        <w:rPr>
          <w:rFonts w:ascii="Times New Roman" w:eastAsia="Times New Roman" w:hAnsi="Times New Roman" w:cs="Times New Roman"/>
          <w:color w:val="000000"/>
          <w:sz w:val="24"/>
          <w:szCs w:val="24"/>
        </w:rPr>
        <w:t>, 39(2), 215.</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Routy</w:t>
      </w:r>
      <w:proofErr w:type="spellEnd"/>
      <w:r>
        <w:rPr>
          <w:rFonts w:ascii="Times New Roman" w:eastAsia="Times New Roman" w:hAnsi="Times New Roman" w:cs="Times New Roman"/>
          <w:color w:val="000000"/>
          <w:sz w:val="24"/>
          <w:szCs w:val="24"/>
        </w:rPr>
        <w:t xml:space="preserve">, B., Le </w:t>
      </w:r>
      <w:proofErr w:type="spellStart"/>
      <w:r>
        <w:rPr>
          <w:rFonts w:ascii="Times New Roman" w:eastAsia="Times New Roman" w:hAnsi="Times New Roman" w:cs="Times New Roman"/>
          <w:color w:val="000000"/>
          <w:sz w:val="24"/>
          <w:szCs w:val="24"/>
        </w:rPr>
        <w:t>Chatelier</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Derosa</w:t>
      </w:r>
      <w:proofErr w:type="spellEnd"/>
      <w:r>
        <w:rPr>
          <w:rFonts w:ascii="Times New Roman" w:eastAsia="Times New Roman" w:hAnsi="Times New Roman" w:cs="Times New Roman"/>
          <w:color w:val="000000"/>
          <w:sz w:val="24"/>
          <w:szCs w:val="24"/>
        </w:rPr>
        <w:t xml:space="preserve">, L., Duong, C. P., Alou, M. T., </w:t>
      </w:r>
      <w:proofErr w:type="spellStart"/>
      <w:r>
        <w:rPr>
          <w:rFonts w:ascii="Times New Roman" w:eastAsia="Times New Roman" w:hAnsi="Times New Roman" w:cs="Times New Roman"/>
          <w:color w:val="000000"/>
          <w:sz w:val="24"/>
          <w:szCs w:val="24"/>
        </w:rPr>
        <w:t>Daillère</w:t>
      </w:r>
      <w:proofErr w:type="spellEnd"/>
      <w:r>
        <w:rPr>
          <w:rFonts w:ascii="Times New Roman" w:eastAsia="Times New Roman" w:hAnsi="Times New Roman" w:cs="Times New Roman"/>
          <w:color w:val="000000"/>
          <w:sz w:val="24"/>
          <w:szCs w:val="24"/>
        </w:rPr>
        <w:t xml:space="preserve">, R., ... &amp; </w:t>
      </w:r>
      <w:proofErr w:type="spellStart"/>
      <w:r>
        <w:rPr>
          <w:rFonts w:ascii="Times New Roman" w:eastAsia="Times New Roman" w:hAnsi="Times New Roman" w:cs="Times New Roman"/>
          <w:color w:val="000000"/>
          <w:sz w:val="24"/>
          <w:szCs w:val="24"/>
        </w:rPr>
        <w:t>Zitvogel</w:t>
      </w:r>
      <w:proofErr w:type="spellEnd"/>
      <w:r>
        <w:rPr>
          <w:rFonts w:ascii="Times New Roman" w:eastAsia="Times New Roman" w:hAnsi="Times New Roman" w:cs="Times New Roman"/>
          <w:color w:val="000000"/>
          <w:sz w:val="24"/>
          <w:szCs w:val="24"/>
        </w:rPr>
        <w:t>, L. (2018). Gut microbiome influences efficacy of PD-1–based immunotherapy a</w:t>
      </w:r>
      <w:r>
        <w:rPr>
          <w:rFonts w:ascii="Times New Roman" w:eastAsia="Times New Roman" w:hAnsi="Times New Roman" w:cs="Times New Roman"/>
          <w:color w:val="000000"/>
          <w:sz w:val="24"/>
          <w:szCs w:val="24"/>
        </w:rPr>
        <w:t>gainst epithelial tumors. Science, 359(6371), 91-97.</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Davar</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Dzutsev</w:t>
      </w:r>
      <w:proofErr w:type="spellEnd"/>
      <w:r>
        <w:rPr>
          <w:rFonts w:ascii="Times New Roman" w:eastAsia="Times New Roman" w:hAnsi="Times New Roman" w:cs="Times New Roman"/>
          <w:color w:val="000000"/>
          <w:sz w:val="24"/>
          <w:szCs w:val="24"/>
        </w:rPr>
        <w:t xml:space="preserve">, A. K., McCulloch, J. A., Rodrigues, R. R., Chauvin, J. M., Morrison, R. M., ... &amp; </w:t>
      </w:r>
      <w:proofErr w:type="spellStart"/>
      <w:r>
        <w:rPr>
          <w:rFonts w:ascii="Times New Roman" w:eastAsia="Times New Roman" w:hAnsi="Times New Roman" w:cs="Times New Roman"/>
          <w:color w:val="000000"/>
          <w:sz w:val="24"/>
          <w:szCs w:val="24"/>
        </w:rPr>
        <w:t>Zarour</w:t>
      </w:r>
      <w:proofErr w:type="spellEnd"/>
      <w:r>
        <w:rPr>
          <w:rFonts w:ascii="Times New Roman" w:eastAsia="Times New Roman" w:hAnsi="Times New Roman" w:cs="Times New Roman"/>
          <w:color w:val="000000"/>
          <w:sz w:val="24"/>
          <w:szCs w:val="24"/>
        </w:rPr>
        <w:t>, H. M. (2021). Fecal microbiota transplant overcomes resistance to anti–PD-1 therapy in melanoma patients. Science, 371(6529), 595-602.</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Liu, Q., Ch</w:t>
      </w:r>
      <w:r>
        <w:rPr>
          <w:rFonts w:ascii="Times New Roman" w:eastAsia="Times New Roman" w:hAnsi="Times New Roman" w:cs="Times New Roman"/>
          <w:color w:val="000000"/>
          <w:sz w:val="24"/>
          <w:szCs w:val="24"/>
        </w:rPr>
        <w:t xml:space="preserve">en, R., Zhang, Z., Sha, Z., &amp; Wu, H. (2025). Mechanisms and immune crosstalk of neutrophil extracellular traps in response to infection. </w:t>
      </w:r>
      <w:proofErr w:type="spellStart"/>
      <w:r>
        <w:rPr>
          <w:rFonts w:ascii="Times New Roman" w:eastAsia="Times New Roman" w:hAnsi="Times New Roman" w:cs="Times New Roman"/>
          <w:color w:val="000000"/>
          <w:sz w:val="24"/>
          <w:szCs w:val="24"/>
        </w:rPr>
        <w:t>Mbio</w:t>
      </w:r>
      <w:proofErr w:type="spellEnd"/>
      <w:r>
        <w:rPr>
          <w:rFonts w:ascii="Times New Roman" w:eastAsia="Times New Roman" w:hAnsi="Times New Roman" w:cs="Times New Roman"/>
          <w:color w:val="000000"/>
          <w:sz w:val="24"/>
          <w:szCs w:val="24"/>
        </w:rPr>
        <w:t>, 16(5), e00189-25.</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Ayodele, A. E. (2025). Gut Microbiota-Immune System Cross-Talk: Mechanisms of Microbial Regulat</w:t>
      </w:r>
      <w:r>
        <w:rPr>
          <w:rFonts w:ascii="Times New Roman" w:eastAsia="Times New Roman" w:hAnsi="Times New Roman" w:cs="Times New Roman"/>
          <w:color w:val="000000"/>
          <w:sz w:val="24"/>
          <w:szCs w:val="24"/>
        </w:rPr>
        <w:t>ion of Host Immune Responses in Health and Disease. International Journal of Scholarly Resources, 18(2), 93-112.</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Teijeira</w:t>
      </w:r>
      <w:proofErr w:type="spellEnd"/>
      <w:r>
        <w:rPr>
          <w:rFonts w:ascii="Times New Roman" w:eastAsia="Times New Roman" w:hAnsi="Times New Roman" w:cs="Times New Roman"/>
          <w:color w:val="000000"/>
          <w:sz w:val="24"/>
          <w:szCs w:val="24"/>
        </w:rPr>
        <w:t xml:space="preserve">, Á., </w:t>
      </w:r>
      <w:proofErr w:type="spellStart"/>
      <w:r>
        <w:rPr>
          <w:rFonts w:ascii="Times New Roman" w:eastAsia="Times New Roman" w:hAnsi="Times New Roman" w:cs="Times New Roman"/>
          <w:color w:val="000000"/>
          <w:sz w:val="24"/>
          <w:szCs w:val="24"/>
        </w:rPr>
        <w:t>Garasa</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Gato</w:t>
      </w:r>
      <w:proofErr w:type="spellEnd"/>
      <w:r>
        <w:rPr>
          <w:rFonts w:ascii="Times New Roman" w:eastAsia="Times New Roman" w:hAnsi="Times New Roman" w:cs="Times New Roman"/>
          <w:color w:val="000000"/>
          <w:sz w:val="24"/>
          <w:szCs w:val="24"/>
        </w:rPr>
        <w:t xml:space="preserve">, M., Alfaro, C., </w:t>
      </w:r>
      <w:proofErr w:type="spellStart"/>
      <w:r>
        <w:rPr>
          <w:rFonts w:ascii="Times New Roman" w:eastAsia="Times New Roman" w:hAnsi="Times New Roman" w:cs="Times New Roman"/>
          <w:color w:val="000000"/>
          <w:sz w:val="24"/>
          <w:szCs w:val="24"/>
        </w:rPr>
        <w:t>Migueliz</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Cirella</w:t>
      </w:r>
      <w:proofErr w:type="spellEnd"/>
      <w:r>
        <w:rPr>
          <w:rFonts w:ascii="Times New Roman" w:eastAsia="Times New Roman" w:hAnsi="Times New Roman" w:cs="Times New Roman"/>
          <w:color w:val="000000"/>
          <w:sz w:val="24"/>
          <w:szCs w:val="24"/>
        </w:rPr>
        <w:t xml:space="preserve">, A., ... &amp; </w:t>
      </w:r>
      <w:proofErr w:type="spellStart"/>
      <w:r>
        <w:rPr>
          <w:rFonts w:ascii="Times New Roman" w:eastAsia="Times New Roman" w:hAnsi="Times New Roman" w:cs="Times New Roman"/>
          <w:color w:val="000000"/>
          <w:sz w:val="24"/>
          <w:szCs w:val="24"/>
        </w:rPr>
        <w:t>Melero</w:t>
      </w:r>
      <w:proofErr w:type="spellEnd"/>
      <w:r>
        <w:rPr>
          <w:rFonts w:ascii="Times New Roman" w:eastAsia="Times New Roman" w:hAnsi="Times New Roman" w:cs="Times New Roman"/>
          <w:color w:val="000000"/>
          <w:sz w:val="24"/>
          <w:szCs w:val="24"/>
        </w:rPr>
        <w:t>, I. (2020). CXCR1 and CXCR2 chemokine receptor agonists</w:t>
      </w:r>
      <w:r>
        <w:rPr>
          <w:rFonts w:ascii="Times New Roman" w:eastAsia="Times New Roman" w:hAnsi="Times New Roman" w:cs="Times New Roman"/>
          <w:color w:val="000000"/>
          <w:sz w:val="24"/>
          <w:szCs w:val="24"/>
        </w:rPr>
        <w:t xml:space="preserve"> produced by tumors induce neutrophil extracellular traps that interfere with immune cytotoxicity. Immunity, 52(5), 856-871.</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L., Liu, Q., Zhang, X., Liu, X., Zhou, B., Chen, J., ... &amp; Song, E. (2020). DNA of neutrophil extracellular traps promotes ca</w:t>
      </w:r>
      <w:r>
        <w:rPr>
          <w:rFonts w:ascii="Times New Roman" w:eastAsia="Times New Roman" w:hAnsi="Times New Roman" w:cs="Times New Roman"/>
          <w:color w:val="000000"/>
          <w:sz w:val="24"/>
          <w:szCs w:val="24"/>
        </w:rPr>
        <w:t>ncer metastasis via CCDC25. Nature, 583(7814), 133-138.</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Kaltenmeier</w:t>
      </w:r>
      <w:proofErr w:type="spellEnd"/>
      <w:r>
        <w:rPr>
          <w:rFonts w:ascii="Times New Roman" w:eastAsia="Times New Roman" w:hAnsi="Times New Roman" w:cs="Times New Roman"/>
          <w:color w:val="000000"/>
          <w:sz w:val="24"/>
          <w:szCs w:val="24"/>
        </w:rPr>
        <w:t xml:space="preserve">, C., Yazdani, H. O., </w:t>
      </w:r>
      <w:proofErr w:type="spellStart"/>
      <w:r>
        <w:rPr>
          <w:rFonts w:ascii="Times New Roman" w:eastAsia="Times New Roman" w:hAnsi="Times New Roman" w:cs="Times New Roman"/>
          <w:color w:val="000000"/>
          <w:sz w:val="24"/>
          <w:szCs w:val="24"/>
        </w:rPr>
        <w:t>Morder</w:t>
      </w:r>
      <w:proofErr w:type="spellEnd"/>
      <w:r>
        <w:rPr>
          <w:rFonts w:ascii="Times New Roman" w:eastAsia="Times New Roman" w:hAnsi="Times New Roman" w:cs="Times New Roman"/>
          <w:color w:val="000000"/>
          <w:sz w:val="24"/>
          <w:szCs w:val="24"/>
        </w:rPr>
        <w:t xml:space="preserve">, K., Geller, D. A., Simmons, R. L., &amp; </w:t>
      </w:r>
      <w:proofErr w:type="spellStart"/>
      <w:r>
        <w:rPr>
          <w:rFonts w:ascii="Times New Roman" w:eastAsia="Times New Roman" w:hAnsi="Times New Roman" w:cs="Times New Roman"/>
          <w:color w:val="000000"/>
          <w:sz w:val="24"/>
          <w:szCs w:val="24"/>
        </w:rPr>
        <w:t>Tohme</w:t>
      </w:r>
      <w:proofErr w:type="spellEnd"/>
      <w:r>
        <w:rPr>
          <w:rFonts w:ascii="Times New Roman" w:eastAsia="Times New Roman" w:hAnsi="Times New Roman" w:cs="Times New Roman"/>
          <w:color w:val="000000"/>
          <w:sz w:val="24"/>
          <w:szCs w:val="24"/>
        </w:rPr>
        <w:t>, S. (2021). Neutrophil extracellular traps promote T cell exhaustion in the tumor microenvironment. Frontiers in imm</w:t>
      </w:r>
      <w:r>
        <w:rPr>
          <w:rFonts w:ascii="Times New Roman" w:eastAsia="Times New Roman" w:hAnsi="Times New Roman" w:cs="Times New Roman"/>
          <w:color w:val="000000"/>
          <w:sz w:val="24"/>
          <w:szCs w:val="24"/>
        </w:rPr>
        <w:t>unology, 12, 785222.</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Parada Venegas, D., De la Fuente, M. K., </w:t>
      </w:r>
      <w:proofErr w:type="spellStart"/>
      <w:r>
        <w:rPr>
          <w:rFonts w:ascii="Times New Roman" w:eastAsia="Times New Roman" w:hAnsi="Times New Roman" w:cs="Times New Roman"/>
          <w:color w:val="000000"/>
          <w:sz w:val="24"/>
          <w:szCs w:val="24"/>
        </w:rPr>
        <w:t>Landskron</w:t>
      </w:r>
      <w:proofErr w:type="spellEnd"/>
      <w:r>
        <w:rPr>
          <w:rFonts w:ascii="Times New Roman" w:eastAsia="Times New Roman" w:hAnsi="Times New Roman" w:cs="Times New Roman"/>
          <w:color w:val="000000"/>
          <w:sz w:val="24"/>
          <w:szCs w:val="24"/>
        </w:rPr>
        <w:t xml:space="preserve">, G., González, M. J., </w:t>
      </w:r>
      <w:proofErr w:type="spellStart"/>
      <w:r>
        <w:rPr>
          <w:rFonts w:ascii="Times New Roman" w:eastAsia="Times New Roman" w:hAnsi="Times New Roman" w:cs="Times New Roman"/>
          <w:color w:val="000000"/>
          <w:sz w:val="24"/>
          <w:szCs w:val="24"/>
        </w:rPr>
        <w:t>Quera</w:t>
      </w:r>
      <w:proofErr w:type="spellEnd"/>
      <w:r>
        <w:rPr>
          <w:rFonts w:ascii="Times New Roman" w:eastAsia="Times New Roman" w:hAnsi="Times New Roman" w:cs="Times New Roman"/>
          <w:color w:val="000000"/>
          <w:sz w:val="24"/>
          <w:szCs w:val="24"/>
        </w:rPr>
        <w:t xml:space="preserve">, R., Dijkstra, G., ... &amp; </w:t>
      </w:r>
      <w:proofErr w:type="spellStart"/>
      <w:r>
        <w:rPr>
          <w:rFonts w:ascii="Times New Roman" w:eastAsia="Times New Roman" w:hAnsi="Times New Roman" w:cs="Times New Roman"/>
          <w:color w:val="000000"/>
          <w:sz w:val="24"/>
          <w:szCs w:val="24"/>
        </w:rPr>
        <w:t>Hermoso</w:t>
      </w:r>
      <w:proofErr w:type="spellEnd"/>
      <w:r>
        <w:rPr>
          <w:rFonts w:ascii="Times New Roman" w:eastAsia="Times New Roman" w:hAnsi="Times New Roman" w:cs="Times New Roman"/>
          <w:color w:val="000000"/>
          <w:sz w:val="24"/>
          <w:szCs w:val="24"/>
        </w:rPr>
        <w:t xml:space="preserve">, M. A. (2019). Short chain fatty acids (SCFAs)-mediated gut </w:t>
      </w:r>
      <w:r>
        <w:rPr>
          <w:rFonts w:ascii="Times New Roman" w:eastAsia="Times New Roman" w:hAnsi="Times New Roman" w:cs="Times New Roman"/>
          <w:color w:val="000000"/>
          <w:sz w:val="24"/>
          <w:szCs w:val="24"/>
        </w:rPr>
        <w:lastRenderedPageBreak/>
        <w:t>epithelial and immune regulation and its relevance for inflamma</w:t>
      </w:r>
      <w:r>
        <w:rPr>
          <w:rFonts w:ascii="Times New Roman" w:eastAsia="Times New Roman" w:hAnsi="Times New Roman" w:cs="Times New Roman"/>
          <w:color w:val="000000"/>
          <w:sz w:val="24"/>
          <w:szCs w:val="24"/>
        </w:rPr>
        <w:t>tory bowel diseases. Frontiers in immunology, 10, 277.</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Fagbemi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Oluwaseyi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Ajibola</w:t>
      </w:r>
      <w:proofErr w:type="spellEnd"/>
      <w:r>
        <w:rPr>
          <w:rFonts w:ascii="Times New Roman" w:eastAsia="Times New Roman" w:hAnsi="Times New Roman" w:cs="Times New Roman"/>
          <w:color w:val="000000"/>
          <w:sz w:val="24"/>
          <w:szCs w:val="24"/>
        </w:rPr>
        <w:t xml:space="preserve"> &amp; Adedoyin Elizabeth Ayodele. (2025). Epigenetic Dysregulation and its Role in Immune-Mediated Diseases. Asian Journal of Immunology, 8(1), 230–241. https://doi.org/10.9734/aj</w:t>
      </w:r>
      <w:r>
        <w:rPr>
          <w:rFonts w:ascii="Times New Roman" w:eastAsia="Times New Roman" w:hAnsi="Times New Roman" w:cs="Times New Roman"/>
          <w:color w:val="000000"/>
          <w:sz w:val="24"/>
          <w:szCs w:val="24"/>
        </w:rPr>
        <w:t>i/2025/v8i1174</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Jia, W.,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G., &amp; Jia, W. (2018). Bile acid–microbiota crosstalk in gastrointestinal inflammation and carcinogenesis. Nature reviews Gastroenterology &amp; hepatology, 15(2), 111-128.</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Mager</w:t>
      </w:r>
      <w:proofErr w:type="spellEnd"/>
      <w:r>
        <w:rPr>
          <w:rFonts w:ascii="Times New Roman" w:eastAsia="Times New Roman" w:hAnsi="Times New Roman" w:cs="Times New Roman"/>
          <w:color w:val="000000"/>
          <w:sz w:val="24"/>
          <w:szCs w:val="24"/>
        </w:rPr>
        <w:t xml:space="preserve">, L. F., Burkhard, R., </w:t>
      </w:r>
      <w:proofErr w:type="spellStart"/>
      <w:r>
        <w:rPr>
          <w:rFonts w:ascii="Times New Roman" w:eastAsia="Times New Roman" w:hAnsi="Times New Roman" w:cs="Times New Roman"/>
          <w:color w:val="000000"/>
          <w:sz w:val="24"/>
          <w:szCs w:val="24"/>
        </w:rPr>
        <w:t>Pett</w:t>
      </w:r>
      <w:proofErr w:type="spellEnd"/>
      <w:r>
        <w:rPr>
          <w:rFonts w:ascii="Times New Roman" w:eastAsia="Times New Roman" w:hAnsi="Times New Roman" w:cs="Times New Roman"/>
          <w:color w:val="000000"/>
          <w:sz w:val="24"/>
          <w:szCs w:val="24"/>
        </w:rPr>
        <w:t xml:space="preserve">, N., Cooke, N. C., Brown, </w:t>
      </w:r>
      <w:r>
        <w:rPr>
          <w:rFonts w:ascii="Times New Roman" w:eastAsia="Times New Roman" w:hAnsi="Times New Roman" w:cs="Times New Roman"/>
          <w:color w:val="000000"/>
          <w:sz w:val="24"/>
          <w:szCs w:val="24"/>
        </w:rPr>
        <w:t xml:space="preserve">K., </w:t>
      </w:r>
      <w:proofErr w:type="spellStart"/>
      <w:r>
        <w:rPr>
          <w:rFonts w:ascii="Times New Roman" w:eastAsia="Times New Roman" w:hAnsi="Times New Roman" w:cs="Times New Roman"/>
          <w:color w:val="000000"/>
          <w:sz w:val="24"/>
          <w:szCs w:val="24"/>
        </w:rPr>
        <w:t>Ramay</w:t>
      </w:r>
      <w:proofErr w:type="spellEnd"/>
      <w:r>
        <w:rPr>
          <w:rFonts w:ascii="Times New Roman" w:eastAsia="Times New Roman" w:hAnsi="Times New Roman" w:cs="Times New Roman"/>
          <w:color w:val="000000"/>
          <w:sz w:val="24"/>
          <w:szCs w:val="24"/>
        </w:rPr>
        <w:t>, H., ... &amp; McCoy, K. D. (2020). Microbiome-derived inosine modulates response to checkpoint inhibitor immunotherapy. Science, 369(6510), 1481-1489.</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Adedoyin Elizabeth Ayodele, Peace </w:t>
      </w:r>
      <w:proofErr w:type="spellStart"/>
      <w:r>
        <w:rPr>
          <w:rFonts w:ascii="Times New Roman" w:eastAsia="Times New Roman" w:hAnsi="Times New Roman" w:cs="Times New Roman"/>
          <w:color w:val="000000"/>
          <w:sz w:val="24"/>
          <w:szCs w:val="24"/>
        </w:rPr>
        <w:t>Chibuogwu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Ugama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Tobiloba</w:t>
      </w:r>
      <w:proofErr w:type="spellEnd"/>
      <w:r>
        <w:rPr>
          <w:rFonts w:ascii="Times New Roman" w:eastAsia="Times New Roman" w:hAnsi="Times New Roman" w:cs="Times New Roman"/>
          <w:color w:val="000000"/>
          <w:sz w:val="24"/>
          <w:szCs w:val="24"/>
        </w:rPr>
        <w:t xml:space="preserve"> Philip </w:t>
      </w:r>
      <w:proofErr w:type="spellStart"/>
      <w:r>
        <w:rPr>
          <w:rFonts w:ascii="Times New Roman" w:eastAsia="Times New Roman" w:hAnsi="Times New Roman" w:cs="Times New Roman"/>
          <w:color w:val="000000"/>
          <w:sz w:val="24"/>
          <w:szCs w:val="24"/>
        </w:rPr>
        <w:t>Olatokun</w:t>
      </w:r>
      <w:proofErr w:type="spellEnd"/>
      <w:r>
        <w:rPr>
          <w:rFonts w:ascii="Times New Roman" w:eastAsia="Times New Roman" w:hAnsi="Times New Roman" w:cs="Times New Roman"/>
          <w:color w:val="000000"/>
          <w:sz w:val="24"/>
          <w:szCs w:val="24"/>
        </w:rPr>
        <w:t xml:space="preserve">, Islam </w:t>
      </w:r>
      <w:proofErr w:type="spellStart"/>
      <w:r>
        <w:rPr>
          <w:rFonts w:ascii="Times New Roman" w:eastAsia="Times New Roman" w:hAnsi="Times New Roman" w:cs="Times New Roman"/>
          <w:color w:val="000000"/>
          <w:sz w:val="24"/>
          <w:szCs w:val="24"/>
        </w:rPr>
        <w:t>Ariremako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Jimoh</w:t>
      </w:r>
      <w:proofErr w:type="spellEnd"/>
      <w:r>
        <w:rPr>
          <w:rFonts w:ascii="Times New Roman" w:eastAsia="Times New Roman" w:hAnsi="Times New Roman" w:cs="Times New Roman"/>
          <w:color w:val="000000"/>
          <w:sz w:val="24"/>
          <w:szCs w:val="24"/>
        </w:rPr>
        <w:t xml:space="preserve">, Blessing </w:t>
      </w:r>
      <w:proofErr w:type="spellStart"/>
      <w:r>
        <w:rPr>
          <w:rFonts w:ascii="Times New Roman" w:eastAsia="Times New Roman" w:hAnsi="Times New Roman" w:cs="Times New Roman"/>
          <w:color w:val="000000"/>
          <w:sz w:val="24"/>
          <w:szCs w:val="24"/>
        </w:rPr>
        <w:t>Oluwapelumi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Oyebamjji</w:t>
      </w:r>
      <w:proofErr w:type="spellEnd"/>
      <w:r>
        <w:rPr>
          <w:rFonts w:ascii="Times New Roman" w:eastAsia="Times New Roman" w:hAnsi="Times New Roman" w:cs="Times New Roman"/>
          <w:color w:val="000000"/>
          <w:sz w:val="24"/>
          <w:szCs w:val="24"/>
        </w:rPr>
        <w:t xml:space="preserve">. Role of Gut Microbiota-Derived Metabolites in Modulating Immune Responses in Colorectal Cancer. International Journal of Pathogen Research, 2025, 14 (5), pp.154-160. </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Parada Venegas, D., De la Fuente, M. K., </w:t>
      </w:r>
      <w:proofErr w:type="spellStart"/>
      <w:r>
        <w:rPr>
          <w:rFonts w:ascii="Times New Roman" w:eastAsia="Times New Roman" w:hAnsi="Times New Roman" w:cs="Times New Roman"/>
          <w:color w:val="000000"/>
          <w:sz w:val="24"/>
          <w:szCs w:val="24"/>
        </w:rPr>
        <w:t>Landskron</w:t>
      </w:r>
      <w:proofErr w:type="spellEnd"/>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z w:val="24"/>
          <w:szCs w:val="24"/>
        </w:rPr>
        <w:t xml:space="preserve"> González, M. J., </w:t>
      </w:r>
      <w:proofErr w:type="spellStart"/>
      <w:r>
        <w:rPr>
          <w:rFonts w:ascii="Times New Roman" w:eastAsia="Times New Roman" w:hAnsi="Times New Roman" w:cs="Times New Roman"/>
          <w:color w:val="000000"/>
          <w:sz w:val="24"/>
          <w:szCs w:val="24"/>
        </w:rPr>
        <w:t>Quera</w:t>
      </w:r>
      <w:proofErr w:type="spellEnd"/>
      <w:r>
        <w:rPr>
          <w:rFonts w:ascii="Times New Roman" w:eastAsia="Times New Roman" w:hAnsi="Times New Roman" w:cs="Times New Roman"/>
          <w:color w:val="000000"/>
          <w:sz w:val="24"/>
          <w:szCs w:val="24"/>
        </w:rPr>
        <w:t xml:space="preserve">, R., Dijkstra, G., ... &amp; </w:t>
      </w:r>
      <w:proofErr w:type="spellStart"/>
      <w:r>
        <w:rPr>
          <w:rFonts w:ascii="Times New Roman" w:eastAsia="Times New Roman" w:hAnsi="Times New Roman" w:cs="Times New Roman"/>
          <w:color w:val="000000"/>
          <w:sz w:val="24"/>
          <w:szCs w:val="24"/>
        </w:rPr>
        <w:t>Hermoso</w:t>
      </w:r>
      <w:proofErr w:type="spellEnd"/>
      <w:r>
        <w:rPr>
          <w:rFonts w:ascii="Times New Roman" w:eastAsia="Times New Roman" w:hAnsi="Times New Roman" w:cs="Times New Roman"/>
          <w:color w:val="000000"/>
          <w:sz w:val="24"/>
          <w:szCs w:val="24"/>
        </w:rPr>
        <w:t>, M. A. (2019). Short chain fatty acids (SCFAs)-mediated gut epithelial and immune regulation and its relevance for inflammatory bowel diseases. Frontiers in immunology, 10, 277.</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 Z., Wang, Z., Cao</w:t>
      </w:r>
      <w:r>
        <w:rPr>
          <w:rFonts w:ascii="Times New Roman" w:eastAsia="Times New Roman" w:hAnsi="Times New Roman" w:cs="Times New Roman"/>
          <w:color w:val="000000"/>
          <w:sz w:val="24"/>
          <w:szCs w:val="24"/>
        </w:rPr>
        <w:t>, J., Dong, Y., &amp; Chen, Y. (2025). Regulatory roles of intestinal CD4+ T cells in inflammation and their modulation by the intestinal microbiota. Gut microbes, 17(1), 2560019.</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Zhang, M., Zhong, J., Shen, Y., &amp; Song, Z. (2025). Crosstalk between bile acids </w:t>
      </w:r>
      <w:r>
        <w:rPr>
          <w:rFonts w:ascii="Times New Roman" w:eastAsia="Times New Roman" w:hAnsi="Times New Roman" w:cs="Times New Roman"/>
          <w:color w:val="000000"/>
          <w:sz w:val="24"/>
          <w:szCs w:val="24"/>
        </w:rPr>
        <w:t>and gut microbiota: a potential target for precancerous lesions of gastric cancer. Frontiers in Pharmacology, 16, 1533141.</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Qi, Z., Zhang, W., Zhang, P., Qu, Y., Zhong, H., Zhou, L., ... &amp; Ge, J. (2025). The gut microbiota–bile acid–TGR5 axis orchestrates p</w:t>
      </w:r>
      <w:r>
        <w:rPr>
          <w:rFonts w:ascii="Times New Roman" w:eastAsia="Times New Roman" w:hAnsi="Times New Roman" w:cs="Times New Roman"/>
          <w:color w:val="000000"/>
          <w:sz w:val="24"/>
          <w:szCs w:val="24"/>
        </w:rPr>
        <w:t>latelet activation and atherothrombosis. Nature Cardiovascular Research, 1-18.</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Tofalo</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Cocchi</w:t>
      </w:r>
      <w:proofErr w:type="spellEnd"/>
      <w:r>
        <w:rPr>
          <w:rFonts w:ascii="Times New Roman" w:eastAsia="Times New Roman" w:hAnsi="Times New Roman" w:cs="Times New Roman"/>
          <w:color w:val="000000"/>
          <w:sz w:val="24"/>
          <w:szCs w:val="24"/>
        </w:rPr>
        <w:t xml:space="preserve">, S., &amp; </w:t>
      </w:r>
      <w:proofErr w:type="spellStart"/>
      <w:r>
        <w:rPr>
          <w:rFonts w:ascii="Times New Roman" w:eastAsia="Times New Roman" w:hAnsi="Times New Roman" w:cs="Times New Roman"/>
          <w:color w:val="000000"/>
          <w:sz w:val="24"/>
          <w:szCs w:val="24"/>
        </w:rPr>
        <w:t>Suzzi</w:t>
      </w:r>
      <w:proofErr w:type="spellEnd"/>
      <w:r>
        <w:rPr>
          <w:rFonts w:ascii="Times New Roman" w:eastAsia="Times New Roman" w:hAnsi="Times New Roman" w:cs="Times New Roman"/>
          <w:color w:val="000000"/>
          <w:sz w:val="24"/>
          <w:szCs w:val="24"/>
        </w:rPr>
        <w:t>, G. (2019). Polyamines and gut microbiota. Frontiers in nutrition, 6, 16.</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Puleston</w:t>
      </w:r>
      <w:proofErr w:type="spellEnd"/>
      <w:r>
        <w:rPr>
          <w:rFonts w:ascii="Times New Roman" w:eastAsia="Times New Roman" w:hAnsi="Times New Roman" w:cs="Times New Roman"/>
          <w:color w:val="000000"/>
          <w:sz w:val="24"/>
          <w:szCs w:val="24"/>
        </w:rPr>
        <w:t xml:space="preserve">, D. J., Buck, M. D., </w:t>
      </w:r>
      <w:proofErr w:type="spellStart"/>
      <w:r>
        <w:rPr>
          <w:rFonts w:ascii="Times New Roman" w:eastAsia="Times New Roman" w:hAnsi="Times New Roman" w:cs="Times New Roman"/>
          <w:color w:val="000000"/>
          <w:sz w:val="24"/>
          <w:szCs w:val="24"/>
        </w:rPr>
        <w:t>Geltink</w:t>
      </w:r>
      <w:proofErr w:type="spellEnd"/>
      <w:r>
        <w:rPr>
          <w:rFonts w:ascii="Times New Roman" w:eastAsia="Times New Roman" w:hAnsi="Times New Roman" w:cs="Times New Roman"/>
          <w:color w:val="000000"/>
          <w:sz w:val="24"/>
          <w:szCs w:val="24"/>
        </w:rPr>
        <w:t xml:space="preserve">, R. I. K., Kyle, R. L., </w:t>
      </w:r>
      <w:proofErr w:type="spellStart"/>
      <w:r>
        <w:rPr>
          <w:rFonts w:ascii="Times New Roman" w:eastAsia="Times New Roman" w:hAnsi="Times New Roman" w:cs="Times New Roman"/>
          <w:color w:val="000000"/>
          <w:sz w:val="24"/>
          <w:szCs w:val="24"/>
        </w:rPr>
        <w:t>Caputa</w:t>
      </w:r>
      <w:proofErr w:type="spellEnd"/>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z w:val="24"/>
          <w:szCs w:val="24"/>
        </w:rPr>
        <w:t xml:space="preserve">., O’Sullivan, D., ... &amp; Pearce, E. L. (2019). Polyamines and eIF5A </w:t>
      </w:r>
      <w:proofErr w:type="spellStart"/>
      <w:r>
        <w:rPr>
          <w:rFonts w:ascii="Times New Roman" w:eastAsia="Times New Roman" w:hAnsi="Times New Roman" w:cs="Times New Roman"/>
          <w:color w:val="000000"/>
          <w:sz w:val="24"/>
          <w:szCs w:val="24"/>
        </w:rPr>
        <w:t>hypusination</w:t>
      </w:r>
      <w:proofErr w:type="spellEnd"/>
      <w:r>
        <w:rPr>
          <w:rFonts w:ascii="Times New Roman" w:eastAsia="Times New Roman" w:hAnsi="Times New Roman" w:cs="Times New Roman"/>
          <w:color w:val="000000"/>
          <w:sz w:val="24"/>
          <w:szCs w:val="24"/>
        </w:rPr>
        <w:t xml:space="preserve"> modulate mitochondrial respiration and macrophage activation. Cell metabolism, 30(2), 352-363.</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Kullberg, R. F., van Linge, C. C., </w:t>
      </w:r>
      <w:proofErr w:type="spellStart"/>
      <w:r>
        <w:rPr>
          <w:rFonts w:ascii="Times New Roman" w:eastAsia="Times New Roman" w:hAnsi="Times New Roman" w:cs="Times New Roman"/>
          <w:color w:val="000000"/>
          <w:sz w:val="24"/>
          <w:szCs w:val="24"/>
        </w:rPr>
        <w:t>Haak</w:t>
      </w:r>
      <w:proofErr w:type="spellEnd"/>
      <w:r>
        <w:rPr>
          <w:rFonts w:ascii="Times New Roman" w:eastAsia="Times New Roman" w:hAnsi="Times New Roman" w:cs="Times New Roman"/>
          <w:color w:val="000000"/>
          <w:sz w:val="24"/>
          <w:szCs w:val="24"/>
        </w:rPr>
        <w:t>, B. W., Paul, P. S., Butler, J. M., Wolf</w:t>
      </w:r>
      <w:r>
        <w:rPr>
          <w:rFonts w:ascii="Times New Roman" w:eastAsia="Times New Roman" w:hAnsi="Times New Roman" w:cs="Times New Roman"/>
          <w:color w:val="000000"/>
          <w:sz w:val="24"/>
          <w:szCs w:val="24"/>
        </w:rPr>
        <w:t xml:space="preserve">f, N., ... &amp; </w:t>
      </w:r>
      <w:proofErr w:type="spellStart"/>
      <w:r>
        <w:rPr>
          <w:rFonts w:ascii="Times New Roman" w:eastAsia="Times New Roman" w:hAnsi="Times New Roman" w:cs="Times New Roman"/>
          <w:color w:val="000000"/>
          <w:sz w:val="24"/>
          <w:szCs w:val="24"/>
        </w:rPr>
        <w:t>Wiersinga</w:t>
      </w:r>
      <w:proofErr w:type="spellEnd"/>
      <w:r>
        <w:rPr>
          <w:rFonts w:ascii="Times New Roman" w:eastAsia="Times New Roman" w:hAnsi="Times New Roman" w:cs="Times New Roman"/>
          <w:color w:val="000000"/>
          <w:sz w:val="24"/>
          <w:szCs w:val="24"/>
        </w:rPr>
        <w:t>, W. J. (2025). Effect of the gut microbiota-derived tryptophan metabolite indole-3-acetic acid in pneumonia. Nature Communications, 16(1), 8565.</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Zhang, T., Yu, Z., Xu, Y., Zhao, L., Zhu, F., Zhou, Y., ... &amp; Gong, J. (2025). Tryptopha</w:t>
      </w:r>
      <w:r>
        <w:rPr>
          <w:rFonts w:ascii="Times New Roman" w:eastAsia="Times New Roman" w:hAnsi="Times New Roman" w:cs="Times New Roman"/>
          <w:color w:val="000000"/>
          <w:sz w:val="24"/>
          <w:szCs w:val="24"/>
        </w:rPr>
        <w:t xml:space="preserve">n Metabolites Improve Intestinal Mucosal Barrier via the Aryl Hydrocarbon Receptor–Interleukin-22 Pathway in Murine Dextran Sulfate Sodium–Induced </w:t>
      </w:r>
      <w:proofErr w:type="spellStart"/>
      <w:r>
        <w:rPr>
          <w:rFonts w:ascii="Times New Roman" w:eastAsia="Times New Roman" w:hAnsi="Times New Roman" w:cs="Times New Roman"/>
          <w:color w:val="000000"/>
          <w:sz w:val="24"/>
          <w:szCs w:val="24"/>
        </w:rPr>
        <w:t>Pouchitis</w:t>
      </w:r>
      <w:proofErr w:type="spellEnd"/>
      <w:r>
        <w:rPr>
          <w:rFonts w:ascii="Times New Roman" w:eastAsia="Times New Roman" w:hAnsi="Times New Roman" w:cs="Times New Roman"/>
          <w:color w:val="000000"/>
          <w:sz w:val="24"/>
          <w:szCs w:val="24"/>
        </w:rPr>
        <w:t>. Diseases of the Colon &amp; Rectum, 68(1), 77-90.</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Cai, X., Cho, J. Y., Chen, L., Liu, Y., Ji, F., Salg</w:t>
      </w:r>
      <w:r>
        <w:rPr>
          <w:rFonts w:ascii="Times New Roman" w:eastAsia="Times New Roman" w:hAnsi="Times New Roman" w:cs="Times New Roman"/>
          <w:color w:val="000000"/>
          <w:sz w:val="24"/>
          <w:szCs w:val="24"/>
        </w:rPr>
        <w:t xml:space="preserve">ado, K., ... &amp; Xia, T. (2025). Enriched pathways in gut microbiome predict response to immune checkpoint inhibitor treatment across demographic regions and various cancer types. </w:t>
      </w:r>
      <w:proofErr w:type="spellStart"/>
      <w:r>
        <w:rPr>
          <w:rFonts w:ascii="Times New Roman" w:eastAsia="Times New Roman" w:hAnsi="Times New Roman" w:cs="Times New Roman"/>
          <w:color w:val="000000"/>
          <w:sz w:val="24"/>
          <w:szCs w:val="24"/>
        </w:rPr>
        <w:t>iScience</w:t>
      </w:r>
      <w:proofErr w:type="spellEnd"/>
      <w:r>
        <w:rPr>
          <w:rFonts w:ascii="Times New Roman" w:eastAsia="Times New Roman" w:hAnsi="Times New Roman" w:cs="Times New Roman"/>
          <w:color w:val="000000"/>
          <w:sz w:val="24"/>
          <w:szCs w:val="24"/>
        </w:rPr>
        <w:t>, 28(4).</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Perrone, P., &amp; D’Angelo, S. (2025). Gut microbiota modulation</w:t>
      </w:r>
      <w:r>
        <w:rPr>
          <w:rFonts w:ascii="Times New Roman" w:eastAsia="Times New Roman" w:hAnsi="Times New Roman" w:cs="Times New Roman"/>
          <w:color w:val="000000"/>
          <w:sz w:val="24"/>
          <w:szCs w:val="24"/>
        </w:rPr>
        <w:t xml:space="preserve"> through Mediterranean diet foods: implications for human health. Nutrients, 17(6), 948.</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Saha, J., &amp; Goswami, R. (2025). Modulation of Innate Immunity by Short-Chain Fatty Acids in Probiotic and Fecal Microbiota Transplantation Therapies for the Treatment </w:t>
      </w:r>
      <w:r>
        <w:rPr>
          <w:rFonts w:ascii="Times New Roman" w:eastAsia="Times New Roman" w:hAnsi="Times New Roman" w:cs="Times New Roman"/>
          <w:color w:val="000000"/>
          <w:sz w:val="24"/>
          <w:szCs w:val="24"/>
        </w:rPr>
        <w:t>of Colon Disorders. Probiotics and Antimicrobial Proteins, 1-27.</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Zhao, G., Li, X., Zhang, Y., Wang, X., Deng, L., Xu, J., ... &amp; Fu, P. (2025). Intricating connections: the role of ferroptosis in systemic lupus erythematosus. Frontiers in Immunology, 16, 15</w:t>
      </w:r>
      <w:r>
        <w:rPr>
          <w:rFonts w:ascii="Times New Roman" w:eastAsia="Times New Roman" w:hAnsi="Times New Roman" w:cs="Times New Roman"/>
          <w:color w:val="000000"/>
          <w:sz w:val="24"/>
          <w:szCs w:val="24"/>
        </w:rPr>
        <w:t>34926.</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Zhao, G., Li, X., Zhang, Y., Wang, X., Deng, L., Xu, J., ... &amp; Fu, P. (2025). Intricating connections: the role of ferroptosis in systemic lupus erythematosus. Frontiers in Immunology, 16, 1534926.</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Pirini</w:t>
      </w:r>
      <w:proofErr w:type="spellEnd"/>
      <w:r>
        <w:rPr>
          <w:rFonts w:ascii="Times New Roman" w:eastAsia="Times New Roman" w:hAnsi="Times New Roman" w:cs="Times New Roman"/>
          <w:color w:val="000000"/>
          <w:sz w:val="24"/>
          <w:szCs w:val="24"/>
        </w:rPr>
        <w:t xml:space="preserve">, F., Ferrari, A., </w:t>
      </w:r>
      <w:proofErr w:type="spellStart"/>
      <w:r>
        <w:rPr>
          <w:rFonts w:ascii="Times New Roman" w:eastAsia="Times New Roman" w:hAnsi="Times New Roman" w:cs="Times New Roman"/>
          <w:color w:val="000000"/>
          <w:sz w:val="24"/>
          <w:szCs w:val="24"/>
        </w:rPr>
        <w:t>Jandoubi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Azzali</w:t>
      </w:r>
      <w:proofErr w:type="spellEnd"/>
      <w:r>
        <w:rPr>
          <w:rFonts w:ascii="Times New Roman" w:eastAsia="Times New Roman" w:hAnsi="Times New Roman" w:cs="Times New Roman"/>
          <w:color w:val="000000"/>
          <w:sz w:val="24"/>
          <w:szCs w:val="24"/>
        </w:rPr>
        <w:t xml:space="preserve">, I., </w:t>
      </w:r>
      <w:proofErr w:type="spellStart"/>
      <w:r>
        <w:rPr>
          <w:rFonts w:ascii="Times New Roman" w:eastAsia="Times New Roman" w:hAnsi="Times New Roman" w:cs="Times New Roman"/>
          <w:color w:val="000000"/>
          <w:sz w:val="24"/>
          <w:szCs w:val="24"/>
        </w:rPr>
        <w:t>Angeli</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Mondrone</w:t>
      </w:r>
      <w:proofErr w:type="spellEnd"/>
      <w:r>
        <w:rPr>
          <w:rFonts w:ascii="Times New Roman" w:eastAsia="Times New Roman" w:hAnsi="Times New Roman" w:cs="Times New Roman"/>
          <w:color w:val="000000"/>
          <w:sz w:val="24"/>
          <w:szCs w:val="24"/>
        </w:rPr>
        <w:t>, R., ... &amp; Simonetti, G. (2025). Polyamines at the crossroad between cell metabolism and epigenetic regulation in acute leukemias. Cell Death Discovery, 11(1), 301.</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 X., Ye, Q., Fan</w:t>
      </w:r>
      <w:r>
        <w:rPr>
          <w:rFonts w:ascii="Times New Roman" w:eastAsia="Times New Roman" w:hAnsi="Times New Roman" w:cs="Times New Roman"/>
          <w:color w:val="000000"/>
          <w:sz w:val="24"/>
          <w:szCs w:val="24"/>
        </w:rPr>
        <w:t>, D., Cao, X., Wang, Q., Wang, X., ... &amp; Xiao, C. (2022). Polycyclic aromatic hydrocarbons affect rheumatoid arthritis pathogenesis via aryl hydrocarbon receptor. Frontiers in Immunology, 13, 797815.</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Zhao, S., Gong, Z., Zhou, J., Tian, C., Gao, Y., Xu, C.,</w:t>
      </w:r>
      <w:r>
        <w:rPr>
          <w:rFonts w:ascii="Times New Roman" w:eastAsia="Times New Roman" w:hAnsi="Times New Roman" w:cs="Times New Roman"/>
          <w:color w:val="000000"/>
          <w:sz w:val="24"/>
          <w:szCs w:val="24"/>
        </w:rPr>
        <w:t xml:space="preserve"> ... &amp; Wu, J. (2016). Deoxycholic acid triggers NLRP3 inflammasome activation and aggravates DSS-induced colitis in mice. Frontiers in immunology, 7, 536.</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Mager</w:t>
      </w:r>
      <w:proofErr w:type="spellEnd"/>
      <w:r>
        <w:rPr>
          <w:rFonts w:ascii="Times New Roman" w:eastAsia="Times New Roman" w:hAnsi="Times New Roman" w:cs="Times New Roman"/>
          <w:color w:val="000000"/>
          <w:sz w:val="24"/>
          <w:szCs w:val="24"/>
        </w:rPr>
        <w:t xml:space="preserve">, L. F., Burkhard, R., </w:t>
      </w:r>
      <w:proofErr w:type="spellStart"/>
      <w:r>
        <w:rPr>
          <w:rFonts w:ascii="Times New Roman" w:eastAsia="Times New Roman" w:hAnsi="Times New Roman" w:cs="Times New Roman"/>
          <w:color w:val="000000"/>
          <w:sz w:val="24"/>
          <w:szCs w:val="24"/>
        </w:rPr>
        <w:t>Pett</w:t>
      </w:r>
      <w:proofErr w:type="spellEnd"/>
      <w:r>
        <w:rPr>
          <w:rFonts w:ascii="Times New Roman" w:eastAsia="Times New Roman" w:hAnsi="Times New Roman" w:cs="Times New Roman"/>
          <w:color w:val="000000"/>
          <w:sz w:val="24"/>
          <w:szCs w:val="24"/>
        </w:rPr>
        <w:t xml:space="preserve">, N., Cooke, N. C., Brown, K., </w:t>
      </w:r>
      <w:proofErr w:type="spellStart"/>
      <w:r>
        <w:rPr>
          <w:rFonts w:ascii="Times New Roman" w:eastAsia="Times New Roman" w:hAnsi="Times New Roman" w:cs="Times New Roman"/>
          <w:color w:val="000000"/>
          <w:sz w:val="24"/>
          <w:szCs w:val="24"/>
        </w:rPr>
        <w:t>Ramay</w:t>
      </w:r>
      <w:proofErr w:type="spellEnd"/>
      <w:r>
        <w:rPr>
          <w:rFonts w:ascii="Times New Roman" w:eastAsia="Times New Roman" w:hAnsi="Times New Roman" w:cs="Times New Roman"/>
          <w:color w:val="000000"/>
          <w:sz w:val="24"/>
          <w:szCs w:val="24"/>
        </w:rPr>
        <w:t xml:space="preserve">, H., ... &amp; McCoy, K. D. (2020). </w:t>
      </w:r>
      <w:r>
        <w:rPr>
          <w:rFonts w:ascii="Times New Roman" w:eastAsia="Times New Roman" w:hAnsi="Times New Roman" w:cs="Times New Roman"/>
          <w:color w:val="000000"/>
          <w:sz w:val="24"/>
          <w:szCs w:val="24"/>
        </w:rPr>
        <w:t>Microbiome-derived inosine modulates response to checkpoint inhibitor immunotherapy. Science, 369(6510), 1481-1489.</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Deng, M., Li, X., Wu, H., </w:t>
      </w:r>
      <w:proofErr w:type="spellStart"/>
      <w:r>
        <w:rPr>
          <w:rFonts w:ascii="Times New Roman" w:eastAsia="Times New Roman" w:hAnsi="Times New Roman" w:cs="Times New Roman"/>
          <w:color w:val="000000"/>
          <w:sz w:val="24"/>
          <w:szCs w:val="24"/>
        </w:rPr>
        <w:t>Xue</w:t>
      </w:r>
      <w:proofErr w:type="spellEnd"/>
      <w:r>
        <w:rPr>
          <w:rFonts w:ascii="Times New Roman" w:eastAsia="Times New Roman" w:hAnsi="Times New Roman" w:cs="Times New Roman"/>
          <w:color w:val="000000"/>
          <w:sz w:val="24"/>
          <w:szCs w:val="24"/>
        </w:rPr>
        <w:t xml:space="preserve">, D., Wang, Y., Guo, R., ... &amp; Li, H. (2025). The current status and prospects of gut microbiota combined with </w:t>
      </w:r>
      <w:r>
        <w:rPr>
          <w:rFonts w:ascii="Times New Roman" w:eastAsia="Times New Roman" w:hAnsi="Times New Roman" w:cs="Times New Roman"/>
          <w:color w:val="000000"/>
          <w:sz w:val="24"/>
          <w:szCs w:val="24"/>
        </w:rPr>
        <w:t>PD-1/PD-L1 inhibitors in the treatment of colorectal cancer: a review. BMC gastroenterology, 25(1), 380.</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Cai, X., Cho, J. Y., Chen, L., Liu, Y., Ji, F., Salgado, K., ... &amp; Xia, T. (2025). Enriched pathways in gut microbiome predict response to immune check</w:t>
      </w:r>
      <w:r>
        <w:rPr>
          <w:rFonts w:ascii="Times New Roman" w:eastAsia="Times New Roman" w:hAnsi="Times New Roman" w:cs="Times New Roman"/>
          <w:color w:val="000000"/>
          <w:sz w:val="24"/>
          <w:szCs w:val="24"/>
        </w:rPr>
        <w:t xml:space="preserve">point inhibitor treatment across demographic regions and various cancer types. </w:t>
      </w:r>
      <w:proofErr w:type="spellStart"/>
      <w:r>
        <w:rPr>
          <w:rFonts w:ascii="Times New Roman" w:eastAsia="Times New Roman" w:hAnsi="Times New Roman" w:cs="Times New Roman"/>
          <w:color w:val="000000"/>
          <w:sz w:val="24"/>
          <w:szCs w:val="24"/>
        </w:rPr>
        <w:t>iScience</w:t>
      </w:r>
      <w:proofErr w:type="spellEnd"/>
      <w:r>
        <w:rPr>
          <w:rFonts w:ascii="Times New Roman" w:eastAsia="Times New Roman" w:hAnsi="Times New Roman" w:cs="Times New Roman"/>
          <w:color w:val="000000"/>
          <w:sz w:val="24"/>
          <w:szCs w:val="24"/>
        </w:rPr>
        <w:t>, 28(4).</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Korbecki</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Bosiacki</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Pilarczyk</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Kot</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Defort</w:t>
      </w:r>
      <w:proofErr w:type="spellEnd"/>
      <w:r>
        <w:rPr>
          <w:rFonts w:ascii="Times New Roman" w:eastAsia="Times New Roman" w:hAnsi="Times New Roman" w:cs="Times New Roman"/>
          <w:color w:val="000000"/>
          <w:sz w:val="24"/>
          <w:szCs w:val="24"/>
        </w:rPr>
        <w:t xml:space="preserve">, P., </w:t>
      </w:r>
      <w:proofErr w:type="spellStart"/>
      <w:r>
        <w:rPr>
          <w:rFonts w:ascii="Times New Roman" w:eastAsia="Times New Roman" w:hAnsi="Times New Roman" w:cs="Times New Roman"/>
          <w:color w:val="000000"/>
          <w:sz w:val="24"/>
          <w:szCs w:val="24"/>
        </w:rPr>
        <w:t>Walaszek</w:t>
      </w:r>
      <w:proofErr w:type="spellEnd"/>
      <w:r>
        <w:rPr>
          <w:rFonts w:ascii="Times New Roman" w:eastAsia="Times New Roman" w:hAnsi="Times New Roman" w:cs="Times New Roman"/>
          <w:color w:val="000000"/>
          <w:sz w:val="24"/>
          <w:szCs w:val="24"/>
        </w:rPr>
        <w:t xml:space="preserve">, I., ... &amp; </w:t>
      </w:r>
      <w:proofErr w:type="spellStart"/>
      <w:r>
        <w:rPr>
          <w:rFonts w:ascii="Times New Roman" w:eastAsia="Times New Roman" w:hAnsi="Times New Roman" w:cs="Times New Roman"/>
          <w:color w:val="000000"/>
          <w:sz w:val="24"/>
          <w:szCs w:val="24"/>
        </w:rPr>
        <w:t>Baranowska-Bosiacka</w:t>
      </w:r>
      <w:proofErr w:type="spellEnd"/>
      <w:r>
        <w:rPr>
          <w:rFonts w:ascii="Times New Roman" w:eastAsia="Times New Roman" w:hAnsi="Times New Roman" w:cs="Times New Roman"/>
          <w:color w:val="000000"/>
          <w:sz w:val="24"/>
          <w:szCs w:val="24"/>
        </w:rPr>
        <w:t>, I. (2025). The CXCL1-CXCR2 Axis as a Component of Thera</w:t>
      </w:r>
      <w:r>
        <w:rPr>
          <w:rFonts w:ascii="Times New Roman" w:eastAsia="Times New Roman" w:hAnsi="Times New Roman" w:cs="Times New Roman"/>
          <w:color w:val="000000"/>
          <w:sz w:val="24"/>
          <w:szCs w:val="24"/>
        </w:rPr>
        <w:t>py Resistance, a Source of Side Effects in Cancer Treatment, and a Therapeutic Target. Cancers, 17(10), 1674.</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 W., Li, X., Jiang, Y., Gao, T., Zhao, H., Han, Q., &amp; Zhang, J. (2025). Tumor-derived exosomes induce neutrophil infiltration and reprogramming</w:t>
      </w:r>
      <w:r>
        <w:rPr>
          <w:rFonts w:ascii="Times New Roman" w:eastAsia="Times New Roman" w:hAnsi="Times New Roman" w:cs="Times New Roman"/>
          <w:color w:val="000000"/>
          <w:sz w:val="24"/>
          <w:szCs w:val="24"/>
        </w:rPr>
        <w:t xml:space="preserve"> to promote T-cell exhaustion in hepatocellular carcinoma. </w:t>
      </w:r>
      <w:proofErr w:type="spellStart"/>
      <w:r>
        <w:rPr>
          <w:rFonts w:ascii="Times New Roman" w:eastAsia="Times New Roman" w:hAnsi="Times New Roman" w:cs="Times New Roman"/>
          <w:color w:val="000000"/>
          <w:sz w:val="24"/>
          <w:szCs w:val="24"/>
        </w:rPr>
        <w:t>Theranostics</w:t>
      </w:r>
      <w:proofErr w:type="spellEnd"/>
      <w:r>
        <w:rPr>
          <w:rFonts w:ascii="Times New Roman" w:eastAsia="Times New Roman" w:hAnsi="Times New Roman" w:cs="Times New Roman"/>
          <w:color w:val="000000"/>
          <w:sz w:val="24"/>
          <w:szCs w:val="24"/>
        </w:rPr>
        <w:t>, 15(7), 2852.</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J., Miao, C., &amp; Zhang, H. (2025). Targeting neutrophil extracellular traps in cancer progression and metastasis. </w:t>
      </w:r>
      <w:proofErr w:type="spellStart"/>
      <w:r>
        <w:rPr>
          <w:rFonts w:ascii="Times New Roman" w:eastAsia="Times New Roman" w:hAnsi="Times New Roman" w:cs="Times New Roman"/>
          <w:color w:val="000000"/>
          <w:sz w:val="24"/>
          <w:szCs w:val="24"/>
        </w:rPr>
        <w:t>Theranostics</w:t>
      </w:r>
      <w:proofErr w:type="spellEnd"/>
      <w:r>
        <w:rPr>
          <w:rFonts w:ascii="Times New Roman" w:eastAsia="Times New Roman" w:hAnsi="Times New Roman" w:cs="Times New Roman"/>
          <w:color w:val="000000"/>
          <w:sz w:val="24"/>
          <w:szCs w:val="24"/>
        </w:rPr>
        <w:t>, 15(12), 5846.</w:t>
      </w:r>
    </w:p>
    <w:p w:rsidR="00201A74" w:rsidRDefault="00E5176C">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Zhou B, Gao Y, Zhang P</w:t>
      </w:r>
      <w:r>
        <w:rPr>
          <w:rFonts w:ascii="Times New Roman" w:eastAsia="Times New Roman" w:hAnsi="Times New Roman" w:cs="Times New Roman"/>
          <w:color w:val="000000"/>
          <w:sz w:val="24"/>
          <w:szCs w:val="24"/>
        </w:rPr>
        <w:t xml:space="preserve">, Chu Q. Acquired Resistance to Immune Checkpoint Blockades: The Underlying Mechanisms and Potential Strategies. Front Immunol. 2021 Jun </w:t>
      </w:r>
      <w:proofErr w:type="gramStart"/>
      <w:r>
        <w:rPr>
          <w:rFonts w:ascii="Times New Roman" w:eastAsia="Times New Roman" w:hAnsi="Times New Roman" w:cs="Times New Roman"/>
          <w:color w:val="000000"/>
          <w:sz w:val="24"/>
          <w:szCs w:val="24"/>
        </w:rPr>
        <w:t>14;12:693609</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10.3389/fimmu.2021.693609. PMID: 34194441; PMCID: PMC8236848.</w:t>
      </w:r>
    </w:p>
    <w:p w:rsidR="00201A74" w:rsidRDefault="00E5176C">
      <w:pPr>
        <w:numPr>
          <w:ilvl w:val="0"/>
          <w:numId w:val="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Shengwen</w:t>
      </w:r>
      <w:proofErr w:type="spellEnd"/>
      <w:r>
        <w:rPr>
          <w:rFonts w:ascii="Times New Roman" w:eastAsia="Times New Roman" w:hAnsi="Times New Roman" w:cs="Times New Roman"/>
          <w:color w:val="000000"/>
          <w:sz w:val="24"/>
          <w:szCs w:val="24"/>
        </w:rPr>
        <w:t xml:space="preserve"> Lu, </w:t>
      </w:r>
      <w:proofErr w:type="spellStart"/>
      <w:r>
        <w:rPr>
          <w:rFonts w:ascii="Times New Roman" w:eastAsia="Times New Roman" w:hAnsi="Times New Roman" w:cs="Times New Roman"/>
          <w:color w:val="000000"/>
          <w:sz w:val="24"/>
          <w:szCs w:val="24"/>
        </w:rPr>
        <w:t>Qiqi</w:t>
      </w:r>
      <w:proofErr w:type="spellEnd"/>
      <w:r>
        <w:rPr>
          <w:rFonts w:ascii="Times New Roman" w:eastAsia="Times New Roman" w:hAnsi="Times New Roman" w:cs="Times New Roman"/>
          <w:color w:val="000000"/>
          <w:sz w:val="24"/>
          <w:szCs w:val="24"/>
        </w:rPr>
        <w:t xml:space="preserve"> Zhao, Yu </w:t>
      </w:r>
      <w:proofErr w:type="gramStart"/>
      <w:r>
        <w:rPr>
          <w:rFonts w:ascii="Times New Roman" w:eastAsia="Times New Roman" w:hAnsi="Times New Roman" w:cs="Times New Roman"/>
          <w:color w:val="000000"/>
          <w:sz w:val="24"/>
          <w:szCs w:val="24"/>
        </w:rPr>
        <w:t>Guan ,</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Zhiw</w:t>
      </w:r>
      <w:r>
        <w:rPr>
          <w:rFonts w:ascii="Times New Roman" w:eastAsia="Times New Roman" w:hAnsi="Times New Roman" w:cs="Times New Roman"/>
          <w:color w:val="000000"/>
          <w:sz w:val="24"/>
          <w:szCs w:val="24"/>
        </w:rPr>
        <w:t>en</w:t>
      </w:r>
      <w:proofErr w:type="spellEnd"/>
      <w:r>
        <w:rPr>
          <w:rFonts w:ascii="Times New Roman" w:eastAsia="Times New Roman" w:hAnsi="Times New Roman" w:cs="Times New Roman"/>
          <w:color w:val="000000"/>
          <w:sz w:val="24"/>
          <w:szCs w:val="24"/>
        </w:rPr>
        <w:t xml:space="preserve"> Sun , </w:t>
      </w:r>
      <w:proofErr w:type="spellStart"/>
      <w:r>
        <w:rPr>
          <w:rFonts w:ascii="Times New Roman" w:eastAsia="Times New Roman" w:hAnsi="Times New Roman" w:cs="Times New Roman"/>
          <w:color w:val="000000"/>
          <w:sz w:val="24"/>
          <w:szCs w:val="24"/>
        </w:rPr>
        <w:t>Wenhao</w:t>
      </w:r>
      <w:proofErr w:type="spellEnd"/>
      <w:r>
        <w:rPr>
          <w:rFonts w:ascii="Times New Roman" w:eastAsia="Times New Roman" w:hAnsi="Times New Roman" w:cs="Times New Roman"/>
          <w:color w:val="000000"/>
          <w:sz w:val="24"/>
          <w:szCs w:val="24"/>
        </w:rPr>
        <w:t xml:space="preserve"> Li, </w:t>
      </w:r>
      <w:proofErr w:type="spellStart"/>
      <w:r>
        <w:rPr>
          <w:rFonts w:ascii="Times New Roman" w:eastAsia="Times New Roman" w:hAnsi="Times New Roman" w:cs="Times New Roman"/>
          <w:color w:val="000000"/>
          <w:sz w:val="24"/>
          <w:szCs w:val="24"/>
        </w:rPr>
        <w:t>Sifan</w:t>
      </w:r>
      <w:proofErr w:type="spellEnd"/>
      <w:r>
        <w:rPr>
          <w:rFonts w:ascii="Times New Roman" w:eastAsia="Times New Roman" w:hAnsi="Times New Roman" w:cs="Times New Roman"/>
          <w:color w:val="000000"/>
          <w:sz w:val="24"/>
          <w:szCs w:val="24"/>
        </w:rPr>
        <w:t xml:space="preserve"> Guo and </w:t>
      </w:r>
      <w:proofErr w:type="spellStart"/>
      <w:r>
        <w:rPr>
          <w:rFonts w:ascii="Times New Roman" w:eastAsia="Times New Roman" w:hAnsi="Times New Roman" w:cs="Times New Roman"/>
          <w:color w:val="000000"/>
          <w:sz w:val="24"/>
          <w:szCs w:val="24"/>
        </w:rPr>
        <w:t>Aihua</w:t>
      </w:r>
      <w:proofErr w:type="spellEnd"/>
      <w:r>
        <w:rPr>
          <w:rFonts w:ascii="Times New Roman" w:eastAsia="Times New Roman" w:hAnsi="Times New Roman" w:cs="Times New Roman"/>
          <w:color w:val="000000"/>
          <w:sz w:val="24"/>
          <w:szCs w:val="24"/>
        </w:rPr>
        <w:t xml:space="preserve"> Zhang, The communication mechanism of the gut-brain axis and its effect on central nervous system diseases: A systematic review, </w:t>
      </w:r>
      <w:r>
        <w:rPr>
          <w:rFonts w:ascii="Times New Roman" w:eastAsia="Times New Roman" w:hAnsi="Times New Roman" w:cs="Times New Roman"/>
          <w:i/>
          <w:iCs/>
          <w:color w:val="000000"/>
          <w:sz w:val="24"/>
          <w:szCs w:val="24"/>
        </w:rPr>
        <w:t>Biomedicine &amp; Pharmacotherapy</w:t>
      </w:r>
      <w:r>
        <w:rPr>
          <w:rFonts w:ascii="Times New Roman" w:eastAsia="Times New Roman" w:hAnsi="Times New Roman" w:cs="Times New Roman"/>
          <w:color w:val="000000"/>
          <w:sz w:val="24"/>
          <w:szCs w:val="24"/>
        </w:rPr>
        <w:t>,178 (2024) 117207</w:t>
      </w:r>
    </w:p>
    <w:p w:rsidR="00201A74" w:rsidRDefault="00201A74">
      <w:pPr>
        <w:spacing w:line="480" w:lineRule="auto"/>
        <w:jc w:val="both"/>
        <w:rPr>
          <w:rFonts w:ascii="Times New Roman" w:eastAsia="Times New Roman" w:hAnsi="Times New Roman" w:cs="Times New Roman"/>
          <w:sz w:val="24"/>
          <w:szCs w:val="24"/>
        </w:rPr>
      </w:pPr>
    </w:p>
    <w:sectPr w:rsidR="00201A7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76C" w:rsidRDefault="00E5176C">
      <w:pPr>
        <w:spacing w:after="0" w:line="240" w:lineRule="auto"/>
      </w:pPr>
      <w:r>
        <w:separator/>
      </w:r>
    </w:p>
  </w:endnote>
  <w:endnote w:type="continuationSeparator" w:id="0">
    <w:p w:rsidR="00E5176C" w:rsidRDefault="00E5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8DAFD1FE-A9A8-4BE6-8E20-31E55C2DB2F4}"/>
    <w:embedBold r:id="rId2" w:fontKey="{6AD8B5A4-A424-4EDC-A125-6A8C4880B4B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C901A29-E523-4CCB-8578-F08E3264CAF2}"/>
  </w:font>
  <w:font w:name="Cambria">
    <w:panose1 w:val="02040503050406030204"/>
    <w:charset w:val="00"/>
    <w:family w:val="roman"/>
    <w:pitch w:val="variable"/>
    <w:sig w:usb0="E00006FF" w:usb1="420024FF" w:usb2="02000000" w:usb3="00000000" w:csb0="0000019F" w:csb1="00000000"/>
    <w:embedRegular r:id="rId4" w:fontKey="{A89F7FEF-BE26-4DEA-AA4A-557740CD49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201A7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201A7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201A7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76C" w:rsidRDefault="00E5176C">
      <w:pPr>
        <w:spacing w:after="0" w:line="240" w:lineRule="auto"/>
      </w:pPr>
      <w:r>
        <w:separator/>
      </w:r>
    </w:p>
  </w:footnote>
  <w:footnote w:type="continuationSeparator" w:id="0">
    <w:p w:rsidR="00E5176C" w:rsidRDefault="00E51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E5176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55.05pt;height:104.6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E5176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55.05pt;height:104.6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A74" w:rsidRDefault="00E5176C">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55.05pt;height:104.6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C27169"/>
    <w:multiLevelType w:val="multilevel"/>
    <w:tmpl w:val="413C05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xNDE3NzA3MzMzMDJV0lEKTi0uzszPAykwrAUATCkLkSwAAAA="/>
  </w:docVars>
  <w:rsids>
    <w:rsidRoot w:val="00201A74"/>
    <w:rsid w:val="00201A74"/>
    <w:rsid w:val="009735D2"/>
    <w:rsid w:val="00E51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AA36948-DB76-4490-AABB-D4873581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791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E60"/>
  </w:style>
  <w:style w:type="paragraph" w:styleId="Footer">
    <w:name w:val="footer"/>
    <w:basedOn w:val="Normal"/>
    <w:link w:val="FooterChar"/>
    <w:uiPriority w:val="99"/>
    <w:unhideWhenUsed/>
    <w:rsid w:val="00791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E6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lgFLhSx/socakXvRAW1w7TfMIA==">CgMxLjAyDmgub3IyNGI3cnZ0aWJ4OAByITFaNmU0dkJxbEs1QTlKRXN3OXpHZ0NhaWsxbGh0aHdYMQ==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5676</Words>
  <Characters>32358</Characters>
  <Application>Microsoft Office Word</Application>
  <DocSecurity>0</DocSecurity>
  <Lines>269</Lines>
  <Paragraphs>75</Paragraphs>
  <ScaleCrop>false</ScaleCrop>
  <Company/>
  <LinksUpToDate>false</LinksUpToDate>
  <CharactersWithSpaces>37959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2</cp:revision>
  <dcterms:created xsi:type="dcterms:W3CDTF">2025-11-06T11:22:00Z</dcterms:created>
  <dcterms:modified xsi:type="dcterms:W3CDTF">2025-11-12T09:53:00Z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11d3f474-0c27-458d-8aab-386e5ea369d6</vt:lpwstr>
  </property>
</Properties>
</file>