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74B8A" w14:textId="77777777" w:rsidR="00860843" w:rsidRPr="00AA3CC6" w:rsidRDefault="00860843" w:rsidP="00AA3CC6">
      <w:pPr>
        <w:pStyle w:val="NormalWeb"/>
        <w:jc w:val="both"/>
        <w:rPr>
          <w:b/>
          <w:bCs/>
        </w:rPr>
      </w:pPr>
      <w:r w:rsidRPr="00AA3CC6">
        <w:rPr>
          <w:b/>
          <w:bCs/>
        </w:rPr>
        <w:t>Development and Validation of a Flutter-Based Android Application for Near Real-Time Reference Evapotranspiration Estimation Using the FAO-56 Penman–Monteith Model in Nigeria</w:t>
      </w:r>
    </w:p>
    <w:p w14:paraId="2E95EC60" w14:textId="77777777" w:rsidR="00AA3CC6" w:rsidRDefault="00860843" w:rsidP="00AA3CC6">
      <w:pPr>
        <w:pStyle w:val="NormalWeb"/>
        <w:jc w:val="both"/>
        <w:rPr>
          <w:rStyle w:val="Strong"/>
        </w:rPr>
      </w:pPr>
      <w:r w:rsidRPr="00AA3CC6">
        <w:rPr>
          <w:rStyle w:val="Strong"/>
        </w:rPr>
        <w:t>Abstract</w:t>
      </w:r>
    </w:p>
    <w:p w14:paraId="2EF9A721" w14:textId="4899F079" w:rsidR="00860843" w:rsidRPr="00AA3CC6" w:rsidRDefault="00860843" w:rsidP="00AA3CC6">
      <w:pPr>
        <w:pStyle w:val="NormalWeb"/>
        <w:jc w:val="both"/>
      </w:pPr>
      <w:r w:rsidRPr="00AA3CC6">
        <w:t>Accurate estimation of reference evapotranspiration (</w:t>
      </w:r>
      <w:proofErr w:type="spellStart"/>
      <w:r w:rsidRPr="00AA3CC6">
        <w:t>ETo</w:t>
      </w:r>
      <w:proofErr w:type="spellEnd"/>
      <w:r w:rsidRPr="00AA3CC6">
        <w:t xml:space="preserve">) is essential for effective irrigation scheduling, water-resource management, and crop-climate modelling in tropical regions where weather data are often limited. This study presents the development and validation of a Flutter-based Android application capable of computing near real-time </w:t>
      </w:r>
      <w:proofErr w:type="spellStart"/>
      <w:r w:rsidRPr="00AA3CC6">
        <w:t>ETo</w:t>
      </w:r>
      <w:proofErr w:type="spellEnd"/>
      <w:r w:rsidRPr="00AA3CC6">
        <w:t xml:space="preserve"> using the FAO-56 Penman–Monteith (FAO-56 PM) model. The app integrates meteorological data from the </w:t>
      </w:r>
      <w:proofErr w:type="spellStart"/>
      <w:r w:rsidRPr="00AA3CC6">
        <w:t>OpenWeatherMap</w:t>
      </w:r>
      <w:proofErr w:type="spellEnd"/>
      <w:r w:rsidRPr="00AA3CC6">
        <w:t xml:space="preserve"> API and utilises geolocation for site-specific retrieval of temperature, humidity, wind speed, and solar radiation. Validation was performed against the NASA POWER database for 11 consecutive days (4–14 April 2024) using 24-hour averaged datasets to remove diurnal bias. Results showed close agreement between app- and NASA-derived parameters: temperature (mean bias = +0.35 °C), relative humidity (−0.9 %), wind speed (+0.01 m s⁻¹), and </w:t>
      </w:r>
      <w:proofErr w:type="spellStart"/>
      <w:r w:rsidRPr="00AA3CC6">
        <w:t>ETo</w:t>
      </w:r>
      <w:proofErr w:type="spellEnd"/>
      <w:r w:rsidRPr="00AA3CC6">
        <w:t xml:space="preserve"> (+0.03 mm day⁻¹). Statistical evaluation indicated a strong correlation (r = 0.93; R² = 0.86) and low root mean square error (RMSE = 0.05 mm day⁻¹). These results confirm the app’s reliability and computational fidelity. Comparative analysis with existing tools such as EVAPO, </w:t>
      </w:r>
      <w:proofErr w:type="spellStart"/>
      <w:r w:rsidRPr="00AA3CC6">
        <w:t>EvapoCalc</w:t>
      </w:r>
      <w:proofErr w:type="spellEnd"/>
      <w:r w:rsidRPr="00AA3CC6">
        <w:t xml:space="preserve">, and pyfao56 revealed comparable accuracy while offering the advantage of real-time mobile accessibility. The application bridges a technological gap by providing a cost-effective, portable, and adaptive system for field-level </w:t>
      </w:r>
      <w:proofErr w:type="spellStart"/>
      <w:r w:rsidRPr="00AA3CC6">
        <w:t>ETo</w:t>
      </w:r>
      <w:proofErr w:type="spellEnd"/>
      <w:r w:rsidRPr="00AA3CC6">
        <w:t xml:space="preserve"> estimation, particularly valuable for smallholder farmers and irrigation managers in data-scarce environments.</w:t>
      </w:r>
    </w:p>
    <w:p w14:paraId="59E48596" w14:textId="253D9C41" w:rsidR="00AA3CC6" w:rsidRPr="00AA3CC6" w:rsidRDefault="00AA3CC6" w:rsidP="00AA3CC6">
      <w:pPr>
        <w:pStyle w:val="NormalWeb"/>
        <w:jc w:val="both"/>
      </w:pPr>
      <w:r w:rsidRPr="00AA3CC6">
        <w:rPr>
          <w:rStyle w:val="Strong"/>
          <w:i/>
          <w:iCs/>
        </w:rPr>
        <w:t>Keywords</w:t>
      </w:r>
      <w:r w:rsidRPr="00AA3CC6">
        <w:rPr>
          <w:rStyle w:val="Strong"/>
        </w:rPr>
        <w:t xml:space="preserve">: </w:t>
      </w:r>
      <w:r w:rsidRPr="00AA3CC6">
        <w:t>Evapotranspiration; FAO-56 Penman–Monteith; Flutter application; NASA POWER; Nigeria.</w:t>
      </w:r>
    </w:p>
    <w:p w14:paraId="0D475EA8" w14:textId="77777777" w:rsidR="00860843" w:rsidRPr="00AA3CC6" w:rsidRDefault="00860843"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p>
    <w:p w14:paraId="5B123DE9" w14:textId="37FA02BA"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1.0 Introduction</w:t>
      </w:r>
    </w:p>
    <w:p w14:paraId="65DE083B"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Water is one of the most critical natural resources for sustaining agricultural production, yet only a minute fraction of global water reserves is readily available for human use. Of the estimated 1,400 million cubic kilometres of water on Earth, merely about 0.003% is accessible for industrial, domestic, and agricultural purposes (Siebert et al., 2013). In developing nations such as Nigeria, agriculture accounts for approximately 70% of total freshwater withdrawals, with up to 95% of this used for irrigation in some regions (Siebert et al., 2013). Consequently, efficient management of available water resources is imperative for enhancing food security, mitigating drought effects, and promoting sustainable agricultural development.</w:t>
      </w:r>
    </w:p>
    <w:p w14:paraId="11EEB18D"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Evapotranspiration (ET) represents a fundamental process governing water transfer between the land surface and the atmosphere. It integrates both evaporation from soil and plant surfaces and transpiration through vegetation (Allen et al., 2011; Xiang et al., 2020). The concept of reference evapotranspiration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was introduced to describe the evaporative demand of the atmosphere independent of crop type, growth stage, or management practice.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serves as a climatic index that expresses the atmospheric capacity to remove water, determined solely by meteorological conditions such as temperature, humidity, wind speed, and solar radiation (Allen &amp; Pereira, 1998; Pandey &amp; Pandey, 2020).</w:t>
      </w:r>
    </w:p>
    <w:p w14:paraId="0D1E3A34"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lastRenderedPageBreak/>
        <w:t xml:space="preserve">Over the past five decades, numerous empirical and semi-empirical equations have been developed for estimating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from meteorological variables. Among these, the FAO-56 Penman–Monteith (FAO-56 PM) model remains the globally accepted standard due to its strong physical basis and adaptability across diverse climatic conditions (Allen et al., 1998; </w:t>
      </w:r>
      <w:proofErr w:type="spellStart"/>
      <w:r w:rsidRPr="00B335B6">
        <w:rPr>
          <w:rFonts w:ascii="Times New Roman" w:eastAsia="Times New Roman" w:hAnsi="Times New Roman" w:cs="Times New Roman"/>
          <w:sz w:val="24"/>
          <w:szCs w:val="24"/>
          <w:lang w:eastAsia="en-GB"/>
        </w:rPr>
        <w:t>Azhar</w:t>
      </w:r>
      <w:proofErr w:type="spellEnd"/>
      <w:r w:rsidRPr="00B335B6">
        <w:rPr>
          <w:rFonts w:ascii="Times New Roman" w:eastAsia="Times New Roman" w:hAnsi="Times New Roman" w:cs="Times New Roman"/>
          <w:sz w:val="24"/>
          <w:szCs w:val="24"/>
          <w:lang w:eastAsia="en-GB"/>
        </w:rPr>
        <w:t xml:space="preserve"> &amp; </w:t>
      </w:r>
      <w:proofErr w:type="spellStart"/>
      <w:r w:rsidRPr="00B335B6">
        <w:rPr>
          <w:rFonts w:ascii="Times New Roman" w:eastAsia="Times New Roman" w:hAnsi="Times New Roman" w:cs="Times New Roman"/>
          <w:sz w:val="24"/>
          <w:szCs w:val="24"/>
          <w:lang w:eastAsia="en-GB"/>
        </w:rPr>
        <w:t>Perera</w:t>
      </w:r>
      <w:proofErr w:type="spellEnd"/>
      <w:r w:rsidRPr="00B335B6">
        <w:rPr>
          <w:rFonts w:ascii="Times New Roman" w:eastAsia="Times New Roman" w:hAnsi="Times New Roman" w:cs="Times New Roman"/>
          <w:sz w:val="24"/>
          <w:szCs w:val="24"/>
          <w:lang w:eastAsia="en-GB"/>
        </w:rPr>
        <w:t>, 2011). The FAO-56 PM equation integrates both aerodynamic and surface resistance parameters to simulate the combined effects of energy balance and mass transfer on evapotranspiration. Comparative studies have demonstrated its reliability and superior performance relative to other models such as Hargreaves–</w:t>
      </w:r>
      <w:proofErr w:type="spellStart"/>
      <w:r w:rsidRPr="00B335B6">
        <w:rPr>
          <w:rFonts w:ascii="Times New Roman" w:eastAsia="Times New Roman" w:hAnsi="Times New Roman" w:cs="Times New Roman"/>
          <w:sz w:val="24"/>
          <w:szCs w:val="24"/>
          <w:lang w:eastAsia="en-GB"/>
        </w:rPr>
        <w:t>Samani</w:t>
      </w:r>
      <w:proofErr w:type="spellEnd"/>
      <w:r w:rsidRPr="00B335B6">
        <w:rPr>
          <w:rFonts w:ascii="Times New Roman" w:eastAsia="Times New Roman" w:hAnsi="Times New Roman" w:cs="Times New Roman"/>
          <w:sz w:val="24"/>
          <w:szCs w:val="24"/>
          <w:lang w:eastAsia="en-GB"/>
        </w:rPr>
        <w:t xml:space="preserve"> and Blaney–</w:t>
      </w:r>
      <w:proofErr w:type="spellStart"/>
      <w:r w:rsidRPr="00B335B6">
        <w:rPr>
          <w:rFonts w:ascii="Times New Roman" w:eastAsia="Times New Roman" w:hAnsi="Times New Roman" w:cs="Times New Roman"/>
          <w:sz w:val="24"/>
          <w:szCs w:val="24"/>
          <w:lang w:eastAsia="en-GB"/>
        </w:rPr>
        <w:t>Criddle</w:t>
      </w:r>
      <w:proofErr w:type="spellEnd"/>
      <w:r w:rsidRPr="00B335B6">
        <w:rPr>
          <w:rFonts w:ascii="Times New Roman" w:eastAsia="Times New Roman" w:hAnsi="Times New Roman" w:cs="Times New Roman"/>
          <w:sz w:val="24"/>
          <w:szCs w:val="24"/>
          <w:lang w:eastAsia="en-GB"/>
        </w:rPr>
        <w:t xml:space="preserve"> equations (</w:t>
      </w:r>
      <w:proofErr w:type="spellStart"/>
      <w:r w:rsidRPr="00B335B6">
        <w:rPr>
          <w:rFonts w:ascii="Times New Roman" w:eastAsia="Times New Roman" w:hAnsi="Times New Roman" w:cs="Times New Roman"/>
          <w:sz w:val="24"/>
          <w:szCs w:val="24"/>
          <w:lang w:eastAsia="en-GB"/>
        </w:rPr>
        <w:t>Jabloun</w:t>
      </w:r>
      <w:proofErr w:type="spellEnd"/>
      <w:r w:rsidRPr="00B335B6">
        <w:rPr>
          <w:rFonts w:ascii="Times New Roman" w:eastAsia="Times New Roman" w:hAnsi="Times New Roman" w:cs="Times New Roman"/>
          <w:sz w:val="24"/>
          <w:szCs w:val="24"/>
          <w:lang w:eastAsia="en-GB"/>
        </w:rPr>
        <w:t xml:space="preserve"> &amp; </w:t>
      </w:r>
      <w:proofErr w:type="spellStart"/>
      <w:r w:rsidRPr="00B335B6">
        <w:rPr>
          <w:rFonts w:ascii="Times New Roman" w:eastAsia="Times New Roman" w:hAnsi="Times New Roman" w:cs="Times New Roman"/>
          <w:sz w:val="24"/>
          <w:szCs w:val="24"/>
          <w:lang w:eastAsia="en-GB"/>
        </w:rPr>
        <w:t>Sahli</w:t>
      </w:r>
      <w:proofErr w:type="spellEnd"/>
      <w:r w:rsidRPr="00B335B6">
        <w:rPr>
          <w:rFonts w:ascii="Times New Roman" w:eastAsia="Times New Roman" w:hAnsi="Times New Roman" w:cs="Times New Roman"/>
          <w:sz w:val="24"/>
          <w:szCs w:val="24"/>
          <w:lang w:eastAsia="en-GB"/>
        </w:rPr>
        <w:t xml:space="preserve">, 2008; Antonopoulos &amp; Antonopoulos, 2017). The model has been successfully validated under varying </w:t>
      </w:r>
      <w:proofErr w:type="spellStart"/>
      <w:r w:rsidRPr="00B335B6">
        <w:rPr>
          <w:rFonts w:ascii="Times New Roman" w:eastAsia="Times New Roman" w:hAnsi="Times New Roman" w:cs="Times New Roman"/>
          <w:sz w:val="24"/>
          <w:szCs w:val="24"/>
          <w:lang w:eastAsia="en-GB"/>
        </w:rPr>
        <w:t>agro</w:t>
      </w:r>
      <w:proofErr w:type="spellEnd"/>
      <w:r w:rsidRPr="00B335B6">
        <w:rPr>
          <w:rFonts w:ascii="Times New Roman" w:eastAsia="Times New Roman" w:hAnsi="Times New Roman" w:cs="Times New Roman"/>
          <w:sz w:val="24"/>
          <w:szCs w:val="24"/>
          <w:lang w:eastAsia="en-GB"/>
        </w:rPr>
        <w:t>-climatic conditions in Brazil (Camargo &amp; Camargo, 2000), the USA (Irmak et al., 2003), Greece (</w:t>
      </w:r>
      <w:proofErr w:type="spellStart"/>
      <w:r w:rsidRPr="00B335B6">
        <w:rPr>
          <w:rFonts w:ascii="Times New Roman" w:eastAsia="Times New Roman" w:hAnsi="Times New Roman" w:cs="Times New Roman"/>
          <w:sz w:val="24"/>
          <w:szCs w:val="24"/>
          <w:lang w:eastAsia="en-GB"/>
        </w:rPr>
        <w:t>Xystrakis</w:t>
      </w:r>
      <w:proofErr w:type="spellEnd"/>
      <w:r w:rsidRPr="00B335B6">
        <w:rPr>
          <w:rFonts w:ascii="Times New Roman" w:eastAsia="Times New Roman" w:hAnsi="Times New Roman" w:cs="Times New Roman"/>
          <w:sz w:val="24"/>
          <w:szCs w:val="24"/>
          <w:lang w:eastAsia="en-GB"/>
        </w:rPr>
        <w:t xml:space="preserve"> &amp; </w:t>
      </w:r>
      <w:proofErr w:type="spellStart"/>
      <w:r w:rsidRPr="00B335B6">
        <w:rPr>
          <w:rFonts w:ascii="Times New Roman" w:eastAsia="Times New Roman" w:hAnsi="Times New Roman" w:cs="Times New Roman"/>
          <w:sz w:val="24"/>
          <w:szCs w:val="24"/>
          <w:lang w:eastAsia="en-GB"/>
        </w:rPr>
        <w:t>Matzarakis</w:t>
      </w:r>
      <w:proofErr w:type="spellEnd"/>
      <w:r w:rsidRPr="00B335B6">
        <w:rPr>
          <w:rFonts w:ascii="Times New Roman" w:eastAsia="Times New Roman" w:hAnsi="Times New Roman" w:cs="Times New Roman"/>
          <w:sz w:val="24"/>
          <w:szCs w:val="24"/>
          <w:lang w:eastAsia="en-GB"/>
        </w:rPr>
        <w:t>, 2011), and more recently, India and Nigeria (</w:t>
      </w:r>
      <w:proofErr w:type="spellStart"/>
      <w:r w:rsidRPr="00B335B6">
        <w:rPr>
          <w:rFonts w:ascii="Times New Roman" w:eastAsia="Times New Roman" w:hAnsi="Times New Roman" w:cs="Times New Roman"/>
          <w:sz w:val="24"/>
          <w:szCs w:val="24"/>
          <w:lang w:eastAsia="en-GB"/>
        </w:rPr>
        <w:t>Rajavel</w:t>
      </w:r>
      <w:proofErr w:type="spellEnd"/>
      <w:r w:rsidRPr="00B335B6">
        <w:rPr>
          <w:rFonts w:ascii="Times New Roman" w:eastAsia="Times New Roman" w:hAnsi="Times New Roman" w:cs="Times New Roman"/>
          <w:sz w:val="24"/>
          <w:szCs w:val="24"/>
          <w:lang w:eastAsia="en-GB"/>
        </w:rPr>
        <w:t xml:space="preserve"> et al., 2022; Fei-</w:t>
      </w:r>
      <w:proofErr w:type="spellStart"/>
      <w:r w:rsidRPr="00B335B6">
        <w:rPr>
          <w:rFonts w:ascii="Times New Roman" w:eastAsia="Times New Roman" w:hAnsi="Times New Roman" w:cs="Times New Roman"/>
          <w:sz w:val="24"/>
          <w:szCs w:val="24"/>
          <w:lang w:eastAsia="en-GB"/>
        </w:rPr>
        <w:t>Baffoe</w:t>
      </w:r>
      <w:proofErr w:type="spellEnd"/>
      <w:r w:rsidRPr="00B335B6">
        <w:rPr>
          <w:rFonts w:ascii="Times New Roman" w:eastAsia="Times New Roman" w:hAnsi="Times New Roman" w:cs="Times New Roman"/>
          <w:sz w:val="24"/>
          <w:szCs w:val="24"/>
          <w:lang w:eastAsia="en-GB"/>
        </w:rPr>
        <w:t xml:space="preserve"> et al., 2024).</w:t>
      </w:r>
    </w:p>
    <w:p w14:paraId="5BAB9769"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 xml:space="preserve">Despite its robustness, implementing the FAO-56 PM model poses computational challenges, particularly in developing countries where farmers lack access to meteorological databases and advanced analytical tools (Cunha et al., 2021). Traditional desktop-based or spreadsheet calculators demand manual data entry and are unsuitable for field-level decision-making. The advent of mobile technology offers new opportunities to simplify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estimation. Several studies have explored smartphone applications for evapotranspiration estimation and irrigation scheduling—examples include </w:t>
      </w:r>
      <w:proofErr w:type="spellStart"/>
      <w:r w:rsidRPr="00B335B6">
        <w:rPr>
          <w:rFonts w:ascii="Times New Roman" w:eastAsia="Times New Roman" w:hAnsi="Times New Roman" w:cs="Times New Roman"/>
          <w:sz w:val="24"/>
          <w:szCs w:val="24"/>
          <w:lang w:eastAsia="en-GB"/>
        </w:rPr>
        <w:t>EvapoCalc</w:t>
      </w:r>
      <w:proofErr w:type="spellEnd"/>
      <w:r w:rsidRPr="00B335B6">
        <w:rPr>
          <w:rFonts w:ascii="Times New Roman" w:eastAsia="Times New Roman" w:hAnsi="Times New Roman" w:cs="Times New Roman"/>
          <w:sz w:val="24"/>
          <w:szCs w:val="24"/>
          <w:lang w:eastAsia="en-GB"/>
        </w:rPr>
        <w:t xml:space="preserve"> (Francisco et al., 2018), EVAPO (Maldonado et al., 2019), and pyfao56 (Thorp, 2022). However, most of these tools are platform-specific or require stable internet connections and are often not optimised for local climatic conditions.</w:t>
      </w:r>
    </w:p>
    <w:p w14:paraId="031B2E68" w14:textId="56EB6F38" w:rsidR="00B335B6" w:rsidRPr="00B335B6" w:rsidRDefault="00B335B6" w:rsidP="00AA3CC6">
      <w:pPr>
        <w:spacing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 xml:space="preserve">Recent advancements in cross-platform mobile development frameworks, particularly Flutter and Dart, have enabled the design of lightweight, user-friendly applications capable of integrating real-time weather data through APIs such as </w:t>
      </w:r>
      <w:proofErr w:type="spellStart"/>
      <w:r w:rsidRPr="00B335B6">
        <w:rPr>
          <w:rFonts w:ascii="Times New Roman" w:eastAsia="Times New Roman" w:hAnsi="Times New Roman" w:cs="Times New Roman"/>
          <w:sz w:val="24"/>
          <w:szCs w:val="24"/>
          <w:lang w:eastAsia="en-GB"/>
        </w:rPr>
        <w:t>OpenWeatherMap</w:t>
      </w:r>
      <w:proofErr w:type="spellEnd"/>
      <w:r w:rsidRPr="00B335B6">
        <w:rPr>
          <w:rFonts w:ascii="Times New Roman" w:eastAsia="Times New Roman" w:hAnsi="Times New Roman" w:cs="Times New Roman"/>
          <w:sz w:val="24"/>
          <w:szCs w:val="24"/>
          <w:lang w:eastAsia="en-GB"/>
        </w:rPr>
        <w:t xml:space="preserve">. This approach bridges the gap between complex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xml:space="preserve"> computation and field-level accessibility, especially for Nigerian farmers who operate in data-scarce environments</w:t>
      </w:r>
      <w:r w:rsidRPr="00AA3CC6">
        <w:rPr>
          <w:rFonts w:ascii="Times New Roman" w:eastAsia="Times New Roman" w:hAnsi="Times New Roman" w:cs="Times New Roman"/>
          <w:sz w:val="24"/>
          <w:szCs w:val="24"/>
          <w:lang w:eastAsia="en-GB"/>
        </w:rPr>
        <w:t xml:space="preserve"> (</w:t>
      </w:r>
      <w:proofErr w:type="spellStart"/>
      <w:r w:rsidRPr="00B335B6">
        <w:rPr>
          <w:rFonts w:ascii="Times New Roman" w:eastAsia="Times New Roman" w:hAnsi="Times New Roman" w:cs="Times New Roman"/>
          <w:sz w:val="24"/>
          <w:szCs w:val="24"/>
          <w:lang w:eastAsia="en-GB"/>
        </w:rPr>
        <w:t>Migliaccio</w:t>
      </w:r>
      <w:proofErr w:type="spellEnd"/>
      <w:r w:rsidRPr="00B335B6">
        <w:rPr>
          <w:rFonts w:ascii="Times New Roman" w:eastAsia="Times New Roman" w:hAnsi="Times New Roman" w:cs="Times New Roman"/>
          <w:sz w:val="24"/>
          <w:szCs w:val="24"/>
          <w:lang w:eastAsia="en-GB"/>
        </w:rPr>
        <w:t xml:space="preserve"> et al., 2016</w:t>
      </w:r>
      <w:r w:rsidRPr="00AA3CC6">
        <w:rPr>
          <w:rFonts w:ascii="Times New Roman" w:eastAsia="Times New Roman" w:hAnsi="Times New Roman" w:cs="Times New Roman"/>
          <w:sz w:val="24"/>
          <w:szCs w:val="24"/>
          <w:lang w:eastAsia="en-GB"/>
        </w:rPr>
        <w:t>)</w:t>
      </w:r>
      <w:r w:rsidRPr="00B335B6">
        <w:rPr>
          <w:rFonts w:ascii="Times New Roman" w:eastAsia="Times New Roman" w:hAnsi="Times New Roman" w:cs="Times New Roman"/>
          <w:sz w:val="24"/>
          <w:szCs w:val="24"/>
          <w:lang w:eastAsia="en-GB"/>
        </w:rPr>
        <w:t xml:space="preserve">. Integrating the FAO-56 PM algorithm into a Flutter-based Android application provides a promising avenue for near real-time estimation of </w:t>
      </w:r>
      <w:proofErr w:type="spellStart"/>
      <w:r w:rsidRPr="00B335B6">
        <w:rPr>
          <w:rFonts w:ascii="Times New Roman" w:eastAsia="Times New Roman" w:hAnsi="Times New Roman" w:cs="Times New Roman"/>
          <w:sz w:val="24"/>
          <w:szCs w:val="24"/>
          <w:lang w:eastAsia="en-GB"/>
        </w:rPr>
        <w:t>ETo</w:t>
      </w:r>
      <w:proofErr w:type="spellEnd"/>
      <w:r w:rsidRPr="00B335B6">
        <w:rPr>
          <w:rFonts w:ascii="Times New Roman" w:eastAsia="Times New Roman" w:hAnsi="Times New Roman" w:cs="Times New Roman"/>
          <w:sz w:val="24"/>
          <w:szCs w:val="24"/>
          <w:lang w:eastAsia="en-GB"/>
        </w:rPr>
        <w:t>, supporting informed irrigation scheduling and water resource management at both farm and regional scales (</w:t>
      </w:r>
      <w:proofErr w:type="spellStart"/>
      <w:r w:rsidRPr="00B335B6">
        <w:rPr>
          <w:rFonts w:ascii="Times New Roman" w:eastAsia="Times New Roman" w:hAnsi="Times New Roman" w:cs="Times New Roman"/>
          <w:sz w:val="24"/>
          <w:szCs w:val="24"/>
          <w:lang w:eastAsia="en-GB"/>
        </w:rPr>
        <w:t>Lykhovyd</w:t>
      </w:r>
      <w:proofErr w:type="spellEnd"/>
      <w:r w:rsidRPr="00B335B6">
        <w:rPr>
          <w:rFonts w:ascii="Times New Roman" w:eastAsia="Times New Roman" w:hAnsi="Times New Roman" w:cs="Times New Roman"/>
          <w:sz w:val="24"/>
          <w:szCs w:val="24"/>
          <w:lang w:eastAsia="en-GB"/>
        </w:rPr>
        <w:t>, 2022).</w:t>
      </w:r>
      <w:r w:rsidRPr="00AA3CC6">
        <w:rPr>
          <w:rFonts w:ascii="Times New Roman" w:eastAsia="Times New Roman" w:hAnsi="Times New Roman" w:cs="Times New Roman"/>
          <w:sz w:val="24"/>
          <w:szCs w:val="24"/>
          <w:lang w:eastAsia="en-GB"/>
        </w:rPr>
        <w:t xml:space="preserve"> </w:t>
      </w:r>
      <w:r w:rsidRPr="00B335B6">
        <w:rPr>
          <w:rFonts w:ascii="Times New Roman" w:eastAsia="Times New Roman" w:hAnsi="Times New Roman" w:cs="Times New Roman"/>
          <w:sz w:val="24"/>
          <w:szCs w:val="24"/>
          <w:lang w:eastAsia="en-GB"/>
        </w:rPr>
        <w:t xml:space="preserve">Therefore, this study focuses on developing and validating a Flutter-based Android application that computes daily reference evapotranspiration using the FAO-56 PM model and real-time weather data. </w:t>
      </w:r>
    </w:p>
    <w:p w14:paraId="19A47BAE" w14:textId="77777777" w:rsidR="00B335B6" w:rsidRPr="00AA3CC6" w:rsidRDefault="00B335B6" w:rsidP="00AA3CC6">
      <w:pPr>
        <w:pStyle w:val="Heading3"/>
        <w:jc w:val="both"/>
        <w:rPr>
          <w:sz w:val="24"/>
          <w:szCs w:val="24"/>
        </w:rPr>
      </w:pPr>
      <w:r w:rsidRPr="00AA3CC6">
        <w:rPr>
          <w:sz w:val="24"/>
          <w:szCs w:val="24"/>
        </w:rPr>
        <w:t>2.0 Materials and Methods</w:t>
      </w:r>
    </w:p>
    <w:p w14:paraId="56298951"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2.1 Data Collection</w:t>
      </w:r>
    </w:p>
    <w:p w14:paraId="1285D0BB" w14:textId="77777777" w:rsidR="00B335B6" w:rsidRPr="00AA3CC6" w:rsidRDefault="00B335B6" w:rsidP="00AA3CC6">
      <w:pPr>
        <w:pStyle w:val="NormalWeb"/>
        <w:jc w:val="both"/>
      </w:pPr>
      <w:r w:rsidRPr="00AA3CC6">
        <w:t>Accurate meteorological input is essential for computing reference evapotranspiration (</w:t>
      </w:r>
      <w:proofErr w:type="spellStart"/>
      <w:r w:rsidRPr="00AA3CC6">
        <w:t>ETo</w:t>
      </w:r>
      <w:proofErr w:type="spellEnd"/>
      <w:r w:rsidRPr="00AA3CC6">
        <w:t>) using the FAO-56 Penman–Monteith (FAO-56 PM) model. The climatic variables required include mean air temperature, relative humidity, wind speed at 2 m height, and solar radiation.</w:t>
      </w:r>
    </w:p>
    <w:p w14:paraId="32A5436B" w14:textId="77777777" w:rsidR="00B335B6" w:rsidRPr="00AA3CC6" w:rsidRDefault="00B335B6" w:rsidP="00AA3CC6">
      <w:pPr>
        <w:pStyle w:val="NormalWeb"/>
        <w:jc w:val="both"/>
      </w:pPr>
      <w:r w:rsidRPr="00AA3CC6">
        <w:t xml:space="preserve">Real-time meteorological data were retrieved from the </w:t>
      </w:r>
      <w:proofErr w:type="spellStart"/>
      <w:r w:rsidRPr="00AA3CC6">
        <w:rPr>
          <w:rStyle w:val="Strong"/>
          <w:b w:val="0"/>
          <w:bCs w:val="0"/>
        </w:rPr>
        <w:t>OpenWeatherMap</w:t>
      </w:r>
      <w:proofErr w:type="spellEnd"/>
      <w:r w:rsidRPr="00AA3CC6">
        <w:rPr>
          <w:rStyle w:val="Strong"/>
          <w:b w:val="0"/>
          <w:bCs w:val="0"/>
        </w:rPr>
        <w:t xml:space="preserve"> (OWM) API</w:t>
      </w:r>
      <w:r w:rsidRPr="00AA3CC6">
        <w:t xml:space="preserve">, an open-access platform that provides gridded atmospheric data updated at hourly intervals. The </w:t>
      </w:r>
      <w:r w:rsidRPr="00AA3CC6">
        <w:rPr>
          <w:rStyle w:val="Strong"/>
          <w:b w:val="0"/>
          <w:bCs w:val="0"/>
        </w:rPr>
        <w:t>Geolocator</w:t>
      </w:r>
      <w:r w:rsidRPr="00AA3CC6">
        <w:t xml:space="preserve"> package in the Flutter SDK was employed to capture users’ geographic coordinates (latitude and longitude) automatically via the smartphone’s GPS. These coordinates were used to request site-specific climatic variables from the OWM API, ensuring that all inputs reflected the user’s current micro-climatic conditions.</w:t>
      </w:r>
    </w:p>
    <w:p w14:paraId="09181D2B" w14:textId="55891FA6" w:rsidR="00B335B6" w:rsidRPr="00AA3CC6" w:rsidRDefault="00AA3CC6" w:rsidP="00AA3CC6">
      <w:pPr>
        <w:pStyle w:val="NormalWeb"/>
        <w:jc w:val="both"/>
      </w:pPr>
      <w:r>
        <w:lastRenderedPageBreak/>
        <w:t>Before</w:t>
      </w:r>
      <w:r w:rsidR="00B335B6" w:rsidRPr="00AA3CC6">
        <w:t xml:space="preserve"> computation, all data were cleaned and formatted to conform with FAO standards (Allen et al., 1998). Missing or implausible values were flagged and replaced using linear interpolation when necessary. For the validation experiment, data were collected between </w:t>
      </w:r>
      <w:r w:rsidR="00B335B6" w:rsidRPr="00AA3CC6">
        <w:rPr>
          <w:rStyle w:val="Strong"/>
          <w:b w:val="0"/>
          <w:bCs w:val="0"/>
        </w:rPr>
        <w:t>4 and 14 April 2024</w:t>
      </w:r>
      <w:r w:rsidR="00B335B6" w:rsidRPr="00AA3CC6">
        <w:t xml:space="preserve"> for a test site located at latitude 7.39° N and longitude 3.89° E. To reduce bias from short-term diurnal sampling, the hourly meteorological data retrieved within each 24 hours were averaged to generate a </w:t>
      </w:r>
      <w:r w:rsidR="00B335B6" w:rsidRPr="00AA3CC6">
        <w:rPr>
          <w:rStyle w:val="Strong"/>
          <w:b w:val="0"/>
          <w:bCs w:val="0"/>
        </w:rPr>
        <w:t>full-day dataset</w:t>
      </w:r>
      <w:r w:rsidR="00B335B6" w:rsidRPr="00AA3CC6">
        <w:t>, ensuring temporal consistency with NASA POWER’s daily records.</w:t>
      </w:r>
    </w:p>
    <w:p w14:paraId="7D239E0F"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2.2 Algorithm Implementation</w:t>
      </w:r>
    </w:p>
    <w:p w14:paraId="164AA912" w14:textId="017CAA92" w:rsidR="00B335B6" w:rsidRPr="00AA3CC6" w:rsidRDefault="00B335B6" w:rsidP="00AA3CC6">
      <w:pPr>
        <w:spacing w:after="0" w:line="240" w:lineRule="auto"/>
        <w:jc w:val="both"/>
        <w:rPr>
          <w:rFonts w:ascii="Times New Roman" w:hAnsi="Times New Roman" w:cs="Times New Roman"/>
          <w:sz w:val="24"/>
          <w:szCs w:val="24"/>
        </w:rPr>
      </w:pPr>
      <w:r w:rsidRPr="003C33D4">
        <w:rPr>
          <w:rFonts w:ascii="Times New Roman" w:eastAsia="Times New Roman" w:hAnsi="Times New Roman" w:cs="Times New Roman"/>
          <w:color w:val="000000"/>
          <w:sz w:val="24"/>
          <w:szCs w:val="24"/>
          <w:lang w:eastAsia="en-GB"/>
        </w:rPr>
        <w:t xml:space="preserve">The FAO-56 PM model was implemented algorithmically in the Dart programming language. The governing equation is expressed as: </w:t>
      </w:r>
      <w:r w:rsidRPr="00AA3CC6">
        <w:rPr>
          <w:rFonts w:ascii="Times New Roman" w:eastAsia="Times New Roman" w:hAnsi="Times New Roman" w:cs="Times New Roman"/>
          <w:sz w:val="24"/>
          <w:szCs w:val="24"/>
          <w:lang w:eastAsia="en-GB"/>
        </w:rPr>
        <w:t xml:space="preserve"> </w:t>
      </w:r>
      <w:proofErr w:type="spellStart"/>
      <w:r w:rsidRPr="003C33D4">
        <w:rPr>
          <w:rFonts w:ascii="Times New Roman" w:eastAsia="Times New Roman" w:hAnsi="Times New Roman" w:cs="Times New Roman"/>
          <w:color w:val="000000"/>
          <w:sz w:val="24"/>
          <w:szCs w:val="24"/>
          <w:lang w:eastAsia="en-GB"/>
        </w:rPr>
        <w:t>ETo</w:t>
      </w:r>
      <w:proofErr w:type="spellEnd"/>
      <w:r w:rsidRPr="003C33D4">
        <w:rPr>
          <w:rFonts w:ascii="Times New Roman" w:eastAsia="Times New Roman" w:hAnsi="Times New Roman" w:cs="Times New Roman"/>
          <w:color w:val="000000"/>
          <w:sz w:val="24"/>
          <w:szCs w:val="24"/>
          <w:lang w:eastAsia="en-GB"/>
        </w:rPr>
        <w:t xml:space="preserve"> = [0.408Δ(Rn - G) + γ(900/(T + 273))u₂(es - </w:t>
      </w:r>
      <w:proofErr w:type="spellStart"/>
      <w:r w:rsidRPr="003C33D4">
        <w:rPr>
          <w:rFonts w:ascii="Times New Roman" w:eastAsia="Times New Roman" w:hAnsi="Times New Roman" w:cs="Times New Roman"/>
          <w:color w:val="000000"/>
          <w:sz w:val="24"/>
          <w:szCs w:val="24"/>
          <w:lang w:eastAsia="en-GB"/>
        </w:rPr>
        <w:t>ea</w:t>
      </w:r>
      <w:proofErr w:type="spellEnd"/>
      <w:r w:rsidRPr="003C33D4">
        <w:rPr>
          <w:rFonts w:ascii="Times New Roman" w:eastAsia="Times New Roman" w:hAnsi="Times New Roman" w:cs="Times New Roman"/>
          <w:color w:val="000000"/>
          <w:sz w:val="24"/>
          <w:szCs w:val="24"/>
          <w:lang w:eastAsia="en-GB"/>
        </w:rPr>
        <w:t xml:space="preserve">)] / [Δ + γ(1 + 0.34u₂)] where </w:t>
      </w:r>
      <w:proofErr w:type="spellStart"/>
      <w:r w:rsidRPr="003C33D4">
        <w:rPr>
          <w:rFonts w:ascii="Times New Roman" w:eastAsia="Times New Roman" w:hAnsi="Times New Roman" w:cs="Times New Roman"/>
          <w:color w:val="000000"/>
          <w:sz w:val="24"/>
          <w:szCs w:val="24"/>
          <w:lang w:eastAsia="en-GB"/>
        </w:rPr>
        <w:t>ETo</w:t>
      </w:r>
      <w:proofErr w:type="spellEnd"/>
      <w:r w:rsidRPr="003C33D4">
        <w:rPr>
          <w:rFonts w:ascii="Times New Roman" w:eastAsia="Times New Roman" w:hAnsi="Times New Roman" w:cs="Times New Roman"/>
          <w:color w:val="000000"/>
          <w:sz w:val="24"/>
          <w:szCs w:val="24"/>
          <w:lang w:eastAsia="en-GB"/>
        </w:rPr>
        <w:t xml:space="preserve"> (mm day⁻¹) is the reference evapotranspiration; Rₙ (MJ m⁻² day⁻¹) is net radiation; G (MJ m⁻² day⁻¹) is soil-heat flux density; T (°C) is mean air temperature; u₂ (m s⁻¹) is wind speed at 2 m;</w:t>
      </w:r>
      <w:r w:rsidR="00AA3CC6">
        <w:rPr>
          <w:rFonts w:ascii="Times New Roman" w:eastAsia="Times New Roman" w:hAnsi="Times New Roman" w:cs="Times New Roman"/>
          <w:color w:val="000000"/>
          <w:sz w:val="24"/>
          <w:szCs w:val="24"/>
          <w:lang w:eastAsia="en-GB"/>
        </w:rPr>
        <w:t xml:space="preserve"> </w:t>
      </w:r>
      <w:r w:rsidRPr="003C33D4">
        <w:rPr>
          <w:rFonts w:ascii="Times New Roman" w:eastAsia="Times New Roman" w:hAnsi="Times New Roman" w:cs="Times New Roman"/>
          <w:color w:val="000000"/>
          <w:sz w:val="24"/>
          <w:szCs w:val="24"/>
          <w:lang w:eastAsia="en-GB"/>
        </w:rPr>
        <w:t xml:space="preserve">eₛ and eₐ (kPa) are saturation and actual vapour pressures; Δ (kPa °C⁻¹) is the slope of the saturation-vapour-pressure curve; and γ (kPa °C⁻¹) is the psychrometric constant (Allen et al., 1998). Auxiliary functions were created to calculate eₛ, eₐ, and Δ using temperature extremes, while modular programming ensured readability and reusability. Each computational block was independently verified </w:t>
      </w:r>
      <w:r w:rsidRPr="00AA3CC6">
        <w:rPr>
          <w:rFonts w:ascii="Times New Roman" w:eastAsia="Times New Roman" w:hAnsi="Times New Roman" w:cs="Times New Roman"/>
          <w:color w:val="000000"/>
          <w:sz w:val="24"/>
          <w:szCs w:val="24"/>
          <w:lang w:eastAsia="en-GB"/>
        </w:rPr>
        <w:t xml:space="preserve">against the FAO </w:t>
      </w:r>
      <w:proofErr w:type="spellStart"/>
      <w:r w:rsidRPr="00AA3CC6">
        <w:rPr>
          <w:rFonts w:ascii="Times New Roman" w:eastAsia="Times New Roman" w:hAnsi="Times New Roman" w:cs="Times New Roman"/>
          <w:color w:val="000000"/>
          <w:sz w:val="24"/>
          <w:szCs w:val="24"/>
          <w:lang w:eastAsia="en-GB"/>
        </w:rPr>
        <w:t>ETo</w:t>
      </w:r>
      <w:proofErr w:type="spellEnd"/>
      <w:r w:rsidRPr="00AA3CC6">
        <w:rPr>
          <w:rFonts w:ascii="Times New Roman" w:eastAsia="Times New Roman" w:hAnsi="Times New Roman" w:cs="Times New Roman"/>
          <w:color w:val="000000"/>
          <w:sz w:val="24"/>
          <w:szCs w:val="24"/>
          <w:lang w:eastAsia="en-GB"/>
        </w:rPr>
        <w:t xml:space="preserve"> Calculator and pyfao56 benchmark library (Thorp, 2022)</w:t>
      </w:r>
    </w:p>
    <w:p w14:paraId="13C0902D"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2.3 Application Development</w:t>
      </w:r>
    </w:p>
    <w:p w14:paraId="6EFC9EE9" w14:textId="0A00802A" w:rsidR="00B335B6" w:rsidRPr="00AA3CC6" w:rsidRDefault="00B335B6" w:rsidP="00AA3CC6">
      <w:pPr>
        <w:pStyle w:val="NormalWeb"/>
        <w:jc w:val="both"/>
      </w:pPr>
      <w:r w:rsidRPr="00AA3CC6">
        <w:t xml:space="preserve">The Android application was developed using the </w:t>
      </w:r>
      <w:r w:rsidRPr="00AA3CC6">
        <w:rPr>
          <w:rStyle w:val="Strong"/>
          <w:b w:val="0"/>
          <w:bCs w:val="0"/>
        </w:rPr>
        <w:t>Flutter framework</w:t>
      </w:r>
      <w:r w:rsidRPr="00AA3CC6">
        <w:t xml:space="preserve">, selected for its high rendering performance and cross-platform flexibility. The </w:t>
      </w:r>
      <w:r w:rsidRPr="00AA3CC6">
        <w:rPr>
          <w:rStyle w:val="Strong"/>
          <w:b w:val="0"/>
          <w:bCs w:val="0"/>
        </w:rPr>
        <w:t>frontend interface</w:t>
      </w:r>
      <w:r w:rsidRPr="00AA3CC6">
        <w:t xml:space="preserve"> was designed to be intuitive, displaying meteorological variables and computed </w:t>
      </w:r>
      <w:proofErr w:type="spellStart"/>
      <w:r w:rsidRPr="00AA3CC6">
        <w:t>ETo</w:t>
      </w:r>
      <w:proofErr w:type="spellEnd"/>
      <w:r w:rsidRPr="00AA3CC6">
        <w:t xml:space="preserve"> without requiring manual data entry. The </w:t>
      </w:r>
      <w:r w:rsidRPr="00AA3CC6">
        <w:rPr>
          <w:rStyle w:val="Strong"/>
          <w:b w:val="0"/>
          <w:bCs w:val="0"/>
        </w:rPr>
        <w:t>backend engine</w:t>
      </w:r>
      <w:r w:rsidRPr="00AA3CC6">
        <w:t xml:space="preserve"> integrated the FAO-56 PM functions with the OWM API to retrieve, </w:t>
      </w:r>
      <w:proofErr w:type="spellStart"/>
      <w:r w:rsidRPr="00AA3CC6">
        <w:t>preprocess</w:t>
      </w:r>
      <w:proofErr w:type="spellEnd"/>
      <w:r w:rsidRPr="00AA3CC6">
        <w:t>, and process meteorological data automatically.</w:t>
      </w:r>
      <w:r w:rsidR="00AA3CC6">
        <w:t xml:space="preserve"> </w:t>
      </w:r>
      <w:r w:rsidRPr="00AA3CC6">
        <w:t xml:space="preserve">Version control and collaborative development were maintained through </w:t>
      </w:r>
      <w:r w:rsidRPr="00AA3CC6">
        <w:rPr>
          <w:rStyle w:val="Strong"/>
          <w:b w:val="0"/>
          <w:bCs w:val="0"/>
        </w:rPr>
        <w:t>GitHub</w:t>
      </w:r>
      <w:r w:rsidRPr="00AA3CC6">
        <w:t>, which ensured iterative documentation and traceable code modification (Maldonado et al., 2019). The application architecture followed a Model–View–Controller (MVC) paradigm for scalability and ease of maintenance.</w:t>
      </w:r>
    </w:p>
    <w:p w14:paraId="6C694169" w14:textId="77777777" w:rsidR="00B335B6" w:rsidRPr="00AA3CC6" w:rsidRDefault="00B335B6" w:rsidP="00AA3CC6">
      <w:pPr>
        <w:pStyle w:val="Heading4"/>
        <w:jc w:val="both"/>
        <w:rPr>
          <w:rFonts w:ascii="Times New Roman" w:hAnsi="Times New Roman" w:cs="Times New Roman"/>
          <w:b/>
          <w:bCs/>
          <w:i w:val="0"/>
          <w:iCs w:val="0"/>
          <w:color w:val="auto"/>
          <w:sz w:val="24"/>
          <w:szCs w:val="24"/>
        </w:rPr>
      </w:pPr>
      <w:r w:rsidRPr="00AA3CC6">
        <w:rPr>
          <w:rFonts w:ascii="Times New Roman" w:hAnsi="Times New Roman" w:cs="Times New Roman"/>
          <w:b/>
          <w:bCs/>
          <w:i w:val="0"/>
          <w:iCs w:val="0"/>
          <w:color w:val="auto"/>
          <w:sz w:val="24"/>
          <w:szCs w:val="24"/>
        </w:rPr>
        <w:t>2.4 Testing and Validation</w:t>
      </w:r>
    </w:p>
    <w:p w14:paraId="1CFF4139" w14:textId="77777777" w:rsidR="00B335B6" w:rsidRPr="00AA3CC6" w:rsidRDefault="00B335B6" w:rsidP="00AA3CC6">
      <w:pPr>
        <w:pStyle w:val="NormalWeb"/>
        <w:jc w:val="both"/>
      </w:pPr>
      <w:r w:rsidRPr="00AA3CC6">
        <w:t xml:space="preserve">Validation of the developed algorithm involved comparing daily </w:t>
      </w:r>
      <w:proofErr w:type="spellStart"/>
      <w:r w:rsidRPr="00AA3CC6">
        <w:t>ETo</w:t>
      </w:r>
      <w:proofErr w:type="spellEnd"/>
      <w:r w:rsidRPr="00AA3CC6">
        <w:t xml:space="preserve"> estimates from the application with corresponding values derived from the </w:t>
      </w:r>
      <w:r w:rsidRPr="00AA3CC6">
        <w:rPr>
          <w:rStyle w:val="Strong"/>
          <w:b w:val="0"/>
          <w:bCs w:val="0"/>
        </w:rPr>
        <w:t>NASA Prediction of Worldwide Energy Resources (POWER)</w:t>
      </w:r>
      <w:r w:rsidRPr="00AA3CC6">
        <w:t xml:space="preserve"> database, which also implements the FAO-56 PM formulation (</w:t>
      </w:r>
      <w:proofErr w:type="spellStart"/>
      <w:r w:rsidRPr="00AA3CC6">
        <w:t>Mecikalski</w:t>
      </w:r>
      <w:proofErr w:type="spellEnd"/>
      <w:r w:rsidRPr="00AA3CC6">
        <w:t xml:space="preserve"> et al., 2018). Both datasets covered the same 24-hour periods to eliminate temporal-resolution bias.</w:t>
      </w:r>
    </w:p>
    <w:p w14:paraId="512117D4" w14:textId="1FEF9B74" w:rsidR="00B335B6" w:rsidRPr="00AA3CC6" w:rsidRDefault="00B335B6" w:rsidP="00AA3CC6">
      <w:pPr>
        <w:pStyle w:val="NormalWeb"/>
        <w:jc w:val="both"/>
      </w:pPr>
      <w:r w:rsidRPr="00AA3CC6">
        <w:t xml:space="preserve">To quantify any residual bias, </w:t>
      </w:r>
      <w:proofErr w:type="spellStart"/>
      <w:r w:rsidRPr="00AA3CC6">
        <w:t>ETo</w:t>
      </w:r>
      <w:proofErr w:type="spellEnd"/>
      <w:r w:rsidRPr="00AA3CC6">
        <w:t xml:space="preserve"> was additionally computed from the app’s original five-hour data window and compared with the full-day average. The mean difference was </w:t>
      </w:r>
      <w:r w:rsidRPr="00AA3CC6">
        <w:rPr>
          <w:rStyle w:val="Strong"/>
          <w:b w:val="0"/>
          <w:bCs w:val="0"/>
        </w:rPr>
        <w:t>0.12 mm day⁻¹ (≈ 3.8 %)</w:t>
      </w:r>
      <w:r w:rsidRPr="00AA3CC6">
        <w:t>, confirming that the original short-duration readings would have produced only minor overestimation—well within acceptable limits reported in similar validation studies (Cunha et al., 2021; Fei-</w:t>
      </w:r>
      <w:proofErr w:type="spellStart"/>
      <w:r w:rsidRPr="00AA3CC6">
        <w:t>Baffoe</w:t>
      </w:r>
      <w:proofErr w:type="spellEnd"/>
      <w:r w:rsidRPr="00AA3CC6">
        <w:t xml:space="preserve"> et al., 2024).</w:t>
      </w:r>
      <w:r w:rsidR="00AA3CC6">
        <w:t xml:space="preserve"> </w:t>
      </w:r>
      <w:r w:rsidRPr="00AA3CC6">
        <w:t xml:space="preserve">Statistical validation included computation of </w:t>
      </w:r>
      <w:r w:rsidRPr="00AA3CC6">
        <w:rPr>
          <w:rStyle w:val="Strong"/>
          <w:b w:val="0"/>
          <w:bCs w:val="0"/>
        </w:rPr>
        <w:t>Pearson’s correlation coefficient (r)</w:t>
      </w:r>
      <w:r w:rsidRPr="00AA3CC6">
        <w:t xml:space="preserve"> and the </w:t>
      </w:r>
      <w:r w:rsidRPr="00AA3CC6">
        <w:rPr>
          <w:rStyle w:val="Strong"/>
          <w:b w:val="0"/>
          <w:bCs w:val="0"/>
        </w:rPr>
        <w:t>coefficient of determination (R²)</w:t>
      </w:r>
      <w:r w:rsidRPr="00AA3CC6">
        <w:t xml:space="preserve"> to evaluate agreement between the app and NASA POWER outputs. Additional descriptive statistics were generated to assess mean bias, standard deviation, and root-mean-square error (RMSE). All analyses were performed in </w:t>
      </w:r>
      <w:r w:rsidRPr="00AA3CC6">
        <w:rPr>
          <w:rStyle w:val="Strong"/>
          <w:b w:val="0"/>
          <w:bCs w:val="0"/>
        </w:rPr>
        <w:t>SPSS v27</w:t>
      </w:r>
      <w:r w:rsidRPr="00AA3CC6">
        <w:t xml:space="preserve"> and </w:t>
      </w:r>
      <w:r w:rsidRPr="00AA3CC6">
        <w:rPr>
          <w:rStyle w:val="Strong"/>
          <w:b w:val="0"/>
          <w:bCs w:val="0"/>
        </w:rPr>
        <w:t>Microsoft Excel 2019</w:t>
      </w:r>
      <w:r w:rsidRPr="00AA3CC6">
        <w:t>, ensuring reproducibility.</w:t>
      </w:r>
    </w:p>
    <w:p w14:paraId="27571E5E" w14:textId="6C9BC43E" w:rsidR="00DF7DEC" w:rsidRPr="00AA3CC6" w:rsidRDefault="00DF7DEC" w:rsidP="00AA3CC6">
      <w:pPr>
        <w:jc w:val="both"/>
        <w:rPr>
          <w:rFonts w:ascii="Times New Roman" w:hAnsi="Times New Roman" w:cs="Times New Roman"/>
          <w:sz w:val="24"/>
          <w:szCs w:val="24"/>
        </w:rPr>
      </w:pPr>
    </w:p>
    <w:p w14:paraId="661893B1" w14:textId="5B2A7772" w:rsidR="00B335B6" w:rsidRPr="00AA3CC6" w:rsidRDefault="00B335B6" w:rsidP="00AA3CC6">
      <w:pPr>
        <w:pStyle w:val="Heading3"/>
        <w:jc w:val="both"/>
        <w:rPr>
          <w:rStyle w:val="Strong"/>
          <w:b/>
          <w:bCs/>
          <w:sz w:val="24"/>
          <w:szCs w:val="24"/>
        </w:rPr>
      </w:pPr>
      <w:r w:rsidRPr="00AA3CC6">
        <w:rPr>
          <w:rStyle w:val="Strong"/>
          <w:b/>
          <w:bCs/>
          <w:sz w:val="24"/>
          <w:szCs w:val="24"/>
        </w:rPr>
        <w:lastRenderedPageBreak/>
        <w:t>3.0 Results and Discussion</w:t>
      </w:r>
    </w:p>
    <w:p w14:paraId="07353D7F" w14:textId="1BFD8299" w:rsidR="00B335B6" w:rsidRPr="00AA3CC6" w:rsidRDefault="00B335B6" w:rsidP="00AA3CC6">
      <w:pPr>
        <w:pStyle w:val="Heading3"/>
        <w:jc w:val="both"/>
        <w:rPr>
          <w:rStyle w:val="Strong"/>
          <w:b/>
          <w:bCs/>
          <w:sz w:val="24"/>
          <w:szCs w:val="24"/>
        </w:rPr>
      </w:pPr>
      <w:r w:rsidRPr="00AA3CC6">
        <w:rPr>
          <w:rStyle w:val="Strong"/>
          <w:b/>
          <w:bCs/>
          <w:sz w:val="24"/>
          <w:szCs w:val="24"/>
        </w:rPr>
        <w:t xml:space="preserve">3.1 Results </w:t>
      </w:r>
    </w:p>
    <w:p w14:paraId="6787E15A" w14:textId="239F135A" w:rsidR="00860843" w:rsidRPr="00AA3CC6" w:rsidRDefault="00860843" w:rsidP="00AA3CC6">
      <w:pPr>
        <w:pStyle w:val="Heading3"/>
        <w:jc w:val="both"/>
        <w:rPr>
          <w:b w:val="0"/>
          <w:bCs w:val="0"/>
          <w:sz w:val="24"/>
          <w:szCs w:val="24"/>
        </w:rPr>
      </w:pPr>
      <w:r w:rsidRPr="00AA3CC6">
        <w:rPr>
          <w:b w:val="0"/>
          <w:bCs w:val="0"/>
          <w:sz w:val="24"/>
          <w:szCs w:val="24"/>
        </w:rPr>
        <w:t xml:space="preserve">This table compares 24-hour mean air temperatures obtained from the developed Flutter-based application and the NASA POWER dataset for 11 consecutive days (April 4–14, 2024). The results show strong agreement, with a small positive bias of +0.35 °C. The close alignment (R² = 0.87) confirms that the </w:t>
      </w:r>
      <w:proofErr w:type="spellStart"/>
      <w:r w:rsidRPr="00AA3CC6">
        <w:rPr>
          <w:b w:val="0"/>
          <w:bCs w:val="0"/>
          <w:sz w:val="24"/>
          <w:szCs w:val="24"/>
        </w:rPr>
        <w:t>OpenWeatherMap</w:t>
      </w:r>
      <w:proofErr w:type="spellEnd"/>
      <w:r w:rsidRPr="00AA3CC6">
        <w:rPr>
          <w:b w:val="0"/>
          <w:bCs w:val="0"/>
          <w:sz w:val="24"/>
          <w:szCs w:val="24"/>
        </w:rPr>
        <w:t xml:space="preserve"> API provides reliable temperature readings when averaged over a full diurnal cycle.</w:t>
      </w:r>
    </w:p>
    <w:p w14:paraId="2574AA84"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1. Mean daily temperature comparison between the developed app and NASA POWER parameters (April 4–14, 2024)</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221"/>
        <w:gridCol w:w="1756"/>
        <w:gridCol w:w="2268"/>
        <w:gridCol w:w="1985"/>
        <w:gridCol w:w="2126"/>
      </w:tblGrid>
      <w:tr w:rsidR="00B335B6" w:rsidRPr="00B335B6" w14:paraId="3B6DCFA6" w14:textId="77777777" w:rsidTr="00B335B6">
        <w:trPr>
          <w:tblHeader/>
          <w:tblCellSpacing w:w="15" w:type="dxa"/>
        </w:trPr>
        <w:tc>
          <w:tcPr>
            <w:tcW w:w="0" w:type="auto"/>
            <w:vAlign w:val="center"/>
            <w:hideMark/>
          </w:tcPr>
          <w:p w14:paraId="07BE4F44"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S/N</w:t>
            </w:r>
          </w:p>
        </w:tc>
        <w:tc>
          <w:tcPr>
            <w:tcW w:w="1726" w:type="dxa"/>
            <w:vAlign w:val="center"/>
            <w:hideMark/>
          </w:tcPr>
          <w:p w14:paraId="2AF397DB"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2238" w:type="dxa"/>
            <w:vAlign w:val="center"/>
            <w:hideMark/>
          </w:tcPr>
          <w:p w14:paraId="5E157038"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NASA </w:t>
            </w:r>
            <w:proofErr w:type="spellStart"/>
            <w:r w:rsidRPr="00B335B6">
              <w:rPr>
                <w:rFonts w:ascii="Times New Roman" w:eastAsia="Times New Roman" w:hAnsi="Times New Roman" w:cs="Times New Roman"/>
                <w:b/>
                <w:bCs/>
                <w:sz w:val="24"/>
                <w:szCs w:val="24"/>
                <w:lang w:eastAsia="en-GB"/>
              </w:rPr>
              <w:t>Tmean</w:t>
            </w:r>
            <w:proofErr w:type="spellEnd"/>
            <w:r w:rsidRPr="00B335B6">
              <w:rPr>
                <w:rFonts w:ascii="Times New Roman" w:eastAsia="Times New Roman" w:hAnsi="Times New Roman" w:cs="Times New Roman"/>
                <w:b/>
                <w:bCs/>
                <w:sz w:val="24"/>
                <w:szCs w:val="24"/>
                <w:lang w:eastAsia="en-GB"/>
              </w:rPr>
              <w:t xml:space="preserve"> (°C)</w:t>
            </w:r>
          </w:p>
        </w:tc>
        <w:tc>
          <w:tcPr>
            <w:tcW w:w="1955" w:type="dxa"/>
            <w:vAlign w:val="center"/>
            <w:hideMark/>
          </w:tcPr>
          <w:p w14:paraId="777EEF01"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App </w:t>
            </w:r>
            <w:proofErr w:type="spellStart"/>
            <w:r w:rsidRPr="00B335B6">
              <w:rPr>
                <w:rFonts w:ascii="Times New Roman" w:eastAsia="Times New Roman" w:hAnsi="Times New Roman" w:cs="Times New Roman"/>
                <w:b/>
                <w:bCs/>
                <w:sz w:val="24"/>
                <w:szCs w:val="24"/>
                <w:lang w:eastAsia="en-GB"/>
              </w:rPr>
              <w:t>Tmean</w:t>
            </w:r>
            <w:proofErr w:type="spellEnd"/>
            <w:r w:rsidRPr="00B335B6">
              <w:rPr>
                <w:rFonts w:ascii="Times New Roman" w:eastAsia="Times New Roman" w:hAnsi="Times New Roman" w:cs="Times New Roman"/>
                <w:b/>
                <w:bCs/>
                <w:sz w:val="24"/>
                <w:szCs w:val="24"/>
                <w:lang w:eastAsia="en-GB"/>
              </w:rPr>
              <w:t xml:space="preserve"> (°C)</w:t>
            </w:r>
          </w:p>
        </w:tc>
        <w:tc>
          <w:tcPr>
            <w:tcW w:w="2081" w:type="dxa"/>
            <w:vAlign w:val="center"/>
            <w:hideMark/>
          </w:tcPr>
          <w:p w14:paraId="5BA3F152"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(°C)</w:t>
            </w:r>
          </w:p>
        </w:tc>
      </w:tr>
      <w:tr w:rsidR="00B335B6" w:rsidRPr="00B335B6" w14:paraId="378C2831" w14:textId="77777777" w:rsidTr="00B335B6">
        <w:trPr>
          <w:tblCellSpacing w:w="15" w:type="dxa"/>
        </w:trPr>
        <w:tc>
          <w:tcPr>
            <w:tcW w:w="0" w:type="auto"/>
            <w:vAlign w:val="center"/>
            <w:hideMark/>
          </w:tcPr>
          <w:p w14:paraId="7EC3EC9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1726" w:type="dxa"/>
            <w:vAlign w:val="center"/>
            <w:hideMark/>
          </w:tcPr>
          <w:p w14:paraId="3D59570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2238" w:type="dxa"/>
            <w:vAlign w:val="center"/>
            <w:hideMark/>
          </w:tcPr>
          <w:p w14:paraId="276C2AC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31.10</w:t>
            </w:r>
          </w:p>
        </w:tc>
        <w:tc>
          <w:tcPr>
            <w:tcW w:w="1955" w:type="dxa"/>
            <w:vAlign w:val="center"/>
            <w:hideMark/>
          </w:tcPr>
          <w:p w14:paraId="7BB173C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31.60</w:t>
            </w:r>
          </w:p>
        </w:tc>
        <w:tc>
          <w:tcPr>
            <w:tcW w:w="2081" w:type="dxa"/>
            <w:vAlign w:val="center"/>
            <w:hideMark/>
          </w:tcPr>
          <w:p w14:paraId="61B3533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w:t>
            </w:r>
          </w:p>
        </w:tc>
      </w:tr>
      <w:tr w:rsidR="00B335B6" w:rsidRPr="00B335B6" w14:paraId="542F1C1B" w14:textId="77777777" w:rsidTr="00B335B6">
        <w:trPr>
          <w:tblCellSpacing w:w="15" w:type="dxa"/>
        </w:trPr>
        <w:tc>
          <w:tcPr>
            <w:tcW w:w="0" w:type="auto"/>
            <w:vAlign w:val="center"/>
            <w:hideMark/>
          </w:tcPr>
          <w:p w14:paraId="16EEB70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1726" w:type="dxa"/>
            <w:vAlign w:val="center"/>
            <w:hideMark/>
          </w:tcPr>
          <w:p w14:paraId="5EEFFE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2238" w:type="dxa"/>
            <w:vAlign w:val="center"/>
            <w:hideMark/>
          </w:tcPr>
          <w:p w14:paraId="380DE87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31.62</w:t>
            </w:r>
          </w:p>
        </w:tc>
        <w:tc>
          <w:tcPr>
            <w:tcW w:w="1955" w:type="dxa"/>
            <w:vAlign w:val="center"/>
            <w:hideMark/>
          </w:tcPr>
          <w:p w14:paraId="089C04B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31.90</w:t>
            </w:r>
          </w:p>
        </w:tc>
        <w:tc>
          <w:tcPr>
            <w:tcW w:w="2081" w:type="dxa"/>
            <w:vAlign w:val="center"/>
            <w:hideMark/>
          </w:tcPr>
          <w:p w14:paraId="646D67A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+0.28</w:t>
            </w:r>
          </w:p>
        </w:tc>
      </w:tr>
      <w:tr w:rsidR="00B335B6" w:rsidRPr="00B335B6" w14:paraId="55E5B619" w14:textId="77777777" w:rsidTr="00B335B6">
        <w:trPr>
          <w:tblCellSpacing w:w="15" w:type="dxa"/>
        </w:trPr>
        <w:tc>
          <w:tcPr>
            <w:tcW w:w="0" w:type="auto"/>
            <w:vAlign w:val="center"/>
            <w:hideMark/>
          </w:tcPr>
          <w:p w14:paraId="2E5623D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1726" w:type="dxa"/>
            <w:vAlign w:val="center"/>
            <w:hideMark/>
          </w:tcPr>
          <w:p w14:paraId="39AA5F8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2238" w:type="dxa"/>
            <w:vAlign w:val="center"/>
            <w:hideMark/>
          </w:tcPr>
          <w:p w14:paraId="582079A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30.01</w:t>
            </w:r>
          </w:p>
        </w:tc>
        <w:tc>
          <w:tcPr>
            <w:tcW w:w="1955" w:type="dxa"/>
            <w:vAlign w:val="center"/>
            <w:hideMark/>
          </w:tcPr>
          <w:p w14:paraId="70E7651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30.40</w:t>
            </w:r>
          </w:p>
        </w:tc>
        <w:tc>
          <w:tcPr>
            <w:tcW w:w="2081" w:type="dxa"/>
            <w:vAlign w:val="center"/>
            <w:hideMark/>
          </w:tcPr>
          <w:p w14:paraId="781EEFE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+0.39</w:t>
            </w:r>
          </w:p>
        </w:tc>
      </w:tr>
      <w:tr w:rsidR="00B335B6" w:rsidRPr="00B335B6" w14:paraId="026D1CA9" w14:textId="77777777" w:rsidTr="00B335B6">
        <w:trPr>
          <w:tblCellSpacing w:w="15" w:type="dxa"/>
        </w:trPr>
        <w:tc>
          <w:tcPr>
            <w:tcW w:w="0" w:type="auto"/>
            <w:vAlign w:val="center"/>
            <w:hideMark/>
          </w:tcPr>
          <w:p w14:paraId="6887C6C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1726" w:type="dxa"/>
            <w:vAlign w:val="center"/>
            <w:hideMark/>
          </w:tcPr>
          <w:p w14:paraId="3BE2B1F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2238" w:type="dxa"/>
            <w:vAlign w:val="center"/>
            <w:hideMark/>
          </w:tcPr>
          <w:p w14:paraId="02D318F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31.13</w:t>
            </w:r>
          </w:p>
        </w:tc>
        <w:tc>
          <w:tcPr>
            <w:tcW w:w="1955" w:type="dxa"/>
            <w:vAlign w:val="center"/>
            <w:hideMark/>
          </w:tcPr>
          <w:p w14:paraId="7772993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31.50</w:t>
            </w:r>
          </w:p>
        </w:tc>
        <w:tc>
          <w:tcPr>
            <w:tcW w:w="2081" w:type="dxa"/>
            <w:vAlign w:val="center"/>
            <w:hideMark/>
          </w:tcPr>
          <w:p w14:paraId="026BF39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+0.37</w:t>
            </w:r>
          </w:p>
        </w:tc>
      </w:tr>
      <w:tr w:rsidR="00B335B6" w:rsidRPr="00B335B6" w14:paraId="63D701AF" w14:textId="77777777" w:rsidTr="00B335B6">
        <w:trPr>
          <w:tblCellSpacing w:w="15" w:type="dxa"/>
        </w:trPr>
        <w:tc>
          <w:tcPr>
            <w:tcW w:w="0" w:type="auto"/>
            <w:vAlign w:val="center"/>
            <w:hideMark/>
          </w:tcPr>
          <w:p w14:paraId="2EF13E5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1726" w:type="dxa"/>
            <w:vAlign w:val="center"/>
            <w:hideMark/>
          </w:tcPr>
          <w:p w14:paraId="77F149E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2238" w:type="dxa"/>
            <w:vAlign w:val="center"/>
            <w:hideMark/>
          </w:tcPr>
          <w:p w14:paraId="7EACB48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30.09</w:t>
            </w:r>
          </w:p>
        </w:tc>
        <w:tc>
          <w:tcPr>
            <w:tcW w:w="1955" w:type="dxa"/>
            <w:vAlign w:val="center"/>
            <w:hideMark/>
          </w:tcPr>
          <w:p w14:paraId="42966CE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30.50</w:t>
            </w:r>
          </w:p>
        </w:tc>
        <w:tc>
          <w:tcPr>
            <w:tcW w:w="2081" w:type="dxa"/>
            <w:vAlign w:val="center"/>
            <w:hideMark/>
          </w:tcPr>
          <w:p w14:paraId="1FDC5C8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+0.41</w:t>
            </w:r>
          </w:p>
        </w:tc>
      </w:tr>
      <w:tr w:rsidR="00B335B6" w:rsidRPr="00B335B6" w14:paraId="3A3D87D4" w14:textId="77777777" w:rsidTr="00B335B6">
        <w:trPr>
          <w:tblCellSpacing w:w="15" w:type="dxa"/>
        </w:trPr>
        <w:tc>
          <w:tcPr>
            <w:tcW w:w="0" w:type="auto"/>
            <w:vAlign w:val="center"/>
            <w:hideMark/>
          </w:tcPr>
          <w:p w14:paraId="4A68717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1726" w:type="dxa"/>
            <w:vAlign w:val="center"/>
            <w:hideMark/>
          </w:tcPr>
          <w:p w14:paraId="23D5A25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2238" w:type="dxa"/>
            <w:vAlign w:val="center"/>
            <w:hideMark/>
          </w:tcPr>
          <w:p w14:paraId="55C2DC9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31.78</w:t>
            </w:r>
          </w:p>
        </w:tc>
        <w:tc>
          <w:tcPr>
            <w:tcW w:w="1955" w:type="dxa"/>
            <w:vAlign w:val="center"/>
            <w:hideMark/>
          </w:tcPr>
          <w:p w14:paraId="2F94A08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32.00</w:t>
            </w:r>
          </w:p>
        </w:tc>
        <w:tc>
          <w:tcPr>
            <w:tcW w:w="2081" w:type="dxa"/>
            <w:vAlign w:val="center"/>
            <w:hideMark/>
          </w:tcPr>
          <w:p w14:paraId="73DE826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+0.22</w:t>
            </w:r>
          </w:p>
        </w:tc>
      </w:tr>
      <w:tr w:rsidR="00B335B6" w:rsidRPr="00B335B6" w14:paraId="61FCAD00" w14:textId="77777777" w:rsidTr="00B335B6">
        <w:trPr>
          <w:tblCellSpacing w:w="15" w:type="dxa"/>
        </w:trPr>
        <w:tc>
          <w:tcPr>
            <w:tcW w:w="0" w:type="auto"/>
            <w:vAlign w:val="center"/>
            <w:hideMark/>
          </w:tcPr>
          <w:p w14:paraId="6590A4C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w:t>
            </w:r>
          </w:p>
        </w:tc>
        <w:tc>
          <w:tcPr>
            <w:tcW w:w="1726" w:type="dxa"/>
            <w:vAlign w:val="center"/>
            <w:hideMark/>
          </w:tcPr>
          <w:p w14:paraId="790D910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2238" w:type="dxa"/>
            <w:vAlign w:val="center"/>
            <w:hideMark/>
          </w:tcPr>
          <w:p w14:paraId="1881784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32.26</w:t>
            </w:r>
          </w:p>
        </w:tc>
        <w:tc>
          <w:tcPr>
            <w:tcW w:w="1955" w:type="dxa"/>
            <w:vAlign w:val="center"/>
            <w:hideMark/>
          </w:tcPr>
          <w:p w14:paraId="39EF572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32.40</w:t>
            </w:r>
          </w:p>
        </w:tc>
        <w:tc>
          <w:tcPr>
            <w:tcW w:w="2081" w:type="dxa"/>
            <w:vAlign w:val="center"/>
            <w:hideMark/>
          </w:tcPr>
          <w:p w14:paraId="2DEFC24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+0.14</w:t>
            </w:r>
          </w:p>
        </w:tc>
      </w:tr>
      <w:tr w:rsidR="00B335B6" w:rsidRPr="00B335B6" w14:paraId="29293D3A" w14:textId="77777777" w:rsidTr="00B335B6">
        <w:trPr>
          <w:tblCellSpacing w:w="15" w:type="dxa"/>
        </w:trPr>
        <w:tc>
          <w:tcPr>
            <w:tcW w:w="0" w:type="auto"/>
            <w:vAlign w:val="center"/>
            <w:hideMark/>
          </w:tcPr>
          <w:p w14:paraId="3585D45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1726" w:type="dxa"/>
            <w:vAlign w:val="center"/>
            <w:hideMark/>
          </w:tcPr>
          <w:p w14:paraId="6A2F99F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2238" w:type="dxa"/>
            <w:vAlign w:val="center"/>
            <w:hideMark/>
          </w:tcPr>
          <w:p w14:paraId="3F3297C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30.92</w:t>
            </w:r>
          </w:p>
        </w:tc>
        <w:tc>
          <w:tcPr>
            <w:tcW w:w="1955" w:type="dxa"/>
            <w:vAlign w:val="center"/>
            <w:hideMark/>
          </w:tcPr>
          <w:p w14:paraId="12F6BC7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31.20</w:t>
            </w:r>
          </w:p>
        </w:tc>
        <w:tc>
          <w:tcPr>
            <w:tcW w:w="2081" w:type="dxa"/>
            <w:vAlign w:val="center"/>
            <w:hideMark/>
          </w:tcPr>
          <w:p w14:paraId="1EA7DF2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+0.28</w:t>
            </w:r>
          </w:p>
        </w:tc>
      </w:tr>
      <w:tr w:rsidR="00B335B6" w:rsidRPr="00B335B6" w14:paraId="53D1C22D" w14:textId="77777777" w:rsidTr="00B335B6">
        <w:trPr>
          <w:tblCellSpacing w:w="15" w:type="dxa"/>
        </w:trPr>
        <w:tc>
          <w:tcPr>
            <w:tcW w:w="0" w:type="auto"/>
            <w:vAlign w:val="center"/>
            <w:hideMark/>
          </w:tcPr>
          <w:p w14:paraId="2E1EB44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1726" w:type="dxa"/>
            <w:vAlign w:val="center"/>
            <w:hideMark/>
          </w:tcPr>
          <w:p w14:paraId="6AF722A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2238" w:type="dxa"/>
            <w:vAlign w:val="center"/>
            <w:hideMark/>
          </w:tcPr>
          <w:p w14:paraId="25F9E54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30.97</w:t>
            </w:r>
          </w:p>
        </w:tc>
        <w:tc>
          <w:tcPr>
            <w:tcW w:w="1955" w:type="dxa"/>
            <w:vAlign w:val="center"/>
            <w:hideMark/>
          </w:tcPr>
          <w:p w14:paraId="7EDD585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31.40</w:t>
            </w:r>
          </w:p>
        </w:tc>
        <w:tc>
          <w:tcPr>
            <w:tcW w:w="2081" w:type="dxa"/>
            <w:vAlign w:val="center"/>
            <w:hideMark/>
          </w:tcPr>
          <w:p w14:paraId="0C91E38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+0.43</w:t>
            </w:r>
          </w:p>
        </w:tc>
      </w:tr>
      <w:tr w:rsidR="00B335B6" w:rsidRPr="00B335B6" w14:paraId="6B3FB184" w14:textId="77777777" w:rsidTr="00B335B6">
        <w:trPr>
          <w:tblCellSpacing w:w="15" w:type="dxa"/>
        </w:trPr>
        <w:tc>
          <w:tcPr>
            <w:tcW w:w="0" w:type="auto"/>
            <w:vAlign w:val="center"/>
            <w:hideMark/>
          </w:tcPr>
          <w:p w14:paraId="31130AE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1726" w:type="dxa"/>
            <w:vAlign w:val="center"/>
            <w:hideMark/>
          </w:tcPr>
          <w:p w14:paraId="4296B9A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2238" w:type="dxa"/>
            <w:vAlign w:val="center"/>
            <w:hideMark/>
          </w:tcPr>
          <w:p w14:paraId="2B5D252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31.23</w:t>
            </w:r>
          </w:p>
        </w:tc>
        <w:tc>
          <w:tcPr>
            <w:tcW w:w="1955" w:type="dxa"/>
            <w:vAlign w:val="center"/>
            <w:hideMark/>
          </w:tcPr>
          <w:p w14:paraId="2F67B2D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31.60</w:t>
            </w:r>
          </w:p>
        </w:tc>
        <w:tc>
          <w:tcPr>
            <w:tcW w:w="2081" w:type="dxa"/>
            <w:vAlign w:val="center"/>
            <w:hideMark/>
          </w:tcPr>
          <w:p w14:paraId="3845DD1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+0.37</w:t>
            </w:r>
          </w:p>
        </w:tc>
      </w:tr>
      <w:tr w:rsidR="00B335B6" w:rsidRPr="00B335B6" w14:paraId="65DEF483" w14:textId="77777777" w:rsidTr="00B335B6">
        <w:trPr>
          <w:tblCellSpacing w:w="15" w:type="dxa"/>
        </w:trPr>
        <w:tc>
          <w:tcPr>
            <w:tcW w:w="0" w:type="auto"/>
            <w:vAlign w:val="center"/>
            <w:hideMark/>
          </w:tcPr>
          <w:p w14:paraId="0589FFF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1726" w:type="dxa"/>
            <w:vAlign w:val="center"/>
            <w:hideMark/>
          </w:tcPr>
          <w:p w14:paraId="1A2CF5C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2238" w:type="dxa"/>
            <w:vAlign w:val="center"/>
            <w:hideMark/>
          </w:tcPr>
          <w:p w14:paraId="49DEA23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32.74</w:t>
            </w:r>
          </w:p>
        </w:tc>
        <w:tc>
          <w:tcPr>
            <w:tcW w:w="1955" w:type="dxa"/>
            <w:vAlign w:val="center"/>
            <w:hideMark/>
          </w:tcPr>
          <w:p w14:paraId="7D023BF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33.10</w:t>
            </w:r>
          </w:p>
        </w:tc>
        <w:tc>
          <w:tcPr>
            <w:tcW w:w="2081" w:type="dxa"/>
            <w:vAlign w:val="center"/>
            <w:hideMark/>
          </w:tcPr>
          <w:p w14:paraId="59C496E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+0.36</w:t>
            </w:r>
          </w:p>
        </w:tc>
      </w:tr>
      <w:tr w:rsidR="00B335B6" w:rsidRPr="00B335B6" w14:paraId="678FB558" w14:textId="77777777" w:rsidTr="00B335B6">
        <w:trPr>
          <w:tblCellSpacing w:w="15" w:type="dxa"/>
        </w:trPr>
        <w:tc>
          <w:tcPr>
            <w:tcW w:w="0" w:type="auto"/>
            <w:vAlign w:val="center"/>
            <w:hideMark/>
          </w:tcPr>
          <w:p w14:paraId="35572D7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1726" w:type="dxa"/>
            <w:vAlign w:val="center"/>
            <w:hideMark/>
          </w:tcPr>
          <w:p w14:paraId="6C77187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2238" w:type="dxa"/>
            <w:vAlign w:val="center"/>
            <w:hideMark/>
          </w:tcPr>
          <w:p w14:paraId="2FF1C9C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31.17 ± 0.82</w:t>
            </w:r>
          </w:p>
        </w:tc>
        <w:tc>
          <w:tcPr>
            <w:tcW w:w="1955" w:type="dxa"/>
            <w:vAlign w:val="center"/>
            <w:hideMark/>
          </w:tcPr>
          <w:p w14:paraId="69D75EA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31.69 ± 0.77</w:t>
            </w:r>
          </w:p>
        </w:tc>
        <w:tc>
          <w:tcPr>
            <w:tcW w:w="2081" w:type="dxa"/>
            <w:vAlign w:val="center"/>
            <w:hideMark/>
          </w:tcPr>
          <w:p w14:paraId="06578B8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+0.35 ± 0.11</w:t>
            </w:r>
          </w:p>
        </w:tc>
      </w:tr>
    </w:tbl>
    <w:p w14:paraId="0F2CD6E0"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24-hour averaging reduced the previous overestimation from +2.1 °C to &lt; +0.5 °C.</w:t>
      </w:r>
    </w:p>
    <w:p w14:paraId="463C040D" w14:textId="7ED34709"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 xml:space="preserve">Table 2 presents the relative humidity (RH %) comparison between the two data sources. The app produced slightly lower daytime humidity values (−0.9 % mean bias) due to natural diurnal variation. After applying 24-hour averaging, discrepancies were reduced to &lt; 1 %, indicating that the app’s API-based data accurately captures atmospheric moisture conditions crucial for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estimation.</w:t>
      </w:r>
    </w:p>
    <w:p w14:paraId="077434CD"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2. Daily relative humidity (RH %) comparison between the developed app and NASA POWER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614"/>
        <w:gridCol w:w="1701"/>
        <w:gridCol w:w="1560"/>
        <w:gridCol w:w="2409"/>
      </w:tblGrid>
      <w:tr w:rsidR="00B335B6" w:rsidRPr="00B335B6" w14:paraId="29B87E0F" w14:textId="77777777" w:rsidTr="00B335B6">
        <w:trPr>
          <w:tblHeader/>
          <w:tblCellSpacing w:w="15" w:type="dxa"/>
        </w:trPr>
        <w:tc>
          <w:tcPr>
            <w:tcW w:w="0" w:type="auto"/>
            <w:vAlign w:val="center"/>
            <w:hideMark/>
          </w:tcPr>
          <w:p w14:paraId="101A5A4B"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S/N</w:t>
            </w:r>
          </w:p>
        </w:tc>
        <w:tc>
          <w:tcPr>
            <w:tcW w:w="1584" w:type="dxa"/>
            <w:vAlign w:val="center"/>
            <w:hideMark/>
          </w:tcPr>
          <w:p w14:paraId="5E069D1A"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1671" w:type="dxa"/>
            <w:vAlign w:val="center"/>
            <w:hideMark/>
          </w:tcPr>
          <w:p w14:paraId="3EC5CE94"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NASA RH (%)</w:t>
            </w:r>
          </w:p>
        </w:tc>
        <w:tc>
          <w:tcPr>
            <w:tcW w:w="1530" w:type="dxa"/>
            <w:vAlign w:val="center"/>
            <w:hideMark/>
          </w:tcPr>
          <w:p w14:paraId="4592DF54"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App RH (%)</w:t>
            </w:r>
          </w:p>
        </w:tc>
        <w:tc>
          <w:tcPr>
            <w:tcW w:w="2364" w:type="dxa"/>
            <w:vAlign w:val="center"/>
            <w:hideMark/>
          </w:tcPr>
          <w:p w14:paraId="2E8E7202"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w:t>
            </w:r>
          </w:p>
        </w:tc>
      </w:tr>
      <w:tr w:rsidR="00B335B6" w:rsidRPr="00B335B6" w14:paraId="1A9E9055" w14:textId="77777777" w:rsidTr="00B335B6">
        <w:trPr>
          <w:tblCellSpacing w:w="15" w:type="dxa"/>
        </w:trPr>
        <w:tc>
          <w:tcPr>
            <w:tcW w:w="0" w:type="auto"/>
            <w:vAlign w:val="center"/>
            <w:hideMark/>
          </w:tcPr>
          <w:p w14:paraId="25C8DC4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1584" w:type="dxa"/>
            <w:vAlign w:val="center"/>
            <w:hideMark/>
          </w:tcPr>
          <w:p w14:paraId="25B7F0B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1671" w:type="dxa"/>
            <w:vAlign w:val="center"/>
            <w:hideMark/>
          </w:tcPr>
          <w:p w14:paraId="1C9AF4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83.75</w:t>
            </w:r>
          </w:p>
        </w:tc>
        <w:tc>
          <w:tcPr>
            <w:tcW w:w="1530" w:type="dxa"/>
            <w:vAlign w:val="center"/>
            <w:hideMark/>
          </w:tcPr>
          <w:p w14:paraId="7F9CDFE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82.80</w:t>
            </w:r>
          </w:p>
        </w:tc>
        <w:tc>
          <w:tcPr>
            <w:tcW w:w="2364" w:type="dxa"/>
            <w:vAlign w:val="center"/>
            <w:hideMark/>
          </w:tcPr>
          <w:p w14:paraId="4047B9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−0.95</w:t>
            </w:r>
          </w:p>
        </w:tc>
      </w:tr>
      <w:tr w:rsidR="00B335B6" w:rsidRPr="00B335B6" w14:paraId="060DE262" w14:textId="77777777" w:rsidTr="00B335B6">
        <w:trPr>
          <w:tblCellSpacing w:w="15" w:type="dxa"/>
        </w:trPr>
        <w:tc>
          <w:tcPr>
            <w:tcW w:w="0" w:type="auto"/>
            <w:vAlign w:val="center"/>
            <w:hideMark/>
          </w:tcPr>
          <w:p w14:paraId="5013D02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1584" w:type="dxa"/>
            <w:vAlign w:val="center"/>
            <w:hideMark/>
          </w:tcPr>
          <w:p w14:paraId="2325B97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1671" w:type="dxa"/>
            <w:vAlign w:val="center"/>
            <w:hideMark/>
          </w:tcPr>
          <w:p w14:paraId="79480A4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84.19</w:t>
            </w:r>
          </w:p>
        </w:tc>
        <w:tc>
          <w:tcPr>
            <w:tcW w:w="1530" w:type="dxa"/>
            <w:vAlign w:val="center"/>
            <w:hideMark/>
          </w:tcPr>
          <w:p w14:paraId="5BBE302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83.50</w:t>
            </w:r>
          </w:p>
        </w:tc>
        <w:tc>
          <w:tcPr>
            <w:tcW w:w="2364" w:type="dxa"/>
            <w:vAlign w:val="center"/>
            <w:hideMark/>
          </w:tcPr>
          <w:p w14:paraId="2A4A78E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−0.69</w:t>
            </w:r>
          </w:p>
        </w:tc>
      </w:tr>
      <w:tr w:rsidR="00B335B6" w:rsidRPr="00B335B6" w14:paraId="2490E41D" w14:textId="77777777" w:rsidTr="00B335B6">
        <w:trPr>
          <w:tblCellSpacing w:w="15" w:type="dxa"/>
        </w:trPr>
        <w:tc>
          <w:tcPr>
            <w:tcW w:w="0" w:type="auto"/>
            <w:vAlign w:val="center"/>
            <w:hideMark/>
          </w:tcPr>
          <w:p w14:paraId="5DB28B9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1584" w:type="dxa"/>
            <w:vAlign w:val="center"/>
            <w:hideMark/>
          </w:tcPr>
          <w:p w14:paraId="25A2E0D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1671" w:type="dxa"/>
            <w:vAlign w:val="center"/>
            <w:hideMark/>
          </w:tcPr>
          <w:p w14:paraId="7498C45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88.06</w:t>
            </w:r>
          </w:p>
        </w:tc>
        <w:tc>
          <w:tcPr>
            <w:tcW w:w="1530" w:type="dxa"/>
            <w:vAlign w:val="center"/>
            <w:hideMark/>
          </w:tcPr>
          <w:p w14:paraId="23B2145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86.20</w:t>
            </w:r>
          </w:p>
        </w:tc>
        <w:tc>
          <w:tcPr>
            <w:tcW w:w="2364" w:type="dxa"/>
            <w:vAlign w:val="center"/>
            <w:hideMark/>
          </w:tcPr>
          <w:p w14:paraId="01C2ADC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−1.86</w:t>
            </w:r>
          </w:p>
        </w:tc>
      </w:tr>
      <w:tr w:rsidR="00B335B6" w:rsidRPr="00B335B6" w14:paraId="7A8FE2EA" w14:textId="77777777" w:rsidTr="00B335B6">
        <w:trPr>
          <w:tblCellSpacing w:w="15" w:type="dxa"/>
        </w:trPr>
        <w:tc>
          <w:tcPr>
            <w:tcW w:w="0" w:type="auto"/>
            <w:vAlign w:val="center"/>
            <w:hideMark/>
          </w:tcPr>
          <w:p w14:paraId="658BF0F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1584" w:type="dxa"/>
            <w:vAlign w:val="center"/>
            <w:hideMark/>
          </w:tcPr>
          <w:p w14:paraId="44A75E8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1671" w:type="dxa"/>
            <w:vAlign w:val="center"/>
            <w:hideMark/>
          </w:tcPr>
          <w:p w14:paraId="63E299D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83.75</w:t>
            </w:r>
          </w:p>
        </w:tc>
        <w:tc>
          <w:tcPr>
            <w:tcW w:w="1530" w:type="dxa"/>
            <w:vAlign w:val="center"/>
            <w:hideMark/>
          </w:tcPr>
          <w:p w14:paraId="0733BDE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83.00</w:t>
            </w:r>
          </w:p>
        </w:tc>
        <w:tc>
          <w:tcPr>
            <w:tcW w:w="2364" w:type="dxa"/>
            <w:vAlign w:val="center"/>
            <w:hideMark/>
          </w:tcPr>
          <w:p w14:paraId="6709B5C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−0.75</w:t>
            </w:r>
          </w:p>
        </w:tc>
      </w:tr>
      <w:tr w:rsidR="00B335B6" w:rsidRPr="00B335B6" w14:paraId="53244250" w14:textId="77777777" w:rsidTr="00B335B6">
        <w:trPr>
          <w:tblCellSpacing w:w="15" w:type="dxa"/>
        </w:trPr>
        <w:tc>
          <w:tcPr>
            <w:tcW w:w="0" w:type="auto"/>
            <w:vAlign w:val="center"/>
            <w:hideMark/>
          </w:tcPr>
          <w:p w14:paraId="7D0137B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1584" w:type="dxa"/>
            <w:vAlign w:val="center"/>
            <w:hideMark/>
          </w:tcPr>
          <w:p w14:paraId="32C392D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1671" w:type="dxa"/>
            <w:vAlign w:val="center"/>
            <w:hideMark/>
          </w:tcPr>
          <w:p w14:paraId="13E52BD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86.06</w:t>
            </w:r>
          </w:p>
        </w:tc>
        <w:tc>
          <w:tcPr>
            <w:tcW w:w="1530" w:type="dxa"/>
            <w:vAlign w:val="center"/>
            <w:hideMark/>
          </w:tcPr>
          <w:p w14:paraId="59CF492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85.00</w:t>
            </w:r>
          </w:p>
        </w:tc>
        <w:tc>
          <w:tcPr>
            <w:tcW w:w="2364" w:type="dxa"/>
            <w:vAlign w:val="center"/>
            <w:hideMark/>
          </w:tcPr>
          <w:p w14:paraId="0036D8B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−1.06</w:t>
            </w:r>
          </w:p>
        </w:tc>
      </w:tr>
      <w:tr w:rsidR="00B335B6" w:rsidRPr="00B335B6" w14:paraId="1167EF5E" w14:textId="77777777" w:rsidTr="00B335B6">
        <w:trPr>
          <w:tblCellSpacing w:w="15" w:type="dxa"/>
        </w:trPr>
        <w:tc>
          <w:tcPr>
            <w:tcW w:w="0" w:type="auto"/>
            <w:vAlign w:val="center"/>
            <w:hideMark/>
          </w:tcPr>
          <w:p w14:paraId="3110D77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1584" w:type="dxa"/>
            <w:vAlign w:val="center"/>
            <w:hideMark/>
          </w:tcPr>
          <w:p w14:paraId="6E28029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1671" w:type="dxa"/>
            <w:vAlign w:val="center"/>
            <w:hideMark/>
          </w:tcPr>
          <w:p w14:paraId="0FF86AC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81.12</w:t>
            </w:r>
          </w:p>
        </w:tc>
        <w:tc>
          <w:tcPr>
            <w:tcW w:w="1530" w:type="dxa"/>
            <w:vAlign w:val="center"/>
            <w:hideMark/>
          </w:tcPr>
          <w:p w14:paraId="4825C50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80.40</w:t>
            </w:r>
          </w:p>
        </w:tc>
        <w:tc>
          <w:tcPr>
            <w:tcW w:w="2364" w:type="dxa"/>
            <w:vAlign w:val="center"/>
            <w:hideMark/>
          </w:tcPr>
          <w:p w14:paraId="6C04DB8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−0.72</w:t>
            </w:r>
          </w:p>
        </w:tc>
      </w:tr>
      <w:tr w:rsidR="00B335B6" w:rsidRPr="00B335B6" w14:paraId="4769978A" w14:textId="77777777" w:rsidTr="00B335B6">
        <w:trPr>
          <w:tblCellSpacing w:w="15" w:type="dxa"/>
        </w:trPr>
        <w:tc>
          <w:tcPr>
            <w:tcW w:w="0" w:type="auto"/>
            <w:vAlign w:val="center"/>
            <w:hideMark/>
          </w:tcPr>
          <w:p w14:paraId="5B56AAB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lastRenderedPageBreak/>
              <w:t>7</w:t>
            </w:r>
          </w:p>
        </w:tc>
        <w:tc>
          <w:tcPr>
            <w:tcW w:w="1584" w:type="dxa"/>
            <w:vAlign w:val="center"/>
            <w:hideMark/>
          </w:tcPr>
          <w:p w14:paraId="26DFDF7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1671" w:type="dxa"/>
            <w:vAlign w:val="center"/>
            <w:hideMark/>
          </w:tcPr>
          <w:p w14:paraId="758D69F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81.06</w:t>
            </w:r>
          </w:p>
        </w:tc>
        <w:tc>
          <w:tcPr>
            <w:tcW w:w="1530" w:type="dxa"/>
            <w:vAlign w:val="center"/>
            <w:hideMark/>
          </w:tcPr>
          <w:p w14:paraId="4D2630D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80.30</w:t>
            </w:r>
          </w:p>
        </w:tc>
        <w:tc>
          <w:tcPr>
            <w:tcW w:w="2364" w:type="dxa"/>
            <w:vAlign w:val="center"/>
            <w:hideMark/>
          </w:tcPr>
          <w:p w14:paraId="4D2CB6B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−0.76</w:t>
            </w:r>
          </w:p>
        </w:tc>
      </w:tr>
      <w:tr w:rsidR="00B335B6" w:rsidRPr="00B335B6" w14:paraId="10CC0E20" w14:textId="77777777" w:rsidTr="00B335B6">
        <w:trPr>
          <w:tblCellSpacing w:w="15" w:type="dxa"/>
        </w:trPr>
        <w:tc>
          <w:tcPr>
            <w:tcW w:w="0" w:type="auto"/>
            <w:vAlign w:val="center"/>
            <w:hideMark/>
          </w:tcPr>
          <w:p w14:paraId="38E770E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1584" w:type="dxa"/>
            <w:vAlign w:val="center"/>
            <w:hideMark/>
          </w:tcPr>
          <w:p w14:paraId="21E3641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1671" w:type="dxa"/>
            <w:vAlign w:val="center"/>
            <w:hideMark/>
          </w:tcPr>
          <w:p w14:paraId="2B83070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82.62</w:t>
            </w:r>
          </w:p>
        </w:tc>
        <w:tc>
          <w:tcPr>
            <w:tcW w:w="1530" w:type="dxa"/>
            <w:vAlign w:val="center"/>
            <w:hideMark/>
          </w:tcPr>
          <w:p w14:paraId="5CB1F82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81.70</w:t>
            </w:r>
          </w:p>
        </w:tc>
        <w:tc>
          <w:tcPr>
            <w:tcW w:w="2364" w:type="dxa"/>
            <w:vAlign w:val="center"/>
            <w:hideMark/>
          </w:tcPr>
          <w:p w14:paraId="328AC59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−0.92</w:t>
            </w:r>
          </w:p>
        </w:tc>
      </w:tr>
      <w:tr w:rsidR="00B335B6" w:rsidRPr="00B335B6" w14:paraId="75CB41C1" w14:textId="77777777" w:rsidTr="00B335B6">
        <w:trPr>
          <w:tblCellSpacing w:w="15" w:type="dxa"/>
        </w:trPr>
        <w:tc>
          <w:tcPr>
            <w:tcW w:w="0" w:type="auto"/>
            <w:vAlign w:val="center"/>
            <w:hideMark/>
          </w:tcPr>
          <w:p w14:paraId="7F469F4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1584" w:type="dxa"/>
            <w:vAlign w:val="center"/>
            <w:hideMark/>
          </w:tcPr>
          <w:p w14:paraId="5359C68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1671" w:type="dxa"/>
            <w:vAlign w:val="center"/>
            <w:hideMark/>
          </w:tcPr>
          <w:p w14:paraId="3622119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82.44</w:t>
            </w:r>
          </w:p>
        </w:tc>
        <w:tc>
          <w:tcPr>
            <w:tcW w:w="1530" w:type="dxa"/>
            <w:vAlign w:val="center"/>
            <w:hideMark/>
          </w:tcPr>
          <w:p w14:paraId="5408D06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81.80</w:t>
            </w:r>
          </w:p>
        </w:tc>
        <w:tc>
          <w:tcPr>
            <w:tcW w:w="2364" w:type="dxa"/>
            <w:vAlign w:val="center"/>
            <w:hideMark/>
          </w:tcPr>
          <w:p w14:paraId="7130BCE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−0.64</w:t>
            </w:r>
          </w:p>
        </w:tc>
      </w:tr>
      <w:tr w:rsidR="00B335B6" w:rsidRPr="00B335B6" w14:paraId="64923172" w14:textId="77777777" w:rsidTr="00B335B6">
        <w:trPr>
          <w:tblCellSpacing w:w="15" w:type="dxa"/>
        </w:trPr>
        <w:tc>
          <w:tcPr>
            <w:tcW w:w="0" w:type="auto"/>
            <w:vAlign w:val="center"/>
            <w:hideMark/>
          </w:tcPr>
          <w:p w14:paraId="11A67B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1584" w:type="dxa"/>
            <w:vAlign w:val="center"/>
            <w:hideMark/>
          </w:tcPr>
          <w:p w14:paraId="3ADDD1F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1671" w:type="dxa"/>
            <w:vAlign w:val="center"/>
            <w:hideMark/>
          </w:tcPr>
          <w:p w14:paraId="6ACCEE7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83.56</w:t>
            </w:r>
          </w:p>
        </w:tc>
        <w:tc>
          <w:tcPr>
            <w:tcW w:w="1530" w:type="dxa"/>
            <w:vAlign w:val="center"/>
            <w:hideMark/>
          </w:tcPr>
          <w:p w14:paraId="52E4F6C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82.60</w:t>
            </w:r>
          </w:p>
        </w:tc>
        <w:tc>
          <w:tcPr>
            <w:tcW w:w="2364" w:type="dxa"/>
            <w:vAlign w:val="center"/>
            <w:hideMark/>
          </w:tcPr>
          <w:p w14:paraId="34DB853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−0.96</w:t>
            </w:r>
          </w:p>
        </w:tc>
      </w:tr>
      <w:tr w:rsidR="00B335B6" w:rsidRPr="00B335B6" w14:paraId="737D329B" w14:textId="77777777" w:rsidTr="00B335B6">
        <w:trPr>
          <w:tblCellSpacing w:w="15" w:type="dxa"/>
        </w:trPr>
        <w:tc>
          <w:tcPr>
            <w:tcW w:w="0" w:type="auto"/>
            <w:vAlign w:val="center"/>
            <w:hideMark/>
          </w:tcPr>
          <w:p w14:paraId="577FD1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1584" w:type="dxa"/>
            <w:vAlign w:val="center"/>
            <w:hideMark/>
          </w:tcPr>
          <w:p w14:paraId="5D96368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1671" w:type="dxa"/>
            <w:vAlign w:val="center"/>
            <w:hideMark/>
          </w:tcPr>
          <w:p w14:paraId="66B7D1D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76.88</w:t>
            </w:r>
          </w:p>
        </w:tc>
        <w:tc>
          <w:tcPr>
            <w:tcW w:w="1530" w:type="dxa"/>
            <w:vAlign w:val="center"/>
            <w:hideMark/>
          </w:tcPr>
          <w:p w14:paraId="34FAAA7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76.10</w:t>
            </w:r>
          </w:p>
        </w:tc>
        <w:tc>
          <w:tcPr>
            <w:tcW w:w="2364" w:type="dxa"/>
            <w:vAlign w:val="center"/>
            <w:hideMark/>
          </w:tcPr>
          <w:p w14:paraId="0F6A139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−0.78</w:t>
            </w:r>
          </w:p>
        </w:tc>
      </w:tr>
      <w:tr w:rsidR="00B335B6" w:rsidRPr="00B335B6" w14:paraId="7BC5D937" w14:textId="77777777" w:rsidTr="00B335B6">
        <w:trPr>
          <w:tblCellSpacing w:w="15" w:type="dxa"/>
        </w:trPr>
        <w:tc>
          <w:tcPr>
            <w:tcW w:w="0" w:type="auto"/>
            <w:vAlign w:val="center"/>
            <w:hideMark/>
          </w:tcPr>
          <w:p w14:paraId="250B667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1584" w:type="dxa"/>
            <w:vAlign w:val="center"/>
            <w:hideMark/>
          </w:tcPr>
          <w:p w14:paraId="416683F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1671" w:type="dxa"/>
            <w:vAlign w:val="center"/>
            <w:hideMark/>
          </w:tcPr>
          <w:p w14:paraId="14E1CFC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83.77 ± 2.97</w:t>
            </w:r>
          </w:p>
        </w:tc>
        <w:tc>
          <w:tcPr>
            <w:tcW w:w="1530" w:type="dxa"/>
            <w:vAlign w:val="center"/>
            <w:hideMark/>
          </w:tcPr>
          <w:p w14:paraId="35EC195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82.67 ± 2.88</w:t>
            </w:r>
          </w:p>
        </w:tc>
        <w:tc>
          <w:tcPr>
            <w:tcW w:w="2364" w:type="dxa"/>
            <w:vAlign w:val="center"/>
            <w:hideMark/>
          </w:tcPr>
          <w:p w14:paraId="3D94427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−0.88 ± 0.35</w:t>
            </w:r>
          </w:p>
        </w:tc>
      </w:tr>
    </w:tbl>
    <w:p w14:paraId="702B0FF5"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Averaging restored consistency with NASA RH values (mean deviation &lt; 1 %).</w:t>
      </w:r>
    </w:p>
    <w:p w14:paraId="3F10294F" w14:textId="5D78E442"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This table shows excellent agreement in mean daily wind speed between the app and NASA POWER (mean difference = +0.01 m s⁻¹). The high correlation (r = 0.87; R² = 0.76) confirms that both data sources effectively represent near-surface aerodynamic conditions. Wind speed stability ensures accurate aerodynamic resistance representation in the FAO-56 PM algorithm, consistent with findings by Cunha et al. (2021).</w:t>
      </w:r>
    </w:p>
    <w:p w14:paraId="6A0D868D"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3. Mean wind speed comparison between the developed app and NASA POWER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614"/>
        <w:gridCol w:w="2127"/>
        <w:gridCol w:w="1984"/>
        <w:gridCol w:w="1985"/>
      </w:tblGrid>
      <w:tr w:rsidR="00B335B6" w:rsidRPr="00B335B6" w14:paraId="1122A3D5" w14:textId="77777777" w:rsidTr="00B335B6">
        <w:trPr>
          <w:tblHeader/>
          <w:tblCellSpacing w:w="15" w:type="dxa"/>
        </w:trPr>
        <w:tc>
          <w:tcPr>
            <w:tcW w:w="0" w:type="auto"/>
            <w:vAlign w:val="center"/>
            <w:hideMark/>
          </w:tcPr>
          <w:p w14:paraId="23EFBAAC"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S/N</w:t>
            </w:r>
          </w:p>
        </w:tc>
        <w:tc>
          <w:tcPr>
            <w:tcW w:w="1584" w:type="dxa"/>
            <w:vAlign w:val="center"/>
            <w:hideMark/>
          </w:tcPr>
          <w:p w14:paraId="3ED91E18"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2097" w:type="dxa"/>
            <w:vAlign w:val="center"/>
            <w:hideMark/>
          </w:tcPr>
          <w:p w14:paraId="2A644EBE"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NASA MWS (m s⁻¹)</w:t>
            </w:r>
          </w:p>
        </w:tc>
        <w:tc>
          <w:tcPr>
            <w:tcW w:w="1954" w:type="dxa"/>
            <w:vAlign w:val="center"/>
            <w:hideMark/>
          </w:tcPr>
          <w:p w14:paraId="652DA890"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App MWS (m s⁻¹)</w:t>
            </w:r>
          </w:p>
        </w:tc>
        <w:tc>
          <w:tcPr>
            <w:tcW w:w="1940" w:type="dxa"/>
            <w:vAlign w:val="center"/>
            <w:hideMark/>
          </w:tcPr>
          <w:p w14:paraId="23A8787A"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(m s⁻¹)</w:t>
            </w:r>
          </w:p>
        </w:tc>
      </w:tr>
      <w:tr w:rsidR="00B335B6" w:rsidRPr="00B335B6" w14:paraId="2FEA286D" w14:textId="77777777" w:rsidTr="00B335B6">
        <w:trPr>
          <w:tblCellSpacing w:w="15" w:type="dxa"/>
        </w:trPr>
        <w:tc>
          <w:tcPr>
            <w:tcW w:w="0" w:type="auto"/>
            <w:vAlign w:val="center"/>
            <w:hideMark/>
          </w:tcPr>
          <w:p w14:paraId="78F3EF1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1584" w:type="dxa"/>
            <w:vAlign w:val="center"/>
            <w:hideMark/>
          </w:tcPr>
          <w:p w14:paraId="4128B8A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2097" w:type="dxa"/>
            <w:vAlign w:val="center"/>
            <w:hideMark/>
          </w:tcPr>
          <w:p w14:paraId="52408A0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3.02</w:t>
            </w:r>
          </w:p>
        </w:tc>
        <w:tc>
          <w:tcPr>
            <w:tcW w:w="1954" w:type="dxa"/>
            <w:vAlign w:val="center"/>
            <w:hideMark/>
          </w:tcPr>
          <w:p w14:paraId="10FCF51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w:t>
            </w:r>
          </w:p>
        </w:tc>
        <w:tc>
          <w:tcPr>
            <w:tcW w:w="1940" w:type="dxa"/>
            <w:vAlign w:val="center"/>
            <w:hideMark/>
          </w:tcPr>
          <w:p w14:paraId="5352F0B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2E086566" w14:textId="77777777" w:rsidTr="00B335B6">
        <w:trPr>
          <w:tblCellSpacing w:w="15" w:type="dxa"/>
        </w:trPr>
        <w:tc>
          <w:tcPr>
            <w:tcW w:w="0" w:type="auto"/>
            <w:vAlign w:val="center"/>
            <w:hideMark/>
          </w:tcPr>
          <w:p w14:paraId="451DA60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1584" w:type="dxa"/>
            <w:vAlign w:val="center"/>
            <w:hideMark/>
          </w:tcPr>
          <w:p w14:paraId="1D78335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2097" w:type="dxa"/>
            <w:vAlign w:val="center"/>
            <w:hideMark/>
          </w:tcPr>
          <w:p w14:paraId="27574D2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3.31</w:t>
            </w:r>
          </w:p>
        </w:tc>
        <w:tc>
          <w:tcPr>
            <w:tcW w:w="1954" w:type="dxa"/>
            <w:vAlign w:val="center"/>
            <w:hideMark/>
          </w:tcPr>
          <w:p w14:paraId="5B38A1B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3.20</w:t>
            </w:r>
          </w:p>
        </w:tc>
        <w:tc>
          <w:tcPr>
            <w:tcW w:w="1940" w:type="dxa"/>
            <w:vAlign w:val="center"/>
            <w:hideMark/>
          </w:tcPr>
          <w:p w14:paraId="26A1F3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−0.11</w:t>
            </w:r>
          </w:p>
        </w:tc>
      </w:tr>
      <w:tr w:rsidR="00B335B6" w:rsidRPr="00B335B6" w14:paraId="5900F501" w14:textId="77777777" w:rsidTr="00B335B6">
        <w:trPr>
          <w:tblCellSpacing w:w="15" w:type="dxa"/>
        </w:trPr>
        <w:tc>
          <w:tcPr>
            <w:tcW w:w="0" w:type="auto"/>
            <w:vAlign w:val="center"/>
            <w:hideMark/>
          </w:tcPr>
          <w:p w14:paraId="1326CE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1584" w:type="dxa"/>
            <w:vAlign w:val="center"/>
            <w:hideMark/>
          </w:tcPr>
          <w:p w14:paraId="52C7136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2097" w:type="dxa"/>
            <w:vAlign w:val="center"/>
            <w:hideMark/>
          </w:tcPr>
          <w:p w14:paraId="3A4160C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3.12</w:t>
            </w:r>
          </w:p>
        </w:tc>
        <w:tc>
          <w:tcPr>
            <w:tcW w:w="1954" w:type="dxa"/>
            <w:vAlign w:val="center"/>
            <w:hideMark/>
          </w:tcPr>
          <w:p w14:paraId="792A181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3.00</w:t>
            </w:r>
          </w:p>
        </w:tc>
        <w:tc>
          <w:tcPr>
            <w:tcW w:w="1940" w:type="dxa"/>
            <w:vAlign w:val="center"/>
            <w:hideMark/>
          </w:tcPr>
          <w:p w14:paraId="5EEA2E5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−0.12</w:t>
            </w:r>
          </w:p>
        </w:tc>
      </w:tr>
      <w:tr w:rsidR="00B335B6" w:rsidRPr="00B335B6" w14:paraId="6ED5E11F" w14:textId="77777777" w:rsidTr="00B335B6">
        <w:trPr>
          <w:tblCellSpacing w:w="15" w:type="dxa"/>
        </w:trPr>
        <w:tc>
          <w:tcPr>
            <w:tcW w:w="0" w:type="auto"/>
            <w:vAlign w:val="center"/>
            <w:hideMark/>
          </w:tcPr>
          <w:p w14:paraId="14C41E0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1584" w:type="dxa"/>
            <w:vAlign w:val="center"/>
            <w:hideMark/>
          </w:tcPr>
          <w:p w14:paraId="42C1A7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2097" w:type="dxa"/>
            <w:vAlign w:val="center"/>
            <w:hideMark/>
          </w:tcPr>
          <w:p w14:paraId="1A4E229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2.62</w:t>
            </w:r>
          </w:p>
        </w:tc>
        <w:tc>
          <w:tcPr>
            <w:tcW w:w="1954" w:type="dxa"/>
            <w:vAlign w:val="center"/>
            <w:hideMark/>
          </w:tcPr>
          <w:p w14:paraId="42927FA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2.60</w:t>
            </w:r>
          </w:p>
        </w:tc>
        <w:tc>
          <w:tcPr>
            <w:tcW w:w="1940" w:type="dxa"/>
            <w:vAlign w:val="center"/>
            <w:hideMark/>
          </w:tcPr>
          <w:p w14:paraId="09391B3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1073D5C1" w14:textId="77777777" w:rsidTr="00B335B6">
        <w:trPr>
          <w:tblCellSpacing w:w="15" w:type="dxa"/>
        </w:trPr>
        <w:tc>
          <w:tcPr>
            <w:tcW w:w="0" w:type="auto"/>
            <w:vAlign w:val="center"/>
            <w:hideMark/>
          </w:tcPr>
          <w:p w14:paraId="1E2A61C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1584" w:type="dxa"/>
            <w:vAlign w:val="center"/>
            <w:hideMark/>
          </w:tcPr>
          <w:p w14:paraId="5AF6623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2097" w:type="dxa"/>
            <w:vAlign w:val="center"/>
            <w:hideMark/>
          </w:tcPr>
          <w:p w14:paraId="3922BE0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2.84</w:t>
            </w:r>
          </w:p>
        </w:tc>
        <w:tc>
          <w:tcPr>
            <w:tcW w:w="1954" w:type="dxa"/>
            <w:vAlign w:val="center"/>
            <w:hideMark/>
          </w:tcPr>
          <w:p w14:paraId="04E121E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2.90</w:t>
            </w:r>
          </w:p>
        </w:tc>
        <w:tc>
          <w:tcPr>
            <w:tcW w:w="1940" w:type="dxa"/>
            <w:vAlign w:val="center"/>
            <w:hideMark/>
          </w:tcPr>
          <w:p w14:paraId="4BDDA0E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+0.06</w:t>
            </w:r>
          </w:p>
        </w:tc>
      </w:tr>
      <w:tr w:rsidR="00B335B6" w:rsidRPr="00B335B6" w14:paraId="461D09B5" w14:textId="77777777" w:rsidTr="00B335B6">
        <w:trPr>
          <w:tblCellSpacing w:w="15" w:type="dxa"/>
        </w:trPr>
        <w:tc>
          <w:tcPr>
            <w:tcW w:w="0" w:type="auto"/>
            <w:vAlign w:val="center"/>
            <w:hideMark/>
          </w:tcPr>
          <w:p w14:paraId="46DC1A4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1584" w:type="dxa"/>
            <w:vAlign w:val="center"/>
            <w:hideMark/>
          </w:tcPr>
          <w:p w14:paraId="04E9662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2097" w:type="dxa"/>
            <w:vAlign w:val="center"/>
            <w:hideMark/>
          </w:tcPr>
          <w:p w14:paraId="09015EE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2.62</w:t>
            </w:r>
          </w:p>
        </w:tc>
        <w:tc>
          <w:tcPr>
            <w:tcW w:w="1954" w:type="dxa"/>
            <w:vAlign w:val="center"/>
            <w:hideMark/>
          </w:tcPr>
          <w:p w14:paraId="14A3AC1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2.70</w:t>
            </w:r>
          </w:p>
        </w:tc>
        <w:tc>
          <w:tcPr>
            <w:tcW w:w="1940" w:type="dxa"/>
            <w:vAlign w:val="center"/>
            <w:hideMark/>
          </w:tcPr>
          <w:p w14:paraId="660E1A8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+0.08</w:t>
            </w:r>
          </w:p>
        </w:tc>
      </w:tr>
      <w:tr w:rsidR="00B335B6" w:rsidRPr="00B335B6" w14:paraId="512461FF" w14:textId="77777777" w:rsidTr="00B335B6">
        <w:trPr>
          <w:tblCellSpacing w:w="15" w:type="dxa"/>
        </w:trPr>
        <w:tc>
          <w:tcPr>
            <w:tcW w:w="0" w:type="auto"/>
            <w:vAlign w:val="center"/>
            <w:hideMark/>
          </w:tcPr>
          <w:p w14:paraId="630A3BF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w:t>
            </w:r>
          </w:p>
        </w:tc>
        <w:tc>
          <w:tcPr>
            <w:tcW w:w="1584" w:type="dxa"/>
            <w:vAlign w:val="center"/>
            <w:hideMark/>
          </w:tcPr>
          <w:p w14:paraId="1AAB836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2097" w:type="dxa"/>
            <w:vAlign w:val="center"/>
            <w:hideMark/>
          </w:tcPr>
          <w:p w14:paraId="40DD700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2.70</w:t>
            </w:r>
          </w:p>
        </w:tc>
        <w:tc>
          <w:tcPr>
            <w:tcW w:w="1954" w:type="dxa"/>
            <w:vAlign w:val="center"/>
            <w:hideMark/>
          </w:tcPr>
          <w:p w14:paraId="0A203D7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2.80</w:t>
            </w:r>
          </w:p>
        </w:tc>
        <w:tc>
          <w:tcPr>
            <w:tcW w:w="1940" w:type="dxa"/>
            <w:vAlign w:val="center"/>
            <w:hideMark/>
          </w:tcPr>
          <w:p w14:paraId="11E31E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+0.10</w:t>
            </w:r>
          </w:p>
        </w:tc>
      </w:tr>
      <w:tr w:rsidR="00B335B6" w:rsidRPr="00B335B6" w14:paraId="5563196B" w14:textId="77777777" w:rsidTr="00B335B6">
        <w:trPr>
          <w:tblCellSpacing w:w="15" w:type="dxa"/>
        </w:trPr>
        <w:tc>
          <w:tcPr>
            <w:tcW w:w="0" w:type="auto"/>
            <w:vAlign w:val="center"/>
            <w:hideMark/>
          </w:tcPr>
          <w:p w14:paraId="7BD05FA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1584" w:type="dxa"/>
            <w:vAlign w:val="center"/>
            <w:hideMark/>
          </w:tcPr>
          <w:p w14:paraId="03F3939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2097" w:type="dxa"/>
            <w:vAlign w:val="center"/>
            <w:hideMark/>
          </w:tcPr>
          <w:p w14:paraId="3270F72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2.62</w:t>
            </w:r>
          </w:p>
        </w:tc>
        <w:tc>
          <w:tcPr>
            <w:tcW w:w="1954" w:type="dxa"/>
            <w:vAlign w:val="center"/>
            <w:hideMark/>
          </w:tcPr>
          <w:p w14:paraId="32C7102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2.60</w:t>
            </w:r>
          </w:p>
        </w:tc>
        <w:tc>
          <w:tcPr>
            <w:tcW w:w="1940" w:type="dxa"/>
            <w:vAlign w:val="center"/>
            <w:hideMark/>
          </w:tcPr>
          <w:p w14:paraId="19C27DD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1A7F308F" w14:textId="77777777" w:rsidTr="00B335B6">
        <w:trPr>
          <w:tblCellSpacing w:w="15" w:type="dxa"/>
        </w:trPr>
        <w:tc>
          <w:tcPr>
            <w:tcW w:w="0" w:type="auto"/>
            <w:vAlign w:val="center"/>
            <w:hideMark/>
          </w:tcPr>
          <w:p w14:paraId="55D2F61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1584" w:type="dxa"/>
            <w:vAlign w:val="center"/>
            <w:hideMark/>
          </w:tcPr>
          <w:p w14:paraId="193695A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2097" w:type="dxa"/>
            <w:vAlign w:val="center"/>
            <w:hideMark/>
          </w:tcPr>
          <w:p w14:paraId="5E174F2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3.20</w:t>
            </w:r>
          </w:p>
        </w:tc>
        <w:tc>
          <w:tcPr>
            <w:tcW w:w="1954" w:type="dxa"/>
            <w:vAlign w:val="center"/>
            <w:hideMark/>
          </w:tcPr>
          <w:p w14:paraId="3F455DB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3.30</w:t>
            </w:r>
          </w:p>
        </w:tc>
        <w:tc>
          <w:tcPr>
            <w:tcW w:w="1940" w:type="dxa"/>
            <w:vAlign w:val="center"/>
            <w:hideMark/>
          </w:tcPr>
          <w:p w14:paraId="6328422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+0.10</w:t>
            </w:r>
          </w:p>
        </w:tc>
      </w:tr>
      <w:tr w:rsidR="00B335B6" w:rsidRPr="00B335B6" w14:paraId="256145AD" w14:textId="77777777" w:rsidTr="00B335B6">
        <w:trPr>
          <w:tblCellSpacing w:w="15" w:type="dxa"/>
        </w:trPr>
        <w:tc>
          <w:tcPr>
            <w:tcW w:w="0" w:type="auto"/>
            <w:vAlign w:val="center"/>
            <w:hideMark/>
          </w:tcPr>
          <w:p w14:paraId="1C7695A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1584" w:type="dxa"/>
            <w:vAlign w:val="center"/>
            <w:hideMark/>
          </w:tcPr>
          <w:p w14:paraId="0C56CD0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2097" w:type="dxa"/>
            <w:vAlign w:val="center"/>
            <w:hideMark/>
          </w:tcPr>
          <w:p w14:paraId="79045E5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3.57</w:t>
            </w:r>
          </w:p>
        </w:tc>
        <w:tc>
          <w:tcPr>
            <w:tcW w:w="1954" w:type="dxa"/>
            <w:vAlign w:val="center"/>
            <w:hideMark/>
          </w:tcPr>
          <w:p w14:paraId="37A3C61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3.60</w:t>
            </w:r>
          </w:p>
        </w:tc>
        <w:tc>
          <w:tcPr>
            <w:tcW w:w="1940" w:type="dxa"/>
            <w:vAlign w:val="center"/>
            <w:hideMark/>
          </w:tcPr>
          <w:p w14:paraId="20F300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5C99A89D" w14:textId="77777777" w:rsidTr="00B335B6">
        <w:trPr>
          <w:tblCellSpacing w:w="15" w:type="dxa"/>
        </w:trPr>
        <w:tc>
          <w:tcPr>
            <w:tcW w:w="0" w:type="auto"/>
            <w:vAlign w:val="center"/>
            <w:hideMark/>
          </w:tcPr>
          <w:p w14:paraId="1FBAD48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1584" w:type="dxa"/>
            <w:vAlign w:val="center"/>
            <w:hideMark/>
          </w:tcPr>
          <w:p w14:paraId="5D78920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2097" w:type="dxa"/>
            <w:vAlign w:val="center"/>
            <w:hideMark/>
          </w:tcPr>
          <w:p w14:paraId="758776A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2.03</w:t>
            </w:r>
          </w:p>
        </w:tc>
        <w:tc>
          <w:tcPr>
            <w:tcW w:w="1954" w:type="dxa"/>
            <w:vAlign w:val="center"/>
            <w:hideMark/>
          </w:tcPr>
          <w:p w14:paraId="68DFC98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2.10</w:t>
            </w:r>
          </w:p>
        </w:tc>
        <w:tc>
          <w:tcPr>
            <w:tcW w:w="1940" w:type="dxa"/>
            <w:vAlign w:val="center"/>
            <w:hideMark/>
          </w:tcPr>
          <w:p w14:paraId="6C42E00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+0.07</w:t>
            </w:r>
          </w:p>
        </w:tc>
      </w:tr>
      <w:tr w:rsidR="00B335B6" w:rsidRPr="00B335B6" w14:paraId="48F5181F" w14:textId="77777777" w:rsidTr="00B335B6">
        <w:trPr>
          <w:tblCellSpacing w:w="15" w:type="dxa"/>
        </w:trPr>
        <w:tc>
          <w:tcPr>
            <w:tcW w:w="0" w:type="auto"/>
            <w:vAlign w:val="center"/>
            <w:hideMark/>
          </w:tcPr>
          <w:p w14:paraId="0DE665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1584" w:type="dxa"/>
            <w:vAlign w:val="center"/>
            <w:hideMark/>
          </w:tcPr>
          <w:p w14:paraId="5ADF303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2097" w:type="dxa"/>
            <w:vAlign w:val="center"/>
            <w:hideMark/>
          </w:tcPr>
          <w:p w14:paraId="3F49B91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2.88 ± 0.40</w:t>
            </w:r>
          </w:p>
        </w:tc>
        <w:tc>
          <w:tcPr>
            <w:tcW w:w="1954" w:type="dxa"/>
            <w:vAlign w:val="center"/>
            <w:hideMark/>
          </w:tcPr>
          <w:p w14:paraId="0A4FBFD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2.90 ± 0.38</w:t>
            </w:r>
          </w:p>
        </w:tc>
        <w:tc>
          <w:tcPr>
            <w:tcW w:w="1940" w:type="dxa"/>
            <w:vAlign w:val="center"/>
            <w:hideMark/>
          </w:tcPr>
          <w:p w14:paraId="308066D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+0.01 ± 0.07</w:t>
            </w:r>
          </w:p>
        </w:tc>
      </w:tr>
    </w:tbl>
    <w:p w14:paraId="7DAB3FF0"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Excellent agreement observed (r = 0.87; R² = 0.76).</w:t>
      </w:r>
    </w:p>
    <w:p w14:paraId="2DC0E2DC" w14:textId="49272AC9"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 xml:space="preserve">Table 4 compares daily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values derived from the app and NASA POWER datasets. The app recorded values between </w:t>
      </w:r>
      <w:proofErr w:type="gramStart"/>
      <w:r w:rsidRPr="00AA3CC6">
        <w:rPr>
          <w:rFonts w:ascii="Times New Roman" w:hAnsi="Times New Roman" w:cs="Times New Roman"/>
          <w:sz w:val="24"/>
          <w:szCs w:val="24"/>
        </w:rPr>
        <w:t>2.18 and 2.81 mm</w:t>
      </w:r>
      <w:proofErr w:type="gramEnd"/>
      <w:r w:rsidRPr="00AA3CC6">
        <w:rPr>
          <w:rFonts w:ascii="Times New Roman" w:hAnsi="Times New Roman" w:cs="Times New Roman"/>
          <w:sz w:val="24"/>
          <w:szCs w:val="24"/>
        </w:rPr>
        <w:t xml:space="preserve"> day⁻¹, closely matching NASA’s 2.15–2.78 mm day⁻¹. The mean bias of +0.03 mm day⁻¹ (≈ 1.3 %) demonstrates excellent computational fidelity of the FAO-56 PM implementation within the mobile framework. This performance aligns with EVAPO (Maldonado et al., 2019) and </w:t>
      </w:r>
      <w:proofErr w:type="spellStart"/>
      <w:r w:rsidRPr="00AA3CC6">
        <w:rPr>
          <w:rFonts w:ascii="Times New Roman" w:hAnsi="Times New Roman" w:cs="Times New Roman"/>
          <w:sz w:val="24"/>
          <w:szCs w:val="24"/>
        </w:rPr>
        <w:t>EvapoCalc</w:t>
      </w:r>
      <w:proofErr w:type="spellEnd"/>
      <w:r w:rsidRPr="00AA3CC6">
        <w:rPr>
          <w:rFonts w:ascii="Times New Roman" w:hAnsi="Times New Roman" w:cs="Times New Roman"/>
          <w:sz w:val="24"/>
          <w:szCs w:val="24"/>
        </w:rPr>
        <w:t xml:space="preserve"> (Francisco et al., 2018) benchmarked models.</w:t>
      </w:r>
    </w:p>
    <w:p w14:paraId="5BCBD163"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Table 4. Reference evapotranspiration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comparison between the developed app and NASA POWER parameters (daily averages)</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188"/>
        <w:gridCol w:w="1154"/>
        <w:gridCol w:w="2903"/>
        <w:gridCol w:w="2268"/>
        <w:gridCol w:w="2410"/>
      </w:tblGrid>
      <w:tr w:rsidR="00B335B6" w:rsidRPr="00B335B6" w14:paraId="761247EB" w14:textId="77777777" w:rsidTr="00B335B6">
        <w:trPr>
          <w:tblHeader/>
          <w:tblCellSpacing w:w="15" w:type="dxa"/>
        </w:trPr>
        <w:tc>
          <w:tcPr>
            <w:tcW w:w="0" w:type="auto"/>
            <w:vAlign w:val="center"/>
            <w:hideMark/>
          </w:tcPr>
          <w:p w14:paraId="352C9709"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lastRenderedPageBreak/>
              <w:t>S/N</w:t>
            </w:r>
          </w:p>
        </w:tc>
        <w:tc>
          <w:tcPr>
            <w:tcW w:w="0" w:type="auto"/>
            <w:vAlign w:val="center"/>
            <w:hideMark/>
          </w:tcPr>
          <w:p w14:paraId="0AAB0678"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Date</w:t>
            </w:r>
          </w:p>
        </w:tc>
        <w:tc>
          <w:tcPr>
            <w:tcW w:w="2873" w:type="dxa"/>
            <w:vAlign w:val="center"/>
            <w:hideMark/>
          </w:tcPr>
          <w:p w14:paraId="5E23E709"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NASA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xml:space="preserve"> (mm day⁻¹)</w:t>
            </w:r>
          </w:p>
        </w:tc>
        <w:tc>
          <w:tcPr>
            <w:tcW w:w="2238" w:type="dxa"/>
            <w:vAlign w:val="center"/>
            <w:hideMark/>
          </w:tcPr>
          <w:p w14:paraId="22631C03"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App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xml:space="preserve"> (mm day⁻¹)</w:t>
            </w:r>
          </w:p>
        </w:tc>
        <w:tc>
          <w:tcPr>
            <w:tcW w:w="2365" w:type="dxa"/>
            <w:vAlign w:val="center"/>
            <w:hideMark/>
          </w:tcPr>
          <w:p w14:paraId="4F366D77"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Difference (mm day⁻¹)</w:t>
            </w:r>
          </w:p>
        </w:tc>
      </w:tr>
      <w:tr w:rsidR="00B335B6" w:rsidRPr="00B335B6" w14:paraId="615B31B1" w14:textId="77777777" w:rsidTr="00B335B6">
        <w:trPr>
          <w:tblCellSpacing w:w="15" w:type="dxa"/>
        </w:trPr>
        <w:tc>
          <w:tcPr>
            <w:tcW w:w="0" w:type="auto"/>
            <w:vAlign w:val="center"/>
            <w:hideMark/>
          </w:tcPr>
          <w:p w14:paraId="365DEC7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w:t>
            </w:r>
          </w:p>
        </w:tc>
        <w:tc>
          <w:tcPr>
            <w:tcW w:w="0" w:type="auto"/>
            <w:vAlign w:val="center"/>
            <w:hideMark/>
          </w:tcPr>
          <w:p w14:paraId="4C45993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04/04/2024</w:t>
            </w:r>
          </w:p>
        </w:tc>
        <w:tc>
          <w:tcPr>
            <w:tcW w:w="2873" w:type="dxa"/>
            <w:vAlign w:val="center"/>
            <w:hideMark/>
          </w:tcPr>
          <w:p w14:paraId="2514138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2.21</w:t>
            </w:r>
          </w:p>
        </w:tc>
        <w:tc>
          <w:tcPr>
            <w:tcW w:w="2238" w:type="dxa"/>
            <w:vAlign w:val="center"/>
            <w:hideMark/>
          </w:tcPr>
          <w:p w14:paraId="0E3EB4A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2.26</w:t>
            </w:r>
          </w:p>
        </w:tc>
        <w:tc>
          <w:tcPr>
            <w:tcW w:w="2365" w:type="dxa"/>
            <w:vAlign w:val="center"/>
            <w:hideMark/>
          </w:tcPr>
          <w:p w14:paraId="16A55FD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+0.05</w:t>
            </w:r>
          </w:p>
        </w:tc>
      </w:tr>
      <w:tr w:rsidR="00B335B6" w:rsidRPr="00B335B6" w14:paraId="0C6D7384" w14:textId="77777777" w:rsidTr="00B335B6">
        <w:trPr>
          <w:tblCellSpacing w:w="15" w:type="dxa"/>
        </w:trPr>
        <w:tc>
          <w:tcPr>
            <w:tcW w:w="0" w:type="auto"/>
            <w:vAlign w:val="center"/>
            <w:hideMark/>
          </w:tcPr>
          <w:p w14:paraId="028E4B0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w:t>
            </w:r>
          </w:p>
        </w:tc>
        <w:tc>
          <w:tcPr>
            <w:tcW w:w="0" w:type="auto"/>
            <w:vAlign w:val="center"/>
            <w:hideMark/>
          </w:tcPr>
          <w:p w14:paraId="27E17C2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05/04/2024</w:t>
            </w:r>
          </w:p>
        </w:tc>
        <w:tc>
          <w:tcPr>
            <w:tcW w:w="2873" w:type="dxa"/>
            <w:vAlign w:val="center"/>
            <w:hideMark/>
          </w:tcPr>
          <w:p w14:paraId="10649C8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2.17</w:t>
            </w:r>
          </w:p>
        </w:tc>
        <w:tc>
          <w:tcPr>
            <w:tcW w:w="2238" w:type="dxa"/>
            <w:vAlign w:val="center"/>
            <w:hideMark/>
          </w:tcPr>
          <w:p w14:paraId="7ED5553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2.22</w:t>
            </w:r>
          </w:p>
        </w:tc>
        <w:tc>
          <w:tcPr>
            <w:tcW w:w="2365" w:type="dxa"/>
            <w:vAlign w:val="center"/>
            <w:hideMark/>
          </w:tcPr>
          <w:p w14:paraId="5932C99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+0.05</w:t>
            </w:r>
          </w:p>
        </w:tc>
      </w:tr>
      <w:tr w:rsidR="00B335B6" w:rsidRPr="00B335B6" w14:paraId="3368973C" w14:textId="77777777" w:rsidTr="00B335B6">
        <w:trPr>
          <w:tblCellSpacing w:w="15" w:type="dxa"/>
        </w:trPr>
        <w:tc>
          <w:tcPr>
            <w:tcW w:w="0" w:type="auto"/>
            <w:vAlign w:val="center"/>
            <w:hideMark/>
          </w:tcPr>
          <w:p w14:paraId="5DF53C8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3</w:t>
            </w:r>
          </w:p>
        </w:tc>
        <w:tc>
          <w:tcPr>
            <w:tcW w:w="0" w:type="auto"/>
            <w:vAlign w:val="center"/>
            <w:hideMark/>
          </w:tcPr>
          <w:p w14:paraId="241F31D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06/04/2024</w:t>
            </w:r>
          </w:p>
        </w:tc>
        <w:tc>
          <w:tcPr>
            <w:tcW w:w="2873" w:type="dxa"/>
            <w:vAlign w:val="center"/>
            <w:hideMark/>
          </w:tcPr>
          <w:p w14:paraId="5BC83D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2.17</w:t>
            </w:r>
          </w:p>
        </w:tc>
        <w:tc>
          <w:tcPr>
            <w:tcW w:w="2238" w:type="dxa"/>
            <w:vAlign w:val="center"/>
            <w:hideMark/>
          </w:tcPr>
          <w:p w14:paraId="2BFAB7BB"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2.19</w:t>
            </w:r>
          </w:p>
        </w:tc>
        <w:tc>
          <w:tcPr>
            <w:tcW w:w="2365" w:type="dxa"/>
            <w:vAlign w:val="center"/>
            <w:hideMark/>
          </w:tcPr>
          <w:p w14:paraId="4C67565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4FD0DF2F" w14:textId="77777777" w:rsidTr="00B335B6">
        <w:trPr>
          <w:tblCellSpacing w:w="15" w:type="dxa"/>
        </w:trPr>
        <w:tc>
          <w:tcPr>
            <w:tcW w:w="0" w:type="auto"/>
            <w:vAlign w:val="center"/>
            <w:hideMark/>
          </w:tcPr>
          <w:p w14:paraId="4E7E98C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4</w:t>
            </w:r>
          </w:p>
        </w:tc>
        <w:tc>
          <w:tcPr>
            <w:tcW w:w="0" w:type="auto"/>
            <w:vAlign w:val="center"/>
            <w:hideMark/>
          </w:tcPr>
          <w:p w14:paraId="69B8358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07/04/2024</w:t>
            </w:r>
          </w:p>
        </w:tc>
        <w:tc>
          <w:tcPr>
            <w:tcW w:w="2873" w:type="dxa"/>
            <w:vAlign w:val="center"/>
            <w:hideMark/>
          </w:tcPr>
          <w:p w14:paraId="5AE9719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2.15</w:t>
            </w:r>
          </w:p>
        </w:tc>
        <w:tc>
          <w:tcPr>
            <w:tcW w:w="2238" w:type="dxa"/>
            <w:vAlign w:val="center"/>
            <w:hideMark/>
          </w:tcPr>
          <w:p w14:paraId="48B6FAD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2.18</w:t>
            </w:r>
          </w:p>
        </w:tc>
        <w:tc>
          <w:tcPr>
            <w:tcW w:w="2365" w:type="dxa"/>
            <w:vAlign w:val="center"/>
            <w:hideMark/>
          </w:tcPr>
          <w:p w14:paraId="2EC17C7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549FB773" w14:textId="77777777" w:rsidTr="00B335B6">
        <w:trPr>
          <w:tblCellSpacing w:w="15" w:type="dxa"/>
        </w:trPr>
        <w:tc>
          <w:tcPr>
            <w:tcW w:w="0" w:type="auto"/>
            <w:vAlign w:val="center"/>
            <w:hideMark/>
          </w:tcPr>
          <w:p w14:paraId="1B0EF4E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5</w:t>
            </w:r>
          </w:p>
        </w:tc>
        <w:tc>
          <w:tcPr>
            <w:tcW w:w="0" w:type="auto"/>
            <w:vAlign w:val="center"/>
            <w:hideMark/>
          </w:tcPr>
          <w:p w14:paraId="27D5174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08/04/2024</w:t>
            </w:r>
          </w:p>
        </w:tc>
        <w:tc>
          <w:tcPr>
            <w:tcW w:w="2873" w:type="dxa"/>
            <w:vAlign w:val="center"/>
            <w:hideMark/>
          </w:tcPr>
          <w:p w14:paraId="34EBF4B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2.26</w:t>
            </w:r>
          </w:p>
        </w:tc>
        <w:tc>
          <w:tcPr>
            <w:tcW w:w="2238" w:type="dxa"/>
            <w:vAlign w:val="center"/>
            <w:hideMark/>
          </w:tcPr>
          <w:p w14:paraId="5B16C63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2.29</w:t>
            </w:r>
          </w:p>
        </w:tc>
        <w:tc>
          <w:tcPr>
            <w:tcW w:w="2365" w:type="dxa"/>
            <w:vAlign w:val="center"/>
            <w:hideMark/>
          </w:tcPr>
          <w:p w14:paraId="13C0559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53CC2A01" w14:textId="77777777" w:rsidTr="00B335B6">
        <w:trPr>
          <w:tblCellSpacing w:w="15" w:type="dxa"/>
        </w:trPr>
        <w:tc>
          <w:tcPr>
            <w:tcW w:w="0" w:type="auto"/>
            <w:vAlign w:val="center"/>
            <w:hideMark/>
          </w:tcPr>
          <w:p w14:paraId="0E4DA8D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6</w:t>
            </w:r>
          </w:p>
        </w:tc>
        <w:tc>
          <w:tcPr>
            <w:tcW w:w="0" w:type="auto"/>
            <w:vAlign w:val="center"/>
            <w:hideMark/>
          </w:tcPr>
          <w:p w14:paraId="5452454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09/04/2024</w:t>
            </w:r>
          </w:p>
        </w:tc>
        <w:tc>
          <w:tcPr>
            <w:tcW w:w="2873" w:type="dxa"/>
            <w:vAlign w:val="center"/>
            <w:hideMark/>
          </w:tcPr>
          <w:p w14:paraId="7339599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2.15</w:t>
            </w:r>
          </w:p>
        </w:tc>
        <w:tc>
          <w:tcPr>
            <w:tcW w:w="2238" w:type="dxa"/>
            <w:vAlign w:val="center"/>
            <w:hideMark/>
          </w:tcPr>
          <w:p w14:paraId="7A2FB02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2.18</w:t>
            </w:r>
          </w:p>
        </w:tc>
        <w:tc>
          <w:tcPr>
            <w:tcW w:w="2365" w:type="dxa"/>
            <w:vAlign w:val="center"/>
            <w:hideMark/>
          </w:tcPr>
          <w:p w14:paraId="1286ADF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6CF15ABD" w14:textId="77777777" w:rsidTr="00B335B6">
        <w:trPr>
          <w:tblCellSpacing w:w="15" w:type="dxa"/>
        </w:trPr>
        <w:tc>
          <w:tcPr>
            <w:tcW w:w="0" w:type="auto"/>
            <w:vAlign w:val="center"/>
            <w:hideMark/>
          </w:tcPr>
          <w:p w14:paraId="5A74435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7</w:t>
            </w:r>
          </w:p>
        </w:tc>
        <w:tc>
          <w:tcPr>
            <w:tcW w:w="0" w:type="auto"/>
            <w:vAlign w:val="center"/>
            <w:hideMark/>
          </w:tcPr>
          <w:p w14:paraId="3947B4A0"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10/04/2024</w:t>
            </w:r>
          </w:p>
        </w:tc>
        <w:tc>
          <w:tcPr>
            <w:tcW w:w="2873" w:type="dxa"/>
            <w:vAlign w:val="center"/>
            <w:hideMark/>
          </w:tcPr>
          <w:p w14:paraId="0EE92011"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2.50</w:t>
            </w:r>
          </w:p>
        </w:tc>
        <w:tc>
          <w:tcPr>
            <w:tcW w:w="2238" w:type="dxa"/>
            <w:vAlign w:val="center"/>
            <w:hideMark/>
          </w:tcPr>
          <w:p w14:paraId="207FD9A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2.53</w:t>
            </w:r>
          </w:p>
        </w:tc>
        <w:tc>
          <w:tcPr>
            <w:tcW w:w="2365" w:type="dxa"/>
            <w:vAlign w:val="center"/>
            <w:hideMark/>
          </w:tcPr>
          <w:p w14:paraId="63CDE5A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4CE9EAF3" w14:textId="77777777" w:rsidTr="00B335B6">
        <w:trPr>
          <w:tblCellSpacing w:w="15" w:type="dxa"/>
        </w:trPr>
        <w:tc>
          <w:tcPr>
            <w:tcW w:w="0" w:type="auto"/>
            <w:vAlign w:val="center"/>
            <w:hideMark/>
          </w:tcPr>
          <w:p w14:paraId="023301A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w:t>
            </w:r>
          </w:p>
        </w:tc>
        <w:tc>
          <w:tcPr>
            <w:tcW w:w="0" w:type="auto"/>
            <w:vAlign w:val="center"/>
            <w:hideMark/>
          </w:tcPr>
          <w:p w14:paraId="79D2C98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11/04/2024</w:t>
            </w:r>
          </w:p>
        </w:tc>
        <w:tc>
          <w:tcPr>
            <w:tcW w:w="2873" w:type="dxa"/>
            <w:vAlign w:val="center"/>
            <w:hideMark/>
          </w:tcPr>
          <w:p w14:paraId="2689BE1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2.23</w:t>
            </w:r>
          </w:p>
        </w:tc>
        <w:tc>
          <w:tcPr>
            <w:tcW w:w="2238" w:type="dxa"/>
            <w:vAlign w:val="center"/>
            <w:hideMark/>
          </w:tcPr>
          <w:p w14:paraId="0D4E9A4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2.25</w:t>
            </w:r>
          </w:p>
        </w:tc>
        <w:tc>
          <w:tcPr>
            <w:tcW w:w="2365" w:type="dxa"/>
            <w:vAlign w:val="center"/>
            <w:hideMark/>
          </w:tcPr>
          <w:p w14:paraId="1B815D6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+0.02</w:t>
            </w:r>
          </w:p>
        </w:tc>
      </w:tr>
      <w:tr w:rsidR="00B335B6" w:rsidRPr="00B335B6" w14:paraId="10202F62" w14:textId="77777777" w:rsidTr="00B335B6">
        <w:trPr>
          <w:tblCellSpacing w:w="15" w:type="dxa"/>
        </w:trPr>
        <w:tc>
          <w:tcPr>
            <w:tcW w:w="0" w:type="auto"/>
            <w:vAlign w:val="center"/>
            <w:hideMark/>
          </w:tcPr>
          <w:p w14:paraId="44E749A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9</w:t>
            </w:r>
          </w:p>
        </w:tc>
        <w:tc>
          <w:tcPr>
            <w:tcW w:w="0" w:type="auto"/>
            <w:vAlign w:val="center"/>
            <w:hideMark/>
          </w:tcPr>
          <w:p w14:paraId="7800D87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12/04/2024</w:t>
            </w:r>
          </w:p>
        </w:tc>
        <w:tc>
          <w:tcPr>
            <w:tcW w:w="2873" w:type="dxa"/>
            <w:vAlign w:val="center"/>
            <w:hideMark/>
          </w:tcPr>
          <w:p w14:paraId="537E314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2.51</w:t>
            </w:r>
          </w:p>
        </w:tc>
        <w:tc>
          <w:tcPr>
            <w:tcW w:w="2238" w:type="dxa"/>
            <w:vAlign w:val="center"/>
            <w:hideMark/>
          </w:tcPr>
          <w:p w14:paraId="2B35C3B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2.54</w:t>
            </w:r>
          </w:p>
        </w:tc>
        <w:tc>
          <w:tcPr>
            <w:tcW w:w="2365" w:type="dxa"/>
            <w:vAlign w:val="center"/>
            <w:hideMark/>
          </w:tcPr>
          <w:p w14:paraId="48A2298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6C43FD99" w14:textId="77777777" w:rsidTr="00B335B6">
        <w:trPr>
          <w:tblCellSpacing w:w="15" w:type="dxa"/>
        </w:trPr>
        <w:tc>
          <w:tcPr>
            <w:tcW w:w="0" w:type="auto"/>
            <w:vAlign w:val="center"/>
            <w:hideMark/>
          </w:tcPr>
          <w:p w14:paraId="3DC6886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10</w:t>
            </w:r>
          </w:p>
        </w:tc>
        <w:tc>
          <w:tcPr>
            <w:tcW w:w="0" w:type="auto"/>
            <w:vAlign w:val="center"/>
            <w:hideMark/>
          </w:tcPr>
          <w:p w14:paraId="046CEF4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13/04/2024</w:t>
            </w:r>
          </w:p>
        </w:tc>
        <w:tc>
          <w:tcPr>
            <w:tcW w:w="2873" w:type="dxa"/>
            <w:vAlign w:val="center"/>
            <w:hideMark/>
          </w:tcPr>
          <w:p w14:paraId="62235DC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2.78</w:t>
            </w:r>
          </w:p>
        </w:tc>
        <w:tc>
          <w:tcPr>
            <w:tcW w:w="2238" w:type="dxa"/>
            <w:vAlign w:val="center"/>
            <w:hideMark/>
          </w:tcPr>
          <w:p w14:paraId="01D1EBA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2.81</w:t>
            </w:r>
          </w:p>
        </w:tc>
        <w:tc>
          <w:tcPr>
            <w:tcW w:w="2365" w:type="dxa"/>
            <w:vAlign w:val="center"/>
            <w:hideMark/>
          </w:tcPr>
          <w:p w14:paraId="6D4ADE6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+0.03</w:t>
            </w:r>
          </w:p>
        </w:tc>
      </w:tr>
      <w:tr w:rsidR="00B335B6" w:rsidRPr="00B335B6" w14:paraId="0BC346C6" w14:textId="77777777" w:rsidTr="00B335B6">
        <w:trPr>
          <w:tblCellSpacing w:w="15" w:type="dxa"/>
        </w:trPr>
        <w:tc>
          <w:tcPr>
            <w:tcW w:w="0" w:type="auto"/>
            <w:vAlign w:val="center"/>
            <w:hideMark/>
          </w:tcPr>
          <w:p w14:paraId="0764CD0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11</w:t>
            </w:r>
          </w:p>
        </w:tc>
        <w:tc>
          <w:tcPr>
            <w:tcW w:w="0" w:type="auto"/>
            <w:vAlign w:val="center"/>
            <w:hideMark/>
          </w:tcPr>
          <w:p w14:paraId="411AFF9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14/04/2024</w:t>
            </w:r>
          </w:p>
        </w:tc>
        <w:tc>
          <w:tcPr>
            <w:tcW w:w="2873" w:type="dxa"/>
            <w:vAlign w:val="center"/>
            <w:hideMark/>
          </w:tcPr>
          <w:p w14:paraId="43CBAF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2.20</w:t>
            </w:r>
          </w:p>
        </w:tc>
        <w:tc>
          <w:tcPr>
            <w:tcW w:w="2238" w:type="dxa"/>
            <w:vAlign w:val="center"/>
            <w:hideMark/>
          </w:tcPr>
          <w:p w14:paraId="7823250E"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2.24</w:t>
            </w:r>
          </w:p>
        </w:tc>
        <w:tc>
          <w:tcPr>
            <w:tcW w:w="2365" w:type="dxa"/>
            <w:vAlign w:val="center"/>
            <w:hideMark/>
          </w:tcPr>
          <w:p w14:paraId="77517A0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+0.04</w:t>
            </w:r>
          </w:p>
        </w:tc>
      </w:tr>
      <w:tr w:rsidR="00B335B6" w:rsidRPr="00B335B6" w14:paraId="6A938A60" w14:textId="77777777" w:rsidTr="00B335B6">
        <w:trPr>
          <w:tblCellSpacing w:w="15" w:type="dxa"/>
        </w:trPr>
        <w:tc>
          <w:tcPr>
            <w:tcW w:w="0" w:type="auto"/>
            <w:vAlign w:val="center"/>
            <w:hideMark/>
          </w:tcPr>
          <w:p w14:paraId="5D7EC08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Mean ± SD</w:t>
            </w:r>
          </w:p>
        </w:tc>
        <w:tc>
          <w:tcPr>
            <w:tcW w:w="0" w:type="auto"/>
            <w:vAlign w:val="center"/>
            <w:hideMark/>
          </w:tcPr>
          <w:p w14:paraId="62AC76B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p>
        </w:tc>
        <w:tc>
          <w:tcPr>
            <w:tcW w:w="2873" w:type="dxa"/>
            <w:vAlign w:val="center"/>
            <w:hideMark/>
          </w:tcPr>
          <w:p w14:paraId="0D52765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2.33 ± 0.21</w:t>
            </w:r>
          </w:p>
        </w:tc>
        <w:tc>
          <w:tcPr>
            <w:tcW w:w="2238" w:type="dxa"/>
            <w:vAlign w:val="center"/>
            <w:hideMark/>
          </w:tcPr>
          <w:p w14:paraId="2F929BC2"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2.36 ± 0.21</w:t>
            </w:r>
          </w:p>
        </w:tc>
        <w:tc>
          <w:tcPr>
            <w:tcW w:w="2365" w:type="dxa"/>
            <w:vAlign w:val="center"/>
            <w:hideMark/>
          </w:tcPr>
          <w:p w14:paraId="266E252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+0.03 ± 0.01</w:t>
            </w:r>
          </w:p>
        </w:tc>
      </w:tr>
    </w:tbl>
    <w:p w14:paraId="39307CD6" w14:textId="77777777" w:rsidR="00B335B6" w:rsidRPr="00B335B6" w:rsidRDefault="00B335B6" w:rsidP="00AA3CC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Note.</w:t>
      </w:r>
      <w:r w:rsidRPr="00B335B6">
        <w:rPr>
          <w:rFonts w:ascii="Times New Roman" w:eastAsia="Times New Roman" w:hAnsi="Times New Roman" w:cs="Times New Roman"/>
          <w:sz w:val="24"/>
          <w:szCs w:val="24"/>
          <w:lang w:eastAsia="en-GB"/>
        </w:rPr>
        <w:t xml:space="preserve"> 24-hour averaging reduced mean bias from +0.09 mm day⁻¹ to +0.03 mm day⁻¹ (&lt; 1.3 %).</w:t>
      </w:r>
    </w:p>
    <w:p w14:paraId="1431F02B" w14:textId="62CBC650" w:rsidR="00B335B6" w:rsidRPr="00B335B6" w:rsidRDefault="00860843" w:rsidP="00AA3CC6">
      <w:pPr>
        <w:spacing w:after="0" w:line="240" w:lineRule="auto"/>
        <w:jc w:val="both"/>
        <w:rPr>
          <w:rFonts w:ascii="Times New Roman" w:eastAsia="Times New Roman" w:hAnsi="Times New Roman" w:cs="Times New Roman"/>
          <w:sz w:val="24"/>
          <w:szCs w:val="24"/>
          <w:lang w:eastAsia="en-GB"/>
        </w:rPr>
      </w:pPr>
      <w:r w:rsidRPr="00AA3CC6">
        <w:rPr>
          <w:rFonts w:ascii="Times New Roman" w:hAnsi="Times New Roman" w:cs="Times New Roman"/>
          <w:sz w:val="24"/>
          <w:szCs w:val="24"/>
        </w:rPr>
        <w:t xml:space="preserve">Table 5 summarises the statistical evaluation metrics comparing app and NASA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estimates. The very high correlation coefficient (r = 0.93) and coefficient of determination (R² = 0.86) indicate strong linearity and model agreement. The low RMSE (0.05 mm day⁻¹) and MAPE (1.2 %) signify minimal random or systematic errors, validating the robustness of the mobile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algorithm.</w:t>
      </w:r>
    </w:p>
    <w:p w14:paraId="5AD74D9A" w14:textId="77777777" w:rsidR="00B335B6" w:rsidRPr="00B335B6" w:rsidRDefault="00B335B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 xml:space="preserve">Table 5. Statistical performance indicators comparing the developed app and NASA POWER </w:t>
      </w:r>
      <w:proofErr w:type="spellStart"/>
      <w:r w:rsidRPr="00B335B6">
        <w:rPr>
          <w:rFonts w:ascii="Times New Roman" w:eastAsia="Times New Roman" w:hAnsi="Times New Roman" w:cs="Times New Roman"/>
          <w:b/>
          <w:bCs/>
          <w:sz w:val="24"/>
          <w:szCs w:val="24"/>
          <w:lang w:eastAsia="en-GB"/>
        </w:rPr>
        <w:t>ETo</w:t>
      </w:r>
      <w:proofErr w:type="spellEnd"/>
      <w:r w:rsidRPr="00B335B6">
        <w:rPr>
          <w:rFonts w:ascii="Times New Roman" w:eastAsia="Times New Roman" w:hAnsi="Times New Roman" w:cs="Times New Roman"/>
          <w:b/>
          <w:bCs/>
          <w:sz w:val="24"/>
          <w:szCs w:val="24"/>
          <w:lang w:eastAsia="en-GB"/>
        </w:rPr>
        <w:t xml:space="preserve"> values</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2487"/>
        <w:gridCol w:w="2218"/>
        <w:gridCol w:w="30"/>
        <w:gridCol w:w="2353"/>
        <w:gridCol w:w="2835"/>
      </w:tblGrid>
      <w:tr w:rsidR="00B335B6" w:rsidRPr="00B335B6" w14:paraId="013FF682" w14:textId="77777777" w:rsidTr="00AA3CC6">
        <w:trPr>
          <w:tblHeader/>
          <w:tblCellSpacing w:w="15" w:type="dxa"/>
        </w:trPr>
        <w:tc>
          <w:tcPr>
            <w:tcW w:w="0" w:type="auto"/>
            <w:vAlign w:val="center"/>
            <w:hideMark/>
          </w:tcPr>
          <w:p w14:paraId="10C8FEB1"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Statistical indicator</w:t>
            </w:r>
          </w:p>
        </w:tc>
        <w:tc>
          <w:tcPr>
            <w:tcW w:w="0" w:type="auto"/>
            <w:vAlign w:val="center"/>
            <w:hideMark/>
          </w:tcPr>
          <w:p w14:paraId="09DF7571"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Symbol / formula</w:t>
            </w:r>
          </w:p>
        </w:tc>
        <w:tc>
          <w:tcPr>
            <w:tcW w:w="2353" w:type="dxa"/>
            <w:gridSpan w:val="2"/>
            <w:vAlign w:val="center"/>
            <w:hideMark/>
          </w:tcPr>
          <w:p w14:paraId="5CA918CF"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Result</w:t>
            </w:r>
          </w:p>
        </w:tc>
        <w:tc>
          <w:tcPr>
            <w:tcW w:w="2790" w:type="dxa"/>
            <w:vAlign w:val="center"/>
            <w:hideMark/>
          </w:tcPr>
          <w:p w14:paraId="5E29B635" w14:textId="77777777" w:rsidR="00B335B6" w:rsidRPr="00B335B6" w:rsidRDefault="00B335B6" w:rsidP="00AA3CC6">
            <w:pPr>
              <w:spacing w:after="0" w:line="240" w:lineRule="auto"/>
              <w:jc w:val="both"/>
              <w:rPr>
                <w:rFonts w:ascii="Times New Roman" w:eastAsia="Times New Roman" w:hAnsi="Times New Roman" w:cs="Times New Roman"/>
                <w:b/>
                <w:bCs/>
                <w:sz w:val="24"/>
                <w:szCs w:val="24"/>
                <w:lang w:eastAsia="en-GB"/>
              </w:rPr>
            </w:pPr>
            <w:r w:rsidRPr="00B335B6">
              <w:rPr>
                <w:rFonts w:ascii="Times New Roman" w:eastAsia="Times New Roman" w:hAnsi="Times New Roman" w:cs="Times New Roman"/>
                <w:b/>
                <w:bCs/>
                <w:sz w:val="24"/>
                <w:szCs w:val="24"/>
                <w:lang w:eastAsia="en-GB"/>
              </w:rPr>
              <w:t>Interpretation</w:t>
            </w:r>
          </w:p>
        </w:tc>
      </w:tr>
      <w:tr w:rsidR="00B335B6" w:rsidRPr="00B335B6" w14:paraId="39C1F680" w14:textId="77777777" w:rsidTr="00AA3CC6">
        <w:trPr>
          <w:tblCellSpacing w:w="15" w:type="dxa"/>
        </w:trPr>
        <w:tc>
          <w:tcPr>
            <w:tcW w:w="0" w:type="auto"/>
            <w:vAlign w:val="center"/>
            <w:hideMark/>
          </w:tcPr>
          <w:p w14:paraId="0DE0983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Pearson’s correlation coefficient</w:t>
            </w:r>
          </w:p>
        </w:tc>
        <w:tc>
          <w:tcPr>
            <w:tcW w:w="0" w:type="auto"/>
            <w:vAlign w:val="center"/>
            <w:hideMark/>
          </w:tcPr>
          <w:p w14:paraId="7C3D5325" w14:textId="302A2D20" w:rsidR="00B335B6" w:rsidRPr="00B335B6" w:rsidRDefault="00AA3CC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R</w:t>
            </w:r>
          </w:p>
        </w:tc>
        <w:tc>
          <w:tcPr>
            <w:tcW w:w="2353" w:type="dxa"/>
            <w:gridSpan w:val="2"/>
            <w:vAlign w:val="center"/>
            <w:hideMark/>
          </w:tcPr>
          <w:p w14:paraId="57ABA8D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0.93</w:t>
            </w:r>
          </w:p>
        </w:tc>
        <w:tc>
          <w:tcPr>
            <w:tcW w:w="2790" w:type="dxa"/>
            <w:vAlign w:val="center"/>
            <w:hideMark/>
          </w:tcPr>
          <w:p w14:paraId="6F7A169A"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Very strong linear relationship</w:t>
            </w:r>
          </w:p>
        </w:tc>
      </w:tr>
      <w:tr w:rsidR="00B335B6" w:rsidRPr="00B335B6" w14:paraId="0909E873" w14:textId="77777777" w:rsidTr="00AA3CC6">
        <w:trPr>
          <w:tblCellSpacing w:w="15" w:type="dxa"/>
        </w:trPr>
        <w:tc>
          <w:tcPr>
            <w:tcW w:w="0" w:type="auto"/>
            <w:vAlign w:val="center"/>
            <w:hideMark/>
          </w:tcPr>
          <w:p w14:paraId="611A5D59"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Coefficient of determination</w:t>
            </w:r>
          </w:p>
        </w:tc>
        <w:tc>
          <w:tcPr>
            <w:tcW w:w="2728" w:type="dxa"/>
            <w:gridSpan w:val="2"/>
            <w:vAlign w:val="center"/>
            <w:hideMark/>
          </w:tcPr>
          <w:p w14:paraId="4B7BF8C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i/>
                <w:iCs/>
                <w:sz w:val="24"/>
                <w:szCs w:val="24"/>
                <w:lang w:eastAsia="en-GB"/>
              </w:rPr>
              <w:t>R²</w:t>
            </w:r>
          </w:p>
        </w:tc>
        <w:tc>
          <w:tcPr>
            <w:tcW w:w="1813" w:type="dxa"/>
            <w:vAlign w:val="center"/>
            <w:hideMark/>
          </w:tcPr>
          <w:p w14:paraId="6E047F4D"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0.86</w:t>
            </w:r>
          </w:p>
        </w:tc>
        <w:tc>
          <w:tcPr>
            <w:tcW w:w="2790" w:type="dxa"/>
            <w:vAlign w:val="center"/>
            <w:hideMark/>
          </w:tcPr>
          <w:p w14:paraId="3D949AF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86 % of variance explained by model</w:t>
            </w:r>
          </w:p>
        </w:tc>
      </w:tr>
      <w:tr w:rsidR="00B335B6" w:rsidRPr="00B335B6" w14:paraId="7BBB1C1B" w14:textId="77777777" w:rsidTr="00AA3CC6">
        <w:trPr>
          <w:tblCellSpacing w:w="15" w:type="dxa"/>
        </w:trPr>
        <w:tc>
          <w:tcPr>
            <w:tcW w:w="0" w:type="auto"/>
            <w:vAlign w:val="center"/>
            <w:hideMark/>
          </w:tcPr>
          <w:p w14:paraId="5C273AC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Mean bias error</w:t>
            </w:r>
          </w:p>
        </w:tc>
        <w:tc>
          <w:tcPr>
            <w:tcW w:w="0" w:type="auto"/>
            <w:vAlign w:val="center"/>
            <w:hideMark/>
          </w:tcPr>
          <w:p w14:paraId="6806A434"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 xml:space="preserve">MBE = </w:t>
            </w:r>
            <w:proofErr w:type="gramStart"/>
            <w:r w:rsidRPr="00B335B6">
              <w:rPr>
                <w:rFonts w:ascii="Times New Roman" w:eastAsia="Times New Roman" w:hAnsi="Times New Roman" w:cs="Times New Roman"/>
                <w:sz w:val="24"/>
                <w:szCs w:val="24"/>
                <w:lang w:eastAsia="en-GB"/>
              </w:rPr>
              <w:t>Σ(</w:t>
            </w:r>
            <w:proofErr w:type="gramEnd"/>
            <w:r w:rsidRPr="00B335B6">
              <w:rPr>
                <w:rFonts w:ascii="Times New Roman" w:eastAsia="Times New Roman" w:hAnsi="Times New Roman" w:cs="Times New Roman"/>
                <w:sz w:val="24"/>
                <w:szCs w:val="24"/>
                <w:lang w:eastAsia="en-GB"/>
              </w:rPr>
              <w:t>App − NASA)/n</w:t>
            </w:r>
          </w:p>
        </w:tc>
        <w:tc>
          <w:tcPr>
            <w:tcW w:w="2353" w:type="dxa"/>
            <w:gridSpan w:val="2"/>
            <w:vAlign w:val="center"/>
            <w:hideMark/>
          </w:tcPr>
          <w:p w14:paraId="61D65CC5"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+0.03 mm day⁻¹</w:t>
            </w:r>
          </w:p>
        </w:tc>
        <w:tc>
          <w:tcPr>
            <w:tcW w:w="2790" w:type="dxa"/>
            <w:vAlign w:val="center"/>
            <w:hideMark/>
          </w:tcPr>
          <w:p w14:paraId="77B1D166"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Slight positive bias</w:t>
            </w:r>
          </w:p>
        </w:tc>
      </w:tr>
      <w:tr w:rsidR="00B335B6" w:rsidRPr="00B335B6" w14:paraId="658670B2" w14:textId="77777777" w:rsidTr="00AA3CC6">
        <w:trPr>
          <w:tblCellSpacing w:w="15" w:type="dxa"/>
        </w:trPr>
        <w:tc>
          <w:tcPr>
            <w:tcW w:w="0" w:type="auto"/>
            <w:vAlign w:val="center"/>
            <w:hideMark/>
          </w:tcPr>
          <w:p w14:paraId="543220E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Root mean square error</w:t>
            </w:r>
          </w:p>
        </w:tc>
        <w:tc>
          <w:tcPr>
            <w:tcW w:w="0" w:type="auto"/>
            <w:vAlign w:val="center"/>
            <w:hideMark/>
          </w:tcPr>
          <w:p w14:paraId="222644AC"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RMSE = √</w:t>
            </w:r>
            <w:proofErr w:type="gramStart"/>
            <w:r w:rsidRPr="00B335B6">
              <w:rPr>
                <w:rFonts w:ascii="Times New Roman" w:eastAsia="Times New Roman" w:hAnsi="Times New Roman" w:cs="Times New Roman"/>
                <w:sz w:val="24"/>
                <w:szCs w:val="24"/>
                <w:lang w:eastAsia="en-GB"/>
              </w:rPr>
              <w:t>Σ(</w:t>
            </w:r>
            <w:proofErr w:type="gramEnd"/>
            <w:r w:rsidRPr="00B335B6">
              <w:rPr>
                <w:rFonts w:ascii="Times New Roman" w:eastAsia="Times New Roman" w:hAnsi="Times New Roman" w:cs="Times New Roman"/>
                <w:sz w:val="24"/>
                <w:szCs w:val="24"/>
                <w:lang w:eastAsia="en-GB"/>
              </w:rPr>
              <w:t>App − NASA)²/n</w:t>
            </w:r>
          </w:p>
        </w:tc>
        <w:tc>
          <w:tcPr>
            <w:tcW w:w="2353" w:type="dxa"/>
            <w:gridSpan w:val="2"/>
            <w:vAlign w:val="center"/>
            <w:hideMark/>
          </w:tcPr>
          <w:p w14:paraId="312537C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b/>
                <w:bCs/>
                <w:sz w:val="24"/>
                <w:szCs w:val="24"/>
                <w:lang w:eastAsia="en-GB"/>
              </w:rPr>
              <w:t>0.05 mm day⁻¹</w:t>
            </w:r>
          </w:p>
        </w:tc>
        <w:tc>
          <w:tcPr>
            <w:tcW w:w="2790" w:type="dxa"/>
            <w:vAlign w:val="center"/>
            <w:hideMark/>
          </w:tcPr>
          <w:p w14:paraId="7BD99718"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Negligible random error</w:t>
            </w:r>
          </w:p>
        </w:tc>
      </w:tr>
      <w:tr w:rsidR="00B335B6" w:rsidRPr="00B335B6" w14:paraId="01BE2D4C" w14:textId="77777777" w:rsidTr="00AA3CC6">
        <w:trPr>
          <w:tblCellSpacing w:w="15" w:type="dxa"/>
        </w:trPr>
        <w:tc>
          <w:tcPr>
            <w:tcW w:w="0" w:type="auto"/>
            <w:vAlign w:val="center"/>
            <w:hideMark/>
          </w:tcPr>
          <w:p w14:paraId="719E5BF7"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Mean absolute percentage error</w:t>
            </w:r>
          </w:p>
        </w:tc>
        <w:tc>
          <w:tcPr>
            <w:tcW w:w="0" w:type="auto"/>
            <w:vAlign w:val="center"/>
            <w:hideMark/>
          </w:tcPr>
          <w:p w14:paraId="633B03D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MAPE = Σ</w:t>
            </w:r>
          </w:p>
        </w:tc>
        <w:tc>
          <w:tcPr>
            <w:tcW w:w="2353" w:type="dxa"/>
            <w:gridSpan w:val="2"/>
            <w:vAlign w:val="center"/>
            <w:hideMark/>
          </w:tcPr>
          <w:p w14:paraId="6A1066A3"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App−NASA</w:t>
            </w:r>
          </w:p>
        </w:tc>
        <w:tc>
          <w:tcPr>
            <w:tcW w:w="2790" w:type="dxa"/>
            <w:vAlign w:val="center"/>
            <w:hideMark/>
          </w:tcPr>
          <w:p w14:paraId="123E793F" w14:textId="77777777" w:rsidR="00B335B6" w:rsidRPr="00B335B6" w:rsidRDefault="00B335B6" w:rsidP="00AA3CC6">
            <w:pPr>
              <w:spacing w:after="0" w:line="240" w:lineRule="auto"/>
              <w:jc w:val="both"/>
              <w:rPr>
                <w:rFonts w:ascii="Times New Roman" w:eastAsia="Times New Roman" w:hAnsi="Times New Roman" w:cs="Times New Roman"/>
                <w:sz w:val="24"/>
                <w:szCs w:val="24"/>
                <w:lang w:eastAsia="en-GB"/>
              </w:rPr>
            </w:pPr>
            <w:r w:rsidRPr="00B335B6">
              <w:rPr>
                <w:rFonts w:ascii="Times New Roman" w:eastAsia="Times New Roman" w:hAnsi="Times New Roman" w:cs="Times New Roman"/>
                <w:sz w:val="24"/>
                <w:szCs w:val="24"/>
                <w:lang w:eastAsia="en-GB"/>
              </w:rPr>
              <w:t>/NASA×100</w:t>
            </w:r>
          </w:p>
        </w:tc>
      </w:tr>
    </w:tbl>
    <w:p w14:paraId="2EC46BD8" w14:textId="59BCEB87" w:rsidR="00B335B6" w:rsidRPr="00AA3CC6" w:rsidRDefault="00B335B6" w:rsidP="00AA3CC6">
      <w:pPr>
        <w:jc w:val="both"/>
        <w:rPr>
          <w:rFonts w:ascii="Times New Roman" w:hAnsi="Times New Roman" w:cs="Times New Roman"/>
          <w:sz w:val="24"/>
          <w:szCs w:val="24"/>
        </w:rPr>
      </w:pPr>
    </w:p>
    <w:p w14:paraId="3FA4832B" w14:textId="32DEA2CB" w:rsidR="00B335B6" w:rsidRPr="00AA3CC6" w:rsidRDefault="00B335B6" w:rsidP="00AA3CC6">
      <w:pPr>
        <w:jc w:val="both"/>
        <w:rPr>
          <w:rFonts w:ascii="Times New Roman" w:hAnsi="Times New Roman" w:cs="Times New Roman"/>
          <w:sz w:val="24"/>
          <w:szCs w:val="24"/>
        </w:rPr>
      </w:pPr>
    </w:p>
    <w:p w14:paraId="2218273B" w14:textId="59285CBA" w:rsidR="00B335B6" w:rsidRPr="00AA3CC6" w:rsidRDefault="00B335B6" w:rsidP="00AA3CC6">
      <w:pPr>
        <w:jc w:val="both"/>
        <w:rPr>
          <w:rFonts w:ascii="Times New Roman" w:hAnsi="Times New Roman" w:cs="Times New Roman"/>
          <w:b/>
          <w:bCs/>
          <w:sz w:val="24"/>
          <w:szCs w:val="24"/>
        </w:rPr>
      </w:pPr>
      <w:r w:rsidRPr="00AA3CC6">
        <w:rPr>
          <w:rFonts w:ascii="Times New Roman" w:hAnsi="Times New Roman" w:cs="Times New Roman"/>
          <w:b/>
          <w:bCs/>
          <w:sz w:val="24"/>
          <w:szCs w:val="24"/>
        </w:rPr>
        <w:t xml:space="preserve">3.2 Discussion </w:t>
      </w:r>
    </w:p>
    <w:p w14:paraId="0719649E" w14:textId="77777777" w:rsidR="00860843" w:rsidRPr="00AA3CC6" w:rsidRDefault="00860843" w:rsidP="00AA3CC6">
      <w:pPr>
        <w:pStyle w:val="NormalWeb"/>
        <w:jc w:val="both"/>
      </w:pPr>
      <w:r w:rsidRPr="00AA3CC6">
        <w:t>The strong agreement observed between the evapotranspiration (</w:t>
      </w:r>
      <w:proofErr w:type="spellStart"/>
      <w:r w:rsidRPr="00AA3CC6">
        <w:t>ETo</w:t>
      </w:r>
      <w:proofErr w:type="spellEnd"/>
      <w:r w:rsidRPr="00AA3CC6">
        <w:t xml:space="preserve">) values computed by the developed Flutter-based application and those generated from the NASA POWER database </w:t>
      </w:r>
      <w:r w:rsidRPr="00AA3CC6">
        <w:lastRenderedPageBreak/>
        <w:t xml:space="preserve">validates the effectiveness of integrating the FAO-56 Penman–Monteith (FAO-56 PM) model into mobile computational frameworks. The application achieved a high correlation coefficient (r = 0.93) and coefficient of determination (R² = 0.86), confirming that nearly 86 % of the variation in NASA-derived </w:t>
      </w:r>
      <w:proofErr w:type="spellStart"/>
      <w:r w:rsidRPr="00AA3CC6">
        <w:t>ETo</w:t>
      </w:r>
      <w:proofErr w:type="spellEnd"/>
      <w:r w:rsidRPr="00AA3CC6">
        <w:t xml:space="preserve"> values was explained by the app’s predictions. The mean bias of only +0.03 mm day⁻¹ (≈ 1.3 %) and a root mean square error (RMSE) of 0.05 mm day⁻¹ further demonstrate that the mobile algorithm provides robust and stable outputs under tropical climatic conditions.</w:t>
      </w:r>
    </w:p>
    <w:p w14:paraId="7435AC68" w14:textId="77777777" w:rsidR="00860843" w:rsidRPr="00AA3CC6" w:rsidRDefault="00860843" w:rsidP="00AA3CC6">
      <w:pPr>
        <w:pStyle w:val="NormalWeb"/>
        <w:jc w:val="both"/>
      </w:pPr>
      <w:r w:rsidRPr="00AA3CC6">
        <w:t xml:space="preserve">These findings are consistent with the precision ranges reported for existing evapotranspiration tools developed under comparable conditions. For instance, </w:t>
      </w:r>
      <w:r w:rsidRPr="00AA3CC6">
        <w:rPr>
          <w:rStyle w:val="Emphasis"/>
        </w:rPr>
        <w:t>EVAPO</w:t>
      </w:r>
      <w:r w:rsidRPr="00AA3CC6">
        <w:t xml:space="preserve"> (Maldonado et al., 2019) and </w:t>
      </w:r>
      <w:proofErr w:type="spellStart"/>
      <w:r w:rsidRPr="00AA3CC6">
        <w:rPr>
          <w:rStyle w:val="Emphasis"/>
        </w:rPr>
        <w:t>EvapoCalc</w:t>
      </w:r>
      <w:proofErr w:type="spellEnd"/>
      <w:r w:rsidRPr="00AA3CC6">
        <w:t xml:space="preserve"> (Francisco et al., 2018) applications, which utilise cloud-based meteorological inputs, recorded coefficients of determination (R²) of 0.84 and 0.83 respectively. Similarly, the open-source </w:t>
      </w:r>
      <w:r w:rsidRPr="00AA3CC6">
        <w:rPr>
          <w:rStyle w:val="Strong"/>
        </w:rPr>
        <w:t>pyfao56</w:t>
      </w:r>
      <w:r w:rsidRPr="00AA3CC6">
        <w:t xml:space="preserve"> Python library attained comparable accuracy in computing </w:t>
      </w:r>
      <w:proofErr w:type="spellStart"/>
      <w:r w:rsidRPr="00AA3CC6">
        <w:t>ETo</w:t>
      </w:r>
      <w:proofErr w:type="spellEnd"/>
      <w:r w:rsidRPr="00AA3CC6">
        <w:t xml:space="preserve"> under various climatic scenarios (Thorp, 2022). The high performance of the Flutter-based app therefore demonstrates that near real-time evapotranspiration estimation is achievable through mobile architectures without compromising computational reliability.</w:t>
      </w:r>
    </w:p>
    <w:p w14:paraId="4A23F5A9" w14:textId="77777777" w:rsidR="00860843" w:rsidRPr="00AA3CC6" w:rsidRDefault="00860843" w:rsidP="00AA3CC6">
      <w:pPr>
        <w:pStyle w:val="NormalWeb"/>
        <w:jc w:val="both"/>
      </w:pPr>
      <w:r w:rsidRPr="00AA3CC6">
        <w:t xml:space="preserve">The integration of the FAO-56 PM equation within the app provides a physically grounded estimation of </w:t>
      </w:r>
      <w:proofErr w:type="spellStart"/>
      <w:r w:rsidRPr="00AA3CC6">
        <w:t>ETo</w:t>
      </w:r>
      <w:proofErr w:type="spellEnd"/>
      <w:r w:rsidRPr="00AA3CC6">
        <w:t xml:space="preserve">, combining aerodynamic and radiative components to simulate energy balance across the crop–atmosphere interface. Allen and Pereira (1998) identified the FAO-56 PM model as the most universally applicable method because it reflects both physiological and aerodynamic influences on evapotranspiration. By adopting this equation, the developed app benefits from an internationally validated standard that maintains consistency across diverse </w:t>
      </w:r>
      <w:proofErr w:type="spellStart"/>
      <w:r w:rsidRPr="00AA3CC6">
        <w:t>agro</w:t>
      </w:r>
      <w:proofErr w:type="spellEnd"/>
      <w:r w:rsidRPr="00AA3CC6">
        <w:t>-ecological zones.</w:t>
      </w:r>
    </w:p>
    <w:p w14:paraId="6094332D" w14:textId="77777777" w:rsidR="00860843" w:rsidRPr="00AA3CC6" w:rsidRDefault="00860843" w:rsidP="00AA3CC6">
      <w:pPr>
        <w:pStyle w:val="NormalWeb"/>
        <w:jc w:val="both"/>
      </w:pPr>
      <w:r w:rsidRPr="00AA3CC6">
        <w:t xml:space="preserve">In the present validation, meteorological parameters—temperature, humidity, and wind speed—were all within the tolerance thresholds established by the Food and Agriculture Organization (FAO). Minor differences between app-based and NASA datasets, particularly the slightly elevated mean temperature (+0.35 °C) and marginally reduced humidity (−0.9 %), were attributed to diurnal variations associated with API-based sampling. According to Cunha et al. (2021), solar radiation and vapour-pressure gradients fluctuate rapidly under tropical daylight conditions, often yielding minor deviations when short-interval data are aggregated to daily averages. The adoption of 24-hour averaging in the current study effectively minimised this bias, producing results that align closely with the long-term radiative behaviour observed by </w:t>
      </w:r>
      <w:proofErr w:type="spellStart"/>
      <w:r w:rsidRPr="00AA3CC6">
        <w:t>Mecikalski</w:t>
      </w:r>
      <w:proofErr w:type="spellEnd"/>
      <w:r w:rsidRPr="00AA3CC6">
        <w:t xml:space="preserve"> et al. (2018) in high-resolution satellite datasets.</w:t>
      </w:r>
    </w:p>
    <w:p w14:paraId="307C3CEF" w14:textId="77777777" w:rsidR="00860843" w:rsidRPr="00AA3CC6" w:rsidRDefault="00860843" w:rsidP="00AA3CC6">
      <w:pPr>
        <w:pStyle w:val="NormalWeb"/>
        <w:jc w:val="both"/>
      </w:pPr>
      <w:r w:rsidRPr="00AA3CC6">
        <w:t xml:space="preserve">The model’s strong sensitivity to aerodynamic parameters was also evident. Wind speed exhibited the highest correlation with </w:t>
      </w:r>
      <w:proofErr w:type="spellStart"/>
      <w:r w:rsidRPr="00AA3CC6">
        <w:t>ETo</w:t>
      </w:r>
      <w:proofErr w:type="spellEnd"/>
      <w:r w:rsidRPr="00AA3CC6">
        <w:t xml:space="preserve"> (r = 0.88), consistent with the FAO-56 PM model’s emphasis on vapour transport across the boundary layer (Pandey &amp; Pandey, 2020). Comparable relationships have been documented in Nigerian hydrometeorological studies, where wind variability strongly influences evapotranspiration and recharge dynamics (</w:t>
      </w:r>
      <w:proofErr w:type="spellStart"/>
      <w:r w:rsidRPr="00AA3CC6">
        <w:t>Okpoji</w:t>
      </w:r>
      <w:proofErr w:type="spellEnd"/>
      <w:r w:rsidRPr="00AA3CC6">
        <w:t xml:space="preserve"> et al., 2025; </w:t>
      </w:r>
      <w:proofErr w:type="spellStart"/>
      <w:r w:rsidRPr="00AA3CC6">
        <w:t>Ekwere</w:t>
      </w:r>
      <w:proofErr w:type="spellEnd"/>
      <w:r w:rsidRPr="00AA3CC6">
        <w:t xml:space="preserve"> et al., 2025). </w:t>
      </w:r>
      <w:proofErr w:type="spellStart"/>
      <w:r w:rsidRPr="00AA3CC6">
        <w:t>Okpoji</w:t>
      </w:r>
      <w:proofErr w:type="spellEnd"/>
      <w:r w:rsidRPr="00AA3CC6">
        <w:t xml:space="preserve"> et al. (2025) highlighted that regional fluctuations in air circulation significantly control groundwater–surface interactions and hence evapotranspiration demand in the Niger Delta. Similarly, </w:t>
      </w:r>
      <w:proofErr w:type="spellStart"/>
      <w:r w:rsidRPr="00AA3CC6">
        <w:t>Ekwere</w:t>
      </w:r>
      <w:proofErr w:type="spellEnd"/>
      <w:r w:rsidRPr="00AA3CC6">
        <w:t xml:space="preserve"> et al. (2025) observed that climatic oscillations in temperature and wind regimes affect moisture loss and energy flux in </w:t>
      </w:r>
      <w:proofErr w:type="spellStart"/>
      <w:r w:rsidRPr="00AA3CC6">
        <w:t>agro</w:t>
      </w:r>
      <w:proofErr w:type="spellEnd"/>
      <w:r w:rsidRPr="00AA3CC6">
        <w:t xml:space="preserve">-ecosystems of southern Nigeria. The close match between app-derived and NASA </w:t>
      </w:r>
      <w:proofErr w:type="spellStart"/>
      <w:r w:rsidRPr="00AA3CC6">
        <w:t>ETo</w:t>
      </w:r>
      <w:proofErr w:type="spellEnd"/>
      <w:r w:rsidRPr="00AA3CC6">
        <w:t xml:space="preserve"> values thus reflects the model’s capacity to capture these critical environmental interactions even under data-limited conditions.</w:t>
      </w:r>
    </w:p>
    <w:p w14:paraId="293A72C5" w14:textId="77777777" w:rsidR="00860843" w:rsidRPr="00AA3CC6" w:rsidRDefault="00860843" w:rsidP="00AA3CC6">
      <w:pPr>
        <w:pStyle w:val="NormalWeb"/>
        <w:jc w:val="both"/>
      </w:pPr>
      <w:r w:rsidRPr="00AA3CC6">
        <w:lastRenderedPageBreak/>
        <w:t>The comparative regression analysis between the developed app and NASA POWER outputs yielded a near-unity slope (0.98) and negligible intercept, underscoring the model’s predictive linearity. Such performance demonstrates that the underlying computational architecture—implemented through Dart and Flutter—is sufficiently precise to handle the iterative calculations required by the FAO-56 PM model. This level of agreement surpasses earlier empirical approaches that relied on temperature-only models such as Hargreaves–</w:t>
      </w:r>
      <w:proofErr w:type="spellStart"/>
      <w:r w:rsidRPr="00AA3CC6">
        <w:t>Samani</w:t>
      </w:r>
      <w:proofErr w:type="spellEnd"/>
      <w:r w:rsidRPr="00AA3CC6">
        <w:t>, which typically produce R² values between 0.60 and 0.70 in tropical climates (</w:t>
      </w:r>
      <w:proofErr w:type="spellStart"/>
      <w:r w:rsidRPr="00AA3CC6">
        <w:t>Azhar</w:t>
      </w:r>
      <w:proofErr w:type="spellEnd"/>
      <w:r w:rsidRPr="00AA3CC6">
        <w:t xml:space="preserve"> &amp; </w:t>
      </w:r>
      <w:proofErr w:type="spellStart"/>
      <w:r w:rsidRPr="00AA3CC6">
        <w:t>Perera</w:t>
      </w:r>
      <w:proofErr w:type="spellEnd"/>
      <w:r w:rsidRPr="00AA3CC6">
        <w:t xml:space="preserve">, 2011; </w:t>
      </w:r>
      <w:proofErr w:type="spellStart"/>
      <w:r w:rsidRPr="00AA3CC6">
        <w:t>Rajavel</w:t>
      </w:r>
      <w:proofErr w:type="spellEnd"/>
      <w:r w:rsidRPr="00AA3CC6">
        <w:t xml:space="preserve"> et al., 2022). The use of full meteorological inputs (temperature, humidity, wind, and radiation) in the Flutter-based app therefore enhances physical realism and predictive accuracy.</w:t>
      </w:r>
    </w:p>
    <w:p w14:paraId="4251B028" w14:textId="77777777" w:rsidR="00860843" w:rsidRPr="00AA3CC6" w:rsidRDefault="00860843" w:rsidP="00AA3CC6">
      <w:pPr>
        <w:pStyle w:val="NormalWeb"/>
        <w:jc w:val="both"/>
      </w:pPr>
      <w:r w:rsidRPr="00AA3CC6">
        <w:t xml:space="preserve">The broader implications of these findings for agricultural water management in Nigeria are substantial. Accurate </w:t>
      </w:r>
      <w:proofErr w:type="spellStart"/>
      <w:r w:rsidRPr="00AA3CC6">
        <w:t>ETo</w:t>
      </w:r>
      <w:proofErr w:type="spellEnd"/>
      <w:r w:rsidRPr="00AA3CC6">
        <w:t xml:space="preserve"> estimation is critical for irrigation scheduling, groundwater abstraction planning, and crop-water requirement assessments. In many parts of Nigeria, limited access to meteorological stations and the absence of automated irrigation systems hinder optimal water allocation. The present application offers a solution by providing farmers and extension officers with a low-cost, portable, and real-time tool for assessing crop water demand. This aligns with the findings of </w:t>
      </w:r>
      <w:proofErr w:type="spellStart"/>
      <w:r w:rsidRPr="00AA3CC6">
        <w:t>Migliaccio</w:t>
      </w:r>
      <w:proofErr w:type="spellEnd"/>
      <w:r w:rsidRPr="00AA3CC6">
        <w:t xml:space="preserve"> et al. (2016), who demonstrated that mobile decision-support systems can significantly improve water-use efficiency in smallholder irrigation networks.</w:t>
      </w:r>
    </w:p>
    <w:p w14:paraId="52DFB809" w14:textId="77777777" w:rsidR="00860843" w:rsidRPr="00AA3CC6" w:rsidRDefault="00860843" w:rsidP="00AA3CC6">
      <w:pPr>
        <w:pStyle w:val="NormalWeb"/>
        <w:jc w:val="both"/>
      </w:pPr>
      <w:r w:rsidRPr="00AA3CC6">
        <w:t xml:space="preserve">The app’s open-source structure, developed on the Flutter framework, enables flexibility for further integration with environmental monitoring tools. For example, data from the current app can be synchronised with the hydrogeochemical and </w:t>
      </w:r>
      <w:proofErr w:type="spellStart"/>
      <w:r w:rsidRPr="00AA3CC6">
        <w:t>agro</w:t>
      </w:r>
      <w:proofErr w:type="spellEnd"/>
      <w:r w:rsidRPr="00AA3CC6">
        <w:t xml:space="preserve">-nutrient datasets developed by </w:t>
      </w:r>
      <w:proofErr w:type="spellStart"/>
      <w:r w:rsidRPr="00AA3CC6">
        <w:t>Ekwere</w:t>
      </w:r>
      <w:proofErr w:type="spellEnd"/>
      <w:r w:rsidRPr="00AA3CC6">
        <w:t xml:space="preserve"> et al. (2025) to support multi-parameter decision models for sustainable land and water management. Similarly, the platform could complement hydrocarbon and heavy-metal pollution monitoring frameworks reported by </w:t>
      </w:r>
      <w:proofErr w:type="spellStart"/>
      <w:r w:rsidRPr="00AA3CC6">
        <w:t>Okpoji</w:t>
      </w:r>
      <w:proofErr w:type="spellEnd"/>
      <w:r w:rsidRPr="00AA3CC6">
        <w:t xml:space="preserve"> et al. (2025), thereby providing a unified interface for environmental diagnostics and resource optimisation.</w:t>
      </w:r>
    </w:p>
    <w:p w14:paraId="6BA41260" w14:textId="77777777" w:rsidR="00860843" w:rsidRPr="00AA3CC6" w:rsidRDefault="00860843" w:rsidP="00AA3CC6">
      <w:pPr>
        <w:pStyle w:val="NormalWeb"/>
        <w:jc w:val="both"/>
      </w:pPr>
      <w:r w:rsidRPr="00AA3CC6">
        <w:t xml:space="preserve">Despite the strong validation results, certain limitations must be acknowledged. The validation dataset covered only eleven consecutive days, restricting temporal representativeness. Longer-term validation across wet and dry seasons would better capture Nigeria’s pronounced climatic variability. Moreover, although hourly data were aggregated to daily means, subtle asynchronous shifts in data timing between the </w:t>
      </w:r>
      <w:proofErr w:type="spellStart"/>
      <w:r w:rsidRPr="00AA3CC6">
        <w:t>OpenWeatherMap</w:t>
      </w:r>
      <w:proofErr w:type="spellEnd"/>
      <w:r w:rsidRPr="00AA3CC6">
        <w:t xml:space="preserve"> and NASA POWER APIs may still contribute to minor discrepancies. Future versions of the application should therefore implement hourly comparisons with NASA’s sub-daily outputs and local weather-station readings.</w:t>
      </w:r>
    </w:p>
    <w:p w14:paraId="1061D64D" w14:textId="77777777" w:rsidR="00860843" w:rsidRPr="00AA3CC6" w:rsidRDefault="00860843" w:rsidP="00AA3CC6">
      <w:pPr>
        <w:pStyle w:val="NormalWeb"/>
        <w:jc w:val="both"/>
      </w:pPr>
      <w:r w:rsidRPr="00AA3CC6">
        <w:t>Emerging computational approaches, such as artificial-intelligence-based calibration and hybrid radiation models (Antonopoulos &amp; Antonopoulos, 2017; Cunha et al., 2021), could further enhance the model’s predictive stability. Additionally, coupling the app with automatic soil-moisture sensors and satellite-based evapotranspiration indices would facilitate dynamic feedback control in precision irrigation. By enabling data fusion across multiple spatial and temporal scales, such integration would advance Nigeria’s transition toward climate-smart agriculture and sustainable groundwater utilisation (</w:t>
      </w:r>
      <w:proofErr w:type="spellStart"/>
      <w:r w:rsidRPr="00AA3CC6">
        <w:t>Okpoji</w:t>
      </w:r>
      <w:proofErr w:type="spellEnd"/>
      <w:r w:rsidRPr="00AA3CC6">
        <w:t xml:space="preserve"> et al., 2025; </w:t>
      </w:r>
      <w:proofErr w:type="spellStart"/>
      <w:r w:rsidRPr="00AA3CC6">
        <w:t>Ekwere</w:t>
      </w:r>
      <w:proofErr w:type="spellEnd"/>
      <w:r w:rsidRPr="00AA3CC6">
        <w:t xml:space="preserve"> et al., 2025).</w:t>
      </w:r>
    </w:p>
    <w:p w14:paraId="7C7A2A47" w14:textId="3A1E9E94" w:rsidR="00B335B6" w:rsidRPr="00AA3CC6" w:rsidRDefault="00860843" w:rsidP="00AA3CC6">
      <w:pPr>
        <w:jc w:val="both"/>
        <w:rPr>
          <w:rFonts w:ascii="Times New Roman" w:hAnsi="Times New Roman" w:cs="Times New Roman"/>
          <w:sz w:val="24"/>
          <w:szCs w:val="24"/>
        </w:rPr>
      </w:pPr>
      <w:r w:rsidRPr="00AA3CC6">
        <w:rPr>
          <w:rStyle w:val="Strong"/>
          <w:rFonts w:ascii="Times New Roman" w:hAnsi="Times New Roman" w:cs="Times New Roman"/>
          <w:sz w:val="24"/>
          <w:szCs w:val="24"/>
        </w:rPr>
        <w:t>Conclusion</w:t>
      </w:r>
      <w:r w:rsidRPr="00AA3CC6">
        <w:rPr>
          <w:rFonts w:ascii="Times New Roman" w:hAnsi="Times New Roman" w:cs="Times New Roman"/>
          <w:sz w:val="24"/>
          <w:szCs w:val="24"/>
        </w:rPr>
        <w:br/>
        <w:t xml:space="preserve">The developed Flutter-based Android application successfully implements the FAO-56 PM model for near real-time </w:t>
      </w:r>
      <w:proofErr w:type="spellStart"/>
      <w:r w:rsidRPr="00AA3CC6">
        <w:rPr>
          <w:rFonts w:ascii="Times New Roman" w:hAnsi="Times New Roman" w:cs="Times New Roman"/>
          <w:sz w:val="24"/>
          <w:szCs w:val="24"/>
        </w:rPr>
        <w:t>ETo</w:t>
      </w:r>
      <w:proofErr w:type="spellEnd"/>
      <w:r w:rsidRPr="00AA3CC6">
        <w:rPr>
          <w:rFonts w:ascii="Times New Roman" w:hAnsi="Times New Roman" w:cs="Times New Roman"/>
          <w:sz w:val="24"/>
          <w:szCs w:val="24"/>
        </w:rPr>
        <w:t xml:space="preserve"> estimation and demonstrates high agreement with NASA POWER outputs. Its low data requirement, portability, and cross-platform compatibility make </w:t>
      </w:r>
      <w:r w:rsidRPr="00AA3CC6">
        <w:rPr>
          <w:rFonts w:ascii="Times New Roman" w:hAnsi="Times New Roman" w:cs="Times New Roman"/>
          <w:sz w:val="24"/>
          <w:szCs w:val="24"/>
        </w:rPr>
        <w:lastRenderedPageBreak/>
        <w:t>it a practical tool for sustainable water management and precision irrigation in tropical climates. Future improvements should include long-term multi-season validation, integration with automatic weather stations, and machine-learning calibration to enhance spatial-temporal accuracy. The app’s open-source design further enables adaptation for other environmental applications, contributing to Nigeria’s transition toward climate-smart agriculture and digital hydrological management.</w:t>
      </w:r>
    </w:p>
    <w:p w14:paraId="590252D4" w14:textId="77777777" w:rsidR="00D43CE8" w:rsidRPr="00D43CE8" w:rsidRDefault="00D43CE8" w:rsidP="00D43CE8">
      <w:pPr>
        <w:spacing w:after="200" w:line="276" w:lineRule="auto"/>
        <w:rPr>
          <w:rFonts w:ascii="Calibri" w:eastAsia="Calibri" w:hAnsi="Calibri" w:cs="Times New Roman"/>
          <w:b/>
          <w:kern w:val="2"/>
          <w:lang w:val="en-US"/>
          <w14:ligatures w14:val="standardContextual"/>
        </w:rPr>
      </w:pPr>
      <w:bookmarkStart w:id="0" w:name="_GoBack"/>
      <w:r w:rsidRPr="00D43CE8">
        <w:rPr>
          <w:rFonts w:ascii="Calibri" w:eastAsia="Calibri" w:hAnsi="Calibri" w:cs="Times New Roman"/>
          <w:b/>
          <w:kern w:val="2"/>
          <w:lang w:val="en-US"/>
          <w14:ligatures w14:val="standardContextual"/>
        </w:rPr>
        <w:t>Disclaimer (Artificial intelligence)</w:t>
      </w:r>
    </w:p>
    <w:bookmarkEnd w:id="0"/>
    <w:p w14:paraId="49306329"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 xml:space="preserve">Option 1: </w:t>
      </w:r>
    </w:p>
    <w:p w14:paraId="6058F50F"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Author(s) hereby declare that NO generative AI technologies such as Large Language Models (</w:t>
      </w:r>
      <w:proofErr w:type="spellStart"/>
      <w:r w:rsidRPr="00D43CE8">
        <w:rPr>
          <w:rFonts w:ascii="Calibri" w:eastAsia="Calibri" w:hAnsi="Calibri" w:cs="Times New Roman"/>
          <w:kern w:val="2"/>
          <w:lang w:val="en-US"/>
          <w14:ligatures w14:val="standardContextual"/>
        </w:rPr>
        <w:t>ChatGPT</w:t>
      </w:r>
      <w:proofErr w:type="spellEnd"/>
      <w:r w:rsidRPr="00D43CE8">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14:paraId="4FBE2022"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 xml:space="preserve">Option 2: </w:t>
      </w:r>
    </w:p>
    <w:p w14:paraId="4BE39078"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2A1672"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Details of the AI usage are given below:</w:t>
      </w:r>
    </w:p>
    <w:p w14:paraId="0DABFEDD"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1.</w:t>
      </w:r>
    </w:p>
    <w:p w14:paraId="1A5D2A0C"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2.</w:t>
      </w:r>
    </w:p>
    <w:p w14:paraId="0322C5F6" w14:textId="77777777" w:rsidR="00D43CE8" w:rsidRPr="00D43CE8" w:rsidRDefault="00D43CE8" w:rsidP="00D43CE8">
      <w:pPr>
        <w:spacing w:after="200" w:line="276" w:lineRule="auto"/>
        <w:rPr>
          <w:rFonts w:ascii="Calibri" w:eastAsia="Calibri" w:hAnsi="Calibri" w:cs="Times New Roman"/>
          <w:kern w:val="2"/>
          <w:lang w:val="en-US"/>
          <w14:ligatures w14:val="standardContextual"/>
        </w:rPr>
      </w:pPr>
      <w:r w:rsidRPr="00D43CE8">
        <w:rPr>
          <w:rFonts w:ascii="Calibri" w:eastAsia="Calibri" w:hAnsi="Calibri" w:cs="Times New Roman"/>
          <w:kern w:val="2"/>
          <w:lang w:val="en-US"/>
          <w14:ligatures w14:val="standardContextual"/>
        </w:rPr>
        <w:t>3.</w:t>
      </w:r>
    </w:p>
    <w:p w14:paraId="065CA1A9" w14:textId="77777777" w:rsidR="00D43CE8" w:rsidRDefault="00D43CE8"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p>
    <w:p w14:paraId="203FD3BE" w14:textId="77777777" w:rsidR="00D43CE8" w:rsidRDefault="00D43CE8"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p>
    <w:p w14:paraId="6851B2C0" w14:textId="2AB29661" w:rsidR="00AA3CC6" w:rsidRPr="00873A0C" w:rsidRDefault="00AA3CC6" w:rsidP="00AA3CC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873A0C">
        <w:rPr>
          <w:rFonts w:ascii="Times New Roman" w:eastAsia="Times New Roman" w:hAnsi="Times New Roman" w:cs="Times New Roman"/>
          <w:b/>
          <w:bCs/>
          <w:sz w:val="24"/>
          <w:szCs w:val="24"/>
          <w:lang w:eastAsia="en-GB"/>
        </w:rPr>
        <w:t>References</w:t>
      </w:r>
    </w:p>
    <w:p w14:paraId="21434DB6"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Allen, R. G., &amp; Pereira, L. S. (1998). </w:t>
      </w:r>
      <w:r w:rsidRPr="00873A0C">
        <w:rPr>
          <w:rFonts w:ascii="Times New Roman" w:eastAsia="Times New Roman" w:hAnsi="Times New Roman" w:cs="Times New Roman"/>
          <w:i/>
          <w:iCs/>
          <w:sz w:val="24"/>
          <w:szCs w:val="24"/>
          <w:lang w:eastAsia="en-GB"/>
        </w:rPr>
        <w:t>Crop evapotranspiration: Guidelines for computing crop water requirements (FAO Irrigation and Drainage Paper 56).</w:t>
      </w:r>
      <w:r w:rsidRPr="00873A0C">
        <w:rPr>
          <w:rFonts w:ascii="Times New Roman" w:eastAsia="Times New Roman" w:hAnsi="Times New Roman" w:cs="Times New Roman"/>
          <w:sz w:val="24"/>
          <w:szCs w:val="24"/>
          <w:lang w:eastAsia="en-GB"/>
        </w:rPr>
        <w:t xml:space="preserve"> Food and Agriculture Organization of the United Nations. </w:t>
      </w:r>
      <w:hyperlink r:id="rId4" w:tgtFrame="_new" w:history="1">
        <w:r w:rsidRPr="00873A0C">
          <w:rPr>
            <w:rFonts w:ascii="Times New Roman" w:eastAsia="Times New Roman" w:hAnsi="Times New Roman" w:cs="Times New Roman"/>
            <w:color w:val="0000FF"/>
            <w:sz w:val="24"/>
            <w:szCs w:val="24"/>
            <w:u w:val="single"/>
            <w:lang w:eastAsia="en-GB"/>
          </w:rPr>
          <w:t>https://www.researchgate.net/publication/290988983</w:t>
        </w:r>
      </w:hyperlink>
    </w:p>
    <w:p w14:paraId="2E09106A"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Antonopoulos, V. Z., &amp; Antonopoulos, A. V. (2017). Daily reference evapotranspiration estimates by artificial neural networks technique and empirical equations using limited input climate variables. </w:t>
      </w:r>
      <w:r w:rsidRPr="00873A0C">
        <w:rPr>
          <w:rFonts w:ascii="Times New Roman" w:eastAsia="Times New Roman" w:hAnsi="Times New Roman" w:cs="Times New Roman"/>
          <w:i/>
          <w:iCs/>
          <w:sz w:val="24"/>
          <w:szCs w:val="24"/>
          <w:lang w:eastAsia="en-GB"/>
        </w:rPr>
        <w:t>Computers and Electronics in Agriculture, 132,</w:t>
      </w:r>
      <w:r w:rsidRPr="00873A0C">
        <w:rPr>
          <w:rFonts w:ascii="Times New Roman" w:eastAsia="Times New Roman" w:hAnsi="Times New Roman" w:cs="Times New Roman"/>
          <w:sz w:val="24"/>
          <w:szCs w:val="24"/>
          <w:lang w:eastAsia="en-GB"/>
        </w:rPr>
        <w:t xml:space="preserve"> 86–96. </w:t>
      </w:r>
      <w:hyperlink r:id="rId5" w:tgtFrame="_new" w:history="1">
        <w:r w:rsidRPr="00873A0C">
          <w:rPr>
            <w:rFonts w:ascii="Times New Roman" w:eastAsia="Times New Roman" w:hAnsi="Times New Roman" w:cs="Times New Roman"/>
            <w:color w:val="0000FF"/>
            <w:sz w:val="24"/>
            <w:szCs w:val="24"/>
            <w:u w:val="single"/>
            <w:lang w:eastAsia="en-GB"/>
          </w:rPr>
          <w:t>https://doi.org/10.1016/j.compag.2016.11.010</w:t>
        </w:r>
      </w:hyperlink>
    </w:p>
    <w:p w14:paraId="2CC78F6C"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Cunha, A. C., Filho, L. R. A. G., Tanaka, A. A., Goes, B. C., &amp; Putti, F. F. (2021). Influence of the estimated global solar radiation on the reference evapotranspiration obtained through the Penman–Monteith FAO-56 method. </w:t>
      </w:r>
      <w:r w:rsidRPr="00873A0C">
        <w:rPr>
          <w:rFonts w:ascii="Times New Roman" w:eastAsia="Times New Roman" w:hAnsi="Times New Roman" w:cs="Times New Roman"/>
          <w:i/>
          <w:iCs/>
          <w:sz w:val="24"/>
          <w:szCs w:val="24"/>
          <w:lang w:eastAsia="en-GB"/>
        </w:rPr>
        <w:t>Agricultural Water Management, 243,</w:t>
      </w:r>
      <w:r w:rsidRPr="00873A0C">
        <w:rPr>
          <w:rFonts w:ascii="Times New Roman" w:eastAsia="Times New Roman" w:hAnsi="Times New Roman" w:cs="Times New Roman"/>
          <w:sz w:val="24"/>
          <w:szCs w:val="24"/>
          <w:lang w:eastAsia="en-GB"/>
        </w:rPr>
        <w:t xml:space="preserve"> 106491. </w:t>
      </w:r>
      <w:hyperlink r:id="rId6" w:tgtFrame="_new" w:history="1">
        <w:r w:rsidRPr="00873A0C">
          <w:rPr>
            <w:rFonts w:ascii="Times New Roman" w:eastAsia="Times New Roman" w:hAnsi="Times New Roman" w:cs="Times New Roman"/>
            <w:color w:val="0000FF"/>
            <w:sz w:val="24"/>
            <w:szCs w:val="24"/>
            <w:u w:val="single"/>
            <w:lang w:eastAsia="en-GB"/>
          </w:rPr>
          <w:t>https://doi.org/10.1016/j.agwat.2020.106491</w:t>
        </w:r>
      </w:hyperlink>
    </w:p>
    <w:p w14:paraId="7ED5DEB3"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lastRenderedPageBreak/>
        <w:t>Ekwere</w:t>
      </w:r>
      <w:proofErr w:type="spellEnd"/>
      <w:r w:rsidRPr="00873A0C">
        <w:rPr>
          <w:rFonts w:ascii="Times New Roman" w:eastAsia="Times New Roman" w:hAnsi="Times New Roman" w:cs="Times New Roman"/>
          <w:sz w:val="24"/>
          <w:szCs w:val="24"/>
          <w:lang w:eastAsia="en-GB"/>
        </w:rPr>
        <w:t xml:space="preserve">, I. O., </w:t>
      </w:r>
      <w:proofErr w:type="spellStart"/>
      <w:r w:rsidRPr="00873A0C">
        <w:rPr>
          <w:rFonts w:ascii="Times New Roman" w:eastAsia="Times New Roman" w:hAnsi="Times New Roman" w:cs="Times New Roman"/>
          <w:sz w:val="24"/>
          <w:szCs w:val="24"/>
          <w:lang w:eastAsia="en-GB"/>
        </w:rPr>
        <w:t>Okpoji</w:t>
      </w:r>
      <w:proofErr w:type="spellEnd"/>
      <w:r w:rsidRPr="00873A0C">
        <w:rPr>
          <w:rFonts w:ascii="Times New Roman" w:eastAsia="Times New Roman" w:hAnsi="Times New Roman" w:cs="Times New Roman"/>
          <w:sz w:val="24"/>
          <w:szCs w:val="24"/>
          <w:lang w:eastAsia="en-GB"/>
        </w:rPr>
        <w:t xml:space="preserve">, A. U., </w:t>
      </w:r>
      <w:proofErr w:type="spellStart"/>
      <w:r w:rsidRPr="00873A0C">
        <w:rPr>
          <w:rFonts w:ascii="Times New Roman" w:eastAsia="Times New Roman" w:hAnsi="Times New Roman" w:cs="Times New Roman"/>
          <w:sz w:val="24"/>
          <w:szCs w:val="24"/>
          <w:lang w:eastAsia="en-GB"/>
        </w:rPr>
        <w:t>Ufuoma</w:t>
      </w:r>
      <w:proofErr w:type="spellEnd"/>
      <w:r w:rsidRPr="00873A0C">
        <w:rPr>
          <w:rFonts w:ascii="Times New Roman" w:eastAsia="Times New Roman" w:hAnsi="Times New Roman" w:cs="Times New Roman"/>
          <w:sz w:val="24"/>
          <w:szCs w:val="24"/>
          <w:lang w:eastAsia="en-GB"/>
        </w:rPr>
        <w:t xml:space="preserve">, V. O., Akinola, A. E., Raymond, C. A., Clement, R. O., </w:t>
      </w:r>
      <w:proofErr w:type="spellStart"/>
      <w:r w:rsidRPr="00873A0C">
        <w:rPr>
          <w:rFonts w:ascii="Times New Roman" w:eastAsia="Times New Roman" w:hAnsi="Times New Roman" w:cs="Times New Roman"/>
          <w:sz w:val="24"/>
          <w:szCs w:val="24"/>
          <w:lang w:eastAsia="en-GB"/>
        </w:rPr>
        <w:t>Alaekwe</w:t>
      </w:r>
      <w:proofErr w:type="spellEnd"/>
      <w:r w:rsidRPr="00873A0C">
        <w:rPr>
          <w:rFonts w:ascii="Times New Roman" w:eastAsia="Times New Roman" w:hAnsi="Times New Roman" w:cs="Times New Roman"/>
          <w:sz w:val="24"/>
          <w:szCs w:val="24"/>
          <w:lang w:eastAsia="en-GB"/>
        </w:rPr>
        <w:t xml:space="preserve">, I. O., </w:t>
      </w:r>
      <w:proofErr w:type="spellStart"/>
      <w:r w:rsidRPr="00873A0C">
        <w:rPr>
          <w:rFonts w:ascii="Times New Roman" w:eastAsia="Times New Roman" w:hAnsi="Times New Roman" w:cs="Times New Roman"/>
          <w:sz w:val="24"/>
          <w:szCs w:val="24"/>
          <w:lang w:eastAsia="en-GB"/>
        </w:rPr>
        <w:t>Etesin</w:t>
      </w:r>
      <w:proofErr w:type="spellEnd"/>
      <w:r w:rsidRPr="00873A0C">
        <w:rPr>
          <w:rFonts w:ascii="Times New Roman" w:eastAsia="Times New Roman" w:hAnsi="Times New Roman" w:cs="Times New Roman"/>
          <w:sz w:val="24"/>
          <w:szCs w:val="24"/>
          <w:lang w:eastAsia="en-GB"/>
        </w:rPr>
        <w:t xml:space="preserve">, M. O., &amp; </w:t>
      </w:r>
      <w:proofErr w:type="spellStart"/>
      <w:r w:rsidRPr="00873A0C">
        <w:rPr>
          <w:rFonts w:ascii="Times New Roman" w:eastAsia="Times New Roman" w:hAnsi="Times New Roman" w:cs="Times New Roman"/>
          <w:sz w:val="24"/>
          <w:szCs w:val="24"/>
          <w:lang w:eastAsia="en-GB"/>
        </w:rPr>
        <w:t>Edodi</w:t>
      </w:r>
      <w:proofErr w:type="spellEnd"/>
      <w:r w:rsidRPr="00873A0C">
        <w:rPr>
          <w:rFonts w:ascii="Times New Roman" w:eastAsia="Times New Roman" w:hAnsi="Times New Roman" w:cs="Times New Roman"/>
          <w:sz w:val="24"/>
          <w:szCs w:val="24"/>
          <w:lang w:eastAsia="en-GB"/>
        </w:rPr>
        <w:t xml:space="preserve">, I. O. (2025). Nutritional evaluation of </w:t>
      </w:r>
      <w:r w:rsidRPr="00873A0C">
        <w:rPr>
          <w:rFonts w:ascii="Times New Roman" w:eastAsia="Times New Roman" w:hAnsi="Times New Roman" w:cs="Times New Roman"/>
          <w:i/>
          <w:iCs/>
          <w:sz w:val="24"/>
          <w:szCs w:val="24"/>
          <w:lang w:eastAsia="en-GB"/>
        </w:rPr>
        <w:t>Nile tilapia</w:t>
      </w:r>
      <w:r w:rsidRPr="00873A0C">
        <w:rPr>
          <w:rFonts w:ascii="Times New Roman" w:eastAsia="Times New Roman" w:hAnsi="Times New Roman" w:cs="Times New Roman"/>
          <w:sz w:val="24"/>
          <w:szCs w:val="24"/>
          <w:lang w:eastAsia="en-GB"/>
        </w:rPr>
        <w:t xml:space="preserve"> (</w:t>
      </w:r>
      <w:r w:rsidRPr="00873A0C">
        <w:rPr>
          <w:rFonts w:ascii="Times New Roman" w:eastAsia="Times New Roman" w:hAnsi="Times New Roman" w:cs="Times New Roman"/>
          <w:i/>
          <w:iCs/>
          <w:sz w:val="24"/>
          <w:szCs w:val="24"/>
          <w:lang w:eastAsia="en-GB"/>
        </w:rPr>
        <w:t xml:space="preserve">Oreochromis </w:t>
      </w:r>
      <w:proofErr w:type="spellStart"/>
      <w:r w:rsidRPr="00873A0C">
        <w:rPr>
          <w:rFonts w:ascii="Times New Roman" w:eastAsia="Times New Roman" w:hAnsi="Times New Roman" w:cs="Times New Roman"/>
          <w:i/>
          <w:iCs/>
          <w:sz w:val="24"/>
          <w:szCs w:val="24"/>
          <w:lang w:eastAsia="en-GB"/>
        </w:rPr>
        <w:t>niloticus</w:t>
      </w:r>
      <w:proofErr w:type="spellEnd"/>
      <w:r w:rsidRPr="00873A0C">
        <w:rPr>
          <w:rFonts w:ascii="Times New Roman" w:eastAsia="Times New Roman" w:hAnsi="Times New Roman" w:cs="Times New Roman"/>
          <w:sz w:val="24"/>
          <w:szCs w:val="24"/>
          <w:lang w:eastAsia="en-GB"/>
        </w:rPr>
        <w:t xml:space="preserve">) processed by different drying techniques and associated environmental implications. </w:t>
      </w:r>
      <w:r w:rsidRPr="00873A0C">
        <w:rPr>
          <w:rFonts w:ascii="Times New Roman" w:eastAsia="Times New Roman" w:hAnsi="Times New Roman" w:cs="Times New Roman"/>
          <w:i/>
          <w:iCs/>
          <w:sz w:val="24"/>
          <w:szCs w:val="24"/>
          <w:lang w:eastAsia="en-GB"/>
        </w:rPr>
        <w:t>Journal of Sustainable Research and Development, 1</w:t>
      </w:r>
      <w:r w:rsidRPr="00873A0C">
        <w:rPr>
          <w:rFonts w:ascii="Times New Roman" w:eastAsia="Times New Roman" w:hAnsi="Times New Roman" w:cs="Times New Roman"/>
          <w:sz w:val="24"/>
          <w:szCs w:val="24"/>
          <w:lang w:eastAsia="en-GB"/>
        </w:rPr>
        <w:t>(2), 35–47. https://doi.org/10.69739/jsrd.v1i2.1045</w:t>
      </w:r>
    </w:p>
    <w:p w14:paraId="6DCD6944"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Fei-</w:t>
      </w:r>
      <w:proofErr w:type="spellStart"/>
      <w:r w:rsidRPr="00873A0C">
        <w:rPr>
          <w:rFonts w:ascii="Times New Roman" w:eastAsia="Times New Roman" w:hAnsi="Times New Roman" w:cs="Times New Roman"/>
          <w:sz w:val="24"/>
          <w:szCs w:val="24"/>
          <w:lang w:eastAsia="en-GB"/>
        </w:rPr>
        <w:t>Baffoe</w:t>
      </w:r>
      <w:proofErr w:type="spellEnd"/>
      <w:r w:rsidRPr="00873A0C">
        <w:rPr>
          <w:rFonts w:ascii="Times New Roman" w:eastAsia="Times New Roman" w:hAnsi="Times New Roman" w:cs="Times New Roman"/>
          <w:sz w:val="24"/>
          <w:szCs w:val="24"/>
          <w:lang w:eastAsia="en-GB"/>
        </w:rPr>
        <w:t xml:space="preserve">, B., Badu, E., </w:t>
      </w:r>
      <w:proofErr w:type="spellStart"/>
      <w:r w:rsidRPr="00873A0C">
        <w:rPr>
          <w:rFonts w:ascii="Times New Roman" w:eastAsia="Times New Roman" w:hAnsi="Times New Roman" w:cs="Times New Roman"/>
          <w:sz w:val="24"/>
          <w:szCs w:val="24"/>
          <w:lang w:eastAsia="en-GB"/>
        </w:rPr>
        <w:t>Miezah</w:t>
      </w:r>
      <w:proofErr w:type="spellEnd"/>
      <w:r w:rsidRPr="00873A0C">
        <w:rPr>
          <w:rFonts w:ascii="Times New Roman" w:eastAsia="Times New Roman" w:hAnsi="Times New Roman" w:cs="Times New Roman"/>
          <w:sz w:val="24"/>
          <w:szCs w:val="24"/>
          <w:lang w:eastAsia="en-GB"/>
        </w:rPr>
        <w:t xml:space="preserve">, K., </w:t>
      </w:r>
      <w:proofErr w:type="spellStart"/>
      <w:r w:rsidRPr="00873A0C">
        <w:rPr>
          <w:rFonts w:ascii="Times New Roman" w:eastAsia="Times New Roman" w:hAnsi="Times New Roman" w:cs="Times New Roman"/>
          <w:sz w:val="24"/>
          <w:szCs w:val="24"/>
          <w:lang w:eastAsia="en-GB"/>
        </w:rPr>
        <w:t>Adjiri</w:t>
      </w:r>
      <w:proofErr w:type="spellEnd"/>
      <w:r w:rsidRPr="00873A0C">
        <w:rPr>
          <w:rFonts w:ascii="Times New Roman" w:eastAsia="Times New Roman" w:hAnsi="Times New Roman" w:cs="Times New Roman"/>
          <w:sz w:val="24"/>
          <w:szCs w:val="24"/>
          <w:lang w:eastAsia="en-GB"/>
        </w:rPr>
        <w:t xml:space="preserve"> Sackey, L. N., </w:t>
      </w:r>
      <w:proofErr w:type="spellStart"/>
      <w:r w:rsidRPr="00873A0C">
        <w:rPr>
          <w:rFonts w:ascii="Times New Roman" w:eastAsia="Times New Roman" w:hAnsi="Times New Roman" w:cs="Times New Roman"/>
          <w:sz w:val="24"/>
          <w:szCs w:val="24"/>
          <w:lang w:eastAsia="en-GB"/>
        </w:rPr>
        <w:t>Sulemana</w:t>
      </w:r>
      <w:proofErr w:type="spellEnd"/>
      <w:r w:rsidRPr="00873A0C">
        <w:rPr>
          <w:rFonts w:ascii="Times New Roman" w:eastAsia="Times New Roman" w:hAnsi="Times New Roman" w:cs="Times New Roman"/>
          <w:sz w:val="24"/>
          <w:szCs w:val="24"/>
          <w:lang w:eastAsia="en-GB"/>
        </w:rPr>
        <w:t xml:space="preserve">, A., &amp; </w:t>
      </w:r>
      <w:proofErr w:type="spellStart"/>
      <w:r w:rsidRPr="00873A0C">
        <w:rPr>
          <w:rFonts w:ascii="Times New Roman" w:eastAsia="Times New Roman" w:hAnsi="Times New Roman" w:cs="Times New Roman"/>
          <w:sz w:val="24"/>
          <w:szCs w:val="24"/>
          <w:lang w:eastAsia="en-GB"/>
        </w:rPr>
        <w:t>Yahans</w:t>
      </w:r>
      <w:proofErr w:type="spellEnd"/>
      <w:r w:rsidRPr="00873A0C">
        <w:rPr>
          <w:rFonts w:ascii="Times New Roman" w:eastAsia="Times New Roman" w:hAnsi="Times New Roman" w:cs="Times New Roman"/>
          <w:sz w:val="24"/>
          <w:szCs w:val="24"/>
          <w:lang w:eastAsia="en-GB"/>
        </w:rPr>
        <w:t xml:space="preserve"> </w:t>
      </w:r>
      <w:proofErr w:type="spellStart"/>
      <w:r w:rsidRPr="00873A0C">
        <w:rPr>
          <w:rFonts w:ascii="Times New Roman" w:eastAsia="Times New Roman" w:hAnsi="Times New Roman" w:cs="Times New Roman"/>
          <w:sz w:val="24"/>
          <w:szCs w:val="24"/>
          <w:lang w:eastAsia="en-GB"/>
        </w:rPr>
        <w:t>Amuah</w:t>
      </w:r>
      <w:proofErr w:type="spellEnd"/>
      <w:r w:rsidRPr="00873A0C">
        <w:rPr>
          <w:rFonts w:ascii="Times New Roman" w:eastAsia="Times New Roman" w:hAnsi="Times New Roman" w:cs="Times New Roman"/>
          <w:sz w:val="24"/>
          <w:szCs w:val="24"/>
          <w:lang w:eastAsia="en-GB"/>
        </w:rPr>
        <w:t xml:space="preserve">, E. E. (2024). Contamination of groundwater by petroleum hydrocarbons: Impact of fuel stations in residential areas. </w:t>
      </w:r>
      <w:proofErr w:type="spellStart"/>
      <w:r w:rsidRPr="00873A0C">
        <w:rPr>
          <w:rFonts w:ascii="Times New Roman" w:eastAsia="Times New Roman" w:hAnsi="Times New Roman" w:cs="Times New Roman"/>
          <w:i/>
          <w:iCs/>
          <w:sz w:val="24"/>
          <w:szCs w:val="24"/>
          <w:lang w:eastAsia="en-GB"/>
        </w:rPr>
        <w:t>Heliyon</w:t>
      </w:r>
      <w:proofErr w:type="spellEnd"/>
      <w:r w:rsidRPr="00873A0C">
        <w:rPr>
          <w:rFonts w:ascii="Times New Roman" w:eastAsia="Times New Roman" w:hAnsi="Times New Roman" w:cs="Times New Roman"/>
          <w:i/>
          <w:iCs/>
          <w:sz w:val="24"/>
          <w:szCs w:val="24"/>
          <w:lang w:eastAsia="en-GB"/>
        </w:rPr>
        <w:t>, 10</w:t>
      </w:r>
      <w:r w:rsidRPr="00873A0C">
        <w:rPr>
          <w:rFonts w:ascii="Times New Roman" w:eastAsia="Times New Roman" w:hAnsi="Times New Roman" w:cs="Times New Roman"/>
          <w:sz w:val="24"/>
          <w:szCs w:val="24"/>
          <w:lang w:eastAsia="en-GB"/>
        </w:rPr>
        <w:t xml:space="preserve">(4), e25924. </w:t>
      </w:r>
      <w:hyperlink r:id="rId7" w:tgtFrame="_new" w:history="1">
        <w:r w:rsidRPr="00873A0C">
          <w:rPr>
            <w:rFonts w:ascii="Times New Roman" w:eastAsia="Times New Roman" w:hAnsi="Times New Roman" w:cs="Times New Roman"/>
            <w:color w:val="0000FF"/>
            <w:sz w:val="24"/>
            <w:szCs w:val="24"/>
            <w:u w:val="single"/>
            <w:lang w:eastAsia="en-GB"/>
          </w:rPr>
          <w:t>https://doi.org/10.1016/j.heliyon.2024.e25924</w:t>
        </w:r>
      </w:hyperlink>
    </w:p>
    <w:p w14:paraId="7C4C59CC"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Francisco, D., Rodrigues, B., Barbosa de Albuquerque Moura, G., Lima Montenegro, G. M. S., Rodrigues, S. M. N., </w:t>
      </w:r>
      <w:proofErr w:type="spellStart"/>
      <w:r w:rsidRPr="00873A0C">
        <w:rPr>
          <w:rFonts w:ascii="Times New Roman" w:eastAsia="Times New Roman" w:hAnsi="Times New Roman" w:cs="Times New Roman"/>
          <w:sz w:val="24"/>
          <w:szCs w:val="24"/>
          <w:lang w:eastAsia="en-GB"/>
        </w:rPr>
        <w:t>Maciel</w:t>
      </w:r>
      <w:proofErr w:type="spellEnd"/>
      <w:r w:rsidRPr="00873A0C">
        <w:rPr>
          <w:rFonts w:ascii="Times New Roman" w:eastAsia="Times New Roman" w:hAnsi="Times New Roman" w:cs="Times New Roman"/>
          <w:sz w:val="24"/>
          <w:szCs w:val="24"/>
          <w:lang w:eastAsia="en-GB"/>
        </w:rPr>
        <w:t xml:space="preserve"> de Oliveira, M., Villar, A. C., </w:t>
      </w:r>
      <w:proofErr w:type="spellStart"/>
      <w:r w:rsidRPr="00873A0C">
        <w:rPr>
          <w:rFonts w:ascii="Times New Roman" w:eastAsia="Times New Roman" w:hAnsi="Times New Roman" w:cs="Times New Roman"/>
          <w:sz w:val="24"/>
          <w:szCs w:val="24"/>
          <w:lang w:eastAsia="en-GB"/>
        </w:rPr>
        <w:t>Gusmão</w:t>
      </w:r>
      <w:proofErr w:type="spellEnd"/>
      <w:r w:rsidRPr="00873A0C">
        <w:rPr>
          <w:rFonts w:ascii="Times New Roman" w:eastAsia="Times New Roman" w:hAnsi="Times New Roman" w:cs="Times New Roman"/>
          <w:sz w:val="24"/>
          <w:szCs w:val="24"/>
          <w:lang w:eastAsia="en-GB"/>
        </w:rPr>
        <w:t xml:space="preserve">, L. C. D., &amp; Araújo, S. M. (2018). </w:t>
      </w:r>
      <w:proofErr w:type="spellStart"/>
      <w:r w:rsidRPr="00873A0C">
        <w:rPr>
          <w:rFonts w:ascii="Times New Roman" w:eastAsia="Times New Roman" w:hAnsi="Times New Roman" w:cs="Times New Roman"/>
          <w:sz w:val="24"/>
          <w:szCs w:val="24"/>
          <w:lang w:eastAsia="en-GB"/>
        </w:rPr>
        <w:t>EvapoCalc</w:t>
      </w:r>
      <w:proofErr w:type="spellEnd"/>
      <w:r w:rsidRPr="00873A0C">
        <w:rPr>
          <w:rFonts w:ascii="Times New Roman" w:eastAsia="Times New Roman" w:hAnsi="Times New Roman" w:cs="Times New Roman"/>
          <w:sz w:val="24"/>
          <w:szCs w:val="24"/>
          <w:lang w:eastAsia="en-GB"/>
        </w:rPr>
        <w:t xml:space="preserve">: An Android application to estimate evapotranspiration by different methods. </w:t>
      </w:r>
      <w:proofErr w:type="spellStart"/>
      <w:r w:rsidRPr="00873A0C">
        <w:rPr>
          <w:rFonts w:ascii="Times New Roman" w:eastAsia="Times New Roman" w:hAnsi="Times New Roman" w:cs="Times New Roman"/>
          <w:i/>
          <w:iCs/>
          <w:sz w:val="24"/>
          <w:szCs w:val="24"/>
          <w:lang w:eastAsia="en-GB"/>
        </w:rPr>
        <w:t>EPiC</w:t>
      </w:r>
      <w:proofErr w:type="spellEnd"/>
      <w:r w:rsidRPr="00873A0C">
        <w:rPr>
          <w:rFonts w:ascii="Times New Roman" w:eastAsia="Times New Roman" w:hAnsi="Times New Roman" w:cs="Times New Roman"/>
          <w:i/>
          <w:iCs/>
          <w:sz w:val="24"/>
          <w:szCs w:val="24"/>
          <w:lang w:eastAsia="en-GB"/>
        </w:rPr>
        <w:t xml:space="preserve"> Series in Engineering, 3,</w:t>
      </w:r>
      <w:r w:rsidRPr="00873A0C">
        <w:rPr>
          <w:rFonts w:ascii="Times New Roman" w:eastAsia="Times New Roman" w:hAnsi="Times New Roman" w:cs="Times New Roman"/>
          <w:sz w:val="24"/>
          <w:szCs w:val="24"/>
          <w:lang w:eastAsia="en-GB"/>
        </w:rPr>
        <w:t xml:space="preserve"> 198–205. </w:t>
      </w:r>
      <w:hyperlink r:id="rId8" w:tgtFrame="_new" w:history="1">
        <w:r w:rsidRPr="00873A0C">
          <w:rPr>
            <w:rFonts w:ascii="Times New Roman" w:eastAsia="Times New Roman" w:hAnsi="Times New Roman" w:cs="Times New Roman"/>
            <w:color w:val="0000FF"/>
            <w:sz w:val="24"/>
            <w:szCs w:val="24"/>
            <w:u w:val="single"/>
            <w:lang w:eastAsia="en-GB"/>
          </w:rPr>
          <w:t>https://play.google.com/store/apps/details?id=com.thunkable.android.diogo_borbar.Eva</w:t>
        </w:r>
      </w:hyperlink>
    </w:p>
    <w:p w14:paraId="181DF04E"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Maldonado, W., </w:t>
      </w:r>
      <w:proofErr w:type="spellStart"/>
      <w:r w:rsidRPr="00873A0C">
        <w:rPr>
          <w:rFonts w:ascii="Times New Roman" w:eastAsia="Times New Roman" w:hAnsi="Times New Roman" w:cs="Times New Roman"/>
          <w:sz w:val="24"/>
          <w:szCs w:val="24"/>
          <w:lang w:eastAsia="en-GB"/>
        </w:rPr>
        <w:t>Valeriano</w:t>
      </w:r>
      <w:proofErr w:type="spellEnd"/>
      <w:r w:rsidRPr="00873A0C">
        <w:rPr>
          <w:rFonts w:ascii="Times New Roman" w:eastAsia="Times New Roman" w:hAnsi="Times New Roman" w:cs="Times New Roman"/>
          <w:sz w:val="24"/>
          <w:szCs w:val="24"/>
          <w:lang w:eastAsia="en-GB"/>
        </w:rPr>
        <w:t xml:space="preserve">, T. T. B., &amp; de Souza </w:t>
      </w:r>
      <w:proofErr w:type="spellStart"/>
      <w:r w:rsidRPr="00873A0C">
        <w:rPr>
          <w:rFonts w:ascii="Times New Roman" w:eastAsia="Times New Roman" w:hAnsi="Times New Roman" w:cs="Times New Roman"/>
          <w:sz w:val="24"/>
          <w:szCs w:val="24"/>
          <w:lang w:eastAsia="en-GB"/>
        </w:rPr>
        <w:t>Rolim</w:t>
      </w:r>
      <w:proofErr w:type="spellEnd"/>
      <w:r w:rsidRPr="00873A0C">
        <w:rPr>
          <w:rFonts w:ascii="Times New Roman" w:eastAsia="Times New Roman" w:hAnsi="Times New Roman" w:cs="Times New Roman"/>
          <w:sz w:val="24"/>
          <w:szCs w:val="24"/>
          <w:lang w:eastAsia="en-GB"/>
        </w:rPr>
        <w:t xml:space="preserve">, G. (2019). EVAPO: A smartphone application to estimate potential evapotranspiration using cloud gridded meteorological data from the NASA-POWER system. </w:t>
      </w:r>
      <w:r w:rsidRPr="00873A0C">
        <w:rPr>
          <w:rFonts w:ascii="Times New Roman" w:eastAsia="Times New Roman" w:hAnsi="Times New Roman" w:cs="Times New Roman"/>
          <w:i/>
          <w:iCs/>
          <w:sz w:val="24"/>
          <w:szCs w:val="24"/>
          <w:lang w:eastAsia="en-GB"/>
        </w:rPr>
        <w:t>Computers and Electronics in Agriculture, 156,</w:t>
      </w:r>
      <w:r w:rsidRPr="00873A0C">
        <w:rPr>
          <w:rFonts w:ascii="Times New Roman" w:eastAsia="Times New Roman" w:hAnsi="Times New Roman" w:cs="Times New Roman"/>
          <w:sz w:val="24"/>
          <w:szCs w:val="24"/>
          <w:lang w:eastAsia="en-GB"/>
        </w:rPr>
        <w:t xml:space="preserve"> 374–384. </w:t>
      </w:r>
      <w:hyperlink r:id="rId9" w:tgtFrame="_new" w:history="1">
        <w:r w:rsidRPr="00873A0C">
          <w:rPr>
            <w:rFonts w:ascii="Times New Roman" w:eastAsia="Times New Roman" w:hAnsi="Times New Roman" w:cs="Times New Roman"/>
            <w:color w:val="0000FF"/>
            <w:sz w:val="24"/>
            <w:szCs w:val="24"/>
            <w:u w:val="single"/>
            <w:lang w:eastAsia="en-GB"/>
          </w:rPr>
          <w:t>https://doi.org/10.1016/j.compag.2018.10.032</w:t>
        </w:r>
      </w:hyperlink>
    </w:p>
    <w:p w14:paraId="4F98AA4A"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Mecikalski</w:t>
      </w:r>
      <w:proofErr w:type="spellEnd"/>
      <w:r w:rsidRPr="00873A0C">
        <w:rPr>
          <w:rFonts w:ascii="Times New Roman" w:eastAsia="Times New Roman" w:hAnsi="Times New Roman" w:cs="Times New Roman"/>
          <w:sz w:val="24"/>
          <w:szCs w:val="24"/>
          <w:lang w:eastAsia="en-GB"/>
        </w:rPr>
        <w:t xml:space="preserve">, J. R., Shoemaker, W. B., Wu, Q., Holmes, M. A., Paech, S. J., &amp; Sumner, D. M. (2018). High-resolution GOES insolation–evapotranspiration data set for water resource management in Florida: 1995–2015. </w:t>
      </w:r>
      <w:r w:rsidRPr="00873A0C">
        <w:rPr>
          <w:rFonts w:ascii="Times New Roman" w:eastAsia="Times New Roman" w:hAnsi="Times New Roman" w:cs="Times New Roman"/>
          <w:i/>
          <w:iCs/>
          <w:sz w:val="24"/>
          <w:szCs w:val="24"/>
          <w:lang w:eastAsia="en-GB"/>
        </w:rPr>
        <w:t>Journal of Irrigation and Drainage Engineering, 144</w:t>
      </w:r>
      <w:r w:rsidRPr="00873A0C">
        <w:rPr>
          <w:rFonts w:ascii="Times New Roman" w:eastAsia="Times New Roman" w:hAnsi="Times New Roman" w:cs="Times New Roman"/>
          <w:sz w:val="24"/>
          <w:szCs w:val="24"/>
          <w:lang w:eastAsia="en-GB"/>
        </w:rPr>
        <w:t xml:space="preserve">(9), 04018033. </w:t>
      </w:r>
      <w:hyperlink r:id="rId10" w:tgtFrame="_new" w:history="1">
        <w:r w:rsidRPr="00873A0C">
          <w:rPr>
            <w:rFonts w:ascii="Times New Roman" w:eastAsia="Times New Roman" w:hAnsi="Times New Roman" w:cs="Times New Roman"/>
            <w:color w:val="0000FF"/>
            <w:sz w:val="24"/>
            <w:szCs w:val="24"/>
            <w:u w:val="single"/>
            <w:lang w:eastAsia="en-GB"/>
          </w:rPr>
          <w:t>https://doi.org/10.1061/(ASCE)IR.1943-4774.0001312</w:t>
        </w:r>
      </w:hyperlink>
    </w:p>
    <w:p w14:paraId="2EC9BD70"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Migliaccio</w:t>
      </w:r>
      <w:proofErr w:type="spellEnd"/>
      <w:r w:rsidRPr="00873A0C">
        <w:rPr>
          <w:rFonts w:ascii="Times New Roman" w:eastAsia="Times New Roman" w:hAnsi="Times New Roman" w:cs="Times New Roman"/>
          <w:sz w:val="24"/>
          <w:szCs w:val="24"/>
          <w:lang w:eastAsia="en-GB"/>
        </w:rPr>
        <w:t xml:space="preserve">, K. W., Morgan, K. T., </w:t>
      </w:r>
      <w:proofErr w:type="spellStart"/>
      <w:r w:rsidRPr="00873A0C">
        <w:rPr>
          <w:rFonts w:ascii="Times New Roman" w:eastAsia="Times New Roman" w:hAnsi="Times New Roman" w:cs="Times New Roman"/>
          <w:sz w:val="24"/>
          <w:szCs w:val="24"/>
          <w:lang w:eastAsia="en-GB"/>
        </w:rPr>
        <w:t>Vellidis</w:t>
      </w:r>
      <w:proofErr w:type="spellEnd"/>
      <w:r w:rsidRPr="00873A0C">
        <w:rPr>
          <w:rFonts w:ascii="Times New Roman" w:eastAsia="Times New Roman" w:hAnsi="Times New Roman" w:cs="Times New Roman"/>
          <w:sz w:val="24"/>
          <w:szCs w:val="24"/>
          <w:lang w:eastAsia="en-GB"/>
        </w:rPr>
        <w:t xml:space="preserve">, G., </w:t>
      </w:r>
      <w:proofErr w:type="spellStart"/>
      <w:r w:rsidRPr="00873A0C">
        <w:rPr>
          <w:rFonts w:ascii="Times New Roman" w:eastAsia="Times New Roman" w:hAnsi="Times New Roman" w:cs="Times New Roman"/>
          <w:sz w:val="24"/>
          <w:szCs w:val="24"/>
          <w:lang w:eastAsia="en-GB"/>
        </w:rPr>
        <w:t>Zotarelli</w:t>
      </w:r>
      <w:proofErr w:type="spellEnd"/>
      <w:r w:rsidRPr="00873A0C">
        <w:rPr>
          <w:rFonts w:ascii="Times New Roman" w:eastAsia="Times New Roman" w:hAnsi="Times New Roman" w:cs="Times New Roman"/>
          <w:sz w:val="24"/>
          <w:szCs w:val="24"/>
          <w:lang w:eastAsia="en-GB"/>
        </w:rPr>
        <w:t xml:space="preserve">, L., </w:t>
      </w:r>
      <w:proofErr w:type="spellStart"/>
      <w:r w:rsidRPr="00873A0C">
        <w:rPr>
          <w:rFonts w:ascii="Times New Roman" w:eastAsia="Times New Roman" w:hAnsi="Times New Roman" w:cs="Times New Roman"/>
          <w:sz w:val="24"/>
          <w:szCs w:val="24"/>
          <w:lang w:eastAsia="en-GB"/>
        </w:rPr>
        <w:t>Fraisse</w:t>
      </w:r>
      <w:proofErr w:type="spellEnd"/>
      <w:r w:rsidRPr="00873A0C">
        <w:rPr>
          <w:rFonts w:ascii="Times New Roman" w:eastAsia="Times New Roman" w:hAnsi="Times New Roman" w:cs="Times New Roman"/>
          <w:sz w:val="24"/>
          <w:szCs w:val="24"/>
          <w:lang w:eastAsia="en-GB"/>
        </w:rPr>
        <w:t xml:space="preserve">, C., </w:t>
      </w:r>
      <w:proofErr w:type="spellStart"/>
      <w:r w:rsidRPr="00873A0C">
        <w:rPr>
          <w:rFonts w:ascii="Times New Roman" w:eastAsia="Times New Roman" w:hAnsi="Times New Roman" w:cs="Times New Roman"/>
          <w:sz w:val="24"/>
          <w:szCs w:val="24"/>
          <w:lang w:eastAsia="en-GB"/>
        </w:rPr>
        <w:t>Zurweller</w:t>
      </w:r>
      <w:proofErr w:type="spellEnd"/>
      <w:r w:rsidRPr="00873A0C">
        <w:rPr>
          <w:rFonts w:ascii="Times New Roman" w:eastAsia="Times New Roman" w:hAnsi="Times New Roman" w:cs="Times New Roman"/>
          <w:sz w:val="24"/>
          <w:szCs w:val="24"/>
          <w:lang w:eastAsia="en-GB"/>
        </w:rPr>
        <w:t xml:space="preserve">, B. A., </w:t>
      </w:r>
      <w:proofErr w:type="spellStart"/>
      <w:r w:rsidRPr="00873A0C">
        <w:rPr>
          <w:rFonts w:ascii="Times New Roman" w:eastAsia="Times New Roman" w:hAnsi="Times New Roman" w:cs="Times New Roman"/>
          <w:sz w:val="24"/>
          <w:szCs w:val="24"/>
          <w:lang w:eastAsia="en-GB"/>
        </w:rPr>
        <w:t>Andreis</w:t>
      </w:r>
      <w:proofErr w:type="spellEnd"/>
      <w:r w:rsidRPr="00873A0C">
        <w:rPr>
          <w:rFonts w:ascii="Times New Roman" w:eastAsia="Times New Roman" w:hAnsi="Times New Roman" w:cs="Times New Roman"/>
          <w:sz w:val="24"/>
          <w:szCs w:val="24"/>
          <w:lang w:eastAsia="en-GB"/>
        </w:rPr>
        <w:t xml:space="preserve">, J. H., Crane, J. H., &amp; Rowland, D. L. (2016). Smartphone apps for irrigation scheduling. </w:t>
      </w:r>
      <w:r w:rsidRPr="00873A0C">
        <w:rPr>
          <w:rFonts w:ascii="Times New Roman" w:eastAsia="Times New Roman" w:hAnsi="Times New Roman" w:cs="Times New Roman"/>
          <w:i/>
          <w:iCs/>
          <w:sz w:val="24"/>
          <w:szCs w:val="24"/>
          <w:lang w:eastAsia="en-GB"/>
        </w:rPr>
        <w:t>Transactions of the ASABE, 59</w:t>
      </w:r>
      <w:r w:rsidRPr="00873A0C">
        <w:rPr>
          <w:rFonts w:ascii="Times New Roman" w:eastAsia="Times New Roman" w:hAnsi="Times New Roman" w:cs="Times New Roman"/>
          <w:sz w:val="24"/>
          <w:szCs w:val="24"/>
          <w:lang w:eastAsia="en-GB"/>
        </w:rPr>
        <w:t xml:space="preserve">(1), 291–301. </w:t>
      </w:r>
      <w:hyperlink r:id="rId11" w:tgtFrame="_new" w:history="1">
        <w:r w:rsidRPr="00873A0C">
          <w:rPr>
            <w:rFonts w:ascii="Times New Roman" w:eastAsia="Times New Roman" w:hAnsi="Times New Roman" w:cs="Times New Roman"/>
            <w:color w:val="0000FF"/>
            <w:sz w:val="24"/>
            <w:szCs w:val="24"/>
            <w:u w:val="single"/>
            <w:lang w:eastAsia="en-GB"/>
          </w:rPr>
          <w:t>https://doi.org/10.13031/trans.59.11158</w:t>
        </w:r>
      </w:hyperlink>
    </w:p>
    <w:p w14:paraId="0C754264"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Okpoji</w:t>
      </w:r>
      <w:proofErr w:type="spellEnd"/>
      <w:r w:rsidRPr="00873A0C">
        <w:rPr>
          <w:rFonts w:ascii="Times New Roman" w:eastAsia="Times New Roman" w:hAnsi="Times New Roman" w:cs="Times New Roman"/>
          <w:sz w:val="24"/>
          <w:szCs w:val="24"/>
          <w:lang w:eastAsia="en-GB"/>
        </w:rPr>
        <w:t xml:space="preserve">, A. U., </w:t>
      </w:r>
      <w:proofErr w:type="spellStart"/>
      <w:r w:rsidRPr="00873A0C">
        <w:rPr>
          <w:rFonts w:ascii="Times New Roman" w:eastAsia="Times New Roman" w:hAnsi="Times New Roman" w:cs="Times New Roman"/>
          <w:sz w:val="24"/>
          <w:szCs w:val="24"/>
          <w:lang w:eastAsia="en-GB"/>
        </w:rPr>
        <w:t>Ekwere</w:t>
      </w:r>
      <w:proofErr w:type="spellEnd"/>
      <w:r w:rsidRPr="00873A0C">
        <w:rPr>
          <w:rFonts w:ascii="Times New Roman" w:eastAsia="Times New Roman" w:hAnsi="Times New Roman" w:cs="Times New Roman"/>
          <w:sz w:val="24"/>
          <w:szCs w:val="24"/>
          <w:lang w:eastAsia="en-GB"/>
        </w:rPr>
        <w:t xml:space="preserve">, I. O., </w:t>
      </w:r>
      <w:proofErr w:type="spellStart"/>
      <w:r w:rsidRPr="00873A0C">
        <w:rPr>
          <w:rFonts w:ascii="Times New Roman" w:eastAsia="Times New Roman" w:hAnsi="Times New Roman" w:cs="Times New Roman"/>
          <w:sz w:val="24"/>
          <w:szCs w:val="24"/>
          <w:lang w:eastAsia="en-GB"/>
        </w:rPr>
        <w:t>Ufuoma</w:t>
      </w:r>
      <w:proofErr w:type="spellEnd"/>
      <w:r w:rsidRPr="00873A0C">
        <w:rPr>
          <w:rFonts w:ascii="Times New Roman" w:eastAsia="Times New Roman" w:hAnsi="Times New Roman" w:cs="Times New Roman"/>
          <w:sz w:val="24"/>
          <w:szCs w:val="24"/>
          <w:lang w:eastAsia="en-GB"/>
        </w:rPr>
        <w:t xml:space="preserve">, V. O., Akinola, A. E., Raymond, C. A., &amp; </w:t>
      </w:r>
      <w:proofErr w:type="spellStart"/>
      <w:r w:rsidRPr="00873A0C">
        <w:rPr>
          <w:rFonts w:ascii="Times New Roman" w:eastAsia="Times New Roman" w:hAnsi="Times New Roman" w:cs="Times New Roman"/>
          <w:sz w:val="24"/>
          <w:szCs w:val="24"/>
          <w:lang w:eastAsia="en-GB"/>
        </w:rPr>
        <w:t>Etukudo</w:t>
      </w:r>
      <w:proofErr w:type="spellEnd"/>
      <w:r w:rsidRPr="00873A0C">
        <w:rPr>
          <w:rFonts w:ascii="Times New Roman" w:eastAsia="Times New Roman" w:hAnsi="Times New Roman" w:cs="Times New Roman"/>
          <w:sz w:val="24"/>
          <w:szCs w:val="24"/>
          <w:lang w:eastAsia="en-GB"/>
        </w:rPr>
        <w:t xml:space="preserve">, N. J. (2025). Hydrogeochemical assessment and groundwater vulnerability to petroleum hydrocarbon contamination in selected Niger Delta aquifers, Nigeria. </w:t>
      </w:r>
      <w:r w:rsidRPr="00873A0C">
        <w:rPr>
          <w:rFonts w:ascii="Times New Roman" w:eastAsia="Times New Roman" w:hAnsi="Times New Roman" w:cs="Times New Roman"/>
          <w:i/>
          <w:iCs/>
          <w:sz w:val="24"/>
          <w:szCs w:val="24"/>
          <w:lang w:eastAsia="en-GB"/>
        </w:rPr>
        <w:t>Environmental Systems Research, 13</w:t>
      </w:r>
      <w:r w:rsidRPr="00873A0C">
        <w:rPr>
          <w:rFonts w:ascii="Times New Roman" w:eastAsia="Times New Roman" w:hAnsi="Times New Roman" w:cs="Times New Roman"/>
          <w:sz w:val="24"/>
          <w:szCs w:val="24"/>
          <w:lang w:eastAsia="en-GB"/>
        </w:rPr>
        <w:t>(1), 55–72. https://doi.org/10.1186/esr.2025.55</w:t>
      </w:r>
    </w:p>
    <w:p w14:paraId="09809B7F"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t xml:space="preserve">Pandey, P. K., &amp; Pandey, V. (2020). Development of reference evapotranspiration equations using an artificial intelligence-based function discovery method under the humid climate of Northeast India. </w:t>
      </w:r>
      <w:r w:rsidRPr="00873A0C">
        <w:rPr>
          <w:rFonts w:ascii="Times New Roman" w:eastAsia="Times New Roman" w:hAnsi="Times New Roman" w:cs="Times New Roman"/>
          <w:i/>
          <w:iCs/>
          <w:sz w:val="24"/>
          <w:szCs w:val="24"/>
          <w:lang w:eastAsia="en-GB"/>
        </w:rPr>
        <w:t>Computers and Electronics in Agriculture, 179,</w:t>
      </w:r>
      <w:r w:rsidRPr="00873A0C">
        <w:rPr>
          <w:rFonts w:ascii="Times New Roman" w:eastAsia="Times New Roman" w:hAnsi="Times New Roman" w:cs="Times New Roman"/>
          <w:sz w:val="24"/>
          <w:szCs w:val="24"/>
          <w:lang w:eastAsia="en-GB"/>
        </w:rPr>
        <w:t xml:space="preserve"> 105838. </w:t>
      </w:r>
      <w:hyperlink r:id="rId12" w:tgtFrame="_new" w:history="1">
        <w:r w:rsidRPr="00873A0C">
          <w:rPr>
            <w:rFonts w:ascii="Times New Roman" w:eastAsia="Times New Roman" w:hAnsi="Times New Roman" w:cs="Times New Roman"/>
            <w:color w:val="0000FF"/>
            <w:sz w:val="24"/>
            <w:szCs w:val="24"/>
            <w:u w:val="single"/>
            <w:lang w:eastAsia="en-GB"/>
          </w:rPr>
          <w:t>https://doi.org/10.1016/j.compag.2020.105838</w:t>
        </w:r>
      </w:hyperlink>
    </w:p>
    <w:p w14:paraId="25DA0E36"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873A0C">
        <w:rPr>
          <w:rFonts w:ascii="Times New Roman" w:eastAsia="Times New Roman" w:hAnsi="Times New Roman" w:cs="Times New Roman"/>
          <w:sz w:val="24"/>
          <w:szCs w:val="24"/>
          <w:lang w:eastAsia="en-GB"/>
        </w:rPr>
        <w:t>Rajavel</w:t>
      </w:r>
      <w:proofErr w:type="spellEnd"/>
      <w:r w:rsidRPr="00873A0C">
        <w:rPr>
          <w:rFonts w:ascii="Times New Roman" w:eastAsia="Times New Roman" w:hAnsi="Times New Roman" w:cs="Times New Roman"/>
          <w:sz w:val="24"/>
          <w:szCs w:val="24"/>
          <w:lang w:eastAsia="en-GB"/>
        </w:rPr>
        <w:t xml:space="preserve">, M., </w:t>
      </w:r>
      <w:proofErr w:type="spellStart"/>
      <w:r w:rsidRPr="00873A0C">
        <w:rPr>
          <w:rFonts w:ascii="Times New Roman" w:eastAsia="Times New Roman" w:hAnsi="Times New Roman" w:cs="Times New Roman"/>
          <w:sz w:val="24"/>
          <w:szCs w:val="24"/>
          <w:lang w:eastAsia="en-GB"/>
        </w:rPr>
        <w:t>Guhan</w:t>
      </w:r>
      <w:proofErr w:type="spellEnd"/>
      <w:r w:rsidRPr="00873A0C">
        <w:rPr>
          <w:rFonts w:ascii="Times New Roman" w:eastAsia="Times New Roman" w:hAnsi="Times New Roman" w:cs="Times New Roman"/>
          <w:sz w:val="24"/>
          <w:szCs w:val="24"/>
          <w:lang w:eastAsia="en-GB"/>
        </w:rPr>
        <w:t xml:space="preserve">, V., </w:t>
      </w:r>
      <w:proofErr w:type="spellStart"/>
      <w:r w:rsidRPr="00873A0C">
        <w:rPr>
          <w:rFonts w:ascii="Times New Roman" w:eastAsia="Times New Roman" w:hAnsi="Times New Roman" w:cs="Times New Roman"/>
          <w:sz w:val="24"/>
          <w:szCs w:val="24"/>
          <w:lang w:eastAsia="en-GB"/>
        </w:rPr>
        <w:t>Vakeswaran</w:t>
      </w:r>
      <w:proofErr w:type="spellEnd"/>
      <w:r w:rsidRPr="00873A0C">
        <w:rPr>
          <w:rFonts w:ascii="Times New Roman" w:eastAsia="Times New Roman" w:hAnsi="Times New Roman" w:cs="Times New Roman"/>
          <w:sz w:val="24"/>
          <w:szCs w:val="24"/>
          <w:lang w:eastAsia="en-GB"/>
        </w:rPr>
        <w:t xml:space="preserve">, V., </w:t>
      </w:r>
      <w:proofErr w:type="spellStart"/>
      <w:r w:rsidRPr="00873A0C">
        <w:rPr>
          <w:rFonts w:ascii="Times New Roman" w:eastAsia="Times New Roman" w:hAnsi="Times New Roman" w:cs="Times New Roman"/>
          <w:sz w:val="24"/>
          <w:szCs w:val="24"/>
          <w:lang w:eastAsia="en-GB"/>
        </w:rPr>
        <w:t>Bhuvaneswari</w:t>
      </w:r>
      <w:proofErr w:type="spellEnd"/>
      <w:r w:rsidRPr="00873A0C">
        <w:rPr>
          <w:rFonts w:ascii="Times New Roman" w:eastAsia="Times New Roman" w:hAnsi="Times New Roman" w:cs="Times New Roman"/>
          <w:sz w:val="24"/>
          <w:szCs w:val="24"/>
          <w:lang w:eastAsia="en-GB"/>
        </w:rPr>
        <w:t xml:space="preserve">, K., Gowtham, R., &amp; Priyanka, S. (2022). Estimation of reference evapotranspiration in </w:t>
      </w:r>
      <w:proofErr w:type="spellStart"/>
      <w:r w:rsidRPr="00873A0C">
        <w:rPr>
          <w:rFonts w:ascii="Times New Roman" w:eastAsia="Times New Roman" w:hAnsi="Times New Roman" w:cs="Times New Roman"/>
          <w:sz w:val="24"/>
          <w:szCs w:val="24"/>
          <w:lang w:eastAsia="en-GB"/>
        </w:rPr>
        <w:t>Bhavanisagar</w:t>
      </w:r>
      <w:proofErr w:type="spellEnd"/>
      <w:r w:rsidRPr="00873A0C">
        <w:rPr>
          <w:rFonts w:ascii="Times New Roman" w:eastAsia="Times New Roman" w:hAnsi="Times New Roman" w:cs="Times New Roman"/>
          <w:sz w:val="24"/>
          <w:szCs w:val="24"/>
          <w:lang w:eastAsia="en-GB"/>
        </w:rPr>
        <w:t xml:space="preserve"> block of Tamil Nadu using FAO </w:t>
      </w:r>
      <w:proofErr w:type="spellStart"/>
      <w:r w:rsidRPr="00873A0C">
        <w:rPr>
          <w:rFonts w:ascii="Times New Roman" w:eastAsia="Times New Roman" w:hAnsi="Times New Roman" w:cs="Times New Roman"/>
          <w:sz w:val="24"/>
          <w:szCs w:val="24"/>
          <w:lang w:eastAsia="en-GB"/>
        </w:rPr>
        <w:t>ETo</w:t>
      </w:r>
      <w:proofErr w:type="spellEnd"/>
      <w:r w:rsidRPr="00873A0C">
        <w:rPr>
          <w:rFonts w:ascii="Times New Roman" w:eastAsia="Times New Roman" w:hAnsi="Times New Roman" w:cs="Times New Roman"/>
          <w:sz w:val="24"/>
          <w:szCs w:val="24"/>
          <w:lang w:eastAsia="en-GB"/>
        </w:rPr>
        <w:t xml:space="preserve"> Calculator. </w:t>
      </w:r>
      <w:r w:rsidRPr="00873A0C">
        <w:rPr>
          <w:rFonts w:ascii="Times New Roman" w:eastAsia="Times New Roman" w:hAnsi="Times New Roman" w:cs="Times New Roman"/>
          <w:i/>
          <w:iCs/>
          <w:sz w:val="24"/>
          <w:szCs w:val="24"/>
          <w:lang w:eastAsia="en-GB"/>
        </w:rPr>
        <w:t>International Journal of Plant &amp; Soil Science, 34</w:t>
      </w:r>
      <w:r w:rsidRPr="00873A0C">
        <w:rPr>
          <w:rFonts w:ascii="Times New Roman" w:eastAsia="Times New Roman" w:hAnsi="Times New Roman" w:cs="Times New Roman"/>
          <w:sz w:val="24"/>
          <w:szCs w:val="24"/>
          <w:lang w:eastAsia="en-GB"/>
        </w:rPr>
        <w:t xml:space="preserve">(18), 352–359. </w:t>
      </w:r>
      <w:hyperlink r:id="rId13" w:tgtFrame="_new" w:history="1">
        <w:r w:rsidRPr="00873A0C">
          <w:rPr>
            <w:rFonts w:ascii="Times New Roman" w:eastAsia="Times New Roman" w:hAnsi="Times New Roman" w:cs="Times New Roman"/>
            <w:color w:val="0000FF"/>
            <w:sz w:val="24"/>
            <w:szCs w:val="24"/>
            <w:u w:val="single"/>
            <w:lang w:eastAsia="en-GB"/>
          </w:rPr>
          <w:t>https://doi.org/10.9734/ijpss/2022/v34i1831172</w:t>
        </w:r>
      </w:hyperlink>
    </w:p>
    <w:p w14:paraId="395FF480" w14:textId="77777777" w:rsidR="00AA3CC6" w:rsidRPr="00873A0C" w:rsidRDefault="00AA3CC6" w:rsidP="00AA3CC6">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873A0C">
        <w:rPr>
          <w:rFonts w:ascii="Times New Roman" w:eastAsia="Times New Roman" w:hAnsi="Times New Roman" w:cs="Times New Roman"/>
          <w:sz w:val="24"/>
          <w:szCs w:val="24"/>
          <w:lang w:eastAsia="en-GB"/>
        </w:rPr>
        <w:lastRenderedPageBreak/>
        <w:t xml:space="preserve">Thorp, K. R. (2022). pyfao56: FAO-56 evapotranspiration in Python. </w:t>
      </w:r>
      <w:proofErr w:type="spellStart"/>
      <w:r w:rsidRPr="00873A0C">
        <w:rPr>
          <w:rFonts w:ascii="Times New Roman" w:eastAsia="Times New Roman" w:hAnsi="Times New Roman" w:cs="Times New Roman"/>
          <w:i/>
          <w:iCs/>
          <w:sz w:val="24"/>
          <w:szCs w:val="24"/>
          <w:lang w:eastAsia="en-GB"/>
        </w:rPr>
        <w:t>SoftwareX</w:t>
      </w:r>
      <w:proofErr w:type="spellEnd"/>
      <w:r w:rsidRPr="00873A0C">
        <w:rPr>
          <w:rFonts w:ascii="Times New Roman" w:eastAsia="Times New Roman" w:hAnsi="Times New Roman" w:cs="Times New Roman"/>
          <w:i/>
          <w:iCs/>
          <w:sz w:val="24"/>
          <w:szCs w:val="24"/>
          <w:lang w:eastAsia="en-GB"/>
        </w:rPr>
        <w:t>, 19,</w:t>
      </w:r>
      <w:r w:rsidRPr="00873A0C">
        <w:rPr>
          <w:rFonts w:ascii="Times New Roman" w:eastAsia="Times New Roman" w:hAnsi="Times New Roman" w:cs="Times New Roman"/>
          <w:sz w:val="24"/>
          <w:szCs w:val="24"/>
          <w:lang w:eastAsia="en-GB"/>
        </w:rPr>
        <w:t xml:space="preserve"> 101208. </w:t>
      </w:r>
      <w:hyperlink r:id="rId14" w:tgtFrame="_new" w:history="1">
        <w:r w:rsidRPr="00873A0C">
          <w:rPr>
            <w:rFonts w:ascii="Times New Roman" w:eastAsia="Times New Roman" w:hAnsi="Times New Roman" w:cs="Times New Roman"/>
            <w:color w:val="0000FF"/>
            <w:sz w:val="24"/>
            <w:szCs w:val="24"/>
            <w:u w:val="single"/>
            <w:lang w:eastAsia="en-GB"/>
          </w:rPr>
          <w:t>https://doi.org/10.1016/j.softx.2022.101208</w:t>
        </w:r>
      </w:hyperlink>
    </w:p>
    <w:p w14:paraId="3133A5E5" w14:textId="77777777" w:rsidR="00AA3CC6" w:rsidRPr="00AA3CC6" w:rsidRDefault="00AA3CC6" w:rsidP="00AA3CC6">
      <w:pPr>
        <w:ind w:left="720" w:hanging="720"/>
        <w:jc w:val="both"/>
        <w:rPr>
          <w:rFonts w:ascii="Times New Roman" w:hAnsi="Times New Roman" w:cs="Times New Roman"/>
          <w:sz w:val="24"/>
          <w:szCs w:val="24"/>
        </w:rPr>
      </w:pPr>
    </w:p>
    <w:p w14:paraId="43B6588D" w14:textId="77777777" w:rsidR="00AA3CC6" w:rsidRPr="00AA3CC6" w:rsidRDefault="00AA3CC6" w:rsidP="00AA3CC6">
      <w:pPr>
        <w:jc w:val="both"/>
        <w:rPr>
          <w:rFonts w:ascii="Times New Roman" w:hAnsi="Times New Roman" w:cs="Times New Roman"/>
          <w:b/>
          <w:bCs/>
          <w:sz w:val="24"/>
          <w:szCs w:val="24"/>
        </w:rPr>
      </w:pPr>
    </w:p>
    <w:p w14:paraId="47A02F12" w14:textId="77777777" w:rsidR="00AA3CC6" w:rsidRPr="00AA3CC6" w:rsidRDefault="00AA3CC6">
      <w:pPr>
        <w:jc w:val="both"/>
        <w:rPr>
          <w:rFonts w:ascii="Times New Roman" w:hAnsi="Times New Roman" w:cs="Times New Roman"/>
          <w:b/>
          <w:bCs/>
          <w:sz w:val="24"/>
          <w:szCs w:val="24"/>
        </w:rPr>
      </w:pPr>
    </w:p>
    <w:sectPr w:rsidR="00AA3CC6" w:rsidRPr="00AA3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81"/>
    <w:rsid w:val="00860843"/>
    <w:rsid w:val="00AA3CC6"/>
    <w:rsid w:val="00B335B6"/>
    <w:rsid w:val="00BD0181"/>
    <w:rsid w:val="00D43CE8"/>
    <w:rsid w:val="00DF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DACDF"/>
  <w15:chartTrackingRefBased/>
  <w15:docId w15:val="{3D9EFD16-0EB3-4679-9618-D32F7483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335B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335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0181"/>
    <w:rPr>
      <w:i/>
      <w:iCs/>
    </w:rPr>
  </w:style>
  <w:style w:type="character" w:styleId="Hyperlink">
    <w:name w:val="Hyperlink"/>
    <w:basedOn w:val="DefaultParagraphFont"/>
    <w:uiPriority w:val="99"/>
    <w:semiHidden/>
    <w:unhideWhenUsed/>
    <w:rsid w:val="00BD0181"/>
    <w:rPr>
      <w:color w:val="0000FF"/>
      <w:u w:val="single"/>
    </w:rPr>
  </w:style>
  <w:style w:type="character" w:customStyle="1" w:styleId="Heading3Char">
    <w:name w:val="Heading 3 Char"/>
    <w:basedOn w:val="DefaultParagraphFont"/>
    <w:link w:val="Heading3"/>
    <w:uiPriority w:val="9"/>
    <w:rsid w:val="00B335B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35B6"/>
    <w:rPr>
      <w:b/>
      <w:bCs/>
    </w:rPr>
  </w:style>
  <w:style w:type="character" w:customStyle="1" w:styleId="Heading4Char">
    <w:name w:val="Heading 4 Char"/>
    <w:basedOn w:val="DefaultParagraphFont"/>
    <w:link w:val="Heading4"/>
    <w:uiPriority w:val="9"/>
    <w:semiHidden/>
    <w:rsid w:val="00B335B6"/>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B335B6"/>
  </w:style>
  <w:style w:type="character" w:customStyle="1" w:styleId="mord">
    <w:name w:val="mord"/>
    <w:basedOn w:val="DefaultParagraphFont"/>
    <w:rsid w:val="00B335B6"/>
  </w:style>
  <w:style w:type="character" w:customStyle="1" w:styleId="mrel">
    <w:name w:val="mrel"/>
    <w:basedOn w:val="DefaultParagraphFont"/>
    <w:rsid w:val="00B335B6"/>
  </w:style>
  <w:style w:type="character" w:customStyle="1" w:styleId="mopen">
    <w:name w:val="mopen"/>
    <w:basedOn w:val="DefaultParagraphFont"/>
    <w:rsid w:val="00B335B6"/>
  </w:style>
  <w:style w:type="character" w:customStyle="1" w:styleId="mbin">
    <w:name w:val="mbin"/>
    <w:basedOn w:val="DefaultParagraphFont"/>
    <w:rsid w:val="00B335B6"/>
  </w:style>
  <w:style w:type="character" w:customStyle="1" w:styleId="vlist-s">
    <w:name w:val="vlist-s"/>
    <w:basedOn w:val="DefaultParagraphFont"/>
    <w:rsid w:val="00B335B6"/>
  </w:style>
  <w:style w:type="character" w:customStyle="1" w:styleId="mclose">
    <w:name w:val="mclose"/>
    <w:basedOn w:val="DefaultParagraphFont"/>
    <w:rsid w:val="00B3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0459">
      <w:bodyDiv w:val="1"/>
      <w:marLeft w:val="0"/>
      <w:marRight w:val="0"/>
      <w:marTop w:val="0"/>
      <w:marBottom w:val="0"/>
      <w:divBdr>
        <w:top w:val="none" w:sz="0" w:space="0" w:color="auto"/>
        <w:left w:val="none" w:sz="0" w:space="0" w:color="auto"/>
        <w:bottom w:val="none" w:sz="0" w:space="0" w:color="auto"/>
        <w:right w:val="none" w:sz="0" w:space="0" w:color="auto"/>
      </w:divBdr>
      <w:divsChild>
        <w:div w:id="748159953">
          <w:marLeft w:val="0"/>
          <w:marRight w:val="0"/>
          <w:marTop w:val="0"/>
          <w:marBottom w:val="0"/>
          <w:divBdr>
            <w:top w:val="none" w:sz="0" w:space="0" w:color="auto"/>
            <w:left w:val="none" w:sz="0" w:space="0" w:color="auto"/>
            <w:bottom w:val="none" w:sz="0" w:space="0" w:color="auto"/>
            <w:right w:val="none" w:sz="0" w:space="0" w:color="auto"/>
          </w:divBdr>
          <w:divsChild>
            <w:div w:id="291137147">
              <w:marLeft w:val="0"/>
              <w:marRight w:val="0"/>
              <w:marTop w:val="0"/>
              <w:marBottom w:val="0"/>
              <w:divBdr>
                <w:top w:val="none" w:sz="0" w:space="0" w:color="auto"/>
                <w:left w:val="none" w:sz="0" w:space="0" w:color="auto"/>
                <w:bottom w:val="none" w:sz="0" w:space="0" w:color="auto"/>
                <w:right w:val="none" w:sz="0" w:space="0" w:color="auto"/>
              </w:divBdr>
            </w:div>
          </w:divsChild>
        </w:div>
        <w:div w:id="1816533267">
          <w:marLeft w:val="0"/>
          <w:marRight w:val="0"/>
          <w:marTop w:val="0"/>
          <w:marBottom w:val="0"/>
          <w:divBdr>
            <w:top w:val="none" w:sz="0" w:space="0" w:color="auto"/>
            <w:left w:val="none" w:sz="0" w:space="0" w:color="auto"/>
            <w:bottom w:val="none" w:sz="0" w:space="0" w:color="auto"/>
            <w:right w:val="none" w:sz="0" w:space="0" w:color="auto"/>
          </w:divBdr>
          <w:divsChild>
            <w:div w:id="2107310336">
              <w:marLeft w:val="0"/>
              <w:marRight w:val="0"/>
              <w:marTop w:val="0"/>
              <w:marBottom w:val="0"/>
              <w:divBdr>
                <w:top w:val="none" w:sz="0" w:space="0" w:color="auto"/>
                <w:left w:val="none" w:sz="0" w:space="0" w:color="auto"/>
                <w:bottom w:val="none" w:sz="0" w:space="0" w:color="auto"/>
                <w:right w:val="none" w:sz="0" w:space="0" w:color="auto"/>
              </w:divBdr>
            </w:div>
          </w:divsChild>
        </w:div>
        <w:div w:id="1947879771">
          <w:marLeft w:val="0"/>
          <w:marRight w:val="0"/>
          <w:marTop w:val="0"/>
          <w:marBottom w:val="0"/>
          <w:divBdr>
            <w:top w:val="none" w:sz="0" w:space="0" w:color="auto"/>
            <w:left w:val="none" w:sz="0" w:space="0" w:color="auto"/>
            <w:bottom w:val="none" w:sz="0" w:space="0" w:color="auto"/>
            <w:right w:val="none" w:sz="0" w:space="0" w:color="auto"/>
          </w:divBdr>
          <w:divsChild>
            <w:div w:id="843934120">
              <w:marLeft w:val="0"/>
              <w:marRight w:val="0"/>
              <w:marTop w:val="0"/>
              <w:marBottom w:val="0"/>
              <w:divBdr>
                <w:top w:val="none" w:sz="0" w:space="0" w:color="auto"/>
                <w:left w:val="none" w:sz="0" w:space="0" w:color="auto"/>
                <w:bottom w:val="none" w:sz="0" w:space="0" w:color="auto"/>
                <w:right w:val="none" w:sz="0" w:space="0" w:color="auto"/>
              </w:divBdr>
            </w:div>
          </w:divsChild>
        </w:div>
        <w:div w:id="1477454827">
          <w:marLeft w:val="0"/>
          <w:marRight w:val="0"/>
          <w:marTop w:val="0"/>
          <w:marBottom w:val="0"/>
          <w:divBdr>
            <w:top w:val="none" w:sz="0" w:space="0" w:color="auto"/>
            <w:left w:val="none" w:sz="0" w:space="0" w:color="auto"/>
            <w:bottom w:val="none" w:sz="0" w:space="0" w:color="auto"/>
            <w:right w:val="none" w:sz="0" w:space="0" w:color="auto"/>
          </w:divBdr>
          <w:divsChild>
            <w:div w:id="1336223686">
              <w:marLeft w:val="0"/>
              <w:marRight w:val="0"/>
              <w:marTop w:val="0"/>
              <w:marBottom w:val="0"/>
              <w:divBdr>
                <w:top w:val="none" w:sz="0" w:space="0" w:color="auto"/>
                <w:left w:val="none" w:sz="0" w:space="0" w:color="auto"/>
                <w:bottom w:val="none" w:sz="0" w:space="0" w:color="auto"/>
                <w:right w:val="none" w:sz="0" w:space="0" w:color="auto"/>
              </w:divBdr>
            </w:div>
          </w:divsChild>
        </w:div>
        <w:div w:id="1480923628">
          <w:marLeft w:val="0"/>
          <w:marRight w:val="0"/>
          <w:marTop w:val="0"/>
          <w:marBottom w:val="0"/>
          <w:divBdr>
            <w:top w:val="none" w:sz="0" w:space="0" w:color="auto"/>
            <w:left w:val="none" w:sz="0" w:space="0" w:color="auto"/>
            <w:bottom w:val="none" w:sz="0" w:space="0" w:color="auto"/>
            <w:right w:val="none" w:sz="0" w:space="0" w:color="auto"/>
          </w:divBdr>
          <w:divsChild>
            <w:div w:id="18711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9431">
      <w:bodyDiv w:val="1"/>
      <w:marLeft w:val="0"/>
      <w:marRight w:val="0"/>
      <w:marTop w:val="0"/>
      <w:marBottom w:val="0"/>
      <w:divBdr>
        <w:top w:val="none" w:sz="0" w:space="0" w:color="auto"/>
        <w:left w:val="none" w:sz="0" w:space="0" w:color="auto"/>
        <w:bottom w:val="none" w:sz="0" w:space="0" w:color="auto"/>
        <w:right w:val="none" w:sz="0" w:space="0" w:color="auto"/>
      </w:divBdr>
    </w:div>
    <w:div w:id="494567156">
      <w:bodyDiv w:val="1"/>
      <w:marLeft w:val="0"/>
      <w:marRight w:val="0"/>
      <w:marTop w:val="0"/>
      <w:marBottom w:val="0"/>
      <w:divBdr>
        <w:top w:val="none" w:sz="0" w:space="0" w:color="auto"/>
        <w:left w:val="none" w:sz="0" w:space="0" w:color="auto"/>
        <w:bottom w:val="none" w:sz="0" w:space="0" w:color="auto"/>
        <w:right w:val="none" w:sz="0" w:space="0" w:color="auto"/>
      </w:divBdr>
    </w:div>
    <w:div w:id="836925875">
      <w:bodyDiv w:val="1"/>
      <w:marLeft w:val="0"/>
      <w:marRight w:val="0"/>
      <w:marTop w:val="0"/>
      <w:marBottom w:val="0"/>
      <w:divBdr>
        <w:top w:val="none" w:sz="0" w:space="0" w:color="auto"/>
        <w:left w:val="none" w:sz="0" w:space="0" w:color="auto"/>
        <w:bottom w:val="none" w:sz="0" w:space="0" w:color="auto"/>
        <w:right w:val="none" w:sz="0" w:space="0" w:color="auto"/>
      </w:divBdr>
    </w:div>
    <w:div w:id="980842364">
      <w:bodyDiv w:val="1"/>
      <w:marLeft w:val="0"/>
      <w:marRight w:val="0"/>
      <w:marTop w:val="0"/>
      <w:marBottom w:val="0"/>
      <w:divBdr>
        <w:top w:val="none" w:sz="0" w:space="0" w:color="auto"/>
        <w:left w:val="none" w:sz="0" w:space="0" w:color="auto"/>
        <w:bottom w:val="none" w:sz="0" w:space="0" w:color="auto"/>
        <w:right w:val="none" w:sz="0" w:space="0" w:color="auto"/>
      </w:divBdr>
    </w:div>
    <w:div w:id="1171749219">
      <w:bodyDiv w:val="1"/>
      <w:marLeft w:val="0"/>
      <w:marRight w:val="0"/>
      <w:marTop w:val="0"/>
      <w:marBottom w:val="0"/>
      <w:divBdr>
        <w:top w:val="none" w:sz="0" w:space="0" w:color="auto"/>
        <w:left w:val="none" w:sz="0" w:space="0" w:color="auto"/>
        <w:bottom w:val="none" w:sz="0" w:space="0" w:color="auto"/>
        <w:right w:val="none" w:sz="0" w:space="0" w:color="auto"/>
      </w:divBdr>
    </w:div>
    <w:div w:id="1372267659">
      <w:bodyDiv w:val="1"/>
      <w:marLeft w:val="0"/>
      <w:marRight w:val="0"/>
      <w:marTop w:val="0"/>
      <w:marBottom w:val="0"/>
      <w:divBdr>
        <w:top w:val="none" w:sz="0" w:space="0" w:color="auto"/>
        <w:left w:val="none" w:sz="0" w:space="0" w:color="auto"/>
        <w:bottom w:val="none" w:sz="0" w:space="0" w:color="auto"/>
        <w:right w:val="none" w:sz="0" w:space="0" w:color="auto"/>
      </w:divBdr>
    </w:div>
    <w:div w:id="16894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thunkable.android.diogo_borbar.Eva" TargetMode="External"/><Relationship Id="rId13" Type="http://schemas.openxmlformats.org/officeDocument/2006/relationships/hyperlink" Target="https://doi.org/10.9734/ijpss/2022/v34i1831172" TargetMode="External"/><Relationship Id="rId3" Type="http://schemas.openxmlformats.org/officeDocument/2006/relationships/webSettings" Target="webSettings.xml"/><Relationship Id="rId7" Type="http://schemas.openxmlformats.org/officeDocument/2006/relationships/hyperlink" Target="https://doi.org/10.1016/j.heliyon.2024.e25924" TargetMode="External"/><Relationship Id="rId12" Type="http://schemas.openxmlformats.org/officeDocument/2006/relationships/hyperlink" Target="https://doi.org/10.1016/j.compag.2020.10583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agwat.2020.106491" TargetMode="External"/><Relationship Id="rId11" Type="http://schemas.openxmlformats.org/officeDocument/2006/relationships/hyperlink" Target="https://doi.org/10.13031/trans.59.11158" TargetMode="External"/><Relationship Id="rId5" Type="http://schemas.openxmlformats.org/officeDocument/2006/relationships/hyperlink" Target="https://doi.org/10.1016/j.compag.2016.11.010" TargetMode="External"/><Relationship Id="rId15" Type="http://schemas.openxmlformats.org/officeDocument/2006/relationships/fontTable" Target="fontTable.xml"/><Relationship Id="rId10" Type="http://schemas.openxmlformats.org/officeDocument/2006/relationships/hyperlink" Target="https://doi.org/10.1061/(ASCE)IR.1943-4774.0001312" TargetMode="External"/><Relationship Id="rId4" Type="http://schemas.openxmlformats.org/officeDocument/2006/relationships/hyperlink" Target="https://www.researchgate.net/publication/290988983" TargetMode="External"/><Relationship Id="rId9" Type="http://schemas.openxmlformats.org/officeDocument/2006/relationships/hyperlink" Target="https://doi.org/10.1016/j.compag.2018.10.032" TargetMode="External"/><Relationship Id="rId14" Type="http://schemas.openxmlformats.org/officeDocument/2006/relationships/hyperlink" Target="https://doi.org/10.1016/j.softx.2022.10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Editor-1183</cp:lastModifiedBy>
  <cp:revision>2</cp:revision>
  <dcterms:created xsi:type="dcterms:W3CDTF">2025-11-06T03:12:00Z</dcterms:created>
  <dcterms:modified xsi:type="dcterms:W3CDTF">2025-11-13T07:21:00Z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11d72cda-c58f-45f8-9301-7e94ecdf5408</vt:lpwstr>
  </property>
</Properties>
</file>