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5A3CC">
      <w:pPr>
        <w:pStyle w:val="20"/>
        <w:wordWrap w:val="0"/>
        <w:spacing w:line="240" w:lineRule="auto"/>
        <w:rPr>
          <w:rFonts w:ascii="Arial" w:hAnsi="Arial" w:cs="Arial"/>
          <w:bCs/>
          <w:iCs/>
          <w:kern w:val="28"/>
          <w:sz w:val="28"/>
          <w:szCs w:val="16"/>
        </w:rPr>
      </w:pPr>
      <w:bookmarkStart w:id="0" w:name="_Hlk214361860"/>
    </w:p>
    <w:p w14:paraId="18115769">
      <w:pPr>
        <w:pStyle w:val="20"/>
        <w:wordWrap w:val="0"/>
        <w:spacing w:line="240" w:lineRule="auto"/>
        <w:rPr>
          <w:rFonts w:ascii="Arial" w:hAnsi="Arial" w:cs="Arial"/>
          <w:bCs/>
          <w:iCs/>
          <w:kern w:val="28"/>
          <w:sz w:val="28"/>
          <w:szCs w:val="16"/>
          <w:lang w:val="en-GB"/>
        </w:rPr>
      </w:pPr>
      <w:r>
        <w:rPr>
          <w:rFonts w:ascii="Arial" w:hAnsi="Arial" w:cs="Arial"/>
          <w:bCs/>
          <w:iCs/>
          <w:kern w:val="28"/>
          <w:sz w:val="28"/>
          <w:szCs w:val="16"/>
        </w:rPr>
        <w:t>T</w:t>
      </w:r>
      <w:r>
        <w:rPr>
          <w:rFonts w:ascii="Arial" w:hAnsi="Arial" w:cs="Arial"/>
          <w:bCs/>
          <w:iCs/>
          <w:kern w:val="28"/>
          <w:sz w:val="28"/>
          <w:szCs w:val="16"/>
          <w:lang w:val="en-GB"/>
        </w:rPr>
        <w:t>he Effect of Adding Moringa Leaf (</w:t>
      </w:r>
      <w:r>
        <w:rPr>
          <w:rFonts w:ascii="Arial" w:hAnsi="Arial" w:cs="Arial"/>
          <w:bCs/>
          <w:i/>
          <w:kern w:val="28"/>
          <w:sz w:val="28"/>
          <w:szCs w:val="16"/>
          <w:lang w:val="en-GB"/>
        </w:rPr>
        <w:t>Moringa oleifera L.</w:t>
      </w:r>
      <w:r>
        <w:rPr>
          <w:rFonts w:ascii="Arial" w:hAnsi="Arial" w:cs="Arial"/>
          <w:bCs/>
          <w:iCs/>
          <w:kern w:val="28"/>
          <w:sz w:val="28"/>
          <w:szCs w:val="16"/>
          <w:lang w:val="en-GB"/>
        </w:rPr>
        <w:t>)</w:t>
      </w:r>
      <w:bookmarkStart w:id="6" w:name="_GoBack"/>
      <w:bookmarkEnd w:id="6"/>
    </w:p>
    <w:p w14:paraId="3453F0BB">
      <w:pPr>
        <w:pStyle w:val="20"/>
        <w:wordWrap w:val="0"/>
        <w:spacing w:line="240" w:lineRule="auto"/>
        <w:rPr>
          <w:rFonts w:ascii="Arial" w:hAnsi="Arial" w:cs="Arial"/>
          <w:bCs/>
          <w:iCs/>
          <w:kern w:val="28"/>
          <w:sz w:val="28"/>
          <w:szCs w:val="16"/>
          <w:lang w:val="en-GB"/>
        </w:rPr>
      </w:pPr>
      <w:r>
        <w:rPr>
          <w:rFonts w:ascii="Arial" w:hAnsi="Arial" w:cs="Arial"/>
          <w:bCs/>
          <w:iCs/>
          <w:kern w:val="28"/>
          <w:sz w:val="28"/>
          <w:szCs w:val="16"/>
          <w:lang w:val="en-GB"/>
        </w:rPr>
        <w:t>Powder and Fermented Bacteria (</w:t>
      </w:r>
      <w:r>
        <w:rPr>
          <w:rFonts w:ascii="Arial" w:hAnsi="Arial" w:cs="Arial"/>
          <w:bCs/>
          <w:i/>
          <w:kern w:val="28"/>
          <w:sz w:val="28"/>
          <w:szCs w:val="16"/>
          <w:lang w:val="en-GB"/>
        </w:rPr>
        <w:t>Lactobacillus plantarum</w:t>
      </w:r>
      <w:r>
        <w:rPr>
          <w:rFonts w:ascii="Arial" w:hAnsi="Arial" w:cs="Arial"/>
          <w:bCs/>
          <w:iCs/>
          <w:kern w:val="28"/>
          <w:sz w:val="28"/>
          <w:szCs w:val="16"/>
          <w:lang w:val="en-GB"/>
        </w:rPr>
        <w:t>)</w:t>
      </w:r>
    </w:p>
    <w:p w14:paraId="2EBC9296">
      <w:pPr>
        <w:pStyle w:val="20"/>
        <w:wordWrap w:val="0"/>
        <w:spacing w:line="240" w:lineRule="auto"/>
        <w:rPr>
          <w:rFonts w:hint="default" w:ascii="Arial" w:hAnsi="Arial" w:cs="Arial"/>
          <w:bCs/>
          <w:iCs/>
          <w:kern w:val="28"/>
          <w:sz w:val="28"/>
          <w:szCs w:val="16"/>
          <w:lang w:val="en-GB"/>
        </w:rPr>
      </w:pPr>
      <w:r>
        <w:rPr>
          <w:rFonts w:ascii="Arial" w:hAnsi="Arial" w:cs="Arial"/>
          <w:bCs/>
          <w:iCs/>
          <w:kern w:val="28"/>
          <w:sz w:val="28"/>
          <w:szCs w:val="16"/>
          <w:lang w:val="en-GB"/>
        </w:rPr>
        <w:t>to Free-Range Chicken Dendeng</w:t>
      </w:r>
      <w:r>
        <w:rPr>
          <w:rFonts w:hint="default" w:ascii="Arial" w:hAnsi="Arial" w:cs="Arial"/>
          <w:bCs/>
          <w:iCs/>
          <w:kern w:val="28"/>
          <w:sz w:val="28"/>
          <w:szCs w:val="16"/>
          <w:lang w:val="en-GB"/>
        </w:rPr>
        <w:t xml:space="preserve"> on Physicochemical</w:t>
      </w:r>
    </w:p>
    <w:p w14:paraId="3A68E8F2">
      <w:pPr>
        <w:pStyle w:val="20"/>
        <w:wordWrap w:val="0"/>
        <w:spacing w:line="240" w:lineRule="auto"/>
        <w:rPr>
          <w:rFonts w:hint="default" w:ascii="Arial" w:hAnsi="Arial" w:cs="Arial"/>
          <w:bCs/>
          <w:iCs/>
          <w:kern w:val="28"/>
          <w:sz w:val="28"/>
          <w:szCs w:val="16"/>
          <w:lang w:val="en-GB"/>
        </w:rPr>
      </w:pPr>
      <w:r>
        <w:rPr>
          <w:rFonts w:hint="default" w:ascii="Arial" w:hAnsi="Arial" w:cs="Arial"/>
          <w:bCs/>
          <w:iCs/>
          <w:kern w:val="28"/>
          <w:sz w:val="28"/>
          <w:szCs w:val="16"/>
          <w:lang w:val="en-GB"/>
        </w:rPr>
        <w:t>and Sensory Evaluation</w:t>
      </w:r>
    </w:p>
    <w:bookmarkEnd w:id="0"/>
    <w:p w14:paraId="4C9D062A">
      <w:pPr>
        <w:pStyle w:val="21"/>
        <w:spacing w:after="0" w:line="240" w:lineRule="auto"/>
        <w:jc w:val="both"/>
        <w:rPr>
          <w:rFonts w:ascii="Arial" w:hAnsi="Arial" w:cs="Arial"/>
        </w:rPr>
      </w:pPr>
    </w:p>
    <w:p w14:paraId="2AE043E4">
      <w:pPr>
        <w:pStyle w:val="21"/>
        <w:spacing w:after="0" w:line="240" w:lineRule="auto"/>
        <w:jc w:val="both"/>
        <w:rPr>
          <w:rFonts w:ascii="Arial" w:hAnsi="Arial" w:cs="Arial"/>
        </w:rPr>
      </w:pPr>
    </w:p>
    <w:p w14:paraId="478D461A">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1DE5EEB6">
      <w:pPr>
        <w:pStyle w:val="23"/>
        <w:spacing w:after="0"/>
        <w:jc w:val="both"/>
        <w:rPr>
          <w:rFonts w:ascii="Arial" w:hAnsi="Arial" w:cs="Arial"/>
        </w:rPr>
      </w:pPr>
      <w:r>
        <w:rPr>
          <w:rFonts w:ascii="Arial" w:hAnsi="Arial" w:cs="Arial"/>
        </w:rPr>
        <w:t>ABSTRACT</w:t>
      </w:r>
    </w:p>
    <w:p w14:paraId="64E562B3">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687B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3F6C673B">
            <w:pPr>
              <w:pStyle w:val="22"/>
              <w:spacing w:after="0"/>
              <w:rPr>
                <w:rFonts w:ascii="Arial" w:hAnsi="Arial" w:eastAsia="Calibri" w:cs="Arial"/>
                <w:szCs w:val="22"/>
                <w:lang w:val="en-GB"/>
              </w:rPr>
            </w:pPr>
            <w:r>
              <w:rPr>
                <w:rFonts w:ascii="Arial" w:hAnsi="Arial" w:eastAsia="Calibri" w:cs="Arial"/>
                <w:b/>
                <w:szCs w:val="22"/>
              </w:rPr>
              <w:t xml:space="preserve">Aims: </w:t>
            </w:r>
            <w:r>
              <w:rPr>
                <w:rFonts w:ascii="Arial" w:hAnsi="Arial" w:eastAsia="Calibri" w:cs="Arial"/>
                <w:szCs w:val="22"/>
                <w:lang w:val="en-GB"/>
              </w:rPr>
              <w:t>To determine the effect of addition of moringa leaf powder on the making of fermented free-range chicken dendeng in terms of moisture content, water activity (aw), sensory evaluation, and Lab* color.</w:t>
            </w:r>
          </w:p>
          <w:p w14:paraId="67397508">
            <w:pPr>
              <w:pStyle w:val="22"/>
              <w:spacing w:after="0"/>
              <w:rPr>
                <w:rFonts w:ascii="Arial" w:hAnsi="Arial" w:eastAsia="Calibri" w:cs="Arial"/>
                <w:szCs w:val="22"/>
                <w:lang w:val="en-GB"/>
              </w:rPr>
            </w:pPr>
            <w:r>
              <w:rPr>
                <w:rFonts w:ascii="Arial" w:hAnsi="Arial" w:eastAsia="Calibri" w:cs="Arial"/>
                <w:b/>
                <w:szCs w:val="22"/>
              </w:rPr>
              <w:t>Study design:</w:t>
            </w:r>
            <w:r>
              <w:rPr>
                <w:rFonts w:ascii="Arial" w:hAnsi="Arial" w:eastAsia="Calibri" w:cs="Arial"/>
                <w:szCs w:val="22"/>
              </w:rPr>
              <w:t xml:space="preserve">  </w:t>
            </w:r>
            <w:r>
              <w:rPr>
                <w:rFonts w:ascii="Arial" w:hAnsi="Arial" w:eastAsia="Calibri" w:cs="Arial"/>
                <w:szCs w:val="22"/>
                <w:lang w:val="en-GB"/>
              </w:rPr>
              <w:t>Using a Completely Randomized Design (CRD).</w:t>
            </w:r>
          </w:p>
          <w:p w14:paraId="56EB9B96">
            <w:pPr>
              <w:pStyle w:val="22"/>
              <w:spacing w:after="0"/>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w:t>
            </w:r>
            <w:r>
              <w:rPr>
                <w:rFonts w:ascii="Arial" w:hAnsi="Arial" w:eastAsia="Calibri" w:cs="Arial"/>
                <w:szCs w:val="22"/>
                <w:lang w:val="en-GB"/>
              </w:rPr>
              <w:t>Animal Product Technology Laboratory, Faculty of Animal Science, Universitas Brawijaya</w:t>
            </w:r>
            <w:r>
              <w:rPr>
                <w:rFonts w:ascii="Arial" w:hAnsi="Arial" w:eastAsia="Calibri" w:cs="Arial"/>
                <w:szCs w:val="22"/>
              </w:rPr>
              <w:t xml:space="preserve">, </w:t>
            </w:r>
            <w:r>
              <w:rPr>
                <w:rFonts w:ascii="Arial" w:hAnsi="Arial" w:eastAsia="Calibri" w:cs="Arial"/>
                <w:szCs w:val="22"/>
                <w:lang w:val="en-GB"/>
              </w:rPr>
              <w:t>from January to February 2024</w:t>
            </w:r>
            <w:r>
              <w:rPr>
                <w:rFonts w:ascii="Arial" w:hAnsi="Arial" w:eastAsia="Calibri" w:cs="Arial"/>
                <w:szCs w:val="22"/>
              </w:rPr>
              <w:t>.</w:t>
            </w:r>
          </w:p>
          <w:p w14:paraId="581B2BD8">
            <w:pPr>
              <w:pStyle w:val="22"/>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w:t>
            </w:r>
            <w:r>
              <w:rPr>
                <w:rFonts w:ascii="Arial" w:hAnsi="Arial" w:cs="Arial"/>
                <w:iCs/>
                <w:lang w:val="en-GB"/>
              </w:rPr>
              <w:t xml:space="preserve">The method use was a experimental laboratory with 4 treatments and 4 replicates. The treatments given were P0 (without moringa leaf powder), P1 (2.5%), P2 (5%), P3 (7.5%), and the addition of 6% </w:t>
            </w:r>
            <w:r>
              <w:rPr>
                <w:rFonts w:ascii="Arial" w:hAnsi="Arial" w:cs="Arial"/>
                <w:i/>
                <w:iCs w:val="0"/>
                <w:lang w:val="en-GB"/>
              </w:rPr>
              <w:t xml:space="preserve">L. </w:t>
            </w:r>
            <w:r>
              <w:rPr>
                <w:rFonts w:hint="default" w:ascii="Arial" w:hAnsi="Arial" w:cs="Arial"/>
                <w:i/>
                <w:iCs w:val="0"/>
                <w:lang w:val="en-GB"/>
              </w:rPr>
              <w:t>p</w:t>
            </w:r>
            <w:r>
              <w:rPr>
                <w:rFonts w:ascii="Arial" w:hAnsi="Arial" w:cs="Arial"/>
                <w:i/>
                <w:iCs w:val="0"/>
                <w:lang w:val="en-GB"/>
              </w:rPr>
              <w:t>lantarum</w:t>
            </w:r>
            <w:r>
              <w:rPr>
                <w:rFonts w:ascii="Arial" w:hAnsi="Arial" w:cs="Arial"/>
                <w:iCs/>
                <w:lang w:val="en-GB"/>
              </w:rPr>
              <w:t xml:space="preserve"> bacterial solution for all treatments. Data were analyzed using Analysis of Variance (ANOVA). If different result were obtaineds between treatments, Duncan’s Multiple Range (DMRT) Test was continued.</w:t>
            </w:r>
          </w:p>
          <w:p w14:paraId="5CF7B10F">
            <w:pPr>
              <w:pStyle w:val="22"/>
              <w:spacing w:after="0"/>
              <w:rPr>
                <w:rFonts w:ascii="Arial" w:hAnsi="Arial" w:eastAsia="Calibri" w:cs="Arial"/>
                <w:b/>
                <w:bCs/>
                <w:iCs/>
                <w:szCs w:val="22"/>
              </w:rPr>
            </w:pPr>
            <w:r>
              <w:rPr>
                <w:rFonts w:ascii="Arial" w:hAnsi="Arial" w:eastAsia="Calibri" w:cs="Arial"/>
                <w:b/>
                <w:bCs/>
                <w:szCs w:val="22"/>
              </w:rPr>
              <w:t>Results:</w:t>
            </w:r>
            <w:r>
              <w:rPr>
                <w:rFonts w:ascii="Arial" w:hAnsi="Arial" w:eastAsia="Calibri" w:cs="Arial"/>
                <w:szCs w:val="22"/>
              </w:rPr>
              <w:t xml:space="preserve"> </w:t>
            </w:r>
            <w:r>
              <w:rPr>
                <w:rFonts w:ascii="Arial" w:hAnsi="Arial" w:cs="Arial"/>
                <w:iCs/>
                <w:lang w:val="en-GB"/>
              </w:rPr>
              <w:t>The results showed that the addition of moringa leaf powder had an effect (p&lt;0.05) on the quality of moisture content (7.90-10.97%), water activity (0.80-0.88%), the sensory evaluation of aroma (2.62-2.84), texture (2.88-3.48), taste (2.40-3.62), and a* color (1.13-8.57). However, it does not affect (p&gt;0.05) the quality of color sensory evaluation (2.88-4.04), L* color (31.55-36.44), and b* color (15.42-18.25).</w:t>
            </w:r>
          </w:p>
          <w:p w14:paraId="4815A039">
            <w:pPr>
              <w:jc w:val="both"/>
              <w:rPr>
                <w:rFonts w:ascii="Arial" w:hAnsi="Arial" w:eastAsia="Calibri" w:cs="Arial"/>
                <w:szCs w:val="22"/>
              </w:rPr>
            </w:pPr>
            <w:r>
              <w:rPr>
                <w:rFonts w:ascii="Arial" w:hAnsi="Arial" w:eastAsia="Calibri" w:cs="Arial"/>
                <w:b/>
                <w:bCs/>
                <w:iCs/>
                <w:szCs w:val="22"/>
              </w:rPr>
              <w:t>Conclusion:</w:t>
            </w:r>
            <w:r>
              <w:rPr>
                <w:rFonts w:ascii="Arial" w:hAnsi="Arial" w:eastAsia="Calibri" w:cs="Arial"/>
                <w:iCs/>
                <w:szCs w:val="22"/>
              </w:rPr>
              <w:t xml:space="preserve"> </w:t>
            </w:r>
            <w:r>
              <w:rPr>
                <w:rFonts w:ascii="Arial" w:hAnsi="Arial" w:cs="Arial"/>
                <w:iCs/>
                <w:lang w:val="en-GB"/>
              </w:rPr>
              <w:t xml:space="preserve">It can be concluded that the best treatment is obtained with the addition of moringa leaf </w:t>
            </w:r>
            <w:r>
              <w:rPr>
                <w:rFonts w:hint="default" w:ascii="Arial" w:hAnsi="Arial" w:cs="Arial"/>
                <w:iCs/>
                <w:lang w:val="en-GB"/>
              </w:rPr>
              <w:t xml:space="preserve">at </w:t>
            </w:r>
            <w:r>
              <w:rPr>
                <w:rFonts w:ascii="Arial" w:hAnsi="Arial" w:cs="Arial"/>
                <w:iCs/>
                <w:lang w:val="en-GB"/>
              </w:rPr>
              <w:t xml:space="preserve">2.5% based on physicochemical and mostly like based on sensory evaluation. </w:t>
            </w:r>
          </w:p>
        </w:tc>
      </w:tr>
    </w:tbl>
    <w:p w14:paraId="3D73433E">
      <w:pPr>
        <w:pStyle w:val="22"/>
        <w:spacing w:after="0"/>
        <w:rPr>
          <w:rFonts w:ascii="Arial" w:hAnsi="Arial" w:cs="Arial"/>
          <w:i/>
        </w:rPr>
      </w:pPr>
    </w:p>
    <w:p w14:paraId="7AFDBCE0">
      <w:pPr>
        <w:pStyle w:val="22"/>
        <w:spacing w:after="0"/>
        <w:rPr>
          <w:rFonts w:ascii="Arial" w:hAnsi="Arial" w:cs="Arial"/>
          <w:i/>
          <w:lang w:val="en-GB"/>
        </w:rPr>
      </w:pPr>
      <w:r>
        <w:rPr>
          <w:rFonts w:ascii="Arial" w:hAnsi="Arial" w:cs="Arial"/>
          <w:i/>
        </w:rPr>
        <w:t xml:space="preserve">Keywords: </w:t>
      </w:r>
      <w:r>
        <w:rPr>
          <w:rFonts w:ascii="Arial" w:hAnsi="Arial" w:cs="Arial"/>
          <w:i/>
          <w:lang w:val="en-GB"/>
        </w:rPr>
        <w:t xml:space="preserve">Chicken, Dendeng, </w:t>
      </w:r>
      <w:r>
        <w:rPr>
          <w:rFonts w:hint="default" w:ascii="Arial" w:hAnsi="Arial" w:cs="Arial"/>
          <w:i/>
          <w:lang w:val="en-GB"/>
        </w:rPr>
        <w:t xml:space="preserve">Fermentation, </w:t>
      </w:r>
      <w:r>
        <w:rPr>
          <w:rFonts w:ascii="Arial" w:hAnsi="Arial" w:cs="Arial"/>
          <w:i/>
          <w:lang w:val="en-GB"/>
        </w:rPr>
        <w:t>L. plantarum, Moringa leaf powder</w:t>
      </w:r>
    </w:p>
    <w:p w14:paraId="435D5732">
      <w:pPr>
        <w:pStyle w:val="22"/>
        <w:spacing w:after="0"/>
        <w:rPr>
          <w:rFonts w:ascii="Arial" w:hAnsi="Arial" w:cs="Arial"/>
          <w:i/>
        </w:rPr>
      </w:pPr>
    </w:p>
    <w:p w14:paraId="1BB93FE7">
      <w:pPr>
        <w:pStyle w:val="23"/>
        <w:spacing w:after="0"/>
        <w:jc w:val="both"/>
        <w:rPr>
          <w:rFonts w:ascii="Arial" w:hAnsi="Arial" w:cs="Arial"/>
        </w:rPr>
      </w:pPr>
      <w:r>
        <w:rPr>
          <w:rFonts w:ascii="Arial" w:hAnsi="Arial" w:cs="Arial"/>
        </w:rPr>
        <w:t>1. INTRODUCTION</w:t>
      </w:r>
    </w:p>
    <w:p w14:paraId="37701253">
      <w:pPr>
        <w:pStyle w:val="22"/>
        <w:spacing w:after="0"/>
        <w:rPr>
          <w:rFonts w:ascii="Arial" w:hAnsi="Arial" w:cs="Arial"/>
        </w:rPr>
      </w:pPr>
    </w:p>
    <w:p w14:paraId="2339947B">
      <w:pPr>
        <w:ind w:firstLine="720"/>
        <w:jc w:val="both"/>
        <w:rPr>
          <w:rFonts w:ascii="Arial" w:hAnsi="Arial" w:cs="Arial"/>
          <w:lang w:val="en-GB"/>
        </w:rPr>
      </w:pPr>
      <w:r>
        <w:rPr>
          <w:rFonts w:ascii="Arial" w:hAnsi="Arial" w:cs="Arial"/>
          <w:lang w:val="en-GB"/>
        </w:rPr>
        <w:t xml:space="preserve">Chicken meat is a highly nutritious source of protein that is essential in the human diet. Chicken meat contains various essential nutrients such as protein, vitamin D, iron, and calcium, all of which are important for the health of the body. One type of chicken meat that can be utilized is free-range chicken. Free-range chicken meat is an excellent medium for the growth of pathogenic and non-pathogenic microorganisms and bacteria that can cause damage to the meat. Therefore, processing and preservation techniques are needed to prevent damage to the meat. </w:t>
      </w:r>
    </w:p>
    <w:p w14:paraId="00E545E0">
      <w:pPr>
        <w:ind w:firstLine="720"/>
        <w:jc w:val="both"/>
        <w:rPr>
          <w:rFonts w:ascii="Arial" w:hAnsi="Arial" w:cs="Arial"/>
          <w:lang w:val="en-GB"/>
        </w:rPr>
      </w:pPr>
      <w:r>
        <w:rPr>
          <w:rFonts w:ascii="Arial" w:hAnsi="Arial" w:cs="Arial"/>
          <w:lang w:val="en-GB"/>
        </w:rPr>
        <w:t xml:space="preserve">One form of traditionally preserved meat that has been widely practiced by communities since ancient times is dendeng. </w:t>
      </w:r>
      <w:r>
        <w:rPr>
          <w:rFonts w:hint="default" w:ascii="Arial" w:hAnsi="Arial"/>
          <w:lang w:val="en-GB"/>
        </w:rPr>
        <w:t xml:space="preserve">Dendeng is a food product in the form of slices made from fresh meat that is sliced or ground, then seasoned and dried (Permadi et al., 2024). </w:t>
      </w:r>
      <w:r>
        <w:rPr>
          <w:rFonts w:ascii="Arial" w:hAnsi="Arial" w:cs="Arial"/>
          <w:lang w:val="en-GB"/>
        </w:rPr>
        <w:t xml:space="preserve">Dendeng is a food product that falls under the category of Intermediate Moisture Meat Products (IMF) with a moderate moisture content of around 10-15% and an aw between 0.6-0.9. This allows dendeng to have an elastic texture and a longer shelf life because the low moisture content inhibits the growth of microorganisms that can cause spoilage (Wardana et al., 2024).  In the traditional dendeng production process, the meat generally undergoes spontaneous fermentation. The environmental conditions inside the dendeng cause several undesirable microorganisms, such as pathogenic bacteria and mold, to grow easily. The main problem that occurs is that the fermentation process is uncontrolled, resulting in varying dendeng quality. The addition of lactic acid bacteria starter in the fermentation process of dendeng is expected to create natural competition between bacteria so that the fermentation process can be controlled and the desired changes can be achieved. </w:t>
      </w:r>
    </w:p>
    <w:p w14:paraId="21131838">
      <w:pPr>
        <w:ind w:firstLine="720"/>
        <w:jc w:val="both"/>
        <w:rPr>
          <w:rFonts w:ascii="Arial" w:hAnsi="Arial" w:cs="Arial"/>
          <w:lang w:val="en-GB"/>
        </w:rPr>
      </w:pPr>
      <w:r>
        <w:rPr>
          <w:rFonts w:ascii="Arial" w:hAnsi="Arial" w:cs="Arial"/>
          <w:lang w:val="en-GB"/>
        </w:rPr>
        <w:t xml:space="preserve">Fermentation of chicken dendeng is carried out by adding lactic acid bacteria, one of which is </w:t>
      </w:r>
      <w:r>
        <w:rPr>
          <w:rFonts w:ascii="Arial" w:hAnsi="Arial" w:cs="Arial"/>
          <w:i/>
          <w:iCs/>
          <w:lang w:val="en-GB"/>
        </w:rPr>
        <w:t>Lactobacillus plantarum</w:t>
      </w:r>
      <w:r>
        <w:rPr>
          <w:rFonts w:ascii="Arial" w:hAnsi="Arial" w:cs="Arial"/>
          <w:lang w:val="en-GB"/>
        </w:rPr>
        <w:t>, which is the most commonly used lactic acid bacteria (LAB) in meat fermentation processes</w:t>
      </w:r>
      <w:r>
        <w:rPr>
          <w:rFonts w:hint="default" w:ascii="Arial" w:hAnsi="Arial" w:cs="Arial"/>
          <w:lang w:val="en-GB"/>
        </w:rPr>
        <w:t xml:space="preserve"> (Aini et al., 2023)</w:t>
      </w:r>
      <w:r>
        <w:rPr>
          <w:rFonts w:ascii="Arial" w:hAnsi="Arial" w:cs="Arial"/>
          <w:lang w:val="en-GB"/>
        </w:rPr>
        <w:t xml:space="preserve">. </w:t>
      </w:r>
      <w:r>
        <w:rPr>
          <w:rFonts w:ascii="Arial" w:hAnsi="Arial" w:cs="Arial"/>
          <w:i/>
          <w:iCs/>
          <w:lang w:val="en-GB"/>
        </w:rPr>
        <w:t>Lactobacillus plantarum</w:t>
      </w:r>
      <w:r>
        <w:rPr>
          <w:rFonts w:ascii="Arial" w:hAnsi="Arial" w:cs="Arial"/>
          <w:lang w:val="en-GB"/>
        </w:rPr>
        <w:t xml:space="preserve"> is capable of producing lactic acid during the fermentation process, thereby lowering the pH of the chicken dendeng. A common problem in chicken dendeng storage is rancidity due to oxidation accelerated by the presence of peroxides (Zhao et al., 2023). According to Aminah et al. (2015), moringa leaf powder (Moringa Oliefera L.) contain high levels of antioxidants and antimicrobials. This suggests that moringa can function as a natural preservative and extend shelf life. Based on the above description, research is needed to determine the effect of adding moringa leaf powder and bacterial fermentation on free-range chicken dendeng in terms of moisture content, aw, organoleptic test, and Lab* color. </w:t>
      </w:r>
    </w:p>
    <w:p w14:paraId="488A85E2">
      <w:pPr>
        <w:pStyle w:val="22"/>
        <w:spacing w:after="0"/>
        <w:rPr>
          <w:rFonts w:ascii="Arial" w:hAnsi="Arial" w:cs="Arial"/>
        </w:rPr>
      </w:pPr>
    </w:p>
    <w:p w14:paraId="3065CEC6">
      <w:pPr>
        <w:pStyle w:val="23"/>
        <w:spacing w:after="0"/>
        <w:jc w:val="both"/>
        <w:rPr>
          <w:rFonts w:ascii="Arial" w:hAnsi="Arial" w:cs="Arial"/>
        </w:rPr>
      </w:pPr>
      <w:r>
        <w:rPr>
          <w:rFonts w:ascii="Arial" w:hAnsi="Arial" w:cs="Arial"/>
        </w:rPr>
        <w:t xml:space="preserve">2. material and methods </w:t>
      </w:r>
    </w:p>
    <w:p w14:paraId="26666369">
      <w:pPr>
        <w:pStyle w:val="23"/>
        <w:spacing w:after="0"/>
        <w:jc w:val="both"/>
        <w:rPr>
          <w:rFonts w:ascii="Arial" w:hAnsi="Arial" w:cs="Arial"/>
        </w:rPr>
      </w:pPr>
    </w:p>
    <w:p w14:paraId="63E9F6AE">
      <w:pPr>
        <w:jc w:val="both"/>
        <w:rPr>
          <w:rFonts w:ascii="Arial" w:hAnsi="Arial" w:cs="Arial"/>
          <w:lang w:val="en-GB"/>
        </w:rPr>
      </w:pPr>
      <w:r>
        <w:rPr>
          <w:rFonts w:ascii="Arial" w:hAnsi="Arial" w:cs="Arial"/>
          <w:lang w:val="en-GB"/>
        </w:rPr>
        <w:t xml:space="preserve">The research was conducted at the Animal Product Technology Laboratory, Faculty of Animal Science, Universitas Brawijaya for the production of free-range chicken dendeng and testing of moisture content, aw, sensory evaluation, and Lab* color. The research was conducted from January to February 2024. </w:t>
      </w:r>
    </w:p>
    <w:p w14:paraId="18D8E9FE">
      <w:pPr>
        <w:ind w:firstLine="720"/>
        <w:jc w:val="both"/>
        <w:rPr>
          <w:rFonts w:ascii="Arial" w:hAnsi="Arial" w:cs="Arial"/>
          <w:lang w:val="en-GB"/>
        </w:rPr>
      </w:pPr>
    </w:p>
    <w:p w14:paraId="0FEFA086">
      <w:pPr>
        <w:numPr>
          <w:ilvl w:val="0"/>
          <w:numId w:val="2"/>
        </w:numPr>
        <w:tabs>
          <w:tab w:val="left" w:pos="600"/>
          <w:tab w:val="clear" w:pos="845"/>
        </w:tabs>
        <w:ind w:left="605" w:hanging="605"/>
        <w:jc w:val="both"/>
        <w:rPr>
          <w:rFonts w:ascii="Arial" w:hAnsi="Arial" w:cs="Arial"/>
          <w:b/>
          <w:bCs/>
          <w:sz w:val="22"/>
          <w:szCs w:val="22"/>
          <w:lang w:val="en-GB"/>
        </w:rPr>
      </w:pPr>
      <w:r>
        <w:rPr>
          <w:rFonts w:ascii="Arial" w:hAnsi="Arial" w:cs="Arial"/>
          <w:b/>
          <w:bCs/>
          <w:sz w:val="22"/>
          <w:szCs w:val="22"/>
          <w:lang w:val="en-GB"/>
        </w:rPr>
        <w:t>Materials</w:t>
      </w:r>
    </w:p>
    <w:p w14:paraId="1C7A6EAE">
      <w:pPr>
        <w:tabs>
          <w:tab w:val="left" w:pos="600"/>
        </w:tabs>
        <w:jc w:val="both"/>
        <w:rPr>
          <w:rFonts w:ascii="Arial" w:hAnsi="Arial" w:cs="Arial"/>
          <w:lang w:val="en-GB"/>
        </w:rPr>
      </w:pPr>
      <w:r>
        <w:rPr>
          <w:rFonts w:hint="default" w:ascii="Arial" w:hAnsi="Arial" w:cs="Arial"/>
          <w:lang w:val="en-GB"/>
        </w:rPr>
        <w:t>For dendeng preparation</w:t>
      </w:r>
      <w:r>
        <w:rPr>
          <w:rFonts w:ascii="Arial" w:hAnsi="Arial" w:cs="Arial"/>
          <w:lang w:val="en-GB"/>
        </w:rPr>
        <w:t xml:space="preserve"> in this study male free-range chicken breast fillets and </w:t>
      </w:r>
      <w:r>
        <w:rPr>
          <w:rFonts w:ascii="Arial" w:hAnsi="Arial" w:cs="Arial"/>
          <w:i/>
          <w:iCs/>
          <w:lang w:val="en-GB"/>
        </w:rPr>
        <w:t>Lactoacillus Plantarum</w:t>
      </w:r>
      <w:r>
        <w:rPr>
          <w:rFonts w:ascii="Arial" w:hAnsi="Arial" w:cs="Arial"/>
          <w:lang w:val="en-GB"/>
        </w:rPr>
        <w:t xml:space="preserve"> bacteria at a concentration of 6%</w:t>
      </w:r>
      <w:r>
        <w:rPr>
          <w:rFonts w:hint="default" w:ascii="Arial" w:hAnsi="Arial" w:cs="Arial"/>
          <w:lang w:val="en-GB"/>
        </w:rPr>
        <w:t xml:space="preserve"> were used as main ingredient</w:t>
      </w:r>
      <w:r>
        <w:rPr>
          <w:rFonts w:ascii="Arial" w:hAnsi="Arial" w:cs="Arial"/>
          <w:lang w:val="en-GB"/>
        </w:rPr>
        <w:t xml:space="preserve">. The free-range chicken meat was obtained from Dinoyo Market, Malang. The moringa leaves (Moringa Oleifera L.) used were in powder form, purchased from the herbal brand available on the Shopee marketplace. The </w:t>
      </w:r>
      <w:r>
        <w:rPr>
          <w:rFonts w:ascii="Arial" w:hAnsi="Arial" w:cs="Arial"/>
          <w:i/>
          <w:iCs/>
          <w:lang w:val="en-GB"/>
        </w:rPr>
        <w:t>L. plantarum</w:t>
      </w:r>
      <w:r>
        <w:rPr>
          <w:rFonts w:ascii="Arial" w:hAnsi="Arial" w:cs="Arial"/>
          <w:lang w:val="en-GB"/>
        </w:rPr>
        <w:t xml:space="preserve"> liquid was obtained from the Shopee marketplace. Other ingredients used to make the dendeng were brown sugar, granulated sugar, salt, coriander, pepper, galangal, and garlic, which were obtained from Dinoyo Market, Malang. The equipment needed was an OHAUS BC series analytical scale, a knife, a Signora brand meat grinder, an incubator, and a WT Binder brand oven.</w:t>
      </w:r>
    </w:p>
    <w:p w14:paraId="61B19296">
      <w:pPr>
        <w:tabs>
          <w:tab w:val="left" w:pos="600"/>
        </w:tabs>
        <w:jc w:val="both"/>
        <w:rPr>
          <w:rFonts w:ascii="Arial" w:hAnsi="Arial" w:cs="Arial"/>
          <w:lang w:val="en-GB"/>
        </w:rPr>
      </w:pPr>
    </w:p>
    <w:p w14:paraId="414A2863">
      <w:pPr>
        <w:numPr>
          <w:ilvl w:val="0"/>
          <w:numId w:val="2"/>
        </w:numPr>
        <w:tabs>
          <w:tab w:val="left" w:pos="600"/>
          <w:tab w:val="clear" w:pos="845"/>
        </w:tabs>
        <w:ind w:left="605" w:hanging="605"/>
        <w:jc w:val="both"/>
        <w:rPr>
          <w:rFonts w:ascii="Arial" w:hAnsi="Arial" w:cs="Arial"/>
          <w:b/>
          <w:bCs/>
          <w:sz w:val="22"/>
          <w:szCs w:val="22"/>
          <w:lang w:val="en-GB"/>
        </w:rPr>
      </w:pPr>
      <w:r>
        <w:rPr>
          <w:rFonts w:ascii="Arial" w:hAnsi="Arial" w:cs="Arial"/>
          <w:b/>
          <w:bCs/>
          <w:sz w:val="22"/>
          <w:szCs w:val="22"/>
          <w:lang w:val="en-GB"/>
        </w:rPr>
        <w:t>Methods</w:t>
      </w:r>
    </w:p>
    <w:p w14:paraId="48C7A304">
      <w:pPr>
        <w:tabs>
          <w:tab w:val="left" w:pos="600"/>
        </w:tabs>
        <w:jc w:val="both"/>
        <w:rPr>
          <w:rFonts w:hint="default" w:ascii="Arial" w:hAnsi="Arial" w:cs="Arial"/>
          <w:i w:val="0"/>
          <w:iCs w:val="0"/>
          <w:lang w:val="en-GB"/>
        </w:rPr>
      </w:pPr>
      <w:r>
        <w:rPr>
          <w:rFonts w:ascii="Arial" w:hAnsi="Arial" w:cs="Arial"/>
          <w:lang w:val="en-GB"/>
        </w:rPr>
        <w:t xml:space="preserve">This study was conducted experimentally in a laboratory using a completely randomized design (CRD) </w:t>
      </w:r>
      <w:r>
        <w:rPr>
          <w:rFonts w:hint="default" w:ascii="Arial" w:hAnsi="Arial" w:cs="Arial"/>
          <w:lang w:val="en-GB"/>
        </w:rPr>
        <w:t xml:space="preserve">using </w:t>
      </w:r>
      <w:r>
        <w:rPr>
          <w:rFonts w:ascii="Arial" w:hAnsi="Arial" w:cs="Arial"/>
          <w:iCs/>
          <w:lang w:val="en-GB"/>
        </w:rPr>
        <w:t>Analysis of Variance</w:t>
      </w:r>
      <w:r>
        <w:rPr>
          <w:rFonts w:hint="default" w:ascii="Arial" w:hAnsi="Arial" w:cs="Arial"/>
          <w:iCs/>
          <w:lang w:val="en-GB"/>
        </w:rPr>
        <w:t xml:space="preserve"> (</w:t>
      </w:r>
      <w:r>
        <w:rPr>
          <w:rFonts w:hint="default" w:ascii="Arial" w:hAnsi="Arial" w:cs="Arial"/>
          <w:lang w:val="en-GB"/>
        </w:rPr>
        <w:t xml:space="preserve">ANOVA) </w:t>
      </w:r>
      <w:r>
        <w:rPr>
          <w:rFonts w:ascii="Arial" w:hAnsi="Arial" w:cs="Arial"/>
          <w:lang w:val="en-GB"/>
        </w:rPr>
        <w:t xml:space="preserve">with 4 treatments and 4 replicates. </w:t>
      </w:r>
      <w:r>
        <w:rPr>
          <w:rFonts w:hint="default" w:ascii="Arial" w:hAnsi="Arial" w:cs="Arial"/>
          <w:lang w:val="en-GB"/>
        </w:rPr>
        <w:t>Four</w:t>
      </w:r>
      <w:r>
        <w:rPr>
          <w:rFonts w:ascii="Arial" w:hAnsi="Arial" w:cs="Arial"/>
          <w:lang w:val="en-GB"/>
        </w:rPr>
        <w:t xml:space="preserve"> treatments </w:t>
      </w:r>
      <w:r>
        <w:rPr>
          <w:rFonts w:hint="default" w:ascii="Arial" w:hAnsi="Arial" w:cs="Arial"/>
          <w:lang w:val="en-GB"/>
        </w:rPr>
        <w:t>based on</w:t>
      </w:r>
      <w:r>
        <w:rPr>
          <w:rFonts w:ascii="Arial" w:hAnsi="Arial" w:cs="Arial"/>
          <w:lang w:val="en-GB"/>
        </w:rPr>
        <w:t xml:space="preserve"> the addition of moringa leaf powder, </w:t>
      </w:r>
      <w:r>
        <w:rPr>
          <w:rFonts w:hint="default" w:ascii="Arial" w:hAnsi="Arial" w:cs="Arial"/>
          <w:lang w:val="en-GB"/>
        </w:rPr>
        <w:t>in 4 ranges</w:t>
      </w:r>
      <w:r>
        <w:rPr>
          <w:rFonts w:ascii="Arial" w:hAnsi="Arial" w:cs="Arial"/>
          <w:lang w:val="en-GB"/>
        </w:rPr>
        <w:t xml:space="preserve">, namely T0 (no addition), T1 (2.5%), T2 (5%), and T3 (7.5%), </w:t>
      </w:r>
      <w:r>
        <w:rPr>
          <w:rFonts w:hint="default" w:ascii="Arial" w:hAnsi="Arial" w:cs="Arial"/>
          <w:lang w:val="en-GB"/>
        </w:rPr>
        <w:t xml:space="preserve">were planned </w:t>
      </w:r>
      <w:r>
        <w:rPr>
          <w:rFonts w:hint="default" w:ascii="Arial" w:hAnsi="Arial" w:cs="Arial"/>
          <w:i/>
          <w:iCs/>
          <w:lang w:val="en-GB"/>
        </w:rPr>
        <w:t xml:space="preserve">L. plantarum </w:t>
      </w:r>
      <w:r>
        <w:rPr>
          <w:rFonts w:hint="default" w:ascii="Arial" w:hAnsi="Arial" w:cs="Arial"/>
          <w:i w:val="0"/>
          <w:iCs w:val="0"/>
          <w:lang w:val="en-GB"/>
        </w:rPr>
        <w:t>solution (6%) was also added during the preparation of the pdroduct.</w:t>
      </w:r>
    </w:p>
    <w:p w14:paraId="31E832B1">
      <w:pPr>
        <w:tabs>
          <w:tab w:val="left" w:pos="600"/>
        </w:tabs>
        <w:jc w:val="both"/>
        <w:rPr>
          <w:rFonts w:hint="default" w:ascii="Arial" w:hAnsi="Arial" w:cs="Arial"/>
          <w:i w:val="0"/>
          <w:iCs w:val="0"/>
          <w:lang w:val="en-GB"/>
        </w:rPr>
      </w:pPr>
    </w:p>
    <w:p w14:paraId="07D8567F">
      <w:pPr>
        <w:numPr>
          <w:ilvl w:val="0"/>
          <w:numId w:val="2"/>
        </w:numPr>
        <w:tabs>
          <w:tab w:val="left" w:pos="600"/>
          <w:tab w:val="clear" w:pos="845"/>
        </w:tabs>
        <w:ind w:left="605" w:hanging="605"/>
        <w:jc w:val="both"/>
        <w:rPr>
          <w:rFonts w:ascii="Arial" w:hAnsi="Arial" w:cs="Arial"/>
          <w:b/>
          <w:bCs/>
          <w:sz w:val="22"/>
          <w:szCs w:val="22"/>
          <w:lang w:val="en-GB"/>
        </w:rPr>
      </w:pPr>
      <w:r>
        <w:rPr>
          <w:rFonts w:ascii="Arial" w:hAnsi="Arial" w:cs="Arial"/>
          <w:b/>
          <w:bCs/>
          <w:sz w:val="22"/>
          <w:szCs w:val="22"/>
          <w:lang w:val="en-GB"/>
        </w:rPr>
        <w:t>Sample Preparation</w:t>
      </w:r>
    </w:p>
    <w:p w14:paraId="72429026">
      <w:pPr>
        <w:tabs>
          <w:tab w:val="left" w:pos="600"/>
        </w:tabs>
        <w:jc w:val="both"/>
        <w:rPr>
          <w:rFonts w:ascii="Arial" w:hAnsi="Arial" w:cs="Arial"/>
          <w:lang w:val="en-GB"/>
        </w:rPr>
      </w:pPr>
      <w:r>
        <w:rPr>
          <w:rFonts w:ascii="Arial" w:hAnsi="Arial" w:cs="Arial"/>
          <w:lang w:val="en-GB"/>
        </w:rPr>
        <w:t>The modified chicken dendeng product formulation (Kosim et al., 2015) can be seen in Table 1.</w:t>
      </w:r>
    </w:p>
    <w:p w14:paraId="05A9B1AB">
      <w:pPr>
        <w:tabs>
          <w:tab w:val="left" w:pos="600"/>
        </w:tabs>
        <w:jc w:val="both"/>
        <w:rPr>
          <w:rFonts w:ascii="Arial" w:hAnsi="Arial" w:cs="Arial"/>
          <w:lang w:val="en-GB"/>
        </w:rPr>
      </w:pPr>
    </w:p>
    <w:p w14:paraId="60090CE6">
      <w:pPr>
        <w:tabs>
          <w:tab w:val="left" w:pos="600"/>
        </w:tabs>
        <w:jc w:val="both"/>
        <w:rPr>
          <w:rFonts w:ascii="Arial" w:hAnsi="Arial" w:cs="Arial"/>
          <w:lang w:val="en-GB"/>
        </w:rPr>
      </w:pPr>
      <w:r>
        <w:rPr>
          <w:rFonts w:ascii="Arial" w:hAnsi="Arial" w:cs="Arial"/>
          <w:lang w:val="en-GB"/>
        </w:rPr>
        <w:t>Table 1. Free-range Chicken Dendeng Formulation</w:t>
      </w:r>
    </w:p>
    <w:tbl>
      <w:tblPr>
        <w:tblStyle w:val="18"/>
        <w:tblW w:w="822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1420"/>
        <w:gridCol w:w="748"/>
        <w:gridCol w:w="816"/>
        <w:gridCol w:w="746"/>
        <w:gridCol w:w="795"/>
      </w:tblGrid>
      <w:tr w14:paraId="1549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5" w:type="dxa"/>
            <w:vMerge w:val="restart"/>
            <w:vAlign w:val="center"/>
          </w:tcPr>
          <w:p w14:paraId="56DBA0E5">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Material</w:t>
            </w:r>
          </w:p>
        </w:tc>
        <w:tc>
          <w:tcPr>
            <w:tcW w:w="1420" w:type="dxa"/>
            <w:vMerge w:val="restart"/>
            <w:vAlign w:val="center"/>
          </w:tcPr>
          <w:p w14:paraId="4FCAA9E2">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Percentage</w:t>
            </w:r>
          </w:p>
          <w:p w14:paraId="64951119">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w:t>
            </w:r>
          </w:p>
        </w:tc>
        <w:tc>
          <w:tcPr>
            <w:tcW w:w="3105" w:type="dxa"/>
            <w:gridSpan w:val="4"/>
          </w:tcPr>
          <w:p w14:paraId="25816043">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Treatment (g)</w:t>
            </w:r>
          </w:p>
        </w:tc>
      </w:tr>
      <w:tr w14:paraId="4FBE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Merge w:val="continue"/>
          </w:tcPr>
          <w:p w14:paraId="5475018C">
            <w:pPr>
              <w:widowControl w:val="0"/>
              <w:jc w:val="center"/>
              <w:rPr>
                <w:rFonts w:ascii="Arial" w:hAnsi="Arial" w:eastAsia="Calibri" w:cs="Arial"/>
                <w:b/>
                <w:bCs/>
                <w:iCs/>
                <w:sz w:val="20"/>
                <w:szCs w:val="20"/>
                <w:lang w:val="en-GB"/>
              </w:rPr>
            </w:pPr>
          </w:p>
        </w:tc>
        <w:tc>
          <w:tcPr>
            <w:tcW w:w="1420" w:type="dxa"/>
            <w:vMerge w:val="continue"/>
          </w:tcPr>
          <w:p w14:paraId="231128FE">
            <w:pPr>
              <w:widowControl w:val="0"/>
              <w:jc w:val="center"/>
              <w:rPr>
                <w:rFonts w:ascii="Arial" w:hAnsi="Arial" w:eastAsia="Calibri" w:cs="Arial"/>
                <w:b/>
                <w:bCs/>
                <w:iCs/>
                <w:sz w:val="20"/>
                <w:szCs w:val="20"/>
                <w:lang w:val="en-GB"/>
              </w:rPr>
            </w:pPr>
          </w:p>
        </w:tc>
        <w:tc>
          <w:tcPr>
            <w:tcW w:w="748" w:type="dxa"/>
          </w:tcPr>
          <w:p w14:paraId="6BCDA5E9">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T0</w:t>
            </w:r>
          </w:p>
        </w:tc>
        <w:tc>
          <w:tcPr>
            <w:tcW w:w="816" w:type="dxa"/>
          </w:tcPr>
          <w:p w14:paraId="00403FF2">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T1</w:t>
            </w:r>
          </w:p>
        </w:tc>
        <w:tc>
          <w:tcPr>
            <w:tcW w:w="746" w:type="dxa"/>
          </w:tcPr>
          <w:p w14:paraId="39691032">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T2</w:t>
            </w:r>
          </w:p>
        </w:tc>
        <w:tc>
          <w:tcPr>
            <w:tcW w:w="795" w:type="dxa"/>
          </w:tcPr>
          <w:p w14:paraId="2F0D09A4">
            <w:pPr>
              <w:widowControl w:val="0"/>
              <w:jc w:val="center"/>
              <w:rPr>
                <w:rFonts w:ascii="Arial" w:hAnsi="Arial" w:eastAsia="Calibri" w:cs="Arial"/>
                <w:b/>
                <w:bCs/>
                <w:iCs/>
                <w:sz w:val="20"/>
                <w:szCs w:val="20"/>
                <w:lang w:val="en-GB"/>
              </w:rPr>
            </w:pPr>
            <w:r>
              <w:rPr>
                <w:rFonts w:ascii="Arial" w:hAnsi="Arial" w:eastAsia="Calibri" w:cs="Arial"/>
                <w:b/>
                <w:bCs/>
                <w:iCs/>
                <w:sz w:val="20"/>
                <w:szCs w:val="20"/>
                <w:lang w:val="en-GB"/>
              </w:rPr>
              <w:t>T3</w:t>
            </w:r>
          </w:p>
        </w:tc>
      </w:tr>
      <w:tr w14:paraId="1670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08467FBA">
            <w:pPr>
              <w:widowControl w:val="0"/>
              <w:rPr>
                <w:rFonts w:ascii="Arial" w:hAnsi="Arial" w:eastAsia="Calibri" w:cs="Arial"/>
                <w:iCs/>
                <w:sz w:val="20"/>
                <w:szCs w:val="20"/>
                <w:lang w:val="en-GB"/>
              </w:rPr>
            </w:pPr>
            <w:r>
              <w:rPr>
                <w:rFonts w:ascii="Arial" w:hAnsi="Arial" w:eastAsia="Calibri" w:cs="Arial"/>
                <w:iCs/>
                <w:sz w:val="20"/>
                <w:szCs w:val="20"/>
                <w:lang w:val="en-GB"/>
              </w:rPr>
              <w:t>Free-range chichken breast fillet</w:t>
            </w:r>
          </w:p>
        </w:tc>
        <w:tc>
          <w:tcPr>
            <w:tcW w:w="1420" w:type="dxa"/>
          </w:tcPr>
          <w:p w14:paraId="1377CD52">
            <w:pPr>
              <w:widowControl w:val="0"/>
              <w:jc w:val="center"/>
              <w:rPr>
                <w:rFonts w:ascii="Arial" w:hAnsi="Arial" w:eastAsia="Calibri" w:cs="Arial"/>
                <w:iCs/>
                <w:sz w:val="20"/>
                <w:szCs w:val="20"/>
                <w:lang w:val="en-GB"/>
              </w:rPr>
            </w:pPr>
            <w:r>
              <w:rPr>
                <w:rFonts w:ascii="Arial" w:hAnsi="Arial" w:eastAsia="Calibri" w:cs="Arial"/>
                <w:iCs/>
                <w:sz w:val="20"/>
                <w:szCs w:val="20"/>
                <w:lang w:val="en-GB"/>
              </w:rPr>
              <w:t>100</w:t>
            </w:r>
          </w:p>
        </w:tc>
        <w:tc>
          <w:tcPr>
            <w:tcW w:w="748" w:type="dxa"/>
          </w:tcPr>
          <w:p w14:paraId="3D10148F">
            <w:pPr>
              <w:widowControl w:val="0"/>
              <w:jc w:val="center"/>
              <w:rPr>
                <w:rFonts w:ascii="Arial" w:hAnsi="Arial" w:eastAsia="Calibri" w:cs="Arial"/>
                <w:iCs/>
                <w:sz w:val="20"/>
                <w:szCs w:val="20"/>
                <w:lang w:val="en-GB"/>
              </w:rPr>
            </w:pPr>
            <w:r>
              <w:rPr>
                <w:rFonts w:ascii="Arial" w:hAnsi="Arial" w:eastAsia="Calibri" w:cs="Arial"/>
                <w:iCs/>
                <w:sz w:val="20"/>
                <w:szCs w:val="20"/>
                <w:lang w:val="en-GB"/>
              </w:rPr>
              <w:t>100</w:t>
            </w:r>
          </w:p>
        </w:tc>
        <w:tc>
          <w:tcPr>
            <w:tcW w:w="816" w:type="dxa"/>
          </w:tcPr>
          <w:p w14:paraId="7A2E8BF7">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100</w:t>
            </w:r>
          </w:p>
        </w:tc>
        <w:tc>
          <w:tcPr>
            <w:tcW w:w="746" w:type="dxa"/>
          </w:tcPr>
          <w:p w14:paraId="28C25366">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100</w:t>
            </w:r>
          </w:p>
        </w:tc>
        <w:tc>
          <w:tcPr>
            <w:tcW w:w="795" w:type="dxa"/>
          </w:tcPr>
          <w:p w14:paraId="260BA11B">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100</w:t>
            </w:r>
          </w:p>
        </w:tc>
      </w:tr>
      <w:tr w14:paraId="6D38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Merge w:val="restart"/>
            <w:vAlign w:val="center"/>
          </w:tcPr>
          <w:p w14:paraId="46A52A45">
            <w:pPr>
              <w:widowControl w:val="0"/>
              <w:rPr>
                <w:rFonts w:ascii="Arial" w:hAnsi="Arial" w:eastAsia="Calibri" w:cs="Arial"/>
                <w:iCs/>
                <w:sz w:val="20"/>
                <w:szCs w:val="20"/>
                <w:lang w:val="en-GB"/>
              </w:rPr>
            </w:pPr>
            <w:r>
              <w:rPr>
                <w:rFonts w:ascii="Arial" w:hAnsi="Arial" w:eastAsia="Calibri" w:cs="Arial"/>
                <w:iCs/>
                <w:sz w:val="20"/>
                <w:szCs w:val="20"/>
                <w:lang w:val="en-GB"/>
              </w:rPr>
              <w:t>Moringa leaf powder</w:t>
            </w:r>
          </w:p>
        </w:tc>
        <w:tc>
          <w:tcPr>
            <w:tcW w:w="1420" w:type="dxa"/>
          </w:tcPr>
          <w:p w14:paraId="6060DE13">
            <w:pPr>
              <w:widowControl w:val="0"/>
              <w:jc w:val="center"/>
              <w:rPr>
                <w:rFonts w:ascii="Arial" w:hAnsi="Arial" w:eastAsia="Calibri" w:cs="Arial"/>
                <w:iCs/>
                <w:sz w:val="20"/>
                <w:szCs w:val="20"/>
                <w:lang w:val="en-GB"/>
              </w:rPr>
            </w:pPr>
            <w:r>
              <w:rPr>
                <w:rFonts w:ascii="Arial" w:hAnsi="Arial" w:eastAsia="Calibri" w:cs="Arial"/>
                <w:iCs/>
                <w:sz w:val="20"/>
                <w:szCs w:val="20"/>
                <w:lang w:val="en-GB"/>
              </w:rPr>
              <w:t>- (P0)</w:t>
            </w:r>
          </w:p>
        </w:tc>
        <w:tc>
          <w:tcPr>
            <w:tcW w:w="748" w:type="dxa"/>
          </w:tcPr>
          <w:p w14:paraId="5E45E9BB">
            <w:pPr>
              <w:widowControl w:val="0"/>
              <w:jc w:val="center"/>
              <w:rPr>
                <w:rFonts w:ascii="Arial" w:hAnsi="Arial" w:eastAsia="Calibri" w:cs="Arial"/>
                <w:iCs/>
                <w:sz w:val="20"/>
                <w:szCs w:val="20"/>
                <w:lang w:val="en-GB"/>
              </w:rPr>
            </w:pPr>
            <w:r>
              <w:rPr>
                <w:rFonts w:ascii="Arial" w:hAnsi="Arial" w:eastAsia="Calibri" w:cs="Arial"/>
                <w:iCs/>
                <w:sz w:val="20"/>
                <w:szCs w:val="20"/>
                <w:lang w:val="en-GB"/>
              </w:rPr>
              <w:t>0</w:t>
            </w:r>
          </w:p>
        </w:tc>
        <w:tc>
          <w:tcPr>
            <w:tcW w:w="816" w:type="dxa"/>
          </w:tcPr>
          <w:p w14:paraId="667BD927">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46" w:type="dxa"/>
          </w:tcPr>
          <w:p w14:paraId="57AB2CD4">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95" w:type="dxa"/>
          </w:tcPr>
          <w:p w14:paraId="13B44413">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r>
      <w:tr w14:paraId="7108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Merge w:val="continue"/>
            <w:vAlign w:val="center"/>
          </w:tcPr>
          <w:p w14:paraId="5C6ACE1E">
            <w:pPr>
              <w:widowControl w:val="0"/>
              <w:rPr>
                <w:rFonts w:ascii="Arial" w:hAnsi="Arial" w:eastAsia="Calibri" w:cs="Arial"/>
                <w:iCs/>
                <w:sz w:val="20"/>
                <w:szCs w:val="20"/>
                <w:lang w:val="en-GB"/>
              </w:rPr>
            </w:pPr>
          </w:p>
        </w:tc>
        <w:tc>
          <w:tcPr>
            <w:tcW w:w="1420" w:type="dxa"/>
          </w:tcPr>
          <w:p w14:paraId="6B9B5CC8">
            <w:pPr>
              <w:widowControl w:val="0"/>
              <w:jc w:val="center"/>
              <w:rPr>
                <w:rFonts w:ascii="Arial" w:hAnsi="Arial" w:eastAsia="Calibri" w:cs="Arial"/>
                <w:iCs/>
                <w:sz w:val="20"/>
                <w:szCs w:val="20"/>
                <w:lang w:val="en-GB"/>
              </w:rPr>
            </w:pPr>
            <w:r>
              <w:rPr>
                <w:rFonts w:ascii="Arial" w:hAnsi="Arial" w:eastAsia="Calibri" w:cs="Arial"/>
                <w:iCs/>
                <w:sz w:val="20"/>
                <w:szCs w:val="20"/>
                <w:lang w:val="en-GB"/>
              </w:rPr>
              <w:t>2.5 (P1)</w:t>
            </w:r>
          </w:p>
        </w:tc>
        <w:tc>
          <w:tcPr>
            <w:tcW w:w="748" w:type="dxa"/>
          </w:tcPr>
          <w:p w14:paraId="16AFEDD4">
            <w:pPr>
              <w:widowControl w:val="0"/>
              <w:jc w:val="center"/>
              <w:rPr>
                <w:rFonts w:ascii="Arial" w:hAnsi="Arial" w:eastAsia="Calibri" w:cs="Arial"/>
                <w:iCs/>
                <w:sz w:val="20"/>
                <w:szCs w:val="20"/>
                <w:lang w:val="en-GB"/>
              </w:rPr>
            </w:pPr>
            <w:r>
              <w:rPr>
                <w:rFonts w:ascii="Arial" w:hAnsi="Arial" w:eastAsia="Calibri" w:cs="Arial"/>
                <w:iCs/>
                <w:sz w:val="20"/>
                <w:szCs w:val="20"/>
                <w:lang w:val="en-GB"/>
              </w:rPr>
              <w:t>-</w:t>
            </w:r>
          </w:p>
        </w:tc>
        <w:tc>
          <w:tcPr>
            <w:tcW w:w="816" w:type="dxa"/>
          </w:tcPr>
          <w:p w14:paraId="42027F2E">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2.5</w:t>
            </w:r>
          </w:p>
        </w:tc>
        <w:tc>
          <w:tcPr>
            <w:tcW w:w="746" w:type="dxa"/>
          </w:tcPr>
          <w:p w14:paraId="6614E86A">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95" w:type="dxa"/>
          </w:tcPr>
          <w:p w14:paraId="18F34239">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r>
      <w:tr w14:paraId="177A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Merge w:val="continue"/>
            <w:vAlign w:val="center"/>
          </w:tcPr>
          <w:p w14:paraId="03AAA36C">
            <w:pPr>
              <w:widowControl w:val="0"/>
              <w:rPr>
                <w:rFonts w:ascii="Arial" w:hAnsi="Arial" w:eastAsia="Calibri" w:cs="Arial"/>
                <w:iCs/>
                <w:sz w:val="20"/>
                <w:szCs w:val="20"/>
                <w:lang w:val="en-GB"/>
              </w:rPr>
            </w:pPr>
          </w:p>
        </w:tc>
        <w:tc>
          <w:tcPr>
            <w:tcW w:w="1420" w:type="dxa"/>
          </w:tcPr>
          <w:p w14:paraId="31A9A68D">
            <w:pPr>
              <w:widowControl w:val="0"/>
              <w:jc w:val="center"/>
              <w:rPr>
                <w:rFonts w:ascii="Arial" w:hAnsi="Arial" w:eastAsia="Calibri" w:cs="Arial"/>
                <w:iCs/>
                <w:sz w:val="20"/>
                <w:szCs w:val="20"/>
                <w:lang w:val="en-GB"/>
              </w:rPr>
            </w:pPr>
            <w:r>
              <w:rPr>
                <w:rFonts w:ascii="Arial" w:hAnsi="Arial" w:eastAsia="Calibri" w:cs="Arial"/>
                <w:iCs/>
                <w:sz w:val="20"/>
                <w:szCs w:val="20"/>
                <w:lang w:val="en-GB"/>
              </w:rPr>
              <w:t>5 (P2)</w:t>
            </w:r>
          </w:p>
        </w:tc>
        <w:tc>
          <w:tcPr>
            <w:tcW w:w="748" w:type="dxa"/>
          </w:tcPr>
          <w:p w14:paraId="45AE4A68">
            <w:pPr>
              <w:widowControl w:val="0"/>
              <w:jc w:val="center"/>
              <w:rPr>
                <w:rFonts w:ascii="Arial" w:hAnsi="Arial" w:eastAsia="Calibri" w:cs="Arial"/>
                <w:iCs/>
                <w:sz w:val="20"/>
                <w:szCs w:val="20"/>
                <w:lang w:val="en-GB"/>
              </w:rPr>
            </w:pPr>
            <w:r>
              <w:rPr>
                <w:rFonts w:ascii="Arial" w:hAnsi="Arial" w:eastAsia="Calibri" w:cs="Arial"/>
                <w:iCs/>
                <w:sz w:val="20"/>
                <w:szCs w:val="20"/>
                <w:lang w:val="en-GB"/>
              </w:rPr>
              <w:t>-</w:t>
            </w:r>
          </w:p>
        </w:tc>
        <w:tc>
          <w:tcPr>
            <w:tcW w:w="816" w:type="dxa"/>
          </w:tcPr>
          <w:p w14:paraId="1A474D45">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46" w:type="dxa"/>
          </w:tcPr>
          <w:p w14:paraId="2BD7EDFD">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5</w:t>
            </w:r>
          </w:p>
        </w:tc>
        <w:tc>
          <w:tcPr>
            <w:tcW w:w="795" w:type="dxa"/>
          </w:tcPr>
          <w:p w14:paraId="15AF6E81">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r>
      <w:tr w14:paraId="6817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Merge w:val="continue"/>
            <w:vAlign w:val="center"/>
          </w:tcPr>
          <w:p w14:paraId="3673A28E">
            <w:pPr>
              <w:widowControl w:val="0"/>
              <w:rPr>
                <w:rFonts w:ascii="Arial" w:hAnsi="Arial" w:eastAsia="Calibri" w:cs="Arial"/>
                <w:iCs/>
                <w:sz w:val="20"/>
                <w:szCs w:val="20"/>
                <w:lang w:val="en-GB"/>
              </w:rPr>
            </w:pPr>
          </w:p>
        </w:tc>
        <w:tc>
          <w:tcPr>
            <w:tcW w:w="1420" w:type="dxa"/>
          </w:tcPr>
          <w:p w14:paraId="7A91E5A9">
            <w:pPr>
              <w:widowControl w:val="0"/>
              <w:jc w:val="center"/>
              <w:rPr>
                <w:rFonts w:ascii="Arial" w:hAnsi="Arial" w:eastAsia="Calibri" w:cs="Arial"/>
                <w:iCs/>
                <w:sz w:val="20"/>
                <w:szCs w:val="20"/>
                <w:lang w:val="en-GB"/>
              </w:rPr>
            </w:pPr>
            <w:r>
              <w:rPr>
                <w:rFonts w:ascii="Arial" w:hAnsi="Arial" w:eastAsia="Calibri" w:cs="Arial"/>
                <w:iCs/>
                <w:sz w:val="20"/>
                <w:szCs w:val="20"/>
                <w:lang w:val="en-GB"/>
              </w:rPr>
              <w:t>7.5 (P3)</w:t>
            </w:r>
          </w:p>
        </w:tc>
        <w:tc>
          <w:tcPr>
            <w:tcW w:w="748" w:type="dxa"/>
          </w:tcPr>
          <w:p w14:paraId="482AE6A4">
            <w:pPr>
              <w:widowControl w:val="0"/>
              <w:jc w:val="center"/>
              <w:rPr>
                <w:rFonts w:ascii="Arial" w:hAnsi="Arial" w:eastAsia="Calibri" w:cs="Arial"/>
                <w:iCs/>
                <w:sz w:val="20"/>
                <w:szCs w:val="20"/>
                <w:lang w:val="en-GB"/>
              </w:rPr>
            </w:pPr>
            <w:r>
              <w:rPr>
                <w:rFonts w:ascii="Arial" w:hAnsi="Arial" w:eastAsia="Calibri" w:cs="Arial"/>
                <w:iCs/>
                <w:sz w:val="20"/>
                <w:szCs w:val="20"/>
                <w:lang w:val="en-GB"/>
              </w:rPr>
              <w:t>-</w:t>
            </w:r>
          </w:p>
        </w:tc>
        <w:tc>
          <w:tcPr>
            <w:tcW w:w="816" w:type="dxa"/>
          </w:tcPr>
          <w:p w14:paraId="36800AA6">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46" w:type="dxa"/>
          </w:tcPr>
          <w:p w14:paraId="09E929F4">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w:t>
            </w:r>
          </w:p>
        </w:tc>
        <w:tc>
          <w:tcPr>
            <w:tcW w:w="795" w:type="dxa"/>
          </w:tcPr>
          <w:p w14:paraId="4FC73560">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eastAsia="zh-CN"/>
              </w:rPr>
              <w:t>7.5</w:t>
            </w:r>
          </w:p>
        </w:tc>
      </w:tr>
      <w:tr w14:paraId="1583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04623498">
            <w:pPr>
              <w:widowControl w:val="0"/>
              <w:rPr>
                <w:rFonts w:ascii="Arial" w:hAnsi="Arial" w:eastAsia="Calibri" w:cs="Arial"/>
                <w:iCs/>
                <w:sz w:val="20"/>
                <w:szCs w:val="20"/>
                <w:lang w:val="en-GB"/>
              </w:rPr>
            </w:pPr>
            <w:r>
              <w:rPr>
                <w:rFonts w:ascii="Arial" w:hAnsi="Arial" w:eastAsia="Calibri" w:cs="Arial"/>
                <w:i/>
                <w:iCs w:val="0"/>
                <w:sz w:val="20"/>
                <w:szCs w:val="20"/>
                <w:lang w:val="en-GB"/>
              </w:rPr>
              <w:t xml:space="preserve">L. </w:t>
            </w:r>
            <w:r>
              <w:rPr>
                <w:rFonts w:hint="default" w:ascii="Arial" w:hAnsi="Arial" w:eastAsia="Calibri" w:cs="Arial"/>
                <w:i/>
                <w:iCs w:val="0"/>
                <w:sz w:val="20"/>
                <w:szCs w:val="20"/>
                <w:lang w:val="en-GB"/>
              </w:rPr>
              <w:t>p</w:t>
            </w:r>
            <w:r>
              <w:rPr>
                <w:rFonts w:ascii="Arial" w:hAnsi="Arial" w:eastAsia="Calibri" w:cs="Arial"/>
                <w:i/>
                <w:iCs w:val="0"/>
                <w:sz w:val="20"/>
                <w:szCs w:val="20"/>
                <w:lang w:val="en-GB"/>
              </w:rPr>
              <w:t>lantarum</w:t>
            </w:r>
            <w:r>
              <w:rPr>
                <w:rFonts w:ascii="Arial" w:hAnsi="Arial" w:eastAsia="Calibri" w:cs="Arial"/>
                <w:iCs/>
                <w:sz w:val="20"/>
                <w:szCs w:val="20"/>
                <w:lang w:val="en-GB"/>
              </w:rPr>
              <w:t xml:space="preserve"> bacteria</w:t>
            </w:r>
          </w:p>
        </w:tc>
        <w:tc>
          <w:tcPr>
            <w:tcW w:w="1420" w:type="dxa"/>
          </w:tcPr>
          <w:p w14:paraId="57496715">
            <w:pPr>
              <w:widowControl w:val="0"/>
              <w:jc w:val="center"/>
              <w:rPr>
                <w:rFonts w:ascii="Arial" w:hAnsi="Arial" w:eastAsia="Calibri" w:cs="Arial"/>
                <w:iCs/>
                <w:sz w:val="20"/>
                <w:szCs w:val="20"/>
                <w:lang w:val="en-GB"/>
              </w:rPr>
            </w:pPr>
            <w:r>
              <w:rPr>
                <w:rFonts w:ascii="Arial" w:hAnsi="Arial" w:eastAsia="Calibri" w:cs="Arial"/>
                <w:iCs/>
                <w:sz w:val="20"/>
                <w:szCs w:val="20"/>
                <w:lang w:val="en-GB"/>
              </w:rPr>
              <w:t>6</w:t>
            </w:r>
          </w:p>
        </w:tc>
        <w:tc>
          <w:tcPr>
            <w:tcW w:w="748" w:type="dxa"/>
          </w:tcPr>
          <w:p w14:paraId="736AEE59">
            <w:pPr>
              <w:widowControl w:val="0"/>
              <w:jc w:val="center"/>
              <w:rPr>
                <w:rFonts w:ascii="Arial" w:hAnsi="Arial" w:eastAsia="Calibri" w:cs="Arial"/>
                <w:iCs/>
                <w:sz w:val="20"/>
                <w:szCs w:val="20"/>
                <w:lang w:val="en-GB"/>
              </w:rPr>
            </w:pPr>
            <w:r>
              <w:rPr>
                <w:rFonts w:ascii="Arial" w:hAnsi="Arial" w:eastAsia="Calibri" w:cs="Arial"/>
                <w:iCs/>
                <w:sz w:val="20"/>
                <w:szCs w:val="20"/>
                <w:lang w:val="en-GB"/>
              </w:rPr>
              <w:t>6</w:t>
            </w:r>
          </w:p>
        </w:tc>
        <w:tc>
          <w:tcPr>
            <w:tcW w:w="816" w:type="dxa"/>
          </w:tcPr>
          <w:p w14:paraId="68F2BC22">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6</w:t>
            </w:r>
          </w:p>
        </w:tc>
        <w:tc>
          <w:tcPr>
            <w:tcW w:w="746" w:type="dxa"/>
          </w:tcPr>
          <w:p w14:paraId="3DBDDB55">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6</w:t>
            </w:r>
          </w:p>
        </w:tc>
        <w:tc>
          <w:tcPr>
            <w:tcW w:w="795" w:type="dxa"/>
          </w:tcPr>
          <w:p w14:paraId="03451859">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6</w:t>
            </w:r>
          </w:p>
        </w:tc>
      </w:tr>
      <w:tr w14:paraId="1C8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7B9FC1CB">
            <w:pPr>
              <w:widowControl w:val="0"/>
              <w:rPr>
                <w:rFonts w:ascii="Arial" w:hAnsi="Arial" w:eastAsia="Calibri" w:cs="Arial"/>
                <w:iCs/>
                <w:sz w:val="20"/>
                <w:szCs w:val="20"/>
                <w:lang w:val="en-GB"/>
              </w:rPr>
            </w:pPr>
            <w:r>
              <w:rPr>
                <w:rFonts w:ascii="Arial" w:hAnsi="Arial" w:eastAsia="Calibri" w:cs="Arial"/>
                <w:iCs/>
                <w:sz w:val="20"/>
                <w:szCs w:val="20"/>
                <w:lang w:val="en-GB"/>
              </w:rPr>
              <w:t>Palm sugar</w:t>
            </w:r>
          </w:p>
        </w:tc>
        <w:tc>
          <w:tcPr>
            <w:tcW w:w="1420" w:type="dxa"/>
          </w:tcPr>
          <w:p w14:paraId="4689C32A">
            <w:pPr>
              <w:widowControl w:val="0"/>
              <w:jc w:val="center"/>
              <w:rPr>
                <w:rFonts w:ascii="Arial" w:hAnsi="Arial" w:eastAsia="Calibri" w:cs="Arial"/>
                <w:iCs/>
                <w:sz w:val="20"/>
                <w:szCs w:val="20"/>
                <w:lang w:val="en-GB"/>
              </w:rPr>
            </w:pPr>
            <w:r>
              <w:rPr>
                <w:rFonts w:ascii="Arial" w:hAnsi="Arial" w:eastAsia="Calibri" w:cs="Arial"/>
                <w:iCs/>
                <w:sz w:val="20"/>
                <w:szCs w:val="20"/>
                <w:lang w:val="en-GB"/>
              </w:rPr>
              <w:t>15</w:t>
            </w:r>
          </w:p>
        </w:tc>
        <w:tc>
          <w:tcPr>
            <w:tcW w:w="748" w:type="dxa"/>
          </w:tcPr>
          <w:p w14:paraId="4D04E552">
            <w:pPr>
              <w:widowControl w:val="0"/>
              <w:jc w:val="center"/>
              <w:rPr>
                <w:rFonts w:ascii="Arial" w:hAnsi="Arial" w:eastAsia="Calibri" w:cs="Arial"/>
                <w:iCs/>
                <w:sz w:val="20"/>
                <w:szCs w:val="20"/>
                <w:lang w:val="en-GB"/>
              </w:rPr>
            </w:pPr>
            <w:r>
              <w:rPr>
                <w:rFonts w:ascii="Arial" w:hAnsi="Arial" w:eastAsia="Calibri" w:cs="Arial"/>
                <w:iCs/>
                <w:sz w:val="20"/>
                <w:szCs w:val="20"/>
                <w:lang w:val="en-GB"/>
              </w:rPr>
              <w:t>20</w:t>
            </w:r>
          </w:p>
        </w:tc>
        <w:tc>
          <w:tcPr>
            <w:tcW w:w="816" w:type="dxa"/>
          </w:tcPr>
          <w:p w14:paraId="417E51D8">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c>
          <w:tcPr>
            <w:tcW w:w="746" w:type="dxa"/>
          </w:tcPr>
          <w:p w14:paraId="47D89B2C">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c>
          <w:tcPr>
            <w:tcW w:w="795" w:type="dxa"/>
          </w:tcPr>
          <w:p w14:paraId="609EB8CE">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r>
      <w:tr w14:paraId="259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765D56FB">
            <w:pPr>
              <w:widowControl w:val="0"/>
              <w:rPr>
                <w:rFonts w:ascii="Arial" w:hAnsi="Arial" w:eastAsia="Calibri" w:cs="Arial"/>
                <w:iCs/>
                <w:sz w:val="20"/>
                <w:szCs w:val="20"/>
                <w:lang w:val="en-GB"/>
              </w:rPr>
            </w:pPr>
            <w:r>
              <w:rPr>
                <w:rFonts w:ascii="Arial" w:hAnsi="Arial" w:eastAsia="Calibri" w:cs="Arial"/>
                <w:iCs/>
                <w:sz w:val="20"/>
                <w:szCs w:val="20"/>
                <w:lang w:val="en-GB"/>
              </w:rPr>
              <w:t>Granulated sugar</w:t>
            </w:r>
          </w:p>
        </w:tc>
        <w:tc>
          <w:tcPr>
            <w:tcW w:w="1420" w:type="dxa"/>
          </w:tcPr>
          <w:p w14:paraId="72FAD4B6">
            <w:pPr>
              <w:widowControl w:val="0"/>
              <w:jc w:val="center"/>
              <w:rPr>
                <w:rFonts w:ascii="Arial" w:hAnsi="Arial" w:eastAsia="Calibri" w:cs="Arial"/>
                <w:iCs/>
                <w:sz w:val="20"/>
                <w:szCs w:val="20"/>
                <w:lang w:val="en-GB"/>
              </w:rPr>
            </w:pPr>
            <w:r>
              <w:rPr>
                <w:rFonts w:ascii="Arial" w:hAnsi="Arial" w:eastAsia="Calibri" w:cs="Arial"/>
                <w:iCs/>
                <w:sz w:val="20"/>
                <w:szCs w:val="20"/>
                <w:lang w:val="en-GB"/>
              </w:rPr>
              <w:t>15</w:t>
            </w:r>
          </w:p>
        </w:tc>
        <w:tc>
          <w:tcPr>
            <w:tcW w:w="748" w:type="dxa"/>
          </w:tcPr>
          <w:p w14:paraId="6ACDE6D2">
            <w:pPr>
              <w:widowControl w:val="0"/>
              <w:jc w:val="center"/>
              <w:rPr>
                <w:rFonts w:ascii="Arial" w:hAnsi="Arial" w:eastAsia="Calibri" w:cs="Arial"/>
                <w:iCs/>
                <w:sz w:val="20"/>
                <w:szCs w:val="20"/>
                <w:lang w:val="en-GB"/>
              </w:rPr>
            </w:pPr>
            <w:r>
              <w:rPr>
                <w:rFonts w:ascii="Arial" w:hAnsi="Arial" w:eastAsia="Calibri" w:cs="Arial"/>
                <w:iCs/>
                <w:sz w:val="20"/>
                <w:szCs w:val="20"/>
                <w:lang w:val="en-GB"/>
              </w:rPr>
              <w:t>20</w:t>
            </w:r>
          </w:p>
        </w:tc>
        <w:tc>
          <w:tcPr>
            <w:tcW w:w="816" w:type="dxa"/>
          </w:tcPr>
          <w:p w14:paraId="08D9AA62">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c>
          <w:tcPr>
            <w:tcW w:w="746" w:type="dxa"/>
          </w:tcPr>
          <w:p w14:paraId="68673D10">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c>
          <w:tcPr>
            <w:tcW w:w="795" w:type="dxa"/>
          </w:tcPr>
          <w:p w14:paraId="5A138C57">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20</w:t>
            </w:r>
          </w:p>
        </w:tc>
      </w:tr>
      <w:tr w14:paraId="186C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1880AF6A">
            <w:pPr>
              <w:widowControl w:val="0"/>
              <w:rPr>
                <w:rFonts w:ascii="Arial" w:hAnsi="Arial" w:eastAsia="Calibri" w:cs="Arial"/>
                <w:iCs/>
                <w:sz w:val="20"/>
                <w:szCs w:val="20"/>
                <w:lang w:val="en-GB"/>
              </w:rPr>
            </w:pPr>
            <w:r>
              <w:rPr>
                <w:rFonts w:ascii="Arial" w:hAnsi="Arial" w:eastAsia="Calibri" w:cs="Arial"/>
                <w:iCs/>
                <w:sz w:val="20"/>
                <w:szCs w:val="20"/>
                <w:lang w:val="en-GB"/>
              </w:rPr>
              <w:t>Salt</w:t>
            </w:r>
          </w:p>
        </w:tc>
        <w:tc>
          <w:tcPr>
            <w:tcW w:w="1420" w:type="dxa"/>
          </w:tcPr>
          <w:p w14:paraId="1683E5A6">
            <w:pPr>
              <w:widowControl w:val="0"/>
              <w:jc w:val="center"/>
              <w:rPr>
                <w:rFonts w:ascii="Arial" w:hAnsi="Arial" w:eastAsia="Calibri" w:cs="Arial"/>
                <w:iCs/>
                <w:sz w:val="20"/>
                <w:szCs w:val="20"/>
                <w:lang w:val="en-GB"/>
              </w:rPr>
            </w:pPr>
            <w:r>
              <w:rPr>
                <w:rFonts w:ascii="Arial" w:hAnsi="Arial" w:eastAsia="Calibri" w:cs="Arial"/>
                <w:iCs/>
                <w:sz w:val="20"/>
                <w:szCs w:val="20"/>
                <w:lang w:val="en-GB"/>
              </w:rPr>
              <w:t>3</w:t>
            </w:r>
          </w:p>
        </w:tc>
        <w:tc>
          <w:tcPr>
            <w:tcW w:w="748" w:type="dxa"/>
          </w:tcPr>
          <w:p w14:paraId="4425BAA7">
            <w:pPr>
              <w:widowControl w:val="0"/>
              <w:jc w:val="center"/>
              <w:rPr>
                <w:rFonts w:ascii="Arial" w:hAnsi="Arial" w:eastAsia="Calibri" w:cs="Arial"/>
                <w:iCs/>
                <w:sz w:val="20"/>
                <w:szCs w:val="20"/>
                <w:lang w:val="en-GB"/>
              </w:rPr>
            </w:pPr>
            <w:r>
              <w:rPr>
                <w:rFonts w:ascii="Arial" w:hAnsi="Arial" w:eastAsia="Calibri" w:cs="Arial"/>
                <w:iCs/>
                <w:sz w:val="20"/>
                <w:szCs w:val="20"/>
                <w:lang w:val="en-GB"/>
              </w:rPr>
              <w:t>1</w:t>
            </w:r>
          </w:p>
        </w:tc>
        <w:tc>
          <w:tcPr>
            <w:tcW w:w="816" w:type="dxa"/>
          </w:tcPr>
          <w:p w14:paraId="3AED4F5D">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w:t>
            </w:r>
          </w:p>
        </w:tc>
        <w:tc>
          <w:tcPr>
            <w:tcW w:w="746" w:type="dxa"/>
          </w:tcPr>
          <w:p w14:paraId="7BF6EB72">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w:t>
            </w:r>
          </w:p>
        </w:tc>
        <w:tc>
          <w:tcPr>
            <w:tcW w:w="795" w:type="dxa"/>
          </w:tcPr>
          <w:p w14:paraId="648C30A4">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1</w:t>
            </w:r>
          </w:p>
        </w:tc>
      </w:tr>
      <w:tr w14:paraId="17E0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2E088075">
            <w:pPr>
              <w:widowControl w:val="0"/>
              <w:rPr>
                <w:rFonts w:ascii="Arial" w:hAnsi="Arial" w:eastAsia="Calibri" w:cs="Arial"/>
                <w:iCs/>
                <w:sz w:val="20"/>
                <w:szCs w:val="20"/>
                <w:lang w:val="en-GB"/>
              </w:rPr>
            </w:pPr>
            <w:r>
              <w:rPr>
                <w:rFonts w:ascii="Arial" w:hAnsi="Arial" w:eastAsia="Calibri" w:cs="Arial"/>
                <w:iCs/>
                <w:sz w:val="20"/>
                <w:szCs w:val="20"/>
                <w:lang w:val="en-GB"/>
              </w:rPr>
              <w:t>Garlic</w:t>
            </w:r>
          </w:p>
        </w:tc>
        <w:tc>
          <w:tcPr>
            <w:tcW w:w="1420" w:type="dxa"/>
          </w:tcPr>
          <w:p w14:paraId="1D61B441">
            <w:pPr>
              <w:widowControl w:val="0"/>
              <w:jc w:val="center"/>
              <w:rPr>
                <w:rFonts w:ascii="Arial" w:hAnsi="Arial" w:eastAsia="Calibri" w:cs="Arial"/>
                <w:iCs/>
                <w:sz w:val="20"/>
                <w:szCs w:val="20"/>
                <w:lang w:val="en-GB"/>
              </w:rPr>
            </w:pPr>
            <w:r>
              <w:rPr>
                <w:rFonts w:ascii="Arial" w:hAnsi="Arial" w:eastAsia="Calibri" w:cs="Arial"/>
                <w:iCs/>
                <w:sz w:val="20"/>
                <w:szCs w:val="20"/>
                <w:lang w:val="en-GB"/>
              </w:rPr>
              <w:t>4</w:t>
            </w:r>
          </w:p>
        </w:tc>
        <w:tc>
          <w:tcPr>
            <w:tcW w:w="748" w:type="dxa"/>
          </w:tcPr>
          <w:p w14:paraId="7ED74E24">
            <w:pPr>
              <w:widowControl w:val="0"/>
              <w:jc w:val="center"/>
              <w:rPr>
                <w:rFonts w:ascii="Arial" w:hAnsi="Arial" w:eastAsia="Calibri" w:cs="Arial"/>
                <w:iCs/>
                <w:sz w:val="20"/>
                <w:szCs w:val="20"/>
                <w:lang w:val="en-GB"/>
              </w:rPr>
            </w:pPr>
            <w:r>
              <w:rPr>
                <w:rFonts w:ascii="Arial" w:hAnsi="Arial" w:eastAsia="Calibri" w:cs="Arial"/>
                <w:iCs/>
                <w:sz w:val="20"/>
                <w:szCs w:val="20"/>
                <w:lang w:val="en-GB"/>
              </w:rPr>
              <w:t>4</w:t>
            </w:r>
          </w:p>
        </w:tc>
        <w:tc>
          <w:tcPr>
            <w:tcW w:w="816" w:type="dxa"/>
          </w:tcPr>
          <w:p w14:paraId="7010DC11">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4</w:t>
            </w:r>
          </w:p>
        </w:tc>
        <w:tc>
          <w:tcPr>
            <w:tcW w:w="746" w:type="dxa"/>
          </w:tcPr>
          <w:p w14:paraId="0684AFEB">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4</w:t>
            </w:r>
          </w:p>
        </w:tc>
        <w:tc>
          <w:tcPr>
            <w:tcW w:w="795" w:type="dxa"/>
          </w:tcPr>
          <w:p w14:paraId="1597AD4B">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4</w:t>
            </w:r>
          </w:p>
        </w:tc>
      </w:tr>
      <w:tr w14:paraId="7F5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05B19308">
            <w:pPr>
              <w:widowControl w:val="0"/>
              <w:rPr>
                <w:rFonts w:ascii="Arial" w:hAnsi="Arial" w:eastAsia="Calibri" w:cs="Arial"/>
                <w:iCs/>
                <w:sz w:val="20"/>
                <w:szCs w:val="20"/>
                <w:lang w:val="en-GB"/>
              </w:rPr>
            </w:pPr>
            <w:r>
              <w:rPr>
                <w:rFonts w:ascii="Arial" w:hAnsi="Arial" w:eastAsia="Calibri" w:cs="Arial"/>
                <w:iCs/>
                <w:sz w:val="20"/>
                <w:szCs w:val="20"/>
                <w:lang w:val="en-GB"/>
              </w:rPr>
              <w:t>Coriander</w:t>
            </w:r>
          </w:p>
        </w:tc>
        <w:tc>
          <w:tcPr>
            <w:tcW w:w="1420" w:type="dxa"/>
          </w:tcPr>
          <w:p w14:paraId="005738CB">
            <w:pPr>
              <w:widowControl w:val="0"/>
              <w:jc w:val="center"/>
              <w:rPr>
                <w:rFonts w:ascii="Arial" w:hAnsi="Arial" w:eastAsia="Calibri" w:cs="Arial"/>
                <w:iCs/>
                <w:sz w:val="20"/>
                <w:szCs w:val="20"/>
                <w:lang w:val="en-GB"/>
              </w:rPr>
            </w:pPr>
            <w:r>
              <w:rPr>
                <w:rFonts w:ascii="Arial" w:hAnsi="Arial" w:eastAsia="Calibri" w:cs="Arial"/>
                <w:iCs/>
                <w:sz w:val="20"/>
                <w:szCs w:val="20"/>
                <w:lang w:val="en-GB"/>
              </w:rPr>
              <w:t>1</w:t>
            </w:r>
          </w:p>
        </w:tc>
        <w:tc>
          <w:tcPr>
            <w:tcW w:w="748" w:type="dxa"/>
          </w:tcPr>
          <w:p w14:paraId="680C8C64">
            <w:pPr>
              <w:widowControl w:val="0"/>
              <w:jc w:val="center"/>
              <w:rPr>
                <w:rFonts w:ascii="Arial" w:hAnsi="Arial" w:eastAsia="Calibri" w:cs="Arial"/>
                <w:iCs/>
                <w:sz w:val="20"/>
                <w:szCs w:val="20"/>
                <w:lang w:val="en-GB"/>
              </w:rPr>
            </w:pPr>
            <w:r>
              <w:rPr>
                <w:rFonts w:ascii="Arial" w:hAnsi="Arial" w:eastAsia="Calibri" w:cs="Arial"/>
                <w:iCs/>
                <w:sz w:val="20"/>
                <w:szCs w:val="20"/>
                <w:lang w:val="en-GB"/>
              </w:rPr>
              <w:t>2</w:t>
            </w:r>
          </w:p>
        </w:tc>
        <w:tc>
          <w:tcPr>
            <w:tcW w:w="816" w:type="dxa"/>
          </w:tcPr>
          <w:p w14:paraId="2E9BA23F">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w:t>
            </w:r>
          </w:p>
        </w:tc>
        <w:tc>
          <w:tcPr>
            <w:tcW w:w="746" w:type="dxa"/>
          </w:tcPr>
          <w:p w14:paraId="24E8FCB0">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w:t>
            </w:r>
          </w:p>
        </w:tc>
        <w:tc>
          <w:tcPr>
            <w:tcW w:w="795" w:type="dxa"/>
          </w:tcPr>
          <w:p w14:paraId="7131D3A9">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2</w:t>
            </w:r>
          </w:p>
        </w:tc>
      </w:tr>
      <w:tr w14:paraId="6A6D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7807CD6D">
            <w:pPr>
              <w:widowControl w:val="0"/>
              <w:rPr>
                <w:rFonts w:ascii="Arial" w:hAnsi="Arial" w:eastAsia="Calibri" w:cs="Arial"/>
                <w:iCs/>
                <w:sz w:val="20"/>
                <w:szCs w:val="20"/>
                <w:lang w:val="en-GB"/>
              </w:rPr>
            </w:pPr>
            <w:r>
              <w:rPr>
                <w:rFonts w:ascii="Arial" w:hAnsi="Arial" w:eastAsia="Calibri" w:cs="Arial"/>
                <w:iCs/>
                <w:sz w:val="20"/>
                <w:szCs w:val="20"/>
                <w:lang w:val="en-GB"/>
              </w:rPr>
              <w:t>Pepper</w:t>
            </w:r>
          </w:p>
        </w:tc>
        <w:tc>
          <w:tcPr>
            <w:tcW w:w="1420" w:type="dxa"/>
          </w:tcPr>
          <w:p w14:paraId="6E846128">
            <w:pPr>
              <w:widowControl w:val="0"/>
              <w:jc w:val="center"/>
              <w:rPr>
                <w:rFonts w:ascii="Arial" w:hAnsi="Arial" w:eastAsia="Calibri" w:cs="Arial"/>
                <w:iCs/>
                <w:sz w:val="20"/>
                <w:szCs w:val="20"/>
                <w:lang w:val="en-GB"/>
              </w:rPr>
            </w:pPr>
            <w:r>
              <w:rPr>
                <w:rFonts w:ascii="Arial" w:hAnsi="Arial" w:eastAsia="Calibri" w:cs="Arial"/>
                <w:iCs/>
                <w:sz w:val="20"/>
                <w:szCs w:val="20"/>
                <w:lang w:val="en-GB"/>
              </w:rPr>
              <w:t>0.5</w:t>
            </w:r>
          </w:p>
        </w:tc>
        <w:tc>
          <w:tcPr>
            <w:tcW w:w="748" w:type="dxa"/>
          </w:tcPr>
          <w:p w14:paraId="4516203B">
            <w:pPr>
              <w:widowControl w:val="0"/>
              <w:jc w:val="center"/>
              <w:rPr>
                <w:rFonts w:ascii="Arial" w:hAnsi="Arial" w:eastAsia="Calibri" w:cs="Arial"/>
                <w:iCs/>
                <w:sz w:val="20"/>
                <w:szCs w:val="20"/>
                <w:lang w:val="en-GB"/>
              </w:rPr>
            </w:pPr>
            <w:r>
              <w:rPr>
                <w:rFonts w:ascii="Arial" w:hAnsi="Arial" w:eastAsia="Calibri" w:cs="Arial"/>
                <w:iCs/>
                <w:sz w:val="20"/>
                <w:szCs w:val="20"/>
                <w:lang w:val="en-GB"/>
              </w:rPr>
              <w:t>0.5</w:t>
            </w:r>
          </w:p>
        </w:tc>
        <w:tc>
          <w:tcPr>
            <w:tcW w:w="816" w:type="dxa"/>
          </w:tcPr>
          <w:p w14:paraId="2F87D5F7">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c>
          <w:tcPr>
            <w:tcW w:w="746" w:type="dxa"/>
          </w:tcPr>
          <w:p w14:paraId="1B36A9A6">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c>
          <w:tcPr>
            <w:tcW w:w="795" w:type="dxa"/>
          </w:tcPr>
          <w:p w14:paraId="332D3D90">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r>
      <w:tr w14:paraId="1547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13296437">
            <w:pPr>
              <w:widowControl w:val="0"/>
              <w:rPr>
                <w:rFonts w:ascii="Arial" w:hAnsi="Arial" w:eastAsia="Calibri" w:cs="Arial"/>
                <w:iCs/>
                <w:sz w:val="20"/>
                <w:szCs w:val="20"/>
                <w:lang w:val="en-GB"/>
              </w:rPr>
            </w:pPr>
            <w:r>
              <w:rPr>
                <w:rFonts w:ascii="Arial" w:hAnsi="Arial" w:eastAsia="Calibri" w:cs="Arial"/>
                <w:iCs/>
                <w:sz w:val="20"/>
                <w:szCs w:val="20"/>
                <w:lang w:val="en-GB"/>
              </w:rPr>
              <w:t>Galangal</w:t>
            </w:r>
          </w:p>
        </w:tc>
        <w:tc>
          <w:tcPr>
            <w:tcW w:w="1420" w:type="dxa"/>
          </w:tcPr>
          <w:p w14:paraId="71D1EA0B">
            <w:pPr>
              <w:widowControl w:val="0"/>
              <w:jc w:val="center"/>
              <w:rPr>
                <w:rFonts w:ascii="Arial" w:hAnsi="Arial" w:eastAsia="Calibri" w:cs="Arial"/>
                <w:iCs/>
                <w:sz w:val="20"/>
                <w:szCs w:val="20"/>
                <w:lang w:val="en-GB"/>
              </w:rPr>
            </w:pPr>
            <w:r>
              <w:rPr>
                <w:rFonts w:ascii="Arial" w:hAnsi="Arial" w:eastAsia="Calibri" w:cs="Arial"/>
                <w:iCs/>
                <w:sz w:val="20"/>
                <w:szCs w:val="20"/>
                <w:lang w:val="en-GB"/>
              </w:rPr>
              <w:t>0.5</w:t>
            </w:r>
          </w:p>
        </w:tc>
        <w:tc>
          <w:tcPr>
            <w:tcW w:w="748" w:type="dxa"/>
          </w:tcPr>
          <w:p w14:paraId="0BA59400">
            <w:pPr>
              <w:widowControl w:val="0"/>
              <w:jc w:val="center"/>
              <w:rPr>
                <w:rFonts w:ascii="Arial" w:hAnsi="Arial" w:eastAsia="Calibri" w:cs="Arial"/>
                <w:iCs/>
                <w:sz w:val="20"/>
                <w:szCs w:val="20"/>
                <w:lang w:val="en-GB"/>
              </w:rPr>
            </w:pPr>
            <w:r>
              <w:rPr>
                <w:rFonts w:ascii="Arial" w:hAnsi="Arial" w:eastAsia="Calibri" w:cs="Arial"/>
                <w:iCs/>
                <w:sz w:val="20"/>
                <w:szCs w:val="20"/>
                <w:lang w:val="en-GB"/>
              </w:rPr>
              <w:t>0.5</w:t>
            </w:r>
          </w:p>
        </w:tc>
        <w:tc>
          <w:tcPr>
            <w:tcW w:w="816" w:type="dxa"/>
          </w:tcPr>
          <w:p w14:paraId="09008A7D">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c>
          <w:tcPr>
            <w:tcW w:w="746" w:type="dxa"/>
          </w:tcPr>
          <w:p w14:paraId="6C926C3C">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c>
          <w:tcPr>
            <w:tcW w:w="795" w:type="dxa"/>
          </w:tcPr>
          <w:p w14:paraId="28B678F9">
            <w:pPr>
              <w:widowControl w:val="0"/>
              <w:jc w:val="center"/>
              <w:rPr>
                <w:rFonts w:ascii="Arial" w:hAnsi="Arial" w:cs="Arial" w:eastAsiaTheme="minorEastAsia"/>
                <w:iCs/>
                <w:sz w:val="20"/>
                <w:szCs w:val="20"/>
                <w:lang w:val="en-GB" w:eastAsia="zh-CN"/>
              </w:rPr>
            </w:pPr>
            <w:r>
              <w:rPr>
                <w:rFonts w:ascii="Arial" w:hAnsi="Arial" w:eastAsia="Calibri" w:cs="Arial"/>
                <w:iCs/>
                <w:sz w:val="20"/>
                <w:szCs w:val="20"/>
                <w:lang w:val="en-GB"/>
              </w:rPr>
              <w:t>0.5</w:t>
            </w:r>
          </w:p>
        </w:tc>
      </w:tr>
      <w:tr w14:paraId="75A5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gridSpan w:val="2"/>
          </w:tcPr>
          <w:p w14:paraId="7AD37686">
            <w:pPr>
              <w:widowControl w:val="0"/>
              <w:jc w:val="center"/>
              <w:rPr>
                <w:rFonts w:ascii="Arial" w:hAnsi="Arial" w:eastAsia="Calibri" w:cs="Arial"/>
                <w:iCs/>
                <w:sz w:val="20"/>
                <w:szCs w:val="20"/>
                <w:lang w:val="en-GB"/>
              </w:rPr>
            </w:pPr>
            <w:r>
              <w:rPr>
                <w:rFonts w:ascii="Arial" w:hAnsi="Arial" w:eastAsia="Calibri" w:cs="Arial"/>
                <w:iCs/>
                <w:sz w:val="20"/>
                <w:szCs w:val="20"/>
                <w:lang w:val="en-GB"/>
              </w:rPr>
              <w:t>Total</w:t>
            </w:r>
          </w:p>
        </w:tc>
        <w:tc>
          <w:tcPr>
            <w:tcW w:w="748" w:type="dxa"/>
          </w:tcPr>
          <w:p w14:paraId="0A319F7E">
            <w:pPr>
              <w:widowControl w:val="0"/>
              <w:jc w:val="center"/>
              <w:rPr>
                <w:rFonts w:ascii="Arial" w:hAnsi="Arial" w:eastAsia="Calibri" w:cs="Arial"/>
                <w:iCs/>
                <w:sz w:val="20"/>
                <w:szCs w:val="20"/>
                <w:lang w:val="en-GB"/>
              </w:rPr>
            </w:pPr>
            <w:r>
              <w:rPr>
                <w:rFonts w:ascii="Arial" w:hAnsi="Arial" w:eastAsia="Calibri" w:cs="Arial"/>
                <w:iCs/>
                <w:sz w:val="20"/>
                <w:szCs w:val="20"/>
                <w:lang w:val="en-GB"/>
              </w:rPr>
              <w:t>154</w:t>
            </w:r>
          </w:p>
        </w:tc>
        <w:tc>
          <w:tcPr>
            <w:tcW w:w="816" w:type="dxa"/>
          </w:tcPr>
          <w:p w14:paraId="63814954">
            <w:pPr>
              <w:widowControl w:val="0"/>
              <w:jc w:val="center"/>
              <w:rPr>
                <w:rFonts w:ascii="Arial" w:hAnsi="Arial" w:eastAsia="Calibri" w:cs="Arial"/>
                <w:iCs/>
                <w:sz w:val="20"/>
                <w:szCs w:val="20"/>
                <w:lang w:val="en-GB"/>
              </w:rPr>
            </w:pPr>
            <w:r>
              <w:rPr>
                <w:rFonts w:ascii="Arial" w:hAnsi="Arial" w:eastAsia="Calibri" w:cs="Arial"/>
                <w:iCs/>
                <w:sz w:val="20"/>
                <w:szCs w:val="20"/>
                <w:lang w:val="en-GB"/>
              </w:rPr>
              <w:t>156.5</w:t>
            </w:r>
          </w:p>
        </w:tc>
        <w:tc>
          <w:tcPr>
            <w:tcW w:w="746" w:type="dxa"/>
          </w:tcPr>
          <w:p w14:paraId="0AE6DAF0">
            <w:pPr>
              <w:widowControl w:val="0"/>
              <w:jc w:val="center"/>
              <w:rPr>
                <w:rFonts w:ascii="Arial" w:hAnsi="Arial" w:eastAsia="Calibri" w:cs="Arial"/>
                <w:iCs/>
                <w:sz w:val="20"/>
                <w:szCs w:val="20"/>
                <w:lang w:val="en-GB"/>
              </w:rPr>
            </w:pPr>
            <w:r>
              <w:rPr>
                <w:rFonts w:ascii="Arial" w:hAnsi="Arial" w:eastAsia="Calibri" w:cs="Arial"/>
                <w:iCs/>
                <w:sz w:val="20"/>
                <w:szCs w:val="20"/>
                <w:lang w:val="en-GB"/>
              </w:rPr>
              <w:t>159</w:t>
            </w:r>
          </w:p>
        </w:tc>
        <w:tc>
          <w:tcPr>
            <w:tcW w:w="795" w:type="dxa"/>
          </w:tcPr>
          <w:p w14:paraId="65B732D5">
            <w:pPr>
              <w:widowControl w:val="0"/>
              <w:jc w:val="center"/>
              <w:rPr>
                <w:rFonts w:ascii="Arial" w:hAnsi="Arial" w:eastAsia="Calibri" w:cs="Arial"/>
                <w:iCs/>
                <w:sz w:val="20"/>
                <w:szCs w:val="20"/>
                <w:lang w:val="en-GB"/>
              </w:rPr>
            </w:pPr>
            <w:r>
              <w:rPr>
                <w:rFonts w:ascii="Arial" w:hAnsi="Arial" w:eastAsia="Calibri" w:cs="Arial"/>
                <w:iCs/>
                <w:sz w:val="20"/>
                <w:szCs w:val="20"/>
                <w:lang w:val="en-GB"/>
              </w:rPr>
              <w:t>161.5</w:t>
            </w:r>
          </w:p>
        </w:tc>
      </w:tr>
    </w:tbl>
    <w:p w14:paraId="696FA699">
      <w:pPr>
        <w:tabs>
          <w:tab w:val="left" w:pos="600"/>
        </w:tabs>
        <w:jc w:val="both"/>
        <w:rPr>
          <w:rFonts w:ascii="Arial" w:hAnsi="Arial" w:cs="Arial"/>
          <w:b/>
          <w:bCs/>
          <w:lang w:val="en-GB"/>
        </w:rPr>
      </w:pPr>
    </w:p>
    <w:p w14:paraId="772C56E3">
      <w:pPr>
        <w:tabs>
          <w:tab w:val="left" w:pos="600"/>
        </w:tabs>
        <w:jc w:val="both"/>
        <w:rPr>
          <w:rFonts w:ascii="Arial" w:hAnsi="Arial" w:cs="Arial"/>
          <w:lang w:val="en-GB"/>
        </w:rPr>
      </w:pPr>
      <w:r>
        <w:rPr>
          <w:rFonts w:ascii="Arial" w:hAnsi="Arial" w:cs="Arial"/>
          <w:lang w:val="en-GB"/>
        </w:rPr>
        <w:t xml:space="preserve">All ingredients are mixed and ground, then dissolved with </w:t>
      </w:r>
      <w:r>
        <w:rPr>
          <w:rFonts w:ascii="Arial" w:hAnsi="Arial" w:cs="Arial"/>
          <w:i/>
          <w:iCs/>
          <w:lang w:val="en-GB"/>
        </w:rPr>
        <w:t>L. plantarum</w:t>
      </w:r>
      <w:r>
        <w:rPr>
          <w:rFonts w:ascii="Arial" w:hAnsi="Arial" w:cs="Arial"/>
          <w:lang w:val="en-GB"/>
        </w:rPr>
        <w:t xml:space="preserve"> bacterial starter according to the percentage. The mixture is molded in a baking pan and fermented for 18 hours </w:t>
      </w:r>
      <w:r>
        <w:rPr>
          <w:rFonts w:hint="default" w:ascii="Arial" w:hAnsi="Arial" w:cs="Arial"/>
          <w:lang w:val="en-GB"/>
        </w:rPr>
        <w:t>in</w:t>
      </w:r>
      <w:r>
        <w:rPr>
          <w:rFonts w:ascii="Arial" w:hAnsi="Arial" w:cs="Arial"/>
          <w:lang w:val="en-GB"/>
        </w:rPr>
        <w:t xml:space="preserve"> an incubator </w:t>
      </w:r>
      <w:r>
        <w:rPr>
          <w:rFonts w:hint="default" w:ascii="Arial" w:hAnsi="Arial" w:cs="Arial"/>
          <w:lang w:val="en-GB"/>
        </w:rPr>
        <w:t xml:space="preserve">at the </w:t>
      </w:r>
      <w:r>
        <w:rPr>
          <w:rFonts w:ascii="Arial" w:hAnsi="Arial" w:cs="Arial"/>
          <w:lang w:val="en-GB"/>
        </w:rPr>
        <w:t xml:space="preserve">temperature of 40ºC. </w:t>
      </w:r>
      <w:r>
        <w:rPr>
          <w:rFonts w:hint="default" w:ascii="Arial" w:hAnsi="Arial" w:cs="Arial"/>
          <w:lang w:val="en-GB"/>
        </w:rPr>
        <w:t xml:space="preserve">The baked product was further dried in an oven at </w:t>
      </w:r>
      <w:r>
        <w:rPr>
          <w:rFonts w:ascii="Arial" w:hAnsi="Arial" w:cs="Arial"/>
          <w:lang w:val="en-GB"/>
        </w:rPr>
        <w:t>40ºC</w:t>
      </w:r>
      <w:r>
        <w:rPr>
          <w:rFonts w:hint="default" w:ascii="Arial" w:hAnsi="Arial" w:cs="Arial"/>
          <w:lang w:val="en-GB"/>
        </w:rPr>
        <w:t xml:space="preserve"> for 4 hours. The prepared samples were analysed for moisture content, water activity, sensory acceptability, and lab* color</w:t>
      </w:r>
      <w:r>
        <w:rPr>
          <w:rFonts w:ascii="Arial" w:hAnsi="Arial" w:cs="Arial"/>
          <w:lang w:val="en-GB"/>
        </w:rPr>
        <w:t>.</w:t>
      </w:r>
    </w:p>
    <w:p w14:paraId="699559F1">
      <w:pPr>
        <w:tabs>
          <w:tab w:val="left" w:pos="600"/>
        </w:tabs>
        <w:jc w:val="both"/>
        <w:rPr>
          <w:rFonts w:ascii="Arial" w:hAnsi="Arial" w:cs="Arial"/>
          <w:b/>
          <w:bCs/>
          <w:lang w:val="en-GB"/>
        </w:rPr>
      </w:pPr>
    </w:p>
    <w:p w14:paraId="1149C931">
      <w:pPr>
        <w:numPr>
          <w:ilvl w:val="0"/>
          <w:numId w:val="2"/>
        </w:numPr>
        <w:tabs>
          <w:tab w:val="left" w:pos="600"/>
          <w:tab w:val="clear" w:pos="845"/>
        </w:tabs>
        <w:ind w:left="605" w:hanging="605"/>
        <w:jc w:val="both"/>
        <w:rPr>
          <w:rFonts w:ascii="Arial" w:hAnsi="Arial" w:cs="Arial"/>
          <w:b/>
          <w:bCs/>
          <w:sz w:val="22"/>
          <w:szCs w:val="22"/>
          <w:lang w:val="en-GB"/>
        </w:rPr>
      </w:pPr>
      <w:r>
        <w:rPr>
          <w:rFonts w:ascii="Arial" w:hAnsi="Arial" w:cs="Arial"/>
          <w:b/>
          <w:bCs/>
          <w:sz w:val="22"/>
          <w:szCs w:val="22"/>
          <w:lang w:val="en-GB"/>
        </w:rPr>
        <w:t>P</w:t>
      </w:r>
      <w:r>
        <w:rPr>
          <w:rFonts w:hint="default" w:ascii="Arial" w:hAnsi="Arial" w:cs="Arial"/>
          <w:b/>
          <w:bCs/>
          <w:sz w:val="22"/>
          <w:szCs w:val="22"/>
          <w:lang w:val="en-GB"/>
        </w:rPr>
        <w:t>hysico-chemical and Sensory Evaluation</w:t>
      </w:r>
    </w:p>
    <w:p w14:paraId="3C905E62">
      <w:pPr>
        <w:tabs>
          <w:tab w:val="left" w:pos="600"/>
        </w:tabs>
        <w:jc w:val="both"/>
        <w:rPr>
          <w:rFonts w:ascii="Arial" w:hAnsi="Arial" w:cs="Arial"/>
          <w:b/>
          <w:bCs/>
          <w:lang w:val="en-GB"/>
        </w:rPr>
      </w:pPr>
    </w:p>
    <w:p w14:paraId="3ABEC1A2">
      <w:pPr>
        <w:numPr>
          <w:ilvl w:val="0"/>
          <w:numId w:val="3"/>
        </w:numPr>
        <w:tabs>
          <w:tab w:val="left" w:pos="600"/>
        </w:tabs>
        <w:ind w:hanging="845"/>
        <w:jc w:val="both"/>
        <w:rPr>
          <w:rFonts w:ascii="Arial" w:hAnsi="Arial" w:cs="Arial"/>
          <w:b/>
          <w:bCs/>
          <w:lang w:val="en-GB"/>
        </w:rPr>
      </w:pPr>
      <w:r>
        <w:rPr>
          <w:rFonts w:ascii="Arial" w:hAnsi="Arial" w:cs="Arial"/>
          <w:b/>
          <w:bCs/>
          <w:u w:val="single"/>
          <w:lang w:val="en-GB"/>
        </w:rPr>
        <w:t>Moisture Content</w:t>
      </w:r>
    </w:p>
    <w:p w14:paraId="2BAEDFC5">
      <w:pPr>
        <w:tabs>
          <w:tab w:val="left" w:pos="600"/>
        </w:tabs>
        <w:jc w:val="both"/>
        <w:rPr>
          <w:rFonts w:ascii="Arial" w:hAnsi="Arial" w:cs="Arial"/>
          <w:lang w:val="en-GB"/>
        </w:rPr>
      </w:pPr>
      <w:r>
        <w:rPr>
          <w:rFonts w:ascii="Arial" w:hAnsi="Arial" w:cs="Arial"/>
          <w:lang w:val="en-GB"/>
        </w:rPr>
        <w:t>Moisture content testing method based on weight loss during heating in an oven according to AOAC (2005). Moisture content is calculated using the following formula:</w:t>
      </w:r>
    </w:p>
    <w:p w14:paraId="34D91736">
      <w:pPr>
        <w:spacing w:line="360" w:lineRule="auto"/>
        <w:jc w:val="center"/>
        <w:rPr>
          <w:rFonts w:ascii="Arial" w:hAnsi="Arial" w:cs="Arial"/>
          <w:lang w:val="en-GB"/>
        </w:rPr>
      </w:pPr>
      <w:r>
        <w:rPr>
          <w:rFonts w:ascii="Arial" w:hAnsi="Arial" w:cs="Arial"/>
          <w:lang w:val="en-GB"/>
        </w:rPr>
        <w:t xml:space="preserve">Moisture content (%) = </w:t>
      </w:r>
      <m:oMath>
        <m:f>
          <m:fPr>
            <m:ctrlPr>
              <w:rPr>
                <w:rFonts w:ascii="Cambria Math" w:hAnsi="Cambria Math" w:cs="Arial"/>
                <w:i/>
                <w:lang w:val="en-GB"/>
              </w:rPr>
            </m:ctrlPr>
          </m:fPr>
          <m:num>
            <m:r>
              <m:rPr/>
              <w:rPr>
                <w:rFonts w:ascii="Cambria Math" w:hAnsi="Cambria Math" w:cs="Arial"/>
                <w:lang w:val="en-GB"/>
              </w:rPr>
              <m:t>B − C</m:t>
            </m:r>
            <m:ctrlPr>
              <w:rPr>
                <w:rFonts w:ascii="Cambria Math" w:hAnsi="Cambria Math" w:cs="Arial"/>
                <w:i/>
                <w:lang w:val="en-GB"/>
              </w:rPr>
            </m:ctrlPr>
          </m:num>
          <m:den>
            <m:r>
              <m:rPr/>
              <w:rPr>
                <w:rFonts w:ascii="Cambria Math" w:hAnsi="Cambria Math" w:cs="Arial"/>
                <w:lang w:val="en-GB"/>
              </w:rPr>
              <m:t>B − A</m:t>
            </m:r>
            <m:ctrlPr>
              <w:rPr>
                <w:rFonts w:ascii="Cambria Math" w:hAnsi="Cambria Math" w:cs="Arial"/>
                <w:i/>
                <w:lang w:val="en-GB"/>
              </w:rPr>
            </m:ctrlPr>
          </m:den>
        </m:f>
      </m:oMath>
      <w:r>
        <w:rPr>
          <w:rFonts w:ascii="Arial" w:hAnsi="Arial" w:cs="Arial"/>
          <w:lang w:val="en-GB"/>
        </w:rPr>
        <w:t xml:space="preserve"> x 100%</w:t>
      </w:r>
    </w:p>
    <w:p w14:paraId="49030E5C">
      <w:pPr>
        <w:tabs>
          <w:tab w:val="left" w:pos="600"/>
        </w:tabs>
        <w:jc w:val="both"/>
        <w:rPr>
          <w:rFonts w:ascii="Arial" w:hAnsi="Arial" w:cs="Arial"/>
          <w:lang w:val="en-GB"/>
        </w:rPr>
      </w:pPr>
      <w:r>
        <w:rPr>
          <w:rFonts w:ascii="Arial" w:hAnsi="Arial" w:cs="Arial"/>
          <w:lang w:val="en-GB"/>
        </w:rPr>
        <w:t>Explanation:</w:t>
      </w:r>
    </w:p>
    <w:p w14:paraId="69921E37">
      <w:pPr>
        <w:tabs>
          <w:tab w:val="left" w:pos="600"/>
        </w:tabs>
        <w:jc w:val="both"/>
        <w:rPr>
          <w:rFonts w:ascii="Arial" w:hAnsi="Arial" w:cs="Arial"/>
          <w:lang w:val="en-GB"/>
        </w:rPr>
      </w:pPr>
      <w:r>
        <w:rPr>
          <w:rFonts w:ascii="Arial" w:hAnsi="Arial" w:cs="Arial"/>
          <w:lang w:val="en-GB"/>
        </w:rPr>
        <w:t>A = Weight of empty dish (g)</w:t>
      </w:r>
    </w:p>
    <w:p w14:paraId="2677F291">
      <w:pPr>
        <w:tabs>
          <w:tab w:val="left" w:pos="600"/>
        </w:tabs>
        <w:jc w:val="both"/>
        <w:rPr>
          <w:rFonts w:ascii="Arial" w:hAnsi="Arial" w:cs="Arial"/>
          <w:lang w:val="en-GB"/>
        </w:rPr>
      </w:pPr>
      <w:r>
        <w:rPr>
          <w:rFonts w:ascii="Arial" w:hAnsi="Arial" w:cs="Arial"/>
          <w:lang w:val="en-GB"/>
        </w:rPr>
        <w:t>B = Weight of dish and sample before oven (g)</w:t>
      </w:r>
    </w:p>
    <w:p w14:paraId="21BB5C15">
      <w:pPr>
        <w:tabs>
          <w:tab w:val="left" w:pos="600"/>
        </w:tabs>
        <w:jc w:val="both"/>
        <w:rPr>
          <w:rFonts w:ascii="Arial" w:hAnsi="Arial" w:cs="Arial"/>
          <w:lang w:val="en-GB"/>
        </w:rPr>
      </w:pPr>
      <w:r>
        <w:rPr>
          <w:rFonts w:ascii="Arial" w:hAnsi="Arial" w:cs="Arial"/>
          <w:lang w:val="en-GB"/>
        </w:rPr>
        <w:t>C = Weight of dish and sample after oven (g)</w:t>
      </w:r>
    </w:p>
    <w:p w14:paraId="39F33A10">
      <w:pPr>
        <w:tabs>
          <w:tab w:val="left" w:pos="600"/>
        </w:tabs>
        <w:jc w:val="both"/>
        <w:rPr>
          <w:rFonts w:ascii="Arial" w:hAnsi="Arial" w:cs="Arial"/>
          <w:b/>
          <w:bCs/>
          <w:lang w:val="en-GB"/>
        </w:rPr>
      </w:pPr>
    </w:p>
    <w:p w14:paraId="170987A6">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Water Activity</w:t>
      </w:r>
    </w:p>
    <w:p w14:paraId="6B80847F">
      <w:pPr>
        <w:tabs>
          <w:tab w:val="left" w:pos="600"/>
        </w:tabs>
        <w:jc w:val="both"/>
        <w:rPr>
          <w:rFonts w:ascii="Arial" w:hAnsi="Arial" w:cs="Arial"/>
          <w:lang w:val="en-GB"/>
        </w:rPr>
      </w:pPr>
      <w:r>
        <w:rPr>
          <w:rFonts w:ascii="Arial" w:hAnsi="Arial" w:cs="Arial"/>
          <w:lang w:val="en-GB"/>
        </w:rPr>
        <w:t>The procedure for testing water activity (</w:t>
      </w:r>
      <w:r>
        <w:rPr>
          <w:rFonts w:hint="default" w:ascii="Arial" w:hAnsi="Arial" w:cs="Arial"/>
          <w:lang w:val="en-GB"/>
        </w:rPr>
        <w:t>aw</w:t>
      </w:r>
      <w:r>
        <w:rPr>
          <w:rFonts w:ascii="Arial" w:hAnsi="Arial" w:cs="Arial"/>
          <w:lang w:val="en-GB"/>
        </w:rPr>
        <w:t>) uses a testo 650 aw meter, which determines the amount of free water used by microbial growth in a material. The test procedure according to AOAC (2005) is as follows: Prepare the tools and materials. Weigh 5 grams of the sample. Open the aw meter and clean the plastic container and sample. Place the chopped sample into the plastic container, then place it in the sample chamber and cover it with the sample reader sensor. Press the enter button until the device identifies the aw of the sample. Wait for the aw value to be read on the second beep and record it when the value is stable</w:t>
      </w:r>
    </w:p>
    <w:p w14:paraId="197D3C8E">
      <w:pPr>
        <w:tabs>
          <w:tab w:val="left" w:pos="600"/>
        </w:tabs>
        <w:jc w:val="both"/>
        <w:rPr>
          <w:rFonts w:ascii="Arial" w:hAnsi="Arial" w:cs="Arial"/>
          <w:lang w:val="en-GB"/>
        </w:rPr>
      </w:pPr>
    </w:p>
    <w:p w14:paraId="6440E30C">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Sensory Evaluation</w:t>
      </w:r>
    </w:p>
    <w:p w14:paraId="53AA92B6">
      <w:pPr>
        <w:tabs>
          <w:tab w:val="left" w:pos="600"/>
        </w:tabs>
        <w:jc w:val="both"/>
        <w:rPr>
          <w:rFonts w:ascii="Arial" w:hAnsi="Arial" w:cs="Arial"/>
          <w:lang w:val="en-GB"/>
        </w:rPr>
      </w:pPr>
      <w:r>
        <w:rPr>
          <w:rFonts w:ascii="Arial" w:hAnsi="Arial" w:cs="Arial"/>
          <w:lang w:val="en-GB"/>
        </w:rPr>
        <w:t xml:space="preserve">The organoleptic test procedure used the Hedonic Quality test (Febrianingsih et al., 2016) with 30 untrained panelists. The numerical scale for the organoleptic test is as follows: 1 (strongly dislike), 2 (dislike), 3 (neutral), 4 (like), and 5 (strongly like). </w:t>
      </w:r>
    </w:p>
    <w:p w14:paraId="438BABBB">
      <w:pPr>
        <w:tabs>
          <w:tab w:val="left" w:pos="600"/>
        </w:tabs>
        <w:jc w:val="both"/>
        <w:rPr>
          <w:rFonts w:ascii="Arial" w:hAnsi="Arial" w:cs="Arial"/>
          <w:lang w:val="en-GB"/>
        </w:rPr>
      </w:pPr>
    </w:p>
    <w:p w14:paraId="68154979">
      <w:pPr>
        <w:tabs>
          <w:tab w:val="left" w:pos="600"/>
        </w:tabs>
        <w:jc w:val="both"/>
        <w:rPr>
          <w:rFonts w:ascii="Arial" w:hAnsi="Arial" w:cs="Arial"/>
          <w:lang w:val="en-GB"/>
        </w:rPr>
      </w:pPr>
    </w:p>
    <w:p w14:paraId="38FD86AB">
      <w:pPr>
        <w:tabs>
          <w:tab w:val="left" w:pos="600"/>
        </w:tabs>
        <w:jc w:val="both"/>
        <w:rPr>
          <w:rFonts w:ascii="Arial" w:hAnsi="Arial" w:cs="Arial"/>
          <w:lang w:val="en-GB"/>
        </w:rPr>
      </w:pPr>
    </w:p>
    <w:p w14:paraId="41F6E220">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Lab* Color</w:t>
      </w:r>
    </w:p>
    <w:p w14:paraId="420D568B">
      <w:pPr>
        <w:tabs>
          <w:tab w:val="left" w:pos="600"/>
        </w:tabs>
        <w:jc w:val="both"/>
        <w:rPr>
          <w:rFonts w:ascii="Arial" w:hAnsi="Arial" w:cs="Arial"/>
          <w:lang w:val="en-GB"/>
        </w:rPr>
      </w:pPr>
      <w:r>
        <w:rPr>
          <w:rFonts w:ascii="Arial" w:hAnsi="Arial" w:cs="Arial"/>
          <w:lang w:val="en-GB"/>
        </w:rPr>
        <w:t>The Lab* color testing procedure uses a color reader (Engelen, 2017). L* color (0-100), where 0 indicates black and 100 indicates white. Redness (a*) color (-80)-100, where negative indicates red and positive indicates green. Color b* (-70)-70, where negative values indicate blue and positive values indicate yellow.</w:t>
      </w:r>
    </w:p>
    <w:p w14:paraId="6006CB41">
      <w:pPr>
        <w:pStyle w:val="22"/>
        <w:spacing w:after="0"/>
        <w:rPr>
          <w:rFonts w:ascii="Arial" w:hAnsi="Arial" w:cs="Arial"/>
        </w:rPr>
      </w:pPr>
    </w:p>
    <w:p w14:paraId="4E42A708">
      <w:pPr>
        <w:pStyle w:val="34"/>
        <w:spacing w:after="0"/>
        <w:jc w:val="both"/>
        <w:rPr>
          <w:rFonts w:ascii="Arial" w:hAnsi="Arial" w:cs="Arial"/>
        </w:rPr>
      </w:pPr>
      <w:r>
        <w:rPr>
          <w:rFonts w:ascii="Arial" w:hAnsi="Arial" w:cs="Arial"/>
        </w:rPr>
        <w:t>3. results and discussion</w:t>
      </w:r>
    </w:p>
    <w:p w14:paraId="102D0563">
      <w:pPr>
        <w:tabs>
          <w:tab w:val="left" w:pos="600"/>
        </w:tabs>
        <w:jc w:val="both"/>
        <w:rPr>
          <w:rFonts w:ascii="Arial" w:hAnsi="Arial" w:cs="Arial"/>
          <w:b/>
          <w:bCs/>
          <w:lang w:val="en-GB"/>
        </w:rPr>
      </w:pPr>
    </w:p>
    <w:p w14:paraId="3BF5D42C">
      <w:pPr>
        <w:numPr>
          <w:ilvl w:val="0"/>
          <w:numId w:val="4"/>
        </w:numPr>
        <w:tabs>
          <w:tab w:val="left" w:pos="400"/>
          <w:tab w:val="clear" w:pos="845"/>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Moisture Content of Fermented Free-Range Chicken Dendeng</w:t>
      </w:r>
    </w:p>
    <w:p w14:paraId="29DC1082">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Moisture content is one of the determinants of the durability of a food product in terms of physical, chemical, and microbiological changes (Sakti et al., 2016). The results in Table 2 show that the addition of moringa leaf powder had a significant effect (p&lt;0.01) on the moisture content of the dendeng. The average moisture content values of fermented free-range chicken dendeng for each treatment can be seen in Table 2. </w:t>
      </w:r>
    </w:p>
    <w:p w14:paraId="45F78B81">
      <w:pPr>
        <w:tabs>
          <w:tab w:val="left" w:pos="400"/>
        </w:tabs>
        <w:jc w:val="both"/>
        <w:rPr>
          <w:rFonts w:ascii="Arial" w:hAnsi="Arial" w:cs="Arial"/>
          <w:lang w:val="en-GB"/>
        </w:rPr>
      </w:pPr>
    </w:p>
    <w:p w14:paraId="3916B938">
      <w:pPr>
        <w:tabs>
          <w:tab w:val="left" w:pos="400"/>
        </w:tabs>
        <w:jc w:val="both"/>
        <w:rPr>
          <w:rFonts w:ascii="Arial" w:hAnsi="Arial" w:cs="Arial"/>
          <w:lang w:val="en-GB"/>
        </w:rPr>
      </w:pPr>
      <w:r>
        <w:rPr>
          <w:rFonts w:ascii="Arial" w:hAnsi="Arial" w:cs="Arial"/>
          <w:lang w:val="en-GB"/>
        </w:rPr>
        <w:t>Table 2. Average Moisture Content Values in Fermented Free-Range Chicken Dendeng</w:t>
      </w:r>
    </w:p>
    <w:tbl>
      <w:tblPr>
        <w:tblStyle w:val="18"/>
        <w:tblW w:w="0" w:type="auto"/>
        <w:tblInd w:w="11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6"/>
        <w:gridCol w:w="4506"/>
      </w:tblGrid>
      <w:tr w14:paraId="3BBCA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Borders>
              <w:bottom w:val="single" w:color="auto" w:sz="4" w:space="0"/>
            </w:tcBorders>
          </w:tcPr>
          <w:p w14:paraId="59EEFD03">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Treatment</w:t>
            </w:r>
          </w:p>
        </w:tc>
        <w:tc>
          <w:tcPr>
            <w:tcW w:w="4930" w:type="dxa"/>
            <w:tcBorders>
              <w:bottom w:val="single" w:color="auto" w:sz="4" w:space="0"/>
            </w:tcBorders>
          </w:tcPr>
          <w:p w14:paraId="2DCFEB89">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 xml:space="preserve">Moisture Content </w:t>
            </w:r>
            <w:r>
              <w:rPr>
                <w:rFonts w:ascii="Arial" w:hAnsi="Arial" w:eastAsia="SimSun" w:cs="Arial"/>
                <w:sz w:val="20"/>
                <w:szCs w:val="20"/>
              </w:rPr>
              <w:t>±</w:t>
            </w:r>
            <w:r>
              <w:rPr>
                <w:rFonts w:ascii="Arial" w:hAnsi="Arial" w:eastAsia="SimSun" w:cs="Arial"/>
                <w:sz w:val="20"/>
                <w:szCs w:val="20"/>
                <w:lang w:val="en-GB"/>
              </w:rPr>
              <w:t xml:space="preserve"> SD</w:t>
            </w:r>
            <w:r>
              <w:rPr>
                <w:rFonts w:ascii="Arial" w:hAnsi="Arial" w:eastAsia="Calibri" w:cs="Arial"/>
                <w:sz w:val="20"/>
                <w:szCs w:val="20"/>
                <w:lang w:val="en-GB"/>
              </w:rPr>
              <w:t xml:space="preserve"> (%)</w:t>
            </w:r>
          </w:p>
        </w:tc>
      </w:tr>
      <w:tr w14:paraId="4ED2FE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Borders>
              <w:top w:val="single" w:color="auto" w:sz="4" w:space="0"/>
            </w:tcBorders>
          </w:tcPr>
          <w:p w14:paraId="38AD8E89">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T0</w:t>
            </w:r>
          </w:p>
        </w:tc>
        <w:tc>
          <w:tcPr>
            <w:tcW w:w="4930" w:type="dxa"/>
            <w:tcBorders>
              <w:top w:val="single" w:color="auto" w:sz="4" w:space="0"/>
            </w:tcBorders>
          </w:tcPr>
          <w:p w14:paraId="47E182AE">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10.97 </w:t>
            </w:r>
            <w:r>
              <w:rPr>
                <w:rFonts w:ascii="Arial" w:hAnsi="Arial" w:eastAsia="SimSun" w:cs="Arial"/>
                <w:sz w:val="20"/>
                <w:szCs w:val="20"/>
              </w:rPr>
              <w:t>±</w:t>
            </w:r>
            <w:r>
              <w:rPr>
                <w:rFonts w:ascii="Arial" w:hAnsi="Arial" w:eastAsia="SimSun" w:cs="Arial"/>
                <w:sz w:val="20"/>
                <w:szCs w:val="20"/>
                <w:lang w:val="en-GB"/>
              </w:rPr>
              <w:t xml:space="preserve"> 0.62</w:t>
            </w:r>
            <w:r>
              <w:rPr>
                <w:rFonts w:ascii="Arial" w:hAnsi="Arial" w:eastAsia="SimSun" w:cs="Arial"/>
                <w:sz w:val="20"/>
                <w:szCs w:val="20"/>
                <w:vertAlign w:val="superscript"/>
                <w:lang w:val="en-GB"/>
              </w:rPr>
              <w:t>d</w:t>
            </w:r>
          </w:p>
        </w:tc>
      </w:tr>
      <w:tr w14:paraId="2C6AFA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10A1C6B2">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T1</w:t>
            </w:r>
          </w:p>
        </w:tc>
        <w:tc>
          <w:tcPr>
            <w:tcW w:w="4930" w:type="dxa"/>
          </w:tcPr>
          <w:p w14:paraId="0B70046D">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9.18 </w:t>
            </w:r>
            <w:r>
              <w:rPr>
                <w:rFonts w:ascii="Arial" w:hAnsi="Arial" w:eastAsia="SimSun" w:cs="Arial"/>
                <w:sz w:val="20"/>
                <w:szCs w:val="20"/>
              </w:rPr>
              <w:t>±</w:t>
            </w:r>
            <w:r>
              <w:rPr>
                <w:rFonts w:ascii="Arial" w:hAnsi="Arial" w:eastAsia="SimSun" w:cs="Arial"/>
                <w:sz w:val="20"/>
                <w:szCs w:val="20"/>
                <w:lang w:val="en-GB"/>
              </w:rPr>
              <w:t xml:space="preserve"> 0.38</w:t>
            </w:r>
            <w:r>
              <w:rPr>
                <w:rFonts w:ascii="Arial" w:hAnsi="Arial" w:eastAsia="SimSun" w:cs="Arial"/>
                <w:sz w:val="20"/>
                <w:szCs w:val="20"/>
                <w:vertAlign w:val="superscript"/>
                <w:lang w:val="en-GB"/>
              </w:rPr>
              <w:t>c</w:t>
            </w:r>
          </w:p>
        </w:tc>
      </w:tr>
      <w:tr w14:paraId="42F5F3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7A5F394B">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T2</w:t>
            </w:r>
          </w:p>
        </w:tc>
        <w:tc>
          <w:tcPr>
            <w:tcW w:w="4930" w:type="dxa"/>
          </w:tcPr>
          <w:p w14:paraId="7C15F3E5">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8.12 </w:t>
            </w:r>
            <w:r>
              <w:rPr>
                <w:rFonts w:ascii="Arial" w:hAnsi="Arial" w:eastAsia="SimSun" w:cs="Arial"/>
                <w:sz w:val="20"/>
                <w:szCs w:val="20"/>
              </w:rPr>
              <w:t>±</w:t>
            </w:r>
            <w:r>
              <w:rPr>
                <w:rFonts w:ascii="Arial" w:hAnsi="Arial" w:eastAsia="SimSun" w:cs="Arial"/>
                <w:sz w:val="20"/>
                <w:szCs w:val="20"/>
                <w:lang w:val="en-GB"/>
              </w:rPr>
              <w:t xml:space="preserve"> 0.90</w:t>
            </w:r>
            <w:r>
              <w:rPr>
                <w:rFonts w:ascii="Arial" w:hAnsi="Arial" w:eastAsia="SimSun" w:cs="Arial"/>
                <w:sz w:val="20"/>
                <w:szCs w:val="20"/>
                <w:vertAlign w:val="superscript"/>
                <w:lang w:val="en-GB"/>
              </w:rPr>
              <w:t>ab</w:t>
            </w:r>
          </w:p>
        </w:tc>
      </w:tr>
      <w:tr w14:paraId="662544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68B71769">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T3</w:t>
            </w:r>
          </w:p>
        </w:tc>
        <w:tc>
          <w:tcPr>
            <w:tcW w:w="4930" w:type="dxa"/>
          </w:tcPr>
          <w:p w14:paraId="76B51D7A">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7.90 </w:t>
            </w:r>
            <w:r>
              <w:rPr>
                <w:rFonts w:ascii="Arial" w:hAnsi="Arial" w:eastAsia="SimSun" w:cs="Arial"/>
                <w:sz w:val="20"/>
                <w:szCs w:val="20"/>
              </w:rPr>
              <w:t>±</w:t>
            </w:r>
            <w:r>
              <w:rPr>
                <w:rFonts w:ascii="Arial" w:hAnsi="Arial" w:eastAsia="SimSun" w:cs="Arial"/>
                <w:sz w:val="20"/>
                <w:szCs w:val="20"/>
                <w:lang w:val="en-GB"/>
              </w:rPr>
              <w:t xml:space="preserve"> 0.32</w:t>
            </w:r>
            <w:r>
              <w:rPr>
                <w:rFonts w:ascii="Arial" w:hAnsi="Arial" w:eastAsia="SimSun" w:cs="Arial"/>
                <w:sz w:val="20"/>
                <w:szCs w:val="20"/>
                <w:vertAlign w:val="superscript"/>
                <w:lang w:val="en-GB"/>
              </w:rPr>
              <w:t>a</w:t>
            </w:r>
          </w:p>
        </w:tc>
      </w:tr>
    </w:tbl>
    <w:p w14:paraId="753AE06C">
      <w:pPr>
        <w:tabs>
          <w:tab w:val="left" w:pos="400"/>
        </w:tabs>
        <w:jc w:val="both"/>
        <w:rPr>
          <w:rFonts w:ascii="Arial" w:hAnsi="Arial" w:cs="Arial"/>
          <w:lang w:val="en-GB"/>
        </w:rPr>
      </w:pPr>
    </w:p>
    <w:p w14:paraId="52D01020">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Based on Table 2, the results show that adding more moringa leaf powder tends to reduce the moisture content of chicken dendeng by 8.58%. When added in large percentage, this increases the total solids, thereby reducing the percentage of water. According to </w:t>
      </w:r>
      <w:r>
        <w:rPr>
          <w:rFonts w:hint="default" w:ascii="Arial" w:hAnsi="Arial" w:cs="Arial"/>
          <w:lang w:val="en-GB"/>
        </w:rPr>
        <w:t>National Standardization Agency</w:t>
      </w:r>
      <w:r>
        <w:rPr>
          <w:rFonts w:ascii="Arial" w:hAnsi="Arial" w:cs="Arial"/>
          <w:lang w:val="en-GB"/>
        </w:rPr>
        <w:t xml:space="preserve"> </w:t>
      </w:r>
      <w:r>
        <w:rPr>
          <w:rFonts w:hint="default" w:ascii="Arial" w:hAnsi="Arial" w:cs="Arial"/>
          <w:lang w:val="en-GB"/>
        </w:rPr>
        <w:t>(</w:t>
      </w:r>
      <w:r>
        <w:rPr>
          <w:rFonts w:ascii="Arial" w:hAnsi="Arial" w:cs="Arial"/>
          <w:lang w:val="en-GB"/>
        </w:rPr>
        <w:t>2013</w:t>
      </w:r>
      <w:r>
        <w:rPr>
          <w:rFonts w:hint="default" w:ascii="Arial" w:hAnsi="Arial" w:cs="Arial"/>
          <w:lang w:val="en-GB"/>
        </w:rPr>
        <w:t>)</w:t>
      </w:r>
      <w:r>
        <w:rPr>
          <w:rFonts w:ascii="Arial" w:hAnsi="Arial" w:cs="Arial"/>
          <w:lang w:val="en-GB"/>
        </w:rPr>
        <w:t xml:space="preserve">, chicken dendeng should have a moisture content that is neither too high nor too low, a maximum of 12%. This affects the shelf life of the chicken dendeng product. The higher the moisture content in food, the greater the likelihood that the food will spoil and not last long (Waryat and Handayani, 2020). </w:t>
      </w:r>
    </w:p>
    <w:p w14:paraId="123C04DD">
      <w:pPr>
        <w:tabs>
          <w:tab w:val="left" w:pos="400"/>
        </w:tabs>
        <w:jc w:val="both"/>
        <w:rPr>
          <w:rFonts w:ascii="Arial" w:hAnsi="Arial" w:cs="Arial"/>
          <w:lang w:val="en-GB"/>
        </w:rPr>
      </w:pPr>
      <w:r>
        <w:rPr>
          <w:rFonts w:ascii="Arial" w:hAnsi="Arial" w:cs="Arial"/>
          <w:lang w:val="en-GB"/>
        </w:rPr>
        <w:tab/>
      </w:r>
      <w:r>
        <w:rPr>
          <w:rFonts w:ascii="Arial" w:hAnsi="Arial" w:cs="Arial"/>
          <w:lang w:val="en-GB"/>
        </w:rPr>
        <w:t>According to Sabtu and Armadianto (2019), the decrease in moisture content in chicken dendeng can be caused by the process of osmosis. Osmosis is the process of water transfer from a substance with low concentration (hypotonic) to a substance with high concentration (hypertonic). The water content of chicken dendeng treated with moringa leaf powder tends to be lower than that of chicken dendeng without moringa leaf (T0). According to Ramamurthy et al., (2021), moringa leaf powder contain large amounts of phenolic compounds, which can suppress the increase in moisture content in dendeng. This is supported by the opinion of Moura</w:t>
      </w:r>
      <w:r>
        <w:rPr>
          <w:rFonts w:hint="default" w:ascii="Arial" w:hAnsi="Arial" w:cs="Arial"/>
          <w:lang w:val="en-GB"/>
        </w:rPr>
        <w:t>-Alves</w:t>
      </w:r>
      <w:r>
        <w:rPr>
          <w:rFonts w:ascii="Arial" w:hAnsi="Arial" w:cs="Arial"/>
          <w:lang w:val="en-GB"/>
        </w:rPr>
        <w:t>, et al., (2023), who stated that moringa leaf powder act as a natural preservative that aims to extend the shelf life of food products.</w:t>
      </w:r>
    </w:p>
    <w:p w14:paraId="401261FB">
      <w:pPr>
        <w:tabs>
          <w:tab w:val="left" w:pos="400"/>
        </w:tabs>
        <w:jc w:val="both"/>
        <w:rPr>
          <w:rFonts w:ascii="Arial" w:hAnsi="Arial" w:cs="Arial"/>
          <w:lang w:val="en-GB"/>
        </w:rPr>
      </w:pPr>
      <w:r>
        <w:rPr>
          <w:rFonts w:ascii="Arial" w:hAnsi="Arial" w:cs="Arial"/>
          <w:lang w:val="en-GB"/>
        </w:rPr>
        <w:tab/>
      </w:r>
      <w:r>
        <w:rPr>
          <w:rFonts w:ascii="Arial" w:hAnsi="Arial" w:cs="Arial"/>
          <w:lang w:val="en-GB"/>
        </w:rPr>
        <w:t>Previous studies, such as those by Utami and Qohar (2022), found that the moisture content of dried chicken meat from culled laying hens treated with red ginger (Zingiber officinale Rose) ranged from 12 to 27%. Hermayasari</w:t>
      </w:r>
      <w:r>
        <w:rPr>
          <w:rFonts w:hint="default" w:ascii="Arial" w:hAnsi="Arial" w:cs="Arial"/>
          <w:lang w:val="en-GB"/>
        </w:rPr>
        <w:t xml:space="preserve"> et al.,</w:t>
      </w:r>
      <w:r>
        <w:rPr>
          <w:rFonts w:ascii="Arial" w:hAnsi="Arial" w:cs="Arial"/>
          <w:lang w:val="en-GB"/>
        </w:rPr>
        <w:t xml:space="preserve"> (2015) study found that the moisture content in beef dendeng coated with beeswax as an edible coating was 14.5%. Sugiarto and </w:t>
      </w:r>
      <w:r>
        <w:rPr>
          <w:rFonts w:hint="default" w:ascii="Arial" w:hAnsi="Arial" w:cs="Arial"/>
          <w:lang w:val="en-GB"/>
        </w:rPr>
        <w:t>Marfuah</w:t>
      </w:r>
      <w:r>
        <w:rPr>
          <w:rFonts w:ascii="Arial" w:hAnsi="Arial" w:cs="Arial"/>
          <w:lang w:val="en-GB"/>
        </w:rPr>
        <w:t xml:space="preserve"> (2023) study found that the moisture content in beef dendeng ranged from 22.08 to 24.12%. Ina (2021) research found that the moisture content in beef dendeng ranged from 45.65 to 55.85%. The results of Fazila et al.'s (2023) research stated that the moisture content in beef dendeng ranged from 8.69 to 13.36%. The results of research by Mehang et al. (2022) state that the moisture content in smoked chicken dendeng ranges from 8.15 to 9.55%. The different moisture content test results in SNI 2908:2013 and previous studies are due to the use of different types, treatments, and drying temperatures and durations.</w:t>
      </w:r>
    </w:p>
    <w:p w14:paraId="524AFBD2">
      <w:pPr>
        <w:tabs>
          <w:tab w:val="left" w:pos="400"/>
        </w:tabs>
        <w:jc w:val="both"/>
        <w:rPr>
          <w:rFonts w:ascii="Arial" w:hAnsi="Arial" w:cs="Arial"/>
          <w:lang w:val="en-GB"/>
        </w:rPr>
      </w:pPr>
    </w:p>
    <w:p w14:paraId="43813D5C">
      <w:pPr>
        <w:tabs>
          <w:tab w:val="left" w:pos="400"/>
        </w:tabs>
        <w:jc w:val="both"/>
        <w:rPr>
          <w:rFonts w:ascii="Arial" w:hAnsi="Arial" w:cs="Arial"/>
          <w:lang w:val="en-GB"/>
        </w:rPr>
      </w:pPr>
    </w:p>
    <w:p w14:paraId="46117EA2">
      <w:pPr>
        <w:numPr>
          <w:ilvl w:val="0"/>
          <w:numId w:val="4"/>
        </w:numPr>
        <w:tabs>
          <w:tab w:val="left" w:pos="400"/>
          <w:tab w:val="clear" w:pos="845"/>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Water Acitivity (aw) of Fermented Free-Range Chicken Dendeng</w:t>
      </w:r>
    </w:p>
    <w:p w14:paraId="7B59C60A">
      <w:pPr>
        <w:tabs>
          <w:tab w:val="left" w:pos="400"/>
        </w:tabs>
        <w:jc w:val="both"/>
        <w:rPr>
          <w:rFonts w:ascii="Arial" w:hAnsi="Arial" w:cs="Arial"/>
          <w:lang w:val="en-GB"/>
        </w:rPr>
      </w:pPr>
      <w:r>
        <w:rPr>
          <w:rFonts w:ascii="Arial" w:hAnsi="Arial" w:cs="Arial"/>
          <w:lang w:val="en-GB"/>
        </w:rPr>
        <w:tab/>
      </w:r>
      <w:r>
        <w:rPr>
          <w:rFonts w:ascii="Arial" w:hAnsi="Arial" w:cs="Arial"/>
          <w:lang w:val="en-GB"/>
        </w:rPr>
        <w:t>The results of the analysis of variance show that the addition of moringa leaf powder to fermented free-range chicken dendeng at different percentages has a significant effect (p&lt;0.05) on aw. The average aw values of fermented free-range chicken dendeng are presented in Table 3.</w:t>
      </w:r>
    </w:p>
    <w:p w14:paraId="1A8BD9AC">
      <w:pPr>
        <w:tabs>
          <w:tab w:val="left" w:pos="400"/>
        </w:tabs>
        <w:jc w:val="both"/>
        <w:rPr>
          <w:rFonts w:ascii="Arial" w:hAnsi="Arial" w:cs="Arial"/>
          <w:lang w:val="en-GB"/>
        </w:rPr>
      </w:pPr>
    </w:p>
    <w:p w14:paraId="1DF91400">
      <w:pPr>
        <w:tabs>
          <w:tab w:val="left" w:pos="400"/>
        </w:tabs>
        <w:jc w:val="both"/>
        <w:rPr>
          <w:rFonts w:ascii="Arial" w:hAnsi="Arial" w:cs="Arial"/>
          <w:lang w:val="en-GB"/>
        </w:rPr>
      </w:pPr>
      <w:r>
        <w:rPr>
          <w:rFonts w:ascii="Arial" w:hAnsi="Arial" w:cs="Arial"/>
          <w:lang w:val="en-GB"/>
        </w:rPr>
        <w:t>Table 3. Average Water Activity Values in Fermented Free-Range Chicken Dendeng</w:t>
      </w:r>
    </w:p>
    <w:tbl>
      <w:tblPr>
        <w:tblStyle w:val="18"/>
        <w:tblW w:w="0" w:type="auto"/>
        <w:tblInd w:w="11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2"/>
        <w:gridCol w:w="4500"/>
      </w:tblGrid>
      <w:tr w14:paraId="3285A0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Borders>
              <w:bottom w:val="single" w:color="auto" w:sz="4" w:space="0"/>
            </w:tcBorders>
          </w:tcPr>
          <w:p w14:paraId="0A232417">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Treatment</w:t>
            </w:r>
          </w:p>
        </w:tc>
        <w:tc>
          <w:tcPr>
            <w:tcW w:w="4930" w:type="dxa"/>
            <w:tcBorders>
              <w:bottom w:val="single" w:color="auto" w:sz="4" w:space="0"/>
            </w:tcBorders>
          </w:tcPr>
          <w:p w14:paraId="1CEF1289">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 xml:space="preserve">Water Activity (aw) </w:t>
            </w:r>
            <w:r>
              <w:rPr>
                <w:rFonts w:ascii="Arial" w:hAnsi="Arial" w:eastAsia="SimSun" w:cs="Arial"/>
                <w:sz w:val="20"/>
                <w:szCs w:val="20"/>
              </w:rPr>
              <w:t>±</w:t>
            </w:r>
            <w:r>
              <w:rPr>
                <w:rFonts w:ascii="Arial" w:hAnsi="Arial" w:eastAsia="SimSun" w:cs="Arial"/>
                <w:sz w:val="20"/>
                <w:szCs w:val="20"/>
                <w:lang w:val="en-GB"/>
              </w:rPr>
              <w:t xml:space="preserve"> SD</w:t>
            </w:r>
          </w:p>
        </w:tc>
      </w:tr>
      <w:tr w14:paraId="12FDDE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Borders>
              <w:top w:val="single" w:color="auto" w:sz="4" w:space="0"/>
            </w:tcBorders>
          </w:tcPr>
          <w:p w14:paraId="7B847F98">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T0</w:t>
            </w:r>
          </w:p>
        </w:tc>
        <w:tc>
          <w:tcPr>
            <w:tcW w:w="4930" w:type="dxa"/>
            <w:tcBorders>
              <w:top w:val="single" w:color="auto" w:sz="4" w:space="0"/>
            </w:tcBorders>
          </w:tcPr>
          <w:p w14:paraId="6F4C826D">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0.80 </w:t>
            </w:r>
            <w:r>
              <w:rPr>
                <w:rFonts w:ascii="Arial" w:hAnsi="Arial" w:eastAsia="SimSun" w:cs="Arial"/>
                <w:sz w:val="20"/>
                <w:szCs w:val="20"/>
              </w:rPr>
              <w:t>±</w:t>
            </w:r>
            <w:r>
              <w:rPr>
                <w:rFonts w:ascii="Arial" w:hAnsi="Arial" w:eastAsia="SimSun" w:cs="Arial"/>
                <w:sz w:val="20"/>
                <w:szCs w:val="20"/>
                <w:lang w:val="en-GB"/>
              </w:rPr>
              <w:t xml:space="preserve"> 0.03</w:t>
            </w:r>
            <w:r>
              <w:rPr>
                <w:rFonts w:ascii="Arial" w:hAnsi="Arial" w:eastAsia="SimSun" w:cs="Arial"/>
                <w:sz w:val="20"/>
                <w:szCs w:val="20"/>
                <w:vertAlign w:val="superscript"/>
                <w:lang w:val="en-GB"/>
              </w:rPr>
              <w:t>a</w:t>
            </w:r>
          </w:p>
        </w:tc>
      </w:tr>
      <w:tr w14:paraId="6894CC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4E7348DF">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T1</w:t>
            </w:r>
          </w:p>
        </w:tc>
        <w:tc>
          <w:tcPr>
            <w:tcW w:w="4930" w:type="dxa"/>
          </w:tcPr>
          <w:p w14:paraId="4449CCE8">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0.88 </w:t>
            </w:r>
            <w:r>
              <w:rPr>
                <w:rFonts w:ascii="Arial" w:hAnsi="Arial" w:eastAsia="SimSun" w:cs="Arial"/>
                <w:sz w:val="20"/>
                <w:szCs w:val="20"/>
              </w:rPr>
              <w:t>±</w:t>
            </w:r>
            <w:r>
              <w:rPr>
                <w:rFonts w:ascii="Arial" w:hAnsi="Arial" w:eastAsia="SimSun" w:cs="Arial"/>
                <w:sz w:val="20"/>
                <w:szCs w:val="20"/>
                <w:lang w:val="en-GB"/>
              </w:rPr>
              <w:t xml:space="preserve"> 0.02</w:t>
            </w:r>
            <w:r>
              <w:rPr>
                <w:rFonts w:ascii="Arial" w:hAnsi="Arial" w:eastAsia="SimSun" w:cs="Arial"/>
                <w:sz w:val="20"/>
                <w:szCs w:val="20"/>
                <w:vertAlign w:val="superscript"/>
                <w:lang w:val="en-GB"/>
              </w:rPr>
              <w:t>b</w:t>
            </w:r>
          </w:p>
        </w:tc>
      </w:tr>
      <w:tr w14:paraId="406142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71DDAA28">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T2</w:t>
            </w:r>
          </w:p>
        </w:tc>
        <w:tc>
          <w:tcPr>
            <w:tcW w:w="4930" w:type="dxa"/>
          </w:tcPr>
          <w:p w14:paraId="06248F03">
            <w:pPr>
              <w:pStyle w:val="6"/>
              <w:widowControl w:val="0"/>
              <w:ind w:left="0" w:right="568"/>
              <w:jc w:val="center"/>
              <w:rPr>
                <w:rFonts w:ascii="Arial" w:hAnsi="Arial" w:eastAsia="Calibri" w:cs="Arial"/>
                <w:sz w:val="20"/>
                <w:szCs w:val="20"/>
                <w:vertAlign w:val="superscript"/>
                <w:lang w:val="en-GB"/>
              </w:rPr>
            </w:pPr>
            <w:r>
              <w:rPr>
                <w:rFonts w:ascii="Arial" w:hAnsi="Arial" w:eastAsia="SimSun" w:cs="Arial"/>
                <w:sz w:val="20"/>
                <w:szCs w:val="20"/>
                <w:lang w:val="en-GB"/>
              </w:rPr>
              <w:t xml:space="preserve">0.83 </w:t>
            </w:r>
            <w:r>
              <w:rPr>
                <w:rFonts w:ascii="Arial" w:hAnsi="Arial" w:eastAsia="SimSun" w:cs="Arial"/>
                <w:sz w:val="20"/>
                <w:szCs w:val="20"/>
              </w:rPr>
              <w:t>±</w:t>
            </w:r>
            <w:r>
              <w:rPr>
                <w:rFonts w:ascii="Arial" w:hAnsi="Arial" w:eastAsia="SimSun" w:cs="Arial"/>
                <w:sz w:val="20"/>
                <w:szCs w:val="20"/>
                <w:lang w:val="en-GB"/>
              </w:rPr>
              <w:t xml:space="preserve"> 0.03</w:t>
            </w:r>
            <w:r>
              <w:rPr>
                <w:rFonts w:ascii="Arial" w:hAnsi="Arial" w:eastAsia="SimSun" w:cs="Arial"/>
                <w:sz w:val="20"/>
                <w:szCs w:val="20"/>
                <w:vertAlign w:val="superscript"/>
                <w:lang w:val="en-GB"/>
              </w:rPr>
              <w:t>a</w:t>
            </w:r>
          </w:p>
        </w:tc>
      </w:tr>
      <w:tr w14:paraId="6CB69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08" w:type="dxa"/>
          </w:tcPr>
          <w:p w14:paraId="0786BE35">
            <w:pPr>
              <w:pStyle w:val="6"/>
              <w:widowControl w:val="0"/>
              <w:ind w:left="0" w:right="568"/>
              <w:jc w:val="center"/>
              <w:rPr>
                <w:rFonts w:ascii="Arial" w:hAnsi="Arial" w:eastAsia="Calibri" w:cs="Arial"/>
                <w:sz w:val="20"/>
                <w:szCs w:val="20"/>
                <w:lang w:val="en-GB"/>
              </w:rPr>
            </w:pPr>
            <w:r>
              <w:rPr>
                <w:rFonts w:ascii="Arial" w:hAnsi="Arial" w:eastAsia="Calibri" w:cs="Arial"/>
                <w:sz w:val="20"/>
                <w:szCs w:val="20"/>
                <w:lang w:val="en-GB"/>
              </w:rPr>
              <w:t>T3</w:t>
            </w:r>
          </w:p>
        </w:tc>
        <w:tc>
          <w:tcPr>
            <w:tcW w:w="4930" w:type="dxa"/>
          </w:tcPr>
          <w:p w14:paraId="5D26EAA4">
            <w:pPr>
              <w:pStyle w:val="6"/>
              <w:widowControl w:val="0"/>
              <w:ind w:left="0" w:right="568"/>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0.84 </w:t>
            </w:r>
            <w:r>
              <w:rPr>
                <w:rFonts w:ascii="Arial" w:hAnsi="Arial" w:eastAsia="SimSun" w:cs="Arial"/>
                <w:sz w:val="20"/>
                <w:szCs w:val="20"/>
              </w:rPr>
              <w:t>±</w:t>
            </w:r>
            <w:r>
              <w:rPr>
                <w:rFonts w:ascii="Arial" w:hAnsi="Arial" w:eastAsia="SimSun" w:cs="Arial"/>
                <w:sz w:val="20"/>
                <w:szCs w:val="20"/>
                <w:lang w:val="en-GB"/>
              </w:rPr>
              <w:t xml:space="preserve"> 0.01</w:t>
            </w:r>
            <w:r>
              <w:rPr>
                <w:rFonts w:ascii="Arial" w:hAnsi="Arial" w:eastAsia="SimSun" w:cs="Arial"/>
                <w:sz w:val="20"/>
                <w:szCs w:val="20"/>
                <w:vertAlign w:val="superscript"/>
                <w:lang w:val="en-GB"/>
              </w:rPr>
              <w:t>a</w:t>
            </w:r>
          </w:p>
        </w:tc>
      </w:tr>
    </w:tbl>
    <w:p w14:paraId="0CB3262A">
      <w:pPr>
        <w:tabs>
          <w:tab w:val="left" w:pos="400"/>
        </w:tabs>
        <w:jc w:val="both"/>
        <w:rPr>
          <w:rFonts w:ascii="Arial" w:hAnsi="Arial" w:cs="Arial"/>
          <w:lang w:val="en-GB"/>
        </w:rPr>
      </w:pPr>
    </w:p>
    <w:p w14:paraId="7C0AD64C">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Based on Table 3, it is known that the higher the addition of moringa leaf powder, the lower the aw value in the chicken dendeng. </w:t>
      </w:r>
      <w:r>
        <w:rPr>
          <w:rFonts w:hint="default" w:ascii="Arial" w:hAnsi="Arial" w:cs="Arial"/>
          <w:lang w:val="en-GB"/>
        </w:rPr>
        <w:t>Although the total moisture cintetn decreased, the increase in water activity may be attributed to the reduction of bound water and structural modifications within the chicken meat matrix during processing, resulting in a higher proportion of free water available</w:t>
      </w:r>
      <w:r>
        <w:rPr>
          <w:rFonts w:ascii="Arial" w:hAnsi="Arial" w:cs="Arial"/>
          <w:lang w:val="en-GB"/>
        </w:rPr>
        <w:t>. High aw generally deteriorates quickly, either due to microbial growth or enzymatic reactions. Based on Laura statement (2016), food ingredients with low aw tend to bind water, while food ingredients with higher aw tend to release water. Moringa leaf powder have hygroscopic properties that can absorb moisture from the air, thereby reducing water activity in the chicken dendeng. This can help maintain the quality and consistency of chicken dendeng by reducing the possibility of microorganism growth associated with high water activity. According to Dennis et al. (2022), sugar can inhibit the growth of plasmolysis of microbial cells by reducing the water content to a minimum so that there is no water available for microbial activity. When sugar with a high concentration (40%) is added to food, it can inhibit microbial growth and reduce aw.</w:t>
      </w:r>
    </w:p>
    <w:p w14:paraId="53F688F5">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According to Sni No. 01-6366-2000, aw in meat ranges from 0.4 to 0.9. If the material (dendeng) has an aw that is not too high or too low, between 0.5 and 0.9, then the dendeng material can last longer during storage. A higher aw tends to cause the proliferation of microorganisms such as pathogenic bacteria, which can grow at aw&gt;0.85, while fungi grow well at aw&gt;0.6 (Kumar et al., 2020). </w:t>
      </w:r>
    </w:p>
    <w:p w14:paraId="24012D6A">
      <w:pPr>
        <w:tabs>
          <w:tab w:val="left" w:pos="400"/>
        </w:tabs>
        <w:jc w:val="both"/>
        <w:rPr>
          <w:rFonts w:ascii="Arial" w:hAnsi="Arial" w:cs="Arial"/>
          <w:lang w:val="en-GB"/>
        </w:rPr>
      </w:pPr>
    </w:p>
    <w:p w14:paraId="0B24E2A2">
      <w:pPr>
        <w:numPr>
          <w:ilvl w:val="0"/>
          <w:numId w:val="4"/>
        </w:numPr>
        <w:tabs>
          <w:tab w:val="left" w:pos="400"/>
          <w:tab w:val="clear" w:pos="845"/>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Sensory Evaluation of Fermented Free-Range Chicken Dendeng</w:t>
      </w:r>
    </w:p>
    <w:p w14:paraId="5EB6BFD8">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results of the analysis of variance showed no significant effect (p&gt;0.05) on aroma and color </w:t>
      </w:r>
      <w:r>
        <w:rPr>
          <w:rFonts w:hint="default" w:ascii="Arial" w:hAnsi="Arial" w:cs="Arial"/>
          <w:lang w:val="en-GB"/>
        </w:rPr>
        <w:t>but</w:t>
      </w:r>
      <w:r>
        <w:rPr>
          <w:rFonts w:ascii="Arial" w:hAnsi="Arial" w:cs="Arial"/>
          <w:lang w:val="en-GB"/>
        </w:rPr>
        <w:t xml:space="preserve"> showed a very significant effect (p&lt;0.01) on texture and taste. The average sensory evaluation of fermented free-range chicken dendeng is presented in Table 4.</w:t>
      </w:r>
    </w:p>
    <w:p w14:paraId="58518892">
      <w:pPr>
        <w:tabs>
          <w:tab w:val="left" w:pos="400"/>
        </w:tabs>
        <w:jc w:val="both"/>
        <w:rPr>
          <w:rFonts w:ascii="Arial" w:hAnsi="Arial" w:cs="Arial"/>
          <w:lang w:val="en-GB"/>
        </w:rPr>
      </w:pPr>
    </w:p>
    <w:p w14:paraId="7DE0499D">
      <w:pPr>
        <w:tabs>
          <w:tab w:val="left" w:pos="400"/>
        </w:tabs>
        <w:jc w:val="both"/>
        <w:rPr>
          <w:rFonts w:ascii="Arial" w:hAnsi="Arial" w:cs="Arial"/>
          <w:lang w:val="en-GB"/>
        </w:rPr>
      </w:pPr>
      <w:r>
        <w:rPr>
          <w:rFonts w:ascii="Arial" w:hAnsi="Arial" w:cs="Arial"/>
          <w:lang w:val="en-GB"/>
        </w:rPr>
        <w:t>Table 4. Sensory Evaluation of Fermented Free-Range Chicken Dendeng</w:t>
      </w:r>
    </w:p>
    <w:tbl>
      <w:tblPr>
        <w:tblStyle w:val="18"/>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80"/>
        <w:gridCol w:w="1686"/>
        <w:gridCol w:w="1676"/>
        <w:gridCol w:w="1673"/>
      </w:tblGrid>
      <w:tr w14:paraId="1F6E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Borders>
              <w:top w:val="single" w:color="auto" w:sz="4" w:space="0"/>
              <w:left w:val="nil"/>
              <w:bottom w:val="single" w:color="auto" w:sz="4" w:space="0"/>
              <w:right w:val="nil"/>
            </w:tcBorders>
          </w:tcPr>
          <w:p w14:paraId="408CAC9E">
            <w:pPr>
              <w:pStyle w:val="6"/>
              <w:widowControl w:val="0"/>
              <w:ind w:left="-2"/>
              <w:jc w:val="center"/>
              <w:rPr>
                <w:rFonts w:ascii="Arial" w:hAnsi="Arial" w:eastAsia="Calibri" w:cs="Arial"/>
                <w:sz w:val="20"/>
                <w:szCs w:val="20"/>
                <w:lang w:val="en-GB"/>
              </w:rPr>
            </w:pPr>
            <w:r>
              <w:rPr>
                <w:rFonts w:ascii="Arial" w:hAnsi="Arial" w:eastAsia="Calibri" w:cs="Arial"/>
                <w:sz w:val="20"/>
                <w:szCs w:val="20"/>
                <w:lang w:val="en-GB"/>
              </w:rPr>
              <w:t>Treatment</w:t>
            </w:r>
          </w:p>
        </w:tc>
        <w:tc>
          <w:tcPr>
            <w:tcW w:w="1745" w:type="dxa"/>
            <w:tcBorders>
              <w:top w:val="single" w:color="auto" w:sz="4" w:space="0"/>
              <w:left w:val="nil"/>
              <w:bottom w:val="single" w:color="auto" w:sz="4" w:space="0"/>
              <w:right w:val="nil"/>
            </w:tcBorders>
          </w:tcPr>
          <w:p w14:paraId="3CC02FE7">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Aroma </w:t>
            </w:r>
            <w:r>
              <w:rPr>
                <w:rFonts w:ascii="Arial" w:hAnsi="Arial" w:eastAsia="SimSun" w:cs="Arial"/>
                <w:sz w:val="20"/>
                <w:szCs w:val="20"/>
              </w:rPr>
              <w:t>±</w:t>
            </w:r>
            <w:r>
              <w:rPr>
                <w:rFonts w:ascii="Arial" w:hAnsi="Arial" w:eastAsia="SimSun" w:cs="Arial"/>
                <w:sz w:val="20"/>
                <w:szCs w:val="20"/>
                <w:lang w:val="en-GB"/>
              </w:rPr>
              <w:t xml:space="preserve"> SD</w:t>
            </w:r>
          </w:p>
        </w:tc>
        <w:tc>
          <w:tcPr>
            <w:tcW w:w="1745" w:type="dxa"/>
            <w:tcBorders>
              <w:top w:val="single" w:color="auto" w:sz="4" w:space="0"/>
              <w:left w:val="nil"/>
              <w:bottom w:val="single" w:color="auto" w:sz="4" w:space="0"/>
              <w:right w:val="nil"/>
            </w:tcBorders>
          </w:tcPr>
          <w:p w14:paraId="6EFACAD5">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Texture </w:t>
            </w:r>
            <w:r>
              <w:rPr>
                <w:rFonts w:ascii="Arial" w:hAnsi="Arial" w:eastAsia="SimSun" w:cs="Arial"/>
                <w:sz w:val="20"/>
                <w:szCs w:val="20"/>
              </w:rPr>
              <w:t>±</w:t>
            </w:r>
            <w:r>
              <w:rPr>
                <w:rFonts w:ascii="Arial" w:hAnsi="Arial" w:eastAsia="SimSun" w:cs="Arial"/>
                <w:sz w:val="20"/>
                <w:szCs w:val="20"/>
                <w:lang w:val="en-GB"/>
              </w:rPr>
              <w:t xml:space="preserve"> SD</w:t>
            </w:r>
          </w:p>
        </w:tc>
        <w:tc>
          <w:tcPr>
            <w:tcW w:w="1745" w:type="dxa"/>
            <w:tcBorders>
              <w:top w:val="single" w:color="auto" w:sz="4" w:space="0"/>
              <w:left w:val="nil"/>
              <w:bottom w:val="single" w:color="auto" w:sz="4" w:space="0"/>
              <w:right w:val="nil"/>
            </w:tcBorders>
          </w:tcPr>
          <w:p w14:paraId="289C7143">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Taste </w:t>
            </w:r>
            <w:r>
              <w:rPr>
                <w:rFonts w:ascii="Arial" w:hAnsi="Arial" w:eastAsia="SimSun" w:cs="Arial"/>
                <w:sz w:val="20"/>
                <w:szCs w:val="20"/>
              </w:rPr>
              <w:t>±</w:t>
            </w:r>
            <w:r>
              <w:rPr>
                <w:rFonts w:ascii="Arial" w:hAnsi="Arial" w:eastAsia="SimSun" w:cs="Arial"/>
                <w:sz w:val="20"/>
                <w:szCs w:val="20"/>
                <w:lang w:val="en-GB"/>
              </w:rPr>
              <w:t xml:space="preserve"> SD</w:t>
            </w:r>
          </w:p>
        </w:tc>
        <w:tc>
          <w:tcPr>
            <w:tcW w:w="1745" w:type="dxa"/>
            <w:tcBorders>
              <w:top w:val="single" w:color="auto" w:sz="4" w:space="0"/>
              <w:left w:val="nil"/>
              <w:bottom w:val="single" w:color="auto" w:sz="4" w:space="0"/>
              <w:right w:val="nil"/>
            </w:tcBorders>
          </w:tcPr>
          <w:p w14:paraId="5FC85751">
            <w:pPr>
              <w:pStyle w:val="6"/>
              <w:widowControl w:val="0"/>
              <w:ind w:left="0"/>
              <w:jc w:val="center"/>
              <w:rPr>
                <w:rFonts w:ascii="Arial" w:hAnsi="Arial" w:eastAsia="Calibri" w:cs="Arial"/>
                <w:sz w:val="20"/>
                <w:szCs w:val="20"/>
                <w:lang w:val="en-GB"/>
              </w:rPr>
            </w:pPr>
            <w:r>
              <w:rPr>
                <w:rFonts w:ascii="Arial" w:hAnsi="Arial" w:eastAsia="SimSun" w:cs="Arial"/>
                <w:sz w:val="20"/>
                <w:szCs w:val="20"/>
                <w:lang w:val="en-GB"/>
              </w:rPr>
              <w:t xml:space="preserve">Color </w:t>
            </w:r>
            <w:r>
              <w:rPr>
                <w:rFonts w:ascii="Arial" w:hAnsi="Arial" w:eastAsia="SimSun" w:cs="Arial"/>
                <w:sz w:val="20"/>
                <w:szCs w:val="20"/>
              </w:rPr>
              <w:t>±</w:t>
            </w:r>
            <w:r>
              <w:rPr>
                <w:rFonts w:ascii="Arial" w:hAnsi="Arial" w:eastAsia="SimSun" w:cs="Arial"/>
                <w:sz w:val="20"/>
                <w:szCs w:val="20"/>
                <w:lang w:val="en-GB"/>
              </w:rPr>
              <w:t xml:space="preserve"> SD</w:t>
            </w:r>
          </w:p>
        </w:tc>
      </w:tr>
      <w:tr w14:paraId="0B99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Borders>
              <w:top w:val="single" w:color="auto" w:sz="4" w:space="0"/>
              <w:left w:val="nil"/>
              <w:bottom w:val="nil"/>
              <w:right w:val="nil"/>
            </w:tcBorders>
          </w:tcPr>
          <w:p w14:paraId="686A7C21">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T0</w:t>
            </w:r>
          </w:p>
        </w:tc>
        <w:tc>
          <w:tcPr>
            <w:tcW w:w="1745" w:type="dxa"/>
            <w:tcBorders>
              <w:top w:val="single" w:color="auto" w:sz="4" w:space="0"/>
              <w:left w:val="nil"/>
              <w:bottom w:val="nil"/>
              <w:right w:val="nil"/>
            </w:tcBorders>
          </w:tcPr>
          <w:p w14:paraId="4D78F13E">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2.84 </w:t>
            </w:r>
            <w:r>
              <w:rPr>
                <w:rFonts w:ascii="Arial" w:hAnsi="Arial" w:eastAsia="SimSun" w:cs="Arial"/>
                <w:sz w:val="20"/>
                <w:szCs w:val="20"/>
              </w:rPr>
              <w:t>±</w:t>
            </w:r>
            <w:r>
              <w:rPr>
                <w:rFonts w:ascii="Arial" w:hAnsi="Arial" w:eastAsia="SimSun" w:cs="Arial"/>
                <w:sz w:val="20"/>
                <w:szCs w:val="20"/>
                <w:lang w:val="en-GB"/>
              </w:rPr>
              <w:t xml:space="preserve"> 7.39</w:t>
            </w:r>
          </w:p>
        </w:tc>
        <w:tc>
          <w:tcPr>
            <w:tcW w:w="1745" w:type="dxa"/>
            <w:tcBorders>
              <w:top w:val="single" w:color="auto" w:sz="4" w:space="0"/>
              <w:left w:val="nil"/>
              <w:bottom w:val="nil"/>
              <w:right w:val="nil"/>
            </w:tcBorders>
          </w:tcPr>
          <w:p w14:paraId="27E132FC">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3.48 </w:t>
            </w:r>
            <w:r>
              <w:rPr>
                <w:rFonts w:ascii="Arial" w:hAnsi="Arial" w:eastAsia="SimSun" w:cs="Arial"/>
                <w:sz w:val="20"/>
                <w:szCs w:val="20"/>
              </w:rPr>
              <w:t>±</w:t>
            </w:r>
            <w:r>
              <w:rPr>
                <w:rFonts w:ascii="Arial" w:hAnsi="Arial" w:eastAsia="SimSun" w:cs="Arial"/>
                <w:sz w:val="20"/>
                <w:szCs w:val="20"/>
                <w:lang w:val="en-GB"/>
              </w:rPr>
              <w:t xml:space="preserve"> 8.81</w:t>
            </w:r>
            <w:r>
              <w:rPr>
                <w:rFonts w:ascii="Arial" w:hAnsi="Arial" w:eastAsia="SimSun" w:cs="Arial"/>
                <w:sz w:val="20"/>
                <w:szCs w:val="20"/>
                <w:vertAlign w:val="superscript"/>
                <w:lang w:val="en-GB"/>
              </w:rPr>
              <w:t>b</w:t>
            </w:r>
          </w:p>
        </w:tc>
        <w:tc>
          <w:tcPr>
            <w:tcW w:w="1745" w:type="dxa"/>
            <w:tcBorders>
              <w:top w:val="single" w:color="auto" w:sz="4" w:space="0"/>
              <w:left w:val="nil"/>
              <w:bottom w:val="nil"/>
              <w:right w:val="nil"/>
            </w:tcBorders>
          </w:tcPr>
          <w:p w14:paraId="0A6B2CAF">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3.62 </w:t>
            </w:r>
            <w:r>
              <w:rPr>
                <w:rFonts w:ascii="Arial" w:hAnsi="Arial" w:eastAsia="SimSun" w:cs="Arial"/>
                <w:sz w:val="20"/>
                <w:szCs w:val="20"/>
              </w:rPr>
              <w:t>±</w:t>
            </w:r>
            <w:r>
              <w:rPr>
                <w:rFonts w:ascii="Arial" w:hAnsi="Arial" w:eastAsia="SimSun" w:cs="Arial"/>
                <w:sz w:val="20"/>
                <w:szCs w:val="20"/>
                <w:lang w:val="en-GB"/>
              </w:rPr>
              <w:t xml:space="preserve"> 7.33</w:t>
            </w:r>
            <w:r>
              <w:rPr>
                <w:rFonts w:ascii="Arial" w:hAnsi="Arial" w:eastAsia="SimSun" w:cs="Arial"/>
                <w:sz w:val="20"/>
                <w:szCs w:val="20"/>
                <w:vertAlign w:val="superscript"/>
                <w:lang w:val="en-GB"/>
              </w:rPr>
              <w:t>d</w:t>
            </w:r>
          </w:p>
        </w:tc>
        <w:tc>
          <w:tcPr>
            <w:tcW w:w="1745" w:type="dxa"/>
            <w:tcBorders>
              <w:top w:val="single" w:color="auto" w:sz="4" w:space="0"/>
              <w:left w:val="nil"/>
              <w:bottom w:val="nil"/>
              <w:right w:val="nil"/>
            </w:tcBorders>
          </w:tcPr>
          <w:p w14:paraId="47D9FA7A">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2.88 </w:t>
            </w:r>
            <w:r>
              <w:rPr>
                <w:rFonts w:ascii="Arial" w:hAnsi="Arial" w:eastAsia="SimSun" w:cs="Arial"/>
                <w:sz w:val="20"/>
                <w:szCs w:val="20"/>
              </w:rPr>
              <w:t>±</w:t>
            </w:r>
            <w:r>
              <w:rPr>
                <w:rFonts w:ascii="Arial" w:hAnsi="Arial" w:eastAsia="SimSun" w:cs="Arial"/>
                <w:sz w:val="20"/>
                <w:szCs w:val="20"/>
                <w:lang w:val="en-GB"/>
              </w:rPr>
              <w:t xml:space="preserve"> 9.22</w:t>
            </w:r>
          </w:p>
        </w:tc>
      </w:tr>
      <w:tr w14:paraId="6493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Borders>
              <w:top w:val="nil"/>
              <w:left w:val="nil"/>
              <w:bottom w:val="nil"/>
              <w:right w:val="nil"/>
            </w:tcBorders>
          </w:tcPr>
          <w:p w14:paraId="3836E58A">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T1</w:t>
            </w:r>
          </w:p>
        </w:tc>
        <w:tc>
          <w:tcPr>
            <w:tcW w:w="1745" w:type="dxa"/>
            <w:tcBorders>
              <w:top w:val="nil"/>
              <w:left w:val="nil"/>
              <w:bottom w:val="nil"/>
              <w:right w:val="nil"/>
            </w:tcBorders>
          </w:tcPr>
          <w:p w14:paraId="5E36790A">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2.66 </w:t>
            </w:r>
            <w:r>
              <w:rPr>
                <w:rFonts w:ascii="Arial" w:hAnsi="Arial" w:eastAsia="SimSun" w:cs="Arial"/>
                <w:sz w:val="20"/>
                <w:szCs w:val="20"/>
              </w:rPr>
              <w:t>±</w:t>
            </w:r>
            <w:r>
              <w:rPr>
                <w:rFonts w:ascii="Arial" w:hAnsi="Arial" w:eastAsia="SimSun" w:cs="Arial"/>
                <w:sz w:val="20"/>
                <w:szCs w:val="20"/>
                <w:lang w:val="en-GB"/>
              </w:rPr>
              <w:t xml:space="preserve"> 12.37</w:t>
            </w:r>
          </w:p>
        </w:tc>
        <w:tc>
          <w:tcPr>
            <w:tcW w:w="1745" w:type="dxa"/>
            <w:tcBorders>
              <w:top w:val="nil"/>
              <w:left w:val="nil"/>
              <w:bottom w:val="nil"/>
              <w:right w:val="nil"/>
            </w:tcBorders>
          </w:tcPr>
          <w:p w14:paraId="04D9D70D">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3.44 </w:t>
            </w:r>
            <w:r>
              <w:rPr>
                <w:rFonts w:ascii="Arial" w:hAnsi="Arial" w:eastAsia="SimSun" w:cs="Arial"/>
                <w:sz w:val="20"/>
                <w:szCs w:val="20"/>
              </w:rPr>
              <w:t>±</w:t>
            </w:r>
            <w:r>
              <w:rPr>
                <w:rFonts w:ascii="Arial" w:hAnsi="Arial" w:eastAsia="SimSun" w:cs="Arial"/>
                <w:sz w:val="20"/>
                <w:szCs w:val="20"/>
                <w:lang w:val="en-GB"/>
              </w:rPr>
              <w:t xml:space="preserve"> 3.30</w:t>
            </w:r>
            <w:r>
              <w:rPr>
                <w:rFonts w:ascii="Arial" w:hAnsi="Arial" w:eastAsia="SimSun" w:cs="Arial"/>
                <w:sz w:val="20"/>
                <w:szCs w:val="20"/>
                <w:vertAlign w:val="superscript"/>
                <w:lang w:val="en-GB"/>
              </w:rPr>
              <w:t>a</w:t>
            </w:r>
          </w:p>
        </w:tc>
        <w:tc>
          <w:tcPr>
            <w:tcW w:w="1745" w:type="dxa"/>
            <w:tcBorders>
              <w:top w:val="nil"/>
              <w:left w:val="nil"/>
              <w:bottom w:val="nil"/>
              <w:right w:val="nil"/>
            </w:tcBorders>
          </w:tcPr>
          <w:p w14:paraId="3BBB170D">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3.07 </w:t>
            </w:r>
            <w:r>
              <w:rPr>
                <w:rFonts w:ascii="Arial" w:hAnsi="Arial" w:eastAsia="SimSun" w:cs="Arial"/>
                <w:sz w:val="20"/>
                <w:szCs w:val="20"/>
              </w:rPr>
              <w:t>±</w:t>
            </w:r>
            <w:r>
              <w:rPr>
                <w:rFonts w:ascii="Arial" w:hAnsi="Arial" w:eastAsia="SimSun" w:cs="Arial"/>
                <w:sz w:val="20"/>
                <w:szCs w:val="20"/>
                <w:lang w:val="en-GB"/>
              </w:rPr>
              <w:t xml:space="preserve"> 4.97</w:t>
            </w:r>
            <w:r>
              <w:rPr>
                <w:rFonts w:ascii="Arial" w:hAnsi="Arial" w:eastAsia="SimSun" w:cs="Arial"/>
                <w:sz w:val="20"/>
                <w:szCs w:val="20"/>
                <w:vertAlign w:val="superscript"/>
                <w:lang w:val="en-GB"/>
              </w:rPr>
              <w:t>ab</w:t>
            </w:r>
          </w:p>
        </w:tc>
        <w:tc>
          <w:tcPr>
            <w:tcW w:w="1745" w:type="dxa"/>
            <w:tcBorders>
              <w:top w:val="nil"/>
              <w:left w:val="nil"/>
              <w:bottom w:val="nil"/>
              <w:right w:val="nil"/>
            </w:tcBorders>
          </w:tcPr>
          <w:p w14:paraId="7B887618">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4.04 </w:t>
            </w:r>
            <w:r>
              <w:rPr>
                <w:rFonts w:ascii="Arial" w:hAnsi="Arial" w:eastAsia="SimSun" w:cs="Arial"/>
                <w:sz w:val="20"/>
                <w:szCs w:val="20"/>
              </w:rPr>
              <w:t>±</w:t>
            </w:r>
            <w:r>
              <w:rPr>
                <w:rFonts w:ascii="Arial" w:hAnsi="Arial" w:eastAsia="SimSun" w:cs="Arial"/>
                <w:sz w:val="20"/>
                <w:szCs w:val="20"/>
                <w:lang w:val="en-GB"/>
              </w:rPr>
              <w:t xml:space="preserve"> 6.95</w:t>
            </w:r>
          </w:p>
        </w:tc>
      </w:tr>
      <w:tr w14:paraId="1A9D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Borders>
              <w:top w:val="nil"/>
              <w:left w:val="nil"/>
              <w:bottom w:val="nil"/>
              <w:right w:val="nil"/>
            </w:tcBorders>
          </w:tcPr>
          <w:p w14:paraId="23FE5645">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T2</w:t>
            </w:r>
          </w:p>
        </w:tc>
        <w:tc>
          <w:tcPr>
            <w:tcW w:w="1745" w:type="dxa"/>
            <w:tcBorders>
              <w:top w:val="nil"/>
              <w:left w:val="nil"/>
              <w:bottom w:val="nil"/>
              <w:right w:val="nil"/>
            </w:tcBorders>
          </w:tcPr>
          <w:p w14:paraId="40A31FCC">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2.78 </w:t>
            </w:r>
            <w:r>
              <w:rPr>
                <w:rFonts w:ascii="Arial" w:hAnsi="Arial" w:eastAsia="SimSun" w:cs="Arial"/>
                <w:sz w:val="20"/>
                <w:szCs w:val="20"/>
              </w:rPr>
              <w:t>±</w:t>
            </w:r>
            <w:r>
              <w:rPr>
                <w:rFonts w:ascii="Arial" w:hAnsi="Arial" w:eastAsia="SimSun" w:cs="Arial"/>
                <w:sz w:val="20"/>
                <w:szCs w:val="20"/>
                <w:lang w:val="en-GB"/>
              </w:rPr>
              <w:t xml:space="preserve"> 11.00</w:t>
            </w:r>
          </w:p>
        </w:tc>
        <w:tc>
          <w:tcPr>
            <w:tcW w:w="1745" w:type="dxa"/>
            <w:tcBorders>
              <w:top w:val="nil"/>
              <w:left w:val="nil"/>
              <w:bottom w:val="nil"/>
              <w:right w:val="nil"/>
            </w:tcBorders>
          </w:tcPr>
          <w:p w14:paraId="7AE04A53">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3.37 </w:t>
            </w:r>
            <w:r>
              <w:rPr>
                <w:rFonts w:ascii="Arial" w:hAnsi="Arial" w:eastAsia="SimSun" w:cs="Arial"/>
                <w:sz w:val="20"/>
                <w:szCs w:val="20"/>
              </w:rPr>
              <w:t>±</w:t>
            </w:r>
            <w:r>
              <w:rPr>
                <w:rFonts w:ascii="Arial" w:hAnsi="Arial" w:eastAsia="SimSun" w:cs="Arial"/>
                <w:sz w:val="20"/>
                <w:szCs w:val="20"/>
                <w:lang w:val="en-GB"/>
              </w:rPr>
              <w:t xml:space="preserve"> 3.74</w:t>
            </w:r>
            <w:r>
              <w:rPr>
                <w:rFonts w:ascii="Arial" w:hAnsi="Arial" w:eastAsia="SimSun" w:cs="Arial"/>
                <w:sz w:val="20"/>
                <w:szCs w:val="20"/>
                <w:vertAlign w:val="superscript"/>
                <w:lang w:val="en-GB"/>
              </w:rPr>
              <w:t>a</w:t>
            </w:r>
          </w:p>
        </w:tc>
        <w:tc>
          <w:tcPr>
            <w:tcW w:w="1745" w:type="dxa"/>
            <w:tcBorders>
              <w:top w:val="nil"/>
              <w:left w:val="nil"/>
              <w:bottom w:val="nil"/>
              <w:right w:val="nil"/>
            </w:tcBorders>
          </w:tcPr>
          <w:p w14:paraId="79C6DBCA">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3.15 </w:t>
            </w:r>
            <w:r>
              <w:rPr>
                <w:rFonts w:ascii="Arial" w:hAnsi="Arial" w:eastAsia="SimSun" w:cs="Arial"/>
                <w:sz w:val="20"/>
                <w:szCs w:val="20"/>
              </w:rPr>
              <w:t>±</w:t>
            </w:r>
            <w:r>
              <w:rPr>
                <w:rFonts w:ascii="Arial" w:hAnsi="Arial" w:eastAsia="SimSun" w:cs="Arial"/>
                <w:sz w:val="20"/>
                <w:szCs w:val="20"/>
                <w:lang w:val="en-GB"/>
              </w:rPr>
              <w:t xml:space="preserve"> 9.81</w:t>
            </w:r>
            <w:r>
              <w:rPr>
                <w:rFonts w:ascii="Arial" w:hAnsi="Arial" w:eastAsia="SimSun" w:cs="Arial"/>
                <w:sz w:val="20"/>
                <w:szCs w:val="20"/>
                <w:vertAlign w:val="superscript"/>
                <w:lang w:val="en-GB"/>
              </w:rPr>
              <w:t>c</w:t>
            </w:r>
          </w:p>
        </w:tc>
        <w:tc>
          <w:tcPr>
            <w:tcW w:w="1745" w:type="dxa"/>
            <w:tcBorders>
              <w:top w:val="nil"/>
              <w:left w:val="nil"/>
              <w:bottom w:val="nil"/>
              <w:right w:val="nil"/>
            </w:tcBorders>
          </w:tcPr>
          <w:p w14:paraId="6D1DFE82">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3.57 </w:t>
            </w:r>
            <w:r>
              <w:rPr>
                <w:rFonts w:ascii="Arial" w:hAnsi="Arial" w:eastAsia="SimSun" w:cs="Arial"/>
                <w:sz w:val="20"/>
                <w:szCs w:val="20"/>
              </w:rPr>
              <w:t>±</w:t>
            </w:r>
            <w:r>
              <w:rPr>
                <w:rFonts w:ascii="Arial" w:hAnsi="Arial" w:eastAsia="SimSun" w:cs="Arial"/>
                <w:sz w:val="20"/>
                <w:szCs w:val="20"/>
                <w:lang w:val="en-GB"/>
              </w:rPr>
              <w:t xml:space="preserve"> 8.49</w:t>
            </w:r>
          </w:p>
        </w:tc>
      </w:tr>
      <w:tr w14:paraId="39DA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Borders>
              <w:top w:val="nil"/>
              <w:left w:val="nil"/>
              <w:bottom w:val="single" w:color="auto" w:sz="4" w:space="0"/>
              <w:right w:val="nil"/>
            </w:tcBorders>
          </w:tcPr>
          <w:p w14:paraId="7DAC6A63">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T3</w:t>
            </w:r>
          </w:p>
        </w:tc>
        <w:tc>
          <w:tcPr>
            <w:tcW w:w="1745" w:type="dxa"/>
            <w:tcBorders>
              <w:top w:val="nil"/>
              <w:left w:val="nil"/>
              <w:bottom w:val="single" w:color="auto" w:sz="4" w:space="0"/>
              <w:right w:val="nil"/>
            </w:tcBorders>
          </w:tcPr>
          <w:p w14:paraId="2A6CB868">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2.62 </w:t>
            </w:r>
            <w:r>
              <w:rPr>
                <w:rFonts w:ascii="Arial" w:hAnsi="Arial" w:eastAsia="SimSun" w:cs="Arial"/>
                <w:sz w:val="20"/>
                <w:szCs w:val="20"/>
              </w:rPr>
              <w:t>±</w:t>
            </w:r>
            <w:r>
              <w:rPr>
                <w:rFonts w:ascii="Arial" w:hAnsi="Arial" w:eastAsia="SimSun" w:cs="Arial"/>
                <w:sz w:val="20"/>
                <w:szCs w:val="20"/>
                <w:lang w:val="en-GB"/>
              </w:rPr>
              <w:t xml:space="preserve"> 6.45</w:t>
            </w:r>
          </w:p>
        </w:tc>
        <w:tc>
          <w:tcPr>
            <w:tcW w:w="1745" w:type="dxa"/>
            <w:tcBorders>
              <w:top w:val="nil"/>
              <w:left w:val="nil"/>
              <w:bottom w:val="single" w:color="auto" w:sz="4" w:space="0"/>
              <w:right w:val="nil"/>
            </w:tcBorders>
          </w:tcPr>
          <w:p w14:paraId="30C7C91D">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2.88 </w:t>
            </w:r>
            <w:r>
              <w:rPr>
                <w:rFonts w:ascii="Arial" w:hAnsi="Arial" w:eastAsia="SimSun" w:cs="Arial"/>
                <w:sz w:val="20"/>
                <w:szCs w:val="20"/>
              </w:rPr>
              <w:t>±</w:t>
            </w:r>
            <w:r>
              <w:rPr>
                <w:rFonts w:ascii="Arial" w:hAnsi="Arial" w:eastAsia="SimSun" w:cs="Arial"/>
                <w:sz w:val="20"/>
                <w:szCs w:val="20"/>
                <w:lang w:val="en-GB"/>
              </w:rPr>
              <w:t xml:space="preserve"> 11.59</w:t>
            </w:r>
            <w:r>
              <w:rPr>
                <w:rFonts w:ascii="Arial" w:hAnsi="Arial" w:eastAsia="SimSun" w:cs="Arial"/>
                <w:sz w:val="20"/>
                <w:szCs w:val="20"/>
                <w:vertAlign w:val="superscript"/>
                <w:lang w:val="en-GB"/>
              </w:rPr>
              <w:t>a</w:t>
            </w:r>
          </w:p>
        </w:tc>
        <w:tc>
          <w:tcPr>
            <w:tcW w:w="1745" w:type="dxa"/>
            <w:tcBorders>
              <w:top w:val="nil"/>
              <w:left w:val="nil"/>
              <w:bottom w:val="single" w:color="auto" w:sz="4" w:space="0"/>
              <w:right w:val="nil"/>
            </w:tcBorders>
          </w:tcPr>
          <w:p w14:paraId="7D9698D3">
            <w:pPr>
              <w:pStyle w:val="6"/>
              <w:widowControl w:val="0"/>
              <w:ind w:left="0"/>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2.40 </w:t>
            </w:r>
            <w:r>
              <w:rPr>
                <w:rFonts w:ascii="Arial" w:hAnsi="Arial" w:eastAsia="SimSun" w:cs="Arial"/>
                <w:sz w:val="20"/>
                <w:szCs w:val="20"/>
              </w:rPr>
              <w:t>±</w:t>
            </w:r>
            <w:r>
              <w:rPr>
                <w:rFonts w:ascii="Arial" w:hAnsi="Arial" w:eastAsia="SimSun" w:cs="Arial"/>
                <w:sz w:val="20"/>
                <w:szCs w:val="20"/>
                <w:lang w:val="en-GB"/>
              </w:rPr>
              <w:t xml:space="preserve"> 2.94</w:t>
            </w:r>
            <w:r>
              <w:rPr>
                <w:rFonts w:ascii="Arial" w:hAnsi="Arial" w:eastAsia="SimSun" w:cs="Arial"/>
                <w:sz w:val="20"/>
                <w:szCs w:val="20"/>
                <w:vertAlign w:val="superscript"/>
                <w:lang w:val="en-GB"/>
              </w:rPr>
              <w:t>a</w:t>
            </w:r>
          </w:p>
        </w:tc>
        <w:tc>
          <w:tcPr>
            <w:tcW w:w="1745" w:type="dxa"/>
            <w:tcBorders>
              <w:top w:val="nil"/>
              <w:left w:val="nil"/>
              <w:bottom w:val="single" w:color="auto" w:sz="4" w:space="0"/>
              <w:right w:val="nil"/>
            </w:tcBorders>
          </w:tcPr>
          <w:p w14:paraId="302EA4B4">
            <w:pPr>
              <w:pStyle w:val="6"/>
              <w:widowControl w:val="0"/>
              <w:ind w:left="0"/>
              <w:jc w:val="center"/>
              <w:rPr>
                <w:rFonts w:ascii="Arial" w:hAnsi="Arial" w:eastAsia="Calibri" w:cs="Arial"/>
                <w:sz w:val="20"/>
                <w:szCs w:val="20"/>
                <w:lang w:val="en-GB"/>
              </w:rPr>
            </w:pPr>
            <w:r>
              <w:rPr>
                <w:rFonts w:ascii="Arial" w:hAnsi="Arial" w:eastAsia="Calibri" w:cs="Arial"/>
                <w:sz w:val="20"/>
                <w:szCs w:val="20"/>
                <w:lang w:val="en-GB"/>
              </w:rPr>
              <w:t xml:space="preserve">3.08 </w:t>
            </w:r>
            <w:r>
              <w:rPr>
                <w:rFonts w:ascii="Arial" w:hAnsi="Arial" w:eastAsia="SimSun" w:cs="Arial"/>
                <w:sz w:val="20"/>
                <w:szCs w:val="20"/>
              </w:rPr>
              <w:t>±</w:t>
            </w:r>
            <w:r>
              <w:rPr>
                <w:rFonts w:ascii="Arial" w:hAnsi="Arial" w:eastAsia="SimSun" w:cs="Arial"/>
                <w:sz w:val="20"/>
                <w:szCs w:val="20"/>
                <w:lang w:val="en-GB"/>
              </w:rPr>
              <w:t xml:space="preserve"> 8.88</w:t>
            </w:r>
          </w:p>
        </w:tc>
      </w:tr>
    </w:tbl>
    <w:p w14:paraId="34C67ED9">
      <w:pPr>
        <w:tabs>
          <w:tab w:val="left" w:pos="400"/>
        </w:tabs>
        <w:jc w:val="both"/>
        <w:rPr>
          <w:rFonts w:ascii="Arial" w:hAnsi="Arial" w:cs="Arial"/>
          <w:b/>
          <w:bCs/>
          <w:lang w:val="en-GB"/>
        </w:rPr>
      </w:pPr>
    </w:p>
    <w:p w14:paraId="3F3CB528">
      <w:pPr>
        <w:numPr>
          <w:ilvl w:val="0"/>
          <w:numId w:val="5"/>
        </w:numPr>
        <w:tabs>
          <w:tab w:val="left" w:pos="400"/>
          <w:tab w:val="clear" w:pos="845"/>
        </w:tabs>
        <w:ind w:left="600" w:hanging="600"/>
        <w:jc w:val="both"/>
        <w:rPr>
          <w:rFonts w:ascii="Arial" w:hAnsi="Arial" w:cs="Arial"/>
          <w:b/>
          <w:bCs/>
          <w:u w:val="single"/>
          <w:lang w:val="en-GB"/>
        </w:rPr>
      </w:pPr>
      <w:r>
        <w:rPr>
          <w:rFonts w:ascii="Arial" w:hAnsi="Arial" w:cs="Arial"/>
          <w:b/>
          <w:bCs/>
          <w:u w:val="single"/>
          <w:lang w:val="en-GB"/>
        </w:rPr>
        <w:t>Aroma</w:t>
      </w:r>
    </w:p>
    <w:p w14:paraId="15D01CD4">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lower the percentage of moringa leaf powder added, the stronger the aroma of the chicken will be. Conversely, the higher the percentage of moringa leaf powder added, the weaker the aroma of the chicken will be. This can happen because moringa leaf powder have a grassy aroma, so when added in higher percentages, they will overpower the aroma of the chicken dendeng. The highest aroma rating obtained in the control treatment (T0) may be due to the fact that the chicken dendeng has a sufficient meat aroma and spice aroma. The caramelization of palm sugar during cooking can also cause the sugar to turn brown and produce a strong caramel aroma. According to Saraiva et al. (2023), the aroma of palm sugar comes from the Maillard reaction and caramelization during the cooking of palm sugar. This is reinforced by the statement from Sari and Harini (2021), that the maillard reaction is a reaction that occurs when amino acids and reducing sugars are heated together, and the caramelization reaction is a reaction that occurs when sugar is heated in acid or base and heating without water. </w:t>
      </w:r>
    </w:p>
    <w:p w14:paraId="7FB077DA">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Aroma evaluation is highly dependent on the taste panel. Older animal meat has a stronger smell than younger animal meat. The aroma of cooked meat is influenced by the age of the animal, type of feed, species, sex, fat, livestock breed, duration and conditions of meat storage after slaughter, and cooking temperature (Budianto, 2021). According to Hartanto et al. (2015), the aroma of cooked meat is generally specific to the type of livestock, but changes can arise from additives. The aroma and taste of meat are determined by substances or compounds that are soluble in water and fat, as well as the release of essential compounds found in meat. </w:t>
      </w:r>
    </w:p>
    <w:p w14:paraId="788853D5">
      <w:pPr>
        <w:tabs>
          <w:tab w:val="left" w:pos="400"/>
        </w:tabs>
        <w:jc w:val="both"/>
        <w:rPr>
          <w:rFonts w:ascii="Arial" w:hAnsi="Arial" w:cs="Arial"/>
          <w:lang w:val="en-GB"/>
        </w:rPr>
      </w:pPr>
    </w:p>
    <w:p w14:paraId="3B0A725C">
      <w:pPr>
        <w:numPr>
          <w:ilvl w:val="0"/>
          <w:numId w:val="5"/>
        </w:numPr>
        <w:tabs>
          <w:tab w:val="left" w:pos="400"/>
          <w:tab w:val="clear" w:pos="845"/>
        </w:tabs>
        <w:ind w:left="600" w:hanging="600"/>
        <w:jc w:val="both"/>
        <w:rPr>
          <w:rFonts w:ascii="Arial" w:hAnsi="Arial" w:cs="Arial"/>
          <w:b/>
          <w:bCs/>
          <w:u w:val="single"/>
          <w:lang w:val="en-GB"/>
        </w:rPr>
      </w:pPr>
      <w:r>
        <w:rPr>
          <w:rFonts w:ascii="Arial" w:hAnsi="Arial" w:cs="Arial"/>
          <w:b/>
          <w:bCs/>
          <w:u w:val="single"/>
          <w:lang w:val="en-GB"/>
        </w:rPr>
        <w:t>Texture</w:t>
      </w:r>
    </w:p>
    <w:p w14:paraId="0C187E12">
      <w:pPr>
        <w:tabs>
          <w:tab w:val="left" w:pos="400"/>
        </w:tabs>
        <w:jc w:val="both"/>
        <w:rPr>
          <w:rFonts w:ascii="Arial" w:hAnsi="Arial" w:cs="Arial"/>
          <w:lang w:val="en-GB"/>
        </w:rPr>
      </w:pPr>
      <w:r>
        <w:rPr>
          <w:rFonts w:ascii="Arial" w:hAnsi="Arial" w:cs="Arial"/>
          <w:lang w:val="en-GB"/>
        </w:rPr>
        <w:tab/>
      </w:r>
      <w:r>
        <w:rPr>
          <w:rFonts w:ascii="Arial" w:hAnsi="Arial" w:cs="Arial"/>
          <w:lang w:val="en-GB"/>
        </w:rPr>
        <w:t>Texture is an important factor in the selection and consumption of food ingredients. According to Zhou et al. (2020), the texture of a food ingredient determines the factors that influence its acceptance. Based on the sensory evaluation texture test results in Table 4, it can be seen that the higher the percentage of moringa leaf powder added, the lower the texture value of the product. The decrease in texture</w:t>
      </w:r>
      <w:r>
        <w:rPr>
          <w:rFonts w:hint="default" w:ascii="Arial" w:hAnsi="Arial" w:cs="Arial"/>
          <w:lang w:val="en-GB"/>
        </w:rPr>
        <w:t xml:space="preserve"> evaluation</w:t>
      </w:r>
      <w:r>
        <w:rPr>
          <w:rFonts w:ascii="Arial" w:hAnsi="Arial" w:cs="Arial"/>
          <w:lang w:val="en-GB"/>
        </w:rPr>
        <w:t xml:space="preserve"> results is due to the addition of spices in the production of free-range chicken dendeng, which can affect the texture. The sugar content used in the production of dendeng acts as a humectant, lowering aw to inhibit microbial activity, helping to reduce the saltiness produced by salt, giving the product a soft impression, and also affecting the taste and color of the dendeng. According to Siegers et al. (2023), the higher the sugar added to the dendeng, the softer the resulting texture, and conversely, the lower the sugar added to the dendeng, the tougher the resulting dendeng. According to Elmas et al. (2021), proper processing and the addition of ingredients such as salt, sugar, and others affect the texture. The addition of moringa leaf powder in the production of dendeng is one of the efforts to improve the texture of free-range chicken dendeng, namely a tender and juicy texture while increasing the fiber content in dendeng.</w:t>
      </w:r>
    </w:p>
    <w:p w14:paraId="55B0031B">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meat used in this study was free-range chicken meat, which is tougher than broiler chicken meat, giving the product a more pronounced chicken flavor. According to Parana et al. (2024), meat tenderness is a complex quality characteristic influenced by many factors, including biochemical factors before and after slaughter. The texture of processed meat is greatly influenced by the type of meat used, the processing method, and the ingredients added. The texture of chicken dendeng is influenced by its appearance and sensory impression, with tenderness and texture likely being the most important determinants of meat quality. Factors affecting meat tenderness are classified into ante-mortem factors such as genetics, including breed, species, and physiology, age, management, sex, and stress. In addition, there are also postmortem factors, which include chilling methods, refrigeration, aging, and freezing, as well as storage temperature (Mohamed and Sumarmono, 2023). The above factors need to be further researched using other poultry species in order to produce a softer dendeng texture that is more preferred by consumers. </w:t>
      </w:r>
    </w:p>
    <w:p w14:paraId="0162B74B">
      <w:pPr>
        <w:tabs>
          <w:tab w:val="left" w:pos="400"/>
        </w:tabs>
        <w:jc w:val="both"/>
        <w:rPr>
          <w:rFonts w:ascii="Arial" w:hAnsi="Arial" w:cs="Arial"/>
          <w:lang w:val="en-GB"/>
        </w:rPr>
      </w:pPr>
    </w:p>
    <w:p w14:paraId="3E537122">
      <w:pPr>
        <w:numPr>
          <w:ilvl w:val="0"/>
          <w:numId w:val="5"/>
        </w:numPr>
        <w:tabs>
          <w:tab w:val="left" w:pos="400"/>
          <w:tab w:val="clear" w:pos="845"/>
        </w:tabs>
        <w:ind w:left="600" w:hanging="600"/>
        <w:jc w:val="both"/>
        <w:rPr>
          <w:rFonts w:ascii="Arial" w:hAnsi="Arial" w:cs="Arial"/>
          <w:b/>
          <w:bCs/>
          <w:u w:val="single"/>
          <w:lang w:val="en-GB"/>
        </w:rPr>
      </w:pPr>
      <w:r>
        <w:rPr>
          <w:rFonts w:ascii="Arial" w:hAnsi="Arial" w:cs="Arial"/>
          <w:b/>
          <w:bCs/>
          <w:u w:val="single"/>
          <w:lang w:val="en-GB"/>
        </w:rPr>
        <w:t>Taste</w:t>
      </w:r>
    </w:p>
    <w:p w14:paraId="085E46CB">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Based on Table 4, the results of sensory evaluation taste testing showed a downward trend. The average taste score ranged from 2.40 to 3.62, which means that free-range chicken dendeng produced a taste that was quite liked by the panelists. The taste of dendeng is determined by the fat in the meat and the spices used. Different formulations of flavor components and spices produce processed meat products with different flavors (Budianto, 2021). During the seasoning and drying process, flavors are formed that enhance the taste and aroma of dendeng. Free amino acids are one of the components that directly affect the taste of meat products. The decrease in the sensory evaluation taste score was caused by the addition of moringa leaf powder, which was 7.5% higher than the other treatments. Moringa leaf powder have a slightly bitter and sour taste, so the resulting flavor was less preferred by the panelists. The process of making dendeng with the addition of moringa leaf powder aims to preserve it and prevent it from becoming rancid. According to Putri (2024), the composition of binding agents and spices used, such as palm sugar, can make the chicken dendeng taste savory. The savory taste is determined by the presence of glutamate amino acids in proteins, which have the ability to enhance flavor. The heating time also affects the taste of fermented free-range chicken dendeng, as there are changes in the chemical composition during the heating process. </w:t>
      </w:r>
    </w:p>
    <w:p w14:paraId="3F248E93">
      <w:pPr>
        <w:tabs>
          <w:tab w:val="left" w:pos="400"/>
        </w:tabs>
        <w:jc w:val="both"/>
        <w:rPr>
          <w:rFonts w:ascii="Arial" w:hAnsi="Arial" w:cs="Arial"/>
          <w:lang w:val="en-GB"/>
        </w:rPr>
      </w:pPr>
    </w:p>
    <w:p w14:paraId="5A6D28F9">
      <w:pPr>
        <w:numPr>
          <w:ilvl w:val="0"/>
          <w:numId w:val="5"/>
        </w:numPr>
        <w:tabs>
          <w:tab w:val="left" w:pos="400"/>
          <w:tab w:val="clear" w:pos="845"/>
        </w:tabs>
        <w:ind w:left="600" w:hanging="600"/>
        <w:jc w:val="both"/>
        <w:rPr>
          <w:rFonts w:ascii="Arial" w:hAnsi="Arial" w:cs="Arial"/>
          <w:b/>
          <w:bCs/>
          <w:u w:val="single"/>
          <w:lang w:val="en-GB"/>
        </w:rPr>
      </w:pPr>
      <w:r>
        <w:rPr>
          <w:rFonts w:ascii="Arial" w:hAnsi="Arial" w:cs="Arial"/>
          <w:b/>
          <w:bCs/>
          <w:u w:val="single"/>
          <w:lang w:val="en-GB"/>
        </w:rPr>
        <w:t>Color</w:t>
      </w:r>
    </w:p>
    <w:p w14:paraId="43C62A7A">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data and results of the sensory evaluation color quality score analysis of fermented free-range chicken dendeng with the addition of moringa leaf powder at different percentages can be seen in Table 4. The sensory evaluation color score for fermented free-range chicken dendeng in the control treatment, without the addition of moringa leaf powder (T0), had the lowest score. This is because fermented free-range chicken dendeng without the addition of moringa leaf powder tends to have a paler or less brown color because it is made from free-range chicken meat, which tends to be white in color, making the dendeng product less appealing. The treatment (T1) resulted in a blackish-brown color and a slightly strong meat aroma. The treatment results (T2) decreased due to the addition of more moringa leaf powder, which produced a slightly weaker meat aroma compared to treatment (T1). The higher the addition of moringa leaf powder, the greener the color of the product, making it more attractive. This is in accordance with the opinion of Barikah et al. (2021) that moringa leaf powder has a green color. The green color in moringa leaf powder is caused by the chlorophyll content. The higher the percentage of moringa leaf powder used, the stronger the green color produced. </w:t>
      </w:r>
    </w:p>
    <w:p w14:paraId="28366264">
      <w:pPr>
        <w:tabs>
          <w:tab w:val="left" w:pos="400"/>
        </w:tabs>
        <w:jc w:val="both"/>
        <w:rPr>
          <w:rFonts w:ascii="Arial" w:hAnsi="Arial" w:cs="Arial"/>
          <w:lang w:val="en-GB"/>
        </w:rPr>
      </w:pPr>
    </w:p>
    <w:p w14:paraId="2CC743C5">
      <w:pPr>
        <w:numPr>
          <w:ilvl w:val="0"/>
          <w:numId w:val="4"/>
        </w:numPr>
        <w:tabs>
          <w:tab w:val="left" w:pos="400"/>
          <w:tab w:val="clear" w:pos="845"/>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Lab* Color of Fermented Free-Range Chicken Dendeng</w:t>
      </w:r>
    </w:p>
    <w:p w14:paraId="2F4B351B">
      <w:pPr>
        <w:tabs>
          <w:tab w:val="left" w:pos="400"/>
        </w:tabs>
        <w:jc w:val="both"/>
        <w:rPr>
          <w:rFonts w:ascii="Arial" w:hAnsi="Arial" w:cs="Arial"/>
          <w:lang w:val="en-GB"/>
        </w:rPr>
      </w:pPr>
      <w:r>
        <w:rPr>
          <w:rFonts w:ascii="Arial" w:hAnsi="Arial" w:cs="Arial"/>
          <w:lang w:val="en-GB"/>
        </w:rPr>
        <w:tab/>
      </w:r>
      <w:r>
        <w:rPr>
          <w:rFonts w:ascii="Arial" w:hAnsi="Arial" w:cs="Arial"/>
          <w:lang w:val="en-GB"/>
        </w:rPr>
        <w:t>The results of the analysis of variance show that the addition of moringa leaf powder at different percentages had a significant effect (p&lt;0.05) on the L* color, a very significant effect (p&lt;0.01) on the a* color, and no effect (p&gt;0.05) on the b* color. The data and results of the Lab* color intensity analysis on fermented free-range chicken dendeng with different percentages can be seen in Table 5.</w:t>
      </w:r>
    </w:p>
    <w:p w14:paraId="386A385C">
      <w:pPr>
        <w:tabs>
          <w:tab w:val="left" w:pos="400"/>
        </w:tabs>
        <w:jc w:val="both"/>
        <w:rPr>
          <w:rFonts w:ascii="Arial" w:hAnsi="Arial" w:cs="Arial"/>
          <w:lang w:val="en-GB"/>
        </w:rPr>
      </w:pPr>
    </w:p>
    <w:p w14:paraId="65773FBC">
      <w:pPr>
        <w:tabs>
          <w:tab w:val="left" w:pos="400"/>
        </w:tabs>
        <w:jc w:val="both"/>
        <w:rPr>
          <w:rFonts w:ascii="Arial" w:hAnsi="Arial" w:cs="Arial"/>
          <w:lang w:val="en-GB"/>
        </w:rPr>
      </w:pPr>
      <w:r>
        <w:rPr>
          <w:rFonts w:ascii="Arial" w:hAnsi="Arial" w:cs="Arial"/>
          <w:lang w:val="en-GB"/>
        </w:rPr>
        <w:t>Table 5. Average Lab* Color Values in Fermented Free-Range Chicken Dendeng</w:t>
      </w:r>
    </w:p>
    <w:tbl>
      <w:tblPr>
        <w:tblStyle w:val="18"/>
        <w:tblW w:w="0" w:type="auto"/>
        <w:tblInd w:w="11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0"/>
        <w:gridCol w:w="2159"/>
        <w:gridCol w:w="2155"/>
        <w:gridCol w:w="2168"/>
      </w:tblGrid>
      <w:tr w14:paraId="16ACE8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5" w:type="dxa"/>
            <w:tcBorders>
              <w:bottom w:val="single" w:color="auto" w:sz="4" w:space="0"/>
            </w:tcBorders>
          </w:tcPr>
          <w:p w14:paraId="528CC6BF">
            <w:pPr>
              <w:pStyle w:val="6"/>
              <w:widowControl w:val="0"/>
              <w:ind w:left="0" w:right="-131"/>
              <w:jc w:val="center"/>
              <w:rPr>
                <w:rFonts w:ascii="Arial" w:hAnsi="Arial" w:eastAsia="Calibri" w:cs="Arial"/>
                <w:sz w:val="20"/>
                <w:szCs w:val="20"/>
                <w:lang w:val="en-GB"/>
              </w:rPr>
            </w:pPr>
            <w:r>
              <w:rPr>
                <w:rFonts w:ascii="Arial" w:hAnsi="Arial" w:eastAsia="Calibri" w:cs="Arial"/>
                <w:sz w:val="20"/>
                <w:szCs w:val="20"/>
                <w:lang w:val="en-GB"/>
              </w:rPr>
              <w:t>Treatment</w:t>
            </w:r>
          </w:p>
        </w:tc>
        <w:tc>
          <w:tcPr>
            <w:tcW w:w="2242" w:type="dxa"/>
            <w:tcBorders>
              <w:bottom w:val="single" w:color="auto" w:sz="4" w:space="0"/>
            </w:tcBorders>
          </w:tcPr>
          <w:p w14:paraId="50098A46">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Lightness (L*) </w:t>
            </w:r>
            <w:r>
              <w:rPr>
                <w:rFonts w:ascii="Arial" w:hAnsi="Arial" w:eastAsia="SimSun" w:cs="Arial"/>
                <w:sz w:val="20"/>
                <w:szCs w:val="20"/>
              </w:rPr>
              <w:t>±</w:t>
            </w:r>
            <w:r>
              <w:rPr>
                <w:rFonts w:ascii="Arial" w:hAnsi="Arial" w:eastAsia="SimSun" w:cs="Arial"/>
                <w:sz w:val="20"/>
                <w:szCs w:val="20"/>
                <w:lang w:val="en-GB"/>
              </w:rPr>
              <w:t xml:space="preserve"> SD</w:t>
            </w:r>
          </w:p>
        </w:tc>
        <w:tc>
          <w:tcPr>
            <w:tcW w:w="2242" w:type="dxa"/>
            <w:tcBorders>
              <w:bottom w:val="single" w:color="auto" w:sz="4" w:space="0"/>
            </w:tcBorders>
          </w:tcPr>
          <w:p w14:paraId="67457CFF">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Redness (a*) </w:t>
            </w:r>
            <w:r>
              <w:rPr>
                <w:rFonts w:ascii="Arial" w:hAnsi="Arial" w:eastAsia="SimSun" w:cs="Arial"/>
                <w:sz w:val="20"/>
                <w:szCs w:val="20"/>
              </w:rPr>
              <w:t>±</w:t>
            </w:r>
            <w:r>
              <w:rPr>
                <w:rFonts w:ascii="Arial" w:hAnsi="Arial" w:eastAsia="SimSun" w:cs="Arial"/>
                <w:sz w:val="20"/>
                <w:szCs w:val="20"/>
                <w:lang w:val="en-GB"/>
              </w:rPr>
              <w:t xml:space="preserve"> SD</w:t>
            </w:r>
          </w:p>
        </w:tc>
        <w:tc>
          <w:tcPr>
            <w:tcW w:w="2242" w:type="dxa"/>
            <w:tcBorders>
              <w:bottom w:val="single" w:color="auto" w:sz="4" w:space="0"/>
            </w:tcBorders>
          </w:tcPr>
          <w:p w14:paraId="759059BF">
            <w:pPr>
              <w:pStyle w:val="6"/>
              <w:widowControl w:val="0"/>
              <w:ind w:left="0" w:right="-174"/>
              <w:jc w:val="center"/>
              <w:rPr>
                <w:rFonts w:ascii="Arial" w:hAnsi="Arial" w:eastAsia="Calibri" w:cs="Arial"/>
                <w:sz w:val="20"/>
                <w:szCs w:val="20"/>
                <w:lang w:val="en-GB"/>
              </w:rPr>
            </w:pPr>
            <w:r>
              <w:rPr>
                <w:rFonts w:ascii="Arial" w:hAnsi="Arial" w:eastAsia="SimSun" w:cs="Arial"/>
                <w:sz w:val="20"/>
                <w:szCs w:val="20"/>
                <w:lang w:val="en-GB"/>
              </w:rPr>
              <w:t>Yellowness (b*)</w:t>
            </w:r>
            <w:r>
              <w:rPr>
                <w:rFonts w:ascii="Arial" w:hAnsi="Arial" w:eastAsia="SimSun" w:cs="Arial"/>
                <w:sz w:val="20"/>
                <w:szCs w:val="20"/>
              </w:rPr>
              <w:t>±</w:t>
            </w:r>
            <w:r>
              <w:rPr>
                <w:rFonts w:ascii="Arial" w:hAnsi="Arial" w:eastAsia="SimSun" w:cs="Arial"/>
                <w:sz w:val="20"/>
                <w:szCs w:val="20"/>
                <w:lang w:val="en-GB"/>
              </w:rPr>
              <w:t xml:space="preserve"> SD</w:t>
            </w:r>
          </w:p>
        </w:tc>
      </w:tr>
      <w:tr w14:paraId="48A37E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5" w:type="dxa"/>
            <w:tcBorders>
              <w:top w:val="single" w:color="auto" w:sz="4" w:space="0"/>
            </w:tcBorders>
          </w:tcPr>
          <w:p w14:paraId="713B4210">
            <w:pPr>
              <w:pStyle w:val="6"/>
              <w:widowControl w:val="0"/>
              <w:ind w:left="0" w:right="-131"/>
              <w:jc w:val="center"/>
              <w:rPr>
                <w:rFonts w:ascii="Arial" w:hAnsi="Arial" w:eastAsia="Calibri" w:cs="Arial"/>
                <w:sz w:val="20"/>
                <w:szCs w:val="20"/>
                <w:lang w:val="en-GB"/>
              </w:rPr>
            </w:pPr>
            <w:r>
              <w:rPr>
                <w:rFonts w:ascii="Arial" w:hAnsi="Arial" w:eastAsia="Calibri" w:cs="Arial"/>
                <w:sz w:val="20"/>
                <w:szCs w:val="20"/>
                <w:lang w:val="en-GB"/>
              </w:rPr>
              <w:t>T0</w:t>
            </w:r>
          </w:p>
        </w:tc>
        <w:tc>
          <w:tcPr>
            <w:tcW w:w="2242" w:type="dxa"/>
            <w:tcBorders>
              <w:top w:val="single" w:color="auto" w:sz="4" w:space="0"/>
            </w:tcBorders>
          </w:tcPr>
          <w:p w14:paraId="2DB9E69B">
            <w:pPr>
              <w:pStyle w:val="6"/>
              <w:widowControl w:val="0"/>
              <w:ind w:left="0" w:right="-174"/>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36.44 </w:t>
            </w:r>
            <w:r>
              <w:rPr>
                <w:rFonts w:ascii="Arial" w:hAnsi="Arial" w:eastAsia="SimSun" w:cs="Arial"/>
                <w:sz w:val="20"/>
                <w:szCs w:val="20"/>
              </w:rPr>
              <w:t>±</w:t>
            </w:r>
            <w:r>
              <w:rPr>
                <w:rFonts w:ascii="Arial" w:hAnsi="Arial" w:eastAsia="SimSun" w:cs="Arial"/>
                <w:sz w:val="20"/>
                <w:szCs w:val="20"/>
                <w:lang w:val="en-GB"/>
              </w:rPr>
              <w:t xml:space="preserve"> 3.02</w:t>
            </w:r>
            <w:r>
              <w:rPr>
                <w:rFonts w:ascii="Arial" w:hAnsi="Arial" w:eastAsia="SimSun" w:cs="Arial"/>
                <w:sz w:val="20"/>
                <w:szCs w:val="20"/>
                <w:vertAlign w:val="superscript"/>
                <w:lang w:val="en-GB"/>
              </w:rPr>
              <w:t>b</w:t>
            </w:r>
          </w:p>
        </w:tc>
        <w:tc>
          <w:tcPr>
            <w:tcW w:w="2242" w:type="dxa"/>
            <w:tcBorders>
              <w:top w:val="single" w:color="auto" w:sz="4" w:space="0"/>
            </w:tcBorders>
          </w:tcPr>
          <w:p w14:paraId="7C32660A">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8.57 </w:t>
            </w:r>
            <w:r>
              <w:rPr>
                <w:rFonts w:ascii="Arial" w:hAnsi="Arial" w:eastAsia="SimSun" w:cs="Arial"/>
                <w:sz w:val="20"/>
                <w:szCs w:val="20"/>
              </w:rPr>
              <w:t>±</w:t>
            </w:r>
            <w:r>
              <w:rPr>
                <w:rFonts w:ascii="Arial" w:hAnsi="Arial" w:eastAsia="SimSun" w:cs="Arial"/>
                <w:sz w:val="20"/>
                <w:szCs w:val="20"/>
                <w:lang w:val="en-GB"/>
              </w:rPr>
              <w:t xml:space="preserve"> 2.02</w:t>
            </w:r>
            <w:r>
              <w:rPr>
                <w:rFonts w:ascii="Arial" w:hAnsi="Arial" w:eastAsia="SimSun" w:cs="Arial"/>
                <w:sz w:val="20"/>
                <w:szCs w:val="20"/>
                <w:vertAlign w:val="superscript"/>
                <w:lang w:val="en-GB"/>
              </w:rPr>
              <w:t>d</w:t>
            </w:r>
          </w:p>
        </w:tc>
        <w:tc>
          <w:tcPr>
            <w:tcW w:w="2242" w:type="dxa"/>
            <w:tcBorders>
              <w:top w:val="single" w:color="auto" w:sz="4" w:space="0"/>
            </w:tcBorders>
          </w:tcPr>
          <w:p w14:paraId="6080F47A">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0.80 </w:t>
            </w:r>
            <w:r>
              <w:rPr>
                <w:rFonts w:ascii="Arial" w:hAnsi="Arial" w:eastAsia="SimSun" w:cs="Arial"/>
                <w:sz w:val="20"/>
                <w:szCs w:val="20"/>
              </w:rPr>
              <w:t>±</w:t>
            </w:r>
            <w:r>
              <w:rPr>
                <w:rFonts w:ascii="Arial" w:hAnsi="Arial" w:eastAsia="SimSun" w:cs="Arial"/>
                <w:sz w:val="20"/>
                <w:szCs w:val="20"/>
                <w:lang w:val="en-GB"/>
              </w:rPr>
              <w:t xml:space="preserve"> 0.03</w:t>
            </w:r>
            <w:r>
              <w:rPr>
                <w:rFonts w:ascii="Arial" w:hAnsi="Arial" w:eastAsia="SimSun" w:cs="Arial"/>
                <w:sz w:val="20"/>
                <w:szCs w:val="20"/>
                <w:vertAlign w:val="superscript"/>
                <w:lang w:val="en-GB"/>
              </w:rPr>
              <w:t>a</w:t>
            </w:r>
          </w:p>
        </w:tc>
      </w:tr>
      <w:tr w14:paraId="7A6CB6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5" w:type="dxa"/>
          </w:tcPr>
          <w:p w14:paraId="2C92A60C">
            <w:pPr>
              <w:pStyle w:val="6"/>
              <w:widowControl w:val="0"/>
              <w:ind w:left="0" w:right="-131"/>
              <w:jc w:val="center"/>
              <w:rPr>
                <w:rFonts w:ascii="Arial" w:hAnsi="Arial" w:eastAsia="Calibri" w:cs="Arial"/>
                <w:sz w:val="20"/>
                <w:szCs w:val="20"/>
                <w:lang w:val="en-GB"/>
              </w:rPr>
            </w:pPr>
            <w:r>
              <w:rPr>
                <w:rFonts w:ascii="Arial" w:hAnsi="Arial" w:eastAsia="Calibri" w:cs="Arial"/>
                <w:sz w:val="20"/>
                <w:szCs w:val="20"/>
                <w:lang w:val="en-GB"/>
              </w:rPr>
              <w:t>T1</w:t>
            </w:r>
          </w:p>
        </w:tc>
        <w:tc>
          <w:tcPr>
            <w:tcW w:w="2242" w:type="dxa"/>
          </w:tcPr>
          <w:p w14:paraId="02BE927F">
            <w:pPr>
              <w:pStyle w:val="6"/>
              <w:widowControl w:val="0"/>
              <w:ind w:left="0" w:right="-174"/>
              <w:jc w:val="center"/>
              <w:rPr>
                <w:rFonts w:ascii="Arial" w:hAnsi="Arial" w:eastAsia="Calibri" w:cs="Arial"/>
                <w:sz w:val="20"/>
                <w:szCs w:val="20"/>
                <w:vertAlign w:val="superscript"/>
                <w:lang w:val="en-GB"/>
              </w:rPr>
            </w:pPr>
            <w:r>
              <w:rPr>
                <w:rFonts w:ascii="Arial" w:hAnsi="Arial" w:eastAsia="SimSun" w:cs="Arial"/>
                <w:sz w:val="20"/>
                <w:szCs w:val="20"/>
                <w:lang w:val="en-GB"/>
              </w:rPr>
              <w:t xml:space="preserve">35.15 </w:t>
            </w:r>
            <w:r>
              <w:rPr>
                <w:rFonts w:ascii="Arial" w:hAnsi="Arial" w:eastAsia="SimSun" w:cs="Arial"/>
                <w:sz w:val="20"/>
                <w:szCs w:val="20"/>
              </w:rPr>
              <w:t>±</w:t>
            </w:r>
            <w:r>
              <w:rPr>
                <w:rFonts w:ascii="Arial" w:hAnsi="Arial" w:eastAsia="SimSun" w:cs="Arial"/>
                <w:sz w:val="20"/>
                <w:szCs w:val="20"/>
                <w:lang w:val="en-GB"/>
              </w:rPr>
              <w:t xml:space="preserve"> 1.27</w:t>
            </w:r>
            <w:r>
              <w:rPr>
                <w:rFonts w:ascii="Arial" w:hAnsi="Arial" w:eastAsia="SimSun" w:cs="Arial"/>
                <w:sz w:val="20"/>
                <w:szCs w:val="20"/>
                <w:vertAlign w:val="superscript"/>
                <w:lang w:val="en-GB"/>
              </w:rPr>
              <w:t>a</w:t>
            </w:r>
          </w:p>
        </w:tc>
        <w:tc>
          <w:tcPr>
            <w:tcW w:w="2242" w:type="dxa"/>
          </w:tcPr>
          <w:p w14:paraId="159C60EA">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1.13 </w:t>
            </w:r>
            <w:r>
              <w:rPr>
                <w:rFonts w:ascii="Arial" w:hAnsi="Arial" w:eastAsia="SimSun" w:cs="Arial"/>
                <w:sz w:val="20"/>
                <w:szCs w:val="20"/>
              </w:rPr>
              <w:t>±</w:t>
            </w:r>
            <w:r>
              <w:rPr>
                <w:rFonts w:ascii="Arial" w:hAnsi="Arial" w:eastAsia="SimSun" w:cs="Arial"/>
                <w:sz w:val="20"/>
                <w:szCs w:val="20"/>
                <w:lang w:val="en-GB"/>
              </w:rPr>
              <w:t xml:space="preserve"> 1.03</w:t>
            </w:r>
            <w:r>
              <w:rPr>
                <w:rFonts w:ascii="Arial" w:hAnsi="Arial" w:eastAsia="SimSun" w:cs="Arial"/>
                <w:sz w:val="20"/>
                <w:szCs w:val="20"/>
                <w:vertAlign w:val="superscript"/>
                <w:lang w:val="en-GB"/>
              </w:rPr>
              <w:t>a</w:t>
            </w:r>
          </w:p>
        </w:tc>
        <w:tc>
          <w:tcPr>
            <w:tcW w:w="2242" w:type="dxa"/>
          </w:tcPr>
          <w:p w14:paraId="06DF3D65">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0.88 </w:t>
            </w:r>
            <w:r>
              <w:rPr>
                <w:rFonts w:ascii="Arial" w:hAnsi="Arial" w:eastAsia="SimSun" w:cs="Arial"/>
                <w:sz w:val="20"/>
                <w:szCs w:val="20"/>
              </w:rPr>
              <w:t>±</w:t>
            </w:r>
            <w:r>
              <w:rPr>
                <w:rFonts w:ascii="Arial" w:hAnsi="Arial" w:eastAsia="SimSun" w:cs="Arial"/>
                <w:sz w:val="20"/>
                <w:szCs w:val="20"/>
                <w:lang w:val="en-GB"/>
              </w:rPr>
              <w:t xml:space="preserve"> 0.02</w:t>
            </w:r>
            <w:r>
              <w:rPr>
                <w:rFonts w:ascii="Arial" w:hAnsi="Arial" w:eastAsia="SimSun" w:cs="Arial"/>
                <w:sz w:val="20"/>
                <w:szCs w:val="20"/>
                <w:vertAlign w:val="superscript"/>
                <w:lang w:val="en-GB"/>
              </w:rPr>
              <w:t>b</w:t>
            </w:r>
          </w:p>
        </w:tc>
      </w:tr>
      <w:tr w14:paraId="60D8F1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5" w:type="dxa"/>
          </w:tcPr>
          <w:p w14:paraId="1B090586">
            <w:pPr>
              <w:pStyle w:val="6"/>
              <w:widowControl w:val="0"/>
              <w:ind w:left="0" w:right="-131"/>
              <w:jc w:val="center"/>
              <w:rPr>
                <w:rFonts w:ascii="Arial" w:hAnsi="Arial" w:eastAsia="Calibri" w:cs="Arial"/>
                <w:sz w:val="20"/>
                <w:szCs w:val="20"/>
                <w:lang w:val="en-GB"/>
              </w:rPr>
            </w:pPr>
            <w:r>
              <w:rPr>
                <w:rFonts w:ascii="Arial" w:hAnsi="Arial" w:eastAsia="Calibri" w:cs="Arial"/>
                <w:sz w:val="20"/>
                <w:szCs w:val="20"/>
                <w:lang w:val="en-GB"/>
              </w:rPr>
              <w:t>T2</w:t>
            </w:r>
          </w:p>
        </w:tc>
        <w:tc>
          <w:tcPr>
            <w:tcW w:w="2242" w:type="dxa"/>
          </w:tcPr>
          <w:p w14:paraId="21FB483C">
            <w:pPr>
              <w:pStyle w:val="6"/>
              <w:widowControl w:val="0"/>
              <w:ind w:left="0" w:right="-174"/>
              <w:jc w:val="center"/>
              <w:rPr>
                <w:rFonts w:ascii="Arial" w:hAnsi="Arial" w:eastAsia="Calibri" w:cs="Arial"/>
                <w:sz w:val="20"/>
                <w:szCs w:val="20"/>
                <w:vertAlign w:val="superscript"/>
                <w:lang w:val="en-GB"/>
              </w:rPr>
            </w:pPr>
            <w:r>
              <w:rPr>
                <w:rFonts w:ascii="Arial" w:hAnsi="Arial" w:eastAsia="SimSun" w:cs="Arial"/>
                <w:sz w:val="20"/>
                <w:szCs w:val="20"/>
                <w:lang w:val="en-GB"/>
              </w:rPr>
              <w:t xml:space="preserve">32.80 </w:t>
            </w:r>
            <w:r>
              <w:rPr>
                <w:rFonts w:ascii="Arial" w:hAnsi="Arial" w:eastAsia="SimSun" w:cs="Arial"/>
                <w:sz w:val="20"/>
                <w:szCs w:val="20"/>
              </w:rPr>
              <w:t>±</w:t>
            </w:r>
            <w:r>
              <w:rPr>
                <w:rFonts w:ascii="Arial" w:hAnsi="Arial" w:eastAsia="SimSun" w:cs="Arial"/>
                <w:sz w:val="20"/>
                <w:szCs w:val="20"/>
                <w:lang w:val="en-GB"/>
              </w:rPr>
              <w:t xml:space="preserve"> 1.04</w:t>
            </w:r>
            <w:r>
              <w:rPr>
                <w:rFonts w:ascii="Arial" w:hAnsi="Arial" w:eastAsia="SimSun" w:cs="Arial"/>
                <w:sz w:val="20"/>
                <w:szCs w:val="20"/>
                <w:vertAlign w:val="superscript"/>
                <w:lang w:val="en-GB"/>
              </w:rPr>
              <w:t>a</w:t>
            </w:r>
          </w:p>
        </w:tc>
        <w:tc>
          <w:tcPr>
            <w:tcW w:w="2242" w:type="dxa"/>
          </w:tcPr>
          <w:p w14:paraId="13B57891">
            <w:pPr>
              <w:pStyle w:val="6"/>
              <w:widowControl w:val="0"/>
              <w:ind w:left="0" w:right="-174"/>
              <w:jc w:val="center"/>
              <w:rPr>
                <w:rFonts w:ascii="Arial" w:hAnsi="Arial" w:eastAsia="SimSun" w:cs="Arial"/>
                <w:sz w:val="20"/>
                <w:szCs w:val="20"/>
                <w:lang w:val="en-GB"/>
              </w:rPr>
            </w:pPr>
            <w:r>
              <w:rPr>
                <w:rFonts w:ascii="Arial" w:hAnsi="Arial" w:eastAsia="SimSun" w:cs="Arial"/>
                <w:sz w:val="20"/>
                <w:szCs w:val="20"/>
                <w:lang w:val="en-GB"/>
              </w:rPr>
              <w:t xml:space="preserve">2.04 </w:t>
            </w:r>
            <w:r>
              <w:rPr>
                <w:rFonts w:ascii="Arial" w:hAnsi="Arial" w:eastAsia="SimSun" w:cs="Arial"/>
                <w:sz w:val="20"/>
                <w:szCs w:val="20"/>
              </w:rPr>
              <w:t>±</w:t>
            </w:r>
            <w:r>
              <w:rPr>
                <w:rFonts w:ascii="Arial" w:hAnsi="Arial" w:eastAsia="SimSun" w:cs="Arial"/>
                <w:sz w:val="20"/>
                <w:szCs w:val="20"/>
                <w:lang w:val="en-GB"/>
              </w:rPr>
              <w:t xml:space="preserve"> 0.14</w:t>
            </w:r>
            <w:r>
              <w:rPr>
                <w:rFonts w:ascii="Arial" w:hAnsi="Arial" w:eastAsia="SimSun" w:cs="Arial"/>
                <w:sz w:val="20"/>
                <w:szCs w:val="20"/>
                <w:vertAlign w:val="superscript"/>
                <w:lang w:val="en-GB"/>
              </w:rPr>
              <w:t>ab</w:t>
            </w:r>
          </w:p>
        </w:tc>
        <w:tc>
          <w:tcPr>
            <w:tcW w:w="2242" w:type="dxa"/>
          </w:tcPr>
          <w:p w14:paraId="74A281D5">
            <w:pPr>
              <w:pStyle w:val="6"/>
              <w:widowControl w:val="0"/>
              <w:ind w:left="0" w:right="-174"/>
              <w:jc w:val="center"/>
              <w:rPr>
                <w:rFonts w:ascii="Arial" w:hAnsi="Arial" w:eastAsia="SimSun" w:cs="Arial"/>
                <w:sz w:val="20"/>
                <w:szCs w:val="20"/>
                <w:lang w:val="en-GB"/>
              </w:rPr>
            </w:pPr>
            <w:r>
              <w:rPr>
                <w:rFonts w:ascii="Arial" w:hAnsi="Arial" w:eastAsia="SimSun" w:cs="Arial"/>
                <w:sz w:val="20"/>
                <w:szCs w:val="20"/>
                <w:lang w:val="en-GB"/>
              </w:rPr>
              <w:t xml:space="preserve">0.83 </w:t>
            </w:r>
            <w:r>
              <w:rPr>
                <w:rFonts w:ascii="Arial" w:hAnsi="Arial" w:eastAsia="SimSun" w:cs="Arial"/>
                <w:sz w:val="20"/>
                <w:szCs w:val="20"/>
              </w:rPr>
              <w:t>±</w:t>
            </w:r>
            <w:r>
              <w:rPr>
                <w:rFonts w:ascii="Arial" w:hAnsi="Arial" w:eastAsia="SimSun" w:cs="Arial"/>
                <w:sz w:val="20"/>
                <w:szCs w:val="20"/>
                <w:lang w:val="en-GB"/>
              </w:rPr>
              <w:t xml:space="preserve"> 0.03</w:t>
            </w:r>
            <w:r>
              <w:rPr>
                <w:rFonts w:ascii="Arial" w:hAnsi="Arial" w:eastAsia="SimSun" w:cs="Arial"/>
                <w:sz w:val="20"/>
                <w:szCs w:val="20"/>
                <w:vertAlign w:val="superscript"/>
                <w:lang w:val="en-GB"/>
              </w:rPr>
              <w:t>a</w:t>
            </w:r>
          </w:p>
        </w:tc>
      </w:tr>
      <w:tr w14:paraId="6619C6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5" w:type="dxa"/>
          </w:tcPr>
          <w:p w14:paraId="11519F67">
            <w:pPr>
              <w:pStyle w:val="6"/>
              <w:widowControl w:val="0"/>
              <w:ind w:left="0" w:right="-131"/>
              <w:jc w:val="center"/>
              <w:rPr>
                <w:rFonts w:ascii="Arial" w:hAnsi="Arial" w:eastAsia="Calibri" w:cs="Arial"/>
                <w:sz w:val="20"/>
                <w:szCs w:val="20"/>
                <w:lang w:val="en-GB"/>
              </w:rPr>
            </w:pPr>
            <w:r>
              <w:rPr>
                <w:rFonts w:ascii="Arial" w:hAnsi="Arial" w:eastAsia="Calibri" w:cs="Arial"/>
                <w:sz w:val="20"/>
                <w:szCs w:val="20"/>
                <w:lang w:val="en-GB"/>
              </w:rPr>
              <w:t>T3</w:t>
            </w:r>
          </w:p>
        </w:tc>
        <w:tc>
          <w:tcPr>
            <w:tcW w:w="2242" w:type="dxa"/>
          </w:tcPr>
          <w:p w14:paraId="6CB57AF6">
            <w:pPr>
              <w:pStyle w:val="6"/>
              <w:widowControl w:val="0"/>
              <w:ind w:left="0" w:right="-174"/>
              <w:jc w:val="center"/>
              <w:rPr>
                <w:rFonts w:ascii="Arial" w:hAnsi="Arial" w:eastAsia="Calibri" w:cs="Arial"/>
                <w:sz w:val="20"/>
                <w:szCs w:val="20"/>
                <w:vertAlign w:val="superscript"/>
                <w:lang w:val="en-GB"/>
              </w:rPr>
            </w:pPr>
            <w:r>
              <w:rPr>
                <w:rFonts w:ascii="Arial" w:hAnsi="Arial" w:eastAsia="Calibri" w:cs="Arial"/>
                <w:sz w:val="20"/>
                <w:szCs w:val="20"/>
                <w:lang w:val="en-GB"/>
              </w:rPr>
              <w:t xml:space="preserve">31.55 </w:t>
            </w:r>
            <w:r>
              <w:rPr>
                <w:rFonts w:ascii="Arial" w:hAnsi="Arial" w:eastAsia="SimSun" w:cs="Arial"/>
                <w:sz w:val="20"/>
                <w:szCs w:val="20"/>
              </w:rPr>
              <w:t>±</w:t>
            </w:r>
            <w:r>
              <w:rPr>
                <w:rFonts w:ascii="Arial" w:hAnsi="Arial" w:eastAsia="SimSun" w:cs="Arial"/>
                <w:sz w:val="20"/>
                <w:szCs w:val="20"/>
                <w:lang w:val="en-GB"/>
              </w:rPr>
              <w:t xml:space="preserve"> 1.03</w:t>
            </w:r>
            <w:r>
              <w:rPr>
                <w:rFonts w:ascii="Arial" w:hAnsi="Arial" w:eastAsia="SimSun" w:cs="Arial"/>
                <w:sz w:val="20"/>
                <w:szCs w:val="20"/>
                <w:vertAlign w:val="superscript"/>
                <w:lang w:val="en-GB"/>
              </w:rPr>
              <w:t>a</w:t>
            </w:r>
          </w:p>
        </w:tc>
        <w:tc>
          <w:tcPr>
            <w:tcW w:w="2242" w:type="dxa"/>
          </w:tcPr>
          <w:p w14:paraId="65B4CB8C">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2.08 </w:t>
            </w:r>
            <w:r>
              <w:rPr>
                <w:rFonts w:ascii="Arial" w:hAnsi="Arial" w:eastAsia="SimSun" w:cs="Arial"/>
                <w:sz w:val="20"/>
                <w:szCs w:val="20"/>
              </w:rPr>
              <w:t>±</w:t>
            </w:r>
            <w:r>
              <w:rPr>
                <w:rFonts w:ascii="Arial" w:hAnsi="Arial" w:eastAsia="SimSun" w:cs="Arial"/>
                <w:sz w:val="20"/>
                <w:szCs w:val="20"/>
                <w:lang w:val="en-GB"/>
              </w:rPr>
              <w:t xml:space="preserve"> 0.87</w:t>
            </w:r>
            <w:r>
              <w:rPr>
                <w:rFonts w:ascii="Arial" w:hAnsi="Arial" w:eastAsia="SimSun" w:cs="Arial"/>
                <w:sz w:val="20"/>
                <w:szCs w:val="20"/>
                <w:vertAlign w:val="superscript"/>
                <w:lang w:val="en-GB"/>
              </w:rPr>
              <w:t>c</w:t>
            </w:r>
          </w:p>
        </w:tc>
        <w:tc>
          <w:tcPr>
            <w:tcW w:w="2242" w:type="dxa"/>
          </w:tcPr>
          <w:p w14:paraId="283E4B62">
            <w:pPr>
              <w:pStyle w:val="6"/>
              <w:widowControl w:val="0"/>
              <w:ind w:left="0" w:right="-174"/>
              <w:jc w:val="center"/>
              <w:rPr>
                <w:rFonts w:ascii="Arial" w:hAnsi="Arial" w:eastAsia="Calibri" w:cs="Arial"/>
                <w:sz w:val="20"/>
                <w:szCs w:val="20"/>
                <w:lang w:val="en-GB"/>
              </w:rPr>
            </w:pPr>
            <w:r>
              <w:rPr>
                <w:rFonts w:ascii="Arial" w:hAnsi="Arial" w:eastAsia="Calibri" w:cs="Arial"/>
                <w:sz w:val="20"/>
                <w:szCs w:val="20"/>
                <w:lang w:val="en-GB"/>
              </w:rPr>
              <w:t xml:space="preserve">0.84 </w:t>
            </w:r>
            <w:r>
              <w:rPr>
                <w:rFonts w:ascii="Arial" w:hAnsi="Arial" w:eastAsia="SimSun" w:cs="Arial"/>
                <w:sz w:val="20"/>
                <w:szCs w:val="20"/>
              </w:rPr>
              <w:t>±</w:t>
            </w:r>
            <w:r>
              <w:rPr>
                <w:rFonts w:ascii="Arial" w:hAnsi="Arial" w:eastAsia="SimSun" w:cs="Arial"/>
                <w:sz w:val="20"/>
                <w:szCs w:val="20"/>
                <w:lang w:val="en-GB"/>
              </w:rPr>
              <w:t xml:space="preserve"> 0.01</w:t>
            </w:r>
            <w:r>
              <w:rPr>
                <w:rFonts w:ascii="Arial" w:hAnsi="Arial" w:eastAsia="SimSun" w:cs="Arial"/>
                <w:sz w:val="20"/>
                <w:szCs w:val="20"/>
                <w:vertAlign w:val="superscript"/>
                <w:lang w:val="en-GB"/>
              </w:rPr>
              <w:t>a</w:t>
            </w:r>
          </w:p>
        </w:tc>
      </w:tr>
    </w:tbl>
    <w:p w14:paraId="4B222783">
      <w:pPr>
        <w:tabs>
          <w:tab w:val="left" w:pos="400"/>
        </w:tabs>
        <w:jc w:val="both"/>
        <w:rPr>
          <w:rFonts w:ascii="Arial" w:hAnsi="Arial" w:cs="Arial"/>
          <w:b/>
          <w:bCs/>
          <w:lang w:val="en-GB"/>
        </w:rPr>
      </w:pPr>
    </w:p>
    <w:p w14:paraId="7D201ED1">
      <w:pPr>
        <w:numPr>
          <w:ilvl w:val="0"/>
          <w:numId w:val="6"/>
        </w:numPr>
        <w:tabs>
          <w:tab w:val="left" w:pos="400"/>
          <w:tab w:val="clear" w:pos="845"/>
        </w:tabs>
        <w:ind w:left="605" w:hanging="605"/>
        <w:jc w:val="both"/>
        <w:rPr>
          <w:rFonts w:ascii="Arial" w:hAnsi="Arial" w:cs="Arial"/>
          <w:b/>
          <w:bCs/>
          <w:u w:val="single"/>
          <w:lang w:val="en-GB"/>
        </w:rPr>
      </w:pPr>
      <w:r>
        <w:rPr>
          <w:rFonts w:ascii="Arial" w:hAnsi="Arial" w:cs="Arial"/>
          <w:b/>
          <w:bCs/>
          <w:u w:val="single"/>
          <w:lang w:val="en-GB"/>
        </w:rPr>
        <w:t>Lightness (L*)</w:t>
      </w:r>
    </w:p>
    <w:p w14:paraId="1F1BDF6F">
      <w:pPr>
        <w:tabs>
          <w:tab w:val="left" w:pos="400"/>
        </w:tabs>
        <w:jc w:val="both"/>
        <w:rPr>
          <w:rFonts w:ascii="Arial" w:hAnsi="Arial" w:cs="Arial"/>
          <w:lang w:val="en-GB"/>
        </w:rPr>
      </w:pPr>
      <w:r>
        <w:rPr>
          <w:rFonts w:ascii="Arial" w:hAnsi="Arial" w:cs="Arial"/>
          <w:lang w:val="en-GB"/>
        </w:rPr>
        <w:t xml:space="preserve">The range of L* color values shown in Table 5 illustrates that the dendeng has a relatively dark color, which is influenced by factors such as moringa leaf powder and the fermentation process. The decrease in L* brightness intensity in the study of fermented free-range chicken dendeng with the addition of moringa leaf powder was due to the addition of moringa leaf powder, which affected the color of the product, making it tend to be blackish brown. The color of the dendeng is formed due to the Maillard reaction, which is a non-enzymatic browning reaction that occurs due to the reaction between reducing sugars and amino acids or proteins, forming dark-colored complex pigments (Ruan et al., 2018). </w:t>
      </w:r>
    </w:p>
    <w:p w14:paraId="69F1E578">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According to Ario et al. (2015), the L* color is a brightness parameter with a value ranging from 0 (dark) to 100 (bright), so it can be said that the higher the brightness intensity value, the brighter the color of the product being tested. The L* color of dendeng is not affected by the concentration of </w:t>
      </w:r>
      <w:r>
        <w:rPr>
          <w:rFonts w:ascii="Arial" w:hAnsi="Arial" w:cs="Arial"/>
          <w:i/>
          <w:iCs/>
          <w:lang w:val="en-GB"/>
        </w:rPr>
        <w:t>L. plantarum</w:t>
      </w:r>
      <w:r>
        <w:rPr>
          <w:rFonts w:ascii="Arial" w:hAnsi="Arial" w:cs="Arial"/>
          <w:lang w:val="en-GB"/>
        </w:rPr>
        <w:t xml:space="preserve"> and the duration of fermentation because the drying temperature of dendeng using an oven ranges from 80-90°C. According to Sorensen et al. (2017), a temperature of 120°C affects the release of iron (Fe) in meat, which has an impact on color changes in the subsequent process. If the temperature is below 120°C, the Fe contained in the meat is still bound to myoglobin because the protein has not been completely degraded. The color of jerky products (a product similar to dendeng originating from the United States) is influenced by the temperature during heating (Afgani and Magdalena, 2023).</w:t>
      </w:r>
    </w:p>
    <w:p w14:paraId="3B59A1D6">
      <w:pPr>
        <w:tabs>
          <w:tab w:val="left" w:pos="400"/>
        </w:tabs>
        <w:jc w:val="both"/>
        <w:rPr>
          <w:rFonts w:ascii="Arial" w:hAnsi="Arial" w:cs="Arial"/>
          <w:b/>
          <w:bCs/>
          <w:lang w:val="en-GB"/>
        </w:rPr>
      </w:pPr>
    </w:p>
    <w:p w14:paraId="4655F531">
      <w:pPr>
        <w:numPr>
          <w:ilvl w:val="0"/>
          <w:numId w:val="6"/>
        </w:numPr>
        <w:tabs>
          <w:tab w:val="left" w:pos="400"/>
          <w:tab w:val="clear" w:pos="845"/>
        </w:tabs>
        <w:ind w:left="605" w:hanging="605"/>
        <w:jc w:val="both"/>
        <w:rPr>
          <w:rFonts w:ascii="Arial" w:hAnsi="Arial" w:cs="Arial"/>
          <w:b/>
          <w:bCs/>
          <w:u w:val="single"/>
          <w:lang w:val="en-GB"/>
        </w:rPr>
      </w:pPr>
      <w:r>
        <w:rPr>
          <w:rFonts w:ascii="Arial" w:hAnsi="Arial" w:cs="Arial"/>
          <w:b/>
          <w:bCs/>
          <w:u w:val="single"/>
          <w:lang w:val="en-GB"/>
        </w:rPr>
        <w:t>Redness (a*)</w:t>
      </w:r>
    </w:p>
    <w:p w14:paraId="44096DC3">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results in Table 5 show that fermented free-range chicken dendeng with added moringa leaf powder varies in red color intensity, with some samples showing a stronger red color. A higher percentage of moringa leaf powder addition resulted in a redder color of fermented free-range chicken dendeng. The L* and a* values showed a similar pattern to that reported by Fadhillah et al. (2022), who stated that the L* color of fermented sausage ripening decreased to a darker color due to weight loss, as did the a* color. The difference in a* color depends on the amount of pink-red nitrosomyoglobin pigment (Akramzadeh et al., 2020). The reaction of myoglobin with oxygen forms oxymyoglobin (MbO2) in meat and affects the red color of the meat. The addition of nitrite in the production of chicken dendeng causes a series of reactions to form nitosilomyoglobin (MbNO2). The MbNO2 compound causes the red color in meat and is stable up to a temperature of 120°C (Astini, 2020). This opinion supports the view that the red color of fermented free-range chicken dendeng using </w:t>
      </w:r>
      <w:r>
        <w:rPr>
          <w:rFonts w:ascii="Arial" w:hAnsi="Arial" w:cs="Arial"/>
          <w:i/>
          <w:iCs/>
          <w:lang w:val="en-GB"/>
        </w:rPr>
        <w:t>L. plantarum</w:t>
      </w:r>
      <w:r>
        <w:rPr>
          <w:rFonts w:ascii="Arial" w:hAnsi="Arial" w:cs="Arial"/>
          <w:lang w:val="en-GB"/>
        </w:rPr>
        <w:t xml:space="preserve"> does not affect the red color of the dendeng.</w:t>
      </w:r>
    </w:p>
    <w:p w14:paraId="064EB5E7">
      <w:pPr>
        <w:tabs>
          <w:tab w:val="left" w:pos="400"/>
        </w:tabs>
        <w:jc w:val="both"/>
        <w:rPr>
          <w:rFonts w:ascii="Arial" w:hAnsi="Arial" w:cs="Arial"/>
          <w:lang w:val="en-GB"/>
        </w:rPr>
      </w:pPr>
    </w:p>
    <w:p w14:paraId="6E020789">
      <w:pPr>
        <w:numPr>
          <w:ilvl w:val="0"/>
          <w:numId w:val="6"/>
        </w:numPr>
        <w:tabs>
          <w:tab w:val="left" w:pos="400"/>
          <w:tab w:val="clear" w:pos="845"/>
        </w:tabs>
        <w:ind w:left="605" w:hanging="605"/>
        <w:jc w:val="both"/>
        <w:rPr>
          <w:rFonts w:ascii="Arial" w:hAnsi="Arial" w:cs="Arial"/>
          <w:b/>
          <w:bCs/>
          <w:u w:val="single"/>
          <w:lang w:val="en-GB"/>
        </w:rPr>
      </w:pPr>
      <w:r>
        <w:rPr>
          <w:rFonts w:ascii="Arial" w:hAnsi="Arial" w:cs="Arial"/>
          <w:b/>
          <w:bCs/>
          <w:u w:val="single"/>
          <w:lang w:val="en-GB"/>
        </w:rPr>
        <w:t>Yellowness (b*)</w:t>
      </w:r>
    </w:p>
    <w:p w14:paraId="5DE216FF">
      <w:pPr>
        <w:pStyle w:val="22"/>
        <w:spacing w:after="0"/>
        <w:rPr>
          <w:rFonts w:ascii="Arial" w:hAnsi="Arial" w:cs="Arial"/>
        </w:rPr>
      </w:pPr>
      <w:r>
        <w:rPr>
          <w:rFonts w:ascii="Arial" w:hAnsi="Arial" w:cs="Arial"/>
          <w:lang w:val="en-GB"/>
        </w:rPr>
        <w:tab/>
      </w:r>
      <w:r>
        <w:rPr>
          <w:rFonts w:ascii="Arial" w:hAnsi="Arial" w:cs="Arial"/>
          <w:lang w:val="en-GB"/>
        </w:rPr>
        <w:t xml:space="preserve">The results of the analysis of variance in Table 5 show that the addition of moringa leaf powder at different percentages had no effect (p&gt;0.05) on the b* color. This study produced fermented free-range chicken dendeng with the addition of moringa leaf powder, with the best treatment in terms of color quality being T1, which produced the highest yellow color. The concentration of </w:t>
      </w:r>
      <w:r>
        <w:rPr>
          <w:rFonts w:ascii="Arial" w:hAnsi="Arial" w:cs="Arial"/>
          <w:i/>
          <w:iCs/>
          <w:lang w:val="en-GB"/>
        </w:rPr>
        <w:t>L. plantarum</w:t>
      </w:r>
      <w:r>
        <w:rPr>
          <w:rFonts w:ascii="Arial" w:hAnsi="Arial" w:cs="Arial"/>
          <w:lang w:val="en-GB"/>
        </w:rPr>
        <w:t xml:space="preserve"> affects the yellow color of the dendeng because one of the ingredients used to make dendeng is brown palm sugar, whose brown color can be preserved by </w:t>
      </w:r>
      <w:r>
        <w:rPr>
          <w:rFonts w:ascii="Arial" w:hAnsi="Arial" w:cs="Arial"/>
          <w:i/>
          <w:iCs/>
          <w:lang w:val="en-GB"/>
        </w:rPr>
        <w:t>L. plantarum</w:t>
      </w:r>
      <w:r>
        <w:rPr>
          <w:rFonts w:ascii="Arial" w:hAnsi="Arial" w:cs="Arial"/>
          <w:lang w:val="en-GB"/>
        </w:rPr>
        <w:t xml:space="preserve"> pigments. According to Irma (2022), </w:t>
      </w:r>
      <w:r>
        <w:rPr>
          <w:rFonts w:ascii="Arial" w:hAnsi="Arial" w:cs="Arial"/>
          <w:i/>
          <w:iCs/>
          <w:lang w:val="en-GB"/>
        </w:rPr>
        <w:t>L. plantarum</w:t>
      </w:r>
      <w:r>
        <w:rPr>
          <w:rFonts w:ascii="Arial" w:hAnsi="Arial" w:cs="Arial"/>
          <w:lang w:val="en-GB"/>
        </w:rPr>
        <w:t xml:space="preserve"> has the ability to improve color and act as a meat preservative. The level of yellow color in dendeng can also be due to non-enzymatic browning reactions. This reaction begins with the condensation between free amino groups and carbonyl groups in reducing sugars to form colorless glycosimines, followed by the breakdown of the products to produce dark yellow compounds. The next stage involves Strecker degradation, which is the breakdown of free amino acids into aldehydes and N-heterocyclic compounds as well as dark/red compounds (Houra et al., 2020).</w:t>
      </w:r>
    </w:p>
    <w:p w14:paraId="262AEB15">
      <w:pPr>
        <w:pStyle w:val="22"/>
        <w:spacing w:after="0"/>
        <w:rPr>
          <w:rFonts w:ascii="Arial" w:hAnsi="Arial" w:cs="Arial"/>
        </w:rPr>
      </w:pPr>
    </w:p>
    <w:p w14:paraId="07DE77B0">
      <w:pPr>
        <w:pStyle w:val="27"/>
        <w:spacing w:after="0"/>
        <w:jc w:val="both"/>
        <w:rPr>
          <w:rFonts w:ascii="Arial" w:hAnsi="Arial" w:cs="Arial"/>
        </w:rPr>
      </w:pPr>
      <w:r>
        <w:rPr>
          <w:rFonts w:ascii="Arial" w:hAnsi="Arial" w:cs="Arial"/>
        </w:rPr>
        <w:t>4. Conclusion</w:t>
      </w:r>
    </w:p>
    <w:p w14:paraId="296C723B">
      <w:pPr>
        <w:pStyle w:val="27"/>
        <w:spacing w:after="0"/>
        <w:jc w:val="both"/>
        <w:rPr>
          <w:rFonts w:ascii="Arial" w:hAnsi="Arial" w:cs="Arial"/>
        </w:rPr>
      </w:pPr>
    </w:p>
    <w:p w14:paraId="480129BD">
      <w:pPr>
        <w:pStyle w:val="22"/>
        <w:spacing w:after="0"/>
      </w:pPr>
      <w:r>
        <w:rPr>
          <w:rFonts w:ascii="Arial" w:hAnsi="Arial" w:cs="Arial"/>
          <w:lang w:val="en-GB"/>
        </w:rPr>
        <w:t xml:space="preserve">It can be concluded that the percentage of moringa leaf powder added </w:t>
      </w:r>
      <w:r>
        <w:rPr>
          <w:rFonts w:hint="default" w:ascii="Arial" w:hAnsi="Arial" w:cs="Arial"/>
          <w:lang w:val="en-GB"/>
        </w:rPr>
        <w:t>at the rate of</w:t>
      </w:r>
      <w:r>
        <w:rPr>
          <w:rFonts w:ascii="Arial" w:hAnsi="Arial" w:cs="Arial"/>
          <w:lang w:val="en-GB"/>
        </w:rPr>
        <w:t xml:space="preserve"> 2.5% (T1), which had the best treatment value in terms of physicochemical and sensory evaluation tests. Based on the results of the study, it is recommended to use a formulation with 2.5% moringa leaf powder and to conduct further research on the drying time and shelf life of free-range chicken dendeng, then identify its nutritional content. </w:t>
      </w:r>
    </w:p>
    <w:p w14:paraId="7CC9A584">
      <w:pPr>
        <w:pStyle w:val="29"/>
        <w:spacing w:after="0"/>
        <w:jc w:val="both"/>
        <w:rPr>
          <w:rFonts w:ascii="Arial" w:hAnsi="Arial" w:cs="Arial"/>
          <w:b w:val="0"/>
          <w:caps w:val="0"/>
          <w:sz w:val="20"/>
          <w:lang w:val="en-GB"/>
        </w:rPr>
      </w:pPr>
    </w:p>
    <w:p w14:paraId="3656A405">
      <w:pPr>
        <w:jc w:val="both"/>
        <w:outlineLvl w:val="0"/>
        <w:rPr>
          <w:rFonts w:ascii="Arial" w:hAnsi="Arial" w:cs="Arial"/>
        </w:rPr>
      </w:pPr>
      <w:r>
        <w:rPr>
          <w:rFonts w:ascii="Arial" w:hAnsi="Arial" w:cs="Arial"/>
          <w:b/>
          <w:bCs/>
        </w:rPr>
        <w:t>COMPETING INTERESTS DISCLAIMER:</w:t>
      </w:r>
    </w:p>
    <w:p w14:paraId="34DF11A2">
      <w:r>
        <w:t>Authors have declared that they have no known competing financial interests OR non-financial interests OR personal relationships that could have appeared to influence the work reported in this paper.</w:t>
      </w:r>
    </w:p>
    <w:p w14:paraId="18CF0E61"/>
    <w:p w14:paraId="480B3198"/>
    <w:p w14:paraId="22E2F260"/>
    <w:p w14:paraId="06E23166">
      <w:pPr>
        <w:rPr>
          <w:rFonts w:hint="default" w:ascii="Arial" w:hAnsi="Arial" w:eastAsia="Calibri" w:cs="Arial"/>
          <w:kern w:val="2"/>
          <w:highlight w:val="none"/>
        </w:rPr>
      </w:pPr>
      <w:bookmarkStart w:id="1" w:name="_Hlk197682619"/>
      <w:bookmarkStart w:id="2" w:name="_Hlk180402183"/>
      <w:bookmarkStart w:id="3" w:name="_Hlk213410455"/>
      <w:bookmarkStart w:id="4" w:name="_Hlk197351200"/>
      <w:bookmarkStart w:id="5" w:name="_Hlk183680988"/>
      <w:r>
        <w:rPr>
          <w:rFonts w:hint="default" w:ascii="Arial" w:hAnsi="Arial" w:eastAsia="Calibri" w:cs="Arial"/>
          <w:b/>
          <w:bCs/>
          <w:kern w:val="2"/>
          <w:highlight w:val="none"/>
        </w:rPr>
        <w:t>Disclaimer (Artificial intelligence)</w:t>
      </w:r>
    </w:p>
    <w:p w14:paraId="5222354B">
      <w:pPr>
        <w:rPr>
          <w:rFonts w:hint="default" w:ascii="Arial" w:hAnsi="Arial" w:eastAsia="Calibri" w:cs="Arial"/>
          <w:kern w:val="2"/>
          <w:highlight w:val="none"/>
        </w:rPr>
      </w:pPr>
      <w:r>
        <w:rPr>
          <w:rFonts w:hint="default" w:ascii="Arial" w:hAnsi="Arial" w:eastAsia="Calibri" w:cs="Arial"/>
          <w:kern w:val="2"/>
          <w:highlight w:val="none"/>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7048210F">
      <w:pPr>
        <w:pStyle w:val="29"/>
        <w:spacing w:after="0"/>
        <w:jc w:val="both"/>
        <w:rPr>
          <w:rFonts w:ascii="Arial" w:hAnsi="Arial" w:cs="Arial"/>
        </w:rPr>
      </w:pPr>
    </w:p>
    <w:p w14:paraId="5052544B">
      <w:pPr>
        <w:pStyle w:val="29"/>
        <w:spacing w:after="0"/>
        <w:jc w:val="both"/>
        <w:rPr>
          <w:rFonts w:ascii="Arial" w:hAnsi="Arial" w:cs="Arial"/>
        </w:rPr>
      </w:pPr>
      <w:r>
        <w:rPr>
          <w:rFonts w:ascii="Arial" w:hAnsi="Arial" w:cs="Arial"/>
        </w:rPr>
        <w:t>References</w:t>
      </w:r>
    </w:p>
    <w:p w14:paraId="232779B2">
      <w:pPr>
        <w:pStyle w:val="29"/>
        <w:spacing w:after="0"/>
        <w:jc w:val="both"/>
        <w:rPr>
          <w:rFonts w:ascii="Arial" w:hAnsi="Arial" w:cs="Arial"/>
        </w:rPr>
      </w:pPr>
    </w:p>
    <w:p w14:paraId="282FAF03">
      <w:pPr>
        <w:pStyle w:val="22"/>
        <w:rPr>
          <w:rFonts w:hint="default" w:ascii="Arial" w:hAnsi="Arial" w:cs="Arial"/>
          <w:lang w:val="en-GB"/>
        </w:rPr>
      </w:pPr>
      <w:r>
        <w:rPr>
          <w:rFonts w:ascii="Arial" w:hAnsi="Arial" w:cs="Arial"/>
          <w:lang w:val="en-GB"/>
        </w:rPr>
        <w:t xml:space="preserve">1. </w:t>
      </w:r>
      <w:r>
        <w:rPr>
          <w:rFonts w:hint="default" w:ascii="Arial" w:hAnsi="Arial" w:cs="Arial"/>
          <w:lang w:val="en-GB"/>
        </w:rPr>
        <w:t>Permadi, E., M. Sulastri, and R.B. Lestari. 2024. Nutrition and Organoleptic Quality of Beef Dendeng Cured using Kulim Leaf Solution (</w:t>
      </w:r>
      <w:r>
        <w:rPr>
          <w:rFonts w:hint="default" w:ascii="Arial" w:hAnsi="Arial" w:cs="Arial"/>
          <w:i/>
          <w:iCs/>
          <w:lang w:val="en-GB"/>
        </w:rPr>
        <w:t xml:space="preserve">Scorodocarpus borneensis </w:t>
      </w:r>
      <w:r>
        <w:rPr>
          <w:rFonts w:hint="default" w:ascii="Arial" w:hAnsi="Arial" w:cs="Arial"/>
          <w:i w:val="0"/>
          <w:iCs w:val="0"/>
          <w:lang w:val="en-GB"/>
        </w:rPr>
        <w:t>Becc.</w:t>
      </w:r>
      <w:r>
        <w:rPr>
          <w:rFonts w:hint="default" w:ascii="Arial" w:hAnsi="Arial" w:cs="Arial"/>
          <w:lang w:val="en-GB"/>
        </w:rPr>
        <w:t>). Food Science and Technology Journal. 7(2):141-150.</w:t>
      </w:r>
    </w:p>
    <w:p w14:paraId="32A2E72C">
      <w:pPr>
        <w:pStyle w:val="22"/>
        <w:numPr>
          <w:ilvl w:val="0"/>
          <w:numId w:val="7"/>
        </w:numPr>
      </w:pPr>
      <w:r>
        <w:rPr>
          <w:rFonts w:ascii="Arial" w:hAnsi="Arial" w:cs="Arial"/>
          <w:lang w:val="en-GB"/>
        </w:rPr>
        <w:t>Wardana, N.K., Soselisa, J.F., Zulfamy, et al. 2024. Training for MSMEs in Processed Fishery Products to Support Community Food Security in Jenilu Village, East Nusa Tenggara. Vocational Community Service. 1(2): 202-209.</w:t>
      </w:r>
    </w:p>
    <w:p w14:paraId="1AADC47E">
      <w:pPr>
        <w:pStyle w:val="22"/>
        <w:numPr>
          <w:ilvl w:val="0"/>
          <w:numId w:val="7"/>
        </w:numPr>
        <w:rPr>
          <w:rFonts w:ascii="Arial" w:hAnsi="Arial" w:cs="Arial"/>
          <w:lang w:val="en-GB"/>
        </w:rPr>
      </w:pPr>
      <w:r>
        <w:t xml:space="preserve">Aini, M., Rahayuni, S, Mardina, V, </w:t>
      </w:r>
      <w:r>
        <w:rPr>
          <w:i/>
        </w:rPr>
        <w:t>et al</w:t>
      </w:r>
      <w:r>
        <w:t>. 2021.</w:t>
      </w:r>
      <w:r>
        <w:rPr>
          <w:spacing w:val="-9"/>
        </w:rPr>
        <w:t xml:space="preserve"> </w:t>
      </w:r>
      <w:r>
        <w:rPr>
          <w:rFonts w:hint="default"/>
          <w:spacing w:val="-9"/>
          <w:lang w:val="en-GB"/>
        </w:rPr>
        <w:t>Lactonacillus spp Bacteria and Tehir Role in Life</w:t>
      </w:r>
      <w:r>
        <w:t>.</w:t>
      </w:r>
      <w:r>
        <w:rPr>
          <w:spacing w:val="-15"/>
        </w:rPr>
        <w:t xml:space="preserve"> </w:t>
      </w:r>
      <w:r>
        <w:rPr>
          <w:i/>
        </w:rPr>
        <w:t xml:space="preserve">Jurnal </w:t>
      </w:r>
      <w:r>
        <w:rPr>
          <w:i/>
          <w:spacing w:val="-2"/>
        </w:rPr>
        <w:t>Jeumpa</w:t>
      </w:r>
      <w:r>
        <w:rPr>
          <w:spacing w:val="-2"/>
        </w:rPr>
        <w:t>.</w:t>
      </w:r>
      <w:r>
        <w:tab/>
      </w:r>
      <w:r>
        <w:t>8(2):614-</w:t>
      </w:r>
      <w:r>
        <w:rPr>
          <w:spacing w:val="-4"/>
        </w:rPr>
        <w:t>624.</w:t>
      </w:r>
      <w:r>
        <w:fldChar w:fldCharType="begin"/>
      </w:r>
      <w:r>
        <w:instrText xml:space="preserve"> HYPERLINK "https://doi.org/10.33059/jj.v8i2.3154" \h </w:instrText>
      </w:r>
      <w:r>
        <w:fldChar w:fldCharType="separate"/>
      </w:r>
      <w:r>
        <w:rPr>
          <w:color w:val="0462C1"/>
          <w:spacing w:val="-2"/>
          <w:u w:val="single" w:color="0462C1"/>
        </w:rPr>
        <w:t>https://doi.org/10.33059/jj.v8i2.315</w:t>
      </w:r>
      <w:r>
        <w:rPr>
          <w:color w:val="0462C1"/>
          <w:spacing w:val="-2"/>
          <w:u w:val="single" w:color="0462C1"/>
        </w:rPr>
        <w:fldChar w:fldCharType="end"/>
      </w:r>
      <w:r>
        <w:fldChar w:fldCharType="begin"/>
      </w:r>
      <w:r>
        <w:instrText xml:space="preserve"> HYPERLINK "https://doi.org/10.33059/jj.v8i2.3154" \h </w:instrText>
      </w:r>
      <w:r>
        <w:fldChar w:fldCharType="separate"/>
      </w:r>
      <w:r>
        <w:rPr>
          <w:color w:val="0462C1"/>
          <w:spacing w:val="-10"/>
          <w:u w:val="single" w:color="0462C1"/>
        </w:rPr>
        <w:t>4</w:t>
      </w:r>
      <w:r>
        <w:rPr>
          <w:color w:val="0462C1"/>
          <w:spacing w:val="-10"/>
          <w:u w:val="single" w:color="0462C1"/>
        </w:rPr>
        <w:fldChar w:fldCharType="end"/>
      </w:r>
    </w:p>
    <w:p w14:paraId="5FEEF666">
      <w:pPr>
        <w:pStyle w:val="22"/>
        <w:numPr>
          <w:ilvl w:val="0"/>
          <w:numId w:val="7"/>
        </w:numPr>
        <w:rPr>
          <w:rFonts w:ascii="Arial" w:hAnsi="Arial" w:cs="Arial"/>
          <w:lang w:val="en-GB"/>
        </w:rPr>
      </w:pPr>
      <w:r>
        <w:rPr>
          <w:rFonts w:ascii="Arial" w:hAnsi="Arial" w:cs="Arial"/>
          <w:lang w:val="en-GB"/>
        </w:rPr>
        <w:t xml:space="preserve">Zhao, C., Dai, J., Chen, F., Zhao, Z., and Zhao, X. 2023. The effect of different sterilization methods on the shelf life and physicochemical indicators of fermented jerky. Frontiers in Nutrition. 10(3): 124-749. </w:t>
      </w:r>
      <w:r>
        <w:rPr>
          <w:rFonts w:ascii="Arial" w:hAnsi="Arial" w:cs="Arial"/>
          <w:lang w:val="en-GB"/>
        </w:rPr>
        <w:fldChar w:fldCharType="begin"/>
      </w:r>
      <w:r>
        <w:rPr>
          <w:rFonts w:ascii="Arial" w:hAnsi="Arial" w:cs="Arial"/>
          <w:lang w:val="en-GB"/>
        </w:rPr>
        <w:instrText xml:space="preserve"> HYPERLINK "https://doi.org/10.3389/fnut.2023.1240749" </w:instrText>
      </w:r>
      <w:r>
        <w:rPr>
          <w:rFonts w:ascii="Arial" w:hAnsi="Arial" w:cs="Arial"/>
          <w:lang w:val="en-GB"/>
        </w:rPr>
        <w:fldChar w:fldCharType="separate"/>
      </w:r>
      <w:r>
        <w:rPr>
          <w:rStyle w:val="15"/>
          <w:rFonts w:ascii="Arial" w:hAnsi="Arial" w:cs="Arial"/>
          <w:lang w:val="en-GB"/>
        </w:rPr>
        <w:t>https://doi.org/10.3389/fnut.2023.1240749</w:t>
      </w:r>
      <w:r>
        <w:rPr>
          <w:rFonts w:ascii="Arial" w:hAnsi="Arial" w:cs="Arial"/>
          <w:lang w:val="en-GB"/>
        </w:rPr>
        <w:fldChar w:fldCharType="end"/>
      </w:r>
    </w:p>
    <w:p w14:paraId="1CE9CD7A">
      <w:pPr>
        <w:pStyle w:val="22"/>
        <w:numPr>
          <w:ilvl w:val="0"/>
          <w:numId w:val="7"/>
        </w:numPr>
        <w:rPr>
          <w:rFonts w:ascii="Arial" w:hAnsi="Arial" w:cs="Arial"/>
          <w:lang w:val="en-GB"/>
        </w:rPr>
      </w:pPr>
      <w:r>
        <w:rPr>
          <w:rFonts w:ascii="Arial" w:hAnsi="Arial" w:cs="Arial"/>
          <w:lang w:val="en-GB"/>
        </w:rPr>
        <w:t xml:space="preserve">Aminah, S., Ramadhan T, Yanis M. 2015. Nutritional Content and Functional Properties of Moringa (Moringa oleifera) Plants. Journal of Urban Agriculture Bulletin. 5(2): 35-44. </w:t>
      </w:r>
      <w:r>
        <w:rPr>
          <w:rFonts w:ascii="Arial" w:hAnsi="Arial" w:cs="Arial"/>
          <w:lang w:val="en-GB"/>
        </w:rPr>
        <w:fldChar w:fldCharType="begin"/>
      </w:r>
      <w:r>
        <w:rPr>
          <w:rFonts w:ascii="Arial" w:hAnsi="Arial" w:cs="Arial"/>
          <w:lang w:val="en-GB"/>
        </w:rPr>
        <w:instrText xml:space="preserve"> HYPERLINK "https://doi.org/10.31849/forestra.v14i1.2847" </w:instrText>
      </w:r>
      <w:r>
        <w:rPr>
          <w:rFonts w:ascii="Arial" w:hAnsi="Arial" w:cs="Arial"/>
          <w:lang w:val="en-GB"/>
        </w:rPr>
        <w:fldChar w:fldCharType="separate"/>
      </w:r>
      <w:r>
        <w:rPr>
          <w:rStyle w:val="15"/>
          <w:rFonts w:ascii="Arial" w:hAnsi="Arial" w:cs="Arial"/>
          <w:lang w:val="en-GB"/>
        </w:rPr>
        <w:t>https://doi.org/10.31849/forestra.v14i1.2847</w:t>
      </w:r>
      <w:r>
        <w:rPr>
          <w:rFonts w:ascii="Arial" w:hAnsi="Arial" w:cs="Arial"/>
          <w:lang w:val="en-GB"/>
        </w:rPr>
        <w:fldChar w:fldCharType="end"/>
      </w:r>
    </w:p>
    <w:p w14:paraId="7534766E">
      <w:pPr>
        <w:pStyle w:val="22"/>
        <w:numPr>
          <w:ilvl w:val="0"/>
          <w:numId w:val="7"/>
        </w:numPr>
        <w:rPr>
          <w:rFonts w:ascii="Arial" w:hAnsi="Arial" w:cs="Arial"/>
          <w:lang w:val="en-GB"/>
        </w:rPr>
      </w:pPr>
      <w:r>
        <w:rPr>
          <w:rFonts w:ascii="Arial" w:hAnsi="Arial" w:cs="Arial"/>
          <w:lang w:val="en-GB"/>
        </w:rPr>
        <w:t xml:space="preserve">Kosim, A., Suryati, T., and Gunawan, A. 2015. Physical properties and antioxidant activity of beef jerky with added strawberries (Fragaria ananassa) as a curing agent. Journal of Animal Production Science and Technology. 3(3): 189-196. </w:t>
      </w:r>
      <w:r>
        <w:rPr>
          <w:rFonts w:ascii="Arial" w:hAnsi="Arial" w:cs="Arial"/>
          <w:lang w:val="en-GB"/>
        </w:rPr>
        <w:fldChar w:fldCharType="begin"/>
      </w:r>
      <w:r>
        <w:rPr>
          <w:rFonts w:ascii="Arial" w:hAnsi="Arial" w:cs="Arial"/>
          <w:lang w:val="en-GB"/>
        </w:rPr>
        <w:instrText xml:space="preserve"> HYPERLINK "http://dx.doi.org/10.29244/jipthp.4.1.218-226" </w:instrText>
      </w:r>
      <w:r>
        <w:rPr>
          <w:rFonts w:ascii="Arial" w:hAnsi="Arial" w:cs="Arial"/>
          <w:lang w:val="en-GB"/>
        </w:rPr>
        <w:fldChar w:fldCharType="separate"/>
      </w:r>
      <w:r>
        <w:rPr>
          <w:rStyle w:val="15"/>
          <w:rFonts w:ascii="Arial" w:hAnsi="Arial" w:cs="Arial"/>
          <w:lang w:val="en-GB"/>
        </w:rPr>
        <w:t>http://dx.doi.org/10.29244/jipthp.4.1.218-226</w:t>
      </w:r>
      <w:r>
        <w:rPr>
          <w:rFonts w:ascii="Arial" w:hAnsi="Arial" w:cs="Arial"/>
          <w:lang w:val="en-GB"/>
        </w:rPr>
        <w:fldChar w:fldCharType="end"/>
      </w:r>
    </w:p>
    <w:p w14:paraId="6A321D85">
      <w:pPr>
        <w:pStyle w:val="22"/>
        <w:numPr>
          <w:ilvl w:val="0"/>
          <w:numId w:val="7"/>
        </w:numPr>
        <w:rPr>
          <w:rFonts w:ascii="Arial" w:hAnsi="Arial" w:cs="Arial"/>
          <w:lang w:val="en-GB"/>
        </w:rPr>
      </w:pPr>
      <w:r>
        <w:rPr>
          <w:rFonts w:ascii="Arial" w:hAnsi="Arial" w:cs="Arial"/>
          <w:lang w:val="en-GB"/>
        </w:rPr>
        <w:t>AOAC. 2005. Official Methods of Analysis of the Association of Official Analytical Chemists International, 18th Edition. USA Association of Analytical Communities. Gaithersburg, Maryland.</w:t>
      </w:r>
    </w:p>
    <w:p w14:paraId="060EC8A0">
      <w:pPr>
        <w:pStyle w:val="22"/>
        <w:numPr>
          <w:ilvl w:val="0"/>
          <w:numId w:val="7"/>
        </w:numPr>
        <w:rPr>
          <w:rFonts w:ascii="Arial" w:hAnsi="Arial" w:cs="Arial"/>
          <w:lang w:val="en-GB"/>
        </w:rPr>
      </w:pPr>
      <w:r>
        <w:rPr>
          <w:rFonts w:ascii="Arial" w:hAnsi="Arial" w:cs="Arial"/>
          <w:lang w:val="en-GB"/>
        </w:rPr>
        <w:t>Febrianingsih, F., Hafid, H., and Indi, A. 2016. Organoleptic quality of beef jerky with different levels of brown sugar. Journal of Tropical Animal Science and Technology. 3(2): 10-15</w:t>
      </w:r>
      <w:r>
        <w:rPr>
          <w:rFonts w:hint="default" w:ascii="Arial" w:hAnsi="Arial" w:cs="Arial"/>
          <w:lang w:val="en-GB"/>
        </w:rPr>
        <w:t>.</w:t>
      </w:r>
    </w:p>
    <w:p w14:paraId="7CFF5B30">
      <w:pPr>
        <w:pStyle w:val="22"/>
        <w:numPr>
          <w:ilvl w:val="0"/>
          <w:numId w:val="7"/>
        </w:numPr>
        <w:rPr>
          <w:rFonts w:ascii="Arial" w:hAnsi="Arial" w:cs="Arial"/>
          <w:lang w:val="en-GB"/>
        </w:rPr>
      </w:pPr>
      <w:r>
        <w:rPr>
          <w:rFonts w:ascii="Arial" w:hAnsi="Arial" w:cs="Arial"/>
          <w:lang w:val="en-GB"/>
        </w:rPr>
        <w:t xml:space="preserve">Engelen, A. 2017. Sensory and color analysis in the wet-curing method of salted eggs. Technopreneur Journal (JTech). 5(1): 8-12. </w:t>
      </w:r>
      <w:r>
        <w:rPr>
          <w:rFonts w:ascii="Arial" w:hAnsi="Arial" w:cs="Arial"/>
          <w:lang w:val="en-GB"/>
        </w:rPr>
        <w:fldChar w:fldCharType="begin"/>
      </w:r>
      <w:r>
        <w:rPr>
          <w:rFonts w:ascii="Arial" w:hAnsi="Arial" w:cs="Arial"/>
          <w:lang w:val="en-GB"/>
        </w:rPr>
        <w:instrText xml:space="preserve"> HYPERLINK "https://doi.org/10.30869/jtech.v5i1.70" </w:instrText>
      </w:r>
      <w:r>
        <w:rPr>
          <w:rFonts w:ascii="Arial" w:hAnsi="Arial" w:cs="Arial"/>
          <w:lang w:val="en-GB"/>
        </w:rPr>
        <w:fldChar w:fldCharType="separate"/>
      </w:r>
      <w:r>
        <w:rPr>
          <w:rStyle w:val="15"/>
          <w:rFonts w:ascii="Arial" w:hAnsi="Arial" w:cs="Arial"/>
          <w:lang w:val="en-GB"/>
        </w:rPr>
        <w:t>https://doi.org/10.30869/jtech.v5i1.70</w:t>
      </w:r>
      <w:r>
        <w:rPr>
          <w:rFonts w:ascii="Arial" w:hAnsi="Arial" w:cs="Arial"/>
          <w:lang w:val="en-GB"/>
        </w:rPr>
        <w:fldChar w:fldCharType="end"/>
      </w:r>
    </w:p>
    <w:p w14:paraId="5ECC38D6">
      <w:pPr>
        <w:pStyle w:val="22"/>
        <w:numPr>
          <w:ilvl w:val="0"/>
          <w:numId w:val="7"/>
        </w:numPr>
        <w:rPr>
          <w:rFonts w:ascii="Arial" w:hAnsi="Arial" w:cs="Arial"/>
          <w:lang w:val="en-GB"/>
        </w:rPr>
      </w:pPr>
      <w:r>
        <w:rPr>
          <w:rFonts w:ascii="Arial" w:hAnsi="Arial" w:cs="Arial"/>
          <w:lang w:val="en-GB"/>
        </w:rPr>
        <w:t>Sakti, H., Lestari, S., and Supriadi, A. 2016. Changes in the quality of smoked snakehead fish (Channa striata) during storage. FishtecH Journal, 5(1): 11-18.</w:t>
      </w:r>
    </w:p>
    <w:p w14:paraId="4D0D0D04">
      <w:pPr>
        <w:pStyle w:val="22"/>
        <w:numPr>
          <w:ilvl w:val="0"/>
          <w:numId w:val="7"/>
        </w:numPr>
        <w:rPr>
          <w:rFonts w:ascii="Arial" w:hAnsi="Arial" w:cs="Arial"/>
          <w:lang w:val="en-GB"/>
        </w:rPr>
      </w:pPr>
      <w:r>
        <w:rPr>
          <w:rFonts w:ascii="Arial" w:hAnsi="Arial" w:cs="Arial"/>
          <w:lang w:val="en-GB"/>
        </w:rPr>
        <w:t>National Standardization Agency. 2013. Indonesian National Standard for Beef Jerky. SNI 01-1908:2013.</w:t>
      </w:r>
    </w:p>
    <w:p w14:paraId="5DDF5890">
      <w:pPr>
        <w:pStyle w:val="22"/>
        <w:numPr>
          <w:ilvl w:val="0"/>
          <w:numId w:val="7"/>
        </w:numPr>
        <w:rPr>
          <w:rFonts w:hint="default" w:ascii="Arial" w:hAnsi="Arial" w:cs="Arial"/>
          <w:sz w:val="20"/>
          <w:szCs w:val="20"/>
          <w:lang w:val="en-GB"/>
        </w:rPr>
      </w:pPr>
      <w:r>
        <w:rPr>
          <w:rFonts w:hint="default" w:ascii="Arial" w:hAnsi="Arial" w:cs="Arial"/>
          <w:sz w:val="20"/>
          <w:szCs w:val="20"/>
        </w:rPr>
        <w:t>Sabtu, B., dan Armadianto, H. 2019. Effect of soaking duration in red ginger extract (</w:t>
      </w:r>
      <w:r>
        <w:rPr>
          <w:rFonts w:hint="default" w:ascii="Arial" w:hAnsi="Arial" w:cs="Arial"/>
          <w:i/>
          <w:sz w:val="20"/>
          <w:szCs w:val="20"/>
        </w:rPr>
        <w:t>Zingiber officinalle rosc</w:t>
      </w:r>
      <w:r>
        <w:rPr>
          <w:rFonts w:hint="default" w:ascii="Arial" w:hAnsi="Arial" w:cs="Arial"/>
          <w:sz w:val="20"/>
          <w:szCs w:val="20"/>
        </w:rPr>
        <w:t>) on the chemical and organoleptic</w:t>
      </w:r>
      <w:r>
        <w:rPr>
          <w:rFonts w:hint="default" w:ascii="Arial" w:hAnsi="Arial" w:cs="Arial"/>
          <w:sz w:val="20"/>
          <w:szCs w:val="20"/>
          <w:lang w:val="en-GB"/>
        </w:rPr>
        <w:t xml:space="preserve"> </w:t>
      </w:r>
      <w:r>
        <w:rPr>
          <w:rFonts w:hint="default" w:ascii="Arial" w:hAnsi="Arial" w:cs="Arial"/>
          <w:sz w:val="20"/>
          <w:szCs w:val="20"/>
        </w:rPr>
        <w:t>properties.</w:t>
      </w:r>
      <w:r>
        <w:rPr>
          <w:rFonts w:hint="default" w:ascii="Arial" w:hAnsi="Arial" w:cs="Arial"/>
          <w:spacing w:val="-4"/>
          <w:sz w:val="20"/>
          <w:szCs w:val="20"/>
        </w:rPr>
        <w:t xml:space="preserve"> </w:t>
      </w:r>
      <w:r>
        <w:rPr>
          <w:rFonts w:hint="default" w:ascii="Arial" w:hAnsi="Arial" w:cs="Arial"/>
          <w:i/>
          <w:sz w:val="20"/>
          <w:szCs w:val="20"/>
        </w:rPr>
        <w:t>Jurnal</w:t>
      </w:r>
      <w:r>
        <w:rPr>
          <w:rFonts w:hint="default" w:ascii="Arial" w:hAnsi="Arial" w:cs="Arial"/>
          <w:i/>
          <w:spacing w:val="40"/>
          <w:sz w:val="20"/>
          <w:szCs w:val="20"/>
        </w:rPr>
        <w:t xml:space="preserve"> </w:t>
      </w:r>
      <w:r>
        <w:rPr>
          <w:rFonts w:hint="default" w:ascii="Arial" w:hAnsi="Arial" w:cs="Arial"/>
          <w:i/>
          <w:sz w:val="20"/>
          <w:szCs w:val="20"/>
        </w:rPr>
        <w:t>Peternakan</w:t>
      </w:r>
      <w:r>
        <w:rPr>
          <w:rFonts w:hint="default" w:ascii="Arial" w:hAnsi="Arial" w:cs="Arial"/>
          <w:i/>
          <w:spacing w:val="40"/>
          <w:sz w:val="20"/>
          <w:szCs w:val="20"/>
        </w:rPr>
        <w:t xml:space="preserve"> </w:t>
      </w:r>
      <w:r>
        <w:rPr>
          <w:rFonts w:hint="default" w:ascii="Arial" w:hAnsi="Arial" w:cs="Arial"/>
          <w:i/>
          <w:sz w:val="20"/>
          <w:szCs w:val="20"/>
        </w:rPr>
        <w:t>Lahan Kering</w:t>
      </w:r>
      <w:r>
        <w:rPr>
          <w:rFonts w:hint="default" w:ascii="Arial" w:hAnsi="Arial" w:cs="Arial"/>
          <w:sz w:val="20"/>
          <w:szCs w:val="20"/>
        </w:rPr>
        <w:t xml:space="preserve">, </w:t>
      </w:r>
      <w:r>
        <w:rPr>
          <w:rFonts w:hint="default" w:ascii="Arial" w:hAnsi="Arial" w:cs="Arial"/>
          <w:i/>
          <w:sz w:val="20"/>
          <w:szCs w:val="20"/>
        </w:rPr>
        <w:t>1</w:t>
      </w:r>
      <w:r>
        <w:rPr>
          <w:rFonts w:hint="default" w:ascii="Arial" w:hAnsi="Arial" w:cs="Arial"/>
          <w:sz w:val="20"/>
          <w:szCs w:val="20"/>
        </w:rPr>
        <w:t>(3): 490-497</w:t>
      </w:r>
    </w:p>
    <w:p w14:paraId="37C8CE48">
      <w:pPr>
        <w:pStyle w:val="22"/>
        <w:numPr>
          <w:ilvl w:val="0"/>
          <w:numId w:val="7"/>
        </w:numPr>
        <w:rPr>
          <w:rFonts w:ascii="Arial" w:hAnsi="Arial" w:cs="Arial"/>
          <w:lang w:val="en-GB"/>
        </w:rPr>
      </w:pPr>
      <w:r>
        <w:rPr>
          <w:rFonts w:ascii="Arial" w:hAnsi="Arial" w:cs="Arial"/>
          <w:lang w:val="en-GB"/>
        </w:rPr>
        <w:t xml:space="preserve">Waryat, W., and Handayani, Y. 2020. Implementation of packaging types to extend the shelf life of bok choy. Jurnal Ilmiah Respati. 11(1): 33-45. </w:t>
      </w:r>
      <w:r>
        <w:rPr>
          <w:rFonts w:ascii="Arial" w:hAnsi="Arial" w:cs="Arial"/>
          <w:lang w:val="en-GB"/>
        </w:rPr>
        <w:fldChar w:fldCharType="begin"/>
      </w:r>
      <w:r>
        <w:rPr>
          <w:rFonts w:ascii="Arial" w:hAnsi="Arial" w:cs="Arial"/>
          <w:lang w:val="en-GB"/>
        </w:rPr>
        <w:instrText xml:space="preserve"> HYPERLINK "https://doi.org/10.52643/jir.v11i1.847" </w:instrText>
      </w:r>
      <w:r>
        <w:rPr>
          <w:rFonts w:ascii="Arial" w:hAnsi="Arial" w:cs="Arial"/>
          <w:lang w:val="en-GB"/>
        </w:rPr>
        <w:fldChar w:fldCharType="separate"/>
      </w:r>
      <w:r>
        <w:rPr>
          <w:rStyle w:val="15"/>
          <w:rFonts w:ascii="Arial" w:hAnsi="Arial" w:cs="Arial"/>
          <w:lang w:val="en-GB"/>
        </w:rPr>
        <w:t>https://doi.org/10.52643/jir.v11i1.847</w:t>
      </w:r>
      <w:r>
        <w:rPr>
          <w:rFonts w:ascii="Arial" w:hAnsi="Arial" w:cs="Arial"/>
          <w:lang w:val="en-GB"/>
        </w:rPr>
        <w:fldChar w:fldCharType="end"/>
      </w:r>
    </w:p>
    <w:p w14:paraId="3776EC6D">
      <w:pPr>
        <w:pStyle w:val="22"/>
        <w:numPr>
          <w:ilvl w:val="0"/>
          <w:numId w:val="7"/>
        </w:numPr>
        <w:rPr>
          <w:rFonts w:ascii="Arial" w:hAnsi="Arial" w:cs="Arial"/>
          <w:lang w:val="en-GB"/>
        </w:rPr>
      </w:pPr>
      <w:r>
        <w:rPr>
          <w:rFonts w:ascii="Arial" w:hAnsi="Arial" w:cs="Arial"/>
          <w:lang w:val="en-GB"/>
        </w:rPr>
        <w:t>Ramamurthy, S., Varghese, S., Sudarsan, et al. 2021. Moringa oleifera: antioxidant, anticancer, anti-inflammatory, and related properties of extracts in cell lines: a review of medicinal effects, phytochemistry, and applications. Journal of Contemporary Dental Practice, 22(12): 1483-1492. https://doi.org/10.5005/jp-journals- 10024-3187</w:t>
      </w:r>
    </w:p>
    <w:p w14:paraId="5240E3E4">
      <w:pPr>
        <w:pStyle w:val="22"/>
        <w:numPr>
          <w:ilvl w:val="0"/>
          <w:numId w:val="7"/>
        </w:numPr>
        <w:rPr>
          <w:rFonts w:ascii="Arial" w:hAnsi="Arial" w:cs="Arial"/>
          <w:lang w:val="en-GB"/>
        </w:rPr>
      </w:pPr>
      <w:r>
        <w:rPr>
          <w:rFonts w:ascii="Arial" w:hAnsi="Arial" w:cs="Arial"/>
          <w:lang w:val="en-GB"/>
        </w:rPr>
        <w:t xml:space="preserve">Moura-Alves, M., Esteves, A., Ciríaco, M., Silva, J. A., and Saraiva, C. 2023. Antimicrobial and antioxidant edible films and coatings in the shelf-life improvement of chicken meat. Foods. 12(12): 23-28. </w:t>
      </w:r>
      <w:r>
        <w:rPr>
          <w:rFonts w:ascii="Arial" w:hAnsi="Arial" w:cs="Arial"/>
          <w:lang w:val="en-GB"/>
        </w:rPr>
        <w:fldChar w:fldCharType="begin"/>
      </w:r>
      <w:r>
        <w:rPr>
          <w:rFonts w:ascii="Arial" w:hAnsi="Arial" w:cs="Arial"/>
          <w:lang w:val="en-GB"/>
        </w:rPr>
        <w:instrText xml:space="preserve"> HYPERLINK "https://doi.org/10.3390/foods12122308" </w:instrText>
      </w:r>
      <w:r>
        <w:rPr>
          <w:rFonts w:ascii="Arial" w:hAnsi="Arial" w:cs="Arial"/>
          <w:lang w:val="en-GB"/>
        </w:rPr>
        <w:fldChar w:fldCharType="separate"/>
      </w:r>
      <w:r>
        <w:rPr>
          <w:rStyle w:val="15"/>
          <w:rFonts w:ascii="Arial" w:hAnsi="Arial" w:cs="Arial"/>
          <w:lang w:val="en-GB"/>
        </w:rPr>
        <w:t>https://doi.org/10.3390/foods12122308</w:t>
      </w:r>
      <w:r>
        <w:rPr>
          <w:rFonts w:ascii="Arial" w:hAnsi="Arial" w:cs="Arial"/>
          <w:lang w:val="en-GB"/>
        </w:rPr>
        <w:fldChar w:fldCharType="end"/>
      </w:r>
    </w:p>
    <w:p w14:paraId="54707FA5">
      <w:pPr>
        <w:pStyle w:val="22"/>
        <w:numPr>
          <w:ilvl w:val="0"/>
          <w:numId w:val="7"/>
        </w:numPr>
        <w:rPr>
          <w:rFonts w:ascii="Arial" w:hAnsi="Arial" w:cs="Arial"/>
          <w:lang w:val="en-GB"/>
        </w:rPr>
      </w:pPr>
      <w:r>
        <w:rPr>
          <w:rFonts w:ascii="Arial" w:hAnsi="Arial" w:cs="Arial"/>
          <w:lang w:val="en-GB"/>
        </w:rPr>
        <w:t xml:space="preserve">Utami, E. T. W., and Qohar, A. F. 2022. The Effect of Different Spice Additions on the Organoleptic Properties of Chicken Nuggets. Journal of Animal Science and Technology. 10(2): 52-58. </w:t>
      </w:r>
      <w:r>
        <w:rPr>
          <w:rFonts w:ascii="Arial" w:hAnsi="Arial" w:cs="Arial"/>
          <w:lang w:val="en-GB"/>
        </w:rPr>
        <w:fldChar w:fldCharType="begin"/>
      </w:r>
      <w:r>
        <w:rPr>
          <w:rFonts w:ascii="Arial" w:hAnsi="Arial" w:cs="Arial"/>
          <w:lang w:val="en-GB"/>
        </w:rPr>
        <w:instrText xml:space="preserve"> HYPERLINK "https://doi.org/10.20956/jitp.v10i2.22171" </w:instrText>
      </w:r>
      <w:r>
        <w:rPr>
          <w:rFonts w:ascii="Arial" w:hAnsi="Arial" w:cs="Arial"/>
          <w:lang w:val="en-GB"/>
        </w:rPr>
        <w:fldChar w:fldCharType="separate"/>
      </w:r>
      <w:r>
        <w:rPr>
          <w:rStyle w:val="15"/>
          <w:rFonts w:ascii="Arial" w:hAnsi="Arial" w:cs="Arial"/>
          <w:lang w:val="en-GB"/>
        </w:rPr>
        <w:t>https://doi.org/10.20956/jitp.v10i2.22171</w:t>
      </w:r>
      <w:r>
        <w:rPr>
          <w:rFonts w:ascii="Arial" w:hAnsi="Arial" w:cs="Arial"/>
          <w:lang w:val="en-GB"/>
        </w:rPr>
        <w:fldChar w:fldCharType="end"/>
      </w:r>
    </w:p>
    <w:p w14:paraId="142AE364">
      <w:pPr>
        <w:pStyle w:val="22"/>
        <w:numPr>
          <w:ilvl w:val="0"/>
          <w:numId w:val="7"/>
        </w:numPr>
        <w:rPr>
          <w:rFonts w:ascii="Arial" w:hAnsi="Arial" w:cs="Arial"/>
          <w:lang w:val="en-GB"/>
        </w:rPr>
      </w:pPr>
      <w:r>
        <w:rPr>
          <w:rFonts w:ascii="Arial" w:hAnsi="Arial" w:cs="Arial"/>
          <w:lang w:val="en-GB"/>
        </w:rPr>
        <w:t xml:space="preserve">Hermayasari, A. D., E. Harlia, and E.T. Marlina. 2015. The Effect of Beeswax as an Edible Coating on Ground Beef Jerky on Total Bacteria and Staphylococcus aureus Counts. Students e-Journal. 4(4): 1-8. </w:t>
      </w:r>
      <w:r>
        <w:rPr>
          <w:rFonts w:ascii="Arial" w:hAnsi="Arial" w:cs="Arial"/>
          <w:lang w:val="en-GB"/>
        </w:rPr>
        <w:fldChar w:fldCharType="begin"/>
      </w:r>
      <w:r>
        <w:rPr>
          <w:rFonts w:ascii="Arial" w:hAnsi="Arial" w:cs="Arial"/>
          <w:lang w:val="en-GB"/>
        </w:rPr>
        <w:instrText xml:space="preserve"> HYPERLINK "https://doi.org/10.33019/enviagro.v9i1.4362" </w:instrText>
      </w:r>
      <w:r>
        <w:rPr>
          <w:rFonts w:ascii="Arial" w:hAnsi="Arial" w:cs="Arial"/>
          <w:lang w:val="en-GB"/>
        </w:rPr>
        <w:fldChar w:fldCharType="separate"/>
      </w:r>
      <w:r>
        <w:rPr>
          <w:rStyle w:val="15"/>
          <w:rFonts w:ascii="Arial" w:hAnsi="Arial" w:cs="Arial"/>
          <w:lang w:val="en-GB"/>
        </w:rPr>
        <w:t>https://doi.org/10.33019/enviagro.v9i1.4362</w:t>
      </w:r>
      <w:r>
        <w:rPr>
          <w:rFonts w:ascii="Arial" w:hAnsi="Arial" w:cs="Arial"/>
          <w:lang w:val="en-GB"/>
        </w:rPr>
        <w:fldChar w:fldCharType="end"/>
      </w:r>
    </w:p>
    <w:p w14:paraId="50A8A38F">
      <w:pPr>
        <w:pStyle w:val="22"/>
        <w:numPr>
          <w:ilvl w:val="0"/>
          <w:numId w:val="7"/>
        </w:numPr>
        <w:rPr>
          <w:rFonts w:ascii="Arial" w:hAnsi="Arial" w:cs="Arial"/>
          <w:lang w:val="en-GB"/>
        </w:rPr>
      </w:pPr>
      <w:r>
        <w:rPr>
          <w:rFonts w:ascii="Arial" w:hAnsi="Arial" w:cs="Arial"/>
          <w:lang w:val="en-GB"/>
        </w:rPr>
        <w:t xml:space="preserve">Sugiarto, S., and Marfuah, N. 2023. Chemical and Organoleptic Quality of Beef Jerky with Different Air Cavity Size Packaging. In Proceedings of the National Seminar on Agricultural Vocational Development and Education. 4(1): 350-362. </w:t>
      </w:r>
      <w:r>
        <w:rPr>
          <w:rFonts w:ascii="Arial" w:hAnsi="Arial" w:cs="Arial"/>
          <w:lang w:val="en-GB"/>
        </w:rPr>
        <w:fldChar w:fldCharType="begin"/>
      </w:r>
      <w:r>
        <w:rPr>
          <w:rFonts w:ascii="Arial" w:hAnsi="Arial" w:cs="Arial"/>
          <w:lang w:val="en-GB"/>
        </w:rPr>
        <w:instrText xml:space="preserve"> HYPERLINK "https://doi.org/10.47687/snppvp.v4i1.658" </w:instrText>
      </w:r>
      <w:r>
        <w:rPr>
          <w:rFonts w:ascii="Arial" w:hAnsi="Arial" w:cs="Arial"/>
          <w:lang w:val="en-GB"/>
        </w:rPr>
        <w:fldChar w:fldCharType="separate"/>
      </w:r>
      <w:r>
        <w:rPr>
          <w:rStyle w:val="15"/>
          <w:rFonts w:ascii="Arial" w:hAnsi="Arial" w:cs="Arial"/>
          <w:lang w:val="en-GB"/>
        </w:rPr>
        <w:t>https://doi.org/10.47687/snppvp.v4i1.658</w:t>
      </w:r>
      <w:r>
        <w:rPr>
          <w:rFonts w:ascii="Arial" w:hAnsi="Arial" w:cs="Arial"/>
          <w:lang w:val="en-GB"/>
        </w:rPr>
        <w:fldChar w:fldCharType="end"/>
      </w:r>
    </w:p>
    <w:p w14:paraId="7AB230C5">
      <w:pPr>
        <w:pStyle w:val="22"/>
        <w:numPr>
          <w:ilvl w:val="0"/>
          <w:numId w:val="7"/>
        </w:numPr>
        <w:rPr>
          <w:rFonts w:ascii="Arial" w:hAnsi="Arial" w:cs="Arial"/>
          <w:lang w:val="en-GB"/>
        </w:rPr>
      </w:pPr>
      <w:r>
        <w:rPr>
          <w:rFonts w:ascii="Arial" w:hAnsi="Arial" w:cs="Arial"/>
          <w:lang w:val="en-GB"/>
        </w:rPr>
        <w:t xml:space="preserve">Ina, Y. T., Mehang, K. D., Sawula, A. Y. B., Hamalinda, et al. 2021. Utilization of kesambi wood (SchleicheraOleosa.Merr) as a smoking material and its effect on the physicochemical and organoleptic properties of beef jerky. Agricultural Journal. 12(1): 24-30. </w:t>
      </w:r>
      <w:r>
        <w:rPr>
          <w:rFonts w:ascii="Arial" w:hAnsi="Arial" w:cs="Arial"/>
          <w:lang w:val="en-GB"/>
        </w:rPr>
        <w:fldChar w:fldCharType="begin"/>
      </w:r>
      <w:r>
        <w:rPr>
          <w:rFonts w:ascii="Arial" w:hAnsi="Arial" w:cs="Arial"/>
          <w:lang w:val="en-GB"/>
        </w:rPr>
        <w:instrText xml:space="preserve"> HYPERLINK "https://doi.org/10.30997/jp.v12i1.4058" </w:instrText>
      </w:r>
      <w:r>
        <w:rPr>
          <w:rFonts w:ascii="Arial" w:hAnsi="Arial" w:cs="Arial"/>
          <w:lang w:val="en-GB"/>
        </w:rPr>
        <w:fldChar w:fldCharType="separate"/>
      </w:r>
      <w:r>
        <w:rPr>
          <w:rStyle w:val="15"/>
          <w:rFonts w:ascii="Arial" w:hAnsi="Arial" w:cs="Arial"/>
          <w:lang w:val="en-GB"/>
        </w:rPr>
        <w:t>https://doi.org/10.30997/jp.v12i1.405</w:t>
      </w:r>
      <w:r>
        <w:rPr>
          <w:rStyle w:val="15"/>
          <w:rFonts w:hint="default" w:ascii="Arial" w:hAnsi="Arial" w:cs="Arial"/>
          <w:lang w:val="en-GB"/>
        </w:rPr>
        <w:t>8</w:t>
      </w:r>
      <w:r>
        <w:rPr>
          <w:rFonts w:ascii="Arial" w:hAnsi="Arial" w:cs="Arial"/>
          <w:lang w:val="en-GB"/>
        </w:rPr>
        <w:fldChar w:fldCharType="end"/>
      </w:r>
      <w:r>
        <w:rPr>
          <w:rFonts w:hint="default" w:ascii="Arial" w:hAnsi="Arial" w:cs="Arial"/>
          <w:lang w:val="en-GB"/>
        </w:rPr>
        <w:t xml:space="preserve"> </w:t>
      </w:r>
    </w:p>
    <w:p w14:paraId="3D8B40E7">
      <w:pPr>
        <w:pStyle w:val="22"/>
        <w:numPr>
          <w:ilvl w:val="0"/>
          <w:numId w:val="7"/>
        </w:numPr>
        <w:rPr>
          <w:rFonts w:ascii="Arial" w:hAnsi="Arial" w:cs="Arial"/>
          <w:lang w:val="en-GB"/>
        </w:rPr>
      </w:pPr>
      <w:r>
        <w:rPr>
          <w:rFonts w:ascii="Arial" w:hAnsi="Arial" w:cs="Arial"/>
          <w:lang w:val="en-GB"/>
        </w:rPr>
        <w:t xml:space="preserve">Fazila, N., Fitri, C. A., and Yurliasni, Y. 2023. Microbiological, pH, and Moisture Content Study of Fast-Food Beef Jerky Using Commercial Instant Aceh Seasoning. Scientific Journal of Agricultural Students. 8(4): 356-363. </w:t>
      </w:r>
      <w:r>
        <w:rPr>
          <w:rFonts w:ascii="Arial" w:hAnsi="Arial" w:cs="Arial"/>
          <w:lang w:val="en-GB"/>
        </w:rPr>
        <w:fldChar w:fldCharType="begin"/>
      </w:r>
      <w:r>
        <w:rPr>
          <w:rFonts w:ascii="Arial" w:hAnsi="Arial" w:cs="Arial"/>
          <w:lang w:val="en-GB"/>
        </w:rPr>
        <w:instrText xml:space="preserve"> HYPERLINK "https://doi.org/10.17969/jimfp.v8i4.27784" </w:instrText>
      </w:r>
      <w:r>
        <w:rPr>
          <w:rFonts w:ascii="Arial" w:hAnsi="Arial" w:cs="Arial"/>
          <w:lang w:val="en-GB"/>
        </w:rPr>
        <w:fldChar w:fldCharType="separate"/>
      </w:r>
      <w:r>
        <w:rPr>
          <w:rStyle w:val="15"/>
          <w:rFonts w:ascii="Arial" w:hAnsi="Arial" w:cs="Arial"/>
          <w:lang w:val="en-GB"/>
        </w:rPr>
        <w:t>https://doi.org/10.17969/jimfp.v8i4.27784</w:t>
      </w:r>
      <w:r>
        <w:rPr>
          <w:rFonts w:ascii="Arial" w:hAnsi="Arial" w:cs="Arial"/>
          <w:lang w:val="en-GB"/>
        </w:rPr>
        <w:fldChar w:fldCharType="end"/>
      </w:r>
    </w:p>
    <w:p w14:paraId="4AA12EA1">
      <w:pPr>
        <w:pStyle w:val="22"/>
        <w:numPr>
          <w:ilvl w:val="0"/>
          <w:numId w:val="7"/>
        </w:numPr>
        <w:rPr>
          <w:rFonts w:ascii="Arial" w:hAnsi="Arial" w:cs="Arial"/>
          <w:lang w:val="en-GB"/>
        </w:rPr>
      </w:pPr>
      <w:r>
        <w:rPr>
          <w:rFonts w:ascii="Arial" w:hAnsi="Arial" w:cs="Arial"/>
          <w:lang w:val="en-GB"/>
        </w:rPr>
        <w:t xml:space="preserve">Laura W. 2016. Conference on ‘The future of animal products in the human diet: health and environmental concerns’ Symposium 1: Meat, health, and sustainability. Proceedings of the Nutrition Society. 75(1): 227–232. </w:t>
      </w:r>
      <w:r>
        <w:rPr>
          <w:rFonts w:ascii="Arial" w:hAnsi="Arial" w:cs="Arial"/>
          <w:lang w:val="en-GB"/>
        </w:rPr>
        <w:fldChar w:fldCharType="begin"/>
      </w:r>
      <w:r>
        <w:rPr>
          <w:rFonts w:ascii="Arial" w:hAnsi="Arial" w:cs="Arial"/>
          <w:lang w:val="en-GB"/>
        </w:rPr>
        <w:instrText xml:space="preserve"> HYPERLINK "https://doi.org/10.1017/S0029665115004267" </w:instrText>
      </w:r>
      <w:r>
        <w:rPr>
          <w:rFonts w:ascii="Arial" w:hAnsi="Arial" w:cs="Arial"/>
          <w:lang w:val="en-GB"/>
        </w:rPr>
        <w:fldChar w:fldCharType="separate"/>
      </w:r>
      <w:r>
        <w:rPr>
          <w:rStyle w:val="15"/>
          <w:rFonts w:ascii="Arial" w:hAnsi="Arial" w:cs="Arial"/>
          <w:lang w:val="en-GB"/>
        </w:rPr>
        <w:t>https://doi.org/10.1017/S0029665115004267</w:t>
      </w:r>
      <w:r>
        <w:rPr>
          <w:rFonts w:ascii="Arial" w:hAnsi="Arial" w:cs="Arial"/>
          <w:lang w:val="en-GB"/>
        </w:rPr>
        <w:fldChar w:fldCharType="end"/>
      </w:r>
    </w:p>
    <w:p w14:paraId="19B5A2DB">
      <w:pPr>
        <w:pStyle w:val="22"/>
        <w:numPr>
          <w:ilvl w:val="0"/>
          <w:numId w:val="7"/>
        </w:numPr>
        <w:rPr>
          <w:rFonts w:ascii="Arial" w:hAnsi="Arial" w:cs="Arial"/>
          <w:lang w:val="en-GB"/>
        </w:rPr>
      </w:pPr>
      <w:r>
        <w:rPr>
          <w:rFonts w:ascii="Arial" w:hAnsi="Arial" w:cs="Arial"/>
          <w:lang w:val="en-GB"/>
        </w:rPr>
        <w:t xml:space="preserve">Dennis R. Heldman and D. Keith. 2022. Food Science: An Introduction. Cambridge University Press. </w:t>
      </w:r>
      <w:r>
        <w:rPr>
          <w:rFonts w:ascii="Arial" w:hAnsi="Arial" w:cs="Arial"/>
          <w:lang w:val="en-GB"/>
        </w:rPr>
        <w:fldChar w:fldCharType="begin"/>
      </w:r>
      <w:r>
        <w:rPr>
          <w:rFonts w:ascii="Arial" w:hAnsi="Arial" w:cs="Arial"/>
          <w:lang w:val="en-GB"/>
        </w:rPr>
        <w:instrText xml:space="preserve"> HYPERLINK "https://doi.org/10.17226/25059" </w:instrText>
      </w:r>
      <w:r>
        <w:rPr>
          <w:rFonts w:ascii="Arial" w:hAnsi="Arial" w:cs="Arial"/>
          <w:lang w:val="en-GB"/>
        </w:rPr>
        <w:fldChar w:fldCharType="separate"/>
      </w:r>
      <w:r>
        <w:rPr>
          <w:rStyle w:val="15"/>
          <w:rFonts w:ascii="Arial" w:hAnsi="Arial" w:cs="Arial"/>
          <w:lang w:val="en-GB"/>
        </w:rPr>
        <w:t>https://doi.org/10.17226/25059</w:t>
      </w:r>
      <w:r>
        <w:rPr>
          <w:rFonts w:ascii="Arial" w:hAnsi="Arial" w:cs="Arial"/>
          <w:lang w:val="en-GB"/>
        </w:rPr>
        <w:fldChar w:fldCharType="end"/>
      </w:r>
    </w:p>
    <w:p w14:paraId="298C33A0">
      <w:pPr>
        <w:pStyle w:val="22"/>
        <w:numPr>
          <w:ilvl w:val="0"/>
          <w:numId w:val="7"/>
        </w:numPr>
        <w:rPr>
          <w:rFonts w:ascii="Arial" w:hAnsi="Arial" w:cs="Arial"/>
          <w:lang w:val="en-GB"/>
        </w:rPr>
      </w:pPr>
      <w:r>
        <w:rPr>
          <w:rFonts w:ascii="Arial" w:hAnsi="Arial" w:cs="Arial"/>
          <w:lang w:val="en-GB"/>
        </w:rPr>
        <w:t>Kumar, P. K., Rasco, B. A., Tang, J. 2020. State/phase transitions, ice recrystallization, and quality changes in frozen foods subjected to temperature fluctuations. Food Engineering Reviews.12 : 421-451. DOI:10.1007/s12393-020-09255-8</w:t>
      </w:r>
    </w:p>
    <w:p w14:paraId="1F370778">
      <w:pPr>
        <w:pStyle w:val="22"/>
        <w:numPr>
          <w:ilvl w:val="0"/>
          <w:numId w:val="7"/>
        </w:numPr>
        <w:rPr>
          <w:rFonts w:ascii="Arial" w:hAnsi="Arial" w:cs="Arial"/>
          <w:lang w:val="en-GB"/>
        </w:rPr>
      </w:pPr>
      <w:r>
        <w:rPr>
          <w:rFonts w:ascii="Arial" w:hAnsi="Arial" w:cs="Arial"/>
          <w:lang w:val="en-GB"/>
        </w:rPr>
        <w:t>Saraiva, A., Carrascosa, C., Ramos, F., et al. 2023. Coconut sugar: chemical analysis and nutritional profile; health impacts; safety and quality control; food industry applications. International journal of environmental research and public health. 20(4) : 3</w:t>
      </w:r>
      <w:r>
        <w:t xml:space="preserve"> </w:t>
      </w:r>
      <w:r>
        <w:rPr>
          <w:rFonts w:ascii="Arial" w:hAnsi="Arial" w:cs="Arial"/>
          <w:lang w:val="en-GB"/>
        </w:rPr>
        <w:t xml:space="preserve">671. </w:t>
      </w:r>
      <w:r>
        <w:rPr>
          <w:rFonts w:ascii="Arial" w:hAnsi="Arial" w:cs="Arial"/>
          <w:lang w:val="en-GB"/>
        </w:rPr>
        <w:fldChar w:fldCharType="begin"/>
      </w:r>
      <w:r>
        <w:rPr>
          <w:rFonts w:ascii="Arial" w:hAnsi="Arial" w:cs="Arial"/>
          <w:lang w:val="en-GB"/>
        </w:rPr>
        <w:instrText xml:space="preserve"> HYPERLINK "https://doi.org/10.3390/ijerph20043671" </w:instrText>
      </w:r>
      <w:r>
        <w:rPr>
          <w:rFonts w:ascii="Arial" w:hAnsi="Arial" w:cs="Arial"/>
          <w:lang w:val="en-GB"/>
        </w:rPr>
        <w:fldChar w:fldCharType="separate"/>
      </w:r>
      <w:r>
        <w:rPr>
          <w:rStyle w:val="15"/>
          <w:rFonts w:ascii="Arial" w:hAnsi="Arial" w:cs="Arial"/>
          <w:lang w:val="en-GB"/>
        </w:rPr>
        <w:t>https://doi.org/10.3390/ijerph20043671</w:t>
      </w:r>
      <w:r>
        <w:rPr>
          <w:rFonts w:ascii="Arial" w:hAnsi="Arial" w:cs="Arial"/>
          <w:lang w:val="en-GB"/>
        </w:rPr>
        <w:fldChar w:fldCharType="end"/>
      </w:r>
    </w:p>
    <w:p w14:paraId="2970FFEC">
      <w:pPr>
        <w:pStyle w:val="22"/>
        <w:numPr>
          <w:ilvl w:val="0"/>
          <w:numId w:val="7"/>
        </w:numPr>
        <w:rPr>
          <w:rFonts w:ascii="Arial" w:hAnsi="Arial" w:cs="Arial"/>
          <w:lang w:val="en-GB"/>
        </w:rPr>
      </w:pPr>
      <w:r>
        <w:rPr>
          <w:rFonts w:ascii="Arial" w:hAnsi="Arial" w:cs="Arial"/>
          <w:lang w:val="en-GB"/>
        </w:rPr>
        <w:t>Sari, M. T., and Harini, S. A. 2021. Food Chemistry and Nutrition: Principles and Applications. Andi Publishers. Yogyakarta</w:t>
      </w:r>
    </w:p>
    <w:p w14:paraId="66993E4F">
      <w:pPr>
        <w:pStyle w:val="22"/>
        <w:numPr>
          <w:ilvl w:val="0"/>
          <w:numId w:val="7"/>
        </w:numPr>
        <w:rPr>
          <w:rFonts w:ascii="Arial" w:hAnsi="Arial" w:cs="Arial"/>
          <w:lang w:val="en-GB"/>
        </w:rPr>
      </w:pPr>
      <w:r>
        <w:rPr>
          <w:rFonts w:ascii="Arial" w:hAnsi="Arial" w:cs="Arial"/>
          <w:lang w:val="en-GB"/>
        </w:rPr>
        <w:t>Budianto, H. 2021. Meat Science and Technology: Latest Concepts and Applications. Gadjah Mada University Publishers. Yogyakarta. ISBN: 978-979-420-890-2.</w:t>
      </w:r>
    </w:p>
    <w:p w14:paraId="7799BCCC">
      <w:pPr>
        <w:pStyle w:val="22"/>
        <w:numPr>
          <w:ilvl w:val="0"/>
          <w:numId w:val="7"/>
        </w:numPr>
        <w:rPr>
          <w:rFonts w:ascii="Arial" w:hAnsi="Arial" w:cs="Arial"/>
          <w:lang w:val="en-GB"/>
        </w:rPr>
      </w:pPr>
      <w:r>
        <w:rPr>
          <w:rFonts w:ascii="Arial" w:hAnsi="Arial" w:cs="Arial"/>
          <w:lang w:val="en-GB"/>
        </w:rPr>
        <w:t>Hartanto, P.W., R. Eny, and H.D. Arifin. 2015. Effect of Dosage and Soaking Time of Pineapple (Ananas Comosus L. Merr) Extract on Protein Content and Organoleptic Quality of Retired Laying Hen Thigh Meat Stored in a Refrigerator for 48 Hours. Surya Agritama Journal. 4(1): 23-34.</w:t>
      </w:r>
    </w:p>
    <w:p w14:paraId="487A9A77">
      <w:pPr>
        <w:pStyle w:val="22"/>
        <w:numPr>
          <w:ilvl w:val="0"/>
          <w:numId w:val="7"/>
        </w:numPr>
        <w:rPr>
          <w:rFonts w:ascii="Arial" w:hAnsi="Arial" w:cs="Arial"/>
          <w:lang w:val="en-GB"/>
        </w:rPr>
      </w:pPr>
      <w:r>
        <w:rPr>
          <w:rFonts w:ascii="Arial" w:hAnsi="Arial" w:cs="Arial"/>
          <w:lang w:val="en-GB"/>
        </w:rPr>
        <w:t xml:space="preserve">Zhou, Y., Zhou, C., Pan, et al. 2020. The effect of sodium chloride levels on the taste and texture of dry-cured ham. Journal of Food Measurement and Characterization. 149(14): 2646-2655. </w:t>
      </w:r>
      <w:r>
        <w:rPr>
          <w:rFonts w:ascii="Arial" w:hAnsi="Arial" w:cs="Arial"/>
          <w:lang w:val="en-GB"/>
        </w:rPr>
        <w:fldChar w:fldCharType="begin"/>
      </w:r>
      <w:r>
        <w:rPr>
          <w:rFonts w:ascii="Arial" w:hAnsi="Arial" w:cs="Arial"/>
          <w:lang w:val="en-GB"/>
        </w:rPr>
        <w:instrText xml:space="preserve"> HYPERLINK "https://link.springer.com/article/10.1007/s11694-020-00511-3" </w:instrText>
      </w:r>
      <w:r>
        <w:rPr>
          <w:rFonts w:ascii="Arial" w:hAnsi="Arial" w:cs="Arial"/>
          <w:lang w:val="en-GB"/>
        </w:rPr>
        <w:fldChar w:fldCharType="separate"/>
      </w:r>
      <w:r>
        <w:rPr>
          <w:rStyle w:val="15"/>
          <w:rFonts w:ascii="Arial" w:hAnsi="Arial" w:cs="Arial"/>
          <w:lang w:val="en-GB"/>
        </w:rPr>
        <w:t>https://link.springer.com/article/10.1007/s11694-020-00511-3</w:t>
      </w:r>
      <w:r>
        <w:rPr>
          <w:rFonts w:ascii="Arial" w:hAnsi="Arial" w:cs="Arial"/>
          <w:lang w:val="en-GB"/>
        </w:rPr>
        <w:fldChar w:fldCharType="end"/>
      </w:r>
    </w:p>
    <w:p w14:paraId="66D0C55A">
      <w:pPr>
        <w:pStyle w:val="22"/>
        <w:numPr>
          <w:ilvl w:val="0"/>
          <w:numId w:val="7"/>
        </w:numPr>
        <w:rPr>
          <w:rFonts w:ascii="Arial" w:hAnsi="Arial" w:cs="Arial"/>
          <w:lang w:val="en-GB"/>
        </w:rPr>
      </w:pPr>
      <w:r>
        <w:rPr>
          <w:rFonts w:ascii="Arial" w:hAnsi="Arial" w:cs="Arial"/>
          <w:lang w:val="en-GB"/>
        </w:rPr>
        <w:t xml:space="preserve">Siegers, W. H., Sari, A., Tuhumury, R. A., et al. 2023. Training on Making Sweet Jerky Tuna Substituted with Banana Heart and Organoleptic Testing. Journal of Community Service. 7(2): 445-456. </w:t>
      </w:r>
      <w:r>
        <w:rPr>
          <w:rFonts w:ascii="Arial" w:hAnsi="Arial" w:cs="Arial"/>
          <w:lang w:val="en-GB"/>
        </w:rPr>
        <w:fldChar w:fldCharType="begin"/>
      </w:r>
      <w:r>
        <w:rPr>
          <w:rFonts w:ascii="Arial" w:hAnsi="Arial" w:cs="Arial"/>
          <w:lang w:val="en-GB"/>
        </w:rPr>
        <w:instrText xml:space="preserve"> HYPERLINK "https://doi.org/10.31849/dinamisia.v7i2.12596" </w:instrText>
      </w:r>
      <w:r>
        <w:rPr>
          <w:rFonts w:ascii="Arial" w:hAnsi="Arial" w:cs="Arial"/>
          <w:lang w:val="en-GB"/>
        </w:rPr>
        <w:fldChar w:fldCharType="separate"/>
      </w:r>
      <w:r>
        <w:rPr>
          <w:rStyle w:val="15"/>
          <w:rFonts w:ascii="Arial" w:hAnsi="Arial" w:cs="Arial"/>
          <w:lang w:val="en-GB"/>
        </w:rPr>
        <w:t>https://doi.org/10.31849/dinamisia.v7i2.12596</w:t>
      </w:r>
      <w:r>
        <w:rPr>
          <w:rFonts w:ascii="Arial" w:hAnsi="Arial" w:cs="Arial"/>
          <w:lang w:val="en-GB"/>
        </w:rPr>
        <w:fldChar w:fldCharType="end"/>
      </w:r>
    </w:p>
    <w:p w14:paraId="07C84D8A">
      <w:pPr>
        <w:pStyle w:val="22"/>
        <w:numPr>
          <w:ilvl w:val="0"/>
          <w:numId w:val="7"/>
        </w:numPr>
        <w:rPr>
          <w:rFonts w:ascii="Arial" w:hAnsi="Arial" w:cs="Arial"/>
          <w:lang w:val="en-GB"/>
        </w:rPr>
      </w:pPr>
      <w:r>
        <w:rPr>
          <w:rFonts w:ascii="Arial" w:hAnsi="Arial" w:cs="Arial"/>
          <w:lang w:val="en-GB"/>
        </w:rPr>
        <w:t xml:space="preserve">Elmas, F., Bodruk, A., Koprualan, et al. 2021. The effect of pre-drying methods on the physicochemical, textural, and sensory characteristics of puff-dried turkey breast meat. 14(5): 111-350. </w:t>
      </w:r>
      <w:r>
        <w:rPr>
          <w:rFonts w:ascii="Arial" w:hAnsi="Arial" w:cs="Arial"/>
          <w:lang w:val="en-GB"/>
        </w:rPr>
        <w:fldChar w:fldCharType="begin"/>
      </w:r>
      <w:r>
        <w:rPr>
          <w:rFonts w:ascii="Arial" w:hAnsi="Arial" w:cs="Arial"/>
          <w:lang w:val="en-GB"/>
        </w:rPr>
        <w:instrText xml:space="preserve"> HYPERLINK "http://dx.doi.org/10.1016/j.lwt.2021.111350" </w:instrText>
      </w:r>
      <w:r>
        <w:rPr>
          <w:rFonts w:ascii="Arial" w:hAnsi="Arial" w:cs="Arial"/>
          <w:lang w:val="en-GB"/>
        </w:rPr>
        <w:fldChar w:fldCharType="separate"/>
      </w:r>
      <w:r>
        <w:rPr>
          <w:rStyle w:val="15"/>
          <w:rFonts w:ascii="Arial" w:hAnsi="Arial" w:cs="Arial"/>
          <w:lang w:val="en-GB"/>
        </w:rPr>
        <w:t>http://dx.doi.org/10.1016/j.lwt.2021.11135</w:t>
      </w:r>
      <w:r>
        <w:rPr>
          <w:rStyle w:val="15"/>
          <w:rFonts w:hint="default" w:ascii="Arial" w:hAnsi="Arial" w:cs="Arial"/>
          <w:lang w:val="en-GB"/>
        </w:rPr>
        <w:t>0</w:t>
      </w:r>
      <w:r>
        <w:rPr>
          <w:rFonts w:ascii="Arial" w:hAnsi="Arial" w:cs="Arial"/>
          <w:lang w:val="en-GB"/>
        </w:rPr>
        <w:fldChar w:fldCharType="end"/>
      </w:r>
    </w:p>
    <w:p w14:paraId="14C32BF8">
      <w:pPr>
        <w:pStyle w:val="22"/>
        <w:numPr>
          <w:ilvl w:val="0"/>
          <w:numId w:val="7"/>
        </w:numPr>
        <w:rPr>
          <w:rFonts w:ascii="Arial" w:hAnsi="Arial" w:cs="Arial"/>
          <w:lang w:val="en-GB"/>
        </w:rPr>
      </w:pPr>
      <w:r>
        <w:rPr>
          <w:rFonts w:ascii="Arial" w:hAnsi="Arial" w:cs="Arial"/>
          <w:lang w:val="en-GB"/>
        </w:rPr>
        <w:t>Parana, K. P., Supartini, N., and Handayani, S. 2024. The Effect of Cold Storage Length of Garlic-Marinated Fillet Carcasses as Raw Materials for Making Beef Meatballs on pH, TPC, and Organoleptic. Dissertation. Faculty of Agriculture, Tribhuwana Tungga Dewi University, Malang.</w:t>
      </w:r>
    </w:p>
    <w:p w14:paraId="6F457E46">
      <w:pPr>
        <w:pStyle w:val="22"/>
        <w:numPr>
          <w:ilvl w:val="0"/>
          <w:numId w:val="7"/>
        </w:numPr>
        <w:rPr>
          <w:rFonts w:ascii="Arial" w:hAnsi="Arial" w:cs="Arial"/>
          <w:lang w:val="en-GB"/>
        </w:rPr>
      </w:pPr>
      <w:r>
        <w:rPr>
          <w:rFonts w:ascii="Arial" w:hAnsi="Arial" w:cs="Arial"/>
          <w:lang w:val="en-GB"/>
        </w:rPr>
        <w:t>Mohamed, T. H. A., and Sumarmono, J. 2023. Application of plant-derived proteases in meat tenderization. In Proceedings of the National Seminar on Animal Husbandry Agribusiness Technology. 10(1): 143–148.</w:t>
      </w:r>
    </w:p>
    <w:p w14:paraId="0DCE44DA">
      <w:pPr>
        <w:pStyle w:val="22"/>
        <w:numPr>
          <w:ilvl w:val="0"/>
          <w:numId w:val="7"/>
        </w:numPr>
        <w:rPr>
          <w:rFonts w:ascii="Arial" w:hAnsi="Arial" w:cs="Arial"/>
          <w:lang w:val="en-GB"/>
        </w:rPr>
      </w:pPr>
      <w:r>
        <w:rPr>
          <w:rFonts w:ascii="Arial" w:hAnsi="Arial" w:cs="Arial"/>
          <w:lang w:val="en-GB"/>
        </w:rPr>
        <w:t xml:space="preserve">Putri, S. A. 2024. Innovation of Ground Beef Jerky with Red Bean (Phaseolus Vulgaris L.) Proportion. Cahaya Mandalika Journal. 3(1): 400–417. </w:t>
      </w:r>
      <w:r>
        <w:rPr>
          <w:rFonts w:ascii="Arial" w:hAnsi="Arial" w:cs="Arial"/>
          <w:lang w:val="en-GB"/>
        </w:rPr>
        <w:fldChar w:fldCharType="begin"/>
      </w:r>
      <w:r>
        <w:rPr>
          <w:rFonts w:ascii="Arial" w:hAnsi="Arial" w:cs="Arial"/>
          <w:lang w:val="en-GB"/>
        </w:rPr>
        <w:instrText xml:space="preserve"> HYPERLINK "https://doi.org/10.36312/jcm.v5i3.3391" </w:instrText>
      </w:r>
      <w:r>
        <w:rPr>
          <w:rFonts w:ascii="Arial" w:hAnsi="Arial" w:cs="Arial"/>
          <w:lang w:val="en-GB"/>
        </w:rPr>
        <w:fldChar w:fldCharType="separate"/>
      </w:r>
      <w:r>
        <w:rPr>
          <w:rStyle w:val="15"/>
          <w:rFonts w:ascii="Arial" w:hAnsi="Arial" w:cs="Arial"/>
          <w:lang w:val="en-GB"/>
        </w:rPr>
        <w:t>https://doi.org/10.36312/jcm.v5i3.3391</w:t>
      </w:r>
      <w:r>
        <w:rPr>
          <w:rFonts w:ascii="Arial" w:hAnsi="Arial" w:cs="Arial"/>
          <w:lang w:val="en-GB"/>
        </w:rPr>
        <w:fldChar w:fldCharType="end"/>
      </w:r>
    </w:p>
    <w:p w14:paraId="571F6582">
      <w:pPr>
        <w:pStyle w:val="22"/>
        <w:numPr>
          <w:ilvl w:val="0"/>
          <w:numId w:val="7"/>
        </w:numPr>
        <w:rPr>
          <w:rFonts w:ascii="Arial" w:hAnsi="Arial" w:cs="Arial"/>
          <w:lang w:val="en-GB"/>
        </w:rPr>
      </w:pPr>
      <w:r>
        <w:rPr>
          <w:rFonts w:ascii="Arial" w:hAnsi="Arial" w:cs="Arial"/>
          <w:lang w:val="en-GB"/>
        </w:rPr>
        <w:t>Barikah, M., Astuti, N., and Handajani, S. 2021. The Effect of Pure Edamame (Glycin Max (L) Merrill) and Flour Proportions on the Organoleptic Properties of Donuts. Journal of Food and Beverage Engineering. 10(1):138-146.</w:t>
      </w:r>
    </w:p>
    <w:p w14:paraId="34410545">
      <w:pPr>
        <w:pStyle w:val="22"/>
        <w:numPr>
          <w:ilvl w:val="0"/>
          <w:numId w:val="7"/>
        </w:numPr>
        <w:rPr>
          <w:rFonts w:ascii="Arial" w:hAnsi="Arial" w:cs="Arial"/>
          <w:lang w:val="en-GB"/>
        </w:rPr>
      </w:pPr>
      <w:r>
        <w:rPr>
          <w:rFonts w:ascii="Arial" w:hAnsi="Arial" w:cs="Arial"/>
          <w:lang w:val="en-GB"/>
        </w:rPr>
        <w:t>Ario, J., Julianti, E., and Yusraini, E., 2015. Characteristics of Egg Replacers from Soy Protein Isolate, Milk Protein Isolate, Corn Starch, Potato Starch, Guar Gum, and Xanthan Gum. Journal of Food and Agricultural Engineering. 3(4):424-433.</w:t>
      </w:r>
    </w:p>
    <w:p w14:paraId="17FAFAFA">
      <w:pPr>
        <w:pStyle w:val="22"/>
        <w:numPr>
          <w:ilvl w:val="0"/>
          <w:numId w:val="7"/>
        </w:numPr>
        <w:rPr>
          <w:rFonts w:ascii="Arial" w:hAnsi="Arial" w:cs="Arial"/>
          <w:lang w:val="en-GB"/>
        </w:rPr>
      </w:pPr>
      <w:r>
        <w:rPr>
          <w:rFonts w:ascii="Arial" w:hAnsi="Arial" w:cs="Arial"/>
          <w:lang w:val="en-GB"/>
        </w:rPr>
        <w:t>Ruan, D., Wang, H., and Cheng, F. 2018. The Maillard Reaction in Food Chemistry: Current Technology and Applications. Cham, Switzerland: Springer International Publishing.</w:t>
      </w:r>
    </w:p>
    <w:p w14:paraId="517F0E2E">
      <w:pPr>
        <w:pStyle w:val="22"/>
        <w:numPr>
          <w:ilvl w:val="0"/>
          <w:numId w:val="7"/>
        </w:numPr>
        <w:rPr>
          <w:rFonts w:ascii="Arial" w:hAnsi="Arial" w:cs="Arial"/>
          <w:lang w:val="en-GB"/>
        </w:rPr>
      </w:pPr>
      <w:r>
        <w:rPr>
          <w:rFonts w:ascii="Arial" w:hAnsi="Arial" w:cs="Arial"/>
          <w:lang w:val="en-GB"/>
        </w:rPr>
        <w:t xml:space="preserve">Sorensen, AD., H. Sørensen, I. Sondergaard, et al. 2017. Non-heme Iron Availability from Pork Meat: Impact of Heat Treatments and Meat Protein Dose. Meat Science. 76(1): 29-37. </w:t>
      </w:r>
      <w:r>
        <w:rPr>
          <w:rFonts w:ascii="Arial" w:hAnsi="Arial" w:cs="Arial"/>
          <w:lang w:val="en-GB"/>
        </w:rPr>
        <w:fldChar w:fldCharType="begin"/>
      </w:r>
      <w:r>
        <w:rPr>
          <w:rFonts w:ascii="Arial" w:hAnsi="Arial" w:cs="Arial"/>
          <w:lang w:val="en-GB"/>
        </w:rPr>
        <w:instrText xml:space="preserve"> HYPERLINK "https://doi.org/10.1016/j.meatsci.2006.10.008" </w:instrText>
      </w:r>
      <w:r>
        <w:rPr>
          <w:rFonts w:ascii="Arial" w:hAnsi="Arial" w:cs="Arial"/>
          <w:lang w:val="en-GB"/>
        </w:rPr>
        <w:fldChar w:fldCharType="separate"/>
      </w:r>
      <w:r>
        <w:rPr>
          <w:rStyle w:val="15"/>
          <w:rFonts w:ascii="Arial" w:hAnsi="Arial" w:cs="Arial"/>
          <w:lang w:val="en-GB"/>
        </w:rPr>
        <w:t>https://doi.org/10.1016/j.meatsci.2006.10.008</w:t>
      </w:r>
      <w:r>
        <w:rPr>
          <w:rFonts w:ascii="Arial" w:hAnsi="Arial" w:cs="Arial"/>
          <w:lang w:val="en-GB"/>
        </w:rPr>
        <w:fldChar w:fldCharType="end"/>
      </w:r>
    </w:p>
    <w:p w14:paraId="68B8F070">
      <w:pPr>
        <w:pStyle w:val="22"/>
        <w:numPr>
          <w:ilvl w:val="0"/>
          <w:numId w:val="7"/>
        </w:numPr>
        <w:rPr>
          <w:rFonts w:ascii="Arial" w:hAnsi="Arial" w:cs="Arial"/>
          <w:lang w:val="en-GB"/>
        </w:rPr>
      </w:pPr>
      <w:r>
        <w:rPr>
          <w:rFonts w:ascii="Arial" w:hAnsi="Arial" w:cs="Arial"/>
          <w:lang w:val="en-GB"/>
        </w:rPr>
        <w:t xml:space="preserve">Afgani, C. A., and Magdalena, M. 2023. Comparative Study of Beef Jerky and Buffalo Jerky Fermented Using Lactic Acid Bacteria on Sensory, Chemical, and Microbiological Quality During Room Temperature Storage. In Proceedings of the Student Conference. 1(3): 237-244. </w:t>
      </w:r>
      <w:r>
        <w:rPr>
          <w:rFonts w:ascii="Arial" w:hAnsi="Arial" w:cs="Arial"/>
          <w:lang w:val="en-GB"/>
        </w:rPr>
        <w:fldChar w:fldCharType="begin"/>
      </w:r>
      <w:r>
        <w:rPr>
          <w:rFonts w:ascii="Arial" w:hAnsi="Arial" w:cs="Arial"/>
          <w:lang w:val="en-GB"/>
        </w:rPr>
        <w:instrText xml:space="preserve"> HYPERLINK "http://conference.uts.ac.id/index.php/Student/article/view/440" </w:instrText>
      </w:r>
      <w:r>
        <w:rPr>
          <w:rFonts w:ascii="Arial" w:hAnsi="Arial" w:cs="Arial"/>
          <w:lang w:val="en-GB"/>
        </w:rPr>
        <w:fldChar w:fldCharType="separate"/>
      </w:r>
      <w:r>
        <w:rPr>
          <w:rStyle w:val="15"/>
          <w:rFonts w:ascii="Arial" w:hAnsi="Arial" w:cs="Arial"/>
          <w:lang w:val="en-GB"/>
        </w:rPr>
        <w:t>http://conference.uts.ac.id/index.php/Student/article/view/440</w:t>
      </w:r>
      <w:r>
        <w:rPr>
          <w:rFonts w:ascii="Arial" w:hAnsi="Arial" w:cs="Arial"/>
          <w:lang w:val="en-GB"/>
        </w:rPr>
        <w:fldChar w:fldCharType="end"/>
      </w:r>
    </w:p>
    <w:p w14:paraId="468F837F">
      <w:pPr>
        <w:pStyle w:val="22"/>
        <w:numPr>
          <w:ilvl w:val="0"/>
          <w:numId w:val="7"/>
        </w:numPr>
        <w:rPr>
          <w:rFonts w:ascii="Arial" w:hAnsi="Arial" w:cs="Arial"/>
          <w:lang w:val="en-GB"/>
        </w:rPr>
      </w:pPr>
      <w:r>
        <w:rPr>
          <w:rFonts w:ascii="Arial" w:hAnsi="Arial" w:cs="Arial"/>
          <w:lang w:val="en-GB"/>
        </w:rPr>
        <w:t xml:space="preserve">Akramzadeh, N., Ramezani, Z., Ferdousi, et al. 2020. Effect of chicken raw materials on physicochemical and microbiological properties of mechanically deboned chicken meat. In Veterinary Research Forum.11(2): 153. </w:t>
      </w:r>
      <w:r>
        <w:rPr>
          <w:rFonts w:ascii="Arial" w:hAnsi="Arial" w:cs="Arial"/>
          <w:lang w:val="en-GB"/>
        </w:rPr>
        <w:fldChar w:fldCharType="begin"/>
      </w:r>
      <w:r>
        <w:rPr>
          <w:rFonts w:ascii="Arial" w:hAnsi="Arial" w:cs="Arial"/>
          <w:lang w:val="en-GB"/>
        </w:rPr>
        <w:instrText xml:space="preserve"> HYPERLINK "https://doi.org/10.30466/vrf.2018.90365.2186" </w:instrText>
      </w:r>
      <w:r>
        <w:rPr>
          <w:rFonts w:ascii="Arial" w:hAnsi="Arial" w:cs="Arial"/>
          <w:lang w:val="en-GB"/>
        </w:rPr>
        <w:fldChar w:fldCharType="separate"/>
      </w:r>
      <w:r>
        <w:rPr>
          <w:rStyle w:val="15"/>
          <w:rFonts w:ascii="Arial" w:hAnsi="Arial" w:cs="Arial"/>
          <w:lang w:val="en-GB"/>
        </w:rPr>
        <w:t>https://doi.org/10.30466/vrf.2018.90365.2186</w:t>
      </w:r>
      <w:r>
        <w:rPr>
          <w:rFonts w:ascii="Arial" w:hAnsi="Arial" w:cs="Arial"/>
          <w:lang w:val="en-GB"/>
        </w:rPr>
        <w:fldChar w:fldCharType="end"/>
      </w:r>
    </w:p>
    <w:p w14:paraId="1D0F0F4A">
      <w:pPr>
        <w:pStyle w:val="22"/>
        <w:numPr>
          <w:ilvl w:val="0"/>
          <w:numId w:val="7"/>
        </w:numPr>
        <w:rPr>
          <w:rFonts w:ascii="Arial" w:hAnsi="Arial" w:cs="Arial"/>
          <w:lang w:val="en-GB"/>
        </w:rPr>
      </w:pPr>
      <w:r>
        <w:rPr>
          <w:rFonts w:ascii="Arial" w:hAnsi="Arial" w:cs="Arial"/>
          <w:lang w:val="en-GB"/>
        </w:rPr>
        <w:t xml:space="preserve">Astini, N. P. W. S. 2020. Analysis of Nitrite Levels in Corned Beef. International Journal of Applied Chemistry Research. 2(2): 42-45. </w:t>
      </w:r>
      <w:r>
        <w:rPr>
          <w:rFonts w:ascii="Arial" w:hAnsi="Arial" w:cs="Arial"/>
          <w:lang w:val="en-GB"/>
        </w:rPr>
        <w:fldChar w:fldCharType="begin"/>
      </w:r>
      <w:r>
        <w:rPr>
          <w:rFonts w:ascii="Arial" w:hAnsi="Arial" w:cs="Arial"/>
          <w:lang w:val="en-GB"/>
        </w:rPr>
        <w:instrText xml:space="preserve"> HYPERLINK "https://doi.org/10.23887/ijacr.v2i2.28733" </w:instrText>
      </w:r>
      <w:r>
        <w:rPr>
          <w:rFonts w:ascii="Arial" w:hAnsi="Arial" w:cs="Arial"/>
          <w:lang w:val="en-GB"/>
        </w:rPr>
        <w:fldChar w:fldCharType="separate"/>
      </w:r>
      <w:r>
        <w:rPr>
          <w:rStyle w:val="15"/>
          <w:rFonts w:ascii="Arial" w:hAnsi="Arial" w:cs="Arial"/>
          <w:lang w:val="en-GB"/>
        </w:rPr>
        <w:t>https://doi.org/10.23887/ijacr.v2i2.28733</w:t>
      </w:r>
      <w:r>
        <w:rPr>
          <w:rFonts w:ascii="Arial" w:hAnsi="Arial" w:cs="Arial"/>
          <w:lang w:val="en-GB"/>
        </w:rPr>
        <w:fldChar w:fldCharType="end"/>
      </w:r>
    </w:p>
    <w:p w14:paraId="738FCFB0">
      <w:pPr>
        <w:pStyle w:val="22"/>
        <w:numPr>
          <w:ilvl w:val="0"/>
          <w:numId w:val="7"/>
        </w:numPr>
      </w:pPr>
      <w:r>
        <w:rPr>
          <w:rFonts w:ascii="Arial" w:hAnsi="Arial" w:cs="Arial"/>
          <w:lang w:val="en-GB"/>
        </w:rPr>
        <w:t xml:space="preserve">Houra, R., Khadijeh, A., Zahra, et al. 2020. Volatile N-nitrosamine, residual nitrite, and ascorbic acid levels in sausages during storage. Foods and Raw Materials. 8(1): 107-114. </w:t>
      </w:r>
      <w:r>
        <w:rPr>
          <w:rFonts w:ascii="Arial" w:hAnsi="Arial" w:cs="Arial"/>
          <w:lang w:val="en-GB"/>
        </w:rPr>
        <w:fldChar w:fldCharType="begin"/>
      </w:r>
      <w:r>
        <w:rPr>
          <w:rFonts w:ascii="Arial" w:hAnsi="Arial" w:cs="Arial"/>
          <w:lang w:val="en-GB"/>
        </w:rPr>
        <w:instrText xml:space="preserve"> HYPERLINK "http://doi.org/10.21603/2308-4057-2020-1-107-114" </w:instrText>
      </w:r>
      <w:r>
        <w:rPr>
          <w:rFonts w:ascii="Arial" w:hAnsi="Arial" w:cs="Arial"/>
          <w:lang w:val="en-GB"/>
        </w:rPr>
        <w:fldChar w:fldCharType="separate"/>
      </w:r>
      <w:r>
        <w:rPr>
          <w:rStyle w:val="15"/>
          <w:rFonts w:ascii="Arial" w:hAnsi="Arial" w:cs="Arial"/>
          <w:lang w:val="en-GB"/>
        </w:rPr>
        <w:t>http://doi.org/10.21603/2308-4057-2020-1-107-114</w:t>
      </w:r>
      <w:r>
        <w:rPr>
          <w:rFonts w:ascii="Arial" w:hAnsi="Arial" w:cs="Arial"/>
          <w:lang w:val="en-GB"/>
        </w:rPr>
        <w:fldChar w:fldCharType="end"/>
      </w:r>
    </w:p>
    <w:p w14:paraId="1B57EF0F">
      <w:pPr>
        <w:pStyle w:val="22"/>
        <w:numPr>
          <w:ilvl w:val="0"/>
          <w:numId w:val="7"/>
        </w:numPr>
      </w:pPr>
      <w:r>
        <w:rPr>
          <w:rFonts w:ascii="Arial" w:hAnsi="Arial" w:cs="Arial"/>
          <w:lang w:val="en-GB"/>
        </w:rPr>
        <w:t>Irma A. 2022. Production of Fermented Probiotic Drinks Beneficial for Body Health at the Moncongloe Bulu Village Office, Moncongloe District, Maros Regency. Journal of Health Technology Community Service. 3(2): 22-28.</w:t>
      </w:r>
    </w:p>
    <w:p w14:paraId="56E667F0">
      <w:pPr>
        <w:pStyle w:val="22"/>
        <w:numPr>
          <w:ilvl w:val="0"/>
          <w:numId w:val="8"/>
        </w:numPr>
        <w:spacing w:after="0"/>
        <w:rPr>
          <w:rFonts w:ascii="Arial" w:hAnsi="Arial" w:cs="Arial"/>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0796CE74">
      <w:pPr>
        <w:pStyle w:val="41"/>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187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E8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37FB">
    <w:pPr>
      <w:pStyle w:val="13"/>
      <w:rPr>
        <w:rFonts w:ascii="Arial" w:hAnsi="Arial" w:cs="Arial"/>
        <w:sz w:val="16"/>
      </w:rPr>
    </w:pPr>
  </w:p>
  <w:p w14:paraId="5BC7DFF1">
    <w:pPr>
      <w:pStyle w:val="13"/>
      <w:jc w:val="center"/>
      <w:rPr>
        <w:rFonts w:ascii="Arial" w:hAnsi="Arial" w:cs="Arial"/>
        <w:sz w:val="16"/>
      </w:rPr>
    </w:pPr>
    <w:r>
      <w:rPr>
        <w:rFonts w:ascii="Arial" w:hAnsi="Arial" w:cs="Arial"/>
        <w:sz w:val="16"/>
      </w:rPr>
      <w:t>____________________________________________________________________________________________</w:t>
    </w:r>
  </w:p>
  <w:p w14:paraId="72A0AC7D">
    <w:pPr>
      <w:pStyle w:val="13"/>
      <w:rPr>
        <w:rFonts w:ascii="Arial" w:hAnsi="Arial" w:cs="Arial"/>
        <w:sz w:val="16"/>
      </w:rPr>
    </w:pPr>
  </w:p>
  <w:p w14:paraId="26C4C022">
    <w:pPr>
      <w:pStyle w:val="13"/>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1071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78E9">
    <w:pPr>
      <w:pStyle w:val="14"/>
    </w:pPr>
    <w:r>
      <w:pict>
        <v:shape id="PowerPlusWaterMarkObject287439627"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537F">
    <w:pPr>
      <w:pStyle w:val="14"/>
    </w:pPr>
    <w:r>
      <w:pict>
        <v:shape id="PowerPlusWaterMarkObject287439626"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5325">
    <w:pPr>
      <w:ind w:left="2160"/>
      <w:jc w:val="center"/>
      <w:rPr>
        <w:rFonts w:ascii="Times New Roman" w:hAnsi="Times New Roman" w:eastAsia="Calibri"/>
        <w:i/>
        <w:sz w:val="18"/>
        <w:szCs w:val="22"/>
      </w:rPr>
    </w:pPr>
    <w:r>
      <w:pict>
        <v:shape id="PowerPlusWaterMarkObject287439625"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443F4EA2">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6646147">
    <w:pPr>
      <w:jc w:val="center"/>
      <w:rPr>
        <w:rFonts w:ascii="Times New Roman" w:hAnsi="Times New Roman" w:eastAsia="Calibri"/>
        <w:i/>
        <w:sz w:val="18"/>
        <w:szCs w:val="22"/>
      </w:rPr>
    </w:pPr>
    <w:r>
      <w:rPr>
        <w:rFonts w:ascii="Times New Roman" w:hAnsi="Times New Roman" w:eastAsia="Calibri"/>
        <w:i/>
        <w:sz w:val="18"/>
        <w:szCs w:val="22"/>
      </w:rPr>
      <w:t>.</w:t>
    </w:r>
  </w:p>
  <w:p w14:paraId="6FF53F41">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70FC40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7E594C2C">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4AA47E9">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4BA8">
    <w:pPr>
      <w:pStyle w:val="14"/>
    </w:pPr>
    <w:r>
      <w:pict>
        <v:shape id="PowerPlusWaterMarkObject287439630"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50AE">
    <w:pPr>
      <w:pStyle w:val="14"/>
    </w:pPr>
    <w:r>
      <w:pict>
        <v:shape id="PowerPlusWaterMarkObject287439629"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F34D">
    <w:pPr>
      <w:pStyle w:val="14"/>
    </w:pPr>
    <w:r>
      <w:pict>
        <v:shape id="PowerPlusWaterMarkObject287439628"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E4541"/>
    <w:multiLevelType w:val="singleLevel"/>
    <w:tmpl w:val="93EE4541"/>
    <w:lvl w:ilvl="0" w:tentative="0">
      <w:start w:val="1"/>
      <w:numFmt w:val="decimal"/>
      <w:lvlText w:val="3.3.%1"/>
      <w:lvlJc w:val="left"/>
      <w:pPr>
        <w:tabs>
          <w:tab w:val="left" w:pos="845"/>
        </w:tabs>
        <w:ind w:left="845" w:hanging="425"/>
      </w:pPr>
      <w:rPr>
        <w:rFonts w:hint="default" w:ascii="Arial" w:hAnsi="Arial" w:eastAsia="SimSun" w:cs="Arial"/>
        <w:sz w:val="22"/>
        <w:szCs w:val="22"/>
      </w:rPr>
    </w:lvl>
  </w:abstractNum>
  <w:abstractNum w:abstractNumId="1">
    <w:nsid w:val="17CB6BB7"/>
    <w:multiLevelType w:val="singleLevel"/>
    <w:tmpl w:val="17CB6BB7"/>
    <w:lvl w:ilvl="0" w:tentative="0">
      <w:start w:val="1"/>
      <w:numFmt w:val="decimal"/>
      <w:lvlText w:val="%1."/>
      <w:lvlJc w:val="left"/>
      <w:pPr>
        <w:tabs>
          <w:tab w:val="left" w:pos="425"/>
        </w:tabs>
        <w:ind w:left="425" w:hanging="425"/>
      </w:pPr>
      <w:rPr>
        <w:rFonts w:hint="default"/>
        <w:color w:val="auto"/>
      </w:rPr>
    </w:lvl>
  </w:abstractNum>
  <w:abstractNum w:abstractNumId="2">
    <w:nsid w:val="2358645D"/>
    <w:multiLevelType w:val="singleLevel"/>
    <w:tmpl w:val="2358645D"/>
    <w:lvl w:ilvl="0" w:tentative="0">
      <w:start w:val="1"/>
      <w:numFmt w:val="decimal"/>
      <w:lvlText w:val="2.4.%1"/>
      <w:lvlJc w:val="left"/>
      <w:pPr>
        <w:tabs>
          <w:tab w:val="left" w:pos="845"/>
        </w:tabs>
        <w:ind w:left="845" w:hanging="425"/>
      </w:pPr>
      <w:rPr>
        <w:rFonts w:hint="default" w:ascii="Arial" w:hAnsi="Arial" w:eastAsia="SimSun" w:cs="Arial"/>
        <w:sz w:val="22"/>
        <w:szCs w:val="22"/>
      </w:rPr>
    </w:lvl>
  </w:abstractNum>
  <w:abstractNum w:abstractNumId="3">
    <w:nsid w:val="23C849FB"/>
    <w:multiLevelType w:val="singleLevel"/>
    <w:tmpl w:val="23C849FB"/>
    <w:lvl w:ilvl="0" w:tentative="0">
      <w:start w:val="1"/>
      <w:numFmt w:val="decimal"/>
      <w:lvlText w:val="2.%1"/>
      <w:lvlJc w:val="left"/>
      <w:pPr>
        <w:tabs>
          <w:tab w:val="left" w:pos="845"/>
        </w:tabs>
        <w:ind w:left="845" w:hanging="425"/>
      </w:pPr>
      <w:rPr>
        <w:rFonts w:hint="default" w:ascii="Arial" w:hAnsi="Arial" w:eastAsia="SimSun" w:cs="Arial"/>
        <w:sz w:val="22"/>
        <w:szCs w:val="22"/>
      </w:rPr>
    </w:lvl>
  </w:abstractNum>
  <w:abstractNum w:abstractNumId="4">
    <w:nsid w:val="335494DC"/>
    <w:multiLevelType w:val="singleLevel"/>
    <w:tmpl w:val="335494DC"/>
    <w:lvl w:ilvl="0" w:tentative="0">
      <w:start w:val="2"/>
      <w:numFmt w:val="decimal"/>
      <w:suff w:val="space"/>
      <w:lvlText w:val="%1."/>
      <w:lvlJc w:val="left"/>
    </w:lvl>
  </w:abstractNum>
  <w:abstractNum w:abstractNumId="5">
    <w:nsid w:val="57EC6153"/>
    <w:multiLevelType w:val="singleLevel"/>
    <w:tmpl w:val="57EC6153"/>
    <w:lvl w:ilvl="0" w:tentative="0">
      <w:start w:val="1"/>
      <w:numFmt w:val="decimal"/>
      <w:lvlText w:val="3.4.%1"/>
      <w:lvlJc w:val="left"/>
      <w:pPr>
        <w:tabs>
          <w:tab w:val="left" w:pos="845"/>
        </w:tabs>
        <w:ind w:left="845" w:hanging="425"/>
      </w:pPr>
      <w:rPr>
        <w:rFonts w:hint="default" w:ascii="Arial" w:hAnsi="Arial" w:eastAsia="SimSun" w:cs="Arial"/>
        <w:sz w:val="22"/>
        <w:szCs w:val="22"/>
      </w:rPr>
    </w:lvl>
  </w:abstractNum>
  <w:abstractNum w:abstractNumId="6">
    <w:nsid w:val="5E049842"/>
    <w:multiLevelType w:val="singleLevel"/>
    <w:tmpl w:val="5E049842"/>
    <w:lvl w:ilvl="0" w:tentative="0">
      <w:start w:val="1"/>
      <w:numFmt w:val="decimal"/>
      <w:lvlText w:val="3.%1"/>
      <w:lvlJc w:val="left"/>
      <w:pPr>
        <w:tabs>
          <w:tab w:val="left" w:pos="845"/>
        </w:tabs>
        <w:ind w:left="845" w:hanging="425"/>
      </w:pPr>
      <w:rPr>
        <w:rFonts w:hint="default" w:ascii="Arial" w:hAnsi="Arial" w:eastAsia="SimSun" w:cs="Arial"/>
        <w:sz w:val="22"/>
        <w:szCs w:val="22"/>
      </w:rPr>
    </w:lvl>
  </w:abstractNum>
  <w:abstractNum w:abstractNumId="7">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684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E98"/>
    <w:rsid w:val="004F5859"/>
    <w:rsid w:val="00502516"/>
    <w:rsid w:val="00505F06"/>
    <w:rsid w:val="00506828"/>
    <w:rsid w:val="0053056E"/>
    <w:rsid w:val="005353B5"/>
    <w:rsid w:val="00542F00"/>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EF6"/>
    <w:rsid w:val="007369E6"/>
    <w:rsid w:val="00746E59"/>
    <w:rsid w:val="00754C9A"/>
    <w:rsid w:val="0075599A"/>
    <w:rsid w:val="00761D52"/>
    <w:rsid w:val="0077749E"/>
    <w:rsid w:val="00782F4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9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580D"/>
    <w:rsid w:val="00B52583"/>
    <w:rsid w:val="00B52896"/>
    <w:rsid w:val="00B95236"/>
    <w:rsid w:val="00B96BD9"/>
    <w:rsid w:val="00BA1B01"/>
    <w:rsid w:val="00BA2641"/>
    <w:rsid w:val="00BB37AA"/>
    <w:rsid w:val="00BC51AF"/>
    <w:rsid w:val="00BC53A0"/>
    <w:rsid w:val="00BE62AD"/>
    <w:rsid w:val="00BF121F"/>
    <w:rsid w:val="00BF1F80"/>
    <w:rsid w:val="00C166EF"/>
    <w:rsid w:val="00C17EB0"/>
    <w:rsid w:val="00C27F5F"/>
    <w:rsid w:val="00C30A0F"/>
    <w:rsid w:val="00C37E61"/>
    <w:rsid w:val="00C46CD9"/>
    <w:rsid w:val="00C70F1B"/>
    <w:rsid w:val="00C71A47"/>
    <w:rsid w:val="00C7464C"/>
    <w:rsid w:val="00C85588"/>
    <w:rsid w:val="00CD6755"/>
    <w:rsid w:val="00CD6856"/>
    <w:rsid w:val="00CE0089"/>
    <w:rsid w:val="00CE793C"/>
    <w:rsid w:val="00CF193C"/>
    <w:rsid w:val="00D173F1"/>
    <w:rsid w:val="00D571B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AF2"/>
    <w:rsid w:val="00FB3A86"/>
    <w:rsid w:val="00FD36C8"/>
    <w:rsid w:val="0CCC760E"/>
    <w:rsid w:val="0D8A2AE9"/>
    <w:rsid w:val="0F1D7F5B"/>
    <w:rsid w:val="17191F74"/>
    <w:rsid w:val="1999328D"/>
    <w:rsid w:val="21787EF5"/>
    <w:rsid w:val="31964168"/>
    <w:rsid w:val="39906A42"/>
    <w:rsid w:val="3A917D7B"/>
    <w:rsid w:val="3F6A6298"/>
    <w:rsid w:val="438602D6"/>
    <w:rsid w:val="46F02871"/>
    <w:rsid w:val="52ED4D9B"/>
    <w:rsid w:val="558A5663"/>
    <w:rsid w:val="58086CFC"/>
    <w:rsid w:val="5A7E3E82"/>
    <w:rsid w:val="673832E7"/>
    <w:rsid w:val="6E000787"/>
    <w:rsid w:val="6E873383"/>
    <w:rsid w:val="71096180"/>
    <w:rsid w:val="75D56E63"/>
    <w:rsid w:val="75EB4A85"/>
    <w:rsid w:val="7D964715"/>
    <w:rsid w:val="7F26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w:basedOn w:val="1"/>
    <w:qFormat/>
    <w:uiPriority w:val="1"/>
    <w:pPr>
      <w:ind w:left="722"/>
      <w:jc w:val="both"/>
    </w:pPr>
    <w:rPr>
      <w:rFonts w:ascii="Times New Roman" w:hAnsi="Times New Roman"/>
      <w:sz w:val="24"/>
      <w:szCs w:val="24"/>
      <w:lang w:val="id"/>
    </w:rPr>
  </w:style>
  <w:style w:type="paragraph" w:styleId="7">
    <w:name w:val="Body Text 2"/>
    <w:basedOn w:val="1"/>
    <w:link w:val="59"/>
    <w:qFormat/>
    <w:uiPriority w:val="0"/>
    <w:pPr>
      <w:spacing w:after="120" w:line="480" w:lineRule="auto"/>
    </w:pPr>
  </w:style>
  <w:style w:type="paragraph" w:styleId="8">
    <w:name w:val="Body Text 3"/>
    <w:basedOn w:val="1"/>
    <w:link w:val="62"/>
    <w:qFormat/>
    <w:uiPriority w:val="0"/>
    <w:pPr>
      <w:spacing w:after="120"/>
    </w:pPr>
    <w:rPr>
      <w:sz w:val="16"/>
      <w:szCs w:val="16"/>
    </w:rPr>
  </w:style>
  <w:style w:type="character" w:styleId="9">
    <w:name w:val="annotation reference"/>
    <w:basedOn w:val="3"/>
    <w:unhideWhenUsed/>
    <w:qFormat/>
    <w:uiPriority w:val="99"/>
    <w:rPr>
      <w:sz w:val="16"/>
      <w:szCs w:val="16"/>
    </w:rPr>
  </w:style>
  <w:style w:type="paragraph" w:styleId="10">
    <w:name w:val="annotation text"/>
    <w:basedOn w:val="1"/>
    <w:link w:val="60"/>
    <w:unhideWhenUsed/>
    <w:qFormat/>
    <w:uiPriority w:val="99"/>
    <w:rPr>
      <w:rFonts w:ascii="Times New Roman" w:hAnsi="Times New Roman"/>
      <w:lang w:val="nb-NO" w:eastAsia="nb-NO"/>
    </w:rPr>
  </w:style>
  <w:style w:type="character" w:styleId="11">
    <w:name w:val="Emphasis"/>
    <w:basedOn w:val="3"/>
    <w:qFormat/>
    <w:uiPriority w:val="20"/>
    <w:rPr>
      <w:i/>
      <w:iCs/>
    </w:rPr>
  </w:style>
  <w:style w:type="character" w:styleId="12">
    <w:name w:val="FollowedHyperlink"/>
    <w:basedOn w:val="3"/>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3"/>
    <w:qFormat/>
    <w:uiPriority w:val="0"/>
    <w:rPr>
      <w:color w:val="FF0080"/>
      <w:u w:val="single"/>
    </w:rPr>
  </w:style>
  <w:style w:type="character" w:styleId="16">
    <w:name w:val="line number"/>
    <w:basedOn w:val="3"/>
    <w:qFormat/>
    <w:uiPriority w:val="0"/>
  </w:style>
  <w:style w:type="paragraph" w:styleId="17">
    <w:name w:val="Signature"/>
    <w:basedOn w:val="1"/>
    <w:qFormat/>
    <w:uiPriority w:val="0"/>
    <w:pPr>
      <w:ind w:left="4320"/>
    </w:pPr>
  </w:style>
  <w:style w:type="table" w:styleId="18">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3"/>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7"/>
    <w:qFormat/>
    <w:uiPriority w:val="0"/>
    <w:rPr>
      <w:rFonts w:ascii="Helvetica" w:hAnsi="Helvetica"/>
    </w:rPr>
  </w:style>
  <w:style w:type="character" w:customStyle="1" w:styleId="60">
    <w:name w:val="Comment Text Char"/>
    <w:basedOn w:val="3"/>
    <w:link w:val="10"/>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8"/>
    <w:qFormat/>
    <w:uiPriority w:val="0"/>
    <w:rPr>
      <w:rFonts w:ascii="Helvetica" w:hAnsi="Helvetica"/>
      <w:sz w:val="16"/>
      <w:szCs w:val="16"/>
    </w:rPr>
  </w:style>
  <w:style w:type="character" w:customStyle="1" w:styleId="63">
    <w:name w:val="Unresolved Mention1"/>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1DD4A-EB1F-4E15-887E-FBF34547EC23}">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5505</Words>
  <Characters>31385</Characters>
  <Lines>261</Lines>
  <Paragraphs>73</Paragraphs>
  <TotalTime>11</TotalTime>
  <ScaleCrop>false</ScaleCrop>
  <LinksUpToDate>false</LinksUpToDate>
  <CharactersWithSpaces>36817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Christbugi welda</cp:lastModifiedBy>
  <cp:lastPrinted>1999-07-06T11:00:00Z</cp:lastPrinted>
  <dcterms:modified xsi:type="dcterms:W3CDTF">2025-11-21T02:36:16Z</dcterms:modified>
  <dc:title>Paper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75F5605AC55A4ACC8B3146CF722163FE_12</vt:lpwstr>
  </property>
</Properties>
</file>