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A7C00" w14:textId="6ABCEA39" w:rsidR="00B06F37" w:rsidRDefault="00B06F37" w:rsidP="00B06F37">
      <w:pPr>
        <w:spacing w:line="360" w:lineRule="auto"/>
        <w:jc w:val="center"/>
        <w:rPr>
          <w:rFonts w:ascii="Times New Roman" w:hAnsi="Times New Roman" w:cs="Times New Roman"/>
          <w:b/>
          <w:bCs/>
          <w:sz w:val="32"/>
          <w:szCs w:val="32"/>
        </w:rPr>
      </w:pPr>
      <w:r w:rsidRPr="00B06F37">
        <w:rPr>
          <w:rFonts w:ascii="Times New Roman" w:hAnsi="Times New Roman" w:cs="Times New Roman"/>
          <w:b/>
          <w:bCs/>
          <w:sz w:val="32"/>
          <w:szCs w:val="32"/>
        </w:rPr>
        <w:t>Nutritional Precision in Aquaculture: Tailoring Threonine Intake to the Growth and Health Needs of Fish</w:t>
      </w:r>
    </w:p>
    <w:p w14:paraId="3267F693" w14:textId="77777777" w:rsidR="0088755B" w:rsidRDefault="0088755B">
      <w:pPr>
        <w:spacing w:line="360" w:lineRule="auto"/>
        <w:jc w:val="both"/>
        <w:rPr>
          <w:rFonts w:ascii="Times New Roman" w:eastAsia="Calibri" w:hAnsi="Times New Roman"/>
          <w:b/>
          <w:bCs/>
          <w:iCs/>
          <w:sz w:val="24"/>
          <w:szCs w:val="24"/>
        </w:rPr>
      </w:pPr>
    </w:p>
    <w:p w14:paraId="686D3955" w14:textId="77777777" w:rsidR="00A95E85" w:rsidRDefault="00A95E85">
      <w:pPr>
        <w:spacing w:after="0" w:line="360" w:lineRule="auto"/>
        <w:rPr>
          <w:rFonts w:ascii="Times New Roman" w:eastAsia="Calibri" w:hAnsi="Times New Roman"/>
          <w:iCs/>
          <w:sz w:val="24"/>
          <w:szCs w:val="24"/>
        </w:rPr>
      </w:pPr>
    </w:p>
    <w:p w14:paraId="23D46FEE" w14:textId="77777777" w:rsidR="00743102" w:rsidRDefault="004C3C06">
      <w:pPr>
        <w:jc w:val="both"/>
        <w:rPr>
          <w:rStyle w:val="Hyperlink"/>
          <w:rFonts w:ascii="Times New Roman" w:eastAsia="Calibri" w:hAnsi="Times New Roman" w:cs="Times New Roman"/>
          <w:b/>
          <w:bCs/>
          <w:color w:val="auto"/>
          <w:sz w:val="24"/>
          <w:szCs w:val="24"/>
          <w:u w:val="none"/>
        </w:rPr>
      </w:pPr>
      <w:r>
        <w:rPr>
          <w:rStyle w:val="Hyperlink"/>
          <w:rFonts w:ascii="Times New Roman" w:eastAsia="Calibri" w:hAnsi="Times New Roman" w:cs="Times New Roman"/>
          <w:b/>
          <w:bCs/>
          <w:color w:val="auto"/>
          <w:sz w:val="24"/>
          <w:szCs w:val="24"/>
          <w:u w:val="none"/>
        </w:rPr>
        <w:t>Abstract</w:t>
      </w:r>
    </w:p>
    <w:p w14:paraId="7DC7FB7C" w14:textId="77777777" w:rsidR="00E24FDC" w:rsidRDefault="00E24FDC" w:rsidP="00E24FDC">
      <w:pPr>
        <w:spacing w:line="360" w:lineRule="auto"/>
        <w:jc w:val="both"/>
        <w:rPr>
          <w:rFonts w:ascii="Times New Roman" w:hAnsi="Times New Roman" w:cs="Times New Roman"/>
          <w:sz w:val="24"/>
          <w:szCs w:val="24"/>
        </w:rPr>
      </w:pPr>
      <w:r w:rsidRPr="00E24FDC">
        <w:rPr>
          <w:rFonts w:ascii="Times New Roman" w:hAnsi="Times New Roman" w:cs="Times New Roman"/>
          <w:sz w:val="24"/>
          <w:szCs w:val="24"/>
        </w:rPr>
        <w:t>Threonine, an essential amino acid, plays a vital role in promoting growth, maintaining health, and enhancing the overall performance of fish in aquaculture. Different fish species require varying amounts of threonine due to their unique physiological and metabolic characteristics. An adequate supply of threonine is necessary for protein, mucin, and antibody synthesis</w:t>
      </w:r>
      <w:r>
        <w:rPr>
          <w:rFonts w:ascii="Times New Roman" w:hAnsi="Times New Roman" w:cs="Times New Roman"/>
          <w:sz w:val="24"/>
          <w:szCs w:val="24"/>
        </w:rPr>
        <w:t xml:space="preserve"> that are </w:t>
      </w:r>
      <w:r w:rsidRPr="00E24FDC">
        <w:rPr>
          <w:rFonts w:ascii="Times New Roman" w:hAnsi="Times New Roman" w:cs="Times New Roman"/>
          <w:sz w:val="24"/>
          <w:szCs w:val="24"/>
        </w:rPr>
        <w:t>key components that support growth and immune response.</w:t>
      </w:r>
      <w:r>
        <w:rPr>
          <w:rFonts w:ascii="Times New Roman" w:hAnsi="Times New Roman" w:cs="Times New Roman"/>
          <w:sz w:val="24"/>
          <w:szCs w:val="24"/>
        </w:rPr>
        <w:t xml:space="preserve"> </w:t>
      </w:r>
      <w:r w:rsidRPr="00E24FDC">
        <w:rPr>
          <w:rFonts w:ascii="Times New Roman" w:hAnsi="Times New Roman" w:cs="Times New Roman"/>
          <w:sz w:val="24"/>
          <w:szCs w:val="24"/>
        </w:rPr>
        <w:t>This amino acid also contributes to intestinal integrity, improves nutrient absorption, and helps reduce oxidative stress. Determining the precise threonine needs of each fish species is important for achieving better growth rates, efficient feed utilization, and stronger disease resistance. A deficiency in threonine can result in stunted growth, poor fillet quality, and higher vulnerability to infections.</w:t>
      </w:r>
      <w:r>
        <w:rPr>
          <w:rFonts w:ascii="Times New Roman" w:hAnsi="Times New Roman" w:cs="Times New Roman"/>
          <w:sz w:val="24"/>
          <w:szCs w:val="24"/>
        </w:rPr>
        <w:t xml:space="preserve"> </w:t>
      </w:r>
      <w:r w:rsidRPr="00E24FDC">
        <w:rPr>
          <w:rFonts w:ascii="Times New Roman" w:hAnsi="Times New Roman" w:cs="Times New Roman"/>
          <w:sz w:val="24"/>
          <w:szCs w:val="24"/>
        </w:rPr>
        <w:t>Therefore, incorporating the correct threonine levels in formulated diets is essential for enhancing fish productivity and sustaining aquaculture operations. Species-specific dietary formulations that meet threonine requirements can significantly improve fish production efficiency and contribute to long-term food security.</w:t>
      </w:r>
    </w:p>
    <w:p w14:paraId="7725A11E" w14:textId="2079DAB4" w:rsidR="00743102" w:rsidRPr="00E24FDC" w:rsidRDefault="004C3C06" w:rsidP="00E24FDC">
      <w:pPr>
        <w:spacing w:line="360" w:lineRule="auto"/>
        <w:jc w:val="both"/>
        <w:rPr>
          <w:rFonts w:ascii="Times New Roman" w:hAnsi="Times New Roman" w:cs="Times New Roman"/>
          <w:sz w:val="24"/>
          <w:szCs w:val="24"/>
        </w:rPr>
      </w:pPr>
      <w:r>
        <w:rPr>
          <w:rFonts w:ascii="Times New Roman" w:hAnsi="Times New Roman" w:cs="Times New Roman"/>
          <w:b/>
          <w:bCs/>
          <w:sz w:val="24"/>
          <w:szCs w:val="24"/>
          <w:lang w:eastAsia="en-IN"/>
        </w:rPr>
        <w:t xml:space="preserve">Key Words: </w:t>
      </w:r>
      <w:r>
        <w:rPr>
          <w:rFonts w:ascii="Times New Roman" w:hAnsi="Times New Roman" w:cs="Times New Roman"/>
          <w:sz w:val="24"/>
          <w:szCs w:val="24"/>
          <w:lang w:eastAsia="en-IN"/>
        </w:rPr>
        <w:t>Aquaculture, Growth, Dietary-threonine, Amino-acids, Fish</w:t>
      </w:r>
    </w:p>
    <w:p w14:paraId="79A2F02F" w14:textId="77777777" w:rsidR="00743102" w:rsidRDefault="00743102">
      <w:pPr>
        <w:jc w:val="both"/>
        <w:rPr>
          <w:rFonts w:ascii="Times New Roman" w:eastAsia="Calibri" w:hAnsi="Times New Roman" w:cs="Times New Roman"/>
          <w:b/>
          <w:bCs/>
          <w:sz w:val="24"/>
          <w:szCs w:val="24"/>
        </w:rPr>
      </w:pPr>
    </w:p>
    <w:p w14:paraId="7AE537AD" w14:textId="77777777" w:rsidR="00743102" w:rsidRDefault="00743102">
      <w:pPr>
        <w:jc w:val="both"/>
        <w:rPr>
          <w:rFonts w:ascii="Times New Roman" w:eastAsia="Calibri" w:hAnsi="Times New Roman" w:cs="Times New Roman"/>
          <w:b/>
          <w:bCs/>
          <w:sz w:val="24"/>
          <w:szCs w:val="24"/>
        </w:rPr>
      </w:pPr>
    </w:p>
    <w:p w14:paraId="4695EABF" w14:textId="77777777" w:rsidR="00743102" w:rsidRDefault="004C3C06">
      <w:pPr>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Introduction</w:t>
      </w:r>
    </w:p>
    <w:p w14:paraId="005B87D1" w14:textId="4081246D" w:rsidR="00743102" w:rsidRPr="003100DC" w:rsidRDefault="00E24FDC" w:rsidP="00790042">
      <w:pPr>
        <w:spacing w:line="360" w:lineRule="auto"/>
        <w:jc w:val="both"/>
        <w:rPr>
          <w:rFonts w:ascii="Times New Roman" w:hAnsi="Times New Roman" w:cs="Times New Roman"/>
          <w:sz w:val="24"/>
          <w:szCs w:val="24"/>
          <w:lang w:val="en-US"/>
        </w:rPr>
      </w:pPr>
      <w:r w:rsidRPr="00E24FDC">
        <w:rPr>
          <w:rFonts w:ascii="Times New Roman" w:eastAsia="Calibri" w:hAnsi="Times New Roman" w:cs="Times New Roman"/>
          <w:sz w:val="24"/>
          <w:szCs w:val="24"/>
          <w:lang w:eastAsia="zh-CN" w:bidi="ar"/>
        </w:rPr>
        <w:t>Threonine (Thr) is an essential amino acid that holds significant importance in fish nutrition. Since it cannot be synthesized endogenously, it must be supplied through the diet. It is often one of the most limiting amino acids in aquafeeds, particularly when plant-based protein sources such as soybean meal are used to replace fish meal.</w:t>
      </w:r>
      <w:r w:rsidRPr="00E24FDC">
        <w:rPr>
          <w:rFonts w:ascii="Times New Roman" w:eastAsia="Calibri" w:hAnsi="Times New Roman" w:cs="Times New Roman"/>
          <w:sz w:val="24"/>
          <w:szCs w:val="24"/>
          <w:lang w:val="en-US" w:eastAsia="zh-CN" w:bidi="ar"/>
        </w:rPr>
        <w:t xml:space="preserve"> </w:t>
      </w:r>
      <w:r w:rsidR="004C3C06" w:rsidRPr="003100DC">
        <w:rPr>
          <w:rFonts w:ascii="Times New Roman" w:eastAsia="Calibri" w:hAnsi="Times New Roman" w:cs="Times New Roman"/>
          <w:sz w:val="24"/>
          <w:szCs w:val="24"/>
          <w:lang w:val="en-US" w:eastAsia="zh-CN" w:bidi="ar"/>
        </w:rPr>
        <w:t>(Fang et al., 2020). Threonine is vital for protein synthesis, enzyme production, and various physiological functions that contribute to growth and overall fish health (Small &amp; Soares, 1999). Studies indicate that dietary threonine levels significantly influence protein deposition, muscle growth, and feed efficiency in various fish species, making its inclusion in aquafeeds essential for optimal performance (Baldisserotto &amp; Silva, 2004).</w:t>
      </w:r>
    </w:p>
    <w:p w14:paraId="52761C04" w14:textId="77777777" w:rsidR="00743102" w:rsidRPr="003100DC" w:rsidRDefault="004C3C06" w:rsidP="00790042">
      <w:pPr>
        <w:spacing w:line="360" w:lineRule="auto"/>
        <w:jc w:val="both"/>
        <w:rPr>
          <w:rFonts w:ascii="Times New Roman" w:hAnsi="Times New Roman" w:cs="Times New Roman"/>
          <w:sz w:val="24"/>
          <w:szCs w:val="24"/>
          <w:lang w:val="en-US"/>
        </w:rPr>
      </w:pPr>
      <w:r w:rsidRPr="003100DC">
        <w:rPr>
          <w:rFonts w:ascii="Times New Roman" w:eastAsia="Calibri" w:hAnsi="Times New Roman" w:cs="Times New Roman"/>
          <w:sz w:val="24"/>
          <w:szCs w:val="24"/>
          <w:lang w:val="en-US" w:eastAsia="zh-CN" w:bidi="ar"/>
        </w:rPr>
        <w:lastRenderedPageBreak/>
        <w:t>Beyond its structural role in protein synthesis, threonine is a key regulator of metabolism. It contributes to energy metabolism, improves intestinal nutrient absorption, and enhances digestive efficiency (Gao et al., 2014). Research suggests that appropriate threonine supplementation can optimize lipid metabolism by regulating lipid formation pathways and reducing triglyceride accumulation in the liver (Boyd et al., 2019). Furthermore, threonine is essential for mucin production in the intestine, which enhances gut health and improves nutrient assimilation in fish (Wang et al., 2010). Studies on broilers also suggest that threonine influences intestinal immunity and antioxidant capacity through modulation of gut microbiota and metabolic pathways (Wang et al., 2007; Chen et al., 2018).</w:t>
      </w:r>
    </w:p>
    <w:p w14:paraId="181D9D0C" w14:textId="77777777" w:rsidR="00743102" w:rsidRPr="003100DC" w:rsidRDefault="004C3C06" w:rsidP="00790042">
      <w:pPr>
        <w:spacing w:line="360" w:lineRule="auto"/>
        <w:jc w:val="both"/>
        <w:rPr>
          <w:rFonts w:ascii="Times New Roman" w:hAnsi="Times New Roman" w:cs="Times New Roman"/>
          <w:sz w:val="24"/>
          <w:szCs w:val="24"/>
          <w:lang w:val="en-US"/>
        </w:rPr>
      </w:pPr>
      <w:r w:rsidRPr="003100DC">
        <w:rPr>
          <w:rFonts w:ascii="Times New Roman" w:eastAsia="Calibri" w:hAnsi="Times New Roman" w:cs="Times New Roman"/>
          <w:sz w:val="24"/>
          <w:szCs w:val="24"/>
          <w:lang w:val="en-US" w:eastAsia="zh-CN" w:bidi="ar"/>
        </w:rPr>
        <w:t>Threonine also plays a vital role in immune system function. It regulates immune cell differentiation and cytokine production through signaling pathways such as target of rapamycin (TOR) and mitogen-activated protein kinase (MAPK), which are essential for maintaining gut and systemic immunity (Chen et al., 2018). In fish, an optimal dietary threonine level has been associated with enhanced disease resistance, improved antioxidant defenses, and a stronger immune response, particularly in species such as carp and tilapia (Tsion et al., 2015; Liu et al., 2017). A deficiency in threonine can lead to compromised immunity, reduced mucosal integrity, and increased susceptibility to infections (Daley et al., 2015).</w:t>
      </w:r>
    </w:p>
    <w:p w14:paraId="431EA42F" w14:textId="77777777" w:rsidR="00743102" w:rsidRPr="003100DC" w:rsidRDefault="004C3C06" w:rsidP="00790042">
      <w:pPr>
        <w:spacing w:line="360" w:lineRule="auto"/>
        <w:jc w:val="both"/>
        <w:rPr>
          <w:rFonts w:ascii="Times New Roman" w:hAnsi="Times New Roman" w:cs="Times New Roman"/>
          <w:sz w:val="24"/>
          <w:szCs w:val="24"/>
          <w:lang w:val="en-US"/>
        </w:rPr>
      </w:pPr>
      <w:r w:rsidRPr="003100DC">
        <w:rPr>
          <w:rFonts w:ascii="Times New Roman" w:eastAsia="Calibri" w:hAnsi="Times New Roman" w:cs="Times New Roman"/>
          <w:sz w:val="24"/>
          <w:szCs w:val="24"/>
          <w:lang w:val="en-US" w:eastAsia="zh-CN" w:bidi="ar"/>
        </w:rPr>
        <w:t xml:space="preserve">Threonine production for use in aquaculture faces several challenges, including cost efficiency, strain optimization, and purification processes. Industrial-scale production is predominantly conducted through microbial fermentation using bacteria such as </w:t>
      </w:r>
      <w:r w:rsidRPr="003100DC">
        <w:rPr>
          <w:rFonts w:ascii="Times New Roman" w:eastAsia="Calibri" w:hAnsi="Times New Roman" w:cs="Times New Roman"/>
          <w:i/>
          <w:iCs/>
          <w:sz w:val="24"/>
          <w:szCs w:val="24"/>
          <w:lang w:val="en-US" w:eastAsia="zh-CN" w:bidi="ar"/>
        </w:rPr>
        <w:t>Escherichia coli</w:t>
      </w:r>
      <w:r w:rsidRPr="003100DC">
        <w:rPr>
          <w:rFonts w:ascii="Times New Roman" w:eastAsia="Calibri" w:hAnsi="Times New Roman" w:cs="Times New Roman"/>
          <w:sz w:val="24"/>
          <w:szCs w:val="24"/>
          <w:lang w:val="en-US" w:eastAsia="zh-CN" w:bidi="ar"/>
        </w:rPr>
        <w:t xml:space="preserve"> and </w:t>
      </w:r>
      <w:r w:rsidRPr="003100DC">
        <w:rPr>
          <w:rFonts w:ascii="Times New Roman" w:eastAsia="Calibri" w:hAnsi="Times New Roman" w:cs="Times New Roman"/>
          <w:i/>
          <w:iCs/>
          <w:sz w:val="24"/>
          <w:szCs w:val="24"/>
          <w:lang w:val="en-US" w:eastAsia="zh-CN" w:bidi="ar"/>
        </w:rPr>
        <w:t>Corynebacterium glutamicum</w:t>
      </w:r>
      <w:r w:rsidRPr="003100DC">
        <w:rPr>
          <w:rFonts w:ascii="Times New Roman" w:eastAsia="Calibri" w:hAnsi="Times New Roman" w:cs="Times New Roman"/>
          <w:sz w:val="24"/>
          <w:szCs w:val="24"/>
          <w:lang w:val="en-US" w:eastAsia="zh-CN" w:bidi="ar"/>
        </w:rPr>
        <w:t xml:space="preserve"> (Hamard et al., 2009; Ma et al., 2020). The global threonine market was valued at $2.05 billion in 2020 and is expected to grow at a rate of 5.47% annually, driven by increasing demand for sustainable and efficient aquafeeds (Gaifem et al., 2018). Advances in biotechnology and fermentation strategies continue to improve threonine production efficiency, making it more accessible for commercial aquaculture applications (Feng et al., 2013; C.M et al., 2009).</w:t>
      </w:r>
    </w:p>
    <w:p w14:paraId="098D7C37" w14:textId="7F77E475" w:rsidR="00743102" w:rsidRPr="003100DC" w:rsidRDefault="004C3C06" w:rsidP="00790042">
      <w:pPr>
        <w:spacing w:line="360" w:lineRule="auto"/>
        <w:jc w:val="both"/>
        <w:rPr>
          <w:rFonts w:ascii="Times New Roman" w:hAnsi="Times New Roman" w:cs="Times New Roman"/>
          <w:sz w:val="24"/>
          <w:szCs w:val="24"/>
        </w:rPr>
      </w:pPr>
      <w:r w:rsidRPr="003100DC">
        <w:rPr>
          <w:rFonts w:ascii="Times New Roman" w:eastAsia="Calibri" w:hAnsi="Times New Roman" w:cs="Times New Roman"/>
          <w:sz w:val="24"/>
          <w:szCs w:val="24"/>
          <w:lang w:eastAsia="zh-CN" w:bidi="ar"/>
        </w:rPr>
        <w:t>T</w:t>
      </w:r>
      <w:r w:rsidRPr="003100DC">
        <w:rPr>
          <w:rFonts w:ascii="Times New Roman" w:eastAsia="Calibri" w:hAnsi="Times New Roman" w:cs="Times New Roman"/>
          <w:sz w:val="24"/>
          <w:szCs w:val="24"/>
          <w:lang w:val="en-US" w:eastAsia="zh-CN" w:bidi="ar"/>
        </w:rPr>
        <w:t>hreonine is a critical nutrient for fish growth, metabolic regulation, and immune defense. Ensuring an adequate supply of threonine in aquafeeds supports optimal health, enhances feed utilization, and promotes sustainable aquaculture production. Future research should focus on refining dietary requirements for different fish species and improving production techniques to enhance the bioavailability and cost-effectiveness of threonine supplementation in aquaculture.</w:t>
      </w:r>
      <w:r w:rsidRPr="003100DC">
        <w:rPr>
          <w:rFonts w:ascii="Times New Roman" w:eastAsia="Calibri" w:hAnsi="Times New Roman" w:cs="Times New Roman"/>
          <w:sz w:val="24"/>
          <w:szCs w:val="24"/>
          <w:lang w:eastAsia="zh-CN" w:bidi="ar"/>
        </w:rPr>
        <w:t xml:space="preserve"> </w:t>
      </w:r>
      <w:r w:rsidRPr="003100DC">
        <w:rPr>
          <w:rFonts w:ascii="Times New Roman" w:hAnsi="Times New Roman" w:cs="Times New Roman"/>
          <w:sz w:val="24"/>
          <w:szCs w:val="24"/>
        </w:rPr>
        <w:t xml:space="preserve">Fish farmers and aquaculture nutritionists consider the amino acid composition, especially </w:t>
      </w:r>
      <w:r w:rsidRPr="003100DC">
        <w:rPr>
          <w:rFonts w:ascii="Times New Roman" w:hAnsi="Times New Roman" w:cs="Times New Roman"/>
          <w:sz w:val="24"/>
          <w:szCs w:val="24"/>
        </w:rPr>
        <w:lastRenderedPageBreak/>
        <w:t>threonine, when creating diets to ensure that fish receive the right nutrition for their overall health, growth, and economic efficiency. The threonine requirements can differ among fish species, depending on factors like their life stage (young or adult) and specific physiological demands. To cater to the nutritional needs of various fish species in commercial aquaculture, fish feeds are carefully formulated to contain threonine as one of the important amino acids, promoting best possible development and well-being of the fish</w:t>
      </w:r>
      <w:r w:rsidR="00A60A8A">
        <w:rPr>
          <w:rFonts w:ascii="Times New Roman" w:hAnsi="Times New Roman" w:cs="Times New Roman"/>
          <w:sz w:val="24"/>
          <w:szCs w:val="24"/>
        </w:rPr>
        <w:t xml:space="preserve"> (Zhang et al., 2020)</w:t>
      </w:r>
      <w:r w:rsidRPr="003100DC">
        <w:rPr>
          <w:rFonts w:ascii="Times New Roman" w:hAnsi="Times New Roman" w:cs="Times New Roman"/>
          <w:sz w:val="24"/>
          <w:szCs w:val="24"/>
        </w:rPr>
        <w:t>.</w:t>
      </w:r>
    </w:p>
    <w:p w14:paraId="13E2F4FE" w14:textId="77777777" w:rsidR="00743102" w:rsidRDefault="004C3C06">
      <w:pPr>
        <w:spacing w:line="360" w:lineRule="auto"/>
        <w:jc w:val="both"/>
        <w:rPr>
          <w:rFonts w:ascii="Times New Roman" w:eastAsia="Times New Roman" w:hAnsi="Times New Roman" w:cs="Times New Roman"/>
          <w:b/>
          <w:bCs/>
          <w:kern w:val="0"/>
          <w:sz w:val="24"/>
          <w:szCs w:val="24"/>
          <w:lang w:eastAsia="en-IN"/>
        </w:rPr>
      </w:pPr>
      <w:r>
        <w:rPr>
          <w:rFonts w:ascii="Times New Roman" w:eastAsia="Times New Roman" w:hAnsi="Times New Roman" w:cs="Times New Roman"/>
          <w:b/>
          <w:bCs/>
          <w:kern w:val="0"/>
          <w:sz w:val="24"/>
          <w:szCs w:val="24"/>
          <w:lang w:eastAsia="en-IN"/>
        </w:rPr>
        <w:t>Metabolic Pathway of Threonine</w:t>
      </w:r>
    </w:p>
    <w:p w14:paraId="3E633118" w14:textId="361D9DB2" w:rsidR="00743102" w:rsidRPr="00E24FDC" w:rsidRDefault="004C3C06" w:rsidP="00E24FDC">
      <w:pPr>
        <w:spacing w:line="360" w:lineRule="auto"/>
        <w:jc w:val="both"/>
        <w:rPr>
          <w:rFonts w:ascii="Times New Roman" w:hAnsi="Times New Roman" w:cs="Times New Roman"/>
          <w:sz w:val="24"/>
          <w:szCs w:val="24"/>
        </w:rPr>
      </w:pPr>
      <w:r>
        <w:rPr>
          <w:rFonts w:ascii="Times New Roman" w:hAnsi="Times New Roman" w:cs="Times New Roman"/>
          <w:sz w:val="24"/>
          <w:szCs w:val="24"/>
        </w:rPr>
        <w:t>Threonine has a primary function as a building block for protein synthesis, especially in production of mucin. Furthermore, it can enter various metabolic pathways, leading to the formation of essential substances such as glycine, acetyl CoA and pyruvate, which are vital for the overall metabolism of the host. Threonine is involved in three separate metabolic pathways</w:t>
      </w:r>
      <w:r w:rsidR="00551680">
        <w:rPr>
          <w:rFonts w:ascii="Times New Roman" w:hAnsi="Times New Roman" w:cs="Times New Roman"/>
          <w:sz w:val="24"/>
          <w:szCs w:val="24"/>
        </w:rPr>
        <w:t xml:space="preserve"> as shown in</w:t>
      </w:r>
      <w:r>
        <w:rPr>
          <w:rFonts w:ascii="Times New Roman" w:hAnsi="Times New Roman" w:cs="Times New Roman"/>
          <w:sz w:val="24"/>
          <w:szCs w:val="24"/>
          <w:shd w:val="clear" w:color="auto" w:fill="FFFFFF"/>
        </w:rPr>
        <w:t xml:space="preserve"> (</w:t>
      </w:r>
      <w:hyperlink r:id="rId9" w:anchor="fig_body_display_nutrients-13-02592-f001" w:history="1">
        <w:r>
          <w:rPr>
            <w:rStyle w:val="Hyperlink"/>
            <w:rFonts w:ascii="Times New Roman" w:hAnsi="Times New Roman" w:cs="Times New Roman"/>
            <w:color w:val="auto"/>
            <w:sz w:val="24"/>
            <w:szCs w:val="24"/>
            <w:u w:val="none"/>
            <w:shd w:val="clear" w:color="auto" w:fill="FFFFFF"/>
          </w:rPr>
          <w:t>Figure.  1</w:t>
        </w:r>
      </w:hyperlink>
      <w:r w:rsidR="00551680">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The breakdown of </w:t>
      </w:r>
      <w:r>
        <w:rPr>
          <w:rFonts w:ascii="Times New Roman" w:hAnsi="Times New Roman" w:cs="Times New Roman"/>
          <w:sz w:val="24"/>
          <w:szCs w:val="24"/>
        </w:rPr>
        <w:t>threonine can occur through either the pathway that operates without the involvement of glycine or the pathway that is reliant on glycine. In a research investigation,</w:t>
      </w:r>
      <w:r w:rsidR="00E24FDC">
        <w:rPr>
          <w:rFonts w:ascii="Times New Roman" w:hAnsi="Times New Roman" w:cs="Times New Roman"/>
          <w:sz w:val="24"/>
          <w:szCs w:val="24"/>
        </w:rPr>
        <w:t xml:space="preserve"> it was found that</w:t>
      </w:r>
      <w:r>
        <w:rPr>
          <w:rFonts w:ascii="Times New Roman" w:hAnsi="Times New Roman" w:cs="Times New Roman"/>
          <w:sz w:val="24"/>
          <w:szCs w:val="24"/>
        </w:rPr>
        <w:t xml:space="preserve"> </w:t>
      </w:r>
      <w:r w:rsidR="00E24FDC">
        <w:rPr>
          <w:rFonts w:ascii="Times New Roman" w:hAnsi="Times New Roman" w:cs="Times New Roman"/>
          <w:sz w:val="24"/>
          <w:szCs w:val="24"/>
        </w:rPr>
        <w:t>d</w:t>
      </w:r>
      <w:r w:rsidR="00E24FDC" w:rsidRPr="00E24FDC">
        <w:rPr>
          <w:rFonts w:ascii="Times New Roman" w:hAnsi="Times New Roman" w:cs="Times New Roman"/>
          <w:sz w:val="24"/>
          <w:szCs w:val="24"/>
        </w:rPr>
        <w:t>uring fasting or starvation, threonine undergoes enzymatic degradation in the liver through the glycine-independent pathway mediated by serine/threonine dehydratase (STDH)</w:t>
      </w:r>
      <w:r w:rsidR="00A60A8A">
        <w:rPr>
          <w:rFonts w:ascii="Times New Roman" w:hAnsi="Times New Roman" w:cs="Times New Roman"/>
          <w:sz w:val="24"/>
          <w:szCs w:val="24"/>
        </w:rPr>
        <w:t xml:space="preserve"> (Liu et al., 2019)</w:t>
      </w:r>
      <w:r w:rsidR="00E24FDC" w:rsidRPr="00E24FDC">
        <w:rPr>
          <w:rFonts w:ascii="Times New Roman" w:hAnsi="Times New Roman" w:cs="Times New Roman"/>
          <w:sz w:val="24"/>
          <w:szCs w:val="24"/>
        </w:rPr>
        <w:t>. This process results in the formation of α-ketobutyric acid and ammonia, which are further metabolized as the keto acid undergoes decarboxylation to yield propionyl-CoA (Blandon et al., 2023).</w:t>
      </w:r>
      <w:r w:rsidR="00E24FDC">
        <w:rPr>
          <w:rFonts w:ascii="Times New Roman" w:hAnsi="Times New Roman" w:cs="Times New Roman"/>
          <w:sz w:val="24"/>
          <w:szCs w:val="24"/>
        </w:rPr>
        <w:t xml:space="preserve"> </w:t>
      </w:r>
      <w:r w:rsidR="00E24FDC" w:rsidRPr="00E24FDC">
        <w:rPr>
          <w:rFonts w:ascii="Times New Roman" w:hAnsi="Times New Roman" w:cs="Times New Roman"/>
          <w:sz w:val="24"/>
          <w:szCs w:val="24"/>
        </w:rPr>
        <w:t xml:space="preserve">Among the key enzymes involved in threonine metabolism, threonine dehydrogenase (TDH) and serine/threonine dehydratase (STDH) show high expression levels in the pancreas and, to a lesser extent, in the liver. In contrast, threonine aldolase exhibits relatively low activity in hepatic tissue but is predominantly localized in the prostate. </w:t>
      </w:r>
      <w:r>
        <w:rPr>
          <w:rFonts w:ascii="Times New Roman" w:hAnsi="Times New Roman" w:cs="Times New Roman"/>
          <w:sz w:val="24"/>
          <w:szCs w:val="24"/>
        </w:rPr>
        <w:t>(Liu et al., 2013; Petit et al., 2018</w:t>
      </w:r>
      <w:r>
        <w:rPr>
          <w:rFonts w:ascii="Times New Roman" w:hAnsi="Times New Roman" w:cs="Times New Roman"/>
          <w:sz w:val="24"/>
          <w:szCs w:val="24"/>
          <w:shd w:val="clear" w:color="auto" w:fill="FFFFFF"/>
        </w:rPr>
        <w:t xml:space="preserve">). </w:t>
      </w:r>
    </w:p>
    <w:p w14:paraId="7CFB6FA9" w14:textId="77777777" w:rsidR="00A60A8A" w:rsidRDefault="004C3C06" w:rsidP="00A60A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Threonine dehydrogenase and threonine aldolase play essential roles in glycine-dependent pathway of threonine metabolism. TDH, in particular, serves as a pivotal enzyme in this process. </w:t>
      </w:r>
    </w:p>
    <w:p w14:paraId="416A6FEE" w14:textId="0A4B11ED" w:rsidR="00A60A8A" w:rsidRPr="00F8397F" w:rsidRDefault="00A60A8A" w:rsidP="00F8397F">
      <w:pPr>
        <w:spacing w:line="360" w:lineRule="auto"/>
        <w:jc w:val="both"/>
        <w:rPr>
          <w:rFonts w:ascii="Times New Roman" w:hAnsi="Times New Roman" w:cs="Times New Roman"/>
          <w:sz w:val="24"/>
          <w:szCs w:val="24"/>
        </w:rPr>
      </w:pPr>
      <w:r w:rsidRPr="00F8397F">
        <w:rPr>
          <w:rFonts w:ascii="Times New Roman" w:hAnsi="Times New Roman" w:cs="Times New Roman"/>
          <w:sz w:val="24"/>
          <w:szCs w:val="24"/>
        </w:rPr>
        <w:t xml:space="preserve">Glycine-dependent pathway (TDH/Threonine Aldolase pathway): In this route, threonine is first converted by threonine dehydrogenase (TDH) into 2-amino-3-oxobutyrate, a transient intermediate. This intermediate is then cleaved by 2-amino-3-oxobutyrate CoA ligase (GCAT) to produce glycine and acetyl-CoA. Glycine can then enter other metabolic pathways, while acetyl-CoA participates in the tricarboxylic acid (TCA) cycle for energy production. Threonine aldolase can also catalyze the direct conversion of threonine into glycine and acetaldehyde </w:t>
      </w:r>
      <w:r w:rsidRPr="00F8397F">
        <w:rPr>
          <w:rFonts w:ascii="Times New Roman" w:hAnsi="Times New Roman" w:cs="Times New Roman"/>
          <w:sz w:val="24"/>
          <w:szCs w:val="24"/>
        </w:rPr>
        <w:lastRenderedPageBreak/>
        <w:t>(Dong et al., 2016). This pathway is termed glycine-dependent because glycine is one of the primary end products.</w:t>
      </w:r>
    </w:p>
    <w:p w14:paraId="7E5F2FF8" w14:textId="705BBC13" w:rsidR="00743102" w:rsidRPr="00F8397F" w:rsidRDefault="00A60A8A" w:rsidP="00F8397F">
      <w:pPr>
        <w:spacing w:line="360" w:lineRule="auto"/>
        <w:jc w:val="both"/>
        <w:rPr>
          <w:rFonts w:ascii="Times New Roman" w:hAnsi="Times New Roman" w:cs="Times New Roman"/>
          <w:sz w:val="24"/>
          <w:szCs w:val="24"/>
        </w:rPr>
      </w:pPr>
      <w:r w:rsidRPr="00F8397F">
        <w:rPr>
          <w:rFonts w:ascii="Times New Roman" w:hAnsi="Times New Roman" w:cs="Times New Roman"/>
          <w:sz w:val="24"/>
          <w:szCs w:val="24"/>
        </w:rPr>
        <w:t>Glycine-independent pathway (Serine/Threonine Dehydratase pathway): In this route, threonine is degraded directly into α-ketobutyrate and ammonia via serine/threonine dehydratase (STDH), without producing glycine. The resulting α-ketobutyrate is subsequently converted into propionyl-CoA and enters energy-yielding metabolic cycles. This pathway predominates during fasting, starvation, or in certain physiological states (Shiio et al., 1990).</w:t>
      </w:r>
      <w:r w:rsidR="004C3C06" w:rsidRPr="00F8397F">
        <w:rPr>
          <w:rFonts w:ascii="Times New Roman" w:hAnsi="Times New Roman" w:cs="Times New Roman"/>
          <w:sz w:val="24"/>
          <w:szCs w:val="24"/>
        </w:rPr>
        <w:t xml:space="preserve"> The variance is attributed to greater glycine demands in juveniles in comparison to grown-ups </w:t>
      </w:r>
      <w:r w:rsidR="004C3C06" w:rsidRPr="00F8397F">
        <w:rPr>
          <w:rFonts w:ascii="Times New Roman" w:hAnsi="Times New Roman" w:cs="Times New Roman"/>
          <w:sz w:val="24"/>
          <w:szCs w:val="24"/>
          <w:shd w:val="clear" w:color="auto" w:fill="FFFFFF"/>
        </w:rPr>
        <w:t>(Hermann et al., 2003). Metabolic pathway of threonine is given in Fig.1.</w:t>
      </w:r>
    </w:p>
    <w:p w14:paraId="24C03D86" w14:textId="77777777" w:rsidR="00743102" w:rsidRDefault="004C3C06">
      <w:pPr>
        <w:spacing w:line="360" w:lineRule="auto"/>
        <w:jc w:val="both"/>
        <w:rPr>
          <w:rFonts w:ascii="Times New Roman" w:hAnsi="Times New Roman" w:cs="Times New Roman"/>
          <w:sz w:val="24"/>
          <w:szCs w:val="24"/>
          <w:u w:val="single"/>
          <w:shd w:val="clear" w:color="auto" w:fill="FFFFFF"/>
        </w:rPr>
      </w:pPr>
      <w:r>
        <w:rPr>
          <w:rFonts w:ascii="Times New Roman" w:hAnsi="Times New Roman" w:cs="Times New Roman"/>
          <w:noProof/>
          <w:sz w:val="24"/>
          <w:szCs w:val="24"/>
          <w:shd w:val="clear" w:color="auto" w:fill="FFFFFF"/>
          <w:lang w:val="en-US"/>
        </w:rPr>
        <w:drawing>
          <wp:anchor distT="0" distB="0" distL="114300" distR="114300" simplePos="0" relativeHeight="251677696" behindDoc="1" locked="0" layoutInCell="1" allowOverlap="1" wp14:anchorId="0D95D6F9" wp14:editId="67DF9AE6">
            <wp:simplePos x="0" y="0"/>
            <wp:positionH relativeFrom="margin">
              <wp:align>right</wp:align>
            </wp:positionH>
            <wp:positionV relativeFrom="paragraph">
              <wp:posOffset>439420</wp:posOffset>
            </wp:positionV>
            <wp:extent cx="5593080" cy="3329940"/>
            <wp:effectExtent l="76200" t="76200" r="140970" b="137160"/>
            <wp:wrapTight wrapText="bothSides">
              <wp:wrapPolygon edited="0">
                <wp:start x="-147" y="-494"/>
                <wp:lineTo x="-294" y="-371"/>
                <wp:lineTo x="-294" y="21872"/>
                <wp:lineTo x="-147" y="22366"/>
                <wp:lineTo x="21924" y="22366"/>
                <wp:lineTo x="22071" y="21501"/>
                <wp:lineTo x="22071" y="1606"/>
                <wp:lineTo x="21924" y="-247"/>
                <wp:lineTo x="21924" y="-494"/>
                <wp:lineTo x="-147" y="-494"/>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93080" cy="3329940"/>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758EBB43" w14:textId="0CD7A0CE" w:rsidR="00E24FDC" w:rsidRPr="00E24FDC" w:rsidRDefault="004C3C06" w:rsidP="00E24FDC">
      <w:pPr>
        <w:spacing w:line="360" w:lineRule="auto"/>
        <w:jc w:val="center"/>
        <w:rPr>
          <w:rFonts w:ascii="Times New Roman" w:hAnsi="Times New Roman" w:cs="Times New Roman"/>
          <w:sz w:val="24"/>
          <w:szCs w:val="24"/>
          <w:shd w:val="clear" w:color="auto" w:fill="FFFFFF"/>
        </w:rPr>
      </w:pPr>
      <w:r w:rsidRPr="00E24FDC">
        <w:rPr>
          <w:rFonts w:ascii="Times New Roman" w:hAnsi="Times New Roman" w:cs="Times New Roman"/>
          <w:sz w:val="24"/>
          <w:szCs w:val="24"/>
          <w:shd w:val="clear" w:color="auto" w:fill="FFFFFF"/>
        </w:rPr>
        <w:t>Figure.1: Metabolic Pathway of Threonine</w:t>
      </w:r>
    </w:p>
    <w:p w14:paraId="2092C6F6" w14:textId="35E38C6B" w:rsidR="00743102" w:rsidRPr="00E24FDC" w:rsidRDefault="004C3C06" w:rsidP="00066834">
      <w:pPr>
        <w:spacing w:line="360" w:lineRule="auto"/>
        <w:jc w:val="both"/>
        <w:rPr>
          <w:rFonts w:ascii="Times New Roman" w:hAnsi="Times New Roman" w:cs="Times New Roman"/>
          <w:b/>
          <w:bCs/>
          <w:sz w:val="24"/>
          <w:szCs w:val="24"/>
          <w:shd w:val="clear" w:color="auto" w:fill="FFFFFF"/>
        </w:rPr>
      </w:pPr>
      <w:r w:rsidRPr="00E24FDC">
        <w:rPr>
          <w:rFonts w:ascii="Times New Roman" w:hAnsi="Times New Roman" w:cs="Times New Roman"/>
          <w:b/>
          <w:bCs/>
          <w:sz w:val="24"/>
          <w:szCs w:val="24"/>
          <w:shd w:val="clear" w:color="auto" w:fill="FFFFFF"/>
        </w:rPr>
        <w:t xml:space="preserve">Threonine Metabolism Characteristics: </w:t>
      </w:r>
    </w:p>
    <w:p w14:paraId="39E792A0" w14:textId="0BF56200" w:rsidR="00743102" w:rsidRPr="003100DC" w:rsidRDefault="004C3C06" w:rsidP="00066834">
      <w:pPr>
        <w:pStyle w:val="NormalWeb"/>
        <w:spacing w:line="360" w:lineRule="auto"/>
        <w:jc w:val="both"/>
      </w:pPr>
      <w:r w:rsidRPr="003100DC">
        <w:t xml:space="preserve">Threonine metabolism plays a crucial role in nutrient digestion, absorption, and intestinal function. Studies indicate that dietary threonine enhances the activity of digestive enzymes such as trypsin and amylase, facilitating protein and carbohydrate digestion, which improves feed utilization and growth performance such as </w:t>
      </w:r>
      <w:r w:rsidR="001A569A" w:rsidRPr="003100DC">
        <w:t>in juvenile</w:t>
      </w:r>
      <w:r w:rsidRPr="003100DC">
        <w:t xml:space="preserve"> grass carp (</w:t>
      </w:r>
      <w:r w:rsidRPr="003100DC">
        <w:rPr>
          <w:rStyle w:val="Emphasis"/>
        </w:rPr>
        <w:t>Ctenopharyngodon idella</w:t>
      </w:r>
      <w:r w:rsidRPr="003100DC">
        <w:t xml:space="preserve">). (Dong et al., 2021). Additionally, threonine is essential for mucin production in the </w:t>
      </w:r>
      <w:r w:rsidRPr="003100DC">
        <w:lastRenderedPageBreak/>
        <w:t>intestine, maintaining gut barrier integrity and reducing susceptibility to pathogenic infections (Jiang et al., 2020).</w:t>
      </w:r>
    </w:p>
    <w:p w14:paraId="03F0D401" w14:textId="77777777" w:rsidR="00743102" w:rsidRPr="003100DC" w:rsidRDefault="004C3C06" w:rsidP="00066834">
      <w:pPr>
        <w:pStyle w:val="NormalWeb"/>
        <w:spacing w:line="360" w:lineRule="auto"/>
        <w:jc w:val="both"/>
      </w:pPr>
      <w:r w:rsidRPr="003100DC">
        <w:t>The metabolic fate of dietary threonine is primarily directed toward protein synthesis and mucosal tissue maintenance. It serves as a key precursor for glycoproteins, supporting intestinal epithelial health and reducing oxidative stress. Furthermore, optimal threonine levels improve lipid metabolism, preventing excessive fat accumulation in the liver while enhancing fatty acid oxidation and energy utilization (Wu et al., 2019). Studies have also shown that inadequate threonine intake can disrupt amino acid metabolism, leading to impaired fish growth and immune function (Kuang et al., 2020).</w:t>
      </w:r>
    </w:p>
    <w:p w14:paraId="4901CF9A" w14:textId="77777777" w:rsidR="00743102" w:rsidRPr="003100DC" w:rsidRDefault="004C3C06" w:rsidP="00066834">
      <w:pPr>
        <w:pStyle w:val="NormalWeb"/>
        <w:spacing w:line="360" w:lineRule="auto"/>
        <w:jc w:val="both"/>
      </w:pPr>
      <w:r w:rsidRPr="003100DC">
        <w:t>Beyond its metabolic functions, threonine plays a significant role in immune modulation and antioxidant defense. Supplementation with adequate threonine levels enhances antioxidant enzyme activities such as superoxide dismutase (SOD) and glutathione peroxidase (GPx), which reduce oxidative damage and improve fish resilience to environmental stressors (Tang et al., 2021). Moreover, threonine regulates inflammatory pathways by influencing cytokine production, thereby strengthening the immune response and overall health of fish (Zhou et al., 2022).</w:t>
      </w:r>
    </w:p>
    <w:p w14:paraId="65862B59" w14:textId="77777777" w:rsidR="00743102" w:rsidRPr="003100DC" w:rsidRDefault="004C3C06" w:rsidP="00066834">
      <w:pPr>
        <w:pStyle w:val="NormalWeb"/>
        <w:spacing w:line="360" w:lineRule="auto"/>
        <w:jc w:val="both"/>
      </w:pPr>
      <w:r w:rsidRPr="003100DC">
        <w:t>These findings emphasize the importance of precise dietary threonine formulation in aquafeeds to optimize digestion, metabolism, and immune function in juvenile grass carp. Future research should focus on refining dietary inclusion levels to maximize growth efficiency while ensuring intestinal and metabolic health (Dong et al., 2021).</w:t>
      </w:r>
    </w:p>
    <w:p w14:paraId="6739DE74" w14:textId="77777777" w:rsidR="00743102" w:rsidRDefault="004C3C06">
      <w:pPr>
        <w:spacing w:line="360" w:lineRule="auto"/>
        <w:jc w:val="both"/>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Empirical Methods used for threonine requirement</w:t>
      </w:r>
    </w:p>
    <w:p w14:paraId="32180246" w14:textId="77777777" w:rsidR="00743102" w:rsidRDefault="004C3C06">
      <w:pPr>
        <w:spacing w:line="360" w:lineRule="auto"/>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rPr>
        <w:t>1. Indicator amino acid oxidation (IAAO) method</w:t>
      </w:r>
    </w:p>
    <w:p w14:paraId="5E1C141D" w14:textId="13C3829B" w:rsidR="00743102" w:rsidRDefault="00653432">
      <w:pPr>
        <w:spacing w:line="360" w:lineRule="auto"/>
        <w:jc w:val="both"/>
        <w:rPr>
          <w:rFonts w:ascii="Times New Roman" w:hAnsi="Times New Roman" w:cs="Times New Roman"/>
          <w:sz w:val="24"/>
          <w:szCs w:val="24"/>
        </w:rPr>
      </w:pPr>
      <w:r w:rsidRPr="00653432">
        <w:rPr>
          <w:rFonts w:ascii="Times New Roman" w:hAnsi="Times New Roman" w:cs="Times New Roman"/>
          <w:sz w:val="24"/>
          <w:szCs w:val="24"/>
        </w:rPr>
        <w:t>This method was originally developed by Bayley et al. for determining amino acid requirements in young, growing pigs (Nath et al., 2023; Ikeda et al., 2012; Dong et al., 2011; House et al., 2001). It is based on the principle that when an essential amino acid (EAA) necessary for protein synthesis is deficient in the diet, the utilization of all other amino acids, including the selected indicator amino acid, becomes limited</w:t>
      </w:r>
      <w:r w:rsidR="004C3C06">
        <w:rPr>
          <w:rFonts w:ascii="Times New Roman" w:hAnsi="Times New Roman" w:cs="Times New Roman"/>
          <w:sz w:val="24"/>
          <w:szCs w:val="24"/>
          <w:lang w:eastAsia="en-IN"/>
        </w:rPr>
        <w:t xml:space="preserve"> (often another EAA, such as L-[1-13C] phenylalanine), will undergo oxidation (</w:t>
      </w:r>
      <w:r w:rsidR="004C3C06">
        <w:rPr>
          <w:rFonts w:ascii="Times New Roman" w:hAnsi="Times New Roman" w:cs="Times New Roman"/>
          <w:sz w:val="24"/>
          <w:szCs w:val="24"/>
        </w:rPr>
        <w:t xml:space="preserve">Floch and Seve, 2005). </w:t>
      </w:r>
      <w:r w:rsidR="00A60A8A" w:rsidRPr="00A60A8A">
        <w:rPr>
          <w:rFonts w:ascii="Times New Roman" w:hAnsi="Times New Roman" w:cs="Times New Roman"/>
          <w:sz w:val="24"/>
          <w:szCs w:val="24"/>
        </w:rPr>
        <w:t>Although originally applied in mammals, this method is increasingly being adapted for use in aquaculture species to estimate precise amino acid requirements and improve dietary formulations in fish.</w:t>
      </w:r>
      <w:r w:rsidR="004C3C06">
        <w:rPr>
          <w:rFonts w:ascii="Times New Roman" w:eastAsia="Times New Roman" w:hAnsi="Times New Roman" w:cs="Times New Roman"/>
          <w:vanish/>
          <w:kern w:val="0"/>
          <w:sz w:val="24"/>
          <w:szCs w:val="24"/>
          <w:lang w:eastAsia="en-IN"/>
        </w:rPr>
        <w:t>Top of Form</w:t>
      </w:r>
    </w:p>
    <w:p w14:paraId="0BD24A95" w14:textId="5144B7A8" w:rsidR="00653432" w:rsidRDefault="00653432" w:rsidP="00653432">
      <w:pPr>
        <w:spacing w:line="360" w:lineRule="auto"/>
        <w:jc w:val="both"/>
        <w:rPr>
          <w:rFonts w:ascii="Times New Roman" w:hAnsi="Times New Roman" w:cs="Times New Roman"/>
          <w:sz w:val="24"/>
          <w:szCs w:val="24"/>
        </w:rPr>
      </w:pPr>
      <w:r w:rsidRPr="00653432">
        <w:rPr>
          <w:rFonts w:ascii="Times New Roman" w:hAnsi="Times New Roman" w:cs="Times New Roman"/>
          <w:sz w:val="24"/>
          <w:szCs w:val="24"/>
        </w:rPr>
        <w:lastRenderedPageBreak/>
        <w:t>This occurs because amino acids cannot be stored in the body and must be directed toward one of two main pathways: utilization for protein synthesis or oxidation. As the intake of the limiting amino acid increases, the oxidation of the indicator amino acid decreases, reflecting its greater incorporation into protein synthesis. Once the requirement for the limiting amino acid is met, further increases in its intake no longer affect the oxidation rate of the indicator amino acid</w:t>
      </w:r>
      <w:r w:rsidR="00A60A8A">
        <w:rPr>
          <w:rFonts w:ascii="Times New Roman" w:hAnsi="Times New Roman" w:cs="Times New Roman"/>
          <w:sz w:val="24"/>
          <w:szCs w:val="24"/>
        </w:rPr>
        <w:t xml:space="preserve"> </w:t>
      </w:r>
      <w:r w:rsidR="00A60A8A" w:rsidRPr="00653432">
        <w:rPr>
          <w:rFonts w:ascii="Times New Roman" w:hAnsi="Times New Roman" w:cs="Times New Roman"/>
          <w:sz w:val="24"/>
          <w:szCs w:val="24"/>
        </w:rPr>
        <w:t>(Edgar, 2005)</w:t>
      </w:r>
      <w:r w:rsidRPr="00653432">
        <w:rPr>
          <w:rFonts w:ascii="Times New Roman" w:hAnsi="Times New Roman" w:cs="Times New Roman"/>
          <w:sz w:val="24"/>
          <w:szCs w:val="24"/>
        </w:rPr>
        <w:t>. The point at which this oxidation stabilizes and ceases to decline is termed the breakpoint, which is determined using bi-phase linear regression analysis and represents the estimated amino acid requirement.</w:t>
      </w:r>
      <w:r>
        <w:rPr>
          <w:rFonts w:ascii="Times New Roman" w:hAnsi="Times New Roman" w:cs="Times New Roman"/>
          <w:sz w:val="24"/>
          <w:szCs w:val="24"/>
        </w:rPr>
        <w:t xml:space="preserve"> </w:t>
      </w:r>
      <w:r w:rsidRPr="00653432">
        <w:rPr>
          <w:rFonts w:ascii="Times New Roman" w:hAnsi="Times New Roman" w:cs="Times New Roman"/>
          <w:sz w:val="24"/>
          <w:szCs w:val="24"/>
        </w:rPr>
        <w:t>This approach employs stable isotope–labelled amino acids to measure the rate at which a specific amino acid is oxidized, thereby providing an indirect estimate of the body’s requirement for that amino acid. By assessing the oxidation rate of threonine, researchers can accurately determine its dietary requirement in fish or other animals.</w:t>
      </w:r>
    </w:p>
    <w:p w14:paraId="0F6A61BB" w14:textId="3EEC56FF" w:rsidR="00743102" w:rsidRPr="00653432" w:rsidRDefault="004C3C06" w:rsidP="0065343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 Protein Digestibility-Corrected Amino Score method</w:t>
      </w:r>
    </w:p>
    <w:p w14:paraId="48264C00" w14:textId="77777777" w:rsidR="00653432" w:rsidRPr="00653432" w:rsidRDefault="00653432" w:rsidP="00653432">
      <w:pPr>
        <w:spacing w:before="100" w:beforeAutospacing="1" w:after="100" w:afterAutospacing="1" w:line="360" w:lineRule="auto"/>
        <w:jc w:val="both"/>
        <w:rPr>
          <w:rFonts w:ascii="Times New Roman" w:eastAsia="Times New Roman" w:hAnsi="Times New Roman" w:cs="Times New Roman"/>
          <w:kern w:val="0"/>
          <w:sz w:val="24"/>
          <w:szCs w:val="24"/>
          <w:lang w:eastAsia="en-IN"/>
        </w:rPr>
      </w:pPr>
      <w:r w:rsidRPr="00653432">
        <w:rPr>
          <w:rFonts w:ascii="Times New Roman" w:eastAsia="Times New Roman" w:hAnsi="Times New Roman" w:cs="Times New Roman"/>
          <w:kern w:val="0"/>
          <w:sz w:val="24"/>
          <w:szCs w:val="24"/>
          <w:lang w:eastAsia="en-IN"/>
        </w:rPr>
        <w:t>The threonine requirement can also be estimated by comparing the amino acid composition of a test protein with that of a standard or reference protein, following the amino acid scoring pattern proposed by the FAO and WHO (2007). The requirement is considered adequate when the amino acid profile of the test protein matches or exceeds that of the reference pattern.</w:t>
      </w:r>
    </w:p>
    <w:p w14:paraId="003E7F0F" w14:textId="77777777" w:rsidR="00653432" w:rsidRPr="00653432" w:rsidRDefault="00653432" w:rsidP="00653432">
      <w:pPr>
        <w:spacing w:before="100" w:beforeAutospacing="1" w:after="100" w:afterAutospacing="1" w:line="360" w:lineRule="auto"/>
        <w:jc w:val="both"/>
        <w:rPr>
          <w:rFonts w:ascii="Times New Roman" w:eastAsia="Times New Roman" w:hAnsi="Times New Roman" w:cs="Times New Roman"/>
          <w:kern w:val="0"/>
          <w:sz w:val="24"/>
          <w:szCs w:val="24"/>
          <w:lang w:eastAsia="en-IN"/>
        </w:rPr>
      </w:pPr>
      <w:r w:rsidRPr="00653432">
        <w:rPr>
          <w:rFonts w:ascii="Times New Roman" w:eastAsia="Times New Roman" w:hAnsi="Times New Roman" w:cs="Times New Roman"/>
          <w:kern w:val="0"/>
          <w:sz w:val="24"/>
          <w:szCs w:val="24"/>
          <w:lang w:eastAsia="en-IN"/>
        </w:rPr>
        <w:t>The Protein Digestibility-Corrected Amino Acid Score (PDCAAS) is commonly used to evaluate protein quality and amino acid adequacy. It is calculated using the following formula:</w:t>
      </w:r>
    </w:p>
    <w:p w14:paraId="16094563" w14:textId="789D1ADE" w:rsidR="00743102" w:rsidRDefault="00653432" w:rsidP="00653432">
      <w:pPr>
        <w:spacing w:line="360" w:lineRule="auto"/>
        <w:jc w:val="both"/>
        <w:rPr>
          <w:rFonts w:ascii="Times New Roman" w:hAnsi="Times New Roman" w:cs="Times New Roman"/>
          <w:sz w:val="24"/>
          <w:szCs w:val="24"/>
        </w:rPr>
      </w:pPr>
      <m:oMathPara>
        <m:oMath>
          <m:r>
            <m:rPr>
              <m:nor/>
            </m:rPr>
            <w:rPr>
              <w:rFonts w:ascii="Times New Roman" w:eastAsia="Times New Roman" w:hAnsi="Times New Roman" w:cs="Times New Roman"/>
              <w:kern w:val="0"/>
              <w:sz w:val="24"/>
              <w:szCs w:val="24"/>
              <w:lang w:eastAsia="en-IN"/>
            </w:rPr>
            <m:t>PDCAAS (%)</m:t>
          </m:r>
          <m:r>
            <w:rPr>
              <w:rFonts w:ascii="Cambria Math" w:eastAsia="Times New Roman" w:hAnsi="Cambria Math" w:cs="Times New Roman"/>
              <w:kern w:val="0"/>
              <w:sz w:val="24"/>
              <w:szCs w:val="24"/>
              <w:lang w:eastAsia="en-IN"/>
            </w:rPr>
            <m:t>=</m:t>
          </m:r>
          <m:f>
            <m:fPr>
              <m:ctrlPr>
                <w:rPr>
                  <w:rFonts w:ascii="Cambria Math" w:eastAsia="Times New Roman" w:hAnsi="Cambria Math" w:cs="Times New Roman"/>
                  <w:kern w:val="0"/>
                  <w:sz w:val="24"/>
                  <w:szCs w:val="24"/>
                  <w:lang w:eastAsia="en-IN"/>
                </w:rPr>
              </m:ctrlPr>
            </m:fPr>
            <m:num>
              <m:r>
                <m:rPr>
                  <m:nor/>
                </m:rPr>
                <w:rPr>
                  <w:rFonts w:ascii="Times New Roman" w:eastAsia="Times New Roman" w:hAnsi="Times New Roman" w:cs="Times New Roman"/>
                  <w:kern w:val="0"/>
                  <w:sz w:val="24"/>
                  <w:szCs w:val="24"/>
                  <w:lang w:eastAsia="en-IN"/>
                </w:rPr>
                <m:t>mg of first limiting amino acid in 1 g of test protein</m:t>
              </m:r>
            </m:num>
            <m:den>
              <m:r>
                <m:rPr>
                  <m:nor/>
                </m:rPr>
                <w:rPr>
                  <w:rFonts w:ascii="Times New Roman" w:eastAsia="Times New Roman" w:hAnsi="Times New Roman" w:cs="Times New Roman"/>
                  <w:kern w:val="0"/>
                  <w:sz w:val="24"/>
                  <w:szCs w:val="24"/>
                  <w:lang w:eastAsia="en-IN"/>
                </w:rPr>
                <m:t>mg of the same amino acid in 1 g of reference protein</m:t>
              </m:r>
            </m:den>
          </m:f>
          <m:r>
            <w:rPr>
              <w:rFonts w:ascii="Cambria Math" w:eastAsia="Times New Roman" w:hAnsi="Cambria Math" w:cs="Times New Roman"/>
              <w:kern w:val="0"/>
              <w:sz w:val="24"/>
              <w:szCs w:val="24"/>
              <w:lang w:eastAsia="en-IN"/>
            </w:rPr>
            <m:t>×</m:t>
          </m:r>
          <m:r>
            <m:rPr>
              <m:nor/>
            </m:rPr>
            <w:rPr>
              <w:rFonts w:ascii="Times New Roman" w:eastAsia="Times New Roman" w:hAnsi="Times New Roman" w:cs="Times New Roman"/>
              <w:kern w:val="0"/>
              <w:sz w:val="24"/>
              <w:szCs w:val="24"/>
              <w:lang w:eastAsia="en-IN"/>
            </w:rPr>
            <m:t>True Digestibility (TD %)</m:t>
          </m:r>
          <m:r>
            <m:rPr>
              <m:sty m:val="p"/>
            </m:rPr>
            <w:rPr>
              <w:rFonts w:ascii="Times New Roman" w:eastAsia="Times New Roman" w:hAnsi="Times New Roman" w:cs="Times New Roman"/>
              <w:kern w:val="0"/>
              <w:sz w:val="24"/>
              <w:szCs w:val="24"/>
              <w:lang w:eastAsia="en-IN"/>
            </w:rPr>
            <w:br/>
          </m:r>
        </m:oMath>
      </m:oMathPara>
      <w:r w:rsidR="004C3C06">
        <w:rPr>
          <w:rFonts w:ascii="Times New Roman" w:hAnsi="Times New Roman" w:cs="Times New Roman"/>
          <w:sz w:val="24"/>
          <w:szCs w:val="24"/>
        </w:rPr>
        <w:t>TD represents the accurate digestion of a test protein, determined through a rat-based assessment. Accurate faecal protein breakdown is characterized as the percentage difference between protein nitrogen (N) intake and faecal nitrogen (N) output, after accounting for metabolic faecal nitrogen (N), as determined by a diet devoid of protein.</w:t>
      </w:r>
    </w:p>
    <w:p w14:paraId="7CB7A1EE" w14:textId="039814B0" w:rsidR="00743102" w:rsidRDefault="004C3C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the formula, the PDCAAS method is grounded in two fundamental principles. The first principle highlights the presence of the initial essential amino acid, which restricts growth in a protein or protein blend, is pivotal in determining its capacity to meet dietary amino acid requirements. </w:t>
      </w:r>
      <w:r w:rsidR="00653432" w:rsidRPr="00653432">
        <w:rPr>
          <w:rFonts w:ascii="Times New Roman" w:hAnsi="Times New Roman" w:cs="Times New Roman"/>
          <w:sz w:val="24"/>
          <w:szCs w:val="24"/>
        </w:rPr>
        <w:t xml:space="preserve">The second key principle of this method emphasizes that a protein can meet </w:t>
      </w:r>
      <w:r w:rsidR="00653432" w:rsidRPr="00653432">
        <w:rPr>
          <w:rFonts w:ascii="Times New Roman" w:hAnsi="Times New Roman" w:cs="Times New Roman"/>
          <w:sz w:val="24"/>
          <w:szCs w:val="24"/>
        </w:rPr>
        <w:lastRenderedPageBreak/>
        <w:t>dietary requirements only if its constituent amino acids are effectively absorbed from the diet, highlighting the critical role of protein digestibility.</w:t>
      </w:r>
    </w:p>
    <w:p w14:paraId="2BCC25CB" w14:textId="77777777" w:rsidR="00743102" w:rsidRDefault="004C3C0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3. Serum or Tissue Amino Acid Profiles</w:t>
      </w:r>
    </w:p>
    <w:p w14:paraId="51D299D0" w14:textId="77777777" w:rsidR="00743102" w:rsidRDefault="004C3C06">
      <w:pPr>
        <w:spacing w:line="360" w:lineRule="auto"/>
        <w:jc w:val="both"/>
        <w:rPr>
          <w:rFonts w:ascii="Times New Roman" w:hAnsi="Times New Roman" w:cs="Times New Roman"/>
          <w:sz w:val="24"/>
          <w:szCs w:val="24"/>
        </w:rPr>
      </w:pPr>
      <w:r>
        <w:rPr>
          <w:rFonts w:ascii="Times New Roman" w:hAnsi="Times New Roman" w:cs="Times New Roman"/>
          <w:sz w:val="24"/>
          <w:szCs w:val="24"/>
        </w:rPr>
        <w:t>Examining the amino acid composition of plasma (blood) can offer insights into how amino acids are being utilized by the body and can indicate whether there may be a requirement for higher threonine intake. Some researchers have noted a robust correlation between the levels of free amino acids in the bloodstream and muscle tissue of fish and their dietary intake of amino acids</w:t>
      </w:r>
      <w:bookmarkStart w:id="0" w:name="_Hlk155089670"/>
      <w:r>
        <w:rPr>
          <w:rFonts w:ascii="Times New Roman" w:hAnsi="Times New Roman" w:cs="Times New Roman"/>
          <w:sz w:val="24"/>
          <w:szCs w:val="24"/>
        </w:rPr>
        <w:t xml:space="preserve"> (Sunde et al., 2001).</w:t>
      </w:r>
      <w:bookmarkEnd w:id="0"/>
      <w:r>
        <w:rPr>
          <w:rFonts w:ascii="Times New Roman" w:hAnsi="Times New Roman" w:cs="Times New Roman"/>
          <w:sz w:val="24"/>
          <w:szCs w:val="24"/>
        </w:rPr>
        <w:t xml:space="preserve"> The underlying concept is that the proportion of these amino acids present in the blood or tissues should persist relatively low until the fish's demand for a specific amino acid is fulfilled. Subsequently, the levels should increase significantly when the fish is supplied with an excess of that amino acid. While this approach has proven valuable in validating amino acid requirements, its effective application has been restricted to only a few cases.</w:t>
      </w:r>
      <w:r>
        <w:rPr>
          <w:rFonts w:ascii="Times New Roman" w:eastAsia="Times New Roman" w:hAnsi="Times New Roman" w:cs="Times New Roman"/>
          <w:vanish/>
          <w:kern w:val="0"/>
          <w:sz w:val="24"/>
          <w:szCs w:val="24"/>
          <w:lang w:eastAsia="en-IN"/>
        </w:rPr>
        <w:t>Top of Form</w:t>
      </w:r>
    </w:p>
    <w:p w14:paraId="17639BD4" w14:textId="57795F0D" w:rsidR="00743102" w:rsidRDefault="004C3C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illustrate, in the instance of investigating an </w:t>
      </w:r>
      <w:r w:rsidR="003100DC">
        <w:rPr>
          <w:rFonts w:ascii="Times New Roman" w:hAnsi="Times New Roman" w:cs="Times New Roman"/>
          <w:sz w:val="24"/>
          <w:szCs w:val="24"/>
        </w:rPr>
        <w:t>essential amino acid requirement</w:t>
      </w:r>
      <w:r>
        <w:rPr>
          <w:rFonts w:ascii="Times New Roman" w:hAnsi="Times New Roman" w:cs="Times New Roman"/>
          <w:sz w:val="24"/>
          <w:szCs w:val="24"/>
        </w:rPr>
        <w:t xml:space="preserve"> for channel catfish, only data related to serum levels of lysine as reported by (Wilson et al., 1997), threonine (Wilson et al., 1978), histidine (Wilson et al., 1980) and methionine (Harding et al., 1977) proved valuable in corroborating the estimated requirement values derived from weight gain data. Similarly, when assessing the amino acid requirements for Nile tilapia (Santiago and Lovell, 1988) could only utilize the concentration of isoleucine, threonine, and free lysine in muscle cells to confirm the values needed for these particular amino acids in developmental experiments.</w:t>
      </w:r>
    </w:p>
    <w:p w14:paraId="635DD0A1" w14:textId="77777777" w:rsidR="00743102" w:rsidRDefault="004C3C0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 Ogino's Carcass Deposition Method</w:t>
      </w:r>
    </w:p>
    <w:p w14:paraId="2119AEAB" w14:textId="640E6B8C" w:rsidR="00743102" w:rsidRDefault="004C3C06">
      <w:pPr>
        <w:spacing w:line="360" w:lineRule="auto"/>
        <w:jc w:val="both"/>
        <w:rPr>
          <w:rFonts w:ascii="Times New Roman" w:hAnsi="Times New Roman" w:cs="Times New Roman"/>
          <w:sz w:val="24"/>
          <w:szCs w:val="24"/>
        </w:rPr>
      </w:pPr>
      <w:r>
        <w:rPr>
          <w:rFonts w:ascii="Times New Roman" w:hAnsi="Times New Roman" w:cs="Times New Roman"/>
          <w:sz w:val="24"/>
          <w:szCs w:val="24"/>
        </w:rPr>
        <w:t>This method, primarily developed for determining the quantitative specifications for critical amino acids, especially in fish, was pioneered by Ogino in 1930's</w:t>
      </w:r>
      <w:r w:rsidR="00A60A8A">
        <w:rPr>
          <w:rFonts w:ascii="Times New Roman" w:hAnsi="Times New Roman" w:cs="Times New Roman"/>
          <w:sz w:val="24"/>
          <w:szCs w:val="24"/>
        </w:rPr>
        <w:t xml:space="preserve"> (Ogino et al., 2017)</w:t>
      </w:r>
      <w:r>
        <w:rPr>
          <w:rFonts w:ascii="Times New Roman" w:hAnsi="Times New Roman" w:cs="Times New Roman"/>
          <w:sz w:val="24"/>
          <w:szCs w:val="24"/>
        </w:rPr>
        <w:t>. He noticed a striking resemblance in the percentage composition between the dietary essential amino acid requirements for fish and the essential amino acid profile found in fish muscle tissue.</w:t>
      </w:r>
      <w:r w:rsidR="00A60A8A">
        <w:rPr>
          <w:rFonts w:ascii="Times New Roman" w:hAnsi="Times New Roman" w:cs="Times New Roman"/>
          <w:sz w:val="24"/>
          <w:szCs w:val="24"/>
        </w:rPr>
        <w:t xml:space="preserve"> </w:t>
      </w:r>
      <w:r>
        <w:rPr>
          <w:rFonts w:ascii="Times New Roman" w:hAnsi="Times New Roman" w:cs="Times New Roman"/>
          <w:sz w:val="24"/>
          <w:szCs w:val="24"/>
        </w:rPr>
        <w:t>The procedure involves estimating the daily nitrogen or protein rate, as well as the percentage feeding rate for every 100 grams of body weight. Subsequently, further experiments are conducted on test animals to determine the specific requirements for each amino acid. Based on these parameters, the optimal levels at which amino acids need to be present in the dietary protein source is calculated and the optimal daily dietary requirements for each individual amino acid (Martino et al., 2005)</w:t>
      </w:r>
    </w:p>
    <w:p w14:paraId="714EAB76" w14:textId="77777777" w:rsidR="00743102" w:rsidRDefault="004C3C0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5. Growth studies</w:t>
      </w:r>
    </w:p>
    <w:p w14:paraId="7214C9CC" w14:textId="6ECD3A84" w:rsidR="00743102" w:rsidRDefault="004C3C06">
      <w:pPr>
        <w:spacing w:line="360" w:lineRule="auto"/>
        <w:jc w:val="both"/>
        <w:rPr>
          <w:rFonts w:ascii="Times New Roman" w:hAnsi="Times New Roman" w:cs="Times New Roman"/>
          <w:sz w:val="24"/>
          <w:szCs w:val="24"/>
          <w:lang w:eastAsia="en-IN"/>
        </w:rPr>
      </w:pPr>
      <w:r>
        <w:rPr>
          <w:rFonts w:ascii="Times New Roman" w:hAnsi="Times New Roman" w:cs="Times New Roman"/>
          <w:sz w:val="24"/>
          <w:szCs w:val="24"/>
        </w:rPr>
        <w:t>The traditional Almquist plot or growth response curve approach</w:t>
      </w:r>
      <w:r>
        <w:rPr>
          <w:rFonts w:ascii="Times New Roman" w:hAnsi="Times New Roman" w:cs="Times New Roman"/>
          <w:sz w:val="24"/>
          <w:szCs w:val="24"/>
          <w:lang w:eastAsia="en-IN"/>
        </w:rPr>
        <w:t xml:space="preserve"> has been predominantly utilized to ascertain the majority of amino acid prerequisite values. In</w:t>
      </w:r>
      <w:r>
        <w:rPr>
          <w:rFonts w:ascii="Times New Roman" w:hAnsi="Times New Roman" w:cs="Times New Roman"/>
          <w:sz w:val="24"/>
          <w:szCs w:val="24"/>
        </w:rPr>
        <w:t xml:space="preserve"> this approach, multiple fish groups are provided with diets with varying concentrations of the amino acid under investigation. </w:t>
      </w:r>
      <w:r w:rsidR="00653432" w:rsidRPr="00653432">
        <w:rPr>
          <w:rFonts w:ascii="Times New Roman" w:hAnsi="Times New Roman" w:cs="Times New Roman"/>
          <w:sz w:val="24"/>
          <w:szCs w:val="24"/>
        </w:rPr>
        <w:t>This process continues until noticeable differences appear in the weight gain of the fish under evaluation</w:t>
      </w:r>
      <w:r>
        <w:rPr>
          <w:rFonts w:ascii="Times New Roman" w:hAnsi="Times New Roman" w:cs="Times New Roman"/>
          <w:sz w:val="24"/>
          <w:szCs w:val="24"/>
        </w:rPr>
        <w:t>. Typically, an incremental increase in weight is observed as the intake of the amino acid increases until a specific point is reached, known as the break point. At this break point, the weight gain reaches a plateau, indicating that the requirement for that particular amino acid has been met.</w:t>
      </w:r>
      <w:r>
        <w:rPr>
          <w:rFonts w:ascii="Times New Roman" w:hAnsi="Times New Roman" w:cs="Times New Roman"/>
          <w:sz w:val="24"/>
          <w:szCs w:val="24"/>
          <w:lang w:eastAsia="en-IN"/>
        </w:rPr>
        <w:t xml:space="preserve"> </w:t>
      </w:r>
      <w:r w:rsidR="00E66C2D" w:rsidRPr="00E66C2D">
        <w:rPr>
          <w:rFonts w:ascii="Times New Roman" w:hAnsi="Times New Roman" w:cs="Times New Roman"/>
          <w:sz w:val="24"/>
          <w:szCs w:val="24"/>
        </w:rPr>
        <w:t>Different approaches have been employed to estimate or calculate the breakpoint that represents the requirement value derived from fish weight gain data</w:t>
      </w:r>
      <w:r>
        <w:rPr>
          <w:rFonts w:ascii="Times New Roman" w:hAnsi="Times New Roman" w:cs="Times New Roman"/>
          <w:sz w:val="24"/>
          <w:szCs w:val="24"/>
        </w:rPr>
        <w:t xml:space="preserve">. The requirement values for Chinook salmon </w:t>
      </w:r>
      <w:r w:rsidR="00A60A8A">
        <w:rPr>
          <w:rFonts w:ascii="Times New Roman" w:hAnsi="Times New Roman" w:cs="Times New Roman"/>
          <w:sz w:val="24"/>
          <w:szCs w:val="24"/>
        </w:rPr>
        <w:t>(</w:t>
      </w:r>
      <w:r>
        <w:rPr>
          <w:rFonts w:ascii="Times New Roman" w:hAnsi="Times New Roman" w:cs="Times New Roman"/>
          <w:sz w:val="24"/>
          <w:szCs w:val="24"/>
        </w:rPr>
        <w:t xml:space="preserve">Mertz </w:t>
      </w:r>
      <w:r w:rsidR="00A60A8A">
        <w:rPr>
          <w:rFonts w:ascii="Times New Roman" w:hAnsi="Times New Roman" w:cs="Times New Roman"/>
          <w:sz w:val="24"/>
          <w:szCs w:val="24"/>
        </w:rPr>
        <w:t>,</w:t>
      </w:r>
      <w:r>
        <w:rPr>
          <w:rFonts w:ascii="Times New Roman" w:hAnsi="Times New Roman" w:cs="Times New Roman"/>
          <w:sz w:val="24"/>
          <w:szCs w:val="24"/>
        </w:rPr>
        <w:t>1972), common carp, and Japanese eel (Nose</w:t>
      </w:r>
      <w:r w:rsidR="00A60A8A">
        <w:rPr>
          <w:rFonts w:ascii="Times New Roman" w:hAnsi="Times New Roman" w:cs="Times New Roman"/>
          <w:sz w:val="24"/>
          <w:szCs w:val="24"/>
        </w:rPr>
        <w:t xml:space="preserve">, </w:t>
      </w:r>
      <w:r>
        <w:rPr>
          <w:rFonts w:ascii="Times New Roman" w:hAnsi="Times New Roman" w:cs="Times New Roman"/>
          <w:sz w:val="24"/>
          <w:szCs w:val="24"/>
        </w:rPr>
        <w:t>1979) were established using the Almquist plot method, without the use of statistical analysis. In contrast, some studies, such as those conducted by Harding et al. in 1977 and Akiyama et al. in 1985, employed regression analysis to create the Almquist plot for estimating these requirement values.</w:t>
      </w:r>
    </w:p>
    <w:p w14:paraId="5013CF0E" w14:textId="4CDC102F" w:rsidR="00551680" w:rsidRDefault="004C3C06">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In the investigation carried out by Wilson et al. in 1980, the estimation of requirement values involved the utilization of both the continuous analysis of quadratic regression and the broken-line model. </w:t>
      </w:r>
      <w:r w:rsidR="00E66C2D" w:rsidRPr="00E66C2D">
        <w:rPr>
          <w:rFonts w:ascii="Times New Roman" w:hAnsi="Times New Roman" w:cs="Times New Roman"/>
          <w:sz w:val="24"/>
          <w:szCs w:val="24"/>
        </w:rPr>
        <w:t>It is noteworthy that over the past decade, most reported amino acid requirement values have been estimated using the broken-line regression model, which has become the preferred analytical approach.</w:t>
      </w:r>
    </w:p>
    <w:p w14:paraId="22FB2A0C" w14:textId="77777777" w:rsidR="00743102" w:rsidRDefault="004C3C0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Dietary Threonine requirement in fish</w:t>
      </w:r>
    </w:p>
    <w:p w14:paraId="1888DFA9" w14:textId="2CA7D789" w:rsidR="00743102" w:rsidRDefault="00E66C2D">
      <w:pPr>
        <w:spacing w:line="360" w:lineRule="auto"/>
        <w:jc w:val="both"/>
        <w:rPr>
          <w:rFonts w:ascii="Times New Roman" w:hAnsi="Times New Roman" w:cs="Times New Roman"/>
          <w:sz w:val="24"/>
          <w:szCs w:val="24"/>
        </w:rPr>
      </w:pPr>
      <w:r w:rsidRPr="00E66C2D">
        <w:rPr>
          <w:rFonts w:ascii="Times New Roman" w:hAnsi="Times New Roman" w:cs="Times New Roman"/>
          <w:sz w:val="24"/>
          <w:szCs w:val="24"/>
        </w:rPr>
        <w:t>In 1957, Halver developed the first effective amino acid test diet for fish, adapting the concept from amino acid test diets previously designed by Rose and colleagues to determine the amino acid requirements of young albino rats. Halver formulated diets containing 70% crystalline L-amino acids, reflecting the amino acid compositions of whole chicken egg protein, Chinook salmon egg protein, and Chinook yolk-sac fry protein. Among these, the diet modeled after whole chicken egg protein yielded the highest growth rates and feed efficiency in Chinook salmon over a 12-week feeding trial. Consequently, this formulation was adopted to establish the qualitative amino acid requirements for Chinook salmon</w:t>
      </w:r>
      <w:r w:rsidR="004C3C06">
        <w:rPr>
          <w:rFonts w:ascii="Times New Roman" w:hAnsi="Times New Roman" w:cs="Times New Roman"/>
          <w:sz w:val="24"/>
          <w:szCs w:val="24"/>
        </w:rPr>
        <w:t xml:space="preserve"> (Halver et al., 1957). The actual differences and reliability of the indispensable amino acid (IAA) requirements of the teleosts studied so far have frequently been questioned. These disparities are often attributed, at least in part, to variations between laboratories, including discrepancies in the composition of basal </w:t>
      </w:r>
      <w:r w:rsidR="004C3C06">
        <w:rPr>
          <w:rFonts w:ascii="Times New Roman" w:hAnsi="Times New Roman" w:cs="Times New Roman"/>
          <w:sz w:val="24"/>
          <w:szCs w:val="24"/>
        </w:rPr>
        <w:lastRenderedPageBreak/>
        <w:t>diets</w:t>
      </w:r>
      <w:r w:rsidR="004C3C06">
        <w:rPr>
          <w:rFonts w:ascii="Times New Roman" w:eastAsia="Georgia" w:hAnsi="Times New Roman" w:cs="Times New Roman"/>
          <w:sz w:val="24"/>
          <w:szCs w:val="24"/>
        </w:rPr>
        <w:t xml:space="preserve"> (Tacon and Cowey, 1985; Akiyama et al., 1997). </w:t>
      </w:r>
      <w:r w:rsidRPr="00E66C2D">
        <w:rPr>
          <w:rFonts w:ascii="Times New Roman" w:hAnsi="Times New Roman" w:cs="Times New Roman"/>
          <w:sz w:val="24"/>
          <w:szCs w:val="24"/>
        </w:rPr>
        <w:t>Several studies conducted on chickens and rats have demonstrated that an imbalance or excess of specific amino acids in the diet can elevate the dietary requirement for threonine (Tews et al., 1980; Davies and Austic, 1982; Kidd et al., 1997). However, the potential interactive effects of dietary amino acid imbalances on threonine requirements have not yet been thoroughly investigated in fish</w:t>
      </w:r>
      <w:r w:rsidR="004C3C06">
        <w:rPr>
          <w:rFonts w:ascii="Times New Roman" w:hAnsi="Times New Roman" w:cs="Times New Roman"/>
          <w:sz w:val="24"/>
          <w:szCs w:val="24"/>
        </w:rPr>
        <w:t>.</w:t>
      </w:r>
    </w:p>
    <w:p w14:paraId="55F90CF1" w14:textId="0662CED7" w:rsidR="00743102" w:rsidRDefault="004C3C06">
      <w:pPr>
        <w:spacing w:after="0" w:line="360" w:lineRule="auto"/>
        <w:rPr>
          <w:rFonts w:ascii="Times New Roman" w:hAnsi="Times New Roman" w:cs="Times New Roman"/>
          <w:sz w:val="24"/>
          <w:szCs w:val="24"/>
        </w:rPr>
      </w:pPr>
      <w:r>
        <w:rPr>
          <w:rFonts w:ascii="Times New Roman" w:hAnsi="Times New Roman" w:cs="Times New Roman"/>
          <w:sz w:val="24"/>
          <w:szCs w:val="24"/>
        </w:rPr>
        <w:t>The threonine requirements for fish, as depicted in Table 1, exhibit significant variation, with documented data ranging from 2-5 percent of their protein intake level. The underlying reasons for this lack of consensus in requirement values remain unclear, and further studies are needed to assess whether this extensive range reflects genuine differences in threonine needs or s simply a consequence of differing methodologies used to establish these values.</w:t>
      </w:r>
    </w:p>
    <w:tbl>
      <w:tblPr>
        <w:tblStyle w:val="TableGrid"/>
        <w:tblpPr w:leftFromText="180" w:rightFromText="180" w:vertAnchor="text" w:horzAnchor="page" w:tblpX="1451" w:tblpY="1158"/>
        <w:tblOverlap w:val="never"/>
        <w:tblW w:w="5063" w:type="pct"/>
        <w:tblLook w:val="04A0" w:firstRow="1" w:lastRow="0" w:firstColumn="1" w:lastColumn="0" w:noHBand="0" w:noVBand="1"/>
      </w:tblPr>
      <w:tblGrid>
        <w:gridCol w:w="2623"/>
        <w:gridCol w:w="1624"/>
        <w:gridCol w:w="2098"/>
        <w:gridCol w:w="2761"/>
        <w:gridCol w:w="24"/>
      </w:tblGrid>
      <w:tr w:rsidR="00012EBA" w14:paraId="108866BE" w14:textId="77777777" w:rsidTr="00A60A8A">
        <w:trPr>
          <w:gridAfter w:val="1"/>
          <w:wAfter w:w="13" w:type="pct"/>
        </w:trPr>
        <w:tc>
          <w:tcPr>
            <w:tcW w:w="4987" w:type="pct"/>
            <w:gridSpan w:val="4"/>
            <w:tcBorders>
              <w:top w:val="single" w:sz="4" w:space="0" w:color="auto"/>
              <w:left w:val="single" w:sz="4" w:space="0" w:color="auto"/>
              <w:bottom w:val="single" w:sz="4" w:space="0" w:color="auto"/>
              <w:right w:val="single" w:sz="4" w:space="0" w:color="auto"/>
            </w:tcBorders>
          </w:tcPr>
          <w:p w14:paraId="2CC4AF5E" w14:textId="0DA65EE4" w:rsidR="00012EBA" w:rsidRPr="00012EBA" w:rsidRDefault="00012EBA" w:rsidP="00012EBA">
            <w:pPr>
              <w:spacing w:line="360" w:lineRule="auto"/>
              <w:ind w:left="720" w:firstLine="720"/>
              <w:jc w:val="both"/>
              <w:rPr>
                <w:rFonts w:ascii="Times New Roman" w:eastAsia="SimSun" w:hAnsi="Times New Roman" w:cs="Times New Roman"/>
                <w:sz w:val="24"/>
                <w:szCs w:val="24"/>
              </w:rPr>
            </w:pPr>
            <w:r>
              <w:rPr>
                <w:rFonts w:ascii="Times New Roman" w:hAnsi="Times New Roman" w:cs="Times New Roman"/>
                <w:sz w:val="24"/>
                <w:szCs w:val="24"/>
              </w:rPr>
              <w:t>Table 1: Requirements are presented as a proportion of protein</w:t>
            </w:r>
            <w:r>
              <w:rPr>
                <w:rFonts w:ascii="Times New Roman" w:eastAsia="SimSun" w:hAnsi="Times New Roman" w:cs="Times New Roman"/>
                <w:sz w:val="24"/>
                <w:szCs w:val="24"/>
              </w:rPr>
              <w:t xml:space="preserve"> </w:t>
            </w:r>
          </w:p>
        </w:tc>
      </w:tr>
      <w:tr w:rsidR="00743102" w14:paraId="451C939E" w14:textId="77777777" w:rsidTr="00A60A8A">
        <w:tc>
          <w:tcPr>
            <w:tcW w:w="1436" w:type="pct"/>
            <w:tcBorders>
              <w:top w:val="single" w:sz="4" w:space="0" w:color="auto"/>
              <w:left w:val="single" w:sz="4" w:space="0" w:color="auto"/>
              <w:bottom w:val="single" w:sz="4" w:space="0" w:color="auto"/>
              <w:right w:val="single" w:sz="4" w:space="0" w:color="auto"/>
            </w:tcBorders>
          </w:tcPr>
          <w:p w14:paraId="4E725C61" w14:textId="77777777" w:rsidR="00743102" w:rsidRDefault="004C3C0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Fish</w:t>
            </w:r>
          </w:p>
        </w:tc>
        <w:tc>
          <w:tcPr>
            <w:tcW w:w="890" w:type="pct"/>
            <w:tcBorders>
              <w:top w:val="single" w:sz="4" w:space="0" w:color="auto"/>
              <w:left w:val="single" w:sz="4" w:space="0" w:color="auto"/>
              <w:bottom w:val="single" w:sz="4" w:space="0" w:color="auto"/>
              <w:right w:val="single" w:sz="4" w:space="0" w:color="auto"/>
            </w:tcBorders>
          </w:tcPr>
          <w:p w14:paraId="144EE57C" w14:textId="0AE64EA3" w:rsidR="00743102" w:rsidRDefault="004C3C0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Threonine Requirement</w:t>
            </w:r>
            <w:r w:rsidR="009F594F">
              <w:rPr>
                <w:rFonts w:ascii="Times New Roman" w:hAnsi="Times New Roman" w:cs="Times New Roman"/>
                <w:b/>
                <w:bCs/>
                <w:sz w:val="24"/>
                <w:szCs w:val="24"/>
              </w:rPr>
              <w:t xml:space="preserve"> (</w:t>
            </w:r>
            <w:r w:rsidR="009F594F" w:rsidRPr="009F594F">
              <w:rPr>
                <w:rFonts w:ascii="Times New Roman" w:hAnsi="Times New Roman" w:cs="Times New Roman"/>
                <w:b/>
                <w:bCs/>
                <w:sz w:val="24"/>
                <w:szCs w:val="24"/>
              </w:rPr>
              <w:t>g/kg</w:t>
            </w:r>
            <w:r w:rsidR="009F594F">
              <w:rPr>
                <w:rFonts w:ascii="Times New Roman" w:hAnsi="Times New Roman" w:cs="Times New Roman"/>
                <w:b/>
                <w:bCs/>
                <w:sz w:val="24"/>
                <w:szCs w:val="24"/>
              </w:rPr>
              <w:t>)</w:t>
            </w:r>
          </w:p>
        </w:tc>
        <w:tc>
          <w:tcPr>
            <w:tcW w:w="1149" w:type="pct"/>
            <w:tcBorders>
              <w:top w:val="single" w:sz="4" w:space="0" w:color="auto"/>
              <w:left w:val="single" w:sz="4" w:space="0" w:color="auto"/>
              <w:bottom w:val="single" w:sz="4" w:space="0" w:color="auto"/>
              <w:right w:val="single" w:sz="4" w:space="0" w:color="auto"/>
            </w:tcBorders>
          </w:tcPr>
          <w:p w14:paraId="31C67D45" w14:textId="77777777" w:rsidR="00743102" w:rsidRPr="003100DC" w:rsidRDefault="004C3C06">
            <w:pPr>
              <w:spacing w:after="0" w:line="360" w:lineRule="auto"/>
              <w:jc w:val="both"/>
              <w:rPr>
                <w:rFonts w:ascii="Times New Roman" w:hAnsi="Times New Roman" w:cs="Times New Roman"/>
                <w:b/>
                <w:bCs/>
                <w:sz w:val="24"/>
                <w:szCs w:val="24"/>
              </w:rPr>
            </w:pPr>
            <w:r w:rsidRPr="003100DC">
              <w:rPr>
                <w:rFonts w:ascii="Times New Roman" w:hAnsi="Times New Roman" w:cs="Times New Roman"/>
                <w:b/>
                <w:bCs/>
                <w:sz w:val="24"/>
                <w:szCs w:val="24"/>
              </w:rPr>
              <w:t>Percentage of Total Protein</w:t>
            </w:r>
          </w:p>
        </w:tc>
        <w:tc>
          <w:tcPr>
            <w:tcW w:w="1525" w:type="pct"/>
            <w:gridSpan w:val="2"/>
            <w:tcBorders>
              <w:top w:val="single" w:sz="4" w:space="0" w:color="auto"/>
              <w:left w:val="single" w:sz="4" w:space="0" w:color="auto"/>
              <w:bottom w:val="single" w:sz="4" w:space="0" w:color="auto"/>
              <w:right w:val="single" w:sz="4" w:space="0" w:color="auto"/>
            </w:tcBorders>
          </w:tcPr>
          <w:p w14:paraId="26C094E3" w14:textId="77777777" w:rsidR="00743102" w:rsidRDefault="004C3C0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Reference</w:t>
            </w:r>
          </w:p>
        </w:tc>
      </w:tr>
      <w:tr w:rsidR="00743102" w14:paraId="0092BC58" w14:textId="77777777" w:rsidTr="009F594F">
        <w:tc>
          <w:tcPr>
            <w:tcW w:w="1436" w:type="pct"/>
            <w:tcBorders>
              <w:top w:val="single" w:sz="4" w:space="0" w:color="auto"/>
              <w:left w:val="single" w:sz="4" w:space="0" w:color="auto"/>
              <w:bottom w:val="single" w:sz="4" w:space="0" w:color="auto"/>
              <w:right w:val="single" w:sz="4" w:space="0" w:color="auto"/>
            </w:tcBorders>
          </w:tcPr>
          <w:p w14:paraId="7457F55A"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Chinook salmon</w:t>
            </w:r>
          </w:p>
          <w:p w14:paraId="6D6C7F8B"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Sockeye salmon</w:t>
            </w:r>
          </w:p>
        </w:tc>
        <w:tc>
          <w:tcPr>
            <w:tcW w:w="890" w:type="pct"/>
            <w:tcBorders>
              <w:top w:val="single" w:sz="4" w:space="0" w:color="auto"/>
              <w:left w:val="single" w:sz="4" w:space="0" w:color="auto"/>
              <w:bottom w:val="single" w:sz="4" w:space="0" w:color="auto"/>
              <w:right w:val="single" w:sz="4" w:space="0" w:color="auto"/>
            </w:tcBorders>
          </w:tcPr>
          <w:p w14:paraId="7665EF74"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w:t>
            </w:r>
          </w:p>
          <w:p w14:paraId="3FA02E00"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1149" w:type="pct"/>
            <w:tcBorders>
              <w:top w:val="single" w:sz="4" w:space="0" w:color="auto"/>
              <w:left w:val="single" w:sz="4" w:space="0" w:color="auto"/>
              <w:bottom w:val="single" w:sz="4" w:space="0" w:color="auto"/>
              <w:right w:val="single" w:sz="4" w:space="0" w:color="auto"/>
            </w:tcBorders>
          </w:tcPr>
          <w:p w14:paraId="7F118F63"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hAnsi="Times New Roman" w:cs="Times New Roman"/>
                <w:sz w:val="24"/>
                <w:szCs w:val="24"/>
              </w:rPr>
              <w:t>4.4%</w:t>
            </w:r>
          </w:p>
        </w:tc>
        <w:tc>
          <w:tcPr>
            <w:tcW w:w="1525" w:type="pct"/>
            <w:gridSpan w:val="2"/>
            <w:tcBorders>
              <w:top w:val="single" w:sz="4" w:space="0" w:color="auto"/>
              <w:left w:val="single" w:sz="4" w:space="0" w:color="auto"/>
              <w:bottom w:val="single" w:sz="4" w:space="0" w:color="auto"/>
              <w:right w:val="single" w:sz="4" w:space="0" w:color="auto"/>
            </w:tcBorders>
            <w:vAlign w:val="center"/>
          </w:tcPr>
          <w:p w14:paraId="5FB6BD8D" w14:textId="77777777" w:rsidR="00743102" w:rsidRDefault="004C3C06" w:rsidP="009F594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Long et al., 1969</w:t>
            </w:r>
          </w:p>
        </w:tc>
      </w:tr>
      <w:tr w:rsidR="00743102" w14:paraId="691D53C9" w14:textId="77777777" w:rsidTr="009F594F">
        <w:tc>
          <w:tcPr>
            <w:tcW w:w="1436" w:type="pct"/>
            <w:tcBorders>
              <w:top w:val="single" w:sz="4" w:space="0" w:color="auto"/>
              <w:left w:val="single" w:sz="4" w:space="0" w:color="auto"/>
              <w:bottom w:val="single" w:sz="4" w:space="0" w:color="auto"/>
              <w:right w:val="single" w:sz="4" w:space="0" w:color="auto"/>
            </w:tcBorders>
          </w:tcPr>
          <w:p w14:paraId="18502196"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Chum Salmon</w:t>
            </w:r>
          </w:p>
        </w:tc>
        <w:tc>
          <w:tcPr>
            <w:tcW w:w="890" w:type="pct"/>
            <w:tcBorders>
              <w:top w:val="single" w:sz="4" w:space="0" w:color="auto"/>
              <w:left w:val="single" w:sz="4" w:space="0" w:color="auto"/>
              <w:bottom w:val="single" w:sz="4" w:space="0" w:color="auto"/>
              <w:right w:val="single" w:sz="4" w:space="0" w:color="auto"/>
            </w:tcBorders>
          </w:tcPr>
          <w:p w14:paraId="55253203"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1149" w:type="pct"/>
            <w:tcBorders>
              <w:top w:val="single" w:sz="4" w:space="0" w:color="auto"/>
              <w:left w:val="single" w:sz="4" w:space="0" w:color="auto"/>
              <w:bottom w:val="single" w:sz="4" w:space="0" w:color="auto"/>
              <w:right w:val="single" w:sz="4" w:space="0" w:color="auto"/>
            </w:tcBorders>
          </w:tcPr>
          <w:p w14:paraId="0EFC7D1D"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6.0% to 7.5%</w:t>
            </w:r>
          </w:p>
        </w:tc>
        <w:tc>
          <w:tcPr>
            <w:tcW w:w="1525" w:type="pct"/>
            <w:gridSpan w:val="2"/>
            <w:tcBorders>
              <w:top w:val="single" w:sz="4" w:space="0" w:color="auto"/>
              <w:left w:val="single" w:sz="4" w:space="0" w:color="auto"/>
              <w:bottom w:val="single" w:sz="4" w:space="0" w:color="auto"/>
              <w:right w:val="single" w:sz="4" w:space="0" w:color="auto"/>
            </w:tcBorders>
            <w:vAlign w:val="center"/>
          </w:tcPr>
          <w:p w14:paraId="07587F6E" w14:textId="77777777" w:rsidR="00743102" w:rsidRDefault="004C3C06" w:rsidP="009F594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Nose et al., 1972</w:t>
            </w:r>
          </w:p>
        </w:tc>
      </w:tr>
      <w:tr w:rsidR="00743102" w14:paraId="4561FAC0" w14:textId="77777777" w:rsidTr="009F594F">
        <w:tc>
          <w:tcPr>
            <w:tcW w:w="1436" w:type="pct"/>
            <w:tcBorders>
              <w:top w:val="single" w:sz="4" w:space="0" w:color="auto"/>
              <w:left w:val="single" w:sz="4" w:space="0" w:color="auto"/>
              <w:bottom w:val="single" w:sz="4" w:space="0" w:color="auto"/>
              <w:right w:val="single" w:sz="4" w:space="0" w:color="auto"/>
            </w:tcBorders>
          </w:tcPr>
          <w:p w14:paraId="25242209"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Hybrid Stripped bass</w:t>
            </w:r>
          </w:p>
        </w:tc>
        <w:tc>
          <w:tcPr>
            <w:tcW w:w="890" w:type="pct"/>
            <w:tcBorders>
              <w:top w:val="single" w:sz="4" w:space="0" w:color="auto"/>
              <w:left w:val="single" w:sz="4" w:space="0" w:color="auto"/>
              <w:bottom w:val="single" w:sz="4" w:space="0" w:color="auto"/>
              <w:right w:val="single" w:sz="4" w:space="0" w:color="auto"/>
            </w:tcBorders>
          </w:tcPr>
          <w:p w14:paraId="763A68D7"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0.9</w:t>
            </w:r>
          </w:p>
        </w:tc>
        <w:tc>
          <w:tcPr>
            <w:tcW w:w="1149" w:type="pct"/>
            <w:tcBorders>
              <w:top w:val="single" w:sz="4" w:space="0" w:color="auto"/>
              <w:left w:val="single" w:sz="4" w:space="0" w:color="auto"/>
              <w:bottom w:val="single" w:sz="4" w:space="0" w:color="auto"/>
              <w:right w:val="single" w:sz="4" w:space="0" w:color="auto"/>
            </w:tcBorders>
          </w:tcPr>
          <w:p w14:paraId="39D4FB70" w14:textId="524AD9B4"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2.0% to 2.2%</w:t>
            </w:r>
          </w:p>
        </w:tc>
        <w:tc>
          <w:tcPr>
            <w:tcW w:w="1525" w:type="pct"/>
            <w:gridSpan w:val="2"/>
            <w:tcBorders>
              <w:top w:val="single" w:sz="4" w:space="0" w:color="auto"/>
              <w:left w:val="single" w:sz="4" w:space="0" w:color="auto"/>
              <w:bottom w:val="single" w:sz="4" w:space="0" w:color="auto"/>
              <w:right w:val="single" w:sz="4" w:space="0" w:color="auto"/>
            </w:tcBorders>
            <w:vAlign w:val="center"/>
          </w:tcPr>
          <w:p w14:paraId="3ABED0EE" w14:textId="77777777" w:rsidR="00743102" w:rsidRDefault="004C3C06" w:rsidP="009F594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Keembiyehetty et al., 1997</w:t>
            </w:r>
          </w:p>
        </w:tc>
      </w:tr>
      <w:tr w:rsidR="00743102" w14:paraId="09330D11" w14:textId="77777777" w:rsidTr="009F594F">
        <w:tc>
          <w:tcPr>
            <w:tcW w:w="1436" w:type="pct"/>
            <w:tcBorders>
              <w:top w:val="single" w:sz="4" w:space="0" w:color="auto"/>
              <w:left w:val="single" w:sz="4" w:space="0" w:color="auto"/>
              <w:bottom w:val="single" w:sz="4" w:space="0" w:color="auto"/>
              <w:right w:val="single" w:sz="4" w:space="0" w:color="auto"/>
            </w:tcBorders>
          </w:tcPr>
          <w:p w14:paraId="5ADD6BBE"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Coho salmon</w:t>
            </w:r>
          </w:p>
        </w:tc>
        <w:tc>
          <w:tcPr>
            <w:tcW w:w="890" w:type="pct"/>
            <w:tcBorders>
              <w:top w:val="single" w:sz="4" w:space="0" w:color="auto"/>
              <w:left w:val="single" w:sz="4" w:space="0" w:color="auto"/>
              <w:bottom w:val="single" w:sz="4" w:space="0" w:color="auto"/>
              <w:right w:val="single" w:sz="4" w:space="0" w:color="auto"/>
            </w:tcBorders>
          </w:tcPr>
          <w:p w14:paraId="7B7B499D"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149" w:type="pct"/>
            <w:tcBorders>
              <w:top w:val="single" w:sz="4" w:space="0" w:color="auto"/>
              <w:left w:val="single" w:sz="4" w:space="0" w:color="auto"/>
              <w:bottom w:val="single" w:sz="4" w:space="0" w:color="auto"/>
              <w:right w:val="single" w:sz="4" w:space="0" w:color="auto"/>
            </w:tcBorders>
          </w:tcPr>
          <w:p w14:paraId="43C3F3F6"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4.0% to 5.0%</w:t>
            </w:r>
          </w:p>
        </w:tc>
        <w:tc>
          <w:tcPr>
            <w:tcW w:w="1525" w:type="pct"/>
            <w:gridSpan w:val="2"/>
            <w:tcBorders>
              <w:top w:val="single" w:sz="4" w:space="0" w:color="auto"/>
              <w:left w:val="single" w:sz="4" w:space="0" w:color="auto"/>
              <w:bottom w:val="single" w:sz="4" w:space="0" w:color="auto"/>
              <w:right w:val="single" w:sz="4" w:space="0" w:color="auto"/>
            </w:tcBorders>
            <w:vAlign w:val="center"/>
          </w:tcPr>
          <w:p w14:paraId="4F72FBCF" w14:textId="77777777" w:rsidR="00743102" w:rsidRDefault="004C3C06" w:rsidP="009F594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Halver and Shanks, 1986</w:t>
            </w:r>
          </w:p>
        </w:tc>
      </w:tr>
      <w:tr w:rsidR="00743102" w14:paraId="4789E67B" w14:textId="77777777" w:rsidTr="009F594F">
        <w:tc>
          <w:tcPr>
            <w:tcW w:w="1436" w:type="pct"/>
            <w:tcBorders>
              <w:top w:val="single" w:sz="4" w:space="0" w:color="auto"/>
              <w:left w:val="single" w:sz="4" w:space="0" w:color="auto"/>
              <w:bottom w:val="single" w:sz="4" w:space="0" w:color="auto"/>
              <w:right w:val="single" w:sz="4" w:space="0" w:color="auto"/>
            </w:tcBorders>
          </w:tcPr>
          <w:p w14:paraId="068908FD"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Catla</w:t>
            </w:r>
          </w:p>
        </w:tc>
        <w:tc>
          <w:tcPr>
            <w:tcW w:w="890" w:type="pct"/>
            <w:tcBorders>
              <w:top w:val="single" w:sz="4" w:space="0" w:color="auto"/>
              <w:left w:val="single" w:sz="4" w:space="0" w:color="auto"/>
              <w:bottom w:val="single" w:sz="4" w:space="0" w:color="auto"/>
              <w:right w:val="single" w:sz="4" w:space="0" w:color="auto"/>
            </w:tcBorders>
          </w:tcPr>
          <w:p w14:paraId="522A9425" w14:textId="231A57E0"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4.0-4.4</w:t>
            </w:r>
          </w:p>
        </w:tc>
        <w:tc>
          <w:tcPr>
            <w:tcW w:w="1149" w:type="pct"/>
            <w:tcBorders>
              <w:top w:val="single" w:sz="4" w:space="0" w:color="auto"/>
              <w:left w:val="single" w:sz="4" w:space="0" w:color="auto"/>
              <w:bottom w:val="single" w:sz="4" w:space="0" w:color="auto"/>
              <w:right w:val="single" w:sz="4" w:space="0" w:color="auto"/>
            </w:tcBorders>
          </w:tcPr>
          <w:p w14:paraId="46823F29" w14:textId="4692A21F" w:rsidR="00743102" w:rsidRPr="003100DC" w:rsidRDefault="004C3C06" w:rsidP="00A60A8A">
            <w:pPr>
              <w:spacing w:after="0" w:line="360" w:lineRule="auto"/>
              <w:rPr>
                <w:rFonts w:ascii="Times New Roman" w:hAnsi="Times New Roman" w:cs="Times New Roman"/>
                <w:sz w:val="24"/>
                <w:szCs w:val="24"/>
              </w:rPr>
            </w:pPr>
            <w:r w:rsidRPr="00A60A8A">
              <w:rPr>
                <w:rFonts w:ascii="Times New Roman" w:eastAsia="SimSun" w:hAnsi="Times New Roman" w:cs="Times New Roman"/>
                <w:sz w:val="24"/>
                <w:szCs w:val="24"/>
              </w:rPr>
              <w:t>10.2%</w:t>
            </w:r>
            <w:r w:rsidR="00A60A8A" w:rsidRPr="00A60A8A">
              <w:rPr>
                <w:rFonts w:ascii="Times New Roman" w:eastAsia="SimSun" w:hAnsi="Times New Roman" w:cs="Times New Roman"/>
                <w:sz w:val="24"/>
                <w:szCs w:val="24"/>
              </w:rPr>
              <w:t xml:space="preserve"> </w:t>
            </w:r>
            <w:r w:rsidRPr="00A60A8A">
              <w:rPr>
                <w:rFonts w:ascii="Times New Roman" w:eastAsia="SimSun" w:hAnsi="Times New Roman" w:cs="Times New Roman"/>
                <w:sz w:val="24"/>
                <w:szCs w:val="24"/>
              </w:rPr>
              <w:t>to</w:t>
            </w:r>
            <w:r w:rsidR="00A60A8A" w:rsidRPr="00A60A8A">
              <w:rPr>
                <w:rFonts w:ascii="Times New Roman" w:eastAsia="SimSun" w:hAnsi="Times New Roman" w:cs="Times New Roman"/>
                <w:sz w:val="24"/>
                <w:szCs w:val="24"/>
              </w:rPr>
              <w:t xml:space="preserve"> </w:t>
            </w:r>
            <w:r w:rsidRPr="00A60A8A">
              <w:rPr>
                <w:rFonts w:ascii="Times New Roman" w:eastAsia="SimSun" w:hAnsi="Times New Roman" w:cs="Times New Roman"/>
                <w:sz w:val="24"/>
                <w:szCs w:val="24"/>
              </w:rPr>
              <w:t>14.9%</w:t>
            </w:r>
          </w:p>
        </w:tc>
        <w:tc>
          <w:tcPr>
            <w:tcW w:w="1525" w:type="pct"/>
            <w:gridSpan w:val="2"/>
            <w:tcBorders>
              <w:top w:val="single" w:sz="4" w:space="0" w:color="auto"/>
              <w:left w:val="single" w:sz="4" w:space="0" w:color="auto"/>
              <w:bottom w:val="single" w:sz="4" w:space="0" w:color="auto"/>
              <w:right w:val="single" w:sz="4" w:space="0" w:color="auto"/>
            </w:tcBorders>
            <w:vAlign w:val="center"/>
          </w:tcPr>
          <w:p w14:paraId="0DBDDB11" w14:textId="77777777" w:rsidR="00743102" w:rsidRDefault="004C3C06" w:rsidP="009F594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Zehra et al., 2014</w:t>
            </w:r>
          </w:p>
        </w:tc>
      </w:tr>
      <w:tr w:rsidR="00743102" w14:paraId="173C05DC" w14:textId="77777777" w:rsidTr="009F594F">
        <w:trPr>
          <w:trHeight w:val="90"/>
        </w:trPr>
        <w:tc>
          <w:tcPr>
            <w:tcW w:w="1436" w:type="pct"/>
            <w:tcBorders>
              <w:top w:val="single" w:sz="4" w:space="0" w:color="auto"/>
              <w:left w:val="single" w:sz="4" w:space="0" w:color="auto"/>
              <w:bottom w:val="single" w:sz="4" w:space="0" w:color="auto"/>
              <w:right w:val="single" w:sz="4" w:space="0" w:color="auto"/>
            </w:tcBorders>
          </w:tcPr>
          <w:p w14:paraId="105BC538"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Common carp</w:t>
            </w:r>
          </w:p>
        </w:tc>
        <w:tc>
          <w:tcPr>
            <w:tcW w:w="890" w:type="pct"/>
            <w:tcBorders>
              <w:top w:val="single" w:sz="4" w:space="0" w:color="auto"/>
              <w:left w:val="single" w:sz="4" w:space="0" w:color="auto"/>
              <w:bottom w:val="single" w:sz="4" w:space="0" w:color="auto"/>
              <w:right w:val="single" w:sz="4" w:space="0" w:color="auto"/>
            </w:tcBorders>
          </w:tcPr>
          <w:p w14:paraId="2BA9A23A"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1149" w:type="pct"/>
            <w:tcBorders>
              <w:top w:val="single" w:sz="4" w:space="0" w:color="auto"/>
              <w:left w:val="single" w:sz="4" w:space="0" w:color="auto"/>
              <w:bottom w:val="single" w:sz="4" w:space="0" w:color="auto"/>
              <w:right w:val="single" w:sz="4" w:space="0" w:color="auto"/>
            </w:tcBorders>
          </w:tcPr>
          <w:p w14:paraId="25C15D58"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9.75% to 13.0%</w:t>
            </w:r>
          </w:p>
        </w:tc>
        <w:tc>
          <w:tcPr>
            <w:tcW w:w="1525" w:type="pct"/>
            <w:gridSpan w:val="2"/>
            <w:tcBorders>
              <w:top w:val="single" w:sz="4" w:space="0" w:color="auto"/>
              <w:left w:val="single" w:sz="4" w:space="0" w:color="auto"/>
              <w:bottom w:val="single" w:sz="4" w:space="0" w:color="auto"/>
              <w:right w:val="single" w:sz="4" w:space="0" w:color="auto"/>
            </w:tcBorders>
            <w:vAlign w:val="center"/>
          </w:tcPr>
          <w:p w14:paraId="0626BD62" w14:textId="77777777" w:rsidR="00743102" w:rsidRDefault="004C3C06" w:rsidP="009F594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Nose, </w:t>
            </w:r>
            <w:hyperlink r:id="rId11" w:history="1">
              <w:r>
                <w:rPr>
                  <w:rStyle w:val="Hyperlink"/>
                  <w:rFonts w:ascii="Times New Roman" w:hAnsi="Times New Roman" w:cs="Times New Roman"/>
                  <w:color w:val="auto"/>
                  <w:sz w:val="24"/>
                  <w:szCs w:val="24"/>
                  <w:u w:val="none"/>
                </w:rPr>
                <w:t>1979</w:t>
              </w:r>
            </w:hyperlink>
          </w:p>
        </w:tc>
      </w:tr>
      <w:tr w:rsidR="00743102" w14:paraId="25CEF612" w14:textId="77777777" w:rsidTr="009F594F">
        <w:tc>
          <w:tcPr>
            <w:tcW w:w="1436" w:type="pct"/>
            <w:tcBorders>
              <w:top w:val="single" w:sz="4" w:space="0" w:color="auto"/>
              <w:left w:val="single" w:sz="4" w:space="0" w:color="auto"/>
              <w:bottom w:val="single" w:sz="4" w:space="0" w:color="auto"/>
              <w:right w:val="single" w:sz="4" w:space="0" w:color="auto"/>
            </w:tcBorders>
          </w:tcPr>
          <w:p w14:paraId="74B997AB"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Japanese eel</w:t>
            </w:r>
          </w:p>
        </w:tc>
        <w:tc>
          <w:tcPr>
            <w:tcW w:w="890" w:type="pct"/>
            <w:tcBorders>
              <w:top w:val="single" w:sz="4" w:space="0" w:color="auto"/>
              <w:left w:val="single" w:sz="4" w:space="0" w:color="auto"/>
              <w:bottom w:val="single" w:sz="4" w:space="0" w:color="auto"/>
              <w:right w:val="single" w:sz="4" w:space="0" w:color="auto"/>
            </w:tcBorders>
          </w:tcPr>
          <w:p w14:paraId="0EFC77A8"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1149" w:type="pct"/>
            <w:tcBorders>
              <w:top w:val="single" w:sz="4" w:space="0" w:color="auto"/>
              <w:left w:val="single" w:sz="4" w:space="0" w:color="auto"/>
              <w:bottom w:val="single" w:sz="4" w:space="0" w:color="auto"/>
              <w:right w:val="single" w:sz="4" w:space="0" w:color="auto"/>
            </w:tcBorders>
          </w:tcPr>
          <w:p w14:paraId="06871751"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8.0% to 10.0%</w:t>
            </w:r>
          </w:p>
        </w:tc>
        <w:tc>
          <w:tcPr>
            <w:tcW w:w="1525" w:type="pct"/>
            <w:gridSpan w:val="2"/>
            <w:tcBorders>
              <w:top w:val="single" w:sz="4" w:space="0" w:color="auto"/>
              <w:left w:val="single" w:sz="4" w:space="0" w:color="auto"/>
              <w:bottom w:val="single" w:sz="4" w:space="0" w:color="auto"/>
              <w:right w:val="single" w:sz="4" w:space="0" w:color="auto"/>
            </w:tcBorders>
            <w:vAlign w:val="center"/>
          </w:tcPr>
          <w:p w14:paraId="07962325" w14:textId="77777777" w:rsidR="00743102" w:rsidRDefault="004C3C06" w:rsidP="009F594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Wilson et al., 1978</w:t>
            </w:r>
          </w:p>
        </w:tc>
      </w:tr>
      <w:tr w:rsidR="00743102" w14:paraId="3C14B974" w14:textId="77777777" w:rsidTr="009F594F">
        <w:tc>
          <w:tcPr>
            <w:tcW w:w="1436" w:type="pct"/>
            <w:tcBorders>
              <w:top w:val="single" w:sz="4" w:space="0" w:color="auto"/>
              <w:left w:val="single" w:sz="4" w:space="0" w:color="auto"/>
              <w:bottom w:val="single" w:sz="4" w:space="0" w:color="auto"/>
              <w:right w:val="single" w:sz="4" w:space="0" w:color="auto"/>
            </w:tcBorders>
          </w:tcPr>
          <w:p w14:paraId="0FC2C9CA"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Red Sea bream</w:t>
            </w:r>
          </w:p>
        </w:tc>
        <w:tc>
          <w:tcPr>
            <w:tcW w:w="890" w:type="pct"/>
            <w:tcBorders>
              <w:top w:val="single" w:sz="4" w:space="0" w:color="auto"/>
              <w:left w:val="single" w:sz="4" w:space="0" w:color="auto"/>
              <w:bottom w:val="single" w:sz="4" w:space="0" w:color="auto"/>
              <w:right w:val="single" w:sz="4" w:space="0" w:color="auto"/>
            </w:tcBorders>
          </w:tcPr>
          <w:p w14:paraId="3EC3F52B"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1149" w:type="pct"/>
            <w:tcBorders>
              <w:top w:val="single" w:sz="4" w:space="0" w:color="auto"/>
              <w:left w:val="single" w:sz="4" w:space="0" w:color="auto"/>
              <w:bottom w:val="single" w:sz="4" w:space="0" w:color="auto"/>
              <w:right w:val="single" w:sz="4" w:space="0" w:color="auto"/>
            </w:tcBorders>
          </w:tcPr>
          <w:p w14:paraId="7EA14198"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3.6% to 4.0%</w:t>
            </w:r>
          </w:p>
        </w:tc>
        <w:tc>
          <w:tcPr>
            <w:tcW w:w="1525" w:type="pct"/>
            <w:gridSpan w:val="2"/>
            <w:tcBorders>
              <w:top w:val="single" w:sz="4" w:space="0" w:color="auto"/>
              <w:left w:val="single" w:sz="4" w:space="0" w:color="auto"/>
              <w:bottom w:val="single" w:sz="4" w:space="0" w:color="auto"/>
              <w:right w:val="single" w:sz="4" w:space="0" w:color="auto"/>
            </w:tcBorders>
            <w:vAlign w:val="center"/>
          </w:tcPr>
          <w:p w14:paraId="0B5E4F4B" w14:textId="77777777" w:rsidR="00743102" w:rsidRDefault="004C3C06" w:rsidP="009F594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Forster and Ogata, 1998</w:t>
            </w:r>
          </w:p>
        </w:tc>
      </w:tr>
      <w:tr w:rsidR="00743102" w14:paraId="6CBE8662" w14:textId="77777777" w:rsidTr="009F594F">
        <w:tc>
          <w:tcPr>
            <w:tcW w:w="1436" w:type="pct"/>
            <w:tcBorders>
              <w:top w:val="single" w:sz="4" w:space="0" w:color="auto"/>
              <w:left w:val="single" w:sz="4" w:space="0" w:color="auto"/>
              <w:bottom w:val="single" w:sz="4" w:space="0" w:color="auto"/>
              <w:right w:val="single" w:sz="4" w:space="0" w:color="auto"/>
            </w:tcBorders>
          </w:tcPr>
          <w:p w14:paraId="021B5C61"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Channel catfish</w:t>
            </w:r>
          </w:p>
        </w:tc>
        <w:tc>
          <w:tcPr>
            <w:tcW w:w="890" w:type="pct"/>
            <w:tcBorders>
              <w:top w:val="single" w:sz="4" w:space="0" w:color="auto"/>
              <w:left w:val="single" w:sz="4" w:space="0" w:color="auto"/>
              <w:bottom w:val="single" w:sz="4" w:space="0" w:color="auto"/>
              <w:right w:val="single" w:sz="4" w:space="0" w:color="auto"/>
            </w:tcBorders>
          </w:tcPr>
          <w:p w14:paraId="6EB3A26B"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1149" w:type="pct"/>
            <w:tcBorders>
              <w:top w:val="single" w:sz="4" w:space="0" w:color="auto"/>
              <w:left w:val="single" w:sz="4" w:space="0" w:color="auto"/>
              <w:bottom w:val="single" w:sz="4" w:space="0" w:color="auto"/>
              <w:right w:val="single" w:sz="4" w:space="0" w:color="auto"/>
            </w:tcBorders>
          </w:tcPr>
          <w:p w14:paraId="7C6AD104" w14:textId="4EA5C916"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6.1% to 7.8%</w:t>
            </w:r>
          </w:p>
        </w:tc>
        <w:tc>
          <w:tcPr>
            <w:tcW w:w="1525" w:type="pct"/>
            <w:gridSpan w:val="2"/>
            <w:tcBorders>
              <w:top w:val="single" w:sz="4" w:space="0" w:color="auto"/>
              <w:left w:val="single" w:sz="4" w:space="0" w:color="auto"/>
              <w:bottom w:val="single" w:sz="4" w:space="0" w:color="auto"/>
              <w:right w:val="single" w:sz="4" w:space="0" w:color="auto"/>
            </w:tcBorders>
            <w:vAlign w:val="center"/>
          </w:tcPr>
          <w:p w14:paraId="28E177D2" w14:textId="77777777" w:rsidR="00743102" w:rsidRDefault="004C3C06" w:rsidP="009F594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Wilson et al., 1978</w:t>
            </w:r>
          </w:p>
        </w:tc>
      </w:tr>
      <w:tr w:rsidR="00743102" w14:paraId="52E352FA" w14:textId="77777777" w:rsidTr="009F594F">
        <w:tc>
          <w:tcPr>
            <w:tcW w:w="1436" w:type="pct"/>
            <w:tcBorders>
              <w:top w:val="single" w:sz="4" w:space="0" w:color="auto"/>
              <w:left w:val="single" w:sz="4" w:space="0" w:color="auto"/>
              <w:bottom w:val="single" w:sz="4" w:space="0" w:color="auto"/>
              <w:right w:val="single" w:sz="4" w:space="0" w:color="auto"/>
            </w:tcBorders>
          </w:tcPr>
          <w:p w14:paraId="6436484C"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Nile Tilapia</w:t>
            </w:r>
          </w:p>
        </w:tc>
        <w:tc>
          <w:tcPr>
            <w:tcW w:w="890" w:type="pct"/>
            <w:tcBorders>
              <w:top w:val="single" w:sz="4" w:space="0" w:color="auto"/>
              <w:left w:val="single" w:sz="4" w:space="0" w:color="auto"/>
              <w:bottom w:val="single" w:sz="4" w:space="0" w:color="auto"/>
              <w:right w:val="single" w:sz="4" w:space="0" w:color="auto"/>
            </w:tcBorders>
          </w:tcPr>
          <w:p w14:paraId="11807EA1"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1149" w:type="pct"/>
            <w:tcBorders>
              <w:top w:val="single" w:sz="4" w:space="0" w:color="auto"/>
              <w:left w:val="single" w:sz="4" w:space="0" w:color="auto"/>
              <w:bottom w:val="single" w:sz="4" w:space="0" w:color="auto"/>
              <w:right w:val="single" w:sz="4" w:space="0" w:color="auto"/>
            </w:tcBorders>
          </w:tcPr>
          <w:p w14:paraId="09869300" w14:textId="72431D1C"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10.8% to 12.6%</w:t>
            </w:r>
          </w:p>
        </w:tc>
        <w:tc>
          <w:tcPr>
            <w:tcW w:w="1525" w:type="pct"/>
            <w:gridSpan w:val="2"/>
            <w:tcBorders>
              <w:top w:val="single" w:sz="4" w:space="0" w:color="auto"/>
              <w:left w:val="single" w:sz="4" w:space="0" w:color="auto"/>
              <w:bottom w:val="single" w:sz="4" w:space="0" w:color="auto"/>
              <w:right w:val="single" w:sz="4" w:space="0" w:color="auto"/>
            </w:tcBorders>
            <w:vAlign w:val="center"/>
          </w:tcPr>
          <w:p w14:paraId="0AC2166F" w14:textId="77777777" w:rsidR="00743102" w:rsidRDefault="004C3C06" w:rsidP="009F594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Yue et al., 2014</w:t>
            </w:r>
          </w:p>
        </w:tc>
      </w:tr>
      <w:tr w:rsidR="00743102" w14:paraId="4DD9099A" w14:textId="77777777" w:rsidTr="009F594F">
        <w:tc>
          <w:tcPr>
            <w:tcW w:w="1436" w:type="pct"/>
            <w:tcBorders>
              <w:top w:val="single" w:sz="4" w:space="0" w:color="auto"/>
              <w:left w:val="single" w:sz="4" w:space="0" w:color="auto"/>
              <w:bottom w:val="single" w:sz="4" w:space="0" w:color="auto"/>
              <w:right w:val="single" w:sz="4" w:space="0" w:color="auto"/>
            </w:tcBorders>
          </w:tcPr>
          <w:p w14:paraId="75F31290"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Milk Fish</w:t>
            </w:r>
          </w:p>
        </w:tc>
        <w:tc>
          <w:tcPr>
            <w:tcW w:w="890" w:type="pct"/>
            <w:tcBorders>
              <w:top w:val="single" w:sz="4" w:space="0" w:color="auto"/>
              <w:left w:val="single" w:sz="4" w:space="0" w:color="auto"/>
              <w:bottom w:val="single" w:sz="4" w:space="0" w:color="auto"/>
              <w:right w:val="single" w:sz="4" w:space="0" w:color="auto"/>
            </w:tcBorders>
          </w:tcPr>
          <w:p w14:paraId="091C250A"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1149" w:type="pct"/>
            <w:tcBorders>
              <w:top w:val="single" w:sz="4" w:space="0" w:color="auto"/>
              <w:left w:val="single" w:sz="4" w:space="0" w:color="auto"/>
              <w:bottom w:val="single" w:sz="4" w:space="0" w:color="auto"/>
              <w:right w:val="single" w:sz="4" w:space="0" w:color="auto"/>
            </w:tcBorders>
          </w:tcPr>
          <w:p w14:paraId="17C59487" w14:textId="13C0A37A"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11.2% to 15.0%</w:t>
            </w:r>
          </w:p>
        </w:tc>
        <w:tc>
          <w:tcPr>
            <w:tcW w:w="1525" w:type="pct"/>
            <w:gridSpan w:val="2"/>
            <w:tcBorders>
              <w:top w:val="single" w:sz="4" w:space="0" w:color="auto"/>
              <w:left w:val="single" w:sz="4" w:space="0" w:color="auto"/>
              <w:bottom w:val="single" w:sz="4" w:space="0" w:color="auto"/>
              <w:right w:val="single" w:sz="4" w:space="0" w:color="auto"/>
            </w:tcBorders>
            <w:vAlign w:val="center"/>
          </w:tcPr>
          <w:p w14:paraId="11DFB2BF" w14:textId="77777777" w:rsidR="00743102" w:rsidRDefault="004C3C06" w:rsidP="009F594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Borlongan, 1991</w:t>
            </w:r>
          </w:p>
        </w:tc>
      </w:tr>
      <w:tr w:rsidR="00743102" w14:paraId="580EC7B2" w14:textId="77777777" w:rsidTr="009F594F">
        <w:tc>
          <w:tcPr>
            <w:tcW w:w="1436" w:type="pct"/>
            <w:tcBorders>
              <w:top w:val="single" w:sz="4" w:space="0" w:color="auto"/>
              <w:left w:val="single" w:sz="4" w:space="0" w:color="auto"/>
              <w:bottom w:val="single" w:sz="4" w:space="0" w:color="auto"/>
              <w:right w:val="single" w:sz="4" w:space="0" w:color="auto"/>
            </w:tcBorders>
          </w:tcPr>
          <w:p w14:paraId="1A5225F9"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Rainbow trout juvenile</w:t>
            </w:r>
          </w:p>
        </w:tc>
        <w:tc>
          <w:tcPr>
            <w:tcW w:w="890" w:type="pct"/>
            <w:tcBorders>
              <w:top w:val="single" w:sz="4" w:space="0" w:color="auto"/>
              <w:left w:val="single" w:sz="4" w:space="0" w:color="auto"/>
              <w:bottom w:val="single" w:sz="4" w:space="0" w:color="auto"/>
              <w:right w:val="single" w:sz="4" w:space="0" w:color="auto"/>
            </w:tcBorders>
          </w:tcPr>
          <w:p w14:paraId="5C8790CE"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1.31</w:t>
            </w:r>
          </w:p>
        </w:tc>
        <w:tc>
          <w:tcPr>
            <w:tcW w:w="1149" w:type="pct"/>
            <w:tcBorders>
              <w:top w:val="single" w:sz="4" w:space="0" w:color="auto"/>
              <w:left w:val="single" w:sz="4" w:space="0" w:color="auto"/>
              <w:bottom w:val="single" w:sz="4" w:space="0" w:color="auto"/>
              <w:right w:val="single" w:sz="4" w:space="0" w:color="auto"/>
            </w:tcBorders>
          </w:tcPr>
          <w:p w14:paraId="57CB1663" w14:textId="655F9820"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2.6% to 3.2%</w:t>
            </w:r>
          </w:p>
        </w:tc>
        <w:tc>
          <w:tcPr>
            <w:tcW w:w="1525" w:type="pct"/>
            <w:gridSpan w:val="2"/>
            <w:tcBorders>
              <w:top w:val="single" w:sz="4" w:space="0" w:color="auto"/>
              <w:left w:val="single" w:sz="4" w:space="0" w:color="auto"/>
              <w:bottom w:val="single" w:sz="4" w:space="0" w:color="auto"/>
              <w:right w:val="single" w:sz="4" w:space="0" w:color="auto"/>
            </w:tcBorders>
            <w:vAlign w:val="center"/>
          </w:tcPr>
          <w:p w14:paraId="2526AEDB" w14:textId="77777777" w:rsidR="00743102" w:rsidRDefault="004C3C06" w:rsidP="009F594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Bodin et al., 2008</w:t>
            </w:r>
          </w:p>
        </w:tc>
      </w:tr>
      <w:tr w:rsidR="00743102" w14:paraId="68F9E386" w14:textId="77777777" w:rsidTr="009F594F">
        <w:tc>
          <w:tcPr>
            <w:tcW w:w="1436" w:type="pct"/>
            <w:tcBorders>
              <w:top w:val="single" w:sz="4" w:space="0" w:color="auto"/>
              <w:left w:val="single" w:sz="4" w:space="0" w:color="auto"/>
              <w:bottom w:val="single" w:sz="4" w:space="0" w:color="auto"/>
              <w:right w:val="single" w:sz="4" w:space="0" w:color="auto"/>
            </w:tcBorders>
          </w:tcPr>
          <w:p w14:paraId="4A0FE416"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Yellow tail</w:t>
            </w:r>
          </w:p>
        </w:tc>
        <w:tc>
          <w:tcPr>
            <w:tcW w:w="890" w:type="pct"/>
            <w:tcBorders>
              <w:top w:val="single" w:sz="4" w:space="0" w:color="auto"/>
              <w:left w:val="single" w:sz="4" w:space="0" w:color="auto"/>
              <w:bottom w:val="single" w:sz="4" w:space="0" w:color="auto"/>
              <w:right w:val="single" w:sz="4" w:space="0" w:color="auto"/>
            </w:tcBorders>
          </w:tcPr>
          <w:p w14:paraId="5EADF376"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1149" w:type="pct"/>
            <w:tcBorders>
              <w:top w:val="single" w:sz="4" w:space="0" w:color="auto"/>
              <w:left w:val="single" w:sz="4" w:space="0" w:color="auto"/>
              <w:bottom w:val="single" w:sz="4" w:space="0" w:color="auto"/>
              <w:right w:val="single" w:sz="4" w:space="0" w:color="auto"/>
            </w:tcBorders>
          </w:tcPr>
          <w:p w14:paraId="5261DD0B" w14:textId="1F5BF3CC"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5.8% to 6.4%</w:t>
            </w:r>
          </w:p>
        </w:tc>
        <w:tc>
          <w:tcPr>
            <w:tcW w:w="1525" w:type="pct"/>
            <w:gridSpan w:val="2"/>
            <w:tcBorders>
              <w:top w:val="single" w:sz="4" w:space="0" w:color="auto"/>
              <w:left w:val="single" w:sz="4" w:space="0" w:color="auto"/>
              <w:bottom w:val="single" w:sz="4" w:space="0" w:color="auto"/>
              <w:right w:val="single" w:sz="4" w:space="0" w:color="auto"/>
            </w:tcBorders>
            <w:vAlign w:val="center"/>
          </w:tcPr>
          <w:p w14:paraId="0F69CD69" w14:textId="77777777" w:rsidR="00743102" w:rsidRDefault="004C3C06" w:rsidP="009F594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Wilson and Halver, 1986</w:t>
            </w:r>
          </w:p>
        </w:tc>
      </w:tr>
      <w:tr w:rsidR="00743102" w14:paraId="53754EA4" w14:textId="77777777" w:rsidTr="009F594F">
        <w:tc>
          <w:tcPr>
            <w:tcW w:w="1436" w:type="pct"/>
            <w:tcBorders>
              <w:top w:val="single" w:sz="4" w:space="0" w:color="auto"/>
              <w:left w:val="single" w:sz="4" w:space="0" w:color="auto"/>
              <w:bottom w:val="single" w:sz="4" w:space="0" w:color="auto"/>
              <w:right w:val="single" w:sz="4" w:space="0" w:color="auto"/>
            </w:tcBorders>
          </w:tcPr>
          <w:p w14:paraId="559A763A"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White sturgeon</w:t>
            </w:r>
          </w:p>
        </w:tc>
        <w:tc>
          <w:tcPr>
            <w:tcW w:w="890" w:type="pct"/>
            <w:tcBorders>
              <w:top w:val="single" w:sz="4" w:space="0" w:color="auto"/>
              <w:left w:val="single" w:sz="4" w:space="0" w:color="auto"/>
              <w:bottom w:val="single" w:sz="4" w:space="0" w:color="auto"/>
              <w:right w:val="single" w:sz="4" w:space="0" w:color="auto"/>
            </w:tcBorders>
          </w:tcPr>
          <w:p w14:paraId="21B67427"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1149" w:type="pct"/>
            <w:tcBorders>
              <w:top w:val="single" w:sz="4" w:space="0" w:color="auto"/>
              <w:left w:val="single" w:sz="4" w:space="0" w:color="auto"/>
              <w:bottom w:val="single" w:sz="4" w:space="0" w:color="auto"/>
              <w:right w:val="single" w:sz="4" w:space="0" w:color="auto"/>
            </w:tcBorders>
          </w:tcPr>
          <w:p w14:paraId="6F92B0EA" w14:textId="25A4895D"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6.6% to 8.2%</w:t>
            </w:r>
          </w:p>
        </w:tc>
        <w:tc>
          <w:tcPr>
            <w:tcW w:w="1525" w:type="pct"/>
            <w:gridSpan w:val="2"/>
            <w:tcBorders>
              <w:top w:val="single" w:sz="4" w:space="0" w:color="auto"/>
              <w:left w:val="single" w:sz="4" w:space="0" w:color="auto"/>
              <w:bottom w:val="single" w:sz="4" w:space="0" w:color="auto"/>
              <w:right w:val="single" w:sz="4" w:space="0" w:color="auto"/>
            </w:tcBorders>
            <w:vAlign w:val="center"/>
          </w:tcPr>
          <w:p w14:paraId="6999FC6A" w14:textId="77777777" w:rsidR="00743102" w:rsidRDefault="004C3C06" w:rsidP="009F594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Wilson and Halver, 1986</w:t>
            </w:r>
          </w:p>
        </w:tc>
      </w:tr>
      <w:tr w:rsidR="00743102" w14:paraId="491D3F9D" w14:textId="77777777" w:rsidTr="009F594F">
        <w:trPr>
          <w:trHeight w:val="317"/>
        </w:trPr>
        <w:tc>
          <w:tcPr>
            <w:tcW w:w="1436" w:type="pct"/>
            <w:tcBorders>
              <w:top w:val="single" w:sz="4" w:space="0" w:color="auto"/>
              <w:left w:val="single" w:sz="4" w:space="0" w:color="auto"/>
              <w:bottom w:val="single" w:sz="4" w:space="0" w:color="auto"/>
              <w:right w:val="single" w:sz="4" w:space="0" w:color="auto"/>
            </w:tcBorders>
          </w:tcPr>
          <w:p w14:paraId="5656C524"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Red drum</w:t>
            </w:r>
          </w:p>
        </w:tc>
        <w:tc>
          <w:tcPr>
            <w:tcW w:w="890" w:type="pct"/>
            <w:tcBorders>
              <w:top w:val="single" w:sz="4" w:space="0" w:color="auto"/>
              <w:left w:val="single" w:sz="4" w:space="0" w:color="auto"/>
              <w:bottom w:val="single" w:sz="4" w:space="0" w:color="auto"/>
              <w:right w:val="single" w:sz="4" w:space="0" w:color="auto"/>
            </w:tcBorders>
          </w:tcPr>
          <w:p w14:paraId="59D5CE91"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1149" w:type="pct"/>
            <w:tcBorders>
              <w:top w:val="single" w:sz="4" w:space="0" w:color="auto"/>
              <w:left w:val="single" w:sz="4" w:space="0" w:color="auto"/>
              <w:bottom w:val="single" w:sz="4" w:space="0" w:color="auto"/>
              <w:right w:val="single" w:sz="4" w:space="0" w:color="auto"/>
            </w:tcBorders>
          </w:tcPr>
          <w:p w14:paraId="7A627E5E"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5.6% to 7.0%</w:t>
            </w:r>
          </w:p>
        </w:tc>
        <w:tc>
          <w:tcPr>
            <w:tcW w:w="1525" w:type="pct"/>
            <w:gridSpan w:val="2"/>
            <w:tcBorders>
              <w:top w:val="single" w:sz="4" w:space="0" w:color="auto"/>
              <w:left w:val="single" w:sz="4" w:space="0" w:color="auto"/>
              <w:bottom w:val="single" w:sz="4" w:space="0" w:color="auto"/>
              <w:right w:val="single" w:sz="4" w:space="0" w:color="auto"/>
            </w:tcBorders>
            <w:vAlign w:val="center"/>
          </w:tcPr>
          <w:p w14:paraId="2F96D95B" w14:textId="77777777" w:rsidR="00743102" w:rsidRDefault="004C3C06" w:rsidP="009F594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Boren and Gatlin, 1995</w:t>
            </w:r>
          </w:p>
        </w:tc>
      </w:tr>
      <w:tr w:rsidR="00743102" w14:paraId="27F46210" w14:textId="77777777" w:rsidTr="009F594F">
        <w:trPr>
          <w:trHeight w:val="317"/>
        </w:trPr>
        <w:tc>
          <w:tcPr>
            <w:tcW w:w="1436" w:type="pct"/>
            <w:tcBorders>
              <w:top w:val="single" w:sz="4" w:space="0" w:color="auto"/>
              <w:left w:val="single" w:sz="4" w:space="0" w:color="auto"/>
              <w:bottom w:val="single" w:sz="4" w:space="0" w:color="auto"/>
              <w:right w:val="single" w:sz="4" w:space="0" w:color="auto"/>
            </w:tcBorders>
          </w:tcPr>
          <w:p w14:paraId="021E55C9" w14:textId="77777777" w:rsidR="00743102" w:rsidRDefault="004C3C06">
            <w:pPr>
              <w:spacing w:line="360" w:lineRule="auto"/>
              <w:jc w:val="both"/>
              <w:rPr>
                <w:rFonts w:ascii="Times New Roman" w:hAnsi="Times New Roman" w:cs="Times New Roman"/>
                <w:b/>
                <w:bCs/>
                <w:sz w:val="24"/>
                <w:szCs w:val="24"/>
              </w:rPr>
            </w:pPr>
            <w:r>
              <w:rPr>
                <w:rFonts w:ascii="Times New Roman" w:hAnsi="Times New Roman" w:cs="Times New Roman"/>
                <w:sz w:val="24"/>
                <w:szCs w:val="24"/>
                <w:lang w:val="en-US"/>
              </w:rPr>
              <w:t>Pacific white shrimp</w:t>
            </w:r>
          </w:p>
        </w:tc>
        <w:tc>
          <w:tcPr>
            <w:tcW w:w="890" w:type="pct"/>
            <w:tcBorders>
              <w:top w:val="single" w:sz="4" w:space="0" w:color="auto"/>
              <w:left w:val="single" w:sz="4" w:space="0" w:color="auto"/>
              <w:bottom w:val="single" w:sz="4" w:space="0" w:color="auto"/>
              <w:right w:val="single" w:sz="4" w:space="0" w:color="auto"/>
            </w:tcBorders>
          </w:tcPr>
          <w:p w14:paraId="60CDBB23"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1.51</w:t>
            </w:r>
          </w:p>
        </w:tc>
        <w:tc>
          <w:tcPr>
            <w:tcW w:w="1149" w:type="pct"/>
            <w:tcBorders>
              <w:top w:val="single" w:sz="4" w:space="0" w:color="auto"/>
              <w:left w:val="single" w:sz="4" w:space="0" w:color="auto"/>
              <w:bottom w:val="single" w:sz="4" w:space="0" w:color="auto"/>
              <w:right w:val="single" w:sz="4" w:space="0" w:color="auto"/>
            </w:tcBorders>
          </w:tcPr>
          <w:p w14:paraId="4F91139E" w14:textId="2BE7E35A" w:rsidR="00743102" w:rsidRPr="003100DC" w:rsidRDefault="004C3C06">
            <w:pPr>
              <w:spacing w:after="0" w:line="360" w:lineRule="auto"/>
              <w:jc w:val="both"/>
              <w:rPr>
                <w:rFonts w:ascii="Times New Roman" w:hAnsi="Times New Roman" w:cs="Times New Roman"/>
                <w:sz w:val="24"/>
                <w:szCs w:val="24"/>
              </w:rPr>
            </w:pPr>
            <w:r w:rsidRPr="003100DC">
              <w:rPr>
                <w:rStyle w:val="Strong"/>
                <w:rFonts w:ascii="Times New Roman" w:eastAsia="SimSun" w:hAnsi="Times New Roman" w:cs="Times New Roman"/>
                <w:b w:val="0"/>
                <w:bCs w:val="0"/>
                <w:sz w:val="24"/>
                <w:szCs w:val="24"/>
              </w:rPr>
              <w:t>3.7% to 5.0%</w:t>
            </w:r>
          </w:p>
        </w:tc>
        <w:tc>
          <w:tcPr>
            <w:tcW w:w="1525" w:type="pct"/>
            <w:gridSpan w:val="2"/>
            <w:tcBorders>
              <w:top w:val="single" w:sz="4" w:space="0" w:color="auto"/>
              <w:left w:val="single" w:sz="4" w:space="0" w:color="auto"/>
              <w:bottom w:val="single" w:sz="4" w:space="0" w:color="auto"/>
              <w:right w:val="single" w:sz="4" w:space="0" w:color="auto"/>
            </w:tcBorders>
            <w:vAlign w:val="center"/>
          </w:tcPr>
          <w:p w14:paraId="0BAA8671" w14:textId="77777777" w:rsidR="00743102" w:rsidRDefault="004C3C06" w:rsidP="009F594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Zhou et al.,2013</w:t>
            </w:r>
          </w:p>
        </w:tc>
      </w:tr>
      <w:tr w:rsidR="00743102" w14:paraId="75E8CE17" w14:textId="77777777" w:rsidTr="009F594F">
        <w:trPr>
          <w:trHeight w:val="461"/>
        </w:trPr>
        <w:tc>
          <w:tcPr>
            <w:tcW w:w="1436" w:type="pct"/>
            <w:tcBorders>
              <w:top w:val="single" w:sz="4" w:space="0" w:color="auto"/>
              <w:left w:val="single" w:sz="4" w:space="0" w:color="auto"/>
              <w:bottom w:val="single" w:sz="4" w:space="0" w:color="auto"/>
              <w:right w:val="single" w:sz="4" w:space="0" w:color="auto"/>
            </w:tcBorders>
          </w:tcPr>
          <w:p w14:paraId="6562BE73"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European sea bass</w:t>
            </w:r>
          </w:p>
        </w:tc>
        <w:tc>
          <w:tcPr>
            <w:tcW w:w="890" w:type="pct"/>
            <w:tcBorders>
              <w:top w:val="single" w:sz="4" w:space="0" w:color="auto"/>
              <w:left w:val="single" w:sz="4" w:space="0" w:color="auto"/>
              <w:bottom w:val="single" w:sz="4" w:space="0" w:color="auto"/>
              <w:right w:val="single" w:sz="4" w:space="0" w:color="auto"/>
            </w:tcBorders>
          </w:tcPr>
          <w:p w14:paraId="18313C4A"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2.3-2.6</w:t>
            </w:r>
          </w:p>
        </w:tc>
        <w:tc>
          <w:tcPr>
            <w:tcW w:w="1149" w:type="pct"/>
            <w:tcBorders>
              <w:top w:val="single" w:sz="4" w:space="0" w:color="auto"/>
              <w:left w:val="single" w:sz="4" w:space="0" w:color="auto"/>
              <w:bottom w:val="single" w:sz="4" w:space="0" w:color="auto"/>
              <w:right w:val="single" w:sz="4" w:space="0" w:color="auto"/>
            </w:tcBorders>
          </w:tcPr>
          <w:p w14:paraId="33E295AF" w14:textId="7A09B1CF"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4.6% to 5.7%</w:t>
            </w:r>
          </w:p>
        </w:tc>
        <w:tc>
          <w:tcPr>
            <w:tcW w:w="1525" w:type="pct"/>
            <w:gridSpan w:val="2"/>
            <w:tcBorders>
              <w:top w:val="single" w:sz="4" w:space="0" w:color="auto"/>
              <w:left w:val="single" w:sz="4" w:space="0" w:color="auto"/>
              <w:bottom w:val="single" w:sz="4" w:space="0" w:color="auto"/>
              <w:right w:val="single" w:sz="4" w:space="0" w:color="auto"/>
            </w:tcBorders>
            <w:vAlign w:val="center"/>
          </w:tcPr>
          <w:p w14:paraId="16953A43" w14:textId="77777777" w:rsidR="00743102" w:rsidRDefault="004C3C06" w:rsidP="009F594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Tibaldi and Tulli,1999</w:t>
            </w:r>
          </w:p>
        </w:tc>
      </w:tr>
      <w:tr w:rsidR="00743102" w14:paraId="3FF28CBD" w14:textId="77777777" w:rsidTr="009F594F">
        <w:trPr>
          <w:trHeight w:val="396"/>
        </w:trPr>
        <w:tc>
          <w:tcPr>
            <w:tcW w:w="1436" w:type="pct"/>
            <w:tcBorders>
              <w:top w:val="single" w:sz="4" w:space="0" w:color="auto"/>
              <w:left w:val="single" w:sz="4" w:space="0" w:color="auto"/>
              <w:bottom w:val="single" w:sz="4" w:space="0" w:color="auto"/>
              <w:right w:val="single" w:sz="4" w:space="0" w:color="auto"/>
            </w:tcBorders>
          </w:tcPr>
          <w:p w14:paraId="7F373992"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Largemouth bass</w:t>
            </w:r>
          </w:p>
        </w:tc>
        <w:tc>
          <w:tcPr>
            <w:tcW w:w="890" w:type="pct"/>
            <w:tcBorders>
              <w:top w:val="single" w:sz="4" w:space="0" w:color="auto"/>
              <w:left w:val="single" w:sz="4" w:space="0" w:color="auto"/>
              <w:bottom w:val="single" w:sz="4" w:space="0" w:color="auto"/>
              <w:right w:val="single" w:sz="4" w:space="0" w:color="auto"/>
            </w:tcBorders>
          </w:tcPr>
          <w:p w14:paraId="04A88191"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1149" w:type="pct"/>
            <w:tcBorders>
              <w:top w:val="single" w:sz="4" w:space="0" w:color="auto"/>
              <w:left w:val="single" w:sz="4" w:space="0" w:color="auto"/>
              <w:bottom w:val="single" w:sz="4" w:space="0" w:color="auto"/>
              <w:right w:val="single" w:sz="4" w:space="0" w:color="auto"/>
            </w:tcBorders>
          </w:tcPr>
          <w:p w14:paraId="4F7F3DF7"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10.0% to 12.5%</w:t>
            </w:r>
          </w:p>
        </w:tc>
        <w:tc>
          <w:tcPr>
            <w:tcW w:w="1525" w:type="pct"/>
            <w:gridSpan w:val="2"/>
            <w:tcBorders>
              <w:top w:val="single" w:sz="4" w:space="0" w:color="auto"/>
              <w:left w:val="single" w:sz="4" w:space="0" w:color="auto"/>
              <w:bottom w:val="single" w:sz="4" w:space="0" w:color="auto"/>
              <w:right w:val="single" w:sz="4" w:space="0" w:color="auto"/>
            </w:tcBorders>
            <w:vAlign w:val="center"/>
          </w:tcPr>
          <w:p w14:paraId="5F78FF99" w14:textId="77777777" w:rsidR="00743102" w:rsidRDefault="004C3C06" w:rsidP="009F594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Rahman et al., 2021</w:t>
            </w:r>
          </w:p>
        </w:tc>
      </w:tr>
      <w:tr w:rsidR="00743102" w14:paraId="5F4B7E23" w14:textId="77777777" w:rsidTr="009F594F">
        <w:trPr>
          <w:trHeight w:val="498"/>
        </w:trPr>
        <w:tc>
          <w:tcPr>
            <w:tcW w:w="1436" w:type="pct"/>
            <w:tcBorders>
              <w:top w:val="single" w:sz="4" w:space="0" w:color="auto"/>
              <w:left w:val="single" w:sz="4" w:space="0" w:color="auto"/>
              <w:bottom w:val="single" w:sz="4" w:space="0" w:color="auto"/>
              <w:right w:val="single" w:sz="4" w:space="0" w:color="auto"/>
            </w:tcBorders>
          </w:tcPr>
          <w:p w14:paraId="570E07AD" w14:textId="77777777" w:rsidR="00743102" w:rsidRDefault="004C3C06">
            <w:pPr>
              <w:spacing w:line="360" w:lineRule="auto"/>
              <w:jc w:val="both"/>
              <w:rPr>
                <w:rFonts w:ascii="Times New Roman" w:hAnsi="Times New Roman" w:cs="Times New Roman"/>
                <w:b/>
                <w:bCs/>
                <w:sz w:val="24"/>
                <w:szCs w:val="24"/>
              </w:rPr>
            </w:pPr>
            <w:r>
              <w:rPr>
                <w:rFonts w:ascii="Times New Roman" w:hAnsi="Times New Roman" w:cs="Times New Roman"/>
                <w:sz w:val="24"/>
                <w:szCs w:val="24"/>
              </w:rPr>
              <w:t>B</w:t>
            </w:r>
            <w:r>
              <w:rPr>
                <w:rFonts w:ascii="Times New Roman" w:hAnsi="Times New Roman" w:cs="Times New Roman"/>
                <w:sz w:val="24"/>
                <w:szCs w:val="24"/>
                <w:lang w:val="en-US"/>
              </w:rPr>
              <w:t>lunt snout bream</w:t>
            </w:r>
          </w:p>
        </w:tc>
        <w:tc>
          <w:tcPr>
            <w:tcW w:w="890" w:type="pct"/>
            <w:tcBorders>
              <w:top w:val="single" w:sz="4" w:space="0" w:color="auto"/>
              <w:left w:val="single" w:sz="4" w:space="0" w:color="auto"/>
              <w:bottom w:val="single" w:sz="4" w:space="0" w:color="auto"/>
              <w:right w:val="single" w:sz="4" w:space="0" w:color="auto"/>
            </w:tcBorders>
          </w:tcPr>
          <w:p w14:paraId="50494998"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1.57</w:t>
            </w:r>
          </w:p>
        </w:tc>
        <w:tc>
          <w:tcPr>
            <w:tcW w:w="1149" w:type="pct"/>
            <w:tcBorders>
              <w:top w:val="single" w:sz="4" w:space="0" w:color="auto"/>
              <w:left w:val="single" w:sz="4" w:space="0" w:color="auto"/>
              <w:bottom w:val="single" w:sz="4" w:space="0" w:color="auto"/>
              <w:right w:val="single" w:sz="4" w:space="0" w:color="auto"/>
            </w:tcBorders>
          </w:tcPr>
          <w:p w14:paraId="26992C94" w14:textId="08B706E6"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3.9% to 5.2%</w:t>
            </w:r>
          </w:p>
        </w:tc>
        <w:tc>
          <w:tcPr>
            <w:tcW w:w="1525" w:type="pct"/>
            <w:gridSpan w:val="2"/>
            <w:tcBorders>
              <w:top w:val="single" w:sz="4" w:space="0" w:color="auto"/>
              <w:left w:val="single" w:sz="4" w:space="0" w:color="auto"/>
              <w:bottom w:val="single" w:sz="4" w:space="0" w:color="auto"/>
              <w:right w:val="single" w:sz="4" w:space="0" w:color="auto"/>
            </w:tcBorders>
            <w:vAlign w:val="center"/>
          </w:tcPr>
          <w:p w14:paraId="5D4FF3DE" w14:textId="77777777" w:rsidR="00743102" w:rsidRDefault="004C3C06" w:rsidP="009F594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Tsion et al., 2015</w:t>
            </w:r>
          </w:p>
        </w:tc>
      </w:tr>
      <w:tr w:rsidR="00743102" w14:paraId="149F85BB" w14:textId="77777777" w:rsidTr="009F594F">
        <w:trPr>
          <w:trHeight w:val="387"/>
        </w:trPr>
        <w:tc>
          <w:tcPr>
            <w:tcW w:w="1436" w:type="pct"/>
            <w:tcBorders>
              <w:top w:val="single" w:sz="4" w:space="0" w:color="auto"/>
              <w:left w:val="single" w:sz="4" w:space="0" w:color="auto"/>
              <w:bottom w:val="single" w:sz="4" w:space="0" w:color="auto"/>
              <w:right w:val="single" w:sz="4" w:space="0" w:color="auto"/>
            </w:tcBorders>
          </w:tcPr>
          <w:p w14:paraId="6E32F388"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Penaeus monodon</w:t>
            </w:r>
          </w:p>
        </w:tc>
        <w:tc>
          <w:tcPr>
            <w:tcW w:w="890" w:type="pct"/>
            <w:tcBorders>
              <w:top w:val="single" w:sz="4" w:space="0" w:color="auto"/>
              <w:left w:val="single" w:sz="4" w:space="0" w:color="auto"/>
              <w:bottom w:val="single" w:sz="4" w:space="0" w:color="auto"/>
              <w:right w:val="single" w:sz="4" w:space="0" w:color="auto"/>
            </w:tcBorders>
          </w:tcPr>
          <w:p w14:paraId="33B59B0C"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1149" w:type="pct"/>
            <w:tcBorders>
              <w:top w:val="single" w:sz="4" w:space="0" w:color="auto"/>
              <w:left w:val="single" w:sz="4" w:space="0" w:color="auto"/>
              <w:bottom w:val="single" w:sz="4" w:space="0" w:color="auto"/>
              <w:right w:val="single" w:sz="4" w:space="0" w:color="auto"/>
            </w:tcBorders>
          </w:tcPr>
          <w:p w14:paraId="5909F1E6"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3.1% to 4.0%</w:t>
            </w:r>
          </w:p>
        </w:tc>
        <w:tc>
          <w:tcPr>
            <w:tcW w:w="1525" w:type="pct"/>
            <w:gridSpan w:val="2"/>
            <w:tcBorders>
              <w:top w:val="single" w:sz="4" w:space="0" w:color="auto"/>
              <w:left w:val="single" w:sz="4" w:space="0" w:color="auto"/>
              <w:bottom w:val="single" w:sz="4" w:space="0" w:color="auto"/>
              <w:right w:val="single" w:sz="4" w:space="0" w:color="auto"/>
            </w:tcBorders>
            <w:vAlign w:val="center"/>
          </w:tcPr>
          <w:p w14:paraId="6D91FCE3" w14:textId="77777777" w:rsidR="00743102" w:rsidRDefault="004C3C06" w:rsidP="009F594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Millamina et al., 1997</w:t>
            </w:r>
          </w:p>
        </w:tc>
      </w:tr>
      <w:tr w:rsidR="00743102" w14:paraId="1EDB2658" w14:textId="77777777" w:rsidTr="009F594F">
        <w:trPr>
          <w:trHeight w:val="645"/>
        </w:trPr>
        <w:tc>
          <w:tcPr>
            <w:tcW w:w="1436" w:type="pct"/>
            <w:tcBorders>
              <w:top w:val="single" w:sz="4" w:space="0" w:color="auto"/>
              <w:left w:val="single" w:sz="4" w:space="0" w:color="auto"/>
              <w:bottom w:val="single" w:sz="4" w:space="0" w:color="auto"/>
              <w:right w:val="single" w:sz="4" w:space="0" w:color="auto"/>
            </w:tcBorders>
          </w:tcPr>
          <w:p w14:paraId="46DA14C0"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Large yellow croaker (</w:t>
            </w:r>
            <w:r>
              <w:rPr>
                <w:rFonts w:ascii="Times New Roman" w:hAnsi="Times New Roman" w:cs="Times New Roman"/>
                <w:i/>
                <w:iCs/>
                <w:sz w:val="24"/>
                <w:szCs w:val="24"/>
              </w:rPr>
              <w:t>Larmichthyscrocea</w:t>
            </w:r>
            <w:r>
              <w:rPr>
                <w:rFonts w:ascii="Times New Roman" w:hAnsi="Times New Roman" w:cs="Times New Roman"/>
                <w:sz w:val="24"/>
                <w:szCs w:val="24"/>
              </w:rPr>
              <w:t>)</w:t>
            </w:r>
          </w:p>
        </w:tc>
        <w:tc>
          <w:tcPr>
            <w:tcW w:w="890" w:type="pct"/>
            <w:tcBorders>
              <w:top w:val="single" w:sz="4" w:space="0" w:color="auto"/>
              <w:left w:val="single" w:sz="4" w:space="0" w:color="auto"/>
              <w:bottom w:val="single" w:sz="4" w:space="0" w:color="auto"/>
              <w:right w:val="single" w:sz="4" w:space="0" w:color="auto"/>
            </w:tcBorders>
          </w:tcPr>
          <w:p w14:paraId="375ADDF8"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1.86-2.06</w:t>
            </w:r>
          </w:p>
        </w:tc>
        <w:tc>
          <w:tcPr>
            <w:tcW w:w="1149" w:type="pct"/>
            <w:tcBorders>
              <w:top w:val="single" w:sz="4" w:space="0" w:color="auto"/>
              <w:left w:val="single" w:sz="4" w:space="0" w:color="auto"/>
              <w:bottom w:val="single" w:sz="4" w:space="0" w:color="auto"/>
              <w:right w:val="single" w:sz="4" w:space="0" w:color="auto"/>
            </w:tcBorders>
          </w:tcPr>
          <w:p w14:paraId="3402533A" w14:textId="6D2FF404"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3.7% to 4.9%</w:t>
            </w:r>
          </w:p>
        </w:tc>
        <w:tc>
          <w:tcPr>
            <w:tcW w:w="1525" w:type="pct"/>
            <w:gridSpan w:val="2"/>
            <w:tcBorders>
              <w:top w:val="single" w:sz="4" w:space="0" w:color="auto"/>
              <w:left w:val="single" w:sz="4" w:space="0" w:color="auto"/>
              <w:bottom w:val="single" w:sz="4" w:space="0" w:color="auto"/>
              <w:right w:val="single" w:sz="4" w:space="0" w:color="auto"/>
            </w:tcBorders>
            <w:vAlign w:val="center"/>
          </w:tcPr>
          <w:p w14:paraId="583FB3A2" w14:textId="77777777" w:rsidR="00743102" w:rsidRDefault="004C3C06" w:rsidP="009F594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He et al., 2015</w:t>
            </w:r>
          </w:p>
        </w:tc>
      </w:tr>
      <w:tr w:rsidR="00743102" w14:paraId="3382FBA1" w14:textId="77777777" w:rsidTr="009F594F">
        <w:trPr>
          <w:trHeight w:val="386"/>
        </w:trPr>
        <w:tc>
          <w:tcPr>
            <w:tcW w:w="1436" w:type="pct"/>
            <w:tcBorders>
              <w:top w:val="single" w:sz="4" w:space="0" w:color="auto"/>
              <w:left w:val="single" w:sz="4" w:space="0" w:color="auto"/>
              <w:bottom w:val="single" w:sz="4" w:space="0" w:color="auto"/>
              <w:right w:val="single" w:sz="4" w:space="0" w:color="auto"/>
            </w:tcBorders>
          </w:tcPr>
          <w:p w14:paraId="585AC54D" w14:textId="77777777" w:rsidR="00743102" w:rsidRDefault="004C3C06">
            <w:pPr>
              <w:spacing w:after="0" w:line="360" w:lineRule="auto"/>
              <w:jc w:val="both"/>
              <w:rPr>
                <w:rFonts w:ascii="Times New Roman" w:hAnsi="Times New Roman" w:cs="Times New Roman"/>
                <w:sz w:val="24"/>
                <w:szCs w:val="24"/>
              </w:rPr>
            </w:pPr>
            <w:hyperlink r:id="rId12" w:tooltip="Learn more about Channa from ScienceDirect's AI-generated Topic Pages" w:history="1">
              <w:r>
                <w:rPr>
                  <w:rStyle w:val="Hyperlink"/>
                  <w:rFonts w:ascii="Times New Roman" w:hAnsi="Times New Roman" w:cs="Times New Roman"/>
                  <w:color w:val="auto"/>
                  <w:sz w:val="24"/>
                  <w:szCs w:val="24"/>
                  <w:u w:val="none"/>
                </w:rPr>
                <w:t>Channa</w:t>
              </w:r>
            </w:hyperlink>
            <w:r>
              <w:rPr>
                <w:rFonts w:ascii="Times New Roman" w:hAnsi="Times New Roman" w:cs="Times New Roman"/>
                <w:i/>
                <w:iCs/>
                <w:sz w:val="24"/>
                <w:szCs w:val="24"/>
              </w:rPr>
              <w:t> punctatus</w:t>
            </w:r>
          </w:p>
        </w:tc>
        <w:tc>
          <w:tcPr>
            <w:tcW w:w="890" w:type="pct"/>
            <w:tcBorders>
              <w:top w:val="single" w:sz="4" w:space="0" w:color="auto"/>
              <w:left w:val="single" w:sz="4" w:space="0" w:color="auto"/>
              <w:bottom w:val="single" w:sz="4" w:space="0" w:color="auto"/>
              <w:right w:val="single" w:sz="4" w:space="0" w:color="auto"/>
            </w:tcBorders>
          </w:tcPr>
          <w:p w14:paraId="2D4FF1D1"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2.2- 2.3</w:t>
            </w:r>
          </w:p>
        </w:tc>
        <w:tc>
          <w:tcPr>
            <w:tcW w:w="1149" w:type="pct"/>
            <w:tcBorders>
              <w:top w:val="single" w:sz="4" w:space="0" w:color="auto"/>
              <w:left w:val="single" w:sz="4" w:space="0" w:color="auto"/>
              <w:bottom w:val="single" w:sz="4" w:space="0" w:color="auto"/>
              <w:right w:val="single" w:sz="4" w:space="0" w:color="auto"/>
            </w:tcBorders>
          </w:tcPr>
          <w:p w14:paraId="6EFCA668" w14:textId="1DF9916C"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4.8% to 5.7%</w:t>
            </w:r>
          </w:p>
        </w:tc>
        <w:tc>
          <w:tcPr>
            <w:tcW w:w="1525" w:type="pct"/>
            <w:gridSpan w:val="2"/>
            <w:tcBorders>
              <w:top w:val="single" w:sz="4" w:space="0" w:color="auto"/>
              <w:left w:val="single" w:sz="4" w:space="0" w:color="auto"/>
              <w:bottom w:val="single" w:sz="4" w:space="0" w:color="auto"/>
              <w:right w:val="single" w:sz="4" w:space="0" w:color="auto"/>
            </w:tcBorders>
            <w:vAlign w:val="center"/>
          </w:tcPr>
          <w:p w14:paraId="6D88C88F" w14:textId="77777777" w:rsidR="00743102" w:rsidRDefault="004C3C06" w:rsidP="009F594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Sharf et al., 2022</w:t>
            </w:r>
          </w:p>
        </w:tc>
      </w:tr>
      <w:tr w:rsidR="00743102" w14:paraId="30B66D9A" w14:textId="77777777" w:rsidTr="009F594F">
        <w:trPr>
          <w:trHeight w:val="497"/>
        </w:trPr>
        <w:tc>
          <w:tcPr>
            <w:tcW w:w="1436" w:type="pct"/>
            <w:tcBorders>
              <w:top w:val="single" w:sz="4" w:space="0" w:color="auto"/>
              <w:left w:val="single" w:sz="4" w:space="0" w:color="auto"/>
              <w:bottom w:val="single" w:sz="4" w:space="0" w:color="auto"/>
              <w:right w:val="single" w:sz="4" w:space="0" w:color="auto"/>
            </w:tcBorders>
          </w:tcPr>
          <w:p w14:paraId="42FC15B2"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Mrigal</w:t>
            </w:r>
            <w:r>
              <w:rPr>
                <w:rFonts w:ascii="Times New Roman" w:hAnsi="Times New Roman" w:cs="Times New Roman"/>
                <w:i/>
                <w:iCs/>
                <w:sz w:val="24"/>
                <w:szCs w:val="24"/>
              </w:rPr>
              <w:t xml:space="preserve"> (Cirrhinusmrigala)</w:t>
            </w:r>
          </w:p>
        </w:tc>
        <w:tc>
          <w:tcPr>
            <w:tcW w:w="890" w:type="pct"/>
            <w:tcBorders>
              <w:top w:val="single" w:sz="4" w:space="0" w:color="auto"/>
              <w:left w:val="single" w:sz="4" w:space="0" w:color="auto"/>
              <w:bottom w:val="single" w:sz="4" w:space="0" w:color="auto"/>
              <w:right w:val="single" w:sz="4" w:space="0" w:color="auto"/>
            </w:tcBorders>
          </w:tcPr>
          <w:p w14:paraId="5BD92F12"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4.50</w:t>
            </w:r>
          </w:p>
        </w:tc>
        <w:tc>
          <w:tcPr>
            <w:tcW w:w="1149" w:type="pct"/>
            <w:tcBorders>
              <w:top w:val="single" w:sz="4" w:space="0" w:color="auto"/>
              <w:left w:val="single" w:sz="4" w:space="0" w:color="auto"/>
              <w:bottom w:val="single" w:sz="4" w:space="0" w:color="auto"/>
              <w:right w:val="single" w:sz="4" w:space="0" w:color="auto"/>
            </w:tcBorders>
          </w:tcPr>
          <w:p w14:paraId="35EFA479" w14:textId="0A4CACDC"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11.2% to 15.0%</w:t>
            </w:r>
          </w:p>
        </w:tc>
        <w:tc>
          <w:tcPr>
            <w:tcW w:w="1525" w:type="pct"/>
            <w:gridSpan w:val="2"/>
            <w:tcBorders>
              <w:top w:val="single" w:sz="4" w:space="0" w:color="auto"/>
              <w:left w:val="single" w:sz="4" w:space="0" w:color="auto"/>
              <w:bottom w:val="single" w:sz="4" w:space="0" w:color="auto"/>
              <w:right w:val="single" w:sz="4" w:space="0" w:color="auto"/>
            </w:tcBorders>
            <w:vAlign w:val="center"/>
          </w:tcPr>
          <w:p w14:paraId="4585951E" w14:textId="77777777" w:rsidR="00743102" w:rsidRDefault="004C3C06" w:rsidP="009F594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Ahmed et al., 2004</w:t>
            </w:r>
          </w:p>
        </w:tc>
      </w:tr>
      <w:tr w:rsidR="00743102" w14:paraId="62711E35" w14:textId="77777777" w:rsidTr="009F594F">
        <w:trPr>
          <w:trHeight w:val="479"/>
        </w:trPr>
        <w:tc>
          <w:tcPr>
            <w:tcW w:w="1436" w:type="pct"/>
            <w:tcBorders>
              <w:top w:val="single" w:sz="4" w:space="0" w:color="auto"/>
              <w:left w:val="single" w:sz="4" w:space="0" w:color="auto"/>
              <w:bottom w:val="single" w:sz="4" w:space="0" w:color="auto"/>
              <w:right w:val="single" w:sz="4" w:space="0" w:color="auto"/>
            </w:tcBorders>
          </w:tcPr>
          <w:p w14:paraId="61976E48"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Rohu (</w:t>
            </w:r>
            <w:r>
              <w:rPr>
                <w:rFonts w:ascii="Times New Roman" w:hAnsi="Times New Roman" w:cs="Times New Roman"/>
                <w:i/>
                <w:iCs/>
                <w:sz w:val="24"/>
                <w:szCs w:val="24"/>
              </w:rPr>
              <w:t>Labeorohita)</w:t>
            </w:r>
          </w:p>
        </w:tc>
        <w:tc>
          <w:tcPr>
            <w:tcW w:w="890" w:type="pct"/>
            <w:tcBorders>
              <w:top w:val="single" w:sz="4" w:space="0" w:color="auto"/>
              <w:left w:val="single" w:sz="4" w:space="0" w:color="auto"/>
              <w:bottom w:val="single" w:sz="4" w:space="0" w:color="auto"/>
              <w:right w:val="single" w:sz="4" w:space="0" w:color="auto"/>
            </w:tcBorders>
          </w:tcPr>
          <w:p w14:paraId="096EA8FC"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3.77-4.20</w:t>
            </w:r>
          </w:p>
        </w:tc>
        <w:tc>
          <w:tcPr>
            <w:tcW w:w="1149" w:type="pct"/>
            <w:tcBorders>
              <w:top w:val="single" w:sz="4" w:space="0" w:color="auto"/>
              <w:left w:val="single" w:sz="4" w:space="0" w:color="auto"/>
              <w:bottom w:val="single" w:sz="4" w:space="0" w:color="auto"/>
              <w:right w:val="single" w:sz="4" w:space="0" w:color="auto"/>
            </w:tcBorders>
          </w:tcPr>
          <w:p w14:paraId="75558371" w14:textId="49D3A83D"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9.4% to 14.0%</w:t>
            </w:r>
          </w:p>
        </w:tc>
        <w:tc>
          <w:tcPr>
            <w:tcW w:w="1525" w:type="pct"/>
            <w:gridSpan w:val="2"/>
            <w:tcBorders>
              <w:top w:val="single" w:sz="4" w:space="0" w:color="auto"/>
              <w:left w:val="single" w:sz="4" w:space="0" w:color="auto"/>
              <w:bottom w:val="single" w:sz="4" w:space="0" w:color="auto"/>
              <w:right w:val="single" w:sz="4" w:space="0" w:color="auto"/>
            </w:tcBorders>
            <w:vAlign w:val="center"/>
          </w:tcPr>
          <w:p w14:paraId="6CA07338" w14:textId="77777777" w:rsidR="00743102" w:rsidRDefault="004C3C06" w:rsidP="009F594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Abidi et al., 2008</w:t>
            </w:r>
          </w:p>
        </w:tc>
      </w:tr>
      <w:tr w:rsidR="00743102" w14:paraId="70CA67A2" w14:textId="77777777" w:rsidTr="009F594F">
        <w:trPr>
          <w:trHeight w:val="604"/>
        </w:trPr>
        <w:tc>
          <w:tcPr>
            <w:tcW w:w="1436" w:type="pct"/>
            <w:tcBorders>
              <w:top w:val="single" w:sz="4" w:space="0" w:color="auto"/>
              <w:left w:val="single" w:sz="4" w:space="0" w:color="auto"/>
              <w:bottom w:val="single" w:sz="4" w:space="0" w:color="auto"/>
              <w:right w:val="single" w:sz="4" w:space="0" w:color="auto"/>
            </w:tcBorders>
          </w:tcPr>
          <w:p w14:paraId="28A0C2A1"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Salmo salar smolts (Atlantic salmon)</w:t>
            </w:r>
          </w:p>
        </w:tc>
        <w:tc>
          <w:tcPr>
            <w:tcW w:w="890" w:type="pct"/>
            <w:tcBorders>
              <w:top w:val="single" w:sz="4" w:space="0" w:color="auto"/>
              <w:left w:val="single" w:sz="4" w:space="0" w:color="auto"/>
              <w:bottom w:val="single" w:sz="4" w:space="0" w:color="auto"/>
              <w:right w:val="single" w:sz="4" w:space="0" w:color="auto"/>
            </w:tcBorders>
          </w:tcPr>
          <w:p w14:paraId="3A575921"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1.31</w:t>
            </w:r>
          </w:p>
        </w:tc>
        <w:tc>
          <w:tcPr>
            <w:tcW w:w="1149" w:type="pct"/>
            <w:tcBorders>
              <w:top w:val="single" w:sz="4" w:space="0" w:color="auto"/>
              <w:left w:val="single" w:sz="4" w:space="0" w:color="auto"/>
              <w:bottom w:val="single" w:sz="4" w:space="0" w:color="auto"/>
              <w:right w:val="single" w:sz="4" w:space="0" w:color="auto"/>
            </w:tcBorders>
          </w:tcPr>
          <w:p w14:paraId="44031B22" w14:textId="4ACF1ED3"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2.6% to 3.1%</w:t>
            </w:r>
          </w:p>
        </w:tc>
        <w:tc>
          <w:tcPr>
            <w:tcW w:w="1525" w:type="pct"/>
            <w:gridSpan w:val="2"/>
            <w:tcBorders>
              <w:top w:val="single" w:sz="4" w:space="0" w:color="auto"/>
              <w:left w:val="single" w:sz="4" w:space="0" w:color="auto"/>
              <w:bottom w:val="single" w:sz="4" w:space="0" w:color="auto"/>
              <w:right w:val="single" w:sz="4" w:space="0" w:color="auto"/>
            </w:tcBorders>
            <w:vAlign w:val="center"/>
          </w:tcPr>
          <w:p w14:paraId="4634C084" w14:textId="77777777" w:rsidR="00743102" w:rsidRDefault="004C3C06" w:rsidP="009F594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Helland and Helland, 2011</w:t>
            </w:r>
          </w:p>
        </w:tc>
      </w:tr>
      <w:tr w:rsidR="00743102" w14:paraId="7AABF4A3" w14:textId="77777777" w:rsidTr="009F594F">
        <w:trPr>
          <w:trHeight w:val="604"/>
        </w:trPr>
        <w:tc>
          <w:tcPr>
            <w:tcW w:w="1436" w:type="pct"/>
            <w:tcBorders>
              <w:top w:val="single" w:sz="4" w:space="0" w:color="auto"/>
              <w:left w:val="single" w:sz="4" w:space="0" w:color="auto"/>
              <w:bottom w:val="single" w:sz="4" w:space="0" w:color="auto"/>
              <w:right w:val="single" w:sz="4" w:space="0" w:color="auto"/>
            </w:tcBorders>
          </w:tcPr>
          <w:p w14:paraId="1FF6B055"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Striped bass (</w:t>
            </w:r>
            <w:r>
              <w:rPr>
                <w:rFonts w:ascii="Times New Roman" w:hAnsi="Times New Roman" w:cs="Times New Roman"/>
                <w:i/>
                <w:iCs/>
                <w:sz w:val="24"/>
                <w:szCs w:val="24"/>
              </w:rPr>
              <w:t>Morone saxatilis)</w:t>
            </w:r>
          </w:p>
        </w:tc>
        <w:tc>
          <w:tcPr>
            <w:tcW w:w="890" w:type="pct"/>
            <w:tcBorders>
              <w:top w:val="single" w:sz="4" w:space="0" w:color="auto"/>
              <w:left w:val="single" w:sz="4" w:space="0" w:color="auto"/>
              <w:bottom w:val="single" w:sz="4" w:space="0" w:color="auto"/>
              <w:right w:val="single" w:sz="4" w:space="0" w:color="auto"/>
            </w:tcBorders>
          </w:tcPr>
          <w:p w14:paraId="55D777BB"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1.03</w:t>
            </w:r>
          </w:p>
        </w:tc>
        <w:tc>
          <w:tcPr>
            <w:tcW w:w="1149" w:type="pct"/>
            <w:tcBorders>
              <w:top w:val="single" w:sz="4" w:space="0" w:color="auto"/>
              <w:left w:val="single" w:sz="4" w:space="0" w:color="auto"/>
              <w:bottom w:val="single" w:sz="4" w:space="0" w:color="auto"/>
              <w:right w:val="single" w:sz="4" w:space="0" w:color="auto"/>
            </w:tcBorders>
          </w:tcPr>
          <w:p w14:paraId="46192C61" w14:textId="1A26ED1B"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2.0% to 2.5%</w:t>
            </w:r>
          </w:p>
        </w:tc>
        <w:tc>
          <w:tcPr>
            <w:tcW w:w="1525" w:type="pct"/>
            <w:gridSpan w:val="2"/>
            <w:tcBorders>
              <w:top w:val="single" w:sz="4" w:space="0" w:color="auto"/>
              <w:left w:val="single" w:sz="4" w:space="0" w:color="auto"/>
              <w:bottom w:val="single" w:sz="4" w:space="0" w:color="auto"/>
              <w:right w:val="single" w:sz="4" w:space="0" w:color="auto"/>
            </w:tcBorders>
            <w:vAlign w:val="center"/>
          </w:tcPr>
          <w:p w14:paraId="4EC87136" w14:textId="77777777" w:rsidR="00743102" w:rsidRDefault="004C3C06" w:rsidP="009F594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Small and JH, 1999</w:t>
            </w:r>
          </w:p>
        </w:tc>
      </w:tr>
      <w:tr w:rsidR="00743102" w14:paraId="5CF286C7" w14:textId="77777777" w:rsidTr="009F594F">
        <w:trPr>
          <w:trHeight w:val="604"/>
        </w:trPr>
        <w:tc>
          <w:tcPr>
            <w:tcW w:w="1436" w:type="pct"/>
            <w:tcBorders>
              <w:top w:val="single" w:sz="4" w:space="0" w:color="auto"/>
              <w:left w:val="single" w:sz="4" w:space="0" w:color="auto"/>
              <w:bottom w:val="single" w:sz="4" w:space="0" w:color="auto"/>
              <w:right w:val="single" w:sz="4" w:space="0" w:color="auto"/>
            </w:tcBorders>
          </w:tcPr>
          <w:p w14:paraId="31D5111E"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Indian catfish (</w:t>
            </w:r>
            <w:r>
              <w:rPr>
                <w:rFonts w:ascii="Times New Roman" w:hAnsi="Times New Roman" w:cs="Times New Roman"/>
                <w:i/>
                <w:iCs/>
                <w:sz w:val="24"/>
                <w:szCs w:val="24"/>
              </w:rPr>
              <w:t>Heteropneustesfossilis</w:t>
            </w:r>
            <w:r>
              <w:rPr>
                <w:rFonts w:ascii="Times New Roman" w:hAnsi="Times New Roman" w:cs="Times New Roman"/>
                <w:sz w:val="24"/>
                <w:szCs w:val="24"/>
              </w:rPr>
              <w:t>)</w:t>
            </w:r>
          </w:p>
        </w:tc>
        <w:tc>
          <w:tcPr>
            <w:tcW w:w="890" w:type="pct"/>
            <w:tcBorders>
              <w:top w:val="single" w:sz="4" w:space="0" w:color="auto"/>
              <w:left w:val="single" w:sz="4" w:space="0" w:color="auto"/>
              <w:bottom w:val="single" w:sz="4" w:space="0" w:color="auto"/>
              <w:right w:val="single" w:sz="4" w:space="0" w:color="auto"/>
            </w:tcBorders>
          </w:tcPr>
          <w:p w14:paraId="55FE8822"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1.27</w:t>
            </w:r>
          </w:p>
        </w:tc>
        <w:tc>
          <w:tcPr>
            <w:tcW w:w="1149" w:type="pct"/>
            <w:tcBorders>
              <w:top w:val="single" w:sz="4" w:space="0" w:color="auto"/>
              <w:left w:val="single" w:sz="4" w:space="0" w:color="auto"/>
              <w:bottom w:val="single" w:sz="4" w:space="0" w:color="auto"/>
              <w:right w:val="single" w:sz="4" w:space="0" w:color="auto"/>
            </w:tcBorders>
          </w:tcPr>
          <w:p w14:paraId="20B97132" w14:textId="06E1E53F"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2.8% to 3.6%</w:t>
            </w:r>
          </w:p>
        </w:tc>
        <w:tc>
          <w:tcPr>
            <w:tcW w:w="1525" w:type="pct"/>
            <w:gridSpan w:val="2"/>
            <w:tcBorders>
              <w:top w:val="single" w:sz="4" w:space="0" w:color="auto"/>
              <w:left w:val="single" w:sz="4" w:space="0" w:color="auto"/>
              <w:bottom w:val="single" w:sz="4" w:space="0" w:color="auto"/>
              <w:right w:val="single" w:sz="4" w:space="0" w:color="auto"/>
            </w:tcBorders>
            <w:vAlign w:val="center"/>
          </w:tcPr>
          <w:p w14:paraId="053853C6" w14:textId="77777777" w:rsidR="00743102" w:rsidRDefault="004C3C06" w:rsidP="009F594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Ahmed et al., 2007</w:t>
            </w:r>
          </w:p>
        </w:tc>
      </w:tr>
      <w:tr w:rsidR="00743102" w14:paraId="314611D2" w14:textId="77777777" w:rsidTr="009F594F">
        <w:trPr>
          <w:trHeight w:val="604"/>
        </w:trPr>
        <w:tc>
          <w:tcPr>
            <w:tcW w:w="1436" w:type="pct"/>
            <w:tcBorders>
              <w:top w:val="single" w:sz="4" w:space="0" w:color="auto"/>
              <w:left w:val="single" w:sz="4" w:space="0" w:color="auto"/>
              <w:bottom w:val="single" w:sz="4" w:space="0" w:color="auto"/>
              <w:right w:val="single" w:sz="4" w:space="0" w:color="auto"/>
            </w:tcBorders>
          </w:tcPr>
          <w:p w14:paraId="5F2974CE"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Grass-carp (</w:t>
            </w:r>
            <w:hyperlink r:id="rId13" w:tooltip="Learn more about grass carp from ScienceDirect's AI-generated Topic Pages" w:history="1">
              <w:r>
                <w:rPr>
                  <w:rStyle w:val="Hyperlink"/>
                  <w:rFonts w:ascii="Times New Roman" w:hAnsi="Times New Roman" w:cs="Times New Roman"/>
                  <w:i/>
                  <w:iCs/>
                  <w:color w:val="auto"/>
                  <w:sz w:val="24"/>
                  <w:szCs w:val="24"/>
                  <w:u w:val="none"/>
                </w:rPr>
                <w:t>Ctenopharyngodon idella</w:t>
              </w:r>
            </w:hyperlink>
            <w:r>
              <w:rPr>
                <w:rFonts w:ascii="Times New Roman" w:hAnsi="Times New Roman" w:cs="Times New Roman"/>
                <w:sz w:val="24"/>
                <w:szCs w:val="24"/>
              </w:rPr>
              <w:t>)</w:t>
            </w:r>
          </w:p>
        </w:tc>
        <w:tc>
          <w:tcPr>
            <w:tcW w:w="890" w:type="pct"/>
            <w:tcBorders>
              <w:top w:val="single" w:sz="4" w:space="0" w:color="auto"/>
              <w:left w:val="single" w:sz="4" w:space="0" w:color="auto"/>
              <w:bottom w:val="single" w:sz="4" w:space="0" w:color="auto"/>
              <w:right w:val="single" w:sz="4" w:space="0" w:color="auto"/>
            </w:tcBorders>
          </w:tcPr>
          <w:p w14:paraId="5472EDFC"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1.33</w:t>
            </w:r>
          </w:p>
        </w:tc>
        <w:tc>
          <w:tcPr>
            <w:tcW w:w="1149" w:type="pct"/>
            <w:tcBorders>
              <w:top w:val="single" w:sz="4" w:space="0" w:color="auto"/>
              <w:left w:val="single" w:sz="4" w:space="0" w:color="auto"/>
              <w:bottom w:val="single" w:sz="4" w:space="0" w:color="auto"/>
              <w:right w:val="single" w:sz="4" w:space="0" w:color="auto"/>
            </w:tcBorders>
          </w:tcPr>
          <w:p w14:paraId="5820ACA5" w14:textId="418A3DE0"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3.8% to 4.7%</w:t>
            </w:r>
          </w:p>
        </w:tc>
        <w:tc>
          <w:tcPr>
            <w:tcW w:w="1525" w:type="pct"/>
            <w:gridSpan w:val="2"/>
            <w:tcBorders>
              <w:top w:val="single" w:sz="4" w:space="0" w:color="auto"/>
              <w:left w:val="single" w:sz="4" w:space="0" w:color="auto"/>
              <w:bottom w:val="single" w:sz="4" w:space="0" w:color="auto"/>
              <w:right w:val="single" w:sz="4" w:space="0" w:color="auto"/>
            </w:tcBorders>
            <w:vAlign w:val="center"/>
          </w:tcPr>
          <w:p w14:paraId="788C1672" w14:textId="77777777" w:rsidR="00743102" w:rsidRDefault="004C3C06" w:rsidP="009F594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Hong et al., 2015</w:t>
            </w:r>
          </w:p>
        </w:tc>
      </w:tr>
      <w:tr w:rsidR="00743102" w14:paraId="2212B7E5" w14:textId="77777777" w:rsidTr="009F594F">
        <w:trPr>
          <w:trHeight w:val="604"/>
        </w:trPr>
        <w:tc>
          <w:tcPr>
            <w:tcW w:w="1436" w:type="pct"/>
            <w:tcBorders>
              <w:top w:val="single" w:sz="4" w:space="0" w:color="auto"/>
              <w:left w:val="single" w:sz="4" w:space="0" w:color="auto"/>
              <w:bottom w:val="single" w:sz="4" w:space="0" w:color="auto"/>
              <w:right w:val="single" w:sz="4" w:space="0" w:color="auto"/>
            </w:tcBorders>
          </w:tcPr>
          <w:p w14:paraId="6826693F"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Silver catfish</w:t>
            </w:r>
            <w:r>
              <w:rPr>
                <w:rFonts w:ascii="Times New Roman" w:hAnsi="Times New Roman" w:cs="Times New Roman"/>
                <w:i/>
                <w:iCs/>
                <w:sz w:val="24"/>
                <w:szCs w:val="24"/>
              </w:rPr>
              <w:t xml:space="preserve"> (Rhamdiaquelen)</w:t>
            </w:r>
          </w:p>
        </w:tc>
        <w:tc>
          <w:tcPr>
            <w:tcW w:w="890" w:type="pct"/>
            <w:tcBorders>
              <w:top w:val="single" w:sz="4" w:space="0" w:color="auto"/>
              <w:left w:val="single" w:sz="4" w:space="0" w:color="auto"/>
              <w:bottom w:val="single" w:sz="4" w:space="0" w:color="auto"/>
              <w:right w:val="single" w:sz="4" w:space="0" w:color="auto"/>
            </w:tcBorders>
          </w:tcPr>
          <w:p w14:paraId="24A08C6D"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2.45-3.25</w:t>
            </w:r>
          </w:p>
        </w:tc>
        <w:tc>
          <w:tcPr>
            <w:tcW w:w="1149" w:type="pct"/>
            <w:tcBorders>
              <w:top w:val="single" w:sz="4" w:space="0" w:color="auto"/>
              <w:left w:val="single" w:sz="4" w:space="0" w:color="auto"/>
              <w:bottom w:val="single" w:sz="4" w:space="0" w:color="auto"/>
              <w:right w:val="single" w:sz="4" w:space="0" w:color="auto"/>
            </w:tcBorders>
          </w:tcPr>
          <w:p w14:paraId="3E37F2B6" w14:textId="6508236E"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6.1% to 10.1%</w:t>
            </w:r>
          </w:p>
        </w:tc>
        <w:tc>
          <w:tcPr>
            <w:tcW w:w="1525" w:type="pct"/>
            <w:gridSpan w:val="2"/>
            <w:tcBorders>
              <w:top w:val="single" w:sz="4" w:space="0" w:color="auto"/>
              <w:left w:val="single" w:sz="4" w:space="0" w:color="auto"/>
              <w:bottom w:val="single" w:sz="4" w:space="0" w:color="auto"/>
              <w:right w:val="single" w:sz="4" w:space="0" w:color="auto"/>
            </w:tcBorders>
            <w:vAlign w:val="center"/>
          </w:tcPr>
          <w:p w14:paraId="0367040A" w14:textId="77777777" w:rsidR="00743102" w:rsidRDefault="004C3C06" w:rsidP="009F594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Flores et al., 2023</w:t>
            </w:r>
          </w:p>
        </w:tc>
      </w:tr>
      <w:tr w:rsidR="00743102" w14:paraId="25DBC4F9" w14:textId="77777777" w:rsidTr="009F594F">
        <w:trPr>
          <w:trHeight w:val="604"/>
        </w:trPr>
        <w:tc>
          <w:tcPr>
            <w:tcW w:w="1436" w:type="pct"/>
            <w:tcBorders>
              <w:top w:val="single" w:sz="4" w:space="0" w:color="auto"/>
              <w:left w:val="single" w:sz="4" w:space="0" w:color="auto"/>
              <w:bottom w:val="single" w:sz="4" w:space="0" w:color="auto"/>
              <w:right w:val="single" w:sz="4" w:space="0" w:color="auto"/>
            </w:tcBorders>
          </w:tcPr>
          <w:p w14:paraId="432591E0"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Ictalurus punctatus</w:t>
            </w:r>
          </w:p>
        </w:tc>
        <w:tc>
          <w:tcPr>
            <w:tcW w:w="890" w:type="pct"/>
            <w:tcBorders>
              <w:top w:val="single" w:sz="4" w:space="0" w:color="auto"/>
              <w:left w:val="single" w:sz="4" w:space="0" w:color="auto"/>
              <w:bottom w:val="single" w:sz="4" w:space="0" w:color="auto"/>
              <w:right w:val="single" w:sz="4" w:space="0" w:color="auto"/>
            </w:tcBorders>
          </w:tcPr>
          <w:p w14:paraId="135A155F"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2.20</w:t>
            </w:r>
          </w:p>
        </w:tc>
        <w:tc>
          <w:tcPr>
            <w:tcW w:w="1149" w:type="pct"/>
            <w:tcBorders>
              <w:top w:val="single" w:sz="4" w:space="0" w:color="auto"/>
              <w:left w:val="single" w:sz="4" w:space="0" w:color="auto"/>
              <w:bottom w:val="single" w:sz="4" w:space="0" w:color="auto"/>
              <w:right w:val="single" w:sz="4" w:space="0" w:color="auto"/>
            </w:tcBorders>
          </w:tcPr>
          <w:p w14:paraId="01F28C92" w14:textId="4235DFF0"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6.1% to 7.8%</w:t>
            </w:r>
          </w:p>
        </w:tc>
        <w:tc>
          <w:tcPr>
            <w:tcW w:w="1525" w:type="pct"/>
            <w:gridSpan w:val="2"/>
            <w:tcBorders>
              <w:top w:val="single" w:sz="4" w:space="0" w:color="auto"/>
              <w:left w:val="single" w:sz="4" w:space="0" w:color="auto"/>
              <w:bottom w:val="single" w:sz="4" w:space="0" w:color="auto"/>
              <w:right w:val="single" w:sz="4" w:space="0" w:color="auto"/>
            </w:tcBorders>
            <w:vAlign w:val="center"/>
          </w:tcPr>
          <w:p w14:paraId="51077336" w14:textId="77777777" w:rsidR="00743102" w:rsidRDefault="004C3C06" w:rsidP="009F594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Wilson et al., </w:t>
            </w:r>
            <w:hyperlink r:id="rId14" w:history="1">
              <w:r>
                <w:rPr>
                  <w:rStyle w:val="Hyperlink"/>
                  <w:rFonts w:ascii="Times New Roman" w:hAnsi="Times New Roman" w:cs="Times New Roman"/>
                  <w:color w:val="auto"/>
                  <w:sz w:val="24"/>
                  <w:szCs w:val="24"/>
                  <w:u w:val="none"/>
                </w:rPr>
                <w:t>1978</w:t>
              </w:r>
            </w:hyperlink>
          </w:p>
        </w:tc>
      </w:tr>
      <w:tr w:rsidR="00743102" w14:paraId="759FFADE" w14:textId="77777777" w:rsidTr="009F594F">
        <w:trPr>
          <w:trHeight w:val="604"/>
        </w:trPr>
        <w:tc>
          <w:tcPr>
            <w:tcW w:w="1436" w:type="pct"/>
            <w:tcBorders>
              <w:top w:val="single" w:sz="4" w:space="0" w:color="auto"/>
              <w:left w:val="single" w:sz="4" w:space="0" w:color="auto"/>
              <w:bottom w:val="single" w:sz="4" w:space="0" w:color="auto"/>
              <w:right w:val="single" w:sz="4" w:space="0" w:color="auto"/>
            </w:tcBorders>
          </w:tcPr>
          <w:p w14:paraId="7B205394" w14:textId="77777777" w:rsidR="00743102" w:rsidRDefault="004C3C06">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Oncorhynchus kisutch</w:t>
            </w:r>
          </w:p>
        </w:tc>
        <w:tc>
          <w:tcPr>
            <w:tcW w:w="890" w:type="pct"/>
            <w:tcBorders>
              <w:top w:val="single" w:sz="4" w:space="0" w:color="auto"/>
              <w:left w:val="single" w:sz="4" w:space="0" w:color="auto"/>
              <w:bottom w:val="single" w:sz="4" w:space="0" w:color="auto"/>
              <w:right w:val="single" w:sz="4" w:space="0" w:color="auto"/>
            </w:tcBorders>
          </w:tcPr>
          <w:p w14:paraId="22334DC7"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2.00</w:t>
            </w:r>
          </w:p>
        </w:tc>
        <w:tc>
          <w:tcPr>
            <w:tcW w:w="1149" w:type="pct"/>
            <w:tcBorders>
              <w:top w:val="single" w:sz="4" w:space="0" w:color="auto"/>
              <w:left w:val="single" w:sz="4" w:space="0" w:color="auto"/>
              <w:bottom w:val="single" w:sz="4" w:space="0" w:color="auto"/>
              <w:right w:val="single" w:sz="4" w:space="0" w:color="auto"/>
            </w:tcBorders>
          </w:tcPr>
          <w:p w14:paraId="253B8C42" w14:textId="5CC7AD56"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4.0% to 5.0%</w:t>
            </w:r>
          </w:p>
        </w:tc>
        <w:tc>
          <w:tcPr>
            <w:tcW w:w="1525" w:type="pct"/>
            <w:gridSpan w:val="2"/>
            <w:tcBorders>
              <w:top w:val="single" w:sz="4" w:space="0" w:color="auto"/>
              <w:left w:val="single" w:sz="4" w:space="0" w:color="auto"/>
              <w:bottom w:val="single" w:sz="4" w:space="0" w:color="auto"/>
              <w:right w:val="single" w:sz="4" w:space="0" w:color="auto"/>
            </w:tcBorders>
            <w:vAlign w:val="center"/>
          </w:tcPr>
          <w:p w14:paraId="788085F5" w14:textId="77777777" w:rsidR="00743102" w:rsidRDefault="004C3C06" w:rsidP="009F594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Arai and Ogata, 1991</w:t>
            </w:r>
          </w:p>
        </w:tc>
      </w:tr>
      <w:tr w:rsidR="00743102" w14:paraId="04631C4D" w14:textId="77777777" w:rsidTr="009F594F">
        <w:trPr>
          <w:trHeight w:val="604"/>
        </w:trPr>
        <w:tc>
          <w:tcPr>
            <w:tcW w:w="1436" w:type="pct"/>
            <w:tcBorders>
              <w:top w:val="single" w:sz="4" w:space="0" w:color="auto"/>
              <w:left w:val="single" w:sz="4" w:space="0" w:color="auto"/>
              <w:bottom w:val="single" w:sz="4" w:space="0" w:color="auto"/>
              <w:right w:val="single" w:sz="4" w:space="0" w:color="auto"/>
            </w:tcBorders>
          </w:tcPr>
          <w:p w14:paraId="15680206" w14:textId="77777777" w:rsidR="00743102" w:rsidRDefault="004C3C06">
            <w:pPr>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Pactolinus major</w:t>
            </w:r>
          </w:p>
        </w:tc>
        <w:tc>
          <w:tcPr>
            <w:tcW w:w="890" w:type="pct"/>
            <w:tcBorders>
              <w:top w:val="single" w:sz="4" w:space="0" w:color="auto"/>
              <w:left w:val="single" w:sz="4" w:space="0" w:color="auto"/>
              <w:bottom w:val="single" w:sz="4" w:space="0" w:color="auto"/>
              <w:right w:val="single" w:sz="4" w:space="0" w:color="auto"/>
            </w:tcBorders>
          </w:tcPr>
          <w:p w14:paraId="52225EE5"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1.80</w:t>
            </w:r>
          </w:p>
        </w:tc>
        <w:tc>
          <w:tcPr>
            <w:tcW w:w="1149" w:type="pct"/>
            <w:tcBorders>
              <w:top w:val="single" w:sz="4" w:space="0" w:color="auto"/>
              <w:left w:val="single" w:sz="4" w:space="0" w:color="auto"/>
              <w:bottom w:val="single" w:sz="4" w:space="0" w:color="auto"/>
              <w:right w:val="single" w:sz="4" w:space="0" w:color="auto"/>
            </w:tcBorders>
          </w:tcPr>
          <w:p w14:paraId="0B9F524F" w14:textId="1D44E64D"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3.6% to 4.2%</w:t>
            </w:r>
          </w:p>
        </w:tc>
        <w:tc>
          <w:tcPr>
            <w:tcW w:w="1525" w:type="pct"/>
            <w:gridSpan w:val="2"/>
            <w:tcBorders>
              <w:top w:val="single" w:sz="4" w:space="0" w:color="auto"/>
              <w:left w:val="single" w:sz="4" w:space="0" w:color="auto"/>
              <w:bottom w:val="single" w:sz="4" w:space="0" w:color="auto"/>
              <w:right w:val="single" w:sz="4" w:space="0" w:color="auto"/>
            </w:tcBorders>
            <w:vAlign w:val="center"/>
          </w:tcPr>
          <w:p w14:paraId="7A254F60" w14:textId="77777777" w:rsidR="00743102" w:rsidRDefault="004C3C06" w:rsidP="009F594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Forster and Ogata, </w:t>
            </w:r>
            <w:hyperlink r:id="rId15" w:history="1">
              <w:r>
                <w:rPr>
                  <w:rStyle w:val="Hyperlink"/>
                  <w:rFonts w:ascii="Times New Roman" w:hAnsi="Times New Roman" w:cs="Times New Roman"/>
                  <w:color w:val="auto"/>
                  <w:sz w:val="24"/>
                  <w:szCs w:val="24"/>
                  <w:u w:val="none"/>
                </w:rPr>
                <w:t>1998</w:t>
              </w:r>
            </w:hyperlink>
          </w:p>
        </w:tc>
      </w:tr>
    </w:tbl>
    <w:p w14:paraId="1E8325B7" w14:textId="77777777" w:rsidR="00012EBA" w:rsidRDefault="00012EBA">
      <w:pPr>
        <w:spacing w:line="360" w:lineRule="auto"/>
        <w:jc w:val="both"/>
        <w:rPr>
          <w:rFonts w:ascii="Times New Roman" w:eastAsia="SimSun" w:hAnsi="Times New Roman" w:cs="Times New Roman"/>
          <w:b/>
          <w:bCs/>
          <w:sz w:val="24"/>
          <w:szCs w:val="24"/>
        </w:rPr>
      </w:pPr>
    </w:p>
    <w:p w14:paraId="0CB3BB3F" w14:textId="284AA257" w:rsidR="00743102" w:rsidRDefault="00012EBA">
      <w:pPr>
        <w:spacing w:line="360" w:lineRule="auto"/>
        <w:jc w:val="both"/>
        <w:rPr>
          <w:rFonts w:ascii="Times New Roman" w:eastAsia="SimSun" w:hAnsi="Times New Roman" w:cs="Times New Roman"/>
          <w:sz w:val="24"/>
          <w:szCs w:val="24"/>
        </w:rPr>
      </w:pPr>
      <w:r>
        <w:rPr>
          <w:rFonts w:ascii="Times New Roman" w:eastAsia="SimSun" w:hAnsi="Times New Roman" w:cs="Times New Roman"/>
          <w:b/>
          <w:bCs/>
          <w:sz w:val="24"/>
          <w:szCs w:val="24"/>
        </w:rPr>
        <w:t xml:space="preserve"> </w:t>
      </w:r>
      <w:r w:rsidR="004C3C06">
        <w:rPr>
          <w:rFonts w:ascii="Times New Roman" w:eastAsia="SimSun" w:hAnsi="Times New Roman" w:cs="Times New Roman"/>
          <w:b/>
          <w:bCs/>
          <w:sz w:val="24"/>
          <w:szCs w:val="24"/>
        </w:rPr>
        <w:t>Threonine and Ideal Protein concept</w:t>
      </w:r>
    </w:p>
    <w:p w14:paraId="6C59D50E" w14:textId="66BCF227" w:rsidR="00743102" w:rsidRDefault="00E66C2D">
      <w:pPr>
        <w:spacing w:line="360" w:lineRule="auto"/>
        <w:jc w:val="both"/>
        <w:rPr>
          <w:rFonts w:ascii="Times New Roman" w:hAnsi="Times New Roman" w:cs="Times New Roman"/>
          <w:sz w:val="24"/>
          <w:szCs w:val="24"/>
        </w:rPr>
      </w:pPr>
      <w:r w:rsidRPr="00E66C2D">
        <w:rPr>
          <w:rFonts w:ascii="Times New Roman" w:hAnsi="Times New Roman" w:cs="Times New Roman"/>
          <w:sz w:val="24"/>
          <w:szCs w:val="24"/>
        </w:rPr>
        <w:lastRenderedPageBreak/>
        <w:t>Proteins are macromolecules composed of amino acids linked by peptide bonds, with their structure further stabilized by sulphur and hydrogen bonds. Elementally, proteins typically consist of carbon (about 50%), nitrogen (16%), oxygen (21.5%), and hydrogen (6.5%), with smaller amounts of phosphorus and sulphur occasionally present. In fish biology, proteins are recognized as the most abundant class of organic compounds and represent the largest molecules within cells. They serve as vital nutrients and primary structural components of tissues. In fish, proteins account for approximately 65–75% of the total dry body weight</w:t>
      </w:r>
      <w:r w:rsidR="004C3C06">
        <w:rPr>
          <w:rFonts w:ascii="Times New Roman" w:hAnsi="Times New Roman" w:cs="Times New Roman"/>
          <w:sz w:val="24"/>
          <w:szCs w:val="24"/>
        </w:rPr>
        <w:t>.</w:t>
      </w:r>
      <w:r>
        <w:rPr>
          <w:rFonts w:ascii="Times New Roman" w:hAnsi="Times New Roman" w:cs="Times New Roman"/>
          <w:sz w:val="24"/>
          <w:szCs w:val="24"/>
        </w:rPr>
        <w:t xml:space="preserve"> </w:t>
      </w:r>
      <w:r w:rsidR="004C3C06">
        <w:rPr>
          <w:rFonts w:ascii="Times New Roman" w:hAnsi="Times New Roman" w:cs="Times New Roman"/>
          <w:sz w:val="24"/>
          <w:szCs w:val="24"/>
        </w:rPr>
        <w:t>Fish rely on protein as a supplier of amino acids, which are important for their nutrition. The process involves the digestion or hydrolysis of protein, resulting to the release of free amino acids. These are then taken up through the alimentary canal and transported by the bloodstream to various organs and tissues. These units are subsequently utilized by different tissues to create emerging proteins. A steady supply of protein or amino acids is required because fish consistently use amino acids, either to build new proteins during growth and reproduction or to replenish existing proteins for maintenance.</w:t>
      </w:r>
    </w:p>
    <w:p w14:paraId="75E1AD66" w14:textId="77777777" w:rsidR="00E66C2D" w:rsidRDefault="004C3C06">
      <w:pPr>
        <w:spacing w:line="360" w:lineRule="auto"/>
        <w:jc w:val="both"/>
        <w:rPr>
          <w:rFonts w:ascii="Times New Roman" w:hAnsi="Times New Roman" w:cs="Times New Roman"/>
          <w:sz w:val="24"/>
          <w:szCs w:val="24"/>
          <w:lang w:eastAsia="en-IN"/>
        </w:rPr>
      </w:pPr>
      <w:r>
        <w:rPr>
          <w:rFonts w:ascii="Times New Roman" w:hAnsi="Times New Roman" w:cs="Times New Roman"/>
          <w:sz w:val="24"/>
          <w:szCs w:val="24"/>
        </w:rPr>
        <w:t>In cases where the feed lacks sufficient protein, it results in diminished or halted growth and weight loss, as less crucial tissues have their protein resources redirected to sustain the vital functions of more essential tissues. On the contrary, an excessive supply of protein consumption in the diet leads to only a portion of it being utilized for protein synthesis, with the surplus being transformed into energy.</w:t>
      </w:r>
      <w:r>
        <w:rPr>
          <w:rFonts w:ascii="Times New Roman" w:eastAsia="SimSun" w:hAnsi="Times New Roman" w:cs="Times New Roman"/>
          <w:sz w:val="24"/>
          <w:szCs w:val="24"/>
        </w:rPr>
        <w:t xml:space="preserve"> </w:t>
      </w:r>
      <w:r>
        <w:rPr>
          <w:rFonts w:ascii="Times New Roman" w:hAnsi="Times New Roman" w:cs="Times New Roman"/>
          <w:sz w:val="24"/>
          <w:szCs w:val="24"/>
        </w:rPr>
        <w:t>Protein has a gross energy value of 5.60 kcal per gram.</w:t>
      </w:r>
      <w:r>
        <w:rPr>
          <w:rFonts w:ascii="Times New Roman" w:eastAsia="SimSun" w:hAnsi="Times New Roman" w:cs="Times New Roman"/>
          <w:sz w:val="24"/>
          <w:szCs w:val="24"/>
        </w:rPr>
        <w:t xml:space="preserve"> </w:t>
      </w:r>
      <w:r>
        <w:rPr>
          <w:rFonts w:ascii="Times New Roman" w:hAnsi="Times New Roman" w:cs="Times New Roman"/>
          <w:sz w:val="24"/>
          <w:szCs w:val="24"/>
        </w:rPr>
        <w:t>The protein content in fish feed is crucial because it's the costliest component. Accurately determining the specific protein need for various fishes and sizes of cultured fish is crucial. Threonine is a crucial amino acid (often abbreviated as Thr) was first identified in 1938 by Nelson and Cox. It is an amino acid that is polar and soluble in water that animals need and often becomes the limiting factor in the diets of swine and poultry. This α-amino acid has both an amino group (-NH2) and a carboxyl group (-COOH) linked to a central carbon atom</w:t>
      </w:r>
      <w:r>
        <w:rPr>
          <w:rFonts w:ascii="Times New Roman" w:hAnsi="Times New Roman" w:cs="Times New Roman"/>
          <w:sz w:val="24"/>
          <w:szCs w:val="24"/>
          <w:lang w:eastAsia="en-IN"/>
        </w:rPr>
        <w:t xml:space="preserve">, along with a side chain (-CH(OH)CH3). </w:t>
      </w:r>
      <w:r w:rsidR="00E66C2D" w:rsidRPr="00E66C2D">
        <w:rPr>
          <w:rFonts w:ascii="Times New Roman" w:hAnsi="Times New Roman" w:cs="Times New Roman"/>
          <w:sz w:val="24"/>
          <w:szCs w:val="24"/>
          <w:lang w:eastAsia="en-IN"/>
        </w:rPr>
        <w:t>Threonine possesses a hydroxyl (-OH) group in its side chain, which distinguishes it from most other amino acids. This hydroxyl group enables threonine to form hydrogen bonds with neighboring amino acids, particularly serine and tyrosine, thereby contributing to the stabilization of protein secondary structures such as α-helices and β-sheets. Threonine residues are often located within enzyme active sites, where they play an essential role in catalytic functions. The hydroxyl group can participate in various chemical reactions, including nucleophilic attacks and hydrogen bonding with substrates or cofactors, making threonine vital to many biochemical processes.</w:t>
      </w:r>
    </w:p>
    <w:p w14:paraId="7C5B42E7" w14:textId="4133A8DB" w:rsidR="00743102" w:rsidRPr="003100DC" w:rsidRDefault="004C3C06">
      <w:pPr>
        <w:spacing w:line="360" w:lineRule="auto"/>
        <w:jc w:val="both"/>
        <w:rPr>
          <w:rFonts w:ascii="Times New Roman" w:eastAsia="SimSun" w:hAnsi="Times New Roman" w:cs="Times New Roman"/>
          <w:b/>
          <w:bCs/>
          <w:sz w:val="24"/>
          <w:szCs w:val="24"/>
        </w:rPr>
      </w:pPr>
      <w:r w:rsidRPr="003100DC">
        <w:rPr>
          <w:rFonts w:ascii="Times New Roman" w:eastAsia="SimSun" w:hAnsi="Times New Roman" w:cs="Times New Roman"/>
          <w:b/>
          <w:bCs/>
          <w:sz w:val="24"/>
          <w:szCs w:val="24"/>
        </w:rPr>
        <w:lastRenderedPageBreak/>
        <w:t>Physiological and Nutritional functions of Threonine in Fish</w:t>
      </w:r>
    </w:p>
    <w:p w14:paraId="4170B7C8" w14:textId="633A8330" w:rsidR="00743102" w:rsidRPr="009F594F" w:rsidRDefault="000E5994" w:rsidP="009F594F">
      <w:pPr>
        <w:tabs>
          <w:tab w:val="left" w:pos="420"/>
        </w:tabs>
        <w:spacing w:line="360" w:lineRule="auto"/>
        <w:jc w:val="both"/>
        <w:rPr>
          <w:rFonts w:ascii="Times New Roman" w:eastAsia="SimSun" w:hAnsi="Times New Roman" w:cs="Times New Roman"/>
          <w:sz w:val="24"/>
          <w:szCs w:val="24"/>
        </w:rPr>
      </w:pPr>
      <w:r w:rsidRPr="000E5994">
        <w:rPr>
          <w:rFonts w:ascii="Times New Roman" w:eastAsia="SimSun" w:hAnsi="Times New Roman" w:cs="Times New Roman"/>
          <w:sz w:val="24"/>
          <w:szCs w:val="24"/>
        </w:rPr>
        <w:t>Thr is an essential amino acid that plays a fundamental role in fish growth, metabolism, and immune function. As fish are unable to synthesize threonine endogenously, it must be supplied through the diet (Fang et al., 2020). Threonine is especially important during the juvenile stage, where it supports rapid growth, maintains intestinal integrity, enhances nutrient absorption, and contributes to overall health and physiological development (Wang et al., 2017).</w:t>
      </w:r>
      <w:r w:rsidR="009F594F">
        <w:rPr>
          <w:rFonts w:ascii="Times New Roman" w:eastAsia="SimSun" w:hAnsi="Times New Roman" w:cs="Times New Roman"/>
          <w:sz w:val="24"/>
          <w:szCs w:val="24"/>
        </w:rPr>
        <w:t xml:space="preserve"> </w:t>
      </w:r>
      <w:r w:rsidRPr="000E5994">
        <w:rPr>
          <w:rFonts w:ascii="Times New Roman" w:eastAsia="SimSun" w:hAnsi="Times New Roman" w:cs="Times New Roman"/>
          <w:sz w:val="24"/>
          <w:szCs w:val="24"/>
        </w:rPr>
        <w:t>Threonine is among the most limiting amino acids in fish diets and plays a crucial role in protein deposition and muscle development (Gao et al., 2014). Studies on Ctenopharyngodon idella (grass carp) have demonstrated that optimal dietary threonine levels enhance muscle protein synthesis, leading to improved growth performance and feed conversion efficiency (Zhou et al., 2013).</w:t>
      </w:r>
      <w:r w:rsidR="009F594F">
        <w:rPr>
          <w:rFonts w:ascii="Times New Roman" w:eastAsia="SimSun" w:hAnsi="Times New Roman" w:cs="Times New Roman"/>
          <w:sz w:val="24"/>
          <w:szCs w:val="24"/>
        </w:rPr>
        <w:t xml:space="preserve"> </w:t>
      </w:r>
      <w:r w:rsidRPr="000E5994">
        <w:rPr>
          <w:rFonts w:ascii="Times New Roman" w:eastAsia="SimSun" w:hAnsi="Times New Roman" w:cs="Times New Roman"/>
          <w:sz w:val="24"/>
          <w:szCs w:val="24"/>
        </w:rPr>
        <w:t xml:space="preserve">Threonine is a key constituent of intestinal mucus, which is essential for maintaining gut integrity, supporting mucosal barrier function, and protecting the host against pathogenic invasion. </w:t>
      </w:r>
      <w:r w:rsidR="004C3C06" w:rsidRPr="003100DC">
        <w:rPr>
          <w:rFonts w:ascii="Times New Roman" w:eastAsia="SimSun" w:hAnsi="Times New Roman" w:cs="Times New Roman"/>
          <w:sz w:val="24"/>
          <w:szCs w:val="24"/>
        </w:rPr>
        <w:t xml:space="preserve">(Chen et al., 2018). In juvenile grass carp, dietary threonine supplementation has been associated with improved intestinal barrier function, enhanced digestive enzyme activity, and better nutrient absorption efficiency (Hong et al., 2015). Additionally, it promotes the secretion of mucins, which enhance the protective lining of the gut, reducing susceptibility to infections (Zhou et al., 2013). Adequate threonine intake has been linked to increased resistance against bacterial and viral infections in fish. Research on Nile tilapia (Oreochromis niloticus) demonstrated that threonine supplementation significantly improved survival rates when exposed to pathogenic bacteria (Zhou et al., 2018). The amino acid supports the </w:t>
      </w:r>
      <w:r w:rsidR="004C3C06" w:rsidRPr="003100DC">
        <w:rPr>
          <w:rStyle w:val="Strong"/>
          <w:rFonts w:ascii="Times New Roman" w:eastAsia="SimSun" w:hAnsi="Times New Roman" w:cs="Times New Roman"/>
          <w:b w:val="0"/>
          <w:bCs w:val="0"/>
          <w:sz w:val="24"/>
          <w:szCs w:val="24"/>
        </w:rPr>
        <w:t>integrity of epithelial barriers</w:t>
      </w:r>
      <w:r w:rsidR="004C3C06" w:rsidRPr="003100DC">
        <w:rPr>
          <w:rFonts w:ascii="Times New Roman" w:eastAsia="SimSun" w:hAnsi="Times New Roman" w:cs="Times New Roman"/>
          <w:sz w:val="24"/>
          <w:szCs w:val="24"/>
        </w:rPr>
        <w:t xml:space="preserve"> and boosts </w:t>
      </w:r>
      <w:r w:rsidR="004C3C06" w:rsidRPr="003100DC">
        <w:rPr>
          <w:rStyle w:val="Strong"/>
          <w:rFonts w:ascii="Times New Roman" w:eastAsia="SimSun" w:hAnsi="Times New Roman" w:cs="Times New Roman"/>
          <w:b w:val="0"/>
          <w:bCs w:val="0"/>
          <w:sz w:val="24"/>
          <w:szCs w:val="24"/>
        </w:rPr>
        <w:t>macrophage activity</w:t>
      </w:r>
      <w:r w:rsidR="004C3C06" w:rsidRPr="003100DC">
        <w:rPr>
          <w:rFonts w:ascii="Times New Roman" w:eastAsia="SimSun" w:hAnsi="Times New Roman" w:cs="Times New Roman"/>
          <w:sz w:val="24"/>
          <w:szCs w:val="24"/>
        </w:rPr>
        <w:t>, crucial for pathogen defense (Wu et al., 2021).</w:t>
      </w:r>
      <w:r w:rsidR="009F594F">
        <w:rPr>
          <w:rFonts w:ascii="Times New Roman" w:eastAsia="SimSun" w:hAnsi="Times New Roman" w:cs="Times New Roman"/>
          <w:sz w:val="24"/>
          <w:szCs w:val="24"/>
        </w:rPr>
        <w:t xml:space="preserve"> </w:t>
      </w:r>
      <w:proofErr w:type="spellStart"/>
      <w:r w:rsidR="004C3C06" w:rsidRPr="003100DC">
        <w:rPr>
          <w:rFonts w:ascii="Times New Roman" w:eastAsia="SimSun" w:hAnsi="Times New Roman" w:cs="Times New Roman"/>
          <w:sz w:val="24"/>
          <w:szCs w:val="24"/>
        </w:rPr>
        <w:t>Thr</w:t>
      </w:r>
      <w:proofErr w:type="spellEnd"/>
      <w:r w:rsidR="004C3C06" w:rsidRPr="003100DC">
        <w:rPr>
          <w:rFonts w:ascii="Times New Roman" w:eastAsia="SimSun" w:hAnsi="Times New Roman" w:cs="Times New Roman"/>
          <w:sz w:val="24"/>
          <w:szCs w:val="24"/>
        </w:rPr>
        <w:t xml:space="preserve"> is involved in immune function by regulating cytokine production and immune cell proliferation. It influences key signaling pathways such as the target of rapamycin (TOR) and mitogen-activated protein kinase (MAPK), which are essential for immune responses (Wang et al., 2010). Deficiencies in threonine have been linked to weakened immune responses and higher disease susceptibility in fish species, including grass carp (</w:t>
      </w:r>
      <w:r w:rsidR="004C3C06" w:rsidRPr="003100DC">
        <w:rPr>
          <w:rStyle w:val="Emphasis"/>
          <w:rFonts w:ascii="Times New Roman" w:eastAsia="SimSun" w:hAnsi="Times New Roman" w:cs="Times New Roman"/>
          <w:sz w:val="24"/>
          <w:szCs w:val="24"/>
        </w:rPr>
        <w:t>Ctenopharyngodon idella</w:t>
      </w:r>
      <w:r w:rsidR="004C3C06" w:rsidRPr="003100DC">
        <w:rPr>
          <w:rFonts w:ascii="Times New Roman" w:eastAsia="SimSun" w:hAnsi="Times New Roman" w:cs="Times New Roman"/>
          <w:sz w:val="24"/>
          <w:szCs w:val="24"/>
        </w:rPr>
        <w:t>) and tilapia (</w:t>
      </w:r>
      <w:r w:rsidR="004C3C06" w:rsidRPr="003100DC">
        <w:rPr>
          <w:rStyle w:val="Emphasis"/>
          <w:rFonts w:ascii="Times New Roman" w:eastAsia="SimSun" w:hAnsi="Times New Roman" w:cs="Times New Roman"/>
          <w:sz w:val="24"/>
          <w:szCs w:val="24"/>
        </w:rPr>
        <w:t>Oreochromis niloticus</w:t>
      </w:r>
      <w:r w:rsidR="004C3C06" w:rsidRPr="003100DC">
        <w:rPr>
          <w:rFonts w:ascii="Times New Roman" w:eastAsia="SimSun" w:hAnsi="Times New Roman" w:cs="Times New Roman"/>
          <w:sz w:val="24"/>
          <w:szCs w:val="24"/>
        </w:rPr>
        <w:t>) (Chen et al., 2018</w:t>
      </w:r>
      <w:r w:rsidR="00066834" w:rsidRPr="003100DC">
        <w:rPr>
          <w:rFonts w:ascii="Times New Roman" w:eastAsia="SimSun" w:hAnsi="Times New Roman" w:cs="Times New Roman"/>
          <w:sz w:val="24"/>
          <w:szCs w:val="24"/>
        </w:rPr>
        <w:t>). Threonine</w:t>
      </w:r>
      <w:r w:rsidR="004C3C06" w:rsidRPr="003100DC">
        <w:rPr>
          <w:rFonts w:ascii="Times New Roman" w:eastAsia="SimSun" w:hAnsi="Times New Roman" w:cs="Times New Roman"/>
          <w:sz w:val="24"/>
          <w:szCs w:val="24"/>
        </w:rPr>
        <w:t xml:space="preserve"> plays a crucial role in maintaining immune function and antioxidation in fish by supporting the synthesis of </w:t>
      </w:r>
      <w:r w:rsidR="004C3C06" w:rsidRPr="003100DC">
        <w:rPr>
          <w:rStyle w:val="Strong"/>
          <w:rFonts w:ascii="Times New Roman" w:eastAsia="SimSun" w:hAnsi="Times New Roman" w:cs="Times New Roman"/>
          <w:b w:val="0"/>
          <w:bCs w:val="0"/>
          <w:sz w:val="24"/>
          <w:szCs w:val="24"/>
        </w:rPr>
        <w:t>immune-related proteins, mucins, and antioxidants</w:t>
      </w:r>
      <w:r w:rsidR="004C3C06" w:rsidRPr="003100DC">
        <w:rPr>
          <w:rFonts w:ascii="Times New Roman" w:eastAsia="SimSun" w:hAnsi="Times New Roman" w:cs="Times New Roman"/>
          <w:sz w:val="24"/>
          <w:szCs w:val="24"/>
        </w:rPr>
        <w:t xml:space="preserve">. Studies have shown that dietary threonine enhances </w:t>
      </w:r>
      <w:r w:rsidR="004C3C06" w:rsidRPr="003100DC">
        <w:rPr>
          <w:rStyle w:val="Strong"/>
          <w:rFonts w:ascii="Times New Roman" w:eastAsia="SimSun" w:hAnsi="Times New Roman" w:cs="Times New Roman"/>
          <w:b w:val="0"/>
          <w:bCs w:val="0"/>
          <w:sz w:val="24"/>
          <w:szCs w:val="24"/>
        </w:rPr>
        <w:t>lysozyme activity, immunoglobulin levels, and cytokine production</w:t>
      </w:r>
      <w:r w:rsidR="004C3C06" w:rsidRPr="003100DC">
        <w:rPr>
          <w:rFonts w:ascii="Times New Roman" w:eastAsia="SimSun" w:hAnsi="Times New Roman" w:cs="Times New Roman"/>
          <w:sz w:val="24"/>
          <w:szCs w:val="24"/>
        </w:rPr>
        <w:t xml:space="preserve">, contributing to improved disease resistance (Li et al., 2020). Additionally, threonine is a key precursor for the production of </w:t>
      </w:r>
      <w:r w:rsidR="004C3C06" w:rsidRPr="003100DC">
        <w:rPr>
          <w:rStyle w:val="Strong"/>
          <w:rFonts w:ascii="Times New Roman" w:eastAsia="SimSun" w:hAnsi="Times New Roman" w:cs="Times New Roman"/>
          <w:b w:val="0"/>
          <w:bCs w:val="0"/>
          <w:sz w:val="24"/>
          <w:szCs w:val="24"/>
        </w:rPr>
        <w:t>glutathione</w:t>
      </w:r>
      <w:r w:rsidR="004C3C06" w:rsidRPr="003100DC">
        <w:rPr>
          <w:rFonts w:ascii="Times New Roman" w:eastAsia="SimSun" w:hAnsi="Times New Roman" w:cs="Times New Roman"/>
          <w:sz w:val="24"/>
          <w:szCs w:val="24"/>
        </w:rPr>
        <w:t>, a major antioxidant that protects fish from oxidative stress (Feng et al., 2019</w:t>
      </w:r>
      <w:proofErr w:type="gramStart"/>
      <w:r w:rsidR="004C3C06" w:rsidRPr="003100DC">
        <w:rPr>
          <w:rFonts w:ascii="Times New Roman" w:eastAsia="SimSun" w:hAnsi="Times New Roman" w:cs="Times New Roman"/>
          <w:sz w:val="24"/>
          <w:szCs w:val="24"/>
        </w:rPr>
        <w:t>).In</w:t>
      </w:r>
      <w:proofErr w:type="gramEnd"/>
      <w:r w:rsidR="004C3C06" w:rsidRPr="003100DC">
        <w:rPr>
          <w:rFonts w:ascii="Times New Roman" w:eastAsia="SimSun" w:hAnsi="Times New Roman" w:cs="Times New Roman"/>
          <w:sz w:val="24"/>
          <w:szCs w:val="24"/>
        </w:rPr>
        <w:t xml:space="preserve"> juvenile grass carp, threonine supplementation has been associated with increased antioxidant </w:t>
      </w:r>
      <w:r w:rsidR="004C3C06" w:rsidRPr="003100DC">
        <w:rPr>
          <w:rFonts w:ascii="Times New Roman" w:eastAsia="SimSun" w:hAnsi="Times New Roman" w:cs="Times New Roman"/>
          <w:sz w:val="24"/>
          <w:szCs w:val="24"/>
        </w:rPr>
        <w:lastRenderedPageBreak/>
        <w:t>enzyme activity, reducing oxidative stress and improving overall resilience to environmental stressors (He et al., 2015).</w:t>
      </w:r>
      <w:r w:rsidR="009F594F">
        <w:rPr>
          <w:rFonts w:ascii="Times New Roman" w:eastAsia="SimSun" w:hAnsi="Times New Roman" w:cs="Times New Roman"/>
          <w:sz w:val="24"/>
          <w:szCs w:val="24"/>
        </w:rPr>
        <w:t xml:space="preserve"> </w:t>
      </w:r>
      <w:r w:rsidRPr="000E5994">
        <w:rPr>
          <w:rFonts w:ascii="Times New Roman" w:eastAsia="SimSun" w:hAnsi="Times New Roman" w:cs="Times New Roman"/>
          <w:sz w:val="24"/>
          <w:szCs w:val="24"/>
        </w:rPr>
        <w:t>Beyond its role in protein metabolism, threonine is also involved in lipid metabolism, where it regulates lipogenesis and lipid transport within the liver. Studies have shown that optimal dietary threonine levels promote lipid oxidation and reduce triglyceride accumulation, thereby preventing hepatic lipid disorders (Boyd et al., 2019). This function is particularly important in aquaculture species, as excessive fat deposition can impair fish health, reduce feed efficiency, and lower fillet quality (Daley et al., 2015).</w:t>
      </w:r>
      <w:r w:rsidR="009F594F">
        <w:rPr>
          <w:rFonts w:ascii="Times New Roman" w:eastAsia="SimSun" w:hAnsi="Times New Roman" w:cs="Times New Roman"/>
          <w:sz w:val="24"/>
          <w:szCs w:val="24"/>
        </w:rPr>
        <w:t xml:space="preserve"> </w:t>
      </w:r>
      <w:r w:rsidRPr="000E5994">
        <w:rPr>
          <w:rFonts w:ascii="Times New Roman" w:hAnsi="Times New Roman" w:cs="Times New Roman"/>
          <w:sz w:val="24"/>
          <w:szCs w:val="24"/>
        </w:rPr>
        <w:t>Threonine serves dual functions as both a glycogenic and ketogenic amino acid. It plays a central role in the formation of several metabolic intermediates and acts as a precursor for the non-essential amino</w:t>
      </w:r>
      <w:r>
        <w:rPr>
          <w:rFonts w:ascii="Times New Roman" w:hAnsi="Times New Roman" w:cs="Times New Roman"/>
          <w:sz w:val="24"/>
          <w:szCs w:val="24"/>
        </w:rPr>
        <w:t>-</w:t>
      </w:r>
      <w:r w:rsidRPr="000E5994">
        <w:rPr>
          <w:rFonts w:ascii="Times New Roman" w:hAnsi="Times New Roman" w:cs="Times New Roman"/>
          <w:sz w:val="24"/>
          <w:szCs w:val="24"/>
        </w:rPr>
        <w:t>acids glycine and serine (Lehninger, 2007). Dietary supplementation of threonine has been shown to significantly enhance fish growth, as it is essential for protein synthesis and serves as a key limiting factor in the production of mucin and immunoglobulins—both synthesized in substantial amounts within the digestive tract (Silva et al., 2006). Threonine is particularly critical for fish maintained on low-protein diets, contributing to various physiological and biochemical processes, as demonstrated in previous studies (Abidi and Khan, 2008; Bodin et al., 2008; Gao et al., 2014; Habte-Tsion et al., 2015; Farhat, 2016).</w:t>
      </w:r>
      <w:r>
        <w:rPr>
          <w:rFonts w:ascii="Times New Roman" w:hAnsi="Times New Roman" w:cs="Times New Roman"/>
          <w:sz w:val="24"/>
          <w:szCs w:val="24"/>
        </w:rPr>
        <w:t xml:space="preserve"> </w:t>
      </w:r>
      <w:r w:rsidR="004C3C06" w:rsidRPr="003100DC">
        <w:rPr>
          <w:rFonts w:ascii="Times New Roman" w:eastAsia="SimSun" w:hAnsi="Times New Roman" w:cs="Times New Roman"/>
          <w:sz w:val="24"/>
          <w:szCs w:val="24"/>
        </w:rPr>
        <w:t xml:space="preserve">Thr is essential for </w:t>
      </w:r>
      <w:r w:rsidR="004C3C06" w:rsidRPr="003100DC">
        <w:rPr>
          <w:rStyle w:val="Strong"/>
          <w:rFonts w:ascii="Times New Roman" w:eastAsia="SimSun" w:hAnsi="Times New Roman" w:cs="Times New Roman"/>
          <w:b w:val="0"/>
          <w:bCs w:val="0"/>
          <w:sz w:val="24"/>
          <w:szCs w:val="24"/>
        </w:rPr>
        <w:t>mucin production</w:t>
      </w:r>
      <w:r w:rsidR="004C3C06" w:rsidRPr="003100DC">
        <w:rPr>
          <w:rFonts w:ascii="Times New Roman" w:eastAsia="SimSun" w:hAnsi="Times New Roman" w:cs="Times New Roman"/>
          <w:sz w:val="24"/>
          <w:szCs w:val="24"/>
        </w:rPr>
        <w:t>, a critical component of intestinal mucus that protects the gut lining. A study on grass carp (</w:t>
      </w:r>
      <w:r w:rsidR="004C3C06" w:rsidRPr="003100DC">
        <w:rPr>
          <w:rFonts w:ascii="Times New Roman" w:eastAsia="SimSun" w:hAnsi="Times New Roman" w:cs="Times New Roman"/>
          <w:i/>
          <w:iCs/>
          <w:sz w:val="24"/>
          <w:szCs w:val="24"/>
        </w:rPr>
        <w:t>Ctenopharyngodon idella</w:t>
      </w:r>
      <w:r w:rsidR="004C3C06" w:rsidRPr="003100DC">
        <w:rPr>
          <w:rFonts w:ascii="Times New Roman" w:eastAsia="SimSun" w:hAnsi="Times New Roman" w:cs="Times New Roman"/>
          <w:sz w:val="24"/>
          <w:szCs w:val="24"/>
        </w:rPr>
        <w:t xml:space="preserve">) showed that dietary threonine improved the </w:t>
      </w:r>
      <w:r w:rsidR="004C3C06" w:rsidRPr="003100DC">
        <w:rPr>
          <w:rStyle w:val="Strong"/>
          <w:rFonts w:ascii="Times New Roman" w:eastAsia="SimSun" w:hAnsi="Times New Roman" w:cs="Times New Roman"/>
          <w:b w:val="0"/>
          <w:bCs w:val="0"/>
          <w:sz w:val="24"/>
          <w:szCs w:val="24"/>
        </w:rPr>
        <w:t>intestinal health index, villus height, and goblet cell numbers</w:t>
      </w:r>
      <w:r w:rsidR="004C3C06" w:rsidRPr="003100DC">
        <w:rPr>
          <w:rFonts w:ascii="Times New Roman" w:eastAsia="SimSun" w:hAnsi="Times New Roman" w:cs="Times New Roman"/>
          <w:sz w:val="24"/>
          <w:szCs w:val="24"/>
        </w:rPr>
        <w:t xml:space="preserve">, leading to better nutrient absorption and disease resistance (Hong et al., 2015). Additionally, it modulates the </w:t>
      </w:r>
      <w:r w:rsidR="004C3C06" w:rsidRPr="003100DC">
        <w:rPr>
          <w:rStyle w:val="Strong"/>
          <w:rFonts w:ascii="Times New Roman" w:eastAsia="SimSun" w:hAnsi="Times New Roman" w:cs="Times New Roman"/>
          <w:b w:val="0"/>
          <w:bCs w:val="0"/>
          <w:sz w:val="24"/>
          <w:szCs w:val="24"/>
        </w:rPr>
        <w:t>intestinal microbiota</w:t>
      </w:r>
      <w:r w:rsidR="004C3C06" w:rsidRPr="003100DC">
        <w:rPr>
          <w:rFonts w:ascii="Times New Roman" w:eastAsia="SimSun" w:hAnsi="Times New Roman" w:cs="Times New Roman"/>
          <w:sz w:val="24"/>
          <w:szCs w:val="24"/>
        </w:rPr>
        <w:t>, reducing inflammation and enhancing digestive efficiency (Liu et al., 2020).</w:t>
      </w:r>
      <w:r w:rsidR="009F594F">
        <w:rPr>
          <w:rFonts w:ascii="Times New Roman" w:eastAsia="SimSun" w:hAnsi="Times New Roman" w:cs="Times New Roman"/>
          <w:sz w:val="24"/>
          <w:szCs w:val="24"/>
        </w:rPr>
        <w:t xml:space="preserve"> </w:t>
      </w:r>
      <w:r w:rsidR="004C3C06" w:rsidRPr="003100DC">
        <w:rPr>
          <w:rFonts w:ascii="Times New Roman" w:hAnsi="Times New Roman" w:cs="Times New Roman"/>
          <w:sz w:val="24"/>
          <w:szCs w:val="24"/>
        </w:rPr>
        <w:t>Dietary threonine has been observed to regulate the expression of the TOR (target of rapamycin) and 4E-BP2 genes in the intestinal region, as reported by (Habte-Tsion et al. in 2015). The TOR signalling pathway is known to play a pivotal role in controlling protein formation, as highlighted in the work of (Feng et al., 2013), and the 4E-BPs are significant TOR protein's downstream signalling targets, as described by Schmelzle and Hall in 2000.This observation could offer additional understanding as to why dietary supplementation with threonine leads to improvement in growth rate and increased protein accumulation in these fish, as found in the study by Habte-Tsion et al. in 2015.</w:t>
      </w:r>
      <w:r w:rsidR="009F594F">
        <w:rPr>
          <w:rFonts w:ascii="Times New Roman" w:eastAsia="SimSun" w:hAnsi="Times New Roman" w:cs="Times New Roman"/>
          <w:sz w:val="24"/>
          <w:szCs w:val="24"/>
        </w:rPr>
        <w:t xml:space="preserve"> </w:t>
      </w:r>
      <w:r w:rsidR="004C3C06" w:rsidRPr="003100DC">
        <w:rPr>
          <w:rFonts w:ascii="Times New Roman" w:hAnsi="Times New Roman" w:cs="Times New Roman"/>
          <w:sz w:val="24"/>
          <w:szCs w:val="24"/>
        </w:rPr>
        <w:t>Including threonine in the diet has been shown to enhance the functions of trypsin, lipase, and alpha-amylase in the liver and pancreas, as seen in larval stages of Jian carp (</w:t>
      </w:r>
      <w:r w:rsidR="004C3C06" w:rsidRPr="003100DC">
        <w:rPr>
          <w:rFonts w:ascii="Times New Roman" w:hAnsi="Times New Roman" w:cs="Times New Roman"/>
          <w:i/>
          <w:iCs/>
          <w:sz w:val="24"/>
          <w:szCs w:val="24"/>
        </w:rPr>
        <w:t>Cyprinus carpio var. Jian</w:t>
      </w:r>
      <w:r w:rsidR="004C3C06" w:rsidRPr="003100DC">
        <w:rPr>
          <w:rFonts w:ascii="Times New Roman" w:hAnsi="Times New Roman" w:cs="Times New Roman"/>
          <w:sz w:val="24"/>
          <w:szCs w:val="24"/>
        </w:rPr>
        <w:t xml:space="preserve">). Additionally, it improves the intestinal enzymes activities associated with assimilation, such as alkaline phosphatase (AP), γ-glutamyl transpeptidase (γGT), and Na+/K+-ATPase (Feng et al., 2013). Thr serves not only as a crucial component of mucin in the gastrointestinal tract but at the same </w:t>
      </w:r>
      <w:r w:rsidR="004C3C06" w:rsidRPr="003100DC">
        <w:rPr>
          <w:rFonts w:ascii="Times New Roman" w:hAnsi="Times New Roman" w:cs="Times New Roman"/>
          <w:sz w:val="24"/>
          <w:szCs w:val="24"/>
        </w:rPr>
        <w:lastRenderedPageBreak/>
        <w:t xml:space="preserve">time functions as a dietary regulator which modulates the intestinal immune system through intricate transmission pathways, notably the mitogen-activated protein kinase (MAPK) pathway. Furthermore, it is deemed an essential factor for cellular growth and expansion. Thus, optimizing the threonine requirement can positively influence health and disease-related factors in animals. </w:t>
      </w:r>
      <w:r w:rsidRPr="000E5994">
        <w:rPr>
          <w:rFonts w:ascii="Times New Roman" w:hAnsi="Times New Roman" w:cs="Times New Roman"/>
          <w:sz w:val="24"/>
          <w:szCs w:val="24"/>
        </w:rPr>
        <w:t>In fish, threonine is one of the vital amino acids, present in fish protein at relatively high levels, accounting for approximately 4.9% (Ryu, Shin, &amp; Kim, 2021). It plays an essential role in regulating dietary metabolism, supporting macromolecule synthesis, and maintaining intestinal balance. The feeding habits of fish greatly influence their digestive and absorptive capacities. Herbivorous species generally exhibit higher efficiency in starch digestion compared to omnivorous and carnivorous fish. In contrast, carnivorous and omnivorous species possess superior abilities to digest and utilize protein and lipids. Consequently, the dietary requirement and utilization of threonine for digestion and absorption may vary among fish species with different feeding strategies, as illustrated in Figure 2.</w:t>
      </w:r>
    </w:p>
    <w:p w14:paraId="1C473A17" w14:textId="56C7A5A6" w:rsidR="00743102" w:rsidRDefault="009F594F">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8720" behindDoc="1" locked="0" layoutInCell="1" allowOverlap="1" wp14:anchorId="1FB3F937" wp14:editId="442AA9A5">
            <wp:simplePos x="0" y="0"/>
            <wp:positionH relativeFrom="margin">
              <wp:align>left</wp:align>
            </wp:positionH>
            <wp:positionV relativeFrom="paragraph">
              <wp:posOffset>173990</wp:posOffset>
            </wp:positionV>
            <wp:extent cx="5730240" cy="4160520"/>
            <wp:effectExtent l="0" t="0" r="3810" b="0"/>
            <wp:wrapNone/>
            <wp:docPr id="177079752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0240" cy="4160520"/>
                    </a:xfrm>
                    <a:prstGeom prst="rect">
                      <a:avLst/>
                    </a:prstGeom>
                    <a:noFill/>
                  </pic:spPr>
                </pic:pic>
              </a:graphicData>
            </a:graphic>
            <wp14:sizeRelH relativeFrom="margin">
              <wp14:pctWidth>0</wp14:pctWidth>
            </wp14:sizeRelH>
            <wp14:sizeRelV relativeFrom="margin">
              <wp14:pctHeight>0</wp14:pctHeight>
            </wp14:sizeRelV>
          </wp:anchor>
        </w:drawing>
      </w:r>
    </w:p>
    <w:p w14:paraId="738C544D" w14:textId="0B19F999" w:rsidR="00743102" w:rsidRDefault="00743102">
      <w:pPr>
        <w:spacing w:line="360" w:lineRule="auto"/>
        <w:jc w:val="both"/>
        <w:rPr>
          <w:rFonts w:ascii="Times New Roman" w:hAnsi="Times New Roman" w:cs="Times New Roman"/>
          <w:sz w:val="24"/>
          <w:szCs w:val="24"/>
        </w:rPr>
      </w:pPr>
    </w:p>
    <w:p w14:paraId="698B06E8" w14:textId="77777777" w:rsidR="00743102" w:rsidRDefault="00743102">
      <w:pPr>
        <w:spacing w:line="360" w:lineRule="auto"/>
        <w:jc w:val="both"/>
        <w:rPr>
          <w:rFonts w:ascii="Times New Roman" w:hAnsi="Times New Roman" w:cs="Times New Roman"/>
          <w:sz w:val="24"/>
          <w:szCs w:val="24"/>
        </w:rPr>
      </w:pPr>
    </w:p>
    <w:p w14:paraId="1594D2B8" w14:textId="77777777" w:rsidR="00743102" w:rsidRDefault="00743102">
      <w:pPr>
        <w:spacing w:line="360" w:lineRule="auto"/>
        <w:jc w:val="both"/>
        <w:rPr>
          <w:rFonts w:ascii="Times New Roman" w:hAnsi="Times New Roman" w:cs="Times New Roman"/>
          <w:sz w:val="24"/>
          <w:szCs w:val="24"/>
        </w:rPr>
      </w:pPr>
    </w:p>
    <w:p w14:paraId="0964878E" w14:textId="77777777" w:rsidR="00743102" w:rsidRDefault="00743102">
      <w:pPr>
        <w:spacing w:line="360" w:lineRule="auto"/>
        <w:jc w:val="both"/>
        <w:rPr>
          <w:rFonts w:ascii="Times New Roman" w:hAnsi="Times New Roman" w:cs="Times New Roman"/>
          <w:sz w:val="24"/>
          <w:szCs w:val="24"/>
        </w:rPr>
      </w:pPr>
    </w:p>
    <w:p w14:paraId="70B11A97" w14:textId="77777777" w:rsidR="00743102" w:rsidRDefault="00743102">
      <w:pPr>
        <w:spacing w:line="360" w:lineRule="auto"/>
        <w:jc w:val="both"/>
        <w:rPr>
          <w:rFonts w:ascii="Times New Roman" w:hAnsi="Times New Roman" w:cs="Times New Roman"/>
          <w:sz w:val="24"/>
          <w:szCs w:val="24"/>
        </w:rPr>
      </w:pPr>
    </w:p>
    <w:p w14:paraId="5556020C" w14:textId="77777777" w:rsidR="00743102" w:rsidRDefault="00743102">
      <w:pPr>
        <w:spacing w:line="360" w:lineRule="auto"/>
        <w:jc w:val="both"/>
        <w:rPr>
          <w:rFonts w:ascii="Times New Roman" w:hAnsi="Times New Roman" w:cs="Times New Roman"/>
          <w:sz w:val="24"/>
          <w:szCs w:val="24"/>
        </w:rPr>
      </w:pPr>
    </w:p>
    <w:p w14:paraId="5F99757A" w14:textId="77777777" w:rsidR="00743102" w:rsidRDefault="00743102">
      <w:pPr>
        <w:spacing w:line="360" w:lineRule="auto"/>
        <w:jc w:val="both"/>
        <w:rPr>
          <w:rFonts w:ascii="Times New Roman" w:hAnsi="Times New Roman" w:cs="Times New Roman"/>
          <w:sz w:val="24"/>
          <w:szCs w:val="24"/>
        </w:rPr>
      </w:pPr>
    </w:p>
    <w:p w14:paraId="1D3CB179" w14:textId="6BA6C628" w:rsidR="00743102" w:rsidRDefault="00743102">
      <w:pPr>
        <w:spacing w:line="360" w:lineRule="auto"/>
        <w:jc w:val="both"/>
        <w:rPr>
          <w:rFonts w:ascii="Times New Roman" w:hAnsi="Times New Roman" w:cs="Times New Roman"/>
          <w:sz w:val="24"/>
          <w:szCs w:val="24"/>
        </w:rPr>
      </w:pPr>
    </w:p>
    <w:p w14:paraId="3C7134DE" w14:textId="6BFF3580" w:rsidR="00743102" w:rsidRDefault="00743102">
      <w:pPr>
        <w:spacing w:line="360" w:lineRule="auto"/>
        <w:jc w:val="both"/>
        <w:rPr>
          <w:rFonts w:ascii="Times New Roman" w:hAnsi="Times New Roman" w:cs="Times New Roman"/>
          <w:sz w:val="24"/>
          <w:szCs w:val="24"/>
        </w:rPr>
      </w:pPr>
    </w:p>
    <w:p w14:paraId="5E05EE2E" w14:textId="454E0224" w:rsidR="00743102" w:rsidRDefault="00743102">
      <w:pPr>
        <w:spacing w:line="360" w:lineRule="auto"/>
        <w:jc w:val="both"/>
        <w:rPr>
          <w:rFonts w:ascii="Times New Roman" w:hAnsi="Times New Roman" w:cs="Times New Roman"/>
          <w:sz w:val="24"/>
          <w:szCs w:val="24"/>
        </w:rPr>
      </w:pPr>
    </w:p>
    <w:p w14:paraId="6C9EBC80" w14:textId="77777777" w:rsidR="009F594F" w:rsidRDefault="009F594F">
      <w:pPr>
        <w:spacing w:line="360" w:lineRule="auto"/>
        <w:jc w:val="both"/>
        <w:rPr>
          <w:rFonts w:ascii="Times New Roman" w:hAnsi="Times New Roman" w:cs="Times New Roman"/>
          <w:sz w:val="24"/>
          <w:szCs w:val="24"/>
        </w:rPr>
      </w:pPr>
    </w:p>
    <w:p w14:paraId="2A991CE4" w14:textId="6CE35A9B" w:rsidR="00743102" w:rsidRDefault="004C3C06" w:rsidP="009F594F">
      <w:pPr>
        <w:spacing w:line="360" w:lineRule="auto"/>
        <w:jc w:val="center"/>
        <w:rPr>
          <w:rFonts w:ascii="Times New Roman" w:hAnsi="Times New Roman" w:cs="Times New Roman"/>
          <w:sz w:val="24"/>
          <w:szCs w:val="24"/>
        </w:rPr>
      </w:pPr>
      <w:r>
        <w:rPr>
          <w:rFonts w:ascii="Times New Roman" w:hAnsi="Times New Roman" w:cs="Times New Roman"/>
          <w:sz w:val="24"/>
          <w:szCs w:val="24"/>
        </w:rPr>
        <w:t>Figure. 2: Functions of Threonine (Physiological and Nutritional)</w:t>
      </w:r>
    </w:p>
    <w:p w14:paraId="4EF6170B" w14:textId="77777777" w:rsidR="00743102" w:rsidRDefault="00743102">
      <w:pPr>
        <w:spacing w:line="360" w:lineRule="auto"/>
        <w:jc w:val="both"/>
        <w:rPr>
          <w:rFonts w:ascii="Times New Roman" w:hAnsi="Times New Roman" w:cs="Times New Roman"/>
          <w:sz w:val="24"/>
          <w:szCs w:val="24"/>
        </w:rPr>
      </w:pPr>
    </w:p>
    <w:p w14:paraId="07F61D4D" w14:textId="77777777" w:rsidR="00F8397F" w:rsidRDefault="00F8397F">
      <w:pPr>
        <w:spacing w:line="360" w:lineRule="auto"/>
        <w:jc w:val="both"/>
        <w:rPr>
          <w:rFonts w:ascii="Times New Roman" w:hAnsi="Times New Roman" w:cs="Times New Roman"/>
          <w:sz w:val="24"/>
          <w:szCs w:val="24"/>
        </w:rPr>
      </w:pPr>
    </w:p>
    <w:p w14:paraId="42BC0506" w14:textId="7FB1D6BD" w:rsidR="008C321B" w:rsidRPr="003100DC" w:rsidRDefault="00C268F2">
      <w:pPr>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lastRenderedPageBreak/>
        <w:t xml:space="preserve">TABLE </w:t>
      </w:r>
      <w:r w:rsidR="008A1573">
        <w:rPr>
          <w:rFonts w:ascii="Times New Roman" w:eastAsia="SimSun" w:hAnsi="Times New Roman" w:cs="Times New Roman"/>
          <w:b/>
          <w:bCs/>
          <w:sz w:val="24"/>
          <w:szCs w:val="24"/>
        </w:rPr>
        <w:t xml:space="preserve">2. </w:t>
      </w:r>
      <w:r w:rsidR="004C3C06" w:rsidRPr="003100DC">
        <w:rPr>
          <w:rFonts w:ascii="Times New Roman" w:eastAsia="SimSun" w:hAnsi="Times New Roman" w:cs="Times New Roman"/>
          <w:b/>
          <w:bCs/>
          <w:sz w:val="24"/>
          <w:szCs w:val="24"/>
        </w:rPr>
        <w:t>Nutritional Disorders of Threonine deficiency</w:t>
      </w:r>
    </w:p>
    <w:tbl>
      <w:tblPr>
        <w:tblStyle w:val="TableGrid"/>
        <w:tblW w:w="0" w:type="auto"/>
        <w:tblLook w:val="04A0" w:firstRow="1" w:lastRow="0" w:firstColumn="1" w:lastColumn="0" w:noHBand="0" w:noVBand="1"/>
      </w:tblPr>
      <w:tblGrid>
        <w:gridCol w:w="3030"/>
        <w:gridCol w:w="2998"/>
        <w:gridCol w:w="2988"/>
      </w:tblGrid>
      <w:tr w:rsidR="003100DC" w:rsidRPr="003100DC" w14:paraId="09A6F521" w14:textId="77777777" w:rsidTr="009F594F">
        <w:tc>
          <w:tcPr>
            <w:tcW w:w="3030" w:type="dxa"/>
          </w:tcPr>
          <w:p w14:paraId="6B928B87" w14:textId="77777777" w:rsidR="00743102" w:rsidRPr="003100DC" w:rsidRDefault="004C3C06">
            <w:pPr>
              <w:pStyle w:val="ListParagraph"/>
              <w:spacing w:line="360" w:lineRule="auto"/>
              <w:ind w:left="0"/>
              <w:jc w:val="both"/>
              <w:rPr>
                <w:rFonts w:ascii="Times New Roman" w:hAnsi="Times New Roman" w:cs="Times New Roman"/>
                <w:b/>
                <w:bCs/>
                <w:sz w:val="24"/>
                <w:szCs w:val="24"/>
              </w:rPr>
            </w:pPr>
            <w:r w:rsidRPr="003100DC">
              <w:rPr>
                <w:rFonts w:ascii="Times New Roman" w:eastAsia="SimSun" w:hAnsi="Times New Roman" w:cs="Times New Roman"/>
                <w:b/>
                <w:bCs/>
                <w:sz w:val="24"/>
                <w:szCs w:val="24"/>
              </w:rPr>
              <w:t>Deficiency Effect</w:t>
            </w:r>
          </w:p>
        </w:tc>
        <w:tc>
          <w:tcPr>
            <w:tcW w:w="2998" w:type="dxa"/>
          </w:tcPr>
          <w:p w14:paraId="6FFFA197" w14:textId="77777777" w:rsidR="00743102" w:rsidRPr="003100DC" w:rsidRDefault="004C3C06">
            <w:pPr>
              <w:pStyle w:val="ListParagraph"/>
              <w:spacing w:line="360" w:lineRule="auto"/>
              <w:ind w:left="0"/>
              <w:jc w:val="both"/>
              <w:rPr>
                <w:rFonts w:ascii="Times New Roman" w:hAnsi="Times New Roman" w:cs="Times New Roman"/>
                <w:b/>
                <w:bCs/>
                <w:sz w:val="24"/>
                <w:szCs w:val="24"/>
              </w:rPr>
            </w:pPr>
            <w:r w:rsidRPr="003100DC">
              <w:rPr>
                <w:rFonts w:ascii="Times New Roman" w:eastAsia="SimSun" w:hAnsi="Times New Roman" w:cs="Times New Roman"/>
                <w:b/>
                <w:bCs/>
                <w:sz w:val="24"/>
                <w:szCs w:val="24"/>
              </w:rPr>
              <w:t>Fish Species</w:t>
            </w:r>
          </w:p>
        </w:tc>
        <w:tc>
          <w:tcPr>
            <w:tcW w:w="2988" w:type="dxa"/>
          </w:tcPr>
          <w:p w14:paraId="3CE71F42" w14:textId="77777777" w:rsidR="00743102" w:rsidRPr="003100DC" w:rsidRDefault="004C3C06">
            <w:pPr>
              <w:pStyle w:val="ListParagraph"/>
              <w:spacing w:line="360" w:lineRule="auto"/>
              <w:ind w:left="0"/>
              <w:jc w:val="both"/>
              <w:rPr>
                <w:rFonts w:ascii="Times New Roman" w:hAnsi="Times New Roman" w:cs="Times New Roman"/>
                <w:b/>
                <w:bCs/>
                <w:sz w:val="24"/>
                <w:szCs w:val="24"/>
              </w:rPr>
            </w:pPr>
            <w:r w:rsidRPr="003100DC">
              <w:rPr>
                <w:rFonts w:ascii="Times New Roman" w:eastAsia="SimSun" w:hAnsi="Times New Roman" w:cs="Times New Roman"/>
                <w:b/>
                <w:bCs/>
                <w:sz w:val="24"/>
                <w:szCs w:val="24"/>
              </w:rPr>
              <w:t>Reference</w:t>
            </w:r>
          </w:p>
        </w:tc>
      </w:tr>
      <w:tr w:rsidR="003100DC" w:rsidRPr="003100DC" w14:paraId="439CD2C3" w14:textId="77777777" w:rsidTr="009F594F">
        <w:tc>
          <w:tcPr>
            <w:tcW w:w="3030" w:type="dxa"/>
            <w:vAlign w:val="center"/>
          </w:tcPr>
          <w:p w14:paraId="6516B7C5" w14:textId="77777777" w:rsidR="00743102" w:rsidRPr="000E5994" w:rsidRDefault="004C3C06" w:rsidP="000E5994">
            <w:pPr>
              <w:pStyle w:val="ListParagraph"/>
              <w:spacing w:line="360" w:lineRule="auto"/>
              <w:ind w:left="0"/>
              <w:jc w:val="center"/>
              <w:rPr>
                <w:rFonts w:ascii="Times New Roman" w:hAnsi="Times New Roman" w:cs="Times New Roman"/>
              </w:rPr>
            </w:pPr>
            <w:r w:rsidRPr="000E5994">
              <w:rPr>
                <w:rFonts w:ascii="Times New Roman" w:eastAsia="SimSun" w:hAnsi="Times New Roman" w:cs="Times New Roman"/>
              </w:rPr>
              <w:t>Suboptimal growth and inefficient feed conversion</w:t>
            </w:r>
          </w:p>
        </w:tc>
        <w:tc>
          <w:tcPr>
            <w:tcW w:w="2998" w:type="dxa"/>
            <w:vAlign w:val="center"/>
          </w:tcPr>
          <w:p w14:paraId="3394F707" w14:textId="77777777" w:rsidR="00743102" w:rsidRPr="000E5994" w:rsidRDefault="004C3C06" w:rsidP="000E5994">
            <w:pPr>
              <w:pStyle w:val="ListParagraph"/>
              <w:spacing w:line="360" w:lineRule="auto"/>
              <w:ind w:left="0"/>
              <w:jc w:val="center"/>
              <w:rPr>
                <w:rFonts w:ascii="Times New Roman" w:hAnsi="Times New Roman" w:cs="Times New Roman"/>
              </w:rPr>
            </w:pPr>
            <w:r w:rsidRPr="000E5994">
              <w:rPr>
                <w:rFonts w:ascii="Times New Roman" w:eastAsia="SimSun" w:hAnsi="Times New Roman" w:cs="Times New Roman"/>
              </w:rPr>
              <w:t>Juvenile Japanese flounder (Paralichthys olivaceus)</w:t>
            </w:r>
          </w:p>
        </w:tc>
        <w:tc>
          <w:tcPr>
            <w:tcW w:w="2988" w:type="dxa"/>
            <w:vAlign w:val="center"/>
          </w:tcPr>
          <w:p w14:paraId="74D5A80C" w14:textId="77777777" w:rsidR="00743102" w:rsidRPr="000E5994" w:rsidRDefault="004C3C06" w:rsidP="000E5994">
            <w:pPr>
              <w:pStyle w:val="ListParagraph"/>
              <w:spacing w:line="360" w:lineRule="auto"/>
              <w:ind w:left="0"/>
              <w:jc w:val="center"/>
              <w:rPr>
                <w:rFonts w:ascii="Times New Roman" w:hAnsi="Times New Roman" w:cs="Times New Roman"/>
              </w:rPr>
            </w:pPr>
            <w:r w:rsidRPr="000E5994">
              <w:rPr>
                <w:rFonts w:ascii="Times New Roman" w:eastAsia="SimSun" w:hAnsi="Times New Roman" w:cs="Times New Roman"/>
              </w:rPr>
              <w:t>Alam et al., 2003</w:t>
            </w:r>
          </w:p>
        </w:tc>
      </w:tr>
      <w:tr w:rsidR="003100DC" w:rsidRPr="003100DC" w14:paraId="2B21A75A" w14:textId="77777777" w:rsidTr="009F594F">
        <w:tc>
          <w:tcPr>
            <w:tcW w:w="3030" w:type="dxa"/>
            <w:vAlign w:val="center"/>
          </w:tcPr>
          <w:p w14:paraId="724E6D29" w14:textId="77777777" w:rsidR="00743102" w:rsidRPr="000E5994" w:rsidRDefault="004C3C06" w:rsidP="000E5994">
            <w:pPr>
              <w:pStyle w:val="ListParagraph"/>
              <w:spacing w:line="360" w:lineRule="auto"/>
              <w:ind w:left="0"/>
              <w:jc w:val="center"/>
              <w:rPr>
                <w:rFonts w:ascii="Times New Roman" w:hAnsi="Times New Roman" w:cs="Times New Roman"/>
              </w:rPr>
            </w:pPr>
            <w:r w:rsidRPr="000E5994">
              <w:rPr>
                <w:rFonts w:ascii="Times New Roman" w:eastAsia="SimSun" w:hAnsi="Times New Roman" w:cs="Times New Roman"/>
              </w:rPr>
              <w:t>Reduced weight gain due to inadequate/excessive dietary threonine</w:t>
            </w:r>
          </w:p>
        </w:tc>
        <w:tc>
          <w:tcPr>
            <w:tcW w:w="2998" w:type="dxa"/>
            <w:vAlign w:val="center"/>
          </w:tcPr>
          <w:p w14:paraId="45BEB46E" w14:textId="77777777" w:rsidR="00743102" w:rsidRPr="000E5994" w:rsidRDefault="004C3C06" w:rsidP="000E5994">
            <w:pPr>
              <w:pStyle w:val="ListParagraph"/>
              <w:spacing w:line="360" w:lineRule="auto"/>
              <w:ind w:left="0"/>
              <w:jc w:val="center"/>
              <w:rPr>
                <w:rFonts w:ascii="Times New Roman" w:hAnsi="Times New Roman" w:cs="Times New Roman"/>
              </w:rPr>
            </w:pPr>
            <w:r w:rsidRPr="000E5994">
              <w:rPr>
                <w:rFonts w:ascii="Times New Roman" w:eastAsia="SimSun" w:hAnsi="Times New Roman" w:cs="Times New Roman"/>
              </w:rPr>
              <w:t>Blunt snout bream</w:t>
            </w:r>
          </w:p>
        </w:tc>
        <w:tc>
          <w:tcPr>
            <w:tcW w:w="2988" w:type="dxa"/>
            <w:vAlign w:val="center"/>
          </w:tcPr>
          <w:p w14:paraId="401CC796" w14:textId="77777777" w:rsidR="00743102" w:rsidRPr="000E5994" w:rsidRDefault="004C3C06" w:rsidP="000E5994">
            <w:pPr>
              <w:pStyle w:val="ListParagraph"/>
              <w:spacing w:line="360" w:lineRule="auto"/>
              <w:ind w:left="0"/>
              <w:jc w:val="center"/>
              <w:rPr>
                <w:rFonts w:ascii="Times New Roman" w:hAnsi="Times New Roman" w:cs="Times New Roman"/>
              </w:rPr>
            </w:pPr>
            <w:r w:rsidRPr="000E5994">
              <w:rPr>
                <w:rFonts w:ascii="Times New Roman" w:eastAsia="SimSun" w:hAnsi="Times New Roman" w:cs="Times New Roman"/>
              </w:rPr>
              <w:t>Tsion et al., 2015</w:t>
            </w:r>
          </w:p>
        </w:tc>
      </w:tr>
      <w:tr w:rsidR="003100DC" w:rsidRPr="003100DC" w14:paraId="303C9A94" w14:textId="77777777" w:rsidTr="009F594F">
        <w:tc>
          <w:tcPr>
            <w:tcW w:w="3030" w:type="dxa"/>
            <w:vAlign w:val="center"/>
          </w:tcPr>
          <w:p w14:paraId="451DE3B7" w14:textId="77777777" w:rsidR="00743102" w:rsidRPr="000E5994" w:rsidRDefault="004C3C06" w:rsidP="000E5994">
            <w:pPr>
              <w:pStyle w:val="ListParagraph"/>
              <w:spacing w:line="360" w:lineRule="auto"/>
              <w:ind w:left="0"/>
              <w:jc w:val="center"/>
              <w:rPr>
                <w:rFonts w:ascii="Times New Roman" w:hAnsi="Times New Roman" w:cs="Times New Roman"/>
              </w:rPr>
            </w:pPr>
            <w:r w:rsidRPr="000E5994">
              <w:rPr>
                <w:rFonts w:ascii="Times New Roman" w:eastAsia="SimSun" w:hAnsi="Times New Roman" w:cs="Times New Roman"/>
              </w:rPr>
              <w:t>Reduced protein deposition</w:t>
            </w:r>
          </w:p>
        </w:tc>
        <w:tc>
          <w:tcPr>
            <w:tcW w:w="2998" w:type="dxa"/>
            <w:vAlign w:val="center"/>
          </w:tcPr>
          <w:p w14:paraId="26B5A9EA" w14:textId="77777777" w:rsidR="00743102" w:rsidRPr="000E5994" w:rsidRDefault="004C3C06" w:rsidP="000E5994">
            <w:pPr>
              <w:pStyle w:val="ListParagraph"/>
              <w:spacing w:line="360" w:lineRule="auto"/>
              <w:ind w:left="0"/>
              <w:jc w:val="center"/>
              <w:rPr>
                <w:rFonts w:ascii="Times New Roman" w:hAnsi="Times New Roman" w:cs="Times New Roman"/>
              </w:rPr>
            </w:pPr>
            <w:r w:rsidRPr="000E5994">
              <w:rPr>
                <w:rFonts w:ascii="Times New Roman" w:eastAsia="SimSun" w:hAnsi="Times New Roman" w:cs="Times New Roman"/>
              </w:rPr>
              <w:t>Young Indian major carp (Cirrhinus mrigala)</w:t>
            </w:r>
          </w:p>
        </w:tc>
        <w:tc>
          <w:tcPr>
            <w:tcW w:w="2988" w:type="dxa"/>
            <w:vAlign w:val="center"/>
          </w:tcPr>
          <w:p w14:paraId="224445F5" w14:textId="77777777" w:rsidR="00743102" w:rsidRPr="000E5994" w:rsidRDefault="004C3C06" w:rsidP="000E5994">
            <w:pPr>
              <w:pStyle w:val="ListParagraph"/>
              <w:spacing w:line="360" w:lineRule="auto"/>
              <w:ind w:left="0"/>
              <w:jc w:val="center"/>
              <w:rPr>
                <w:rFonts w:ascii="Times New Roman" w:hAnsi="Times New Roman" w:cs="Times New Roman"/>
              </w:rPr>
            </w:pPr>
            <w:r w:rsidRPr="000E5994">
              <w:rPr>
                <w:rFonts w:ascii="Times New Roman" w:eastAsia="SimSun" w:hAnsi="Times New Roman" w:cs="Times New Roman"/>
              </w:rPr>
              <w:t>Ahmed et al., 2004</w:t>
            </w:r>
          </w:p>
        </w:tc>
      </w:tr>
      <w:tr w:rsidR="003100DC" w:rsidRPr="003100DC" w14:paraId="4B00BD40" w14:textId="77777777" w:rsidTr="009F594F">
        <w:tc>
          <w:tcPr>
            <w:tcW w:w="3030" w:type="dxa"/>
            <w:vAlign w:val="center"/>
          </w:tcPr>
          <w:p w14:paraId="2002D9B0" w14:textId="77777777" w:rsidR="00743102" w:rsidRPr="000E5994" w:rsidRDefault="004C3C06" w:rsidP="000E5994">
            <w:pPr>
              <w:pStyle w:val="ListParagraph"/>
              <w:spacing w:line="360" w:lineRule="auto"/>
              <w:ind w:left="0"/>
              <w:jc w:val="center"/>
              <w:rPr>
                <w:rFonts w:ascii="Times New Roman" w:hAnsi="Times New Roman" w:cs="Times New Roman"/>
              </w:rPr>
            </w:pPr>
            <w:r w:rsidRPr="000E5994">
              <w:rPr>
                <w:rFonts w:ascii="Times New Roman" w:eastAsia="SimSun" w:hAnsi="Times New Roman" w:cs="Times New Roman"/>
              </w:rPr>
              <w:t>Elevated PAC (Protein Amino Acid Content) and reduced GPT and GOT enzyme activity in hepatopancreas and muscle</w:t>
            </w:r>
          </w:p>
        </w:tc>
        <w:tc>
          <w:tcPr>
            <w:tcW w:w="2998" w:type="dxa"/>
            <w:vAlign w:val="center"/>
          </w:tcPr>
          <w:p w14:paraId="2865F813" w14:textId="77777777" w:rsidR="00743102" w:rsidRPr="000E5994" w:rsidRDefault="004C3C06" w:rsidP="000E5994">
            <w:pPr>
              <w:pStyle w:val="ListParagraph"/>
              <w:spacing w:line="360" w:lineRule="auto"/>
              <w:ind w:left="0"/>
              <w:jc w:val="center"/>
              <w:rPr>
                <w:rFonts w:ascii="Times New Roman" w:hAnsi="Times New Roman" w:cs="Times New Roman"/>
              </w:rPr>
            </w:pPr>
            <w:r w:rsidRPr="000E5994">
              <w:rPr>
                <w:rFonts w:ascii="Times New Roman" w:eastAsia="SimSun" w:hAnsi="Times New Roman" w:cs="Times New Roman"/>
              </w:rPr>
              <w:t>Juvenile grass carp</w:t>
            </w:r>
          </w:p>
        </w:tc>
        <w:tc>
          <w:tcPr>
            <w:tcW w:w="2988" w:type="dxa"/>
            <w:vAlign w:val="center"/>
          </w:tcPr>
          <w:p w14:paraId="6AEAC126" w14:textId="486EB13E" w:rsidR="00743102" w:rsidRPr="000E5994" w:rsidRDefault="004C3C06" w:rsidP="000E5994">
            <w:pPr>
              <w:pStyle w:val="ListParagraph"/>
              <w:spacing w:line="360" w:lineRule="auto"/>
              <w:ind w:left="0"/>
              <w:jc w:val="center"/>
              <w:rPr>
                <w:rFonts w:ascii="Times New Roman" w:hAnsi="Times New Roman" w:cs="Times New Roman"/>
              </w:rPr>
            </w:pPr>
            <w:r w:rsidRPr="000E5994">
              <w:rPr>
                <w:rFonts w:ascii="Times New Roman" w:hAnsi="Times New Roman" w:cs="Times New Roman"/>
              </w:rPr>
              <w:t>Wen et al., 2023</w:t>
            </w:r>
          </w:p>
        </w:tc>
      </w:tr>
      <w:tr w:rsidR="003100DC" w:rsidRPr="003100DC" w14:paraId="243E1B07" w14:textId="77777777" w:rsidTr="009F594F">
        <w:tc>
          <w:tcPr>
            <w:tcW w:w="3030" w:type="dxa"/>
            <w:vAlign w:val="center"/>
          </w:tcPr>
          <w:p w14:paraId="76691032" w14:textId="77777777" w:rsidR="00743102" w:rsidRPr="000E5994" w:rsidRDefault="004C3C06" w:rsidP="000E5994">
            <w:pPr>
              <w:pStyle w:val="ListParagraph"/>
              <w:spacing w:line="360" w:lineRule="auto"/>
              <w:ind w:left="0"/>
              <w:jc w:val="center"/>
              <w:rPr>
                <w:rFonts w:ascii="Times New Roman" w:hAnsi="Times New Roman" w:cs="Times New Roman"/>
              </w:rPr>
            </w:pPr>
            <w:r w:rsidRPr="000E5994">
              <w:rPr>
                <w:rFonts w:ascii="Times New Roman" w:eastAsia="SimSun" w:hAnsi="Times New Roman" w:cs="Times New Roman"/>
              </w:rPr>
              <w:t>Impaired intestinal immunity, reducing innate and adaptive immune components</w:t>
            </w:r>
          </w:p>
        </w:tc>
        <w:tc>
          <w:tcPr>
            <w:tcW w:w="2998" w:type="dxa"/>
            <w:vAlign w:val="center"/>
          </w:tcPr>
          <w:p w14:paraId="379F4719" w14:textId="77777777" w:rsidR="00743102" w:rsidRPr="000E5994" w:rsidRDefault="004C3C06" w:rsidP="000E5994">
            <w:pPr>
              <w:pStyle w:val="ListParagraph"/>
              <w:spacing w:line="360" w:lineRule="auto"/>
              <w:ind w:left="0"/>
              <w:jc w:val="center"/>
              <w:rPr>
                <w:rFonts w:ascii="Times New Roman" w:hAnsi="Times New Roman" w:cs="Times New Roman"/>
              </w:rPr>
            </w:pPr>
            <w:r w:rsidRPr="000E5994">
              <w:rPr>
                <w:rFonts w:ascii="Times New Roman" w:eastAsia="SimSun" w:hAnsi="Times New Roman" w:cs="Times New Roman"/>
              </w:rPr>
              <w:t>Juvenile grass carp</w:t>
            </w:r>
          </w:p>
        </w:tc>
        <w:tc>
          <w:tcPr>
            <w:tcW w:w="2988" w:type="dxa"/>
            <w:vAlign w:val="center"/>
          </w:tcPr>
          <w:p w14:paraId="74776A83" w14:textId="77777777" w:rsidR="00743102" w:rsidRPr="000E5994" w:rsidRDefault="004C3C06" w:rsidP="000E5994">
            <w:pPr>
              <w:pStyle w:val="ListParagraph"/>
              <w:spacing w:line="360" w:lineRule="auto"/>
              <w:ind w:left="0"/>
              <w:jc w:val="center"/>
              <w:rPr>
                <w:rFonts w:ascii="Times New Roman" w:hAnsi="Times New Roman" w:cs="Times New Roman"/>
              </w:rPr>
            </w:pPr>
            <w:r w:rsidRPr="000E5994">
              <w:rPr>
                <w:rFonts w:ascii="Times New Roman" w:hAnsi="Times New Roman" w:cs="Times New Roman"/>
              </w:rPr>
              <w:t>Luo et al., 2014</w:t>
            </w:r>
          </w:p>
        </w:tc>
      </w:tr>
      <w:tr w:rsidR="003100DC" w:rsidRPr="003100DC" w14:paraId="1D72267B" w14:textId="77777777" w:rsidTr="009F594F">
        <w:tc>
          <w:tcPr>
            <w:tcW w:w="3030" w:type="dxa"/>
            <w:vAlign w:val="center"/>
          </w:tcPr>
          <w:p w14:paraId="7D9FA3B2" w14:textId="77777777" w:rsidR="00743102" w:rsidRPr="000E5994" w:rsidRDefault="004C3C06" w:rsidP="000E5994">
            <w:pPr>
              <w:pStyle w:val="ListParagraph"/>
              <w:spacing w:line="360" w:lineRule="auto"/>
              <w:ind w:left="0"/>
              <w:jc w:val="center"/>
              <w:rPr>
                <w:rFonts w:ascii="Times New Roman" w:hAnsi="Times New Roman" w:cs="Times New Roman"/>
              </w:rPr>
            </w:pPr>
            <w:r w:rsidRPr="000E5994">
              <w:rPr>
                <w:rFonts w:ascii="Times New Roman" w:eastAsia="SimSun" w:hAnsi="Times New Roman" w:cs="Times New Roman"/>
              </w:rPr>
              <w:t>Induction of inflammatory response by inhibiting anti-inflammatory cytokine production (linked to mTOR pathway)</w:t>
            </w:r>
          </w:p>
        </w:tc>
        <w:tc>
          <w:tcPr>
            <w:tcW w:w="2998" w:type="dxa"/>
            <w:vAlign w:val="center"/>
          </w:tcPr>
          <w:p w14:paraId="7057E0CB" w14:textId="77777777" w:rsidR="00743102" w:rsidRPr="000E5994" w:rsidRDefault="004C3C06" w:rsidP="000E5994">
            <w:pPr>
              <w:pStyle w:val="ListParagraph"/>
              <w:spacing w:line="360" w:lineRule="auto"/>
              <w:ind w:left="0"/>
              <w:jc w:val="center"/>
              <w:rPr>
                <w:rFonts w:ascii="Times New Roman" w:hAnsi="Times New Roman" w:cs="Times New Roman"/>
              </w:rPr>
            </w:pPr>
            <w:r w:rsidRPr="000E5994">
              <w:rPr>
                <w:rFonts w:ascii="Times New Roman" w:eastAsia="SimSun" w:hAnsi="Times New Roman" w:cs="Times New Roman"/>
              </w:rPr>
              <w:t>Juvenile grass carp (after Aeromonas hydrophila infection)</w:t>
            </w:r>
          </w:p>
        </w:tc>
        <w:tc>
          <w:tcPr>
            <w:tcW w:w="2988" w:type="dxa"/>
            <w:vAlign w:val="center"/>
          </w:tcPr>
          <w:p w14:paraId="7657B2C5" w14:textId="77777777" w:rsidR="00743102" w:rsidRPr="000E5994" w:rsidRDefault="004C3C06" w:rsidP="000E5994">
            <w:pPr>
              <w:pStyle w:val="ListParagraph"/>
              <w:spacing w:line="360" w:lineRule="auto"/>
              <w:ind w:left="0"/>
              <w:jc w:val="center"/>
              <w:rPr>
                <w:rFonts w:ascii="Times New Roman" w:hAnsi="Times New Roman" w:cs="Times New Roman"/>
              </w:rPr>
            </w:pPr>
            <w:r w:rsidRPr="000E5994">
              <w:rPr>
                <w:rFonts w:ascii="Times New Roman" w:eastAsia="SimSun" w:hAnsi="Times New Roman" w:cs="Times New Roman"/>
              </w:rPr>
              <w:t>Inta et al., 2009</w:t>
            </w:r>
          </w:p>
        </w:tc>
      </w:tr>
      <w:tr w:rsidR="003100DC" w:rsidRPr="003100DC" w14:paraId="3C498FFA" w14:textId="77777777" w:rsidTr="009F594F">
        <w:tc>
          <w:tcPr>
            <w:tcW w:w="3030" w:type="dxa"/>
            <w:vAlign w:val="center"/>
          </w:tcPr>
          <w:p w14:paraId="3F3AFA5A" w14:textId="77777777" w:rsidR="00743102" w:rsidRPr="000E5994" w:rsidRDefault="004C3C06" w:rsidP="000E5994">
            <w:pPr>
              <w:pStyle w:val="ListParagraph"/>
              <w:spacing w:line="360" w:lineRule="auto"/>
              <w:ind w:left="0"/>
              <w:jc w:val="center"/>
              <w:rPr>
                <w:rFonts w:ascii="Times New Roman" w:hAnsi="Times New Roman" w:cs="Times New Roman"/>
              </w:rPr>
            </w:pPr>
            <w:r w:rsidRPr="000E5994">
              <w:rPr>
                <w:rFonts w:ascii="Times New Roman" w:eastAsia="SimSun" w:hAnsi="Times New Roman" w:cs="Times New Roman"/>
              </w:rPr>
              <w:t>Increased retention of body amino acids</w:t>
            </w:r>
          </w:p>
        </w:tc>
        <w:tc>
          <w:tcPr>
            <w:tcW w:w="2998" w:type="dxa"/>
            <w:vAlign w:val="center"/>
          </w:tcPr>
          <w:p w14:paraId="54A314FA" w14:textId="77777777" w:rsidR="00743102" w:rsidRPr="000E5994" w:rsidRDefault="004C3C06" w:rsidP="000E5994">
            <w:pPr>
              <w:pStyle w:val="ListParagraph"/>
              <w:spacing w:line="360" w:lineRule="auto"/>
              <w:ind w:left="0"/>
              <w:jc w:val="center"/>
              <w:rPr>
                <w:rFonts w:ascii="Times New Roman" w:hAnsi="Times New Roman" w:cs="Times New Roman"/>
              </w:rPr>
            </w:pPr>
            <w:r w:rsidRPr="000E5994">
              <w:rPr>
                <w:rFonts w:ascii="Times New Roman" w:eastAsia="SimSun" w:hAnsi="Times New Roman" w:cs="Times New Roman"/>
              </w:rPr>
              <w:t>Nile tilapia (Oreochromis niloticus)</w:t>
            </w:r>
          </w:p>
        </w:tc>
        <w:tc>
          <w:tcPr>
            <w:tcW w:w="2988" w:type="dxa"/>
            <w:vAlign w:val="center"/>
          </w:tcPr>
          <w:p w14:paraId="0F68A333" w14:textId="77777777" w:rsidR="00743102" w:rsidRPr="000E5994" w:rsidRDefault="004C3C06" w:rsidP="000E5994">
            <w:pPr>
              <w:pStyle w:val="ListParagraph"/>
              <w:spacing w:line="360" w:lineRule="auto"/>
              <w:ind w:left="0"/>
              <w:jc w:val="center"/>
              <w:rPr>
                <w:rFonts w:ascii="Times New Roman" w:hAnsi="Times New Roman" w:cs="Times New Roman"/>
              </w:rPr>
            </w:pPr>
            <w:r w:rsidRPr="000E5994">
              <w:rPr>
                <w:rFonts w:ascii="Times New Roman" w:eastAsia="SimSun" w:hAnsi="Times New Roman" w:cs="Times New Roman"/>
              </w:rPr>
              <w:t>Michelato et al., 2016</w:t>
            </w:r>
          </w:p>
        </w:tc>
      </w:tr>
      <w:tr w:rsidR="003100DC" w:rsidRPr="003100DC" w14:paraId="3FBC250E" w14:textId="77777777" w:rsidTr="009F594F">
        <w:trPr>
          <w:trHeight w:val="830"/>
        </w:trPr>
        <w:tc>
          <w:tcPr>
            <w:tcW w:w="3030" w:type="dxa"/>
            <w:vAlign w:val="center"/>
          </w:tcPr>
          <w:p w14:paraId="6D25495A" w14:textId="77777777" w:rsidR="00743102" w:rsidRPr="000E5994" w:rsidRDefault="004C3C06" w:rsidP="000E5994">
            <w:pPr>
              <w:pStyle w:val="ListParagraph"/>
              <w:spacing w:line="360" w:lineRule="auto"/>
              <w:ind w:left="0"/>
              <w:jc w:val="center"/>
              <w:rPr>
                <w:rFonts w:ascii="Times New Roman" w:hAnsi="Times New Roman" w:cs="Times New Roman"/>
              </w:rPr>
            </w:pPr>
            <w:r w:rsidRPr="000E5994">
              <w:rPr>
                <w:rFonts w:ascii="Times New Roman" w:eastAsia="SimSun" w:hAnsi="Times New Roman" w:cs="Times New Roman"/>
              </w:rPr>
              <w:t>Increased levels of n-6 PUFA, n-3 PUFA, EPA, and DHA in muscle tissue</w:t>
            </w:r>
          </w:p>
        </w:tc>
        <w:tc>
          <w:tcPr>
            <w:tcW w:w="2998" w:type="dxa"/>
            <w:vAlign w:val="center"/>
          </w:tcPr>
          <w:p w14:paraId="4A7BF23D" w14:textId="77777777" w:rsidR="00743102" w:rsidRPr="000E5994" w:rsidRDefault="004C3C06" w:rsidP="000E5994">
            <w:pPr>
              <w:pStyle w:val="ListParagraph"/>
              <w:spacing w:line="360" w:lineRule="auto"/>
              <w:ind w:left="0"/>
              <w:jc w:val="center"/>
              <w:rPr>
                <w:rFonts w:ascii="Times New Roman" w:hAnsi="Times New Roman" w:cs="Times New Roman"/>
              </w:rPr>
            </w:pPr>
            <w:r w:rsidRPr="000E5994">
              <w:rPr>
                <w:rFonts w:ascii="Times New Roman" w:eastAsia="SimSun" w:hAnsi="Times New Roman" w:cs="Times New Roman"/>
              </w:rPr>
              <w:t>Juvenile largemouth bass (Micropterus salmoides)</w:t>
            </w:r>
          </w:p>
        </w:tc>
        <w:tc>
          <w:tcPr>
            <w:tcW w:w="2988" w:type="dxa"/>
            <w:vAlign w:val="center"/>
          </w:tcPr>
          <w:p w14:paraId="1008E169" w14:textId="77777777" w:rsidR="00743102" w:rsidRPr="000E5994" w:rsidRDefault="004C3C06" w:rsidP="000E5994">
            <w:pPr>
              <w:pStyle w:val="ListParagraph"/>
              <w:spacing w:line="360" w:lineRule="auto"/>
              <w:ind w:left="0"/>
              <w:jc w:val="center"/>
              <w:rPr>
                <w:rFonts w:ascii="Times New Roman" w:hAnsi="Times New Roman" w:cs="Times New Roman"/>
              </w:rPr>
            </w:pPr>
            <w:r w:rsidRPr="000E5994">
              <w:rPr>
                <w:rFonts w:ascii="Times New Roman" w:eastAsia="SimSun" w:hAnsi="Times New Roman" w:cs="Times New Roman"/>
              </w:rPr>
              <w:t>Rahman et al., 2021</w:t>
            </w:r>
          </w:p>
        </w:tc>
      </w:tr>
    </w:tbl>
    <w:tbl>
      <w:tblPr>
        <w:tblStyle w:val="TableGrid"/>
        <w:tblpPr w:leftFromText="180" w:rightFromText="180" w:vertAnchor="text" w:horzAnchor="margin" w:tblpXSpec="right" w:tblpY="578"/>
        <w:tblW w:w="0" w:type="auto"/>
        <w:tblLook w:val="04A0" w:firstRow="1" w:lastRow="0" w:firstColumn="1" w:lastColumn="0" w:noHBand="0" w:noVBand="1"/>
      </w:tblPr>
      <w:tblGrid>
        <w:gridCol w:w="5790"/>
      </w:tblGrid>
      <w:tr w:rsidR="008C321B" w14:paraId="054D55EE" w14:textId="77777777" w:rsidTr="008C321B">
        <w:trPr>
          <w:trHeight w:val="629"/>
        </w:trPr>
        <w:tc>
          <w:tcPr>
            <w:tcW w:w="5790" w:type="dxa"/>
            <w:tcBorders>
              <w:bottom w:val="nil"/>
            </w:tcBorders>
          </w:tcPr>
          <w:p w14:paraId="02E64AB4" w14:textId="769D5B1D" w:rsidR="008C321B" w:rsidRPr="00551680" w:rsidRDefault="008C321B" w:rsidP="008C321B">
            <w:pPr>
              <w:spacing w:line="360" w:lineRule="auto"/>
              <w:jc w:val="center"/>
              <w:rPr>
                <w:rFonts w:ascii="Times New Roman" w:hAnsi="Times New Roman" w:cs="Times New Roman"/>
                <w:sz w:val="24"/>
                <w:szCs w:val="24"/>
              </w:rPr>
            </w:pPr>
            <w:r>
              <w:rPr>
                <w:rFonts w:ascii="Times New Roman" w:eastAsia="Georgia" w:hAnsi="Times New Roman" w:cs="Times New Roman"/>
                <w:sz w:val="24"/>
                <w:szCs w:val="24"/>
              </w:rPr>
              <w:t>R</w:t>
            </w:r>
            <w:r w:rsidRPr="00551680">
              <w:rPr>
                <w:rFonts w:ascii="Times New Roman" w:eastAsia="Georgia" w:hAnsi="Times New Roman" w:cs="Times New Roman"/>
                <w:sz w:val="24"/>
                <w:szCs w:val="24"/>
              </w:rPr>
              <w:t xml:space="preserve">epresentation of nutritional disorder due to </w:t>
            </w:r>
            <w:proofErr w:type="spellStart"/>
            <w:r w:rsidRPr="00551680">
              <w:rPr>
                <w:rFonts w:ascii="Times New Roman" w:eastAsia="Georgia" w:hAnsi="Times New Roman" w:cs="Times New Roman"/>
                <w:sz w:val="24"/>
                <w:szCs w:val="24"/>
              </w:rPr>
              <w:t>Thr</w:t>
            </w:r>
            <w:proofErr w:type="spellEnd"/>
            <w:r w:rsidRPr="00551680">
              <w:rPr>
                <w:rFonts w:ascii="Times New Roman" w:eastAsia="Georgia" w:hAnsi="Times New Roman" w:cs="Times New Roman"/>
                <w:sz w:val="24"/>
                <w:szCs w:val="24"/>
              </w:rPr>
              <w:t xml:space="preserve"> deficiency is given in Fig. 3.</w:t>
            </w:r>
          </w:p>
          <w:p w14:paraId="15C0175F" w14:textId="77777777" w:rsidR="008C321B" w:rsidRDefault="008C321B" w:rsidP="000E5994">
            <w:pPr>
              <w:spacing w:line="360" w:lineRule="auto"/>
              <w:jc w:val="both"/>
              <w:rPr>
                <w:rFonts w:ascii="Times New Roman" w:hAnsi="Times New Roman" w:cs="Times New Roman"/>
                <w:sz w:val="24"/>
                <w:szCs w:val="24"/>
              </w:rPr>
            </w:pPr>
          </w:p>
        </w:tc>
      </w:tr>
      <w:tr w:rsidR="000E5994" w14:paraId="05390552" w14:textId="77777777" w:rsidTr="008C321B">
        <w:trPr>
          <w:trHeight w:val="629"/>
        </w:trPr>
        <w:tc>
          <w:tcPr>
            <w:tcW w:w="5790" w:type="dxa"/>
            <w:tcBorders>
              <w:bottom w:val="single" w:sz="4" w:space="0" w:color="auto"/>
            </w:tcBorders>
          </w:tcPr>
          <w:p w14:paraId="3A41B13B" w14:textId="77777777" w:rsidR="000E5994" w:rsidRDefault="000E5994" w:rsidP="000E59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Suboptimal Growth </w:t>
            </w:r>
          </w:p>
        </w:tc>
      </w:tr>
      <w:tr w:rsidR="000E5994" w14:paraId="1562C18F" w14:textId="77777777" w:rsidTr="008C321B">
        <w:trPr>
          <w:trHeight w:val="629"/>
        </w:trPr>
        <w:tc>
          <w:tcPr>
            <w:tcW w:w="5790" w:type="dxa"/>
            <w:tcBorders>
              <w:top w:val="single" w:sz="4" w:space="0" w:color="auto"/>
            </w:tcBorders>
          </w:tcPr>
          <w:p w14:paraId="778DC8F1" w14:textId="77777777" w:rsidR="000E5994" w:rsidRDefault="000E5994" w:rsidP="000E5994">
            <w:pPr>
              <w:spacing w:line="360" w:lineRule="auto"/>
              <w:jc w:val="both"/>
              <w:rPr>
                <w:rFonts w:ascii="Times New Roman" w:hAnsi="Times New Roman" w:cs="Times New Roman"/>
                <w:sz w:val="24"/>
                <w:szCs w:val="24"/>
              </w:rPr>
            </w:pPr>
            <w:r>
              <w:rPr>
                <w:rFonts w:ascii="Times New Roman" w:hAnsi="Times New Roman" w:cs="Times New Roman"/>
                <w:sz w:val="24"/>
                <w:szCs w:val="24"/>
              </w:rPr>
              <w:t>Inefficient Feed Conversion Efficiency (FCE)</w:t>
            </w:r>
          </w:p>
        </w:tc>
      </w:tr>
      <w:tr w:rsidR="000E5994" w14:paraId="3CFC0467" w14:textId="77777777" w:rsidTr="000E5994">
        <w:trPr>
          <w:trHeight w:val="616"/>
        </w:trPr>
        <w:tc>
          <w:tcPr>
            <w:tcW w:w="5790" w:type="dxa"/>
          </w:tcPr>
          <w:p w14:paraId="08A8561B" w14:textId="77777777" w:rsidR="000E5994" w:rsidRDefault="000E5994" w:rsidP="000E599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Decreased Weight Gain Percentage (WG%)</w:t>
            </w:r>
          </w:p>
        </w:tc>
      </w:tr>
      <w:tr w:rsidR="000E5994" w14:paraId="14459BCE" w14:textId="77777777" w:rsidTr="000E5994">
        <w:trPr>
          <w:trHeight w:val="629"/>
        </w:trPr>
        <w:tc>
          <w:tcPr>
            <w:tcW w:w="5790" w:type="dxa"/>
          </w:tcPr>
          <w:p w14:paraId="2B41BEE8" w14:textId="77777777" w:rsidR="000E5994" w:rsidRDefault="000E5994" w:rsidP="000E59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Reduced Protein deposition </w:t>
            </w:r>
          </w:p>
        </w:tc>
      </w:tr>
      <w:tr w:rsidR="000E5994" w14:paraId="68466259" w14:textId="77777777" w:rsidTr="000E5994">
        <w:trPr>
          <w:trHeight w:val="629"/>
        </w:trPr>
        <w:tc>
          <w:tcPr>
            <w:tcW w:w="5790" w:type="dxa"/>
          </w:tcPr>
          <w:p w14:paraId="4D76F94A" w14:textId="77777777" w:rsidR="000E5994" w:rsidRDefault="000E5994" w:rsidP="000E59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Buildup of triglycerides in Liver </w:t>
            </w:r>
          </w:p>
        </w:tc>
      </w:tr>
      <w:tr w:rsidR="000E5994" w14:paraId="4DDA630C" w14:textId="77777777" w:rsidTr="000E5994">
        <w:trPr>
          <w:trHeight w:val="616"/>
        </w:trPr>
        <w:tc>
          <w:tcPr>
            <w:tcW w:w="5790" w:type="dxa"/>
          </w:tcPr>
          <w:p w14:paraId="6F37E1B2" w14:textId="77777777" w:rsidR="000E5994" w:rsidRDefault="000E5994" w:rsidP="000E5994">
            <w:pPr>
              <w:spacing w:line="360" w:lineRule="auto"/>
              <w:jc w:val="both"/>
              <w:rPr>
                <w:rFonts w:ascii="Times New Roman" w:hAnsi="Times New Roman" w:cs="Times New Roman"/>
                <w:sz w:val="24"/>
                <w:szCs w:val="24"/>
              </w:rPr>
            </w:pPr>
            <w:r>
              <w:rPr>
                <w:rFonts w:ascii="Times New Roman" w:hAnsi="Times New Roman" w:cs="Times New Roman"/>
                <w:sz w:val="24"/>
                <w:szCs w:val="24"/>
              </w:rPr>
              <w:t>Increased PAC (Protein amino acid content) and decreased GOT (Glutamate oxaloacetate transaminase)</w:t>
            </w:r>
          </w:p>
        </w:tc>
      </w:tr>
      <w:tr w:rsidR="000E5994" w14:paraId="5614EE21" w14:textId="77777777" w:rsidTr="000E5994">
        <w:trPr>
          <w:trHeight w:val="629"/>
        </w:trPr>
        <w:tc>
          <w:tcPr>
            <w:tcW w:w="5790" w:type="dxa"/>
          </w:tcPr>
          <w:p w14:paraId="4E16A717" w14:textId="77777777" w:rsidR="000E5994" w:rsidRDefault="000E5994" w:rsidP="000E59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Decrease in Food intake </w:t>
            </w:r>
          </w:p>
        </w:tc>
      </w:tr>
      <w:tr w:rsidR="000E5994" w14:paraId="2FD0805D" w14:textId="77777777" w:rsidTr="000E5994">
        <w:trPr>
          <w:trHeight w:val="629"/>
        </w:trPr>
        <w:tc>
          <w:tcPr>
            <w:tcW w:w="5790" w:type="dxa"/>
          </w:tcPr>
          <w:p w14:paraId="7C003A7B" w14:textId="77777777" w:rsidR="000E5994" w:rsidRDefault="000E5994" w:rsidP="000E59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Induce Intestinal Inflammation </w:t>
            </w:r>
          </w:p>
        </w:tc>
      </w:tr>
    </w:tbl>
    <w:p w14:paraId="3EBF6379" w14:textId="1902D1FB" w:rsidR="00743102" w:rsidRPr="00551680" w:rsidRDefault="009F594F" w:rsidP="009F594F">
      <w:pPr>
        <w:spacing w:line="360" w:lineRule="auto"/>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6672" behindDoc="1" locked="0" layoutInCell="1" allowOverlap="1" wp14:anchorId="1D867B93" wp14:editId="3EBA76A7">
                <wp:simplePos x="0" y="0"/>
                <wp:positionH relativeFrom="column">
                  <wp:posOffset>982980</wp:posOffset>
                </wp:positionH>
                <wp:positionV relativeFrom="paragraph">
                  <wp:posOffset>263525</wp:posOffset>
                </wp:positionV>
                <wp:extent cx="746760" cy="484505"/>
                <wp:effectExtent l="0" t="19050" r="34290" b="29845"/>
                <wp:wrapNone/>
                <wp:docPr id="1" name="Striped Right Arrow 1"/>
                <wp:cNvGraphicFramePr/>
                <a:graphic xmlns:a="http://schemas.openxmlformats.org/drawingml/2006/main">
                  <a:graphicData uri="http://schemas.microsoft.com/office/word/2010/wordprocessingShape">
                    <wps:wsp>
                      <wps:cNvSpPr/>
                      <wps:spPr>
                        <a:xfrm>
                          <a:off x="0" y="0"/>
                          <a:ext cx="746760" cy="484505"/>
                        </a:xfrm>
                        <a:prstGeom prst="stripedRightArrow">
                          <a:avLst/>
                        </a:prstGeom>
                        <a:solidFill>
                          <a:schemeClr val="accent6"/>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044D7221"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Striped Right Arrow 1" o:spid="_x0000_s1026" type="#_x0000_t93" style="position:absolute;margin-left:77.4pt;margin-top:20.75pt;width:58.8pt;height:38.1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" adj="14593" fillcolor="#70ad47 [3209]" strokecolor="#09101d [484]" strokeweight="1pt"/>
            </w:pict>
          </mc:Fallback>
        </mc:AlternateContent>
      </w:r>
      <w:r>
        <w:rPr>
          <w:rFonts w:ascii="Times New Roman" w:hAnsi="Times New Roman" w:cs="Times New Roman"/>
          <w:noProof/>
          <w:sz w:val="24"/>
          <w:szCs w:val="24"/>
          <w:lang w:val="en-US"/>
        </w:rPr>
        <mc:AlternateContent>
          <mc:Choice Requires="wps">
            <w:drawing>
              <wp:anchor distT="45720" distB="45720" distL="114300" distR="114300" simplePos="0" relativeHeight="251675648" behindDoc="1" locked="0" layoutInCell="1" allowOverlap="1" wp14:anchorId="0FC73750" wp14:editId="0CC00355">
                <wp:simplePos x="0" y="0"/>
                <wp:positionH relativeFrom="column">
                  <wp:posOffset>-327660</wp:posOffset>
                </wp:positionH>
                <wp:positionV relativeFrom="paragraph">
                  <wp:posOffset>635</wp:posOffset>
                </wp:positionV>
                <wp:extent cx="1257300" cy="1085215"/>
                <wp:effectExtent l="0" t="0" r="19050" b="203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085215"/>
                        </a:xfrm>
                        <a:prstGeom prst="rect">
                          <a:avLst/>
                        </a:prstGeom>
                        <a:solidFill>
                          <a:schemeClr val="accent6">
                            <a:lumMod val="40000"/>
                            <a:lumOff val="60000"/>
                          </a:schemeClr>
                        </a:solidFill>
                        <a:ln w="9525">
                          <a:solidFill>
                            <a:srgbClr val="000000"/>
                          </a:solidFill>
                          <a:miter lim="800000"/>
                        </a:ln>
                      </wps:spPr>
                      <wps:txbx>
                        <w:txbxContent>
                          <w:p w14:paraId="1E7AC20F" w14:textId="77777777" w:rsidR="00743102" w:rsidRDefault="004C3C06">
                            <w:pPr>
                              <w:jc w:val="center"/>
                              <w:rPr>
                                <w:rFonts w:ascii="Times New Roman" w:hAnsi="Times New Roman" w:cs="Times New Roman"/>
                                <w:color w:val="C5E0B3" w:themeColor="accent6" w:themeTint="66"/>
                                <w:sz w:val="28"/>
                                <w:szCs w:val="28"/>
                              </w:rPr>
                            </w:pPr>
                            <w:r>
                              <w:rPr>
                                <w:rFonts w:ascii="Times New Roman" w:hAnsi="Times New Roman" w:cs="Times New Roman"/>
                                <w:sz w:val="28"/>
                                <w:szCs w:val="28"/>
                              </w:rPr>
                              <w:t>Nutritional Disorder due to Thr deficiency</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0FC73750" id="_x0000_t202" coordsize="21600,21600" o:spt="202" path="m,l,21600r21600,l21600,xe">
                <v:stroke joinstyle="miter"/>
                <v:path gradientshapeok="t" o:connecttype="rect"/>
              </v:shapetype>
              <v:shape id="Text Box 3" o:spid="_x0000_s1026" type="#_x0000_t202" style="position:absolute;margin-left:-25.8pt;margin-top:.05pt;width:99pt;height:85.45pt;z-index:-2516408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" fillcolor="#c5e0b3 [1305]">
                <v:textbox style="mso-fit-shape-to-text:t">
                  <w:txbxContent>
                    <w:p w14:paraId="1E7AC20F" w14:textId="77777777" w:rsidR="00743102" w:rsidRDefault="004C3C06">
                      <w:pPr>
                        <w:jc w:val="center"/>
                        <w:rPr>
                          <w:rFonts w:ascii="Times New Roman" w:hAnsi="Times New Roman" w:cs="Times New Roman"/>
                          <w:color w:val="C5E0B3" w:themeColor="accent6" w:themeTint="66"/>
                          <w:sz w:val="28"/>
                          <w:szCs w:val="28"/>
                        </w:rPr>
                      </w:pPr>
                      <w:r>
                        <w:rPr>
                          <w:rFonts w:ascii="Times New Roman" w:hAnsi="Times New Roman" w:cs="Times New Roman"/>
                          <w:sz w:val="28"/>
                          <w:szCs w:val="28"/>
                        </w:rPr>
                        <w:t>Nutritional Disorder due to Thr deficiency</w:t>
                      </w:r>
                    </w:p>
                  </w:txbxContent>
                </v:textbox>
              </v:shape>
            </w:pict>
          </mc:Fallback>
        </mc:AlternateContent>
      </w:r>
    </w:p>
    <w:p w14:paraId="7C790840" w14:textId="005F2708" w:rsidR="00743102" w:rsidRPr="00066834" w:rsidRDefault="00743102" w:rsidP="00066834">
      <w:pPr>
        <w:spacing w:line="360" w:lineRule="auto"/>
        <w:jc w:val="both"/>
        <w:rPr>
          <w:rFonts w:ascii="Times New Roman" w:hAnsi="Times New Roman" w:cs="Times New Roman"/>
          <w:sz w:val="24"/>
          <w:szCs w:val="24"/>
        </w:rPr>
      </w:pPr>
    </w:p>
    <w:p w14:paraId="4A3E6BD2" w14:textId="03052359" w:rsidR="00743102" w:rsidRDefault="00743102">
      <w:pPr>
        <w:spacing w:line="360" w:lineRule="auto"/>
        <w:jc w:val="both"/>
        <w:rPr>
          <w:rFonts w:ascii="Times New Roman" w:hAnsi="Times New Roman" w:cs="Times New Roman"/>
          <w:sz w:val="24"/>
          <w:szCs w:val="24"/>
        </w:rPr>
      </w:pPr>
    </w:p>
    <w:p w14:paraId="57BB38C5" w14:textId="7FAD32A4" w:rsidR="00743102" w:rsidRDefault="00743102">
      <w:pPr>
        <w:spacing w:line="360" w:lineRule="auto"/>
        <w:jc w:val="both"/>
        <w:rPr>
          <w:rFonts w:ascii="Times New Roman" w:hAnsi="Times New Roman" w:cs="Times New Roman"/>
          <w:sz w:val="24"/>
          <w:szCs w:val="24"/>
        </w:rPr>
      </w:pPr>
    </w:p>
    <w:p w14:paraId="447DC378" w14:textId="61503F77" w:rsidR="00743102" w:rsidRDefault="00743102">
      <w:pPr>
        <w:spacing w:line="360" w:lineRule="auto"/>
        <w:jc w:val="both"/>
        <w:rPr>
          <w:rFonts w:ascii="Times New Roman" w:hAnsi="Times New Roman" w:cs="Times New Roman"/>
          <w:sz w:val="24"/>
          <w:szCs w:val="24"/>
        </w:rPr>
      </w:pPr>
    </w:p>
    <w:p w14:paraId="62870F8C" w14:textId="77777777" w:rsidR="008C321B" w:rsidRDefault="008C321B" w:rsidP="008C321B">
      <w:pPr>
        <w:spacing w:line="360" w:lineRule="auto"/>
        <w:rPr>
          <w:rFonts w:ascii="Times New Roman" w:hAnsi="Times New Roman" w:cs="Times New Roman"/>
          <w:sz w:val="24"/>
          <w:szCs w:val="24"/>
        </w:rPr>
      </w:pPr>
    </w:p>
    <w:p w14:paraId="4129B49E" w14:textId="77777777" w:rsidR="008C321B" w:rsidRDefault="008C321B" w:rsidP="008C321B">
      <w:pPr>
        <w:spacing w:line="360" w:lineRule="auto"/>
        <w:rPr>
          <w:rFonts w:ascii="Times New Roman" w:hAnsi="Times New Roman" w:cs="Times New Roman"/>
          <w:sz w:val="24"/>
          <w:szCs w:val="24"/>
        </w:rPr>
      </w:pPr>
    </w:p>
    <w:p w14:paraId="23C7EC2B" w14:textId="77777777" w:rsidR="008C321B" w:rsidRDefault="008C321B" w:rsidP="008C321B">
      <w:pPr>
        <w:spacing w:line="360" w:lineRule="auto"/>
        <w:rPr>
          <w:rFonts w:ascii="Times New Roman" w:hAnsi="Times New Roman" w:cs="Times New Roman"/>
          <w:sz w:val="24"/>
          <w:szCs w:val="24"/>
        </w:rPr>
      </w:pPr>
    </w:p>
    <w:p w14:paraId="12465940" w14:textId="77777777" w:rsidR="008C321B" w:rsidRDefault="008C321B" w:rsidP="008C321B">
      <w:pPr>
        <w:spacing w:line="360" w:lineRule="auto"/>
        <w:rPr>
          <w:rFonts w:ascii="Times New Roman" w:hAnsi="Times New Roman" w:cs="Times New Roman"/>
          <w:sz w:val="24"/>
          <w:szCs w:val="24"/>
        </w:rPr>
      </w:pPr>
    </w:p>
    <w:p w14:paraId="510685EE" w14:textId="2FDAAE1D" w:rsidR="009F594F" w:rsidRPr="008C321B" w:rsidRDefault="004C3C06" w:rsidP="008C321B">
      <w:pPr>
        <w:spacing w:line="360" w:lineRule="auto"/>
        <w:jc w:val="center"/>
        <w:rPr>
          <w:rFonts w:ascii="Times New Roman" w:hAnsi="Times New Roman" w:cs="Times New Roman"/>
          <w:sz w:val="24"/>
          <w:szCs w:val="24"/>
        </w:rPr>
      </w:pPr>
      <w:r>
        <w:rPr>
          <w:rFonts w:ascii="Times New Roman" w:hAnsi="Times New Roman" w:cs="Times New Roman"/>
          <w:sz w:val="24"/>
          <w:szCs w:val="24"/>
          <w:u w:val="single"/>
        </w:rPr>
        <w:t>F</w:t>
      </w:r>
      <w:r w:rsidRPr="000E5994">
        <w:rPr>
          <w:rFonts w:ascii="Times New Roman" w:hAnsi="Times New Roman" w:cs="Times New Roman"/>
          <w:sz w:val="24"/>
          <w:szCs w:val="24"/>
        </w:rPr>
        <w:t>igure.3: Nutritional Disorder caused due to the Threonine (</w:t>
      </w:r>
      <w:proofErr w:type="spellStart"/>
      <w:r w:rsidRPr="000E5994">
        <w:rPr>
          <w:rFonts w:ascii="Times New Roman" w:hAnsi="Times New Roman" w:cs="Times New Roman"/>
          <w:sz w:val="24"/>
          <w:szCs w:val="24"/>
        </w:rPr>
        <w:t>Thr</w:t>
      </w:r>
      <w:proofErr w:type="spellEnd"/>
      <w:r w:rsidRPr="000E5994">
        <w:rPr>
          <w:rFonts w:ascii="Times New Roman" w:hAnsi="Times New Roman" w:cs="Times New Roman"/>
          <w:sz w:val="24"/>
          <w:szCs w:val="24"/>
        </w:rPr>
        <w:t>) deficiency</w:t>
      </w:r>
    </w:p>
    <w:p w14:paraId="6EA2DAA7" w14:textId="74BB505A" w:rsidR="00743102" w:rsidRDefault="004C3C06">
      <w:pPr>
        <w:spacing w:line="360" w:lineRule="auto"/>
        <w:jc w:val="both"/>
        <w:rPr>
          <w:rFonts w:ascii="Times New Roman" w:hAnsi="Times New Roman" w:cs="Times New Roman"/>
          <w:sz w:val="24"/>
          <w:szCs w:val="24"/>
        </w:rPr>
      </w:pPr>
      <w:r>
        <w:rPr>
          <w:rFonts w:ascii="Times New Roman" w:hAnsi="Times New Roman" w:cs="Times New Roman"/>
          <w:b/>
          <w:bCs/>
          <w:sz w:val="24"/>
          <w:szCs w:val="24"/>
          <w:shd w:val="clear" w:color="auto" w:fill="FFFFFF"/>
        </w:rPr>
        <w:t xml:space="preserve">Sources of dietary threonine </w:t>
      </w:r>
    </w:p>
    <w:p w14:paraId="66D2A50E" w14:textId="5CF4ABC1" w:rsidR="000E5994" w:rsidRDefault="004C3C06">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Threonine in fish diets can come from various sources. One study investigated </w:t>
      </w:r>
      <w:r>
        <w:rPr>
          <w:rFonts w:ascii="Times New Roman" w:hAnsi="Times New Roman" w:cs="Times New Roman"/>
          <w:sz w:val="24"/>
          <w:szCs w:val="24"/>
        </w:rPr>
        <w:t>the metabolic production of L-threonine ethanolamine phosphate in fish species</w:t>
      </w:r>
      <w:r>
        <w:rPr>
          <w:rFonts w:ascii="Times New Roman" w:hAnsi="Times New Roman" w:cs="Times New Roman"/>
          <w:sz w:val="24"/>
          <w:szCs w:val="24"/>
          <w:shd w:val="clear" w:color="auto" w:fill="FFFFFF"/>
        </w:rPr>
        <w:t xml:space="preserve">, which occurs through a specific biochemical pathway, l-threonine ethanolamine phosphate is synthesized in fish and is involved in the synthesis of phospholipids. </w:t>
      </w:r>
      <w:r w:rsidR="000E5994" w:rsidRPr="000E5994">
        <w:rPr>
          <w:rFonts w:ascii="Times New Roman" w:hAnsi="Times New Roman" w:cs="Times New Roman"/>
          <w:sz w:val="24"/>
          <w:szCs w:val="24"/>
          <w:shd w:val="clear" w:color="auto" w:fill="FFFFFF"/>
        </w:rPr>
        <w:t>Threonine fermentation biomass (TFB) is a single-cell protein source that can partially replace fish meal in aquafeeds without adversely affecting fish growth or performance. Such synthetic sources supply threonine, an essential amino acid crucial for fish development. Examples of synthetic dietary threonine sources include amino acid–fortified fish meal, which typically consists of a mixture of fish meal, compound amino acids, plant and animal proteins, haemoglobin, and added vitamins. This mixture can also serve as a fertilizer or general animal feed. Collectively, these findings indicate that threonine can be supplied both through endogenous synthesis within the fish and via alternative dietary protein sources</w:t>
      </w:r>
      <w:r w:rsidR="008C321B">
        <w:rPr>
          <w:rFonts w:ascii="Times New Roman" w:hAnsi="Times New Roman" w:cs="Times New Roman"/>
          <w:sz w:val="24"/>
          <w:szCs w:val="24"/>
          <w:shd w:val="clear" w:color="auto" w:fill="FFFFFF"/>
        </w:rPr>
        <w:t xml:space="preserve"> (Wilson et al., 1978)</w:t>
      </w:r>
      <w:r w:rsidR="000E5994" w:rsidRPr="000E5994">
        <w:rPr>
          <w:rFonts w:ascii="Times New Roman" w:hAnsi="Times New Roman" w:cs="Times New Roman"/>
          <w:sz w:val="24"/>
          <w:szCs w:val="24"/>
          <w:shd w:val="clear" w:color="auto" w:fill="FFFFFF"/>
        </w:rPr>
        <w:t>.</w:t>
      </w:r>
    </w:p>
    <w:p w14:paraId="610944A1" w14:textId="45C9B933" w:rsidR="00743102" w:rsidRDefault="004C3C06">
      <w:pPr>
        <w:spacing w:line="360" w:lineRule="auto"/>
        <w:jc w:val="both"/>
        <w:rPr>
          <w:rFonts w:ascii="Times New Roman" w:hAnsi="Times New Roman" w:cs="Times New Roman"/>
          <w:b/>
          <w:bCs/>
          <w:sz w:val="24"/>
          <w:szCs w:val="24"/>
          <w:lang w:eastAsia="en-IN"/>
        </w:rPr>
      </w:pPr>
      <w:r>
        <w:rPr>
          <w:rFonts w:ascii="Times New Roman" w:hAnsi="Times New Roman" w:cs="Times New Roman"/>
          <w:b/>
          <w:bCs/>
          <w:sz w:val="24"/>
          <w:szCs w:val="24"/>
          <w:lang w:eastAsia="en-IN"/>
        </w:rPr>
        <w:t>Conclusion</w:t>
      </w:r>
    </w:p>
    <w:p w14:paraId="3B9AB1A0" w14:textId="7036A101" w:rsidR="00743102" w:rsidRDefault="009F594F">
      <w:pPr>
        <w:spacing w:line="360" w:lineRule="auto"/>
        <w:jc w:val="both"/>
        <w:rPr>
          <w:rFonts w:ascii="Times New Roman" w:hAnsi="Times New Roman" w:cs="Times New Roman"/>
          <w:sz w:val="24"/>
          <w:szCs w:val="24"/>
          <w:lang w:eastAsia="en-IN"/>
        </w:rPr>
      </w:pPr>
      <w:r w:rsidRPr="009F594F">
        <w:rPr>
          <w:rFonts w:ascii="Times New Roman" w:hAnsi="Times New Roman" w:cs="Times New Roman"/>
          <w:sz w:val="24"/>
          <w:szCs w:val="24"/>
          <w:lang w:eastAsia="en-IN"/>
        </w:rPr>
        <w:t xml:space="preserve">Despite significant progress in understanding threonine nutrition in fish, several questions remain unresolved. These include species-specific variations in threonine bioavailability, the interactive effects of threonine with other amino acids, and its precise requirements under different physiological or environmental conditions. Addressing these gaps through targeted research will further optimize dietary formulations and improve growth, health, and feed </w:t>
      </w:r>
      <w:r w:rsidRPr="009F594F">
        <w:rPr>
          <w:rFonts w:ascii="Times New Roman" w:hAnsi="Times New Roman" w:cs="Times New Roman"/>
          <w:sz w:val="24"/>
          <w:szCs w:val="24"/>
          <w:lang w:eastAsia="en-IN"/>
        </w:rPr>
        <w:lastRenderedPageBreak/>
        <w:t>efficiency in aquaculture species.</w:t>
      </w:r>
      <w:r>
        <w:rPr>
          <w:rFonts w:ascii="Times New Roman" w:hAnsi="Times New Roman" w:cs="Times New Roman"/>
          <w:sz w:val="24"/>
          <w:szCs w:val="24"/>
          <w:lang w:eastAsia="en-IN"/>
        </w:rPr>
        <w:t xml:space="preserve"> </w:t>
      </w:r>
      <w:r w:rsidR="004C3C06">
        <w:rPr>
          <w:rFonts w:ascii="Times New Roman" w:hAnsi="Times New Roman" w:cs="Times New Roman"/>
          <w:sz w:val="24"/>
          <w:szCs w:val="24"/>
        </w:rPr>
        <w:t>T</w:t>
      </w:r>
      <w:r w:rsidR="004C3C06">
        <w:rPr>
          <w:rFonts w:ascii="Times New Roman" w:hAnsi="Times New Roman" w:cs="Times New Roman"/>
          <w:sz w:val="24"/>
          <w:szCs w:val="24"/>
          <w:lang w:eastAsia="en-IN"/>
        </w:rPr>
        <w:t xml:space="preserve">he dietary threonine requirements of different fish species are a critical aspect of optimizing their growth, health and overall aquaculture sustainability. This chapter has explored the varying threonine requirements among various fish species, highlighting the importance of tailoring feed formulations to meet the specific nutritional needs of each species. </w:t>
      </w:r>
      <w:r w:rsidR="004C3C06">
        <w:rPr>
          <w:rFonts w:ascii="Times New Roman" w:hAnsi="Times New Roman" w:cs="Times New Roman"/>
          <w:sz w:val="24"/>
          <w:szCs w:val="24"/>
        </w:rPr>
        <w:t>By conducting a detailed review of the available literature</w:t>
      </w:r>
      <w:r w:rsidR="004C3C06">
        <w:rPr>
          <w:rFonts w:ascii="Times New Roman" w:hAnsi="Times New Roman" w:cs="Times New Roman"/>
          <w:sz w:val="24"/>
          <w:szCs w:val="24"/>
          <w:lang w:eastAsia="en-IN"/>
        </w:rPr>
        <w:t xml:space="preserve"> and experimental studies, it is apparent that threonine plays an important role in the growth, protein synthesis and immune function of fish. However, the optimal threonine levels can vary significantly between species, and factors such as life stage, temperature of water and composition of diet can influence these requirements. Understanding the threonine needs of different fish species is essential for the aquaculture industry's success. By fine-tuning dietary formulations to meet these requirements, aqua culturists can enhance fish growth rates, reduce production costs and minimize environmental impacts through improved nutrient utilization. Moreover, meeting the threonine needs of fish can contribute to overall fish health and welfare, reducing susceptibility to diseases and stress. Further research is needed to continue refining our understanding of the threonine requirements of various fish species, considering the evolving landscape of aquaculture practices, environmental concerns, and sustainability goals. Additionally, research should explore the potential for utilizing alternative protein sources and sustainable feed ingredients that can meet threonine requirements while minimizing the environmental footprint of aquaculture.</w:t>
      </w:r>
    </w:p>
    <w:p w14:paraId="389D187F" w14:textId="77777777" w:rsidR="00743102" w:rsidRDefault="004C3C06">
      <w:pPr>
        <w:spacing w:line="360" w:lineRule="auto"/>
        <w:jc w:val="both"/>
        <w:rPr>
          <w:rFonts w:ascii="Times New Roman" w:hAnsi="Times New Roman" w:cs="Times New Roman"/>
          <w:sz w:val="24"/>
          <w:szCs w:val="24"/>
          <w:lang w:eastAsia="en-IN"/>
        </w:rPr>
      </w:pPr>
      <w:r>
        <w:rPr>
          <w:rFonts w:ascii="Times New Roman" w:hAnsi="Times New Roman" w:cs="Times New Roman"/>
          <w:sz w:val="24"/>
          <w:szCs w:val="24"/>
          <w:lang w:eastAsia="en-IN"/>
        </w:rPr>
        <w:t>In conclusion, a thorough comprehension of the nutritional threonine need of different fish varieties is fundamental to advancing the aquaculture industry, promoting sustainable practices, and ensuring the availability of high-quality seafood for a growing global population.</w:t>
      </w:r>
    </w:p>
    <w:p w14:paraId="00392B80" w14:textId="77777777" w:rsidR="00C268F2" w:rsidRDefault="00C268F2" w:rsidP="00C268F2">
      <w:pPr>
        <w:spacing w:line="360" w:lineRule="auto"/>
        <w:jc w:val="both"/>
        <w:rPr>
          <w:rFonts w:ascii="Times New Roman" w:hAnsi="Times New Roman" w:cs="Times New Roman"/>
          <w:sz w:val="24"/>
          <w:szCs w:val="24"/>
          <w:shd w:val="clear" w:color="auto" w:fill="FFFFFF"/>
        </w:rPr>
      </w:pPr>
      <w:r>
        <w:rPr>
          <w:rFonts w:ascii="Times New Roman" w:hAnsi="Times New Roman" w:cs="Times New Roman"/>
          <w:b/>
          <w:bCs/>
          <w:sz w:val="24"/>
          <w:szCs w:val="24"/>
          <w:lang w:eastAsia="en-IN"/>
        </w:rPr>
        <w:t>Future Perspectives</w:t>
      </w:r>
    </w:p>
    <w:p w14:paraId="2C467B6F" w14:textId="77777777" w:rsidR="00C268F2" w:rsidRDefault="00C268F2" w:rsidP="00C268F2">
      <w:pPr>
        <w:spacing w:line="360" w:lineRule="auto"/>
        <w:jc w:val="both"/>
        <w:rPr>
          <w:rFonts w:ascii="Times New Roman" w:hAnsi="Times New Roman" w:cs="Times New Roman"/>
          <w:sz w:val="24"/>
          <w:szCs w:val="24"/>
        </w:rPr>
      </w:pPr>
      <w:r>
        <w:rPr>
          <w:rFonts w:ascii="Times New Roman" w:hAnsi="Times New Roman" w:cs="Times New Roman"/>
          <w:sz w:val="24"/>
          <w:szCs w:val="24"/>
        </w:rPr>
        <w:t>Future perspectives on the threonine requirement of various fish species are focused on advancing the sustainability and efficiency of aquaculture practices. Through continued research, technological innovation, and environmental stewardship, we can work towards meeting the nutritional needs of diverse fish species while minimizing the ecological impact of fish farming. This collaborative effort between researchers, aqua culturists and policymakers will be instrumental in shaping the future of aquaculture and food security.</w:t>
      </w:r>
    </w:p>
    <w:p w14:paraId="5BBAB281" w14:textId="77777777" w:rsidR="00C268F2" w:rsidRDefault="00C268F2" w:rsidP="00C268F2">
      <w:pPr>
        <w:spacing w:line="360" w:lineRule="auto"/>
        <w:jc w:val="both"/>
        <w:rPr>
          <w:rFonts w:ascii="Times New Roman" w:hAnsi="Times New Roman" w:cs="Times New Roman"/>
          <w:sz w:val="24"/>
          <w:szCs w:val="24"/>
        </w:rPr>
      </w:pPr>
    </w:p>
    <w:p w14:paraId="24A7D0F8" w14:textId="3BE4F178" w:rsidR="00C268F2" w:rsidRPr="000E5994" w:rsidRDefault="00F8397F" w:rsidP="000E5994">
      <w:pPr>
        <w:spacing w:after="200" w:line="276" w:lineRule="auto"/>
        <w:jc w:val="both"/>
        <w:outlineLvl w:val="0"/>
        <w:rPr>
          <w:rFonts w:ascii="Times New Roman" w:eastAsia="Times New Roman" w:hAnsi="Times New Roman" w:cs="Times New Roman"/>
          <w:kern w:val="0"/>
          <w:sz w:val="24"/>
          <w:szCs w:val="24"/>
          <w:lang w:val="en-GB" w:eastAsia="en-GB"/>
        </w:rPr>
      </w:pPr>
      <w:r w:rsidRPr="000E5994">
        <w:rPr>
          <w:rFonts w:ascii="Times New Roman" w:eastAsia="Times New Roman" w:hAnsi="Times New Roman" w:cs="Times New Roman"/>
          <w:b/>
          <w:bCs/>
          <w:kern w:val="0"/>
          <w:sz w:val="24"/>
          <w:szCs w:val="24"/>
          <w:lang w:val="en-GB" w:eastAsia="en-GB"/>
        </w:rPr>
        <w:t>Competing interest’s disclaimer</w:t>
      </w:r>
      <w:r w:rsidR="00C268F2" w:rsidRPr="000E5994">
        <w:rPr>
          <w:rFonts w:ascii="Times New Roman" w:eastAsia="Times New Roman" w:hAnsi="Times New Roman" w:cs="Times New Roman"/>
          <w:b/>
          <w:bCs/>
          <w:kern w:val="0"/>
          <w:sz w:val="24"/>
          <w:szCs w:val="24"/>
          <w:lang w:val="en-GB" w:eastAsia="en-GB"/>
        </w:rPr>
        <w:t>:</w:t>
      </w:r>
    </w:p>
    <w:p w14:paraId="55087210" w14:textId="77777777" w:rsidR="00C268F2" w:rsidRPr="000E5994" w:rsidRDefault="00C268F2" w:rsidP="000E5994">
      <w:pPr>
        <w:spacing w:after="200" w:line="276" w:lineRule="auto"/>
        <w:jc w:val="both"/>
        <w:rPr>
          <w:rFonts w:ascii="Times New Roman" w:eastAsia="Times New Roman" w:hAnsi="Times New Roman" w:cs="Times New Roman"/>
          <w:kern w:val="0"/>
          <w:sz w:val="24"/>
          <w:szCs w:val="24"/>
          <w:lang w:val="en-GB" w:eastAsia="en-GB"/>
        </w:rPr>
      </w:pPr>
      <w:r w:rsidRPr="000E5994">
        <w:rPr>
          <w:rFonts w:ascii="Times New Roman" w:eastAsia="Times New Roman" w:hAnsi="Times New Roman" w:cs="Times New Roman"/>
          <w:kern w:val="0"/>
          <w:sz w:val="24"/>
          <w:szCs w:val="24"/>
          <w:lang w:val="en-GB" w:eastAsia="en-GB"/>
        </w:rPr>
        <w:lastRenderedPageBreak/>
        <w:t>Authors have declared that they have no known competing financial interests OR non-financial interests OR personal relationships that could have appeared to influence the work reported in this paper.</w:t>
      </w:r>
    </w:p>
    <w:p w14:paraId="517C2892" w14:textId="77777777" w:rsidR="008520E7" w:rsidRDefault="008520E7" w:rsidP="008520E7">
      <w:pPr>
        <w:rPr>
          <w:rFonts w:ascii="Calibri" w:eastAsia="Calibri" w:hAnsi="Calibri" w:cs="Times New Roman"/>
          <w:lang w:val="en-US"/>
        </w:rPr>
      </w:pPr>
      <w:bookmarkStart w:id="1" w:name="_Hlk192511329"/>
      <w:bookmarkStart w:id="2" w:name="_Hlk187485061"/>
      <w:bookmarkStart w:id="3" w:name="_Hlk194655630"/>
      <w:bookmarkStart w:id="4" w:name="_Hlk209008097"/>
      <w:bookmarkStart w:id="5" w:name="_Hlk213155977"/>
    </w:p>
    <w:p w14:paraId="232D3D7C" w14:textId="77777777" w:rsidR="008520E7" w:rsidRPr="008C321B" w:rsidRDefault="008520E7" w:rsidP="000E5994">
      <w:pPr>
        <w:jc w:val="both"/>
        <w:rPr>
          <w:rFonts w:ascii="Times New Roman" w:eastAsia="Calibri" w:hAnsi="Times New Roman" w:cs="Times New Roman"/>
          <w:b/>
          <w:bCs/>
          <w:sz w:val="24"/>
          <w:szCs w:val="24"/>
          <w:lang w:val="en-US"/>
        </w:rPr>
      </w:pPr>
      <w:bookmarkStart w:id="6" w:name="_Hlk204003461"/>
      <w:bookmarkStart w:id="7" w:name="_Hlk213070710"/>
      <w:bookmarkEnd w:id="1"/>
      <w:bookmarkEnd w:id="2"/>
      <w:bookmarkEnd w:id="3"/>
      <w:bookmarkEnd w:id="4"/>
      <w:r w:rsidRPr="008C321B">
        <w:rPr>
          <w:rFonts w:ascii="Times New Roman" w:eastAsia="Calibri" w:hAnsi="Times New Roman" w:cs="Times New Roman"/>
          <w:b/>
          <w:bCs/>
          <w:sz w:val="24"/>
          <w:szCs w:val="24"/>
          <w:lang w:val="en-US"/>
        </w:rPr>
        <w:t>Disclaimer (Artificial intelligence)</w:t>
      </w:r>
    </w:p>
    <w:p w14:paraId="25CF6468" w14:textId="38BDB5E8" w:rsidR="008520E7" w:rsidRPr="000E5994" w:rsidRDefault="008520E7" w:rsidP="000E5994">
      <w:pPr>
        <w:jc w:val="both"/>
        <w:rPr>
          <w:rFonts w:ascii="Times New Roman" w:eastAsia="Calibri" w:hAnsi="Times New Roman" w:cs="Times New Roman"/>
          <w:sz w:val="24"/>
          <w:szCs w:val="24"/>
          <w:lang w:val="en-US"/>
        </w:rPr>
      </w:pPr>
      <w:r w:rsidRPr="000E5994">
        <w:rPr>
          <w:rFonts w:ascii="Times New Roman" w:eastAsia="Calibri" w:hAnsi="Times New Roman" w:cs="Times New Roman"/>
          <w:sz w:val="24"/>
          <w:szCs w:val="24"/>
          <w:lang w:val="en-US"/>
        </w:rPr>
        <w:t xml:space="preserve">Author(s) hereby </w:t>
      </w:r>
      <w:r w:rsidR="000E5994" w:rsidRPr="000E5994">
        <w:rPr>
          <w:rFonts w:ascii="Times New Roman" w:eastAsia="Calibri" w:hAnsi="Times New Roman" w:cs="Times New Roman"/>
          <w:sz w:val="24"/>
          <w:szCs w:val="24"/>
          <w:lang w:val="en-US"/>
        </w:rPr>
        <w:t>declares</w:t>
      </w:r>
      <w:r w:rsidRPr="000E5994">
        <w:rPr>
          <w:rFonts w:ascii="Times New Roman" w:eastAsia="Calibri" w:hAnsi="Times New Roman" w:cs="Times New Roman"/>
          <w:sz w:val="24"/>
          <w:szCs w:val="24"/>
          <w:lang w:val="en-US"/>
        </w:rPr>
        <w:t xml:space="preserve"> that NO generative AI technologies such as Large Language Models (ChatGPT, COPILOT, etc.) and text-to-image generators have been used during the writing or editing of this manuscript. </w:t>
      </w:r>
    </w:p>
    <w:bookmarkEnd w:id="5"/>
    <w:bookmarkEnd w:id="6"/>
    <w:bookmarkEnd w:id="7"/>
    <w:p w14:paraId="17E89A82" w14:textId="77777777" w:rsidR="008520E7" w:rsidRDefault="008520E7">
      <w:pPr>
        <w:spacing w:line="240" w:lineRule="auto"/>
        <w:jc w:val="both"/>
        <w:rPr>
          <w:rFonts w:ascii="Times New Roman" w:hAnsi="Times New Roman" w:cs="Times New Roman"/>
          <w:b/>
          <w:bCs/>
          <w:i/>
          <w:iCs/>
          <w:sz w:val="24"/>
          <w:szCs w:val="24"/>
        </w:rPr>
      </w:pPr>
    </w:p>
    <w:p w14:paraId="08BE0C2B" w14:textId="77777777" w:rsidR="00743102" w:rsidRDefault="00743102">
      <w:pPr>
        <w:spacing w:line="360" w:lineRule="auto"/>
        <w:rPr>
          <w:rStyle w:val="Strong"/>
          <w:sz w:val="24"/>
        </w:rPr>
      </w:pPr>
    </w:p>
    <w:p w14:paraId="7A86622A" w14:textId="77777777" w:rsidR="00743102" w:rsidRDefault="004C3C06">
      <w:pPr>
        <w:spacing w:line="360" w:lineRule="auto"/>
        <w:jc w:val="both"/>
        <w:rPr>
          <w:rFonts w:ascii="Times New Roman" w:hAnsi="Times New Roman" w:cs="Times New Roman"/>
          <w:b/>
          <w:bCs/>
          <w:sz w:val="28"/>
          <w:szCs w:val="28"/>
          <w:lang w:eastAsia="en-IN"/>
        </w:rPr>
      </w:pPr>
      <w:r>
        <w:rPr>
          <w:rFonts w:ascii="Times New Roman" w:hAnsi="Times New Roman" w:cs="Times New Roman"/>
          <w:b/>
          <w:bCs/>
          <w:sz w:val="28"/>
          <w:szCs w:val="28"/>
          <w:lang w:eastAsia="en-IN"/>
        </w:rPr>
        <w:t>References</w:t>
      </w:r>
    </w:p>
    <w:p w14:paraId="1070EB28" w14:textId="77777777" w:rsidR="00743102" w:rsidRDefault="004C3C06">
      <w:pPr>
        <w:spacing w:line="360" w:lineRule="auto"/>
        <w:jc w:val="both"/>
        <w:rPr>
          <w:rFonts w:ascii="Times New Roman" w:hAnsi="Times New Roman" w:cs="Times New Roman"/>
          <w:b/>
          <w:bCs/>
          <w:sz w:val="28"/>
          <w:szCs w:val="28"/>
          <w:lang w:eastAsia="en-IN"/>
        </w:rPr>
      </w:pPr>
      <w:r>
        <w:rPr>
          <w:rFonts w:ascii="Times New Roman" w:eastAsia="SimSun" w:hAnsi="Times New Roman" w:cs="Times New Roman"/>
          <w:sz w:val="24"/>
          <w:szCs w:val="24"/>
          <w:shd w:val="clear" w:color="auto" w:fill="FFFFFF"/>
        </w:rPr>
        <w:t>Ahmed, I. (2007). Dietary amino acid L-threonine requirement of fingerling Indian catfish, Heteropneustesfossilis (Bloch) estimated by growth and biochemical parameters. </w:t>
      </w:r>
      <w:r>
        <w:rPr>
          <w:rFonts w:ascii="Times New Roman" w:eastAsia="SimSun" w:hAnsi="Times New Roman" w:cs="Times New Roman"/>
          <w:i/>
          <w:iCs/>
          <w:sz w:val="24"/>
          <w:szCs w:val="24"/>
          <w:shd w:val="clear" w:color="auto" w:fill="FFFFFF"/>
        </w:rPr>
        <w:t>Aquaculture International</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15</w:t>
      </w:r>
      <w:r>
        <w:rPr>
          <w:rFonts w:ascii="Times New Roman" w:eastAsia="SimSun" w:hAnsi="Times New Roman" w:cs="Times New Roman"/>
          <w:sz w:val="24"/>
          <w:szCs w:val="24"/>
          <w:shd w:val="clear" w:color="auto" w:fill="FFFFFF"/>
        </w:rPr>
        <w:t>, 337-350.</w:t>
      </w:r>
    </w:p>
    <w:p w14:paraId="56FA27C9" w14:textId="77777777" w:rsidR="00743102" w:rsidRDefault="004C3C06">
      <w:pPr>
        <w:spacing w:line="240" w:lineRule="auto"/>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Ahmed, I., Khan, M. A., &amp; Jafri, A. K. (2004). Dietary threonine requirement of fingerling Indian major carp, Cirrhinusmrigala (Hamilton). </w:t>
      </w:r>
      <w:r>
        <w:rPr>
          <w:rFonts w:ascii="Times New Roman" w:eastAsia="SimSun" w:hAnsi="Times New Roman" w:cs="Times New Roman"/>
          <w:i/>
          <w:iCs/>
          <w:sz w:val="24"/>
          <w:szCs w:val="24"/>
          <w:shd w:val="clear" w:color="auto" w:fill="FFFFFF"/>
        </w:rPr>
        <w:t>Aquaculture Research</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35</w:t>
      </w:r>
      <w:r>
        <w:rPr>
          <w:rFonts w:ascii="Times New Roman" w:eastAsia="SimSun" w:hAnsi="Times New Roman" w:cs="Times New Roman"/>
          <w:sz w:val="24"/>
          <w:szCs w:val="24"/>
          <w:shd w:val="clear" w:color="auto" w:fill="FFFFFF"/>
        </w:rPr>
        <w:t>(2), 162-170.</w:t>
      </w:r>
    </w:p>
    <w:p w14:paraId="55D52415" w14:textId="77777777" w:rsidR="00743102" w:rsidRDefault="004C3C06">
      <w:pPr>
        <w:spacing w:line="240" w:lineRule="auto"/>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Arai, S. (1991). Quantitative amino acid requirements of fingerling coho salmon. In </w:t>
      </w:r>
      <w:r>
        <w:rPr>
          <w:rFonts w:ascii="Times New Roman" w:eastAsia="SimSun" w:hAnsi="Times New Roman" w:cs="Times New Roman"/>
          <w:i/>
          <w:iCs/>
          <w:sz w:val="24"/>
          <w:szCs w:val="24"/>
          <w:shd w:val="clear" w:color="auto" w:fill="FFFFFF"/>
        </w:rPr>
        <w:t>Proc. 20th US-Japan Symp. on Aquaculture Nutrition</w:t>
      </w:r>
      <w:r>
        <w:rPr>
          <w:rFonts w:ascii="Times New Roman" w:eastAsia="SimSun" w:hAnsi="Times New Roman" w:cs="Times New Roman"/>
          <w:sz w:val="24"/>
          <w:szCs w:val="24"/>
          <w:shd w:val="clear" w:color="auto" w:fill="FFFFFF"/>
        </w:rPr>
        <w:t> (pp. 19-28).</w:t>
      </w:r>
    </w:p>
    <w:p w14:paraId="6CD62034" w14:textId="77777777" w:rsidR="004D6B7D" w:rsidRPr="003100DC" w:rsidRDefault="004D6B7D" w:rsidP="004D6B7D">
      <w:pPr>
        <w:jc w:val="both"/>
        <w:rPr>
          <w:rFonts w:ascii="Times New Roman" w:hAnsi="Times New Roman" w:cs="Times New Roman"/>
          <w:sz w:val="24"/>
        </w:rPr>
      </w:pPr>
      <w:r w:rsidRPr="003100DC">
        <w:rPr>
          <w:rFonts w:ascii="Times New Roman" w:hAnsi="Times New Roman" w:cs="Times New Roman"/>
          <w:sz w:val="24"/>
        </w:rPr>
        <w:t>Arai, S., &amp; Ogata, H. (1991). Essential amino acid requirements of coho salmon (</w:t>
      </w:r>
      <w:r w:rsidRPr="003100DC">
        <w:rPr>
          <w:rFonts w:ascii="Times New Roman" w:hAnsi="Times New Roman" w:cs="Times New Roman"/>
          <w:i/>
          <w:iCs/>
          <w:sz w:val="24"/>
        </w:rPr>
        <w:t>Oncorhynchus kisutch</w:t>
      </w:r>
      <w:r w:rsidRPr="003100DC">
        <w:rPr>
          <w:rFonts w:ascii="Times New Roman" w:hAnsi="Times New Roman" w:cs="Times New Roman"/>
          <w:sz w:val="24"/>
        </w:rPr>
        <w:t xml:space="preserve">). </w:t>
      </w:r>
      <w:r w:rsidRPr="003100DC">
        <w:rPr>
          <w:rFonts w:ascii="Times New Roman" w:hAnsi="Times New Roman" w:cs="Times New Roman"/>
          <w:i/>
          <w:iCs/>
          <w:sz w:val="24"/>
        </w:rPr>
        <w:t>Aquaculture, 92</w:t>
      </w:r>
      <w:r w:rsidRPr="003100DC">
        <w:rPr>
          <w:rFonts w:ascii="Times New Roman" w:hAnsi="Times New Roman" w:cs="Times New Roman"/>
          <w:sz w:val="24"/>
        </w:rPr>
        <w:t>(1-2), 143–154. https://doi.org/10.1016/0044-8486(91)90015-I.</w:t>
      </w:r>
    </w:p>
    <w:p w14:paraId="6D9E5E47" w14:textId="77777777" w:rsidR="00743102" w:rsidRPr="003100DC" w:rsidRDefault="004C3C06">
      <w:pPr>
        <w:spacing w:line="240" w:lineRule="auto"/>
        <w:jc w:val="both"/>
        <w:rPr>
          <w:rFonts w:ascii="Times New Roman" w:hAnsi="Times New Roman" w:cs="Times New Roman"/>
          <w:sz w:val="24"/>
          <w:szCs w:val="24"/>
          <w:shd w:val="clear" w:color="auto" w:fill="FFFFFF"/>
        </w:rPr>
      </w:pPr>
      <w:bookmarkStart w:id="8" w:name="_Hlk155084919"/>
      <w:r w:rsidRPr="003100DC">
        <w:rPr>
          <w:rFonts w:ascii="Times New Roman" w:hAnsi="Times New Roman" w:cs="Times New Roman"/>
          <w:sz w:val="24"/>
          <w:szCs w:val="24"/>
          <w:shd w:val="clear" w:color="auto" w:fill="FFFFFF"/>
        </w:rPr>
        <w:t>Balami</w:t>
      </w:r>
      <w:bookmarkEnd w:id="8"/>
      <w:r w:rsidRPr="003100DC">
        <w:rPr>
          <w:rFonts w:ascii="Times New Roman" w:hAnsi="Times New Roman" w:cs="Times New Roman"/>
          <w:sz w:val="24"/>
          <w:szCs w:val="24"/>
          <w:shd w:val="clear" w:color="auto" w:fill="FFFFFF"/>
        </w:rPr>
        <w:t>, S., Sharma, A., &amp; Karn, R. (2019). Significance of nutritional value of fish for human health. </w:t>
      </w:r>
      <w:r w:rsidRPr="003100DC">
        <w:rPr>
          <w:rFonts w:ascii="Times New Roman" w:hAnsi="Times New Roman" w:cs="Times New Roman"/>
          <w:i/>
          <w:iCs/>
          <w:sz w:val="24"/>
          <w:szCs w:val="24"/>
          <w:shd w:val="clear" w:color="auto" w:fill="FFFFFF"/>
        </w:rPr>
        <w:t>Malaysian Journal of Halal Research</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2</w:t>
      </w:r>
      <w:r w:rsidRPr="003100DC">
        <w:rPr>
          <w:rFonts w:ascii="Times New Roman" w:hAnsi="Times New Roman" w:cs="Times New Roman"/>
          <w:sz w:val="24"/>
          <w:szCs w:val="24"/>
          <w:shd w:val="clear" w:color="auto" w:fill="FFFFFF"/>
        </w:rPr>
        <w:t>(2), 32-34.</w:t>
      </w:r>
    </w:p>
    <w:p w14:paraId="6F93BF81" w14:textId="77777777" w:rsidR="004D6B7D" w:rsidRPr="003100DC" w:rsidRDefault="004D6B7D" w:rsidP="004D6B7D">
      <w:pPr>
        <w:jc w:val="both"/>
        <w:rPr>
          <w:rFonts w:ascii="Times New Roman" w:hAnsi="Times New Roman" w:cs="Times New Roman"/>
          <w:sz w:val="24"/>
        </w:rPr>
      </w:pPr>
      <w:r w:rsidRPr="003100DC">
        <w:rPr>
          <w:rFonts w:ascii="Times New Roman" w:hAnsi="Times New Roman" w:cs="Times New Roman"/>
          <w:sz w:val="24"/>
        </w:rPr>
        <w:t xml:space="preserve">Baldisserotto, B., &amp; Silva, L. V. F. (2004). Dietary amino acid requirements of fish: Emphasis on threonine. </w:t>
      </w:r>
      <w:r w:rsidRPr="003100DC">
        <w:rPr>
          <w:rFonts w:ascii="Times New Roman" w:hAnsi="Times New Roman" w:cs="Times New Roman"/>
          <w:i/>
          <w:iCs/>
          <w:sz w:val="24"/>
        </w:rPr>
        <w:t>Aquaculture Nutrition, 10</w:t>
      </w:r>
      <w:r w:rsidRPr="003100DC">
        <w:rPr>
          <w:rFonts w:ascii="Times New Roman" w:hAnsi="Times New Roman" w:cs="Times New Roman"/>
          <w:sz w:val="24"/>
        </w:rPr>
        <w:t xml:space="preserve">(2), 115-122. </w:t>
      </w:r>
    </w:p>
    <w:p w14:paraId="12269F7E" w14:textId="77777777" w:rsidR="00743102" w:rsidRDefault="004C3C06">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Ball, R. O., &amp; Bayley, H. S. (1984). Tryptophan requirement of the 2.5-kg piglet determined by the oxidation of an indicator amino acid. </w:t>
      </w:r>
      <w:r>
        <w:rPr>
          <w:rFonts w:ascii="Times New Roman" w:hAnsi="Times New Roman" w:cs="Times New Roman"/>
          <w:i/>
          <w:iCs/>
          <w:sz w:val="24"/>
          <w:szCs w:val="24"/>
          <w:shd w:val="clear" w:color="auto" w:fill="FFFFFF"/>
        </w:rPr>
        <w:t>The Journal of nutrition</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114</w:t>
      </w:r>
      <w:r>
        <w:rPr>
          <w:rFonts w:ascii="Times New Roman" w:hAnsi="Times New Roman" w:cs="Times New Roman"/>
          <w:sz w:val="24"/>
          <w:szCs w:val="24"/>
          <w:shd w:val="clear" w:color="auto" w:fill="FFFFFF"/>
        </w:rPr>
        <w:t>(10), 1741-1746.</w:t>
      </w:r>
    </w:p>
    <w:p w14:paraId="6EC16057" w14:textId="77777777" w:rsidR="00743102" w:rsidRDefault="004C3C06">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Blandon, J. F. V., Henao, C. P. S., Montoya, J. E. Z., &amp; Ochoa, S. (2023). l-Threonine production from whey and fish hydrolysate by E. coli ATCC 21277TM. </w:t>
      </w:r>
      <w:r>
        <w:rPr>
          <w:rFonts w:ascii="Times New Roman" w:hAnsi="Times New Roman" w:cs="Times New Roman"/>
          <w:i/>
          <w:iCs/>
          <w:sz w:val="24"/>
          <w:szCs w:val="24"/>
          <w:shd w:val="clear" w:color="auto" w:fill="FFFFFF"/>
        </w:rPr>
        <w:t>Heliyon</w:t>
      </w:r>
      <w:r>
        <w:rPr>
          <w:rFonts w:ascii="Times New Roman" w:hAnsi="Times New Roman" w:cs="Times New Roman"/>
          <w:sz w:val="24"/>
          <w:szCs w:val="24"/>
          <w:shd w:val="clear" w:color="auto" w:fill="FFFFFF"/>
        </w:rPr>
        <w:t>.</w:t>
      </w:r>
    </w:p>
    <w:p w14:paraId="0B99D2F5" w14:textId="77777777" w:rsidR="00743102" w:rsidRDefault="004C3C06">
      <w:pPr>
        <w:spacing w:line="240" w:lineRule="auto"/>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Bodin, N., Mambrini, M., Wauters, J. B., Abboudi, T., Ooghe, W., Le Boulenge, E., ... &amp; Rollin, X. (2008). Threonine requirements for rainbow trout (Oncorhynchus mykiss) and Atlantic salmon (Salmo salar) at the fry stage are similar. </w:t>
      </w:r>
      <w:r>
        <w:rPr>
          <w:rFonts w:ascii="Times New Roman" w:eastAsia="SimSun" w:hAnsi="Times New Roman" w:cs="Times New Roman"/>
          <w:i/>
          <w:iCs/>
          <w:sz w:val="24"/>
          <w:szCs w:val="24"/>
          <w:shd w:val="clear" w:color="auto" w:fill="FFFFFF"/>
        </w:rPr>
        <w:t>Aquaculture</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274</w:t>
      </w:r>
      <w:r>
        <w:rPr>
          <w:rFonts w:ascii="Times New Roman" w:eastAsia="SimSun" w:hAnsi="Times New Roman" w:cs="Times New Roman"/>
          <w:sz w:val="24"/>
          <w:szCs w:val="24"/>
          <w:shd w:val="clear" w:color="auto" w:fill="FFFFFF"/>
        </w:rPr>
        <w:t>(2-4), 353-365.</w:t>
      </w:r>
    </w:p>
    <w:p w14:paraId="273EC378" w14:textId="77777777" w:rsidR="00743102" w:rsidRDefault="004C3C06">
      <w:pPr>
        <w:spacing w:line="240" w:lineRule="auto"/>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Boren, R. S., &amp; Gatlin III, D. M. (1995). Dietary threonine requirement of juvenile red drum Sciaenops ocellatus. </w:t>
      </w:r>
      <w:r>
        <w:rPr>
          <w:rFonts w:ascii="Times New Roman" w:eastAsia="SimSun" w:hAnsi="Times New Roman" w:cs="Times New Roman"/>
          <w:i/>
          <w:iCs/>
          <w:sz w:val="24"/>
          <w:szCs w:val="24"/>
          <w:shd w:val="clear" w:color="auto" w:fill="FFFFFF"/>
        </w:rPr>
        <w:t>Journal of the World Aquaculture Society</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26</w:t>
      </w:r>
      <w:r>
        <w:rPr>
          <w:rFonts w:ascii="Times New Roman" w:eastAsia="SimSun" w:hAnsi="Times New Roman" w:cs="Times New Roman"/>
          <w:sz w:val="24"/>
          <w:szCs w:val="24"/>
          <w:shd w:val="clear" w:color="auto" w:fill="FFFFFF"/>
        </w:rPr>
        <w:t>(3), 279-283.</w:t>
      </w:r>
    </w:p>
    <w:p w14:paraId="2DDD8A7E"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 xml:space="preserve">Borlongan, I. G. (1991). Arginine and threonine requirements of milkfish </w:t>
      </w:r>
      <w:r w:rsidRPr="003100DC">
        <w:rPr>
          <w:rFonts w:ascii="Times New Roman" w:eastAsia="SimSun" w:hAnsi="Times New Roman" w:cs="Times New Roman"/>
          <w:sz w:val="24"/>
          <w:szCs w:val="24"/>
          <w:shd w:val="clear" w:color="auto" w:fill="FFFFFF"/>
        </w:rPr>
        <w:t>(ChanoschanosForsskal) juveniles. </w:t>
      </w:r>
      <w:r w:rsidRPr="003100DC">
        <w:rPr>
          <w:rFonts w:ascii="Times New Roman" w:eastAsia="SimSun" w:hAnsi="Times New Roman" w:cs="Times New Roman"/>
          <w:i/>
          <w:iCs/>
          <w:sz w:val="24"/>
          <w:szCs w:val="24"/>
          <w:shd w:val="clear" w:color="auto" w:fill="FFFFFF"/>
        </w:rPr>
        <w:t>Aquaculture</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93</w:t>
      </w:r>
      <w:r w:rsidRPr="003100DC">
        <w:rPr>
          <w:rFonts w:ascii="Times New Roman" w:eastAsia="SimSun" w:hAnsi="Times New Roman" w:cs="Times New Roman"/>
          <w:sz w:val="24"/>
          <w:szCs w:val="24"/>
          <w:shd w:val="clear" w:color="auto" w:fill="FFFFFF"/>
        </w:rPr>
        <w:t>(4), 313-322.</w:t>
      </w:r>
    </w:p>
    <w:p w14:paraId="2716CA95" w14:textId="77777777" w:rsidR="004D6B7D" w:rsidRPr="003100DC" w:rsidRDefault="004D6B7D" w:rsidP="004D6B7D">
      <w:pPr>
        <w:jc w:val="both"/>
        <w:rPr>
          <w:rFonts w:ascii="Times New Roman" w:hAnsi="Times New Roman" w:cs="Times New Roman"/>
          <w:sz w:val="24"/>
        </w:rPr>
      </w:pPr>
      <w:r w:rsidRPr="003100DC">
        <w:rPr>
          <w:rFonts w:ascii="Times New Roman" w:hAnsi="Times New Roman" w:cs="Times New Roman"/>
          <w:sz w:val="24"/>
        </w:rPr>
        <w:lastRenderedPageBreak/>
        <w:t>Borlongan, I. G. (1991). Growth and protein requirement of milkfish (</w:t>
      </w:r>
      <w:r w:rsidRPr="003100DC">
        <w:rPr>
          <w:rFonts w:ascii="Times New Roman" w:hAnsi="Times New Roman" w:cs="Times New Roman"/>
          <w:i/>
          <w:iCs/>
          <w:sz w:val="24"/>
        </w:rPr>
        <w:t>Chanos chanos</w:t>
      </w:r>
      <w:r w:rsidRPr="003100DC">
        <w:rPr>
          <w:rFonts w:ascii="Times New Roman" w:hAnsi="Times New Roman" w:cs="Times New Roman"/>
          <w:sz w:val="24"/>
        </w:rPr>
        <w:t xml:space="preserve">) fry fed diets with graded levels of dietary protein. </w:t>
      </w:r>
      <w:r w:rsidRPr="003100DC">
        <w:rPr>
          <w:rFonts w:ascii="Times New Roman" w:hAnsi="Times New Roman" w:cs="Times New Roman"/>
          <w:i/>
          <w:iCs/>
          <w:sz w:val="24"/>
        </w:rPr>
        <w:t>Aquaculture, 93</w:t>
      </w:r>
      <w:r w:rsidRPr="003100DC">
        <w:rPr>
          <w:rFonts w:ascii="Times New Roman" w:hAnsi="Times New Roman" w:cs="Times New Roman"/>
          <w:sz w:val="24"/>
        </w:rPr>
        <w:t>(1), 191–200. https://doi.org/10.1016/0044-8486(91)90224-U.</w:t>
      </w:r>
    </w:p>
    <w:p w14:paraId="3066828F" w14:textId="77777777" w:rsidR="00743102" w:rsidRDefault="004C3C06">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Boyd, A., Newsome, P., &amp; Lu, W. Y. (2019). The role of stem cells in liver injury and repair. </w:t>
      </w:r>
      <w:r>
        <w:rPr>
          <w:rFonts w:ascii="Times New Roman" w:hAnsi="Times New Roman" w:cs="Times New Roman"/>
          <w:i/>
          <w:iCs/>
          <w:sz w:val="24"/>
          <w:szCs w:val="24"/>
          <w:shd w:val="clear" w:color="auto" w:fill="FFFFFF"/>
        </w:rPr>
        <w:t>Expert review of gastroenterology &amp; hepatology</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13</w:t>
      </w:r>
      <w:r>
        <w:rPr>
          <w:rFonts w:ascii="Times New Roman" w:hAnsi="Times New Roman" w:cs="Times New Roman"/>
          <w:sz w:val="24"/>
          <w:szCs w:val="24"/>
          <w:shd w:val="clear" w:color="auto" w:fill="FFFFFF"/>
        </w:rPr>
        <w:t>(7), 623-631.</w:t>
      </w:r>
    </w:p>
    <w:p w14:paraId="67AB65EA" w14:textId="77777777" w:rsidR="00743102" w:rsidRDefault="004C3C06">
      <w:pPr>
        <w:spacing w:line="240" w:lineRule="auto"/>
        <w:jc w:val="both"/>
        <w:rPr>
          <w:rFonts w:ascii="Times New Roman" w:hAnsi="Times New Roman" w:cs="Times New Roman"/>
          <w:sz w:val="24"/>
          <w:szCs w:val="24"/>
          <w:shd w:val="clear" w:color="auto" w:fill="FFFFFF"/>
        </w:rPr>
      </w:pPr>
      <w:bookmarkStart w:id="9" w:name="_Hlk155084950"/>
      <w:r>
        <w:rPr>
          <w:rFonts w:ascii="Times New Roman" w:hAnsi="Times New Roman" w:cs="Times New Roman"/>
          <w:sz w:val="24"/>
          <w:szCs w:val="24"/>
          <w:shd w:val="clear" w:color="auto" w:fill="FFFFFF"/>
        </w:rPr>
        <w:t>Chandravanshi</w:t>
      </w:r>
      <w:bookmarkEnd w:id="9"/>
      <w:r>
        <w:rPr>
          <w:rFonts w:ascii="Times New Roman" w:hAnsi="Times New Roman" w:cs="Times New Roman"/>
          <w:sz w:val="24"/>
          <w:szCs w:val="24"/>
          <w:shd w:val="clear" w:color="auto" w:fill="FFFFFF"/>
        </w:rPr>
        <w:t>, N. K., Dhruw, P., &amp; Bharti, R. K. (2019). Nutritional quality of fish food.</w:t>
      </w:r>
    </w:p>
    <w:p w14:paraId="3571A42A" w14:textId="77777777" w:rsidR="00743102" w:rsidRDefault="004C3C06">
      <w:pPr>
        <w:spacing w:line="240" w:lineRule="auto"/>
        <w:jc w:val="both"/>
        <w:rPr>
          <w:rFonts w:ascii="Times New Roman" w:hAnsi="Times New Roman" w:cs="Times New Roman"/>
          <w:sz w:val="24"/>
          <w:szCs w:val="24"/>
          <w:shd w:val="clear" w:color="auto" w:fill="FFFFFF"/>
        </w:rPr>
      </w:pPr>
      <w:r w:rsidRPr="001A569A">
        <w:rPr>
          <w:rFonts w:ascii="Times New Roman" w:hAnsi="Times New Roman" w:cs="Times New Roman"/>
          <w:sz w:val="24"/>
          <w:szCs w:val="24"/>
          <w:shd w:val="clear" w:color="auto" w:fill="FFFFFF"/>
          <w:lang w:val="de-DE"/>
        </w:rPr>
        <w:t xml:space="preserve">Chen, Y. P., Cheng, Y. F., Li, X. H., Yang, W. L., Wen, C., Zhuang, S., &amp; Zhou, Y. M. (2017). </w:t>
      </w:r>
      <w:r>
        <w:rPr>
          <w:rFonts w:ascii="Times New Roman" w:hAnsi="Times New Roman" w:cs="Times New Roman"/>
          <w:sz w:val="24"/>
          <w:szCs w:val="24"/>
          <w:shd w:val="clear" w:color="auto" w:fill="FFFFFF"/>
        </w:rPr>
        <w:t>Effects of threonine supplementation on the growth performance, immunity, oxidative status, intestinal integrity, and barrier function of broilers at the early age. </w:t>
      </w:r>
      <w:r>
        <w:rPr>
          <w:rFonts w:ascii="Times New Roman" w:hAnsi="Times New Roman" w:cs="Times New Roman"/>
          <w:i/>
          <w:iCs/>
          <w:sz w:val="24"/>
          <w:szCs w:val="24"/>
          <w:shd w:val="clear" w:color="auto" w:fill="FFFFFF"/>
        </w:rPr>
        <w:t>Poultry Science</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96</w:t>
      </w:r>
      <w:r>
        <w:rPr>
          <w:rFonts w:ascii="Times New Roman" w:hAnsi="Times New Roman" w:cs="Times New Roman"/>
          <w:sz w:val="24"/>
          <w:szCs w:val="24"/>
          <w:shd w:val="clear" w:color="auto" w:fill="FFFFFF"/>
        </w:rPr>
        <w:t>(2), 405-413.</w:t>
      </w:r>
    </w:p>
    <w:p w14:paraId="63B3B726" w14:textId="77777777" w:rsidR="00743102" w:rsidRDefault="004C3C06">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Chen, Y.; Zhang, H.; Cheng, Y.; Li, Y.; Wen, C.; Zhou, Y. Dietary l-threonine supplementation attenuates lipopolysaccharide-induced inflammatory responses and intestinal barrier damage of broiler chickens at an early age. </w:t>
      </w:r>
      <w:r>
        <w:rPr>
          <w:rStyle w:val="html-italic"/>
          <w:rFonts w:ascii="Times New Roman" w:hAnsi="Times New Roman" w:cs="Times New Roman"/>
          <w:i/>
          <w:iCs/>
          <w:sz w:val="24"/>
          <w:szCs w:val="24"/>
          <w:shd w:val="clear" w:color="auto" w:fill="FFFFFF"/>
        </w:rPr>
        <w:t>Br. J. Nutr.</w:t>
      </w:r>
      <w:r>
        <w:rPr>
          <w:rFonts w:ascii="Times New Roman" w:hAnsi="Times New Roman" w:cs="Times New Roman"/>
          <w:sz w:val="24"/>
          <w:szCs w:val="24"/>
          <w:shd w:val="clear" w:color="auto" w:fill="FFFFFF"/>
        </w:rPr>
        <w:t> 2018, </w:t>
      </w:r>
      <w:r>
        <w:rPr>
          <w:rStyle w:val="html-italic"/>
          <w:rFonts w:ascii="Times New Roman" w:hAnsi="Times New Roman" w:cs="Times New Roman"/>
          <w:i/>
          <w:iCs/>
          <w:sz w:val="24"/>
          <w:szCs w:val="24"/>
          <w:shd w:val="clear" w:color="auto" w:fill="FFFFFF"/>
        </w:rPr>
        <w:t>119</w:t>
      </w:r>
      <w:r>
        <w:rPr>
          <w:rFonts w:ascii="Times New Roman" w:hAnsi="Times New Roman" w:cs="Times New Roman"/>
          <w:sz w:val="24"/>
          <w:szCs w:val="24"/>
          <w:shd w:val="clear" w:color="auto" w:fill="FFFFFF"/>
        </w:rPr>
        <w:t>, 1254–1262. </w:t>
      </w:r>
    </w:p>
    <w:p w14:paraId="0086091F" w14:textId="77777777" w:rsidR="00743102" w:rsidRDefault="004C3C06">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Crowley, J. H., Goldman, B. S., Huang, J., Qi, Q., &amp; Rapp, W. D. (2015). </w:t>
      </w:r>
      <w:r>
        <w:rPr>
          <w:rFonts w:ascii="Times New Roman" w:hAnsi="Times New Roman" w:cs="Times New Roman"/>
          <w:i/>
          <w:iCs/>
          <w:sz w:val="24"/>
          <w:szCs w:val="24"/>
          <w:shd w:val="clear" w:color="auto" w:fill="FFFFFF"/>
        </w:rPr>
        <w:t>U.S. Patent No. 9,090,882</w:t>
      </w:r>
      <w:r>
        <w:rPr>
          <w:rFonts w:ascii="Times New Roman" w:hAnsi="Times New Roman" w:cs="Times New Roman"/>
          <w:sz w:val="24"/>
          <w:szCs w:val="24"/>
          <w:shd w:val="clear" w:color="auto" w:fill="FFFFFF"/>
        </w:rPr>
        <w:t>. Washington, DC: U.S. Patent and Trademark Office.</w:t>
      </w:r>
    </w:p>
    <w:p w14:paraId="31189559" w14:textId="77777777" w:rsidR="00743102" w:rsidRDefault="004C3C06">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Daley, G. Q. (2015). Stem cells and the evolving notion of cellular identity. </w:t>
      </w:r>
      <w:r>
        <w:rPr>
          <w:rFonts w:ascii="Times New Roman" w:hAnsi="Times New Roman" w:cs="Times New Roman"/>
          <w:i/>
          <w:iCs/>
          <w:sz w:val="24"/>
          <w:szCs w:val="24"/>
          <w:shd w:val="clear" w:color="auto" w:fill="FFFFFF"/>
        </w:rPr>
        <w:t>Philosophical Transactions of the Royal Society B: Biological Sciences</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 xml:space="preserve">370 </w:t>
      </w:r>
      <w:r>
        <w:rPr>
          <w:rFonts w:ascii="Times New Roman" w:hAnsi="Times New Roman" w:cs="Times New Roman"/>
          <w:sz w:val="24"/>
          <w:szCs w:val="24"/>
          <w:shd w:val="clear" w:color="auto" w:fill="FFFFFF"/>
        </w:rPr>
        <w:t>(1680), 20140376.</w:t>
      </w:r>
    </w:p>
    <w:p w14:paraId="17263BD2" w14:textId="77777777" w:rsidR="00743102" w:rsidRDefault="004C3C06">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Darling, P. B., Grunow, J., Rafii, M., Brookes, S., Ball, R. O., &amp;Pencharz, P. B. (2000). Threonine dehydrogenase is a minor degradative pathway of threonine catabolism in adult humans. </w:t>
      </w:r>
      <w:r>
        <w:rPr>
          <w:rFonts w:ascii="Times New Roman" w:hAnsi="Times New Roman" w:cs="Times New Roman"/>
          <w:i/>
          <w:iCs/>
          <w:sz w:val="24"/>
          <w:szCs w:val="24"/>
          <w:shd w:val="clear" w:color="auto" w:fill="FFFFFF"/>
        </w:rPr>
        <w:t>American Journal of Physiology-Endocrinology and Metabolism</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278</w:t>
      </w:r>
      <w:r>
        <w:rPr>
          <w:rFonts w:ascii="Times New Roman" w:hAnsi="Times New Roman" w:cs="Times New Roman"/>
          <w:sz w:val="24"/>
          <w:szCs w:val="24"/>
          <w:shd w:val="clear" w:color="auto" w:fill="FFFFFF"/>
        </w:rPr>
        <w:t>(5), E877-E884.</w:t>
      </w:r>
    </w:p>
    <w:p w14:paraId="30D1A704" w14:textId="77777777" w:rsidR="00743102" w:rsidRDefault="004C3C06">
      <w:pPr>
        <w:spacing w:line="240" w:lineRule="auto"/>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De Long, D. C., Halver, J. E., &amp; Mertz, E. T. (1962). Nutrition of salmonoid fishes: X. Quantitative threonine requirements of Chinook salmon at two water temperatures. </w:t>
      </w:r>
      <w:r>
        <w:rPr>
          <w:rFonts w:ascii="Times New Roman" w:eastAsia="SimSun" w:hAnsi="Times New Roman" w:cs="Times New Roman"/>
          <w:i/>
          <w:iCs/>
          <w:sz w:val="24"/>
          <w:szCs w:val="24"/>
          <w:shd w:val="clear" w:color="auto" w:fill="FFFFFF"/>
        </w:rPr>
        <w:t>The Journal of Nutrition</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76</w:t>
      </w:r>
      <w:r>
        <w:rPr>
          <w:rFonts w:ascii="Times New Roman" w:eastAsia="SimSun" w:hAnsi="Times New Roman" w:cs="Times New Roman"/>
          <w:sz w:val="24"/>
          <w:szCs w:val="24"/>
          <w:shd w:val="clear" w:color="auto" w:fill="FFFFFF"/>
        </w:rPr>
        <w:t>(2), 174-178.</w:t>
      </w:r>
    </w:p>
    <w:p w14:paraId="76011DBA" w14:textId="77777777" w:rsidR="00743102" w:rsidRDefault="004C3C06">
      <w:pPr>
        <w:spacing w:line="240" w:lineRule="auto"/>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De Long, D. C., Halver, J. E., &amp; Mertz, E. T. (1962). Nutrition of salmonoid fishes: X. Quantitative threonine requirements of Chinook salmon at two water temperatures. </w:t>
      </w:r>
      <w:r>
        <w:rPr>
          <w:rFonts w:ascii="Times New Roman" w:eastAsia="SimSun" w:hAnsi="Times New Roman" w:cs="Times New Roman"/>
          <w:i/>
          <w:iCs/>
          <w:sz w:val="24"/>
          <w:szCs w:val="24"/>
          <w:shd w:val="clear" w:color="auto" w:fill="FFFFFF"/>
        </w:rPr>
        <w:t>The Journal of Nutrition</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76</w:t>
      </w:r>
      <w:r>
        <w:rPr>
          <w:rFonts w:ascii="Times New Roman" w:eastAsia="SimSun" w:hAnsi="Times New Roman" w:cs="Times New Roman"/>
          <w:sz w:val="24"/>
          <w:szCs w:val="24"/>
          <w:shd w:val="clear" w:color="auto" w:fill="FFFFFF"/>
        </w:rPr>
        <w:t>(2), 174-178.</w:t>
      </w:r>
    </w:p>
    <w:p w14:paraId="23DE65E4" w14:textId="77777777" w:rsidR="00743102" w:rsidRDefault="004C3C06">
      <w:pPr>
        <w:spacing w:line="240" w:lineRule="auto"/>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DeLong, D. C., Halver, J. E., &amp; Mertz, E. T. (1958). Nutrition of salmonoid fishes: VI. Protein requirements of Chinook salmon at two water temperatures. </w:t>
      </w:r>
      <w:r>
        <w:rPr>
          <w:rFonts w:ascii="Times New Roman" w:eastAsia="SimSun" w:hAnsi="Times New Roman" w:cs="Times New Roman"/>
          <w:i/>
          <w:iCs/>
          <w:sz w:val="24"/>
          <w:szCs w:val="24"/>
          <w:shd w:val="clear" w:color="auto" w:fill="FFFFFF"/>
        </w:rPr>
        <w:t>The Journal of nutrition</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65</w:t>
      </w:r>
      <w:r>
        <w:rPr>
          <w:rFonts w:ascii="Times New Roman" w:eastAsia="SimSun" w:hAnsi="Times New Roman" w:cs="Times New Roman"/>
          <w:sz w:val="24"/>
          <w:szCs w:val="24"/>
          <w:shd w:val="clear" w:color="auto" w:fill="FFFFFF"/>
        </w:rPr>
        <w:t>(4), 589-599.</w:t>
      </w:r>
    </w:p>
    <w:p w14:paraId="25F79AB2" w14:textId="77777777" w:rsidR="00743102" w:rsidRDefault="004C3C06">
      <w:pPr>
        <w:spacing w:line="240" w:lineRule="auto"/>
        <w:jc w:val="both"/>
        <w:rPr>
          <w:rFonts w:ascii="Times New Roman" w:hAnsi="Times New Roman" w:cs="Times New Roman"/>
          <w:sz w:val="24"/>
          <w:szCs w:val="24"/>
          <w:shd w:val="clear" w:color="auto" w:fill="FFFFFF"/>
        </w:rPr>
      </w:pPr>
      <w:r w:rsidRPr="001A569A">
        <w:rPr>
          <w:rFonts w:ascii="Times New Roman" w:hAnsi="Times New Roman" w:cs="Times New Roman"/>
          <w:sz w:val="24"/>
          <w:szCs w:val="24"/>
          <w:shd w:val="clear" w:color="auto" w:fill="FFFFFF"/>
          <w:lang w:val="de-DE"/>
        </w:rPr>
        <w:t xml:space="preserve">Dong, X., Quinn, P. J., &amp; Wang, X. (2011). </w:t>
      </w:r>
      <w:r>
        <w:rPr>
          <w:rFonts w:ascii="Times New Roman" w:hAnsi="Times New Roman" w:cs="Times New Roman"/>
          <w:sz w:val="24"/>
          <w:szCs w:val="24"/>
          <w:shd w:val="clear" w:color="auto" w:fill="FFFFFF"/>
        </w:rPr>
        <w:t>Metabolic engineering of Escherichia coli and Corynebacterium glutamicum for the production of L-threonine. </w:t>
      </w:r>
      <w:r>
        <w:rPr>
          <w:rFonts w:ascii="Times New Roman" w:hAnsi="Times New Roman" w:cs="Times New Roman"/>
          <w:i/>
          <w:iCs/>
          <w:sz w:val="24"/>
          <w:szCs w:val="24"/>
          <w:shd w:val="clear" w:color="auto" w:fill="FFFFFF"/>
        </w:rPr>
        <w:t>Biotechnology advances</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29</w:t>
      </w:r>
      <w:r>
        <w:rPr>
          <w:rFonts w:ascii="Times New Roman" w:hAnsi="Times New Roman" w:cs="Times New Roman"/>
          <w:sz w:val="24"/>
          <w:szCs w:val="24"/>
          <w:shd w:val="clear" w:color="auto" w:fill="FFFFFF"/>
        </w:rPr>
        <w:t>(1), 11-23.</w:t>
      </w:r>
    </w:p>
    <w:p w14:paraId="26F6615A" w14:textId="77777777" w:rsidR="00743102" w:rsidRDefault="004C3C06">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Dong, X., Zhao, Y., Hu, J., Li, Y., &amp; Wang, X. (2016). Attenuating l-lysine production by deletion of ddh and lysE and their effect on l-threonine and l-isoleucine production in Corynebacterium glutamicum. </w:t>
      </w:r>
      <w:r>
        <w:rPr>
          <w:rFonts w:ascii="Times New Roman" w:hAnsi="Times New Roman" w:cs="Times New Roman"/>
          <w:i/>
          <w:iCs/>
          <w:sz w:val="24"/>
          <w:szCs w:val="24"/>
          <w:shd w:val="clear" w:color="auto" w:fill="FFFFFF"/>
        </w:rPr>
        <w:t>Enzyme and Microbial Technology</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93</w:t>
      </w:r>
      <w:r>
        <w:rPr>
          <w:rFonts w:ascii="Times New Roman" w:hAnsi="Times New Roman" w:cs="Times New Roman"/>
          <w:sz w:val="24"/>
          <w:szCs w:val="24"/>
          <w:shd w:val="clear" w:color="auto" w:fill="FFFFFF"/>
        </w:rPr>
        <w:t>, 70-78.</w:t>
      </w:r>
    </w:p>
    <w:p w14:paraId="5501867F" w14:textId="77777777" w:rsidR="00743102" w:rsidRDefault="004C3C06">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Dong, Y. W., Jiang, W. D., Liu, Y., Wu, P., Jiang, J., Kuang, S. Y., ... &amp; Feng, L. (2017). Threonine deficiency decreased intestinal immunity and aggravated inflammation associated with NF-κB and target of rapamycin signalling pathways in juvenile grass carp (Ctenopharyngodonidella) after infection with Aeromonas hydrophila. </w:t>
      </w:r>
      <w:r>
        <w:rPr>
          <w:rFonts w:ascii="Times New Roman" w:hAnsi="Times New Roman" w:cs="Times New Roman"/>
          <w:i/>
          <w:iCs/>
          <w:sz w:val="24"/>
          <w:szCs w:val="24"/>
          <w:shd w:val="clear" w:color="auto" w:fill="FFFFFF"/>
        </w:rPr>
        <w:t>British Journal of Nutrition</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118</w:t>
      </w:r>
      <w:r>
        <w:rPr>
          <w:rFonts w:ascii="Times New Roman" w:hAnsi="Times New Roman" w:cs="Times New Roman"/>
          <w:sz w:val="24"/>
          <w:szCs w:val="24"/>
          <w:shd w:val="clear" w:color="auto" w:fill="FFFFFF"/>
        </w:rPr>
        <w:t>(2), 92-108.</w:t>
      </w:r>
    </w:p>
    <w:p w14:paraId="369196F2" w14:textId="77777777" w:rsidR="00743102" w:rsidRPr="001A569A" w:rsidRDefault="004C3C06">
      <w:pPr>
        <w:spacing w:line="240" w:lineRule="auto"/>
        <w:jc w:val="both"/>
        <w:rPr>
          <w:rFonts w:ascii="Times New Roman" w:hAnsi="Times New Roman" w:cs="Times New Roman"/>
          <w:sz w:val="24"/>
          <w:szCs w:val="24"/>
          <w:shd w:val="clear" w:color="auto" w:fill="FFFFFF"/>
          <w:lang w:val="de-DE"/>
        </w:rPr>
      </w:pPr>
      <w:r>
        <w:rPr>
          <w:rStyle w:val="surname"/>
          <w:rFonts w:ascii="Times New Roman" w:hAnsi="Times New Roman" w:cs="Times New Roman"/>
          <w:sz w:val="24"/>
          <w:szCs w:val="24"/>
          <w:shd w:val="clear" w:color="auto" w:fill="FFFFFF"/>
        </w:rPr>
        <w:lastRenderedPageBreak/>
        <w:t>Dong</w:t>
      </w:r>
      <w:r>
        <w:rPr>
          <w:rStyle w:val="string-name"/>
          <w:rFonts w:ascii="Times New Roman" w:hAnsi="Times New Roman" w:cs="Times New Roman"/>
          <w:sz w:val="24"/>
          <w:szCs w:val="24"/>
          <w:shd w:val="clear" w:color="auto" w:fill="FFFFFF"/>
        </w:rPr>
        <w:t>, </w:t>
      </w:r>
      <w:r>
        <w:rPr>
          <w:rStyle w:val="given-names"/>
          <w:rFonts w:ascii="Times New Roman" w:hAnsi="Times New Roman" w:cs="Times New Roman"/>
          <w:sz w:val="24"/>
          <w:szCs w:val="24"/>
          <w:shd w:val="clear" w:color="auto" w:fill="FFFFFF"/>
        </w:rPr>
        <w:t>YW</w:t>
      </w:r>
      <w:r>
        <w:rPr>
          <w:rFonts w:ascii="Times New Roman" w:hAnsi="Times New Roman" w:cs="Times New Roman"/>
          <w:sz w:val="24"/>
          <w:szCs w:val="24"/>
          <w:shd w:val="clear" w:color="auto" w:fill="FFFFFF"/>
        </w:rPr>
        <w:t>, </w:t>
      </w:r>
      <w:r>
        <w:rPr>
          <w:rStyle w:val="surname"/>
          <w:rFonts w:ascii="Times New Roman" w:hAnsi="Times New Roman" w:cs="Times New Roman"/>
          <w:sz w:val="24"/>
          <w:szCs w:val="24"/>
          <w:shd w:val="clear" w:color="auto" w:fill="FFFFFF"/>
        </w:rPr>
        <w:t>Jiang</w:t>
      </w:r>
      <w:r>
        <w:rPr>
          <w:rStyle w:val="string-name"/>
          <w:rFonts w:ascii="Times New Roman" w:hAnsi="Times New Roman" w:cs="Times New Roman"/>
          <w:sz w:val="24"/>
          <w:szCs w:val="24"/>
          <w:shd w:val="clear" w:color="auto" w:fill="FFFFFF"/>
        </w:rPr>
        <w:t>, </w:t>
      </w:r>
      <w:r>
        <w:rPr>
          <w:rStyle w:val="given-names"/>
          <w:rFonts w:ascii="Times New Roman" w:hAnsi="Times New Roman" w:cs="Times New Roman"/>
          <w:sz w:val="24"/>
          <w:szCs w:val="24"/>
          <w:shd w:val="clear" w:color="auto" w:fill="FFFFFF"/>
        </w:rPr>
        <w:t>WD</w:t>
      </w:r>
      <w:r>
        <w:rPr>
          <w:rFonts w:ascii="Times New Roman" w:hAnsi="Times New Roman" w:cs="Times New Roman"/>
          <w:sz w:val="24"/>
          <w:szCs w:val="24"/>
          <w:shd w:val="clear" w:color="auto" w:fill="FFFFFF"/>
        </w:rPr>
        <w:t>, </w:t>
      </w:r>
      <w:r>
        <w:rPr>
          <w:rStyle w:val="surname"/>
          <w:rFonts w:ascii="Times New Roman" w:hAnsi="Times New Roman" w:cs="Times New Roman"/>
          <w:sz w:val="24"/>
          <w:szCs w:val="24"/>
          <w:shd w:val="clear" w:color="auto" w:fill="FFFFFF"/>
        </w:rPr>
        <w:t>Liu</w:t>
      </w:r>
      <w:r>
        <w:rPr>
          <w:rStyle w:val="string-name"/>
          <w:rFonts w:ascii="Times New Roman" w:hAnsi="Times New Roman" w:cs="Times New Roman"/>
          <w:sz w:val="24"/>
          <w:szCs w:val="24"/>
          <w:shd w:val="clear" w:color="auto" w:fill="FFFFFF"/>
        </w:rPr>
        <w:t>, </w:t>
      </w:r>
      <w:r>
        <w:rPr>
          <w:rStyle w:val="given-names"/>
          <w:rFonts w:ascii="Times New Roman" w:hAnsi="Times New Roman" w:cs="Times New Roman"/>
          <w:sz w:val="24"/>
          <w:szCs w:val="24"/>
          <w:shd w:val="clear" w:color="auto" w:fill="FFFFFF"/>
        </w:rPr>
        <w:t>Y</w:t>
      </w:r>
      <w:r>
        <w:rPr>
          <w:rFonts w:ascii="Times New Roman" w:hAnsi="Times New Roman" w:cs="Times New Roman"/>
          <w:sz w:val="24"/>
          <w:szCs w:val="24"/>
          <w:shd w:val="clear" w:color="auto" w:fill="FFFFFF"/>
        </w:rPr>
        <w:t>, </w:t>
      </w:r>
      <w:r>
        <w:rPr>
          <w:rStyle w:val="etal"/>
          <w:rFonts w:ascii="Times New Roman" w:hAnsi="Times New Roman" w:cs="Times New Roman"/>
          <w:sz w:val="24"/>
          <w:szCs w:val="24"/>
          <w:shd w:val="clear" w:color="auto" w:fill="FFFFFF"/>
        </w:rPr>
        <w:t>et al</w:t>
      </w:r>
      <w:r>
        <w:rPr>
          <w:rFonts w:ascii="Times New Roman" w:hAnsi="Times New Roman" w:cs="Times New Roman"/>
          <w:sz w:val="24"/>
          <w:szCs w:val="24"/>
          <w:shd w:val="clear" w:color="auto" w:fill="FFFFFF"/>
        </w:rPr>
        <w:t>. (</w:t>
      </w:r>
      <w:r>
        <w:rPr>
          <w:rStyle w:val="year"/>
          <w:rFonts w:ascii="Times New Roman" w:hAnsi="Times New Roman" w:cs="Times New Roman"/>
          <w:sz w:val="24"/>
          <w:szCs w:val="24"/>
          <w:shd w:val="clear" w:color="auto" w:fill="FFFFFF"/>
        </w:rPr>
        <w:t>2017</w:t>
      </w:r>
      <w:r>
        <w:rPr>
          <w:rFonts w:ascii="Times New Roman" w:hAnsi="Times New Roman" w:cs="Times New Roman"/>
          <w:sz w:val="24"/>
          <w:szCs w:val="24"/>
          <w:shd w:val="clear" w:color="auto" w:fill="FFFFFF"/>
        </w:rPr>
        <w:t>) </w:t>
      </w:r>
      <w:r>
        <w:rPr>
          <w:rStyle w:val="article-title"/>
          <w:rFonts w:ascii="Times New Roman" w:hAnsi="Times New Roman" w:cs="Times New Roman"/>
          <w:sz w:val="24"/>
          <w:szCs w:val="24"/>
          <w:shd w:val="clear" w:color="auto" w:fill="FFFFFF"/>
        </w:rPr>
        <w:t>Threonine deficiency decreased intestinal immunity and aggravated inflammation associated with NF-κB and target of rapamycin signalling pathways in juvenile grass carp (</w:t>
      </w:r>
      <w:r>
        <w:rPr>
          <w:rStyle w:val="Emphasis"/>
          <w:rFonts w:ascii="Times New Roman" w:hAnsi="Times New Roman" w:cs="Times New Roman"/>
          <w:sz w:val="24"/>
          <w:szCs w:val="24"/>
          <w:shd w:val="clear" w:color="auto" w:fill="FFFFFF"/>
        </w:rPr>
        <w:t>Ctenopharyngodonidella</w:t>
      </w:r>
      <w:r>
        <w:rPr>
          <w:rStyle w:val="article-title"/>
          <w:rFonts w:ascii="Times New Roman" w:hAnsi="Times New Roman" w:cs="Times New Roman"/>
          <w:sz w:val="24"/>
          <w:szCs w:val="24"/>
          <w:shd w:val="clear" w:color="auto" w:fill="FFFFFF"/>
        </w:rPr>
        <w:t xml:space="preserve">) after infection </w:t>
      </w:r>
      <w:r w:rsidRPr="003100DC">
        <w:rPr>
          <w:rStyle w:val="article-title"/>
          <w:rFonts w:ascii="Times New Roman" w:hAnsi="Times New Roman" w:cs="Times New Roman"/>
          <w:sz w:val="24"/>
          <w:szCs w:val="24"/>
          <w:shd w:val="clear" w:color="auto" w:fill="FFFFFF"/>
        </w:rPr>
        <w:t>with </w:t>
      </w:r>
      <w:r w:rsidRPr="003100DC">
        <w:rPr>
          <w:rStyle w:val="Emphasis"/>
          <w:rFonts w:ascii="Times New Roman" w:hAnsi="Times New Roman" w:cs="Times New Roman"/>
          <w:sz w:val="24"/>
          <w:szCs w:val="24"/>
          <w:shd w:val="clear" w:color="auto" w:fill="FFFFFF"/>
        </w:rPr>
        <w:t>Aeromonas hydrophila</w:t>
      </w:r>
      <w:r w:rsidRPr="003100DC">
        <w:rPr>
          <w:rFonts w:ascii="Times New Roman" w:hAnsi="Times New Roman" w:cs="Times New Roman"/>
          <w:sz w:val="24"/>
          <w:szCs w:val="24"/>
          <w:shd w:val="clear" w:color="auto" w:fill="FFFFFF"/>
        </w:rPr>
        <w:t>. </w:t>
      </w:r>
      <w:r w:rsidRPr="001A569A">
        <w:rPr>
          <w:rStyle w:val="source"/>
          <w:rFonts w:ascii="Times New Roman" w:hAnsi="Times New Roman" w:cs="Times New Roman"/>
          <w:sz w:val="24"/>
          <w:szCs w:val="24"/>
          <w:shd w:val="clear" w:color="auto" w:fill="FFFFFF"/>
          <w:lang w:val="de-DE"/>
        </w:rPr>
        <w:t>Brit J Nutr</w:t>
      </w:r>
      <w:r w:rsidRPr="001A569A">
        <w:rPr>
          <w:rFonts w:ascii="Times New Roman" w:hAnsi="Times New Roman" w:cs="Times New Roman"/>
          <w:sz w:val="24"/>
          <w:szCs w:val="24"/>
          <w:shd w:val="clear" w:color="auto" w:fill="FFFFFF"/>
          <w:lang w:val="de-DE"/>
        </w:rPr>
        <w:t> </w:t>
      </w:r>
      <w:r w:rsidRPr="001A569A">
        <w:rPr>
          <w:rStyle w:val="volume"/>
          <w:rFonts w:ascii="Times New Roman" w:hAnsi="Times New Roman" w:cs="Times New Roman"/>
          <w:sz w:val="24"/>
          <w:szCs w:val="24"/>
          <w:shd w:val="clear" w:color="auto" w:fill="FFFFFF"/>
          <w:lang w:val="de-DE"/>
        </w:rPr>
        <w:t>118</w:t>
      </w:r>
      <w:r w:rsidRPr="001A569A">
        <w:rPr>
          <w:rFonts w:ascii="Times New Roman" w:hAnsi="Times New Roman" w:cs="Times New Roman"/>
          <w:sz w:val="24"/>
          <w:szCs w:val="24"/>
          <w:shd w:val="clear" w:color="auto" w:fill="FFFFFF"/>
          <w:lang w:val="de-DE"/>
        </w:rPr>
        <w:t>, </w:t>
      </w:r>
      <w:r w:rsidRPr="001A569A">
        <w:rPr>
          <w:rStyle w:val="fpage"/>
          <w:rFonts w:ascii="Times New Roman" w:hAnsi="Times New Roman" w:cs="Times New Roman"/>
          <w:sz w:val="24"/>
          <w:szCs w:val="24"/>
          <w:shd w:val="clear" w:color="auto" w:fill="FFFFFF"/>
          <w:lang w:val="de-DE"/>
        </w:rPr>
        <w:t>92</w:t>
      </w:r>
      <w:r w:rsidRPr="001A569A">
        <w:rPr>
          <w:rFonts w:ascii="Times New Roman" w:hAnsi="Times New Roman" w:cs="Times New Roman"/>
          <w:sz w:val="24"/>
          <w:szCs w:val="24"/>
          <w:shd w:val="clear" w:color="auto" w:fill="FFFFFF"/>
          <w:lang w:val="de-DE"/>
        </w:rPr>
        <w:t>–</w:t>
      </w:r>
      <w:r w:rsidRPr="001A569A">
        <w:rPr>
          <w:rStyle w:val="lpage"/>
          <w:rFonts w:ascii="Times New Roman" w:hAnsi="Times New Roman" w:cs="Times New Roman"/>
          <w:sz w:val="24"/>
          <w:szCs w:val="24"/>
          <w:shd w:val="clear" w:color="auto" w:fill="FFFFFF"/>
          <w:lang w:val="de-DE"/>
        </w:rPr>
        <w:t>108</w:t>
      </w:r>
      <w:r w:rsidRPr="001A569A">
        <w:rPr>
          <w:rFonts w:ascii="Times New Roman" w:hAnsi="Times New Roman" w:cs="Times New Roman"/>
          <w:sz w:val="24"/>
          <w:szCs w:val="24"/>
          <w:shd w:val="clear" w:color="auto" w:fill="FFFFFF"/>
          <w:lang w:val="de-DE"/>
        </w:rPr>
        <w:t>.</w:t>
      </w:r>
    </w:p>
    <w:p w14:paraId="0A588F78" w14:textId="77777777" w:rsidR="004D6B7D" w:rsidRPr="003100DC" w:rsidRDefault="004D6B7D" w:rsidP="004D6B7D">
      <w:pPr>
        <w:jc w:val="both"/>
        <w:rPr>
          <w:rFonts w:ascii="Times New Roman" w:hAnsi="Times New Roman" w:cs="Times New Roman"/>
          <w:sz w:val="24"/>
        </w:rPr>
      </w:pPr>
      <w:r w:rsidRPr="001A569A">
        <w:rPr>
          <w:rFonts w:ascii="Times New Roman" w:hAnsi="Times New Roman" w:cs="Times New Roman"/>
          <w:sz w:val="24"/>
          <w:lang w:val="de-DE"/>
        </w:rPr>
        <w:t xml:space="preserve">Dong, Y. W., Jiang, W. D., Wu, P., Liu, Y., Kuang, S. Y., Tang, L., ... </w:t>
      </w:r>
      <w:r w:rsidRPr="003100DC">
        <w:rPr>
          <w:rFonts w:ascii="Times New Roman" w:hAnsi="Times New Roman" w:cs="Times New Roman"/>
          <w:sz w:val="24"/>
        </w:rPr>
        <w:t>&amp; Feng, L. (2022). Nutritional digestion and absorption, metabolism fates alteration was associated with intestinal function improvement by dietary threonine in juvenile grass carp (Ctenopharyngodon Idella). </w:t>
      </w:r>
      <w:r w:rsidRPr="003100DC">
        <w:rPr>
          <w:rFonts w:ascii="Times New Roman" w:hAnsi="Times New Roman" w:cs="Times New Roman"/>
          <w:i/>
          <w:iCs/>
          <w:sz w:val="24"/>
        </w:rPr>
        <w:t>Aquaculture</w:t>
      </w:r>
      <w:r w:rsidRPr="003100DC">
        <w:rPr>
          <w:rFonts w:ascii="Times New Roman" w:hAnsi="Times New Roman" w:cs="Times New Roman"/>
          <w:sz w:val="24"/>
        </w:rPr>
        <w:t>, </w:t>
      </w:r>
      <w:r w:rsidRPr="003100DC">
        <w:rPr>
          <w:rFonts w:ascii="Times New Roman" w:hAnsi="Times New Roman" w:cs="Times New Roman"/>
          <w:i/>
          <w:iCs/>
          <w:sz w:val="24"/>
        </w:rPr>
        <w:t>555</w:t>
      </w:r>
      <w:r w:rsidRPr="003100DC">
        <w:rPr>
          <w:rFonts w:ascii="Times New Roman" w:hAnsi="Times New Roman" w:cs="Times New Roman"/>
          <w:sz w:val="24"/>
        </w:rPr>
        <w:t>, 738194.</w:t>
      </w:r>
    </w:p>
    <w:p w14:paraId="0284A200"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Edgar, A. J. (2005). Mice have a transcribed L-threonine aldolase/GLY1 gene, but the human GLY1 gene is a non-processed pseudogene. </w:t>
      </w:r>
      <w:r w:rsidRPr="003100DC">
        <w:rPr>
          <w:rFonts w:ascii="Times New Roman" w:hAnsi="Times New Roman" w:cs="Times New Roman"/>
          <w:i/>
          <w:iCs/>
          <w:sz w:val="24"/>
          <w:szCs w:val="24"/>
          <w:shd w:val="clear" w:color="auto" w:fill="FFFFFF"/>
        </w:rPr>
        <w:t>BMC genomics</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6</w:t>
      </w:r>
      <w:r w:rsidRPr="003100DC">
        <w:rPr>
          <w:rFonts w:ascii="Times New Roman" w:hAnsi="Times New Roman" w:cs="Times New Roman"/>
          <w:sz w:val="24"/>
          <w:szCs w:val="24"/>
          <w:shd w:val="clear" w:color="auto" w:fill="FFFFFF"/>
        </w:rPr>
        <w:t>, 1-12.</w:t>
      </w:r>
    </w:p>
    <w:p w14:paraId="35477E57" w14:textId="77777777" w:rsidR="00743102" w:rsidRPr="00E24FDC" w:rsidRDefault="004C3C06">
      <w:pPr>
        <w:spacing w:line="240" w:lineRule="auto"/>
        <w:jc w:val="both"/>
        <w:rPr>
          <w:rFonts w:ascii="Times New Roman" w:hAnsi="Times New Roman" w:cs="Times New Roman"/>
          <w:sz w:val="24"/>
          <w:szCs w:val="24"/>
          <w:shd w:val="clear" w:color="auto" w:fill="FFFFFF"/>
          <w:lang w:val="de-DE"/>
        </w:rPr>
      </w:pPr>
      <w:r w:rsidRPr="003100DC">
        <w:rPr>
          <w:rFonts w:ascii="Times New Roman" w:hAnsi="Times New Roman" w:cs="Times New Roman"/>
          <w:sz w:val="24"/>
          <w:szCs w:val="24"/>
          <w:shd w:val="clear" w:color="auto" w:fill="FFFFFF"/>
        </w:rPr>
        <w:t>Estalkhzir, F. M., Khojasteh, S., &amp; Jafari, M. (2013). The effect of different levels of threonine on performance and carcass characteristics of broiler chickens. </w:t>
      </w:r>
      <w:r w:rsidRPr="00E24FDC">
        <w:rPr>
          <w:rFonts w:ascii="Times New Roman" w:hAnsi="Times New Roman" w:cs="Times New Roman"/>
          <w:i/>
          <w:iCs/>
          <w:sz w:val="24"/>
          <w:szCs w:val="24"/>
          <w:shd w:val="clear" w:color="auto" w:fill="FFFFFF"/>
          <w:lang w:val="de-DE"/>
        </w:rPr>
        <w:t>J. Nov. Appl. Sci</w:t>
      </w:r>
      <w:r w:rsidRPr="00E24FDC">
        <w:rPr>
          <w:rFonts w:ascii="Times New Roman" w:hAnsi="Times New Roman" w:cs="Times New Roman"/>
          <w:sz w:val="24"/>
          <w:szCs w:val="24"/>
          <w:shd w:val="clear" w:color="auto" w:fill="FFFFFF"/>
          <w:lang w:val="de-DE"/>
        </w:rPr>
        <w:t>, </w:t>
      </w:r>
      <w:r w:rsidRPr="00E24FDC">
        <w:rPr>
          <w:rFonts w:ascii="Times New Roman" w:hAnsi="Times New Roman" w:cs="Times New Roman"/>
          <w:i/>
          <w:iCs/>
          <w:sz w:val="24"/>
          <w:szCs w:val="24"/>
          <w:shd w:val="clear" w:color="auto" w:fill="FFFFFF"/>
          <w:lang w:val="de-DE"/>
        </w:rPr>
        <w:t>2</w:t>
      </w:r>
      <w:r w:rsidRPr="00E24FDC">
        <w:rPr>
          <w:rFonts w:ascii="Times New Roman" w:hAnsi="Times New Roman" w:cs="Times New Roman"/>
          <w:sz w:val="24"/>
          <w:szCs w:val="24"/>
          <w:shd w:val="clear" w:color="auto" w:fill="FFFFFF"/>
          <w:lang w:val="de-DE"/>
        </w:rPr>
        <w:t>(9), 382-386.</w:t>
      </w:r>
    </w:p>
    <w:p w14:paraId="12C6AD1F"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1A569A">
        <w:rPr>
          <w:rFonts w:ascii="Times New Roman" w:hAnsi="Times New Roman" w:cs="Times New Roman"/>
          <w:sz w:val="24"/>
          <w:szCs w:val="24"/>
          <w:shd w:val="clear" w:color="auto" w:fill="FFFFFF"/>
          <w:lang w:val="de-DE"/>
        </w:rPr>
        <w:t xml:space="preserve">Fang, Y., Wang, J., Ma, W., Yang, J., Zhang, H., Zhao, L., ... </w:t>
      </w:r>
      <w:r w:rsidRPr="003100DC">
        <w:rPr>
          <w:rFonts w:ascii="Times New Roman" w:hAnsi="Times New Roman" w:cs="Times New Roman"/>
          <w:sz w:val="24"/>
          <w:szCs w:val="24"/>
          <w:shd w:val="clear" w:color="auto" w:fill="FFFFFF"/>
        </w:rPr>
        <w:t>&amp; Wang, X. (2020). Rebalancing microbial carbon distribution for L-threonine maximization using a thermal switch system. </w:t>
      </w:r>
      <w:r w:rsidRPr="003100DC">
        <w:rPr>
          <w:rFonts w:ascii="Times New Roman" w:hAnsi="Times New Roman" w:cs="Times New Roman"/>
          <w:i/>
          <w:iCs/>
          <w:sz w:val="24"/>
          <w:szCs w:val="24"/>
          <w:shd w:val="clear" w:color="auto" w:fill="FFFFFF"/>
        </w:rPr>
        <w:t>Metabolic engineering</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61</w:t>
      </w:r>
      <w:r w:rsidRPr="003100DC">
        <w:rPr>
          <w:rFonts w:ascii="Times New Roman" w:hAnsi="Times New Roman" w:cs="Times New Roman"/>
          <w:sz w:val="24"/>
          <w:szCs w:val="24"/>
          <w:shd w:val="clear" w:color="auto" w:fill="FFFFFF"/>
        </w:rPr>
        <w:t>, 33-46.</w:t>
      </w:r>
    </w:p>
    <w:p w14:paraId="6AEC3CC0" w14:textId="77777777" w:rsidR="004D6B7D" w:rsidRPr="003100DC" w:rsidRDefault="004D6B7D">
      <w:pPr>
        <w:spacing w:line="240" w:lineRule="auto"/>
        <w:jc w:val="both"/>
        <w:rPr>
          <w:rFonts w:ascii="Times New Roman" w:hAnsi="Times New Roman" w:cs="Times New Roman"/>
          <w:sz w:val="28"/>
          <w:szCs w:val="24"/>
          <w:shd w:val="clear" w:color="auto" w:fill="FFFFFF"/>
        </w:rPr>
      </w:pPr>
      <w:r w:rsidRPr="003100DC">
        <w:rPr>
          <w:rFonts w:ascii="Times New Roman" w:hAnsi="Times New Roman" w:cs="Times New Roman"/>
          <w:sz w:val="24"/>
        </w:rPr>
        <w:t>Flores, M., Pavanelli, G. C., &amp; Takahashi, L. S. (2023). Threonine requirement of silver catfish (</w:t>
      </w:r>
      <w:r w:rsidRPr="003100DC">
        <w:rPr>
          <w:rFonts w:ascii="Times New Roman" w:hAnsi="Times New Roman" w:cs="Times New Roman"/>
          <w:i/>
          <w:iCs/>
          <w:sz w:val="24"/>
        </w:rPr>
        <w:t>Rhamdia quelen</w:t>
      </w:r>
      <w:r w:rsidRPr="003100DC">
        <w:rPr>
          <w:rFonts w:ascii="Times New Roman" w:hAnsi="Times New Roman" w:cs="Times New Roman"/>
          <w:sz w:val="24"/>
        </w:rPr>
        <w:t xml:space="preserve">). </w:t>
      </w:r>
      <w:r w:rsidRPr="003100DC">
        <w:rPr>
          <w:rFonts w:ascii="Times New Roman" w:hAnsi="Times New Roman" w:cs="Times New Roman"/>
          <w:i/>
          <w:iCs/>
          <w:sz w:val="24"/>
        </w:rPr>
        <w:t>Aquaculture Reports, 27</w:t>
      </w:r>
      <w:r w:rsidRPr="003100DC">
        <w:rPr>
          <w:rFonts w:ascii="Times New Roman" w:hAnsi="Times New Roman" w:cs="Times New Roman"/>
          <w:sz w:val="24"/>
        </w:rPr>
        <w:t>, 101539. https://doi.org/10.1016/j.aqrep.2023.101539.</w:t>
      </w:r>
    </w:p>
    <w:p w14:paraId="03E37E53"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Fatma Abidi, S., &amp; A Khan, M. (2008). Dietary threonine requirement of fingerling Indian major carp, Labeorohita (Hamilton). </w:t>
      </w:r>
      <w:r w:rsidRPr="003100DC">
        <w:rPr>
          <w:rFonts w:ascii="Times New Roman" w:eastAsia="SimSun" w:hAnsi="Times New Roman" w:cs="Times New Roman"/>
          <w:i/>
          <w:iCs/>
          <w:sz w:val="24"/>
          <w:szCs w:val="24"/>
          <w:shd w:val="clear" w:color="auto" w:fill="FFFFFF"/>
        </w:rPr>
        <w:t>Aquaculture Research</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39</w:t>
      </w:r>
      <w:r w:rsidRPr="003100DC">
        <w:rPr>
          <w:rFonts w:ascii="Times New Roman" w:eastAsia="SimSun" w:hAnsi="Times New Roman" w:cs="Times New Roman"/>
          <w:sz w:val="24"/>
          <w:szCs w:val="24"/>
          <w:shd w:val="clear" w:color="auto" w:fill="FFFFFF"/>
        </w:rPr>
        <w:t>(14), 1498-1505.</w:t>
      </w:r>
    </w:p>
    <w:p w14:paraId="4971F145"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Style w:val="surname"/>
          <w:rFonts w:ascii="Times New Roman" w:hAnsi="Times New Roman" w:cs="Times New Roman"/>
          <w:sz w:val="24"/>
          <w:szCs w:val="24"/>
          <w:shd w:val="clear" w:color="auto" w:fill="FFFFFF"/>
        </w:rPr>
        <w:t>Feng</w:t>
      </w:r>
      <w:r w:rsidRPr="003100DC">
        <w:rPr>
          <w:rStyle w:val="string-name"/>
          <w:rFonts w:ascii="Times New Roman" w:hAnsi="Times New Roman" w:cs="Times New Roman"/>
          <w:sz w:val="24"/>
          <w:szCs w:val="24"/>
          <w:shd w:val="clear" w:color="auto" w:fill="FFFFFF"/>
        </w:rPr>
        <w:t>, </w:t>
      </w:r>
      <w:r w:rsidRPr="003100DC">
        <w:rPr>
          <w:rStyle w:val="given-names"/>
          <w:rFonts w:ascii="Times New Roman" w:hAnsi="Times New Roman" w:cs="Times New Roman"/>
          <w:sz w:val="24"/>
          <w:szCs w:val="24"/>
          <w:shd w:val="clear" w:color="auto" w:fill="FFFFFF"/>
        </w:rPr>
        <w:t>L</w:t>
      </w:r>
      <w:r w:rsidRPr="003100DC">
        <w:rPr>
          <w:rFonts w:ascii="Times New Roman" w:hAnsi="Times New Roman" w:cs="Times New Roman"/>
          <w:sz w:val="24"/>
          <w:szCs w:val="24"/>
          <w:shd w:val="clear" w:color="auto" w:fill="FFFFFF"/>
        </w:rPr>
        <w:t>, </w:t>
      </w:r>
      <w:r w:rsidRPr="003100DC">
        <w:rPr>
          <w:rStyle w:val="surname"/>
          <w:rFonts w:ascii="Times New Roman" w:hAnsi="Times New Roman" w:cs="Times New Roman"/>
          <w:sz w:val="24"/>
          <w:szCs w:val="24"/>
          <w:shd w:val="clear" w:color="auto" w:fill="FFFFFF"/>
        </w:rPr>
        <w:t>Peng</w:t>
      </w:r>
      <w:r w:rsidRPr="003100DC">
        <w:rPr>
          <w:rStyle w:val="string-name"/>
          <w:rFonts w:ascii="Times New Roman" w:hAnsi="Times New Roman" w:cs="Times New Roman"/>
          <w:sz w:val="24"/>
          <w:szCs w:val="24"/>
          <w:shd w:val="clear" w:color="auto" w:fill="FFFFFF"/>
        </w:rPr>
        <w:t>, </w:t>
      </w:r>
      <w:r w:rsidRPr="003100DC">
        <w:rPr>
          <w:rStyle w:val="given-names"/>
          <w:rFonts w:ascii="Times New Roman" w:hAnsi="Times New Roman" w:cs="Times New Roman"/>
          <w:sz w:val="24"/>
          <w:szCs w:val="24"/>
          <w:shd w:val="clear" w:color="auto" w:fill="FFFFFF"/>
        </w:rPr>
        <w:t>Y</w:t>
      </w:r>
      <w:r w:rsidRPr="003100DC">
        <w:rPr>
          <w:rFonts w:ascii="Times New Roman" w:hAnsi="Times New Roman" w:cs="Times New Roman"/>
          <w:sz w:val="24"/>
          <w:szCs w:val="24"/>
          <w:shd w:val="clear" w:color="auto" w:fill="FFFFFF"/>
        </w:rPr>
        <w:t>, </w:t>
      </w:r>
      <w:r w:rsidRPr="003100DC">
        <w:rPr>
          <w:rStyle w:val="surname"/>
          <w:rFonts w:ascii="Times New Roman" w:hAnsi="Times New Roman" w:cs="Times New Roman"/>
          <w:sz w:val="24"/>
          <w:szCs w:val="24"/>
          <w:shd w:val="clear" w:color="auto" w:fill="FFFFFF"/>
        </w:rPr>
        <w:t>Wu</w:t>
      </w:r>
      <w:r w:rsidRPr="003100DC">
        <w:rPr>
          <w:rStyle w:val="string-name"/>
          <w:rFonts w:ascii="Times New Roman" w:hAnsi="Times New Roman" w:cs="Times New Roman"/>
          <w:sz w:val="24"/>
          <w:szCs w:val="24"/>
          <w:shd w:val="clear" w:color="auto" w:fill="FFFFFF"/>
        </w:rPr>
        <w:t>, </w:t>
      </w:r>
      <w:r w:rsidRPr="003100DC">
        <w:rPr>
          <w:rStyle w:val="given-names"/>
          <w:rFonts w:ascii="Times New Roman" w:hAnsi="Times New Roman" w:cs="Times New Roman"/>
          <w:sz w:val="24"/>
          <w:szCs w:val="24"/>
          <w:shd w:val="clear" w:color="auto" w:fill="FFFFFF"/>
        </w:rPr>
        <w:t>P</w:t>
      </w:r>
      <w:r w:rsidRPr="003100DC">
        <w:rPr>
          <w:rFonts w:ascii="Times New Roman" w:hAnsi="Times New Roman" w:cs="Times New Roman"/>
          <w:sz w:val="24"/>
          <w:szCs w:val="24"/>
          <w:shd w:val="clear" w:color="auto" w:fill="FFFFFF"/>
        </w:rPr>
        <w:t>, </w:t>
      </w:r>
      <w:r w:rsidRPr="003100DC">
        <w:rPr>
          <w:rStyle w:val="etal"/>
          <w:rFonts w:ascii="Times New Roman" w:hAnsi="Times New Roman" w:cs="Times New Roman"/>
          <w:sz w:val="24"/>
          <w:szCs w:val="24"/>
          <w:shd w:val="clear" w:color="auto" w:fill="FFFFFF"/>
        </w:rPr>
        <w:t>et al</w:t>
      </w:r>
      <w:r w:rsidRPr="003100DC">
        <w:rPr>
          <w:rFonts w:ascii="Times New Roman" w:hAnsi="Times New Roman" w:cs="Times New Roman"/>
          <w:sz w:val="24"/>
          <w:szCs w:val="24"/>
          <w:shd w:val="clear" w:color="auto" w:fill="FFFFFF"/>
        </w:rPr>
        <w:t>. (</w:t>
      </w:r>
      <w:r w:rsidRPr="003100DC">
        <w:rPr>
          <w:rStyle w:val="year"/>
          <w:rFonts w:ascii="Times New Roman" w:hAnsi="Times New Roman" w:cs="Times New Roman"/>
          <w:sz w:val="24"/>
          <w:szCs w:val="24"/>
          <w:shd w:val="clear" w:color="auto" w:fill="FFFFFF"/>
        </w:rPr>
        <w:t>2013</w:t>
      </w:r>
      <w:r w:rsidRPr="003100DC">
        <w:rPr>
          <w:rFonts w:ascii="Times New Roman" w:hAnsi="Times New Roman" w:cs="Times New Roman"/>
          <w:sz w:val="24"/>
          <w:szCs w:val="24"/>
          <w:shd w:val="clear" w:color="auto" w:fill="FFFFFF"/>
        </w:rPr>
        <w:t>) </w:t>
      </w:r>
      <w:r w:rsidRPr="003100DC">
        <w:rPr>
          <w:rStyle w:val="article-title"/>
          <w:rFonts w:ascii="Times New Roman" w:hAnsi="Times New Roman" w:cs="Times New Roman"/>
          <w:sz w:val="24"/>
          <w:szCs w:val="24"/>
          <w:shd w:val="clear" w:color="auto" w:fill="FFFFFF"/>
        </w:rPr>
        <w:t>Threonine affects intestinal function, protein synthesis and gene expression of TOR in Jian carp (</w:t>
      </w:r>
      <w:r w:rsidRPr="003100DC">
        <w:rPr>
          <w:rStyle w:val="Emphasis"/>
          <w:rFonts w:ascii="Times New Roman" w:hAnsi="Times New Roman" w:cs="Times New Roman"/>
          <w:sz w:val="24"/>
          <w:szCs w:val="24"/>
          <w:shd w:val="clear" w:color="auto" w:fill="FFFFFF"/>
        </w:rPr>
        <w:t>Cyprinus carpio</w:t>
      </w:r>
      <w:r w:rsidRPr="003100DC">
        <w:rPr>
          <w:rStyle w:val="article-title"/>
          <w:rFonts w:ascii="Times New Roman" w:hAnsi="Times New Roman" w:cs="Times New Roman"/>
          <w:sz w:val="24"/>
          <w:szCs w:val="24"/>
          <w:shd w:val="clear" w:color="auto" w:fill="FFFFFF"/>
        </w:rPr>
        <w:t> var. Jian)</w:t>
      </w:r>
      <w:r w:rsidRPr="003100DC">
        <w:rPr>
          <w:rFonts w:ascii="Times New Roman" w:hAnsi="Times New Roman" w:cs="Times New Roman"/>
          <w:sz w:val="24"/>
          <w:szCs w:val="24"/>
          <w:shd w:val="clear" w:color="auto" w:fill="FFFFFF"/>
        </w:rPr>
        <w:t>. </w:t>
      </w:r>
      <w:r w:rsidRPr="003100DC">
        <w:rPr>
          <w:rStyle w:val="source"/>
          <w:rFonts w:ascii="Times New Roman" w:hAnsi="Times New Roman" w:cs="Times New Roman"/>
          <w:sz w:val="24"/>
          <w:szCs w:val="24"/>
          <w:shd w:val="clear" w:color="auto" w:fill="FFFFFF"/>
        </w:rPr>
        <w:t>PLOS ONE</w:t>
      </w:r>
      <w:r w:rsidRPr="003100DC">
        <w:rPr>
          <w:rFonts w:ascii="Times New Roman" w:hAnsi="Times New Roman" w:cs="Times New Roman"/>
          <w:sz w:val="24"/>
          <w:szCs w:val="24"/>
          <w:shd w:val="clear" w:color="auto" w:fill="FFFFFF"/>
        </w:rPr>
        <w:t> </w:t>
      </w:r>
      <w:r w:rsidRPr="003100DC">
        <w:rPr>
          <w:rStyle w:val="volume"/>
          <w:rFonts w:ascii="Times New Roman" w:hAnsi="Times New Roman" w:cs="Times New Roman"/>
          <w:sz w:val="24"/>
          <w:szCs w:val="24"/>
          <w:shd w:val="clear" w:color="auto" w:fill="FFFFFF"/>
        </w:rPr>
        <w:t>8</w:t>
      </w:r>
      <w:r w:rsidRPr="003100DC">
        <w:rPr>
          <w:rFonts w:ascii="Times New Roman" w:hAnsi="Times New Roman" w:cs="Times New Roman"/>
          <w:sz w:val="24"/>
          <w:szCs w:val="24"/>
          <w:shd w:val="clear" w:color="auto" w:fill="FFFFFF"/>
        </w:rPr>
        <w:t>, </w:t>
      </w:r>
      <w:r w:rsidRPr="003100DC">
        <w:rPr>
          <w:rStyle w:val="fpage"/>
          <w:rFonts w:ascii="Times New Roman" w:hAnsi="Times New Roman" w:cs="Times New Roman"/>
          <w:sz w:val="24"/>
          <w:szCs w:val="24"/>
          <w:shd w:val="clear" w:color="auto" w:fill="FFFFFF"/>
        </w:rPr>
        <w:t>e69974</w:t>
      </w:r>
      <w:r w:rsidRPr="003100DC">
        <w:rPr>
          <w:rFonts w:ascii="Times New Roman" w:hAnsi="Times New Roman" w:cs="Times New Roman"/>
          <w:sz w:val="24"/>
          <w:szCs w:val="24"/>
          <w:shd w:val="clear" w:color="auto" w:fill="FFFFFF"/>
        </w:rPr>
        <w:t>.</w:t>
      </w:r>
    </w:p>
    <w:p w14:paraId="3341C9F8"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Forster and Ogata (1998). Aquaculture 161, 131.</w:t>
      </w:r>
    </w:p>
    <w:p w14:paraId="7DEE0A21"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Forster, I., &amp; Ogata, H. Y. (1998). Lysine requirement of juvenile Japanese flounder Paralichthysolivaceus and juvenile red sea bream Pagrus major. </w:t>
      </w:r>
      <w:r w:rsidRPr="003100DC">
        <w:rPr>
          <w:rFonts w:ascii="Times New Roman" w:eastAsia="SimSun" w:hAnsi="Times New Roman" w:cs="Times New Roman"/>
          <w:i/>
          <w:iCs/>
          <w:sz w:val="24"/>
          <w:szCs w:val="24"/>
          <w:shd w:val="clear" w:color="auto" w:fill="FFFFFF"/>
        </w:rPr>
        <w:t>Aquaculture</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161</w:t>
      </w:r>
      <w:r w:rsidRPr="003100DC">
        <w:rPr>
          <w:rFonts w:ascii="Times New Roman" w:eastAsia="SimSun" w:hAnsi="Times New Roman" w:cs="Times New Roman"/>
          <w:sz w:val="24"/>
          <w:szCs w:val="24"/>
          <w:shd w:val="clear" w:color="auto" w:fill="FFFFFF"/>
        </w:rPr>
        <w:t>(1-4), 131-142.</w:t>
      </w:r>
    </w:p>
    <w:p w14:paraId="3007886E"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Gaifem, J.; Gonçalves, L.G.; Dinis-Oliveira, R.J.; Cunha, C.; Carvalho, A.; Torrado, E.; Rodrigues, F.; Saraiva, M.; Castro, A.G.; Silvestre, R. L-Threonine Supplementation during Colitis Onset Delays Disease Recovery. </w:t>
      </w:r>
      <w:r w:rsidRPr="003100DC">
        <w:rPr>
          <w:rStyle w:val="html-italic"/>
          <w:rFonts w:ascii="Times New Roman" w:hAnsi="Times New Roman" w:cs="Times New Roman"/>
          <w:i/>
          <w:iCs/>
          <w:sz w:val="24"/>
          <w:szCs w:val="24"/>
          <w:shd w:val="clear" w:color="auto" w:fill="FFFFFF"/>
        </w:rPr>
        <w:t>Front. Physiol.</w:t>
      </w:r>
      <w:r w:rsidRPr="003100DC">
        <w:rPr>
          <w:rFonts w:ascii="Times New Roman" w:hAnsi="Times New Roman" w:cs="Times New Roman"/>
          <w:sz w:val="24"/>
          <w:szCs w:val="24"/>
          <w:shd w:val="clear" w:color="auto" w:fill="FFFFFF"/>
        </w:rPr>
        <w:t> 2018, </w:t>
      </w:r>
      <w:r w:rsidRPr="003100DC">
        <w:rPr>
          <w:rStyle w:val="html-italic"/>
          <w:rFonts w:ascii="Times New Roman" w:hAnsi="Times New Roman" w:cs="Times New Roman"/>
          <w:i/>
          <w:iCs/>
          <w:sz w:val="24"/>
          <w:szCs w:val="24"/>
          <w:shd w:val="clear" w:color="auto" w:fill="FFFFFF"/>
        </w:rPr>
        <w:t>9</w:t>
      </w:r>
      <w:r w:rsidRPr="003100DC">
        <w:rPr>
          <w:rFonts w:ascii="Times New Roman" w:hAnsi="Times New Roman" w:cs="Times New Roman"/>
          <w:sz w:val="24"/>
          <w:szCs w:val="24"/>
          <w:shd w:val="clear" w:color="auto" w:fill="FFFFFF"/>
        </w:rPr>
        <w:t>, 1247.</w:t>
      </w:r>
    </w:p>
    <w:p w14:paraId="2C09A1EE"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Gao, Y. J., Yang, H. J., Liu, Y. J., Chen, S. J., Guo, D. Q., Yu, Y. Y., &amp; Tian, L. X. (2014). Effects of graded levels of threonine on growth performance, biochemical parameters and intestine morphology of juvenile grass carp Ctenopharyngodonidella. </w:t>
      </w:r>
      <w:r w:rsidRPr="003100DC">
        <w:rPr>
          <w:rFonts w:ascii="Times New Roman" w:hAnsi="Times New Roman" w:cs="Times New Roman"/>
          <w:i/>
          <w:iCs/>
          <w:sz w:val="24"/>
          <w:szCs w:val="24"/>
          <w:shd w:val="clear" w:color="auto" w:fill="FFFFFF"/>
        </w:rPr>
        <w:t>Aquaculture</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424</w:t>
      </w:r>
      <w:r w:rsidRPr="003100DC">
        <w:rPr>
          <w:rFonts w:ascii="Times New Roman" w:hAnsi="Times New Roman" w:cs="Times New Roman"/>
          <w:sz w:val="24"/>
          <w:szCs w:val="24"/>
          <w:shd w:val="clear" w:color="auto" w:fill="FFFFFF"/>
        </w:rPr>
        <w:t>, 113-119.</w:t>
      </w:r>
    </w:p>
    <w:p w14:paraId="0895E342" w14:textId="77777777" w:rsidR="00743102" w:rsidRPr="003100DC" w:rsidRDefault="004C3C06">
      <w:pPr>
        <w:spacing w:line="240" w:lineRule="auto"/>
        <w:jc w:val="both"/>
        <w:rPr>
          <w:rFonts w:ascii="Times New Roman" w:hAnsi="Times New Roman" w:cs="Times New Roman"/>
          <w:sz w:val="24"/>
          <w:szCs w:val="24"/>
          <w:shd w:val="clear" w:color="auto" w:fill="FFFFFF"/>
        </w:rPr>
      </w:pPr>
      <w:bookmarkStart w:id="10" w:name="_Hlk155084984"/>
      <w:r w:rsidRPr="003100DC">
        <w:rPr>
          <w:rFonts w:ascii="Times New Roman" w:hAnsi="Times New Roman" w:cs="Times New Roman"/>
          <w:sz w:val="24"/>
          <w:szCs w:val="24"/>
          <w:shd w:val="clear" w:color="auto" w:fill="FFFFFF"/>
        </w:rPr>
        <w:t>Gopal</w:t>
      </w:r>
      <w:bookmarkEnd w:id="10"/>
      <w:r w:rsidRPr="003100DC">
        <w:rPr>
          <w:rFonts w:ascii="Times New Roman" w:hAnsi="Times New Roman" w:cs="Times New Roman"/>
          <w:sz w:val="24"/>
          <w:szCs w:val="24"/>
          <w:shd w:val="clear" w:color="auto" w:fill="FFFFFF"/>
        </w:rPr>
        <w:t>, T. S. (2020). Foods from the ocean for nutrition, health, and wellness. In </w:t>
      </w:r>
      <w:r w:rsidRPr="003100DC">
        <w:rPr>
          <w:rFonts w:ascii="Times New Roman" w:hAnsi="Times New Roman" w:cs="Times New Roman"/>
          <w:i/>
          <w:iCs/>
          <w:sz w:val="24"/>
          <w:szCs w:val="24"/>
          <w:shd w:val="clear" w:color="auto" w:fill="FFFFFF"/>
        </w:rPr>
        <w:t>Nutritional and Health Aspects of Food in South Asian Countries</w:t>
      </w:r>
      <w:r w:rsidRPr="003100DC">
        <w:rPr>
          <w:rFonts w:ascii="Times New Roman" w:hAnsi="Times New Roman" w:cs="Times New Roman"/>
          <w:sz w:val="24"/>
          <w:szCs w:val="24"/>
          <w:shd w:val="clear" w:color="auto" w:fill="FFFFFF"/>
        </w:rPr>
        <w:t> (pp. 113-122). Academic Press.</w:t>
      </w:r>
    </w:p>
    <w:p w14:paraId="793C0C80"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Habte-Tsion, H. M., Liu, B., Ren, M., Ge, X., Xie, J., Zhou, Q., ... &amp; Chen, R. (2015). Dietary threonine requirement of juvenile blunt snout bream (Megalobramaamblycephala). </w:t>
      </w:r>
      <w:r w:rsidRPr="003100DC">
        <w:rPr>
          <w:rFonts w:ascii="Times New Roman" w:eastAsia="SimSun" w:hAnsi="Times New Roman" w:cs="Times New Roman"/>
          <w:i/>
          <w:iCs/>
          <w:sz w:val="24"/>
          <w:szCs w:val="24"/>
          <w:shd w:val="clear" w:color="auto" w:fill="FFFFFF"/>
        </w:rPr>
        <w:t>Aquaculture</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437</w:t>
      </w:r>
      <w:r w:rsidRPr="003100DC">
        <w:rPr>
          <w:rFonts w:ascii="Times New Roman" w:eastAsia="SimSun" w:hAnsi="Times New Roman" w:cs="Times New Roman"/>
          <w:sz w:val="24"/>
          <w:szCs w:val="24"/>
          <w:shd w:val="clear" w:color="auto" w:fill="FFFFFF"/>
        </w:rPr>
        <w:t>, 304-311.</w:t>
      </w:r>
    </w:p>
    <w:p w14:paraId="0FB88D2E"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Habte-Tsion, H.M.; Ge, X.; Liu, B.; Xie, J.; Ren, M.; Zhou, Q.; Miao, L.; Pan, L.; Chen, R. A deficiency or an excess of dietary threonine level affects weight gain, enzyme activity, immune response and immune-related gene expression in juvenile blunt snout bream (</w:t>
      </w:r>
      <w:r w:rsidRPr="003100DC">
        <w:rPr>
          <w:rStyle w:val="html-italic"/>
          <w:rFonts w:ascii="Times New Roman" w:hAnsi="Times New Roman" w:cs="Times New Roman"/>
          <w:i/>
          <w:iCs/>
          <w:sz w:val="24"/>
          <w:szCs w:val="24"/>
          <w:shd w:val="clear" w:color="auto" w:fill="FFFFFF"/>
        </w:rPr>
        <w:t>Megalobramaamblycephala</w:t>
      </w:r>
      <w:r w:rsidRPr="003100DC">
        <w:rPr>
          <w:rFonts w:ascii="Times New Roman" w:hAnsi="Times New Roman" w:cs="Times New Roman"/>
          <w:sz w:val="24"/>
          <w:szCs w:val="24"/>
          <w:shd w:val="clear" w:color="auto" w:fill="FFFFFF"/>
        </w:rPr>
        <w:t>). </w:t>
      </w:r>
      <w:r w:rsidRPr="003100DC">
        <w:rPr>
          <w:rStyle w:val="html-italic"/>
          <w:rFonts w:ascii="Times New Roman" w:hAnsi="Times New Roman" w:cs="Times New Roman"/>
          <w:i/>
          <w:iCs/>
          <w:sz w:val="24"/>
          <w:szCs w:val="24"/>
          <w:shd w:val="clear" w:color="auto" w:fill="FFFFFF"/>
        </w:rPr>
        <w:t>Fish Shellfish Immunol.</w:t>
      </w:r>
      <w:r w:rsidRPr="003100DC">
        <w:rPr>
          <w:rFonts w:ascii="Times New Roman" w:hAnsi="Times New Roman" w:cs="Times New Roman"/>
          <w:sz w:val="24"/>
          <w:szCs w:val="24"/>
          <w:shd w:val="clear" w:color="auto" w:fill="FFFFFF"/>
        </w:rPr>
        <w:t> 2015, </w:t>
      </w:r>
      <w:r w:rsidRPr="003100DC">
        <w:rPr>
          <w:rStyle w:val="html-italic"/>
          <w:rFonts w:ascii="Times New Roman" w:hAnsi="Times New Roman" w:cs="Times New Roman"/>
          <w:i/>
          <w:iCs/>
          <w:sz w:val="24"/>
          <w:szCs w:val="24"/>
          <w:shd w:val="clear" w:color="auto" w:fill="FFFFFF"/>
        </w:rPr>
        <w:t>42</w:t>
      </w:r>
      <w:r w:rsidRPr="003100DC">
        <w:rPr>
          <w:rFonts w:ascii="Times New Roman" w:hAnsi="Times New Roman" w:cs="Times New Roman"/>
          <w:sz w:val="24"/>
          <w:szCs w:val="24"/>
          <w:shd w:val="clear" w:color="auto" w:fill="FFFFFF"/>
        </w:rPr>
        <w:t>, 439–446.</w:t>
      </w:r>
    </w:p>
    <w:p w14:paraId="360CC8CC"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Style w:val="surname"/>
          <w:rFonts w:ascii="Times New Roman" w:hAnsi="Times New Roman" w:cs="Times New Roman"/>
          <w:sz w:val="24"/>
          <w:szCs w:val="24"/>
          <w:shd w:val="clear" w:color="auto" w:fill="FFFFFF"/>
        </w:rPr>
        <w:lastRenderedPageBreak/>
        <w:t>Habte-Tsion</w:t>
      </w:r>
      <w:r w:rsidRPr="003100DC">
        <w:rPr>
          <w:rStyle w:val="string-name"/>
          <w:rFonts w:ascii="Times New Roman" w:hAnsi="Times New Roman" w:cs="Times New Roman"/>
          <w:sz w:val="24"/>
          <w:szCs w:val="24"/>
          <w:shd w:val="clear" w:color="auto" w:fill="FFFFFF"/>
        </w:rPr>
        <w:t>, </w:t>
      </w:r>
      <w:r w:rsidRPr="003100DC">
        <w:rPr>
          <w:rStyle w:val="given-names"/>
          <w:rFonts w:ascii="Times New Roman" w:hAnsi="Times New Roman" w:cs="Times New Roman"/>
          <w:sz w:val="24"/>
          <w:szCs w:val="24"/>
          <w:shd w:val="clear" w:color="auto" w:fill="FFFFFF"/>
        </w:rPr>
        <w:t>H</w:t>
      </w:r>
      <w:r w:rsidRPr="003100DC">
        <w:rPr>
          <w:rFonts w:ascii="Times New Roman" w:hAnsi="Times New Roman" w:cs="Times New Roman"/>
          <w:sz w:val="24"/>
          <w:szCs w:val="24"/>
          <w:shd w:val="clear" w:color="auto" w:fill="FFFFFF"/>
        </w:rPr>
        <w:t>, </w:t>
      </w:r>
      <w:r w:rsidRPr="003100DC">
        <w:rPr>
          <w:rStyle w:val="surname"/>
          <w:rFonts w:ascii="Times New Roman" w:hAnsi="Times New Roman" w:cs="Times New Roman"/>
          <w:sz w:val="24"/>
          <w:szCs w:val="24"/>
          <w:shd w:val="clear" w:color="auto" w:fill="FFFFFF"/>
        </w:rPr>
        <w:t>Ge</w:t>
      </w:r>
      <w:r w:rsidRPr="003100DC">
        <w:rPr>
          <w:rStyle w:val="string-name"/>
          <w:rFonts w:ascii="Times New Roman" w:hAnsi="Times New Roman" w:cs="Times New Roman"/>
          <w:sz w:val="24"/>
          <w:szCs w:val="24"/>
          <w:shd w:val="clear" w:color="auto" w:fill="FFFFFF"/>
        </w:rPr>
        <w:t>, </w:t>
      </w:r>
      <w:r w:rsidRPr="003100DC">
        <w:rPr>
          <w:rStyle w:val="given-names"/>
          <w:rFonts w:ascii="Times New Roman" w:hAnsi="Times New Roman" w:cs="Times New Roman"/>
          <w:sz w:val="24"/>
          <w:szCs w:val="24"/>
          <w:shd w:val="clear" w:color="auto" w:fill="FFFFFF"/>
        </w:rPr>
        <w:t>X</w:t>
      </w:r>
      <w:r w:rsidRPr="003100DC">
        <w:rPr>
          <w:rFonts w:ascii="Times New Roman" w:hAnsi="Times New Roman" w:cs="Times New Roman"/>
          <w:sz w:val="24"/>
          <w:szCs w:val="24"/>
          <w:shd w:val="clear" w:color="auto" w:fill="FFFFFF"/>
        </w:rPr>
        <w:t>, </w:t>
      </w:r>
      <w:r w:rsidRPr="003100DC">
        <w:rPr>
          <w:rStyle w:val="surname"/>
          <w:rFonts w:ascii="Times New Roman" w:hAnsi="Times New Roman" w:cs="Times New Roman"/>
          <w:sz w:val="24"/>
          <w:szCs w:val="24"/>
          <w:shd w:val="clear" w:color="auto" w:fill="FFFFFF"/>
        </w:rPr>
        <w:t>Liu</w:t>
      </w:r>
      <w:r w:rsidRPr="003100DC">
        <w:rPr>
          <w:rStyle w:val="string-name"/>
          <w:rFonts w:ascii="Times New Roman" w:hAnsi="Times New Roman" w:cs="Times New Roman"/>
          <w:sz w:val="24"/>
          <w:szCs w:val="24"/>
          <w:shd w:val="clear" w:color="auto" w:fill="FFFFFF"/>
        </w:rPr>
        <w:t>, </w:t>
      </w:r>
      <w:r w:rsidRPr="003100DC">
        <w:rPr>
          <w:rStyle w:val="given-names"/>
          <w:rFonts w:ascii="Times New Roman" w:hAnsi="Times New Roman" w:cs="Times New Roman"/>
          <w:sz w:val="24"/>
          <w:szCs w:val="24"/>
          <w:shd w:val="clear" w:color="auto" w:fill="FFFFFF"/>
        </w:rPr>
        <w:t>B</w:t>
      </w:r>
      <w:r w:rsidRPr="003100DC">
        <w:rPr>
          <w:rFonts w:ascii="Times New Roman" w:hAnsi="Times New Roman" w:cs="Times New Roman"/>
          <w:sz w:val="24"/>
          <w:szCs w:val="24"/>
          <w:shd w:val="clear" w:color="auto" w:fill="FFFFFF"/>
        </w:rPr>
        <w:t>, </w:t>
      </w:r>
      <w:r w:rsidRPr="003100DC">
        <w:rPr>
          <w:rStyle w:val="etal"/>
          <w:rFonts w:ascii="Times New Roman" w:hAnsi="Times New Roman" w:cs="Times New Roman"/>
          <w:sz w:val="24"/>
          <w:szCs w:val="24"/>
          <w:shd w:val="clear" w:color="auto" w:fill="FFFFFF"/>
        </w:rPr>
        <w:t>et al</w:t>
      </w:r>
      <w:r w:rsidRPr="003100DC">
        <w:rPr>
          <w:rFonts w:ascii="Times New Roman" w:hAnsi="Times New Roman" w:cs="Times New Roman"/>
          <w:sz w:val="24"/>
          <w:szCs w:val="24"/>
          <w:shd w:val="clear" w:color="auto" w:fill="FFFFFF"/>
        </w:rPr>
        <w:t>. (</w:t>
      </w:r>
      <w:r w:rsidRPr="003100DC">
        <w:rPr>
          <w:rStyle w:val="year"/>
          <w:rFonts w:ascii="Times New Roman" w:hAnsi="Times New Roman" w:cs="Times New Roman"/>
          <w:sz w:val="24"/>
          <w:szCs w:val="24"/>
          <w:shd w:val="clear" w:color="auto" w:fill="FFFFFF"/>
        </w:rPr>
        <w:t>2015</w:t>
      </w:r>
      <w:r w:rsidRPr="003100DC">
        <w:rPr>
          <w:rFonts w:ascii="Times New Roman" w:hAnsi="Times New Roman" w:cs="Times New Roman"/>
          <w:sz w:val="24"/>
          <w:szCs w:val="24"/>
          <w:shd w:val="clear" w:color="auto" w:fill="FFFFFF"/>
        </w:rPr>
        <w:t>) </w:t>
      </w:r>
      <w:r w:rsidRPr="003100DC">
        <w:rPr>
          <w:rStyle w:val="article-title"/>
          <w:rFonts w:ascii="Times New Roman" w:hAnsi="Times New Roman" w:cs="Times New Roman"/>
          <w:sz w:val="24"/>
          <w:szCs w:val="24"/>
          <w:shd w:val="clear" w:color="auto" w:fill="FFFFFF"/>
        </w:rPr>
        <w:t>A deficiency or an excess of dietary threonine level affects weight gain, enzyme activity, immune response and immune-related gene expression in juvenile blunt snout bream (</w:t>
      </w:r>
      <w:r w:rsidRPr="003100DC">
        <w:rPr>
          <w:rStyle w:val="Emphasis"/>
          <w:rFonts w:ascii="Times New Roman" w:hAnsi="Times New Roman" w:cs="Times New Roman"/>
          <w:sz w:val="24"/>
          <w:szCs w:val="24"/>
          <w:shd w:val="clear" w:color="auto" w:fill="FFFFFF"/>
        </w:rPr>
        <w:t>Megalobramaamblycephala</w:t>
      </w:r>
      <w:r w:rsidRPr="003100DC">
        <w:rPr>
          <w:rStyle w:val="article-title"/>
          <w:rFonts w:ascii="Times New Roman" w:hAnsi="Times New Roman" w:cs="Times New Roman"/>
          <w:sz w:val="24"/>
          <w:szCs w:val="24"/>
          <w:shd w:val="clear" w:color="auto" w:fill="FFFFFF"/>
        </w:rPr>
        <w:t>)</w:t>
      </w:r>
      <w:r w:rsidRPr="003100DC">
        <w:rPr>
          <w:rFonts w:ascii="Times New Roman" w:hAnsi="Times New Roman" w:cs="Times New Roman"/>
          <w:sz w:val="24"/>
          <w:szCs w:val="24"/>
          <w:shd w:val="clear" w:color="auto" w:fill="FFFFFF"/>
        </w:rPr>
        <w:t>. </w:t>
      </w:r>
      <w:r w:rsidRPr="003100DC">
        <w:rPr>
          <w:rStyle w:val="source"/>
          <w:rFonts w:ascii="Times New Roman" w:hAnsi="Times New Roman" w:cs="Times New Roman"/>
          <w:sz w:val="24"/>
          <w:szCs w:val="24"/>
          <w:shd w:val="clear" w:color="auto" w:fill="FFFFFF"/>
        </w:rPr>
        <w:t>Fish Shellfish Immun</w:t>
      </w:r>
      <w:r w:rsidRPr="003100DC">
        <w:rPr>
          <w:rFonts w:ascii="Times New Roman" w:hAnsi="Times New Roman" w:cs="Times New Roman"/>
          <w:sz w:val="24"/>
          <w:szCs w:val="24"/>
          <w:shd w:val="clear" w:color="auto" w:fill="FFFFFF"/>
        </w:rPr>
        <w:t> </w:t>
      </w:r>
      <w:r w:rsidRPr="003100DC">
        <w:rPr>
          <w:rStyle w:val="volume"/>
          <w:rFonts w:ascii="Times New Roman" w:hAnsi="Times New Roman" w:cs="Times New Roman"/>
          <w:sz w:val="24"/>
          <w:szCs w:val="24"/>
          <w:shd w:val="clear" w:color="auto" w:fill="FFFFFF"/>
        </w:rPr>
        <w:t>42</w:t>
      </w:r>
      <w:r w:rsidRPr="003100DC">
        <w:rPr>
          <w:rFonts w:ascii="Times New Roman" w:hAnsi="Times New Roman" w:cs="Times New Roman"/>
          <w:sz w:val="24"/>
          <w:szCs w:val="24"/>
          <w:shd w:val="clear" w:color="auto" w:fill="FFFFFF"/>
        </w:rPr>
        <w:t>, </w:t>
      </w:r>
      <w:r w:rsidRPr="003100DC">
        <w:rPr>
          <w:rStyle w:val="fpage"/>
          <w:rFonts w:ascii="Times New Roman" w:hAnsi="Times New Roman" w:cs="Times New Roman"/>
          <w:sz w:val="24"/>
          <w:szCs w:val="24"/>
          <w:shd w:val="clear" w:color="auto" w:fill="FFFFFF"/>
        </w:rPr>
        <w:t>439</w:t>
      </w:r>
      <w:r w:rsidRPr="003100DC">
        <w:rPr>
          <w:rFonts w:ascii="Times New Roman" w:hAnsi="Times New Roman" w:cs="Times New Roman"/>
          <w:sz w:val="24"/>
          <w:szCs w:val="24"/>
          <w:shd w:val="clear" w:color="auto" w:fill="FFFFFF"/>
        </w:rPr>
        <w:t>–</w:t>
      </w:r>
      <w:r w:rsidRPr="003100DC">
        <w:rPr>
          <w:rStyle w:val="lpage"/>
          <w:rFonts w:ascii="Times New Roman" w:hAnsi="Times New Roman" w:cs="Times New Roman"/>
          <w:sz w:val="24"/>
          <w:szCs w:val="24"/>
          <w:shd w:val="clear" w:color="auto" w:fill="FFFFFF"/>
        </w:rPr>
        <w:t>446</w:t>
      </w:r>
      <w:r w:rsidRPr="003100DC">
        <w:rPr>
          <w:rFonts w:ascii="Times New Roman" w:hAnsi="Times New Roman" w:cs="Times New Roman"/>
          <w:sz w:val="24"/>
          <w:szCs w:val="24"/>
          <w:shd w:val="clear" w:color="auto" w:fill="FFFFFF"/>
        </w:rPr>
        <w:t>.</w:t>
      </w:r>
    </w:p>
    <w:p w14:paraId="237FFE99"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Halver, J. E. (1957). Nutrition of salmonoid fishes: III. Water-soluble vitamin requirements of chinook salmon. </w:t>
      </w:r>
      <w:r w:rsidRPr="003100DC">
        <w:rPr>
          <w:rFonts w:ascii="Times New Roman" w:eastAsia="SimSun" w:hAnsi="Times New Roman" w:cs="Times New Roman"/>
          <w:i/>
          <w:iCs/>
          <w:sz w:val="24"/>
          <w:szCs w:val="24"/>
          <w:shd w:val="clear" w:color="auto" w:fill="FFFFFF"/>
        </w:rPr>
        <w:t>The Journal of nutrition</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62</w:t>
      </w:r>
      <w:r w:rsidRPr="003100DC">
        <w:rPr>
          <w:rFonts w:ascii="Times New Roman" w:eastAsia="SimSun" w:hAnsi="Times New Roman" w:cs="Times New Roman"/>
          <w:sz w:val="24"/>
          <w:szCs w:val="24"/>
          <w:shd w:val="clear" w:color="auto" w:fill="FFFFFF"/>
        </w:rPr>
        <w:t>(2), 225-243.</w:t>
      </w:r>
    </w:p>
    <w:p w14:paraId="0056E7D0" w14:textId="77777777" w:rsidR="004D6B7D" w:rsidRPr="003100DC" w:rsidRDefault="004D6B7D" w:rsidP="004D6B7D">
      <w:pPr>
        <w:jc w:val="both"/>
        <w:rPr>
          <w:rFonts w:ascii="Times New Roman" w:hAnsi="Times New Roman" w:cs="Times New Roman"/>
          <w:sz w:val="24"/>
        </w:rPr>
      </w:pPr>
      <w:r w:rsidRPr="003100DC">
        <w:rPr>
          <w:rFonts w:ascii="Times New Roman" w:hAnsi="Times New Roman" w:cs="Times New Roman"/>
          <w:sz w:val="24"/>
        </w:rPr>
        <w:t>He, A. Y., Xu, C., Liu, Y. J., Jiang, G. Z., &amp; Lu, X. (2015). Dietary threonine requirement of juvenile large yellow croaker (</w:t>
      </w:r>
      <w:r w:rsidRPr="003100DC">
        <w:rPr>
          <w:rFonts w:ascii="Times New Roman" w:hAnsi="Times New Roman" w:cs="Times New Roman"/>
          <w:i/>
          <w:iCs/>
          <w:sz w:val="24"/>
        </w:rPr>
        <w:t>Larimichthys crocea</w:t>
      </w:r>
      <w:r w:rsidRPr="003100DC">
        <w:rPr>
          <w:rFonts w:ascii="Times New Roman" w:hAnsi="Times New Roman" w:cs="Times New Roman"/>
          <w:sz w:val="24"/>
        </w:rPr>
        <w:t xml:space="preserve">). </w:t>
      </w:r>
      <w:r w:rsidRPr="003100DC">
        <w:rPr>
          <w:rFonts w:ascii="Times New Roman" w:hAnsi="Times New Roman" w:cs="Times New Roman"/>
          <w:i/>
          <w:iCs/>
          <w:sz w:val="24"/>
        </w:rPr>
        <w:t>Aquaculture Nutrition, 21</w:t>
      </w:r>
      <w:r w:rsidRPr="003100DC">
        <w:rPr>
          <w:rFonts w:ascii="Times New Roman" w:hAnsi="Times New Roman" w:cs="Times New Roman"/>
          <w:sz w:val="24"/>
        </w:rPr>
        <w:t>(5), 696–705. https://doi.org/10.1111/anu.12199.</w:t>
      </w:r>
    </w:p>
    <w:p w14:paraId="2107BAD4"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Style w:val="surname"/>
          <w:rFonts w:ascii="Times New Roman" w:hAnsi="Times New Roman" w:cs="Times New Roman"/>
          <w:sz w:val="24"/>
          <w:szCs w:val="24"/>
          <w:shd w:val="clear" w:color="auto" w:fill="FFFFFF"/>
        </w:rPr>
        <w:t>Hamard</w:t>
      </w:r>
      <w:r w:rsidRPr="003100DC">
        <w:rPr>
          <w:rStyle w:val="string-name"/>
          <w:rFonts w:ascii="Times New Roman" w:hAnsi="Times New Roman" w:cs="Times New Roman"/>
          <w:sz w:val="24"/>
          <w:szCs w:val="24"/>
          <w:shd w:val="clear" w:color="auto" w:fill="FFFFFF"/>
        </w:rPr>
        <w:t>, </w:t>
      </w:r>
      <w:r w:rsidRPr="003100DC">
        <w:rPr>
          <w:rStyle w:val="given-names"/>
          <w:rFonts w:ascii="Times New Roman" w:hAnsi="Times New Roman" w:cs="Times New Roman"/>
          <w:sz w:val="24"/>
          <w:szCs w:val="24"/>
          <w:shd w:val="clear" w:color="auto" w:fill="FFFFFF"/>
        </w:rPr>
        <w:t>A</w:t>
      </w:r>
      <w:r w:rsidRPr="003100DC">
        <w:rPr>
          <w:rFonts w:ascii="Times New Roman" w:hAnsi="Times New Roman" w:cs="Times New Roman"/>
          <w:sz w:val="24"/>
          <w:szCs w:val="24"/>
          <w:shd w:val="clear" w:color="auto" w:fill="FFFFFF"/>
        </w:rPr>
        <w:t>, </w:t>
      </w:r>
      <w:r w:rsidRPr="003100DC">
        <w:rPr>
          <w:rStyle w:val="surname"/>
          <w:rFonts w:ascii="Times New Roman" w:hAnsi="Times New Roman" w:cs="Times New Roman"/>
          <w:sz w:val="24"/>
          <w:szCs w:val="24"/>
          <w:shd w:val="clear" w:color="auto" w:fill="FFFFFF"/>
        </w:rPr>
        <w:t>Sève</w:t>
      </w:r>
      <w:r w:rsidRPr="003100DC">
        <w:rPr>
          <w:rStyle w:val="string-name"/>
          <w:rFonts w:ascii="Times New Roman" w:hAnsi="Times New Roman" w:cs="Times New Roman"/>
          <w:sz w:val="24"/>
          <w:szCs w:val="24"/>
          <w:shd w:val="clear" w:color="auto" w:fill="FFFFFF"/>
        </w:rPr>
        <w:t>, </w:t>
      </w:r>
      <w:r w:rsidRPr="003100DC">
        <w:rPr>
          <w:rStyle w:val="given-names"/>
          <w:rFonts w:ascii="Times New Roman" w:hAnsi="Times New Roman" w:cs="Times New Roman"/>
          <w:sz w:val="24"/>
          <w:szCs w:val="24"/>
          <w:shd w:val="clear" w:color="auto" w:fill="FFFFFF"/>
        </w:rPr>
        <w:t>B</w:t>
      </w:r>
      <w:r w:rsidRPr="003100DC">
        <w:rPr>
          <w:rFonts w:ascii="Times New Roman" w:hAnsi="Times New Roman" w:cs="Times New Roman"/>
          <w:sz w:val="24"/>
          <w:szCs w:val="24"/>
          <w:shd w:val="clear" w:color="auto" w:fill="FFFFFF"/>
        </w:rPr>
        <w:t> &amp; </w:t>
      </w:r>
      <w:r w:rsidRPr="003100DC">
        <w:rPr>
          <w:rStyle w:val="surname"/>
          <w:rFonts w:ascii="Times New Roman" w:hAnsi="Times New Roman" w:cs="Times New Roman"/>
          <w:sz w:val="24"/>
          <w:szCs w:val="24"/>
          <w:shd w:val="clear" w:color="auto" w:fill="FFFFFF"/>
        </w:rPr>
        <w:t>Floch</w:t>
      </w:r>
      <w:r w:rsidRPr="003100DC">
        <w:rPr>
          <w:rStyle w:val="string-name"/>
          <w:rFonts w:ascii="Times New Roman" w:hAnsi="Times New Roman" w:cs="Times New Roman"/>
          <w:sz w:val="24"/>
          <w:szCs w:val="24"/>
          <w:shd w:val="clear" w:color="auto" w:fill="FFFFFF"/>
        </w:rPr>
        <w:t>, </w:t>
      </w:r>
      <w:r w:rsidRPr="003100DC">
        <w:rPr>
          <w:rStyle w:val="given-names"/>
          <w:rFonts w:ascii="Times New Roman" w:hAnsi="Times New Roman" w:cs="Times New Roman"/>
          <w:sz w:val="24"/>
          <w:szCs w:val="24"/>
          <w:shd w:val="clear" w:color="auto" w:fill="FFFFFF"/>
        </w:rPr>
        <w:t>NL</w:t>
      </w:r>
      <w:r w:rsidRPr="003100DC">
        <w:rPr>
          <w:rFonts w:ascii="Times New Roman" w:hAnsi="Times New Roman" w:cs="Times New Roman"/>
          <w:sz w:val="24"/>
          <w:szCs w:val="24"/>
          <w:shd w:val="clear" w:color="auto" w:fill="FFFFFF"/>
        </w:rPr>
        <w:t> (</w:t>
      </w:r>
      <w:r w:rsidRPr="003100DC">
        <w:rPr>
          <w:rStyle w:val="year"/>
          <w:rFonts w:ascii="Times New Roman" w:hAnsi="Times New Roman" w:cs="Times New Roman"/>
          <w:sz w:val="24"/>
          <w:szCs w:val="24"/>
          <w:shd w:val="clear" w:color="auto" w:fill="FFFFFF"/>
        </w:rPr>
        <w:t>2009</w:t>
      </w:r>
      <w:r w:rsidRPr="003100DC">
        <w:rPr>
          <w:rFonts w:ascii="Times New Roman" w:hAnsi="Times New Roman" w:cs="Times New Roman"/>
          <w:sz w:val="24"/>
          <w:szCs w:val="24"/>
          <w:shd w:val="clear" w:color="auto" w:fill="FFFFFF"/>
        </w:rPr>
        <w:t>) </w:t>
      </w:r>
      <w:r w:rsidRPr="003100DC">
        <w:rPr>
          <w:rStyle w:val="article-title"/>
          <w:rFonts w:ascii="Times New Roman" w:hAnsi="Times New Roman" w:cs="Times New Roman"/>
          <w:sz w:val="24"/>
          <w:szCs w:val="24"/>
          <w:shd w:val="clear" w:color="auto" w:fill="FFFFFF"/>
        </w:rPr>
        <w:t>A moderate threonine deficiency differently affects protein metabolism in tissues of early-weaned piglets</w:t>
      </w:r>
      <w:r w:rsidRPr="003100DC">
        <w:rPr>
          <w:rFonts w:ascii="Times New Roman" w:hAnsi="Times New Roman" w:cs="Times New Roman"/>
          <w:sz w:val="24"/>
          <w:szCs w:val="24"/>
          <w:shd w:val="clear" w:color="auto" w:fill="FFFFFF"/>
        </w:rPr>
        <w:t>. </w:t>
      </w:r>
      <w:r w:rsidRPr="003100DC">
        <w:rPr>
          <w:rStyle w:val="source"/>
          <w:rFonts w:ascii="Times New Roman" w:hAnsi="Times New Roman" w:cs="Times New Roman"/>
          <w:sz w:val="24"/>
          <w:szCs w:val="24"/>
          <w:shd w:val="clear" w:color="auto" w:fill="FFFFFF"/>
        </w:rPr>
        <w:t>Comp BiochemPhysiolA Mol IntegrPhysiol</w:t>
      </w:r>
      <w:r w:rsidRPr="003100DC">
        <w:rPr>
          <w:rFonts w:ascii="Times New Roman" w:hAnsi="Times New Roman" w:cs="Times New Roman"/>
          <w:sz w:val="24"/>
          <w:szCs w:val="24"/>
          <w:shd w:val="clear" w:color="auto" w:fill="FFFFFF"/>
        </w:rPr>
        <w:t> </w:t>
      </w:r>
      <w:r w:rsidRPr="003100DC">
        <w:rPr>
          <w:rStyle w:val="volume"/>
          <w:rFonts w:ascii="Times New Roman" w:hAnsi="Times New Roman" w:cs="Times New Roman"/>
          <w:sz w:val="24"/>
          <w:szCs w:val="24"/>
          <w:shd w:val="clear" w:color="auto" w:fill="FFFFFF"/>
        </w:rPr>
        <w:t>152</w:t>
      </w:r>
      <w:r w:rsidRPr="003100DC">
        <w:rPr>
          <w:rFonts w:ascii="Times New Roman" w:hAnsi="Times New Roman" w:cs="Times New Roman"/>
          <w:sz w:val="24"/>
          <w:szCs w:val="24"/>
          <w:shd w:val="clear" w:color="auto" w:fill="FFFFFF"/>
        </w:rPr>
        <w:t>, </w:t>
      </w:r>
      <w:r w:rsidRPr="003100DC">
        <w:rPr>
          <w:rStyle w:val="fpage"/>
          <w:rFonts w:ascii="Times New Roman" w:hAnsi="Times New Roman" w:cs="Times New Roman"/>
          <w:sz w:val="24"/>
          <w:szCs w:val="24"/>
          <w:shd w:val="clear" w:color="auto" w:fill="FFFFFF"/>
        </w:rPr>
        <w:t>491</w:t>
      </w:r>
      <w:r w:rsidRPr="003100DC">
        <w:rPr>
          <w:rFonts w:ascii="Times New Roman" w:hAnsi="Times New Roman" w:cs="Times New Roman"/>
          <w:sz w:val="24"/>
          <w:szCs w:val="24"/>
          <w:shd w:val="clear" w:color="auto" w:fill="FFFFFF"/>
        </w:rPr>
        <w:t>–</w:t>
      </w:r>
      <w:r w:rsidRPr="003100DC">
        <w:rPr>
          <w:rStyle w:val="lpage"/>
          <w:rFonts w:ascii="Times New Roman" w:hAnsi="Times New Roman" w:cs="Times New Roman"/>
          <w:sz w:val="24"/>
          <w:szCs w:val="24"/>
          <w:shd w:val="clear" w:color="auto" w:fill="FFFFFF"/>
        </w:rPr>
        <w:t>497</w:t>
      </w:r>
      <w:r w:rsidRPr="003100DC">
        <w:rPr>
          <w:rFonts w:ascii="Times New Roman" w:hAnsi="Times New Roman" w:cs="Times New Roman"/>
          <w:sz w:val="24"/>
          <w:szCs w:val="24"/>
          <w:shd w:val="clear" w:color="auto" w:fill="FFFFFF"/>
        </w:rPr>
        <w:t>.</w:t>
      </w:r>
    </w:p>
    <w:p w14:paraId="40972D8F"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He, Z., Mai, K., Li, Y., Cheng, Z., &amp; Ai, Q. (2016). Dietary threonine requirement of juvenile large yellow croaker, L armichthyscrocea. </w:t>
      </w:r>
      <w:r w:rsidRPr="003100DC">
        <w:rPr>
          <w:rFonts w:ascii="Times New Roman" w:eastAsia="SimSun" w:hAnsi="Times New Roman" w:cs="Times New Roman"/>
          <w:i/>
          <w:iCs/>
          <w:sz w:val="24"/>
          <w:szCs w:val="24"/>
          <w:shd w:val="clear" w:color="auto" w:fill="FFFFFF"/>
        </w:rPr>
        <w:t>Aquaculture Research</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47</w:t>
      </w:r>
      <w:r w:rsidRPr="003100DC">
        <w:rPr>
          <w:rFonts w:ascii="Times New Roman" w:eastAsia="SimSun" w:hAnsi="Times New Roman" w:cs="Times New Roman"/>
          <w:sz w:val="24"/>
          <w:szCs w:val="24"/>
          <w:shd w:val="clear" w:color="auto" w:fill="FFFFFF"/>
        </w:rPr>
        <w:t>(11), 3616-3624.</w:t>
      </w:r>
    </w:p>
    <w:p w14:paraId="02BBA750"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Helland, S. J., &amp; Grisdale-Helland, B. (2011). Dietary threonine requirement of Atlantic salmon smolts. </w:t>
      </w:r>
      <w:r w:rsidRPr="003100DC">
        <w:rPr>
          <w:rFonts w:ascii="Times New Roman" w:eastAsia="SimSun" w:hAnsi="Times New Roman" w:cs="Times New Roman"/>
          <w:i/>
          <w:iCs/>
          <w:sz w:val="24"/>
          <w:szCs w:val="24"/>
          <w:shd w:val="clear" w:color="auto" w:fill="FFFFFF"/>
        </w:rPr>
        <w:t>Aquaculture</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321</w:t>
      </w:r>
      <w:r w:rsidRPr="003100DC">
        <w:rPr>
          <w:rFonts w:ascii="Times New Roman" w:eastAsia="SimSun" w:hAnsi="Times New Roman" w:cs="Times New Roman"/>
          <w:sz w:val="24"/>
          <w:szCs w:val="24"/>
          <w:shd w:val="clear" w:color="auto" w:fill="FFFFFF"/>
        </w:rPr>
        <w:t>(3-4), 230-236.</w:t>
      </w:r>
    </w:p>
    <w:p w14:paraId="740E4BCD"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Hermann, T. (2003). Industrial production of amino acids by coryneform bacteria. </w:t>
      </w:r>
      <w:r w:rsidRPr="003100DC">
        <w:rPr>
          <w:rFonts w:ascii="Times New Roman" w:hAnsi="Times New Roman" w:cs="Times New Roman"/>
          <w:i/>
          <w:iCs/>
          <w:sz w:val="24"/>
          <w:szCs w:val="24"/>
          <w:shd w:val="clear" w:color="auto" w:fill="FFFFFF"/>
        </w:rPr>
        <w:t>Journal of biotechnology</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104</w:t>
      </w:r>
      <w:r w:rsidRPr="003100DC">
        <w:rPr>
          <w:rFonts w:ascii="Times New Roman" w:hAnsi="Times New Roman" w:cs="Times New Roman"/>
          <w:sz w:val="24"/>
          <w:szCs w:val="24"/>
          <w:shd w:val="clear" w:color="auto" w:fill="FFFFFF"/>
        </w:rPr>
        <w:t>(1-3), 155-172.</w:t>
      </w:r>
    </w:p>
    <w:p w14:paraId="637EE9F7"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House, J. D., Hall, B. N., &amp; Brosnan, J. T. (2001). Threonine metabolism in isolated rat hepatocytes. </w:t>
      </w:r>
      <w:r w:rsidRPr="003100DC">
        <w:rPr>
          <w:rFonts w:ascii="Times New Roman" w:hAnsi="Times New Roman" w:cs="Times New Roman"/>
          <w:i/>
          <w:iCs/>
          <w:sz w:val="24"/>
          <w:szCs w:val="24"/>
          <w:shd w:val="clear" w:color="auto" w:fill="FFFFFF"/>
        </w:rPr>
        <w:t>American Journal of Physiology-Endocrinology and Metabolism</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281</w:t>
      </w:r>
      <w:r w:rsidRPr="003100DC">
        <w:rPr>
          <w:rFonts w:ascii="Times New Roman" w:hAnsi="Times New Roman" w:cs="Times New Roman"/>
          <w:sz w:val="24"/>
          <w:szCs w:val="24"/>
          <w:shd w:val="clear" w:color="auto" w:fill="FFFFFF"/>
        </w:rPr>
        <w:t>(6), E1300-E1307.</w:t>
      </w:r>
    </w:p>
    <w:p w14:paraId="16E28844" w14:textId="77777777" w:rsidR="00743102" w:rsidRPr="001A569A" w:rsidRDefault="004C3C06">
      <w:pPr>
        <w:spacing w:line="240" w:lineRule="auto"/>
        <w:jc w:val="both"/>
        <w:rPr>
          <w:rFonts w:ascii="Times New Roman" w:hAnsi="Times New Roman" w:cs="Times New Roman"/>
          <w:sz w:val="24"/>
          <w:szCs w:val="24"/>
          <w:shd w:val="clear" w:color="auto" w:fill="FFFFFF"/>
          <w:lang w:val="de-DE"/>
        </w:rPr>
      </w:pPr>
      <w:r w:rsidRPr="003100DC">
        <w:rPr>
          <w:rFonts w:ascii="Times New Roman" w:hAnsi="Times New Roman" w:cs="Times New Roman"/>
          <w:sz w:val="24"/>
          <w:szCs w:val="24"/>
          <w:shd w:val="clear" w:color="auto" w:fill="FFFFFF"/>
        </w:rPr>
        <w:t xml:space="preserve">Ikeda, M., &amp; Takeno, S. (2012). Amino acid production by Corynebacterium glutamicum. </w:t>
      </w:r>
      <w:r w:rsidRPr="001A569A">
        <w:rPr>
          <w:rFonts w:ascii="Times New Roman" w:hAnsi="Times New Roman" w:cs="Times New Roman"/>
          <w:sz w:val="24"/>
          <w:szCs w:val="24"/>
          <w:shd w:val="clear" w:color="auto" w:fill="FFFFFF"/>
          <w:lang w:val="de-DE"/>
        </w:rPr>
        <w:t>In </w:t>
      </w:r>
      <w:r w:rsidRPr="001A569A">
        <w:rPr>
          <w:rFonts w:ascii="Times New Roman" w:hAnsi="Times New Roman" w:cs="Times New Roman"/>
          <w:i/>
          <w:iCs/>
          <w:sz w:val="24"/>
          <w:szCs w:val="24"/>
          <w:shd w:val="clear" w:color="auto" w:fill="FFFFFF"/>
          <w:lang w:val="de-DE"/>
        </w:rPr>
        <w:t>Corynebacterium glutamicum: biology and biotechnology</w:t>
      </w:r>
      <w:r w:rsidRPr="001A569A">
        <w:rPr>
          <w:rFonts w:ascii="Times New Roman" w:hAnsi="Times New Roman" w:cs="Times New Roman"/>
          <w:sz w:val="24"/>
          <w:szCs w:val="24"/>
          <w:shd w:val="clear" w:color="auto" w:fill="FFFFFF"/>
          <w:lang w:val="de-DE"/>
        </w:rPr>
        <w:t> (pp. 107-147). Berlin, Heidelberg: Springer Berlin Heidelberg.</w:t>
      </w:r>
    </w:p>
    <w:p w14:paraId="0B9262E3" w14:textId="77777777" w:rsidR="00743102" w:rsidRPr="001A569A" w:rsidRDefault="004C3C06">
      <w:pPr>
        <w:spacing w:line="240" w:lineRule="auto"/>
        <w:jc w:val="both"/>
        <w:rPr>
          <w:rFonts w:ascii="Times New Roman" w:hAnsi="Times New Roman" w:cs="Times New Roman"/>
          <w:sz w:val="24"/>
          <w:szCs w:val="24"/>
          <w:shd w:val="clear" w:color="auto" w:fill="FFFFFF"/>
          <w:lang w:val="de-DE"/>
        </w:rPr>
      </w:pPr>
      <w:r w:rsidRPr="003100DC">
        <w:rPr>
          <w:rFonts w:ascii="Times New Roman" w:hAnsi="Times New Roman" w:cs="Times New Roman"/>
          <w:sz w:val="24"/>
          <w:szCs w:val="24"/>
          <w:shd w:val="clear" w:color="auto" w:fill="FFFFFF"/>
        </w:rPr>
        <w:t>Jiang, Y., Xie, M., Fan, W., Xue, J., Zhou, Z., Tang, J., ... &amp; Hou, S. (2019). Transcriptome analysis reveals differential expression of genes regulating hepatic triglyceride metabolism in pekin ducks during dietary threonine deficiency. </w:t>
      </w:r>
      <w:r w:rsidRPr="001A569A">
        <w:rPr>
          <w:rFonts w:ascii="Times New Roman" w:hAnsi="Times New Roman" w:cs="Times New Roman"/>
          <w:i/>
          <w:iCs/>
          <w:sz w:val="24"/>
          <w:szCs w:val="24"/>
          <w:shd w:val="clear" w:color="auto" w:fill="FFFFFF"/>
          <w:lang w:val="de-DE"/>
        </w:rPr>
        <w:t>Frontiers in Genetics</w:t>
      </w:r>
      <w:r w:rsidRPr="001A569A">
        <w:rPr>
          <w:rFonts w:ascii="Times New Roman" w:hAnsi="Times New Roman" w:cs="Times New Roman"/>
          <w:sz w:val="24"/>
          <w:szCs w:val="24"/>
          <w:shd w:val="clear" w:color="auto" w:fill="FFFFFF"/>
          <w:lang w:val="de-DE"/>
        </w:rPr>
        <w:t>, </w:t>
      </w:r>
      <w:r w:rsidRPr="001A569A">
        <w:rPr>
          <w:rFonts w:ascii="Times New Roman" w:hAnsi="Times New Roman" w:cs="Times New Roman"/>
          <w:i/>
          <w:iCs/>
          <w:sz w:val="24"/>
          <w:szCs w:val="24"/>
          <w:shd w:val="clear" w:color="auto" w:fill="FFFFFF"/>
          <w:lang w:val="de-DE"/>
        </w:rPr>
        <w:t>10</w:t>
      </w:r>
      <w:r w:rsidRPr="001A569A">
        <w:rPr>
          <w:rFonts w:ascii="Times New Roman" w:hAnsi="Times New Roman" w:cs="Times New Roman"/>
          <w:sz w:val="24"/>
          <w:szCs w:val="24"/>
          <w:shd w:val="clear" w:color="auto" w:fill="FFFFFF"/>
          <w:lang w:val="de-DE"/>
        </w:rPr>
        <w:t>, 710.</w:t>
      </w:r>
    </w:p>
    <w:p w14:paraId="09E84B33"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1A569A">
        <w:rPr>
          <w:rFonts w:ascii="Times New Roman" w:hAnsi="Times New Roman" w:cs="Times New Roman"/>
          <w:sz w:val="24"/>
          <w:szCs w:val="24"/>
          <w:shd w:val="clear" w:color="auto" w:fill="FFFFFF"/>
          <w:lang w:val="de-DE"/>
        </w:rPr>
        <w:t xml:space="preserve">Kayser, A., Weber, J., Hecht, V., &amp; Rinas, U. (2005). </w:t>
      </w:r>
      <w:r w:rsidRPr="003100DC">
        <w:rPr>
          <w:rFonts w:ascii="Times New Roman" w:hAnsi="Times New Roman" w:cs="Times New Roman"/>
          <w:sz w:val="24"/>
          <w:szCs w:val="24"/>
          <w:shd w:val="clear" w:color="auto" w:fill="FFFFFF"/>
        </w:rPr>
        <w:t>Metabolic flux analysis of Escherichia coli in glucose-limited continuous culture. I. Growth-rate-dependent metabolic efficiency at steady state. </w:t>
      </w:r>
      <w:r w:rsidRPr="003100DC">
        <w:rPr>
          <w:rFonts w:ascii="Times New Roman" w:hAnsi="Times New Roman" w:cs="Times New Roman"/>
          <w:i/>
          <w:iCs/>
          <w:sz w:val="24"/>
          <w:szCs w:val="24"/>
          <w:shd w:val="clear" w:color="auto" w:fill="FFFFFF"/>
        </w:rPr>
        <w:t>Microbiology</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151</w:t>
      </w:r>
      <w:r w:rsidRPr="003100DC">
        <w:rPr>
          <w:rFonts w:ascii="Times New Roman" w:hAnsi="Times New Roman" w:cs="Times New Roman"/>
          <w:sz w:val="24"/>
          <w:szCs w:val="24"/>
          <w:shd w:val="clear" w:color="auto" w:fill="FFFFFF"/>
        </w:rPr>
        <w:t>(3), 693-706.</w:t>
      </w:r>
    </w:p>
    <w:p w14:paraId="2F99A7DD"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Keembiyehetty, C. N., &amp; Gatlin III, D. M. (1997). Dietary threonine requirement of juvenile hybrid striped bass (Morone chrysops♀× M. saxatilis♂). </w:t>
      </w:r>
      <w:r w:rsidRPr="003100DC">
        <w:rPr>
          <w:rFonts w:ascii="Times New Roman" w:eastAsia="SimSun" w:hAnsi="Times New Roman" w:cs="Times New Roman"/>
          <w:i/>
          <w:iCs/>
          <w:sz w:val="24"/>
          <w:szCs w:val="24"/>
          <w:shd w:val="clear" w:color="auto" w:fill="FFFFFF"/>
        </w:rPr>
        <w:t>Aquaculture Nutrition</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3</w:t>
      </w:r>
      <w:r w:rsidRPr="003100DC">
        <w:rPr>
          <w:rFonts w:ascii="Times New Roman" w:eastAsia="SimSun" w:hAnsi="Times New Roman" w:cs="Times New Roman"/>
          <w:sz w:val="24"/>
          <w:szCs w:val="24"/>
          <w:shd w:val="clear" w:color="auto" w:fill="FFFFFF"/>
        </w:rPr>
        <w:t>(4), 217-221.</w:t>
      </w:r>
    </w:p>
    <w:p w14:paraId="34C995F0"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Keembiyehetty, C. N., &amp; Gatlin III, D. M. (1997). Dietary threonine requirement of juvenile hybrid striped bass (Morone chrysops♀× M. saxatilis♂). </w:t>
      </w:r>
      <w:r w:rsidRPr="003100DC">
        <w:rPr>
          <w:rFonts w:ascii="Times New Roman" w:eastAsia="SimSun" w:hAnsi="Times New Roman" w:cs="Times New Roman"/>
          <w:i/>
          <w:iCs/>
          <w:sz w:val="24"/>
          <w:szCs w:val="24"/>
          <w:shd w:val="clear" w:color="auto" w:fill="FFFFFF"/>
        </w:rPr>
        <w:t>Aquaculture Nutrition</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3</w:t>
      </w:r>
      <w:r w:rsidRPr="003100DC">
        <w:rPr>
          <w:rFonts w:ascii="Times New Roman" w:eastAsia="SimSun" w:hAnsi="Times New Roman" w:cs="Times New Roman"/>
          <w:sz w:val="24"/>
          <w:szCs w:val="24"/>
          <w:shd w:val="clear" w:color="auto" w:fill="FFFFFF"/>
        </w:rPr>
        <w:t>(4), 217-221.</w:t>
      </w:r>
    </w:p>
    <w:p w14:paraId="3489EB0F"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Kidd, M. T., &amp; Kerr, B. J. (1996). L-threonine for poultry: A review. </w:t>
      </w:r>
      <w:r w:rsidRPr="003100DC">
        <w:rPr>
          <w:rFonts w:ascii="Times New Roman" w:hAnsi="Times New Roman" w:cs="Times New Roman"/>
          <w:i/>
          <w:iCs/>
          <w:sz w:val="24"/>
          <w:szCs w:val="24"/>
          <w:shd w:val="clear" w:color="auto" w:fill="FFFFFF"/>
        </w:rPr>
        <w:t>Journal of Applied Poultry Research</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5</w:t>
      </w:r>
      <w:r w:rsidRPr="003100DC">
        <w:rPr>
          <w:rFonts w:ascii="Times New Roman" w:hAnsi="Times New Roman" w:cs="Times New Roman"/>
          <w:sz w:val="24"/>
          <w:szCs w:val="24"/>
          <w:shd w:val="clear" w:color="auto" w:fill="FFFFFF"/>
        </w:rPr>
        <w:t>(4), 358-367.</w:t>
      </w:r>
    </w:p>
    <w:p w14:paraId="2A0B743E"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Kidd, M. T., &amp; Kerr, B. J. (1996). L-threonine for poultry: A review. </w:t>
      </w:r>
      <w:r w:rsidRPr="003100DC">
        <w:rPr>
          <w:rFonts w:ascii="Times New Roman" w:hAnsi="Times New Roman" w:cs="Times New Roman"/>
          <w:i/>
          <w:iCs/>
          <w:sz w:val="24"/>
          <w:szCs w:val="24"/>
          <w:shd w:val="clear" w:color="auto" w:fill="FFFFFF"/>
        </w:rPr>
        <w:t>Journal of Applied Poultry Research</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5</w:t>
      </w:r>
      <w:r w:rsidRPr="003100DC">
        <w:rPr>
          <w:rFonts w:ascii="Times New Roman" w:hAnsi="Times New Roman" w:cs="Times New Roman"/>
          <w:sz w:val="24"/>
          <w:szCs w:val="24"/>
          <w:shd w:val="clear" w:color="auto" w:fill="FFFFFF"/>
        </w:rPr>
        <w:t>(4), 358-367.</w:t>
      </w:r>
    </w:p>
    <w:p w14:paraId="1477478B"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Kim, K. I., &amp; Bayley, H. S. (1983). Amino acid oxidation by young pigs receiving diets with varying levels of sulphur amino acids. </w:t>
      </w:r>
      <w:r w:rsidRPr="003100DC">
        <w:rPr>
          <w:rFonts w:ascii="Times New Roman" w:hAnsi="Times New Roman" w:cs="Times New Roman"/>
          <w:i/>
          <w:iCs/>
          <w:sz w:val="24"/>
          <w:szCs w:val="24"/>
          <w:shd w:val="clear" w:color="auto" w:fill="FFFFFF"/>
        </w:rPr>
        <w:t>British Journal of Nutrition</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50</w:t>
      </w:r>
      <w:r w:rsidRPr="003100DC">
        <w:rPr>
          <w:rFonts w:ascii="Times New Roman" w:hAnsi="Times New Roman" w:cs="Times New Roman"/>
          <w:sz w:val="24"/>
          <w:szCs w:val="24"/>
          <w:shd w:val="clear" w:color="auto" w:fill="FFFFFF"/>
        </w:rPr>
        <w:t>(2), 383-390.</w:t>
      </w:r>
    </w:p>
    <w:p w14:paraId="3F004AE1"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lastRenderedPageBreak/>
        <w:t>Kim, K. I., Elliott, J. I., &amp; Bayley, H. S. (1983). Oxidation of an indicator amino acid by young pigs receiving diets with varying levels of lysine or threonine, and an assessment of amino acid requirements. </w:t>
      </w:r>
      <w:r w:rsidRPr="003100DC">
        <w:rPr>
          <w:rFonts w:ascii="Times New Roman" w:hAnsi="Times New Roman" w:cs="Times New Roman"/>
          <w:i/>
          <w:iCs/>
          <w:sz w:val="24"/>
          <w:szCs w:val="24"/>
          <w:shd w:val="clear" w:color="auto" w:fill="FFFFFF"/>
        </w:rPr>
        <w:t>British journal of nutrition</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50</w:t>
      </w:r>
      <w:r w:rsidRPr="003100DC">
        <w:rPr>
          <w:rFonts w:ascii="Times New Roman" w:hAnsi="Times New Roman" w:cs="Times New Roman"/>
          <w:sz w:val="24"/>
          <w:szCs w:val="24"/>
          <w:shd w:val="clear" w:color="auto" w:fill="FFFFFF"/>
        </w:rPr>
        <w:t>(2), 391-399.</w:t>
      </w:r>
    </w:p>
    <w:p w14:paraId="09457A1A"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Kim, K. I., McMillan, I., &amp; Bayley, H. S. (1983). Determination of amino acid requirements of young pigs using an indicator amino acid. </w:t>
      </w:r>
      <w:r w:rsidRPr="003100DC">
        <w:rPr>
          <w:rFonts w:ascii="Times New Roman" w:hAnsi="Times New Roman" w:cs="Times New Roman"/>
          <w:i/>
          <w:iCs/>
          <w:sz w:val="24"/>
          <w:szCs w:val="24"/>
          <w:shd w:val="clear" w:color="auto" w:fill="FFFFFF"/>
        </w:rPr>
        <w:t>British Journal of Nutrition</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50</w:t>
      </w:r>
      <w:r w:rsidRPr="003100DC">
        <w:rPr>
          <w:rFonts w:ascii="Times New Roman" w:hAnsi="Times New Roman" w:cs="Times New Roman"/>
          <w:sz w:val="24"/>
          <w:szCs w:val="24"/>
          <w:shd w:val="clear" w:color="auto" w:fill="FFFFFF"/>
        </w:rPr>
        <w:t>(2), 369-382.</w:t>
      </w:r>
    </w:p>
    <w:p w14:paraId="4969DB30"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Kim, S. H., Choi, J. H., Wang, P., Go, C. D., Hesketh, G. G., Gingras, A. C., ... &amp; Sonenberg, N. (2021). Mitochondrial threonyl-tRNA synthetase TARS2 is required for threonine-sensitive mTORC1 activation. </w:t>
      </w:r>
      <w:r w:rsidRPr="003100DC">
        <w:rPr>
          <w:rFonts w:ascii="Times New Roman" w:hAnsi="Times New Roman" w:cs="Times New Roman"/>
          <w:i/>
          <w:iCs/>
          <w:sz w:val="24"/>
          <w:szCs w:val="24"/>
          <w:shd w:val="clear" w:color="auto" w:fill="FFFFFF"/>
        </w:rPr>
        <w:t>Molecular cell</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81</w:t>
      </w:r>
      <w:r w:rsidRPr="003100DC">
        <w:rPr>
          <w:rFonts w:ascii="Times New Roman" w:hAnsi="Times New Roman" w:cs="Times New Roman"/>
          <w:sz w:val="24"/>
          <w:szCs w:val="24"/>
          <w:shd w:val="clear" w:color="auto" w:fill="FFFFFF"/>
        </w:rPr>
        <w:t>(2), 398-407.</w:t>
      </w:r>
    </w:p>
    <w:p w14:paraId="7D0A8C90"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Le Floc'h, N., &amp; Seve, B. (2005). Catabolism through the threonine dehydrogenase pathway does not account for the high first-pass extraction rate of dietary threonine by the portal drained viscera in pigs. </w:t>
      </w:r>
      <w:r w:rsidRPr="003100DC">
        <w:rPr>
          <w:rFonts w:ascii="Times New Roman" w:hAnsi="Times New Roman" w:cs="Times New Roman"/>
          <w:i/>
          <w:iCs/>
          <w:sz w:val="24"/>
          <w:szCs w:val="24"/>
          <w:shd w:val="clear" w:color="auto" w:fill="FFFFFF"/>
        </w:rPr>
        <w:t>British Journal of Nutrition</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93</w:t>
      </w:r>
      <w:r w:rsidRPr="003100DC">
        <w:rPr>
          <w:rFonts w:ascii="Times New Roman" w:hAnsi="Times New Roman" w:cs="Times New Roman"/>
          <w:sz w:val="24"/>
          <w:szCs w:val="24"/>
          <w:shd w:val="clear" w:color="auto" w:fill="FFFFFF"/>
        </w:rPr>
        <w:t>(4), 447-456.</w:t>
      </w:r>
    </w:p>
    <w:p w14:paraId="18BF5F22" w14:textId="77777777" w:rsidR="00743102" w:rsidRPr="003100DC" w:rsidRDefault="004C3C06">
      <w:pPr>
        <w:spacing w:line="240" w:lineRule="auto"/>
        <w:jc w:val="both"/>
        <w:rPr>
          <w:rFonts w:ascii="Times New Roman" w:hAnsi="Times New Roman" w:cs="Times New Roman"/>
          <w:sz w:val="24"/>
          <w:szCs w:val="24"/>
          <w:shd w:val="clear" w:color="auto" w:fill="FFFFFF"/>
        </w:rPr>
      </w:pPr>
      <w:bookmarkStart w:id="11" w:name="_Hlk155085012"/>
      <w:r w:rsidRPr="003100DC">
        <w:rPr>
          <w:rFonts w:ascii="Times New Roman" w:hAnsi="Times New Roman" w:cs="Times New Roman"/>
          <w:sz w:val="24"/>
          <w:szCs w:val="24"/>
          <w:shd w:val="clear" w:color="auto" w:fill="FFFFFF"/>
        </w:rPr>
        <w:t>Limbu</w:t>
      </w:r>
      <w:bookmarkEnd w:id="11"/>
      <w:r w:rsidRPr="003100DC">
        <w:rPr>
          <w:rFonts w:ascii="Times New Roman" w:hAnsi="Times New Roman" w:cs="Times New Roman"/>
          <w:sz w:val="24"/>
          <w:szCs w:val="24"/>
          <w:shd w:val="clear" w:color="auto" w:fill="FFFFFF"/>
        </w:rPr>
        <w:t>, S. M. (2023). Fish Nutrition: An African Aquaculture Perspective. In </w:t>
      </w:r>
      <w:r w:rsidRPr="003100DC">
        <w:rPr>
          <w:rFonts w:ascii="Times New Roman" w:hAnsi="Times New Roman" w:cs="Times New Roman"/>
          <w:i/>
          <w:iCs/>
          <w:sz w:val="24"/>
          <w:szCs w:val="24"/>
          <w:shd w:val="clear" w:color="auto" w:fill="FFFFFF"/>
        </w:rPr>
        <w:t>Emerging Sustainable Aquaculture Innovations in Africa</w:t>
      </w:r>
      <w:r w:rsidRPr="003100DC">
        <w:rPr>
          <w:rFonts w:ascii="Times New Roman" w:hAnsi="Times New Roman" w:cs="Times New Roman"/>
          <w:sz w:val="24"/>
          <w:szCs w:val="24"/>
          <w:shd w:val="clear" w:color="auto" w:fill="FFFFFF"/>
        </w:rPr>
        <w:t> (pp. 3-73). Singapore: Springer Nature Singapore.</w:t>
      </w:r>
    </w:p>
    <w:p w14:paraId="00B167B5"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1A569A">
        <w:rPr>
          <w:rFonts w:ascii="Times New Roman" w:hAnsi="Times New Roman" w:cs="Times New Roman"/>
          <w:sz w:val="24"/>
          <w:szCs w:val="24"/>
          <w:shd w:val="clear" w:color="auto" w:fill="FFFFFF"/>
          <w:lang w:val="de-DE"/>
        </w:rPr>
        <w:t xml:space="preserve">Liu, S., Liang, Y., Liu, Q., Tao, T., Lai, S., Chen, N., &amp; Wen, T. (2013). </w:t>
      </w:r>
      <w:r w:rsidRPr="003100DC">
        <w:rPr>
          <w:rFonts w:ascii="Times New Roman" w:hAnsi="Times New Roman" w:cs="Times New Roman"/>
          <w:sz w:val="24"/>
          <w:szCs w:val="24"/>
          <w:shd w:val="clear" w:color="auto" w:fill="FFFFFF"/>
        </w:rPr>
        <w:t>Development of a two-stage feeding strategy based on the kind and level of feeding nutrients for improving fed-batch production of l-threonine by Escherichia coli. </w:t>
      </w:r>
      <w:r w:rsidRPr="003100DC">
        <w:rPr>
          <w:rFonts w:ascii="Times New Roman" w:hAnsi="Times New Roman" w:cs="Times New Roman"/>
          <w:i/>
          <w:iCs/>
          <w:sz w:val="24"/>
          <w:szCs w:val="24"/>
          <w:shd w:val="clear" w:color="auto" w:fill="FFFFFF"/>
        </w:rPr>
        <w:t>Applied microbiology and biotechnology</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97</w:t>
      </w:r>
      <w:r w:rsidRPr="003100DC">
        <w:rPr>
          <w:rFonts w:ascii="Times New Roman" w:hAnsi="Times New Roman" w:cs="Times New Roman"/>
          <w:sz w:val="24"/>
          <w:szCs w:val="24"/>
          <w:shd w:val="clear" w:color="auto" w:fill="FFFFFF"/>
        </w:rPr>
        <w:t>, 573-583.</w:t>
      </w:r>
    </w:p>
    <w:p w14:paraId="30E441C1" w14:textId="77777777" w:rsidR="004D6B7D" w:rsidRPr="003100DC" w:rsidRDefault="004D6B7D" w:rsidP="004D6B7D">
      <w:pPr>
        <w:jc w:val="both"/>
        <w:rPr>
          <w:rFonts w:ascii="Times New Roman" w:hAnsi="Times New Roman" w:cs="Times New Roman"/>
          <w:sz w:val="24"/>
        </w:rPr>
      </w:pPr>
      <w:r w:rsidRPr="003100DC">
        <w:rPr>
          <w:rFonts w:ascii="Times New Roman" w:hAnsi="Times New Roman" w:cs="Times New Roman"/>
          <w:sz w:val="24"/>
        </w:rPr>
        <w:t>Luo, J. B., Feng, L., Jiang, W. D., Liu, Y., Wu, P., Jiang, J., ... &amp; Zhou, X. Q. (2014). The impaired intestinal mucosal immune system by valine deficiency for young grass carp (Ctenopharyngodon idella) is associated with decreasing immune status and regulating tight junction proteins transcript abundance in the intestine. </w:t>
      </w:r>
      <w:r w:rsidRPr="003100DC">
        <w:rPr>
          <w:rFonts w:ascii="Times New Roman" w:hAnsi="Times New Roman" w:cs="Times New Roman"/>
          <w:i/>
          <w:iCs/>
          <w:sz w:val="24"/>
        </w:rPr>
        <w:t>Fish &amp; Shellfish Immunology</w:t>
      </w:r>
      <w:r w:rsidRPr="003100DC">
        <w:rPr>
          <w:rFonts w:ascii="Times New Roman" w:hAnsi="Times New Roman" w:cs="Times New Roman"/>
          <w:sz w:val="24"/>
        </w:rPr>
        <w:t>, </w:t>
      </w:r>
      <w:r w:rsidRPr="003100DC">
        <w:rPr>
          <w:rFonts w:ascii="Times New Roman" w:hAnsi="Times New Roman" w:cs="Times New Roman"/>
          <w:i/>
          <w:iCs/>
          <w:sz w:val="24"/>
        </w:rPr>
        <w:t>40</w:t>
      </w:r>
      <w:r w:rsidRPr="003100DC">
        <w:rPr>
          <w:rFonts w:ascii="Times New Roman" w:hAnsi="Times New Roman" w:cs="Times New Roman"/>
          <w:sz w:val="24"/>
        </w:rPr>
        <w:t>(1), 197-207.</w:t>
      </w:r>
    </w:p>
    <w:p w14:paraId="3FBB4907"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Ma, Q.; Zhou, X.; Sun, Y.; Hu, L.; Zhu, J.; Shao, C.; Meng, Q.; Shan, A. Threonine, but Not Lysine and Methionine, Reduces Fat Accumulation by Regulating Lipid Metabolism in Obese Mice. </w:t>
      </w:r>
      <w:r w:rsidRPr="003100DC">
        <w:rPr>
          <w:rStyle w:val="html-italic"/>
          <w:rFonts w:ascii="Times New Roman" w:hAnsi="Times New Roman" w:cs="Times New Roman"/>
          <w:i/>
          <w:iCs/>
          <w:sz w:val="24"/>
          <w:szCs w:val="24"/>
          <w:shd w:val="clear" w:color="auto" w:fill="FFFFFF"/>
        </w:rPr>
        <w:t>J. Agric. Food Chem.</w:t>
      </w:r>
      <w:r w:rsidRPr="003100DC">
        <w:rPr>
          <w:rFonts w:ascii="Times New Roman" w:hAnsi="Times New Roman" w:cs="Times New Roman"/>
          <w:sz w:val="24"/>
          <w:szCs w:val="24"/>
          <w:shd w:val="clear" w:color="auto" w:fill="FFFFFF"/>
        </w:rPr>
        <w:t> 2020, </w:t>
      </w:r>
      <w:r w:rsidRPr="003100DC">
        <w:rPr>
          <w:rStyle w:val="html-italic"/>
          <w:rFonts w:ascii="Times New Roman" w:hAnsi="Times New Roman" w:cs="Times New Roman"/>
          <w:i/>
          <w:iCs/>
          <w:sz w:val="24"/>
          <w:szCs w:val="24"/>
          <w:shd w:val="clear" w:color="auto" w:fill="FFFFFF"/>
        </w:rPr>
        <w:t>68</w:t>
      </w:r>
      <w:r w:rsidRPr="003100DC">
        <w:rPr>
          <w:rFonts w:ascii="Times New Roman" w:hAnsi="Times New Roman" w:cs="Times New Roman"/>
          <w:sz w:val="24"/>
          <w:szCs w:val="24"/>
          <w:shd w:val="clear" w:color="auto" w:fill="FFFFFF"/>
        </w:rPr>
        <w:t>, 4876–4883.</w:t>
      </w:r>
    </w:p>
    <w:p w14:paraId="0EED7490" w14:textId="77777777" w:rsidR="00743102" w:rsidRPr="003100DC" w:rsidRDefault="004C3C06">
      <w:pPr>
        <w:jc w:val="both"/>
        <w:rPr>
          <w:rFonts w:ascii="Times New Roman" w:hAnsi="Times New Roman" w:cs="Times New Roman"/>
          <w:sz w:val="24"/>
          <w:szCs w:val="24"/>
        </w:rPr>
      </w:pPr>
      <w:r w:rsidRPr="003100DC">
        <w:rPr>
          <w:rFonts w:ascii="Times New Roman" w:hAnsi="Times New Roman" w:cs="Times New Roman"/>
          <w:sz w:val="24"/>
          <w:szCs w:val="24"/>
        </w:rPr>
        <w:t>Martino, R. C., Cyrino, J. E. P., Portz, L., &amp;Trugo, L. C. (2005). Performance, carcass composition and nutrient utilization of surubimPseudoplatystomacoruscans (Agassiz) fed diets with varying carbohydrate and lipid levels. Aquaculture Nutrition, 11(2), 131-137.</w:t>
      </w:r>
    </w:p>
    <w:p w14:paraId="469D8065"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Millamena, O. M., Bautista, M. N., Reyes, O. S., &amp; Kanazawa, A. (1997). Threonine requirement of juvenile marine shrimp Penaeus monodon. </w:t>
      </w:r>
      <w:r w:rsidRPr="003100DC">
        <w:rPr>
          <w:rFonts w:ascii="Times New Roman" w:eastAsia="SimSun" w:hAnsi="Times New Roman" w:cs="Times New Roman"/>
          <w:i/>
          <w:iCs/>
          <w:sz w:val="24"/>
          <w:szCs w:val="24"/>
          <w:shd w:val="clear" w:color="auto" w:fill="FFFFFF"/>
        </w:rPr>
        <w:t>Aquaculture</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151</w:t>
      </w:r>
      <w:r w:rsidRPr="003100DC">
        <w:rPr>
          <w:rFonts w:ascii="Times New Roman" w:eastAsia="SimSun" w:hAnsi="Times New Roman" w:cs="Times New Roman"/>
          <w:sz w:val="24"/>
          <w:szCs w:val="24"/>
          <w:shd w:val="clear" w:color="auto" w:fill="FFFFFF"/>
        </w:rPr>
        <w:t>(1-4), 9-14.</w:t>
      </w:r>
    </w:p>
    <w:p w14:paraId="2353727E"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Nath, S. K., Kumar, A., Antony, F. M., Shende, D. Z., &amp;Wasewar, K. L. (2023). Extraction of amino acid (L-aspartic acid) from aqueous stream using trioctylamine. </w:t>
      </w:r>
      <w:r w:rsidRPr="003100DC">
        <w:rPr>
          <w:rFonts w:ascii="Times New Roman" w:hAnsi="Times New Roman" w:cs="Times New Roman"/>
          <w:i/>
          <w:iCs/>
          <w:sz w:val="24"/>
          <w:szCs w:val="24"/>
          <w:shd w:val="clear" w:color="auto" w:fill="FFFFFF"/>
        </w:rPr>
        <w:t>Journal of the Indian Chemical Society</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100</w:t>
      </w:r>
      <w:r w:rsidRPr="003100DC">
        <w:rPr>
          <w:rFonts w:ascii="Times New Roman" w:hAnsi="Times New Roman" w:cs="Times New Roman"/>
          <w:sz w:val="24"/>
          <w:szCs w:val="24"/>
          <w:shd w:val="clear" w:color="auto" w:fill="FFFFFF"/>
        </w:rPr>
        <w:t>(4), 100956.</w:t>
      </w:r>
    </w:p>
    <w:p w14:paraId="535C1068"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Nose, T. (1979). Summary report on the requirements of essential amino acids for carp. </w:t>
      </w:r>
      <w:r w:rsidRPr="003100DC">
        <w:rPr>
          <w:rFonts w:ascii="Times New Roman" w:eastAsia="SimSun" w:hAnsi="Times New Roman" w:cs="Times New Roman"/>
          <w:i/>
          <w:iCs/>
          <w:sz w:val="24"/>
          <w:szCs w:val="24"/>
          <w:shd w:val="clear" w:color="auto" w:fill="FFFFFF"/>
        </w:rPr>
        <w:t>Finfish nutrition and fishfeed technology</w:t>
      </w:r>
      <w:r w:rsidRPr="003100DC">
        <w:rPr>
          <w:rFonts w:ascii="Times New Roman" w:eastAsia="SimSun" w:hAnsi="Times New Roman" w:cs="Times New Roman"/>
          <w:sz w:val="24"/>
          <w:szCs w:val="24"/>
          <w:shd w:val="clear" w:color="auto" w:fill="FFFFFF"/>
        </w:rPr>
        <w:t>, 145-156.</w:t>
      </w:r>
    </w:p>
    <w:p w14:paraId="0DEE4E4F"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Nose, T. (1979). Summary report on the requirements of essential amino acids for carp. </w:t>
      </w:r>
      <w:r w:rsidRPr="003100DC">
        <w:rPr>
          <w:rFonts w:ascii="Times New Roman" w:eastAsia="SimSun" w:hAnsi="Times New Roman" w:cs="Times New Roman"/>
          <w:i/>
          <w:iCs/>
          <w:sz w:val="24"/>
          <w:szCs w:val="24"/>
          <w:shd w:val="clear" w:color="auto" w:fill="FFFFFF"/>
        </w:rPr>
        <w:t>Finfish nutrition and fishfeed technology</w:t>
      </w:r>
      <w:r w:rsidRPr="003100DC">
        <w:rPr>
          <w:rFonts w:ascii="Times New Roman" w:eastAsia="SimSun" w:hAnsi="Times New Roman" w:cs="Times New Roman"/>
          <w:sz w:val="24"/>
          <w:szCs w:val="24"/>
          <w:shd w:val="clear" w:color="auto" w:fill="FFFFFF"/>
        </w:rPr>
        <w:t>, 145-156.</w:t>
      </w:r>
    </w:p>
    <w:p w14:paraId="0A3EEF17"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Nose, T. (1979). Summary report on the requirements of essential amino acids for carp. </w:t>
      </w:r>
      <w:r w:rsidRPr="003100DC">
        <w:rPr>
          <w:rFonts w:ascii="Times New Roman" w:eastAsia="SimSun" w:hAnsi="Times New Roman" w:cs="Times New Roman"/>
          <w:i/>
          <w:iCs/>
          <w:sz w:val="24"/>
          <w:szCs w:val="24"/>
          <w:shd w:val="clear" w:color="auto" w:fill="FFFFFF"/>
        </w:rPr>
        <w:t>Finfish nutrition and fishfeed technology</w:t>
      </w:r>
      <w:r w:rsidRPr="003100DC">
        <w:rPr>
          <w:rFonts w:ascii="Times New Roman" w:eastAsia="SimSun" w:hAnsi="Times New Roman" w:cs="Times New Roman"/>
          <w:sz w:val="24"/>
          <w:szCs w:val="24"/>
          <w:shd w:val="clear" w:color="auto" w:fill="FFFFFF"/>
        </w:rPr>
        <w:t>, 145-156.</w:t>
      </w:r>
    </w:p>
    <w:p w14:paraId="2B66F649"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lastRenderedPageBreak/>
        <w:t>Ochocki, J. D., &amp; Simon, M. C. (2013). Nutrient-sensing pathways and metabolic regulation in stem cells. </w:t>
      </w:r>
      <w:r w:rsidRPr="003100DC">
        <w:rPr>
          <w:rFonts w:ascii="Times New Roman" w:hAnsi="Times New Roman" w:cs="Times New Roman"/>
          <w:i/>
          <w:iCs/>
          <w:sz w:val="24"/>
          <w:szCs w:val="24"/>
          <w:shd w:val="clear" w:color="auto" w:fill="FFFFFF"/>
        </w:rPr>
        <w:t>Journal of Cell Biology</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203</w:t>
      </w:r>
      <w:r w:rsidRPr="003100DC">
        <w:rPr>
          <w:rFonts w:ascii="Times New Roman" w:hAnsi="Times New Roman" w:cs="Times New Roman"/>
          <w:sz w:val="24"/>
          <w:szCs w:val="24"/>
          <w:shd w:val="clear" w:color="auto" w:fill="FFFFFF"/>
        </w:rPr>
        <w:t>(1), 23-33.</w:t>
      </w:r>
    </w:p>
    <w:p w14:paraId="28031973"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Parimi, P. S., Gruca, L. L., &amp; Kalhan, S. C. (2005). Metabolism of threonine in newborn infants. </w:t>
      </w:r>
      <w:r w:rsidRPr="003100DC">
        <w:rPr>
          <w:rFonts w:ascii="Times New Roman" w:hAnsi="Times New Roman" w:cs="Times New Roman"/>
          <w:i/>
          <w:iCs/>
          <w:sz w:val="24"/>
          <w:szCs w:val="24"/>
          <w:shd w:val="clear" w:color="auto" w:fill="FFFFFF"/>
        </w:rPr>
        <w:t>American Journal of Physiology-Endocrinology and Metabolism</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289</w:t>
      </w:r>
      <w:r w:rsidRPr="003100DC">
        <w:rPr>
          <w:rFonts w:ascii="Times New Roman" w:hAnsi="Times New Roman" w:cs="Times New Roman"/>
          <w:sz w:val="24"/>
          <w:szCs w:val="24"/>
          <w:shd w:val="clear" w:color="auto" w:fill="FFFFFF"/>
        </w:rPr>
        <w:t>(6), E981-E985.</w:t>
      </w:r>
    </w:p>
    <w:p w14:paraId="19F41CD5"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Pencharz, P. B., &amp; Ball, R. O. (2003). Different approaches to define individual amino acid requirements. </w:t>
      </w:r>
      <w:r w:rsidRPr="003100DC">
        <w:rPr>
          <w:rFonts w:ascii="Times New Roman" w:hAnsi="Times New Roman" w:cs="Times New Roman"/>
          <w:i/>
          <w:iCs/>
          <w:sz w:val="24"/>
          <w:szCs w:val="24"/>
          <w:shd w:val="clear" w:color="auto" w:fill="FFFFFF"/>
        </w:rPr>
        <w:t>Annual review of nutrition</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23</w:t>
      </w:r>
      <w:r w:rsidRPr="003100DC">
        <w:rPr>
          <w:rFonts w:ascii="Times New Roman" w:hAnsi="Times New Roman" w:cs="Times New Roman"/>
          <w:sz w:val="24"/>
          <w:szCs w:val="24"/>
          <w:shd w:val="clear" w:color="auto" w:fill="FFFFFF"/>
        </w:rPr>
        <w:t>(1), 101-116.</w:t>
      </w:r>
    </w:p>
    <w:p w14:paraId="4502D8DE"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Petit, C., Kim, Y., Lee, S. K., Brown, J., Larsen, E., Ronning, D. R., ... &amp; Kang, C. M. (2018). Reduction of feedback inhibition in homoserine kinase (ThrB) of Corynebacterium glutamicum enhances l-threonine biosynthesis. </w:t>
      </w:r>
      <w:r w:rsidRPr="003100DC">
        <w:rPr>
          <w:rFonts w:ascii="Times New Roman" w:hAnsi="Times New Roman" w:cs="Times New Roman"/>
          <w:i/>
          <w:iCs/>
          <w:sz w:val="24"/>
          <w:szCs w:val="24"/>
          <w:shd w:val="clear" w:color="auto" w:fill="FFFFFF"/>
        </w:rPr>
        <w:t>ACS omega</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3</w:t>
      </w:r>
      <w:r w:rsidRPr="003100DC">
        <w:rPr>
          <w:rFonts w:ascii="Times New Roman" w:hAnsi="Times New Roman" w:cs="Times New Roman"/>
          <w:sz w:val="24"/>
          <w:szCs w:val="24"/>
          <w:shd w:val="clear" w:color="auto" w:fill="FFFFFF"/>
        </w:rPr>
        <w:t>(1), 1178-1186.</w:t>
      </w:r>
    </w:p>
    <w:p w14:paraId="19468D0D"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Prois Flores, D., Pianesso, D., Kelm Battisti, E., Ghedini Martinelli, S., de Freitas, I. L., Radünz Neto, J., ... &amp; Lazzari, R. (2023). L-threonine requirement of silver catfish (Rhamdiaquelen): growth performance, body composition, plasma and liver metabolites. </w:t>
      </w:r>
      <w:r w:rsidRPr="003100DC">
        <w:rPr>
          <w:rFonts w:ascii="Times New Roman" w:eastAsia="SimSun" w:hAnsi="Times New Roman" w:cs="Times New Roman"/>
          <w:i/>
          <w:iCs/>
          <w:sz w:val="24"/>
          <w:szCs w:val="24"/>
          <w:shd w:val="clear" w:color="auto" w:fill="FFFFFF"/>
        </w:rPr>
        <w:t>Journal of Applied Animal Research</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51</w:t>
      </w:r>
      <w:r w:rsidRPr="003100DC">
        <w:rPr>
          <w:rFonts w:ascii="Times New Roman" w:eastAsia="SimSun" w:hAnsi="Times New Roman" w:cs="Times New Roman"/>
          <w:sz w:val="24"/>
          <w:szCs w:val="24"/>
          <w:shd w:val="clear" w:color="auto" w:fill="FFFFFF"/>
        </w:rPr>
        <w:t>(1), 358-365.</w:t>
      </w:r>
    </w:p>
    <w:p w14:paraId="429DDB61"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Rahman, M. M., Li, X., Sharifuzzaman, S. M., He, M., Poolsawat, L., Yang, H., &amp; Leng, X. (2021). Dietary threonine requirement of juvenile largemouth bass, Micropterus salmoides. </w:t>
      </w:r>
      <w:r w:rsidRPr="003100DC">
        <w:rPr>
          <w:rFonts w:ascii="Times New Roman" w:eastAsia="SimSun" w:hAnsi="Times New Roman" w:cs="Times New Roman"/>
          <w:i/>
          <w:iCs/>
          <w:sz w:val="24"/>
          <w:szCs w:val="24"/>
          <w:shd w:val="clear" w:color="auto" w:fill="FFFFFF"/>
        </w:rPr>
        <w:t>Aquaculture</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543</w:t>
      </w:r>
      <w:r w:rsidRPr="003100DC">
        <w:rPr>
          <w:rFonts w:ascii="Times New Roman" w:eastAsia="SimSun" w:hAnsi="Times New Roman" w:cs="Times New Roman"/>
          <w:sz w:val="24"/>
          <w:szCs w:val="24"/>
          <w:shd w:val="clear" w:color="auto" w:fill="FFFFFF"/>
        </w:rPr>
        <w:t>, 736884.</w:t>
      </w:r>
    </w:p>
    <w:p w14:paraId="3CF5DFCC"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Rosales, M., Castillo, S., Pohlenz, C., &amp; Gatlin III, D. M. (2017). Evaluation of dried yeast and threonine fermentation biomass as partial fish meal replacements in the diet of red drum Sciaenops ocellatus. </w:t>
      </w:r>
      <w:r w:rsidRPr="003100DC">
        <w:rPr>
          <w:rFonts w:ascii="Times New Roman" w:hAnsi="Times New Roman" w:cs="Times New Roman"/>
          <w:i/>
          <w:iCs/>
          <w:sz w:val="24"/>
          <w:szCs w:val="24"/>
          <w:shd w:val="clear" w:color="auto" w:fill="FFFFFF"/>
        </w:rPr>
        <w:t>Animal feed science and technology</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232</w:t>
      </w:r>
      <w:r w:rsidRPr="003100DC">
        <w:rPr>
          <w:rFonts w:ascii="Times New Roman" w:hAnsi="Times New Roman" w:cs="Times New Roman"/>
          <w:sz w:val="24"/>
          <w:szCs w:val="24"/>
          <w:shd w:val="clear" w:color="auto" w:fill="FFFFFF"/>
        </w:rPr>
        <w:t>, 190-197.</w:t>
      </w:r>
    </w:p>
    <w:p w14:paraId="3F975A7E"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Rosenberg, H., Ennor, A. H., Hagerman, D. D., &amp; Sugai, S. (1962). l-Threonine ethanolamine phosphate: a compound newly isolated from fish. </w:t>
      </w:r>
      <w:r w:rsidRPr="003100DC">
        <w:rPr>
          <w:rFonts w:ascii="Times New Roman" w:hAnsi="Times New Roman" w:cs="Times New Roman"/>
          <w:i/>
          <w:iCs/>
          <w:sz w:val="24"/>
          <w:szCs w:val="24"/>
          <w:shd w:val="clear" w:color="auto" w:fill="FFFFFF"/>
        </w:rPr>
        <w:t>Biochemical Journal</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84</w:t>
      </w:r>
      <w:r w:rsidRPr="003100DC">
        <w:rPr>
          <w:rFonts w:ascii="Times New Roman" w:hAnsi="Times New Roman" w:cs="Times New Roman"/>
          <w:sz w:val="24"/>
          <w:szCs w:val="24"/>
          <w:shd w:val="clear" w:color="auto" w:fill="FFFFFF"/>
        </w:rPr>
        <w:t>(3), 536.</w:t>
      </w:r>
    </w:p>
    <w:p w14:paraId="2C777542"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Ross-Inta, C.M.; Zhang, Y.F.; Almendares, A.; Giulivi, C. Threonine-deficient diets induced changes in hepatic bioenergetics. </w:t>
      </w:r>
      <w:r w:rsidRPr="003100DC">
        <w:rPr>
          <w:rStyle w:val="html-italic"/>
          <w:rFonts w:ascii="Times New Roman" w:hAnsi="Times New Roman" w:cs="Times New Roman"/>
          <w:i/>
          <w:iCs/>
          <w:sz w:val="24"/>
          <w:szCs w:val="24"/>
          <w:shd w:val="clear" w:color="auto" w:fill="FFFFFF"/>
        </w:rPr>
        <w:t>Am. J. Physiol. Gastrointest. Liver Physiol.</w:t>
      </w:r>
      <w:r w:rsidRPr="003100DC">
        <w:rPr>
          <w:rFonts w:ascii="Times New Roman" w:hAnsi="Times New Roman" w:cs="Times New Roman"/>
          <w:sz w:val="24"/>
          <w:szCs w:val="24"/>
          <w:shd w:val="clear" w:color="auto" w:fill="FFFFFF"/>
        </w:rPr>
        <w:t> 2009, </w:t>
      </w:r>
      <w:r w:rsidRPr="003100DC">
        <w:rPr>
          <w:rStyle w:val="html-italic"/>
          <w:rFonts w:ascii="Times New Roman" w:hAnsi="Times New Roman" w:cs="Times New Roman"/>
          <w:i/>
          <w:iCs/>
          <w:sz w:val="24"/>
          <w:szCs w:val="24"/>
          <w:shd w:val="clear" w:color="auto" w:fill="FFFFFF"/>
        </w:rPr>
        <w:t>296</w:t>
      </w:r>
      <w:r w:rsidRPr="003100DC">
        <w:rPr>
          <w:rFonts w:ascii="Times New Roman" w:hAnsi="Times New Roman" w:cs="Times New Roman"/>
          <w:sz w:val="24"/>
          <w:szCs w:val="24"/>
          <w:shd w:val="clear" w:color="auto" w:fill="FFFFFF"/>
        </w:rPr>
        <w:t>, G1130–G1139.</w:t>
      </w:r>
    </w:p>
    <w:p w14:paraId="7DDA2483"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Schaafsma, G. (2005). The protein digestibility-corrected amino acid score (PDCAAS)—a concept for describing protein quality in foods and food ingredients: a critical review. </w:t>
      </w:r>
      <w:r w:rsidRPr="003100DC">
        <w:rPr>
          <w:rFonts w:ascii="Times New Roman" w:hAnsi="Times New Roman" w:cs="Times New Roman"/>
          <w:i/>
          <w:iCs/>
          <w:sz w:val="24"/>
          <w:szCs w:val="24"/>
          <w:shd w:val="clear" w:color="auto" w:fill="FFFFFF"/>
        </w:rPr>
        <w:t>Journal of AOAC International</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88</w:t>
      </w:r>
      <w:r w:rsidRPr="003100DC">
        <w:rPr>
          <w:rFonts w:ascii="Times New Roman" w:hAnsi="Times New Roman" w:cs="Times New Roman"/>
          <w:sz w:val="24"/>
          <w:szCs w:val="24"/>
          <w:shd w:val="clear" w:color="auto" w:fill="FFFFFF"/>
        </w:rPr>
        <w:t>(3), 988-994.</w:t>
      </w:r>
    </w:p>
    <w:p w14:paraId="34B7B6FE"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Sharf, Y., &amp; Khan, M. A. (2022). Dietary threonine requirement of fingerling Channa punctatus (Bloch) based on growth, feed conversion, protein retention efficiency, hematological parameters, and biochemical composition. </w:t>
      </w:r>
      <w:r w:rsidRPr="003100DC">
        <w:rPr>
          <w:rFonts w:ascii="Times New Roman" w:eastAsia="SimSun" w:hAnsi="Times New Roman" w:cs="Times New Roman"/>
          <w:i/>
          <w:iCs/>
          <w:sz w:val="24"/>
          <w:szCs w:val="24"/>
          <w:shd w:val="clear" w:color="auto" w:fill="FFFFFF"/>
        </w:rPr>
        <w:t>Aquaculture</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560</w:t>
      </w:r>
      <w:r w:rsidRPr="003100DC">
        <w:rPr>
          <w:rFonts w:ascii="Times New Roman" w:eastAsia="SimSun" w:hAnsi="Times New Roman" w:cs="Times New Roman"/>
          <w:sz w:val="24"/>
          <w:szCs w:val="24"/>
          <w:shd w:val="clear" w:color="auto" w:fill="FFFFFF"/>
        </w:rPr>
        <w:t>, 738504.</w:t>
      </w:r>
    </w:p>
    <w:p w14:paraId="06F3FC6D"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Shiio, I. (1990). Threonine production by dihydrodipicolinate synthase-defective mutants of Brevibacterium flavum. </w:t>
      </w:r>
      <w:r w:rsidRPr="003100DC">
        <w:rPr>
          <w:rFonts w:ascii="Times New Roman" w:hAnsi="Times New Roman" w:cs="Times New Roman"/>
          <w:i/>
          <w:iCs/>
          <w:sz w:val="24"/>
          <w:szCs w:val="24"/>
          <w:shd w:val="clear" w:color="auto" w:fill="FFFFFF"/>
        </w:rPr>
        <w:t>Biotechnology advances</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8</w:t>
      </w:r>
      <w:r w:rsidRPr="003100DC">
        <w:rPr>
          <w:rFonts w:ascii="Times New Roman" w:hAnsi="Times New Roman" w:cs="Times New Roman"/>
          <w:sz w:val="24"/>
          <w:szCs w:val="24"/>
          <w:shd w:val="clear" w:color="auto" w:fill="FFFFFF"/>
        </w:rPr>
        <w:t>(1), 97-103.</w:t>
      </w:r>
    </w:p>
    <w:p w14:paraId="5927A661"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Small, B. C., &amp; Soares Jr, J. H. (1999). Quantitative dietary threonine requirement of juvenile striped bass Morone saxatilis. </w:t>
      </w:r>
      <w:r w:rsidRPr="003100DC">
        <w:rPr>
          <w:rFonts w:ascii="Times New Roman" w:eastAsia="SimSun" w:hAnsi="Times New Roman" w:cs="Times New Roman"/>
          <w:i/>
          <w:iCs/>
          <w:sz w:val="24"/>
          <w:szCs w:val="24"/>
          <w:shd w:val="clear" w:color="auto" w:fill="FFFFFF"/>
        </w:rPr>
        <w:t>Journal of the World Aquaculture Society</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30</w:t>
      </w:r>
      <w:r w:rsidRPr="003100DC">
        <w:rPr>
          <w:rFonts w:ascii="Times New Roman" w:eastAsia="SimSun" w:hAnsi="Times New Roman" w:cs="Times New Roman"/>
          <w:sz w:val="24"/>
          <w:szCs w:val="24"/>
          <w:shd w:val="clear" w:color="auto" w:fill="FFFFFF"/>
        </w:rPr>
        <w:t>(3), 319-323.</w:t>
      </w:r>
    </w:p>
    <w:p w14:paraId="6126CDB3"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Sunde, J., Taranger, G. L., &amp;Rungruangsak-Torrissen, K. (2001). Digestive protease activities and free amino acids in white muscle as indicators for feed conversion efficiency and growth rate in Atlantic salmon (Salmo salar L.). </w:t>
      </w:r>
      <w:r w:rsidRPr="003100DC">
        <w:rPr>
          <w:rFonts w:ascii="Times New Roman" w:hAnsi="Times New Roman" w:cs="Times New Roman"/>
          <w:i/>
          <w:iCs/>
          <w:sz w:val="24"/>
          <w:szCs w:val="24"/>
          <w:shd w:val="clear" w:color="auto" w:fill="FFFFFF"/>
        </w:rPr>
        <w:t>Fish Physiology and Biochemistry</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25</w:t>
      </w:r>
      <w:r w:rsidRPr="003100DC">
        <w:rPr>
          <w:rFonts w:ascii="Times New Roman" w:hAnsi="Times New Roman" w:cs="Times New Roman"/>
          <w:sz w:val="24"/>
          <w:szCs w:val="24"/>
          <w:shd w:val="clear" w:color="auto" w:fill="FFFFFF"/>
        </w:rPr>
        <w:t>, 335-345.</w:t>
      </w:r>
    </w:p>
    <w:p w14:paraId="28AE2C89"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Tacon, A. G. J., &amp; Cowey, C. B. (1985). Protein and amino acid requirements. In </w:t>
      </w:r>
      <w:r w:rsidRPr="003100DC">
        <w:rPr>
          <w:rFonts w:ascii="Times New Roman" w:eastAsia="SimSun" w:hAnsi="Times New Roman" w:cs="Times New Roman"/>
          <w:i/>
          <w:iCs/>
          <w:sz w:val="24"/>
          <w:szCs w:val="24"/>
          <w:shd w:val="clear" w:color="auto" w:fill="FFFFFF"/>
        </w:rPr>
        <w:t>Fish energetics: new perspectives</w:t>
      </w:r>
      <w:r w:rsidRPr="003100DC">
        <w:rPr>
          <w:rFonts w:ascii="Times New Roman" w:eastAsia="SimSun" w:hAnsi="Times New Roman" w:cs="Times New Roman"/>
          <w:sz w:val="24"/>
          <w:szCs w:val="24"/>
          <w:shd w:val="clear" w:color="auto" w:fill="FFFFFF"/>
        </w:rPr>
        <w:t> (pp. 155-183). Dordrecht: Springer Netherlands.</w:t>
      </w:r>
    </w:p>
    <w:p w14:paraId="3CEF5BD0"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Tang, Q., Tan, P., Ma, N., &amp; Ma, X. (2021). Physiological functions of threonine in animals: beyond nutrition metabolism. </w:t>
      </w:r>
      <w:r w:rsidRPr="003100DC">
        <w:rPr>
          <w:rFonts w:ascii="Times New Roman" w:hAnsi="Times New Roman" w:cs="Times New Roman"/>
          <w:i/>
          <w:iCs/>
          <w:sz w:val="24"/>
          <w:szCs w:val="24"/>
          <w:shd w:val="clear" w:color="auto" w:fill="FFFFFF"/>
        </w:rPr>
        <w:t>Nutrients</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13</w:t>
      </w:r>
      <w:r w:rsidRPr="003100DC">
        <w:rPr>
          <w:rFonts w:ascii="Times New Roman" w:hAnsi="Times New Roman" w:cs="Times New Roman"/>
          <w:sz w:val="24"/>
          <w:szCs w:val="24"/>
          <w:shd w:val="clear" w:color="auto" w:fill="FFFFFF"/>
        </w:rPr>
        <w:t>(8), 2592.</w:t>
      </w:r>
    </w:p>
    <w:p w14:paraId="45A1FE73"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lastRenderedPageBreak/>
        <w:t>Tibaldi, E., &amp; Tulli, F. (1999). Dietary threonine requirement of juvenile European sea bass (Dicentrarchuslabrax). </w:t>
      </w:r>
      <w:r w:rsidRPr="003100DC">
        <w:rPr>
          <w:rFonts w:ascii="Times New Roman" w:eastAsia="SimSun" w:hAnsi="Times New Roman" w:cs="Times New Roman"/>
          <w:i/>
          <w:iCs/>
          <w:sz w:val="24"/>
          <w:szCs w:val="24"/>
          <w:shd w:val="clear" w:color="auto" w:fill="FFFFFF"/>
        </w:rPr>
        <w:t>Aquaculture</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175</w:t>
      </w:r>
      <w:r w:rsidRPr="003100DC">
        <w:rPr>
          <w:rFonts w:ascii="Times New Roman" w:eastAsia="SimSun" w:hAnsi="Times New Roman" w:cs="Times New Roman"/>
          <w:sz w:val="24"/>
          <w:szCs w:val="24"/>
          <w:shd w:val="clear" w:color="auto" w:fill="FFFFFF"/>
        </w:rPr>
        <w:t>(1-2), 155-166.</w:t>
      </w:r>
    </w:p>
    <w:p w14:paraId="72AB4AFB" w14:textId="77777777" w:rsidR="00743102" w:rsidRPr="001A569A" w:rsidRDefault="004C3C06">
      <w:pPr>
        <w:spacing w:line="240" w:lineRule="auto"/>
        <w:jc w:val="both"/>
        <w:rPr>
          <w:rFonts w:ascii="Times New Roman" w:hAnsi="Times New Roman" w:cs="Times New Roman"/>
          <w:sz w:val="24"/>
          <w:szCs w:val="24"/>
          <w:shd w:val="clear" w:color="auto" w:fill="FFFFFF"/>
          <w:lang w:val="de-DE"/>
        </w:rPr>
      </w:pPr>
      <w:r w:rsidRPr="003100DC">
        <w:rPr>
          <w:rFonts w:ascii="Times New Roman" w:hAnsi="Times New Roman" w:cs="Times New Roman"/>
          <w:sz w:val="24"/>
          <w:szCs w:val="24"/>
          <w:shd w:val="clear" w:color="auto" w:fill="FFFFFF"/>
        </w:rPr>
        <w:t>Wang, W.; Zeng, X.; Mao, X.; Wu, G.; Qiao, S. Optimal dietary true ileal digestible threonine for supporting the mucosal barrier in small intestine of weanling pigs. </w:t>
      </w:r>
      <w:r w:rsidRPr="001A569A">
        <w:rPr>
          <w:rStyle w:val="html-italic"/>
          <w:rFonts w:ascii="Times New Roman" w:hAnsi="Times New Roman" w:cs="Times New Roman"/>
          <w:i/>
          <w:iCs/>
          <w:sz w:val="24"/>
          <w:szCs w:val="24"/>
          <w:shd w:val="clear" w:color="auto" w:fill="FFFFFF"/>
          <w:lang w:val="de-DE"/>
        </w:rPr>
        <w:t>J. Nutr.</w:t>
      </w:r>
      <w:r w:rsidRPr="001A569A">
        <w:rPr>
          <w:rFonts w:ascii="Times New Roman" w:hAnsi="Times New Roman" w:cs="Times New Roman"/>
          <w:sz w:val="24"/>
          <w:szCs w:val="24"/>
          <w:shd w:val="clear" w:color="auto" w:fill="FFFFFF"/>
          <w:lang w:val="de-DE"/>
        </w:rPr>
        <w:t> 2010, </w:t>
      </w:r>
      <w:r w:rsidRPr="001A569A">
        <w:rPr>
          <w:rStyle w:val="html-italic"/>
          <w:rFonts w:ascii="Times New Roman" w:hAnsi="Times New Roman" w:cs="Times New Roman"/>
          <w:i/>
          <w:iCs/>
          <w:sz w:val="24"/>
          <w:szCs w:val="24"/>
          <w:shd w:val="clear" w:color="auto" w:fill="FFFFFF"/>
          <w:lang w:val="de-DE"/>
        </w:rPr>
        <w:t>140</w:t>
      </w:r>
      <w:r w:rsidRPr="001A569A">
        <w:rPr>
          <w:rFonts w:ascii="Times New Roman" w:hAnsi="Times New Roman" w:cs="Times New Roman"/>
          <w:sz w:val="24"/>
          <w:szCs w:val="24"/>
          <w:shd w:val="clear" w:color="auto" w:fill="FFFFFF"/>
          <w:lang w:val="de-DE"/>
        </w:rPr>
        <w:t>, 981–986. </w:t>
      </w:r>
    </w:p>
    <w:p w14:paraId="30686AC8"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1A569A">
        <w:rPr>
          <w:rFonts w:ascii="Times New Roman" w:hAnsi="Times New Roman" w:cs="Times New Roman"/>
          <w:sz w:val="24"/>
          <w:szCs w:val="24"/>
          <w:shd w:val="clear" w:color="auto" w:fill="FFFFFF"/>
          <w:lang w:val="de-DE"/>
        </w:rPr>
        <w:t xml:space="preserve">Wang, X. U., Qiao, S., Yin, Y., Yue, L., Wang, Z., &amp; Wu, G. (2007). </w:t>
      </w:r>
      <w:r w:rsidRPr="003100DC">
        <w:rPr>
          <w:rFonts w:ascii="Times New Roman" w:hAnsi="Times New Roman" w:cs="Times New Roman"/>
          <w:sz w:val="24"/>
          <w:szCs w:val="24"/>
          <w:shd w:val="clear" w:color="auto" w:fill="FFFFFF"/>
        </w:rPr>
        <w:t>A deficiency or excess of dietary threonine reduces protein synthesis in jejunum and skeletal muscle of young pigs. </w:t>
      </w:r>
      <w:r w:rsidRPr="003100DC">
        <w:rPr>
          <w:rFonts w:ascii="Times New Roman" w:hAnsi="Times New Roman" w:cs="Times New Roman"/>
          <w:i/>
          <w:iCs/>
          <w:sz w:val="24"/>
          <w:szCs w:val="24"/>
          <w:shd w:val="clear" w:color="auto" w:fill="FFFFFF"/>
        </w:rPr>
        <w:t>The Journal of nutrition</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137</w:t>
      </w:r>
      <w:r w:rsidRPr="003100DC">
        <w:rPr>
          <w:rFonts w:ascii="Times New Roman" w:hAnsi="Times New Roman" w:cs="Times New Roman"/>
          <w:sz w:val="24"/>
          <w:szCs w:val="24"/>
          <w:shd w:val="clear" w:color="auto" w:fill="FFFFFF"/>
        </w:rPr>
        <w:t>(6), 1442-1446.</w:t>
      </w:r>
    </w:p>
    <w:p w14:paraId="30D54E34" w14:textId="77777777" w:rsidR="004D6B7D" w:rsidRPr="003100DC" w:rsidRDefault="004D6B7D" w:rsidP="004D6B7D">
      <w:pPr>
        <w:jc w:val="both"/>
        <w:rPr>
          <w:rFonts w:ascii="Times New Roman" w:hAnsi="Times New Roman" w:cs="Times New Roman"/>
          <w:sz w:val="24"/>
          <w:szCs w:val="24"/>
        </w:rPr>
      </w:pPr>
      <w:r w:rsidRPr="003100DC">
        <w:rPr>
          <w:rFonts w:ascii="Times New Roman" w:hAnsi="Times New Roman" w:cs="Times New Roman"/>
          <w:sz w:val="24"/>
          <w:szCs w:val="24"/>
        </w:rPr>
        <w:t xml:space="preserve">Wang, J., Chen, L., Tang, L., &amp; Xu, Y. (2010). The role of threonine in regulating intestinal health and growth in fish. </w:t>
      </w:r>
      <w:r w:rsidRPr="003100DC">
        <w:rPr>
          <w:rFonts w:ascii="Times New Roman" w:hAnsi="Times New Roman" w:cs="Times New Roman"/>
          <w:i/>
          <w:iCs/>
          <w:sz w:val="24"/>
          <w:szCs w:val="24"/>
        </w:rPr>
        <w:t>Aquaculture Research, 41</w:t>
      </w:r>
      <w:r w:rsidRPr="003100DC">
        <w:rPr>
          <w:rFonts w:ascii="Times New Roman" w:hAnsi="Times New Roman" w:cs="Times New Roman"/>
          <w:sz w:val="24"/>
          <w:szCs w:val="24"/>
        </w:rPr>
        <w:t>(7), 1002-1010.</w:t>
      </w:r>
    </w:p>
    <w:p w14:paraId="0225E8AD" w14:textId="77777777" w:rsidR="004D6B7D" w:rsidRPr="003100DC" w:rsidRDefault="004D6B7D" w:rsidP="004D6B7D">
      <w:pPr>
        <w:jc w:val="both"/>
        <w:rPr>
          <w:rFonts w:ascii="Times New Roman" w:hAnsi="Times New Roman" w:cs="Times New Roman"/>
        </w:rPr>
      </w:pPr>
      <w:r w:rsidRPr="003100DC">
        <w:rPr>
          <w:rFonts w:ascii="Times New Roman" w:hAnsi="Times New Roman" w:cs="Times New Roman"/>
        </w:rPr>
        <w:t>Wen, M. L., Wu, P., Jiang, W. D., Liu, Y., Wu, C. M., Zhong, C. B., ... &amp; Zhou, X. Q. (2023). Dietary threonine improves muscle nutritional value and muscle hardness associated with collagen synthesis in grass carp (Ctenopharyngodon idella). </w:t>
      </w:r>
      <w:r w:rsidRPr="003100DC">
        <w:rPr>
          <w:rFonts w:ascii="Times New Roman" w:hAnsi="Times New Roman" w:cs="Times New Roman"/>
          <w:i/>
          <w:iCs/>
        </w:rPr>
        <w:t>Food Chemistry</w:t>
      </w:r>
      <w:r w:rsidRPr="003100DC">
        <w:rPr>
          <w:rFonts w:ascii="Times New Roman" w:hAnsi="Times New Roman" w:cs="Times New Roman"/>
        </w:rPr>
        <w:t>, </w:t>
      </w:r>
      <w:r w:rsidRPr="003100DC">
        <w:rPr>
          <w:rFonts w:ascii="Times New Roman" w:hAnsi="Times New Roman" w:cs="Times New Roman"/>
          <w:i/>
          <w:iCs/>
        </w:rPr>
        <w:t>422</w:t>
      </w:r>
      <w:r w:rsidRPr="003100DC">
        <w:rPr>
          <w:rFonts w:ascii="Times New Roman" w:hAnsi="Times New Roman" w:cs="Times New Roman"/>
        </w:rPr>
        <w:t>, 136223.</w:t>
      </w:r>
    </w:p>
    <w:p w14:paraId="035BE8C7"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Wilson, R. P., &amp; Halver, J. E. (1986). Protein and amino acid requirements of fishes. </w:t>
      </w:r>
      <w:r w:rsidRPr="003100DC">
        <w:rPr>
          <w:rFonts w:ascii="Times New Roman" w:eastAsia="SimSun" w:hAnsi="Times New Roman" w:cs="Times New Roman"/>
          <w:i/>
          <w:iCs/>
          <w:sz w:val="24"/>
          <w:szCs w:val="24"/>
          <w:shd w:val="clear" w:color="auto" w:fill="FFFFFF"/>
        </w:rPr>
        <w:t>Annual review of nutrition</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6</w:t>
      </w:r>
      <w:r w:rsidRPr="003100DC">
        <w:rPr>
          <w:rFonts w:ascii="Times New Roman" w:eastAsia="SimSun" w:hAnsi="Times New Roman" w:cs="Times New Roman"/>
          <w:sz w:val="24"/>
          <w:szCs w:val="24"/>
          <w:shd w:val="clear" w:color="auto" w:fill="FFFFFF"/>
        </w:rPr>
        <w:t>(1), 225-244.</w:t>
      </w:r>
    </w:p>
    <w:p w14:paraId="77FDC90C"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Wilson, R. P., Allen Jr, O. W., Robinson, E. H., &amp; Poe, W. E. (1978). Tryptophan and threonine requirements of fingerling channel catfish. </w:t>
      </w:r>
      <w:r w:rsidRPr="003100DC">
        <w:rPr>
          <w:rFonts w:ascii="Times New Roman" w:eastAsia="SimSun" w:hAnsi="Times New Roman" w:cs="Times New Roman"/>
          <w:i/>
          <w:iCs/>
          <w:sz w:val="24"/>
          <w:szCs w:val="24"/>
          <w:shd w:val="clear" w:color="auto" w:fill="FFFFFF"/>
        </w:rPr>
        <w:t>The Journal of Nutrition</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108</w:t>
      </w:r>
      <w:r w:rsidRPr="003100DC">
        <w:rPr>
          <w:rFonts w:ascii="Times New Roman" w:eastAsia="SimSun" w:hAnsi="Times New Roman" w:cs="Times New Roman"/>
          <w:sz w:val="24"/>
          <w:szCs w:val="24"/>
          <w:shd w:val="clear" w:color="auto" w:fill="FFFFFF"/>
        </w:rPr>
        <w:t>(10), 1595-1599.</w:t>
      </w:r>
    </w:p>
    <w:p w14:paraId="5E16CF61"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World Health Organization, &amp; United Nations University. (2007). </w:t>
      </w:r>
      <w:r w:rsidRPr="003100DC">
        <w:rPr>
          <w:rFonts w:ascii="Times New Roman" w:hAnsi="Times New Roman" w:cs="Times New Roman"/>
          <w:i/>
          <w:iCs/>
          <w:sz w:val="24"/>
          <w:szCs w:val="24"/>
          <w:shd w:val="clear" w:color="auto" w:fill="FFFFFF"/>
        </w:rPr>
        <w:t>Protein and amino acid requirements in human nutrition</w:t>
      </w:r>
      <w:r w:rsidRPr="003100DC">
        <w:rPr>
          <w:rFonts w:ascii="Times New Roman" w:hAnsi="Times New Roman" w:cs="Times New Roman"/>
          <w:sz w:val="24"/>
          <w:szCs w:val="24"/>
          <w:shd w:val="clear" w:color="auto" w:fill="FFFFFF"/>
        </w:rPr>
        <w:t> (Vol. 935). World Health Organization.</w:t>
      </w:r>
    </w:p>
    <w:p w14:paraId="2C1E9AE0"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Yue, Y., Zou, Z., Zhu, J., Li, D., Xiao, W., Han, J., &amp; Yang, H. (2014). Dietary threonine requirement of juvenile Nile tilapia, Oreochromis niloticus. </w:t>
      </w:r>
      <w:r w:rsidRPr="003100DC">
        <w:rPr>
          <w:rFonts w:ascii="Times New Roman" w:eastAsia="SimSun" w:hAnsi="Times New Roman" w:cs="Times New Roman"/>
          <w:i/>
          <w:iCs/>
          <w:sz w:val="24"/>
          <w:szCs w:val="24"/>
          <w:shd w:val="clear" w:color="auto" w:fill="FFFFFF"/>
        </w:rPr>
        <w:t>Aquaculture international</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22</w:t>
      </w:r>
      <w:r w:rsidRPr="003100DC">
        <w:rPr>
          <w:rFonts w:ascii="Times New Roman" w:eastAsia="SimSun" w:hAnsi="Times New Roman" w:cs="Times New Roman"/>
          <w:sz w:val="24"/>
          <w:szCs w:val="24"/>
          <w:shd w:val="clear" w:color="auto" w:fill="FFFFFF"/>
        </w:rPr>
        <w:t>, 1457-1467.</w:t>
      </w:r>
    </w:p>
    <w:p w14:paraId="2D2846A9"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1A569A">
        <w:rPr>
          <w:rFonts w:ascii="Times New Roman" w:eastAsia="SimSun" w:hAnsi="Times New Roman" w:cs="Times New Roman"/>
          <w:sz w:val="24"/>
          <w:szCs w:val="24"/>
          <w:shd w:val="clear" w:color="auto" w:fill="FFFFFF"/>
          <w:lang w:val="de-DE"/>
        </w:rPr>
        <w:t xml:space="preserve">Zehra, S., &amp; Khan, M. A. (2016). </w:t>
      </w:r>
      <w:r w:rsidRPr="003100DC">
        <w:rPr>
          <w:rFonts w:ascii="Times New Roman" w:eastAsia="SimSun" w:hAnsi="Times New Roman" w:cs="Times New Roman"/>
          <w:sz w:val="24"/>
          <w:szCs w:val="24"/>
          <w:shd w:val="clear" w:color="auto" w:fill="FFFFFF"/>
        </w:rPr>
        <w:t>Dietary threonine requirement of fingerling I ndian major carp, C atlacatla (H amilton) estimated by growth, protein retention efficiency, threonine deposition, haematological parameters and carcass composition. </w:t>
      </w:r>
      <w:r w:rsidRPr="003100DC">
        <w:rPr>
          <w:rFonts w:ascii="Times New Roman" w:eastAsia="SimSun" w:hAnsi="Times New Roman" w:cs="Times New Roman"/>
          <w:i/>
          <w:iCs/>
          <w:sz w:val="24"/>
          <w:szCs w:val="24"/>
          <w:shd w:val="clear" w:color="auto" w:fill="FFFFFF"/>
        </w:rPr>
        <w:t>Aquaculture Research</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47</w:t>
      </w:r>
      <w:r w:rsidRPr="003100DC">
        <w:rPr>
          <w:rFonts w:ascii="Times New Roman" w:eastAsia="SimSun" w:hAnsi="Times New Roman" w:cs="Times New Roman"/>
          <w:sz w:val="24"/>
          <w:szCs w:val="24"/>
          <w:shd w:val="clear" w:color="auto" w:fill="FFFFFF"/>
        </w:rPr>
        <w:t>(1), 253-265.</w:t>
      </w:r>
    </w:p>
    <w:p w14:paraId="7D2B9F93" w14:textId="77777777" w:rsidR="00551680" w:rsidRDefault="004C3C06">
      <w:pPr>
        <w:spacing w:line="240" w:lineRule="auto"/>
        <w:jc w:val="both"/>
        <w:rPr>
          <w:rFonts w:ascii="Times New Roman" w:eastAsia="SimSun" w:hAnsi="Times New Roman" w:cs="Times New Roman"/>
          <w:sz w:val="24"/>
          <w:szCs w:val="24"/>
          <w:shd w:val="clear" w:color="auto" w:fill="FFFFFF"/>
        </w:rPr>
      </w:pPr>
      <w:r w:rsidRPr="00A60A8A">
        <w:rPr>
          <w:rFonts w:ascii="Times New Roman" w:eastAsia="SimSun" w:hAnsi="Times New Roman" w:cs="Times New Roman"/>
          <w:sz w:val="24"/>
          <w:szCs w:val="24"/>
          <w:shd w:val="clear" w:color="auto" w:fill="FFFFFF"/>
          <w:lang w:val="de-DE"/>
        </w:rPr>
        <w:t xml:space="preserve">Zhou, Q. C., Wang, Y. L., Wang, H. L., &amp; Tan, B. P. (2013). </w:t>
      </w:r>
      <w:r w:rsidRPr="003100DC">
        <w:rPr>
          <w:rFonts w:ascii="Times New Roman" w:eastAsia="SimSun" w:hAnsi="Times New Roman" w:cs="Times New Roman"/>
          <w:sz w:val="24"/>
          <w:szCs w:val="24"/>
          <w:shd w:val="clear" w:color="auto" w:fill="FFFFFF"/>
        </w:rPr>
        <w:t>Dietary threonine requirements of juvenile Pacific white shrimp, Litopenaeusvannamei. </w:t>
      </w:r>
      <w:r w:rsidRPr="003100DC">
        <w:rPr>
          <w:rFonts w:ascii="Times New Roman" w:eastAsia="SimSun" w:hAnsi="Times New Roman" w:cs="Times New Roman"/>
          <w:i/>
          <w:iCs/>
          <w:sz w:val="24"/>
          <w:szCs w:val="24"/>
          <w:shd w:val="clear" w:color="auto" w:fill="FFFFFF"/>
        </w:rPr>
        <w:t>Aquaculture</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392</w:t>
      </w:r>
      <w:r w:rsidRPr="003100DC">
        <w:rPr>
          <w:rFonts w:ascii="Times New Roman" w:eastAsia="SimSun" w:hAnsi="Times New Roman" w:cs="Times New Roman"/>
          <w:sz w:val="24"/>
          <w:szCs w:val="24"/>
          <w:shd w:val="clear" w:color="auto" w:fill="FFFFFF"/>
        </w:rPr>
        <w:t>, 142-147.</w:t>
      </w:r>
    </w:p>
    <w:p w14:paraId="29FD99B5" w14:textId="03F528CD" w:rsidR="00A60A8A" w:rsidRDefault="00A60A8A">
      <w:pPr>
        <w:spacing w:line="240" w:lineRule="auto"/>
        <w:jc w:val="both"/>
        <w:rPr>
          <w:rFonts w:ascii="Times New Roman" w:eastAsia="SimSun" w:hAnsi="Times New Roman" w:cs="Times New Roman"/>
          <w:sz w:val="24"/>
          <w:szCs w:val="24"/>
          <w:shd w:val="clear" w:color="auto" w:fill="FFFFFF"/>
        </w:rPr>
      </w:pPr>
      <w:r w:rsidRPr="00A60A8A">
        <w:rPr>
          <w:rFonts w:ascii="Times New Roman" w:eastAsia="SimSun" w:hAnsi="Times New Roman" w:cs="Times New Roman"/>
          <w:sz w:val="24"/>
          <w:szCs w:val="24"/>
          <w:shd w:val="clear" w:color="auto" w:fill="FFFFFF"/>
        </w:rPr>
        <w:t xml:space="preserve">Zhang, Y., Lu, R., Qin, C., &amp; Nie, G. (2020). Precision nutritional regulation and aquaculture. </w:t>
      </w:r>
      <w:r w:rsidRPr="00A60A8A">
        <w:rPr>
          <w:rFonts w:ascii="Times New Roman" w:eastAsia="SimSun" w:hAnsi="Times New Roman" w:cs="Times New Roman"/>
          <w:i/>
          <w:iCs/>
          <w:sz w:val="24"/>
          <w:szCs w:val="24"/>
          <w:shd w:val="clear" w:color="auto" w:fill="FFFFFF"/>
        </w:rPr>
        <w:t>Aquaculture Reports, 18</w:t>
      </w:r>
      <w:r w:rsidRPr="00A60A8A">
        <w:rPr>
          <w:rFonts w:ascii="Times New Roman" w:eastAsia="SimSun" w:hAnsi="Times New Roman" w:cs="Times New Roman"/>
          <w:sz w:val="24"/>
          <w:szCs w:val="24"/>
          <w:shd w:val="clear" w:color="auto" w:fill="FFFFFF"/>
        </w:rPr>
        <w:t>, 100496.</w:t>
      </w:r>
    </w:p>
    <w:p w14:paraId="473C0085" w14:textId="24F42527" w:rsidR="00A60A8A" w:rsidRDefault="00A60A8A">
      <w:pPr>
        <w:spacing w:line="240" w:lineRule="auto"/>
        <w:jc w:val="both"/>
        <w:rPr>
          <w:rFonts w:ascii="Times New Roman" w:eastAsia="SimSun" w:hAnsi="Times New Roman" w:cs="Times New Roman"/>
          <w:sz w:val="24"/>
          <w:szCs w:val="24"/>
          <w:shd w:val="clear" w:color="auto" w:fill="FFFFFF"/>
        </w:rPr>
      </w:pPr>
      <w:r w:rsidRPr="00A60A8A">
        <w:rPr>
          <w:rFonts w:ascii="Times New Roman" w:eastAsia="SimSun" w:hAnsi="Times New Roman" w:cs="Times New Roman"/>
          <w:sz w:val="24"/>
          <w:szCs w:val="24"/>
          <w:shd w:val="clear" w:color="auto" w:fill="FFFFFF"/>
          <w:lang w:val="de-DE"/>
        </w:rPr>
        <w:t xml:space="preserve">Liu, C., Wang, X., Zhou, H., Mai, K., &amp; He, G. (2019). </w:t>
      </w:r>
      <w:r w:rsidRPr="00A60A8A">
        <w:rPr>
          <w:rFonts w:ascii="Times New Roman" w:eastAsia="SimSun" w:hAnsi="Times New Roman" w:cs="Times New Roman"/>
          <w:sz w:val="24"/>
          <w:szCs w:val="24"/>
          <w:shd w:val="clear" w:color="auto" w:fill="FFFFFF"/>
        </w:rPr>
        <w:t xml:space="preserve">Recent advances in amino acid sensing and new challenges for protein nutrition in aquaculture. </w:t>
      </w:r>
      <w:r w:rsidRPr="00A60A8A">
        <w:rPr>
          <w:rFonts w:ascii="Times New Roman" w:eastAsia="SimSun" w:hAnsi="Times New Roman" w:cs="Times New Roman"/>
          <w:i/>
          <w:iCs/>
          <w:sz w:val="24"/>
          <w:szCs w:val="24"/>
          <w:shd w:val="clear" w:color="auto" w:fill="FFFFFF"/>
        </w:rPr>
        <w:t>Marine Life Science &amp; Technology, 1</w:t>
      </w:r>
      <w:r w:rsidRPr="00A60A8A">
        <w:rPr>
          <w:rFonts w:ascii="Times New Roman" w:eastAsia="SimSun" w:hAnsi="Times New Roman" w:cs="Times New Roman"/>
          <w:sz w:val="24"/>
          <w:szCs w:val="24"/>
          <w:shd w:val="clear" w:color="auto" w:fill="FFFFFF"/>
        </w:rPr>
        <w:t>(1), 50–59.</w:t>
      </w:r>
    </w:p>
    <w:p w14:paraId="4E5464EC" w14:textId="27646A00" w:rsidR="00A60A8A" w:rsidRDefault="00A60A8A">
      <w:pPr>
        <w:spacing w:line="240" w:lineRule="auto"/>
        <w:jc w:val="both"/>
        <w:rPr>
          <w:rFonts w:ascii="Times New Roman" w:eastAsia="SimSun" w:hAnsi="Times New Roman" w:cs="Times New Roman"/>
          <w:sz w:val="24"/>
          <w:szCs w:val="24"/>
          <w:shd w:val="clear" w:color="auto" w:fill="FFFFFF"/>
        </w:rPr>
      </w:pPr>
      <w:r w:rsidRPr="00A60A8A">
        <w:rPr>
          <w:rFonts w:ascii="Times New Roman" w:eastAsia="SimSun" w:hAnsi="Times New Roman" w:cs="Times New Roman"/>
          <w:sz w:val="24"/>
          <w:szCs w:val="24"/>
          <w:shd w:val="clear" w:color="auto" w:fill="FFFFFF"/>
        </w:rPr>
        <w:t>Ogino, A., Murakami, H., Yamashita, T., Furuya, M., Kawahara, H., Ohkubo, T., &amp; Osada, T. (2017). Estimation of nutrient excretion factors of broiler and layer chickens in Japan. </w:t>
      </w:r>
      <w:r w:rsidRPr="00A60A8A">
        <w:rPr>
          <w:rFonts w:ascii="Times New Roman" w:eastAsia="SimSun" w:hAnsi="Times New Roman" w:cs="Times New Roman"/>
          <w:i/>
          <w:iCs/>
          <w:sz w:val="24"/>
          <w:szCs w:val="24"/>
          <w:shd w:val="clear" w:color="auto" w:fill="FFFFFF"/>
        </w:rPr>
        <w:t>Animal Science Journal</w:t>
      </w:r>
      <w:r w:rsidRPr="00A60A8A">
        <w:rPr>
          <w:rFonts w:ascii="Times New Roman" w:eastAsia="SimSun" w:hAnsi="Times New Roman" w:cs="Times New Roman"/>
          <w:sz w:val="24"/>
          <w:szCs w:val="24"/>
          <w:shd w:val="clear" w:color="auto" w:fill="FFFFFF"/>
        </w:rPr>
        <w:t>, </w:t>
      </w:r>
      <w:r w:rsidRPr="00A60A8A">
        <w:rPr>
          <w:rFonts w:ascii="Times New Roman" w:eastAsia="SimSun" w:hAnsi="Times New Roman" w:cs="Times New Roman"/>
          <w:i/>
          <w:iCs/>
          <w:sz w:val="24"/>
          <w:szCs w:val="24"/>
          <w:shd w:val="clear" w:color="auto" w:fill="FFFFFF"/>
        </w:rPr>
        <w:t>88</w:t>
      </w:r>
      <w:r w:rsidRPr="00A60A8A">
        <w:rPr>
          <w:rFonts w:ascii="Times New Roman" w:eastAsia="SimSun" w:hAnsi="Times New Roman" w:cs="Times New Roman"/>
          <w:sz w:val="24"/>
          <w:szCs w:val="24"/>
          <w:shd w:val="clear" w:color="auto" w:fill="FFFFFF"/>
        </w:rPr>
        <w:t>(4), 659-668.</w:t>
      </w:r>
    </w:p>
    <w:p w14:paraId="63F76824" w14:textId="5846A98C" w:rsidR="008C321B" w:rsidRPr="003100DC" w:rsidRDefault="008C321B">
      <w:pPr>
        <w:spacing w:line="240" w:lineRule="auto"/>
        <w:jc w:val="both"/>
        <w:rPr>
          <w:rFonts w:ascii="Times New Roman" w:eastAsia="SimSun" w:hAnsi="Times New Roman" w:cs="Times New Roman"/>
          <w:sz w:val="24"/>
          <w:szCs w:val="24"/>
          <w:shd w:val="clear" w:color="auto" w:fill="FFFFFF"/>
        </w:rPr>
      </w:pPr>
      <w:r w:rsidRPr="008C321B">
        <w:rPr>
          <w:rFonts w:ascii="Times New Roman" w:eastAsia="SimSun" w:hAnsi="Times New Roman" w:cs="Times New Roman"/>
          <w:sz w:val="24"/>
          <w:szCs w:val="24"/>
          <w:shd w:val="clear" w:color="auto" w:fill="FFFFFF"/>
        </w:rPr>
        <w:t>Wilson, R. P., Allen Jr, O. W., Robinson, E. H., &amp; Poe, W. E. (1978). Tryptophan and threonine requirements of fingerling channel catfish. </w:t>
      </w:r>
      <w:r w:rsidRPr="008C321B">
        <w:rPr>
          <w:rFonts w:ascii="Times New Roman" w:eastAsia="SimSun" w:hAnsi="Times New Roman" w:cs="Times New Roman"/>
          <w:i/>
          <w:iCs/>
          <w:sz w:val="24"/>
          <w:szCs w:val="24"/>
          <w:shd w:val="clear" w:color="auto" w:fill="FFFFFF"/>
        </w:rPr>
        <w:t>The Journal of Nutrition</w:t>
      </w:r>
      <w:r w:rsidRPr="008C321B">
        <w:rPr>
          <w:rFonts w:ascii="Times New Roman" w:eastAsia="SimSun" w:hAnsi="Times New Roman" w:cs="Times New Roman"/>
          <w:sz w:val="24"/>
          <w:szCs w:val="24"/>
          <w:shd w:val="clear" w:color="auto" w:fill="FFFFFF"/>
        </w:rPr>
        <w:t>, </w:t>
      </w:r>
      <w:r w:rsidRPr="008C321B">
        <w:rPr>
          <w:rFonts w:ascii="Times New Roman" w:eastAsia="SimSun" w:hAnsi="Times New Roman" w:cs="Times New Roman"/>
          <w:i/>
          <w:iCs/>
          <w:sz w:val="24"/>
          <w:szCs w:val="24"/>
          <w:shd w:val="clear" w:color="auto" w:fill="FFFFFF"/>
        </w:rPr>
        <w:t>108</w:t>
      </w:r>
      <w:r w:rsidRPr="008C321B">
        <w:rPr>
          <w:rFonts w:ascii="Times New Roman" w:eastAsia="SimSun" w:hAnsi="Times New Roman" w:cs="Times New Roman"/>
          <w:sz w:val="24"/>
          <w:szCs w:val="24"/>
          <w:shd w:val="clear" w:color="auto" w:fill="FFFFFF"/>
        </w:rPr>
        <w:t>(10), 1595-1599.</w:t>
      </w:r>
    </w:p>
    <w:sectPr w:rsidR="008C321B" w:rsidRPr="003100DC">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5632E" w14:textId="77777777" w:rsidR="00433BA6" w:rsidRDefault="00433BA6">
      <w:pPr>
        <w:spacing w:line="240" w:lineRule="auto"/>
      </w:pPr>
      <w:r>
        <w:separator/>
      </w:r>
    </w:p>
  </w:endnote>
  <w:endnote w:type="continuationSeparator" w:id="0">
    <w:p w14:paraId="3D1CFB65" w14:textId="77777777" w:rsidR="00433BA6" w:rsidRDefault="00433B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7512" w14:textId="77777777" w:rsidR="0085692D" w:rsidRDefault="008569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AA613" w14:textId="77777777" w:rsidR="0085692D" w:rsidRDefault="008569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08ACB" w14:textId="77777777" w:rsidR="0085692D" w:rsidRDefault="00856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1292F" w14:textId="77777777" w:rsidR="00433BA6" w:rsidRDefault="00433BA6">
      <w:pPr>
        <w:spacing w:after="0"/>
      </w:pPr>
      <w:r>
        <w:separator/>
      </w:r>
    </w:p>
  </w:footnote>
  <w:footnote w:type="continuationSeparator" w:id="0">
    <w:p w14:paraId="1A39CCAB" w14:textId="77777777" w:rsidR="00433BA6" w:rsidRDefault="00433B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4B7C" w14:textId="64C151F3" w:rsidR="0085692D" w:rsidRDefault="00000000">
    <w:pPr>
      <w:pStyle w:val="Header"/>
    </w:pPr>
    <w:r>
      <w:rPr>
        <w:noProof/>
      </w:rPr>
      <w:pict w14:anchorId="257DC3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738485"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69EA4" w14:textId="79E6C5A2" w:rsidR="0085692D" w:rsidRDefault="00000000">
    <w:pPr>
      <w:pStyle w:val="Header"/>
    </w:pPr>
    <w:r>
      <w:rPr>
        <w:noProof/>
      </w:rPr>
      <w:pict w14:anchorId="43B7B6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738486"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ACC31" w14:textId="2B2923A4" w:rsidR="0085692D" w:rsidRDefault="00000000">
    <w:pPr>
      <w:pStyle w:val="Header"/>
    </w:pPr>
    <w:r>
      <w:rPr>
        <w:noProof/>
      </w:rPr>
      <w:pict w14:anchorId="4E36E6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738484"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820A"/>
    <w:multiLevelType w:val="singleLevel"/>
    <w:tmpl w:val="0145820A"/>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40943BB6"/>
    <w:multiLevelType w:val="hybridMultilevel"/>
    <w:tmpl w:val="07E057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885333971">
    <w:abstractNumId w:val="0"/>
  </w:num>
  <w:num w:numId="2" w16cid:durableId="1593123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AC8"/>
    <w:rsid w:val="0000185F"/>
    <w:rsid w:val="00012EBA"/>
    <w:rsid w:val="0002250C"/>
    <w:rsid w:val="00037917"/>
    <w:rsid w:val="00042299"/>
    <w:rsid w:val="00042374"/>
    <w:rsid w:val="00043672"/>
    <w:rsid w:val="0005393F"/>
    <w:rsid w:val="00055539"/>
    <w:rsid w:val="00057720"/>
    <w:rsid w:val="00060CCA"/>
    <w:rsid w:val="0006109C"/>
    <w:rsid w:val="00066834"/>
    <w:rsid w:val="0007058D"/>
    <w:rsid w:val="0007591D"/>
    <w:rsid w:val="00091232"/>
    <w:rsid w:val="000928CC"/>
    <w:rsid w:val="00095B2E"/>
    <w:rsid w:val="000A0680"/>
    <w:rsid w:val="000A61C5"/>
    <w:rsid w:val="000B0CDE"/>
    <w:rsid w:val="000D7F9C"/>
    <w:rsid w:val="000E2462"/>
    <w:rsid w:val="000E5994"/>
    <w:rsid w:val="000F7669"/>
    <w:rsid w:val="001205A7"/>
    <w:rsid w:val="00126E1D"/>
    <w:rsid w:val="0012753F"/>
    <w:rsid w:val="00137BB1"/>
    <w:rsid w:val="00162157"/>
    <w:rsid w:val="00170411"/>
    <w:rsid w:val="001711A2"/>
    <w:rsid w:val="001746A9"/>
    <w:rsid w:val="00197580"/>
    <w:rsid w:val="001978C6"/>
    <w:rsid w:val="001A569A"/>
    <w:rsid w:val="001B08D5"/>
    <w:rsid w:val="001B4C3F"/>
    <w:rsid w:val="001C1737"/>
    <w:rsid w:val="001D7850"/>
    <w:rsid w:val="002029C6"/>
    <w:rsid w:val="0020356E"/>
    <w:rsid w:val="00216C76"/>
    <w:rsid w:val="00217C28"/>
    <w:rsid w:val="002209E3"/>
    <w:rsid w:val="00221B8B"/>
    <w:rsid w:val="00227374"/>
    <w:rsid w:val="00232BE2"/>
    <w:rsid w:val="00232E60"/>
    <w:rsid w:val="0024160A"/>
    <w:rsid w:val="00250429"/>
    <w:rsid w:val="00266528"/>
    <w:rsid w:val="002666D5"/>
    <w:rsid w:val="00266BA2"/>
    <w:rsid w:val="00275E04"/>
    <w:rsid w:val="0028553D"/>
    <w:rsid w:val="00291FDC"/>
    <w:rsid w:val="00293178"/>
    <w:rsid w:val="002A07D3"/>
    <w:rsid w:val="002A7D78"/>
    <w:rsid w:val="002C2F6F"/>
    <w:rsid w:val="002C5B15"/>
    <w:rsid w:val="002E273D"/>
    <w:rsid w:val="00302840"/>
    <w:rsid w:val="00302C7A"/>
    <w:rsid w:val="00304811"/>
    <w:rsid w:val="00307FA9"/>
    <w:rsid w:val="003100DC"/>
    <w:rsid w:val="00313E12"/>
    <w:rsid w:val="00321D6C"/>
    <w:rsid w:val="00327CCB"/>
    <w:rsid w:val="00331F9F"/>
    <w:rsid w:val="003355AD"/>
    <w:rsid w:val="00353BBB"/>
    <w:rsid w:val="00355138"/>
    <w:rsid w:val="0036102E"/>
    <w:rsid w:val="00364BDE"/>
    <w:rsid w:val="0037536A"/>
    <w:rsid w:val="003872BE"/>
    <w:rsid w:val="00391EE5"/>
    <w:rsid w:val="003A5AC7"/>
    <w:rsid w:val="003E0F13"/>
    <w:rsid w:val="003E5B02"/>
    <w:rsid w:val="003E6337"/>
    <w:rsid w:val="003E665F"/>
    <w:rsid w:val="003F03C6"/>
    <w:rsid w:val="003F1BE3"/>
    <w:rsid w:val="003F48DC"/>
    <w:rsid w:val="003F550E"/>
    <w:rsid w:val="00401A92"/>
    <w:rsid w:val="00404CBB"/>
    <w:rsid w:val="00407601"/>
    <w:rsid w:val="00433BA6"/>
    <w:rsid w:val="00441ABC"/>
    <w:rsid w:val="00447149"/>
    <w:rsid w:val="004618E5"/>
    <w:rsid w:val="00471CF7"/>
    <w:rsid w:val="00475CD3"/>
    <w:rsid w:val="0048214E"/>
    <w:rsid w:val="0048329F"/>
    <w:rsid w:val="00485F54"/>
    <w:rsid w:val="004921E0"/>
    <w:rsid w:val="004A0D65"/>
    <w:rsid w:val="004B4F90"/>
    <w:rsid w:val="004B51DD"/>
    <w:rsid w:val="004B7863"/>
    <w:rsid w:val="004C3C06"/>
    <w:rsid w:val="004C4EA9"/>
    <w:rsid w:val="004D0686"/>
    <w:rsid w:val="004D1887"/>
    <w:rsid w:val="004D30F2"/>
    <w:rsid w:val="004D6B7D"/>
    <w:rsid w:val="004E2A05"/>
    <w:rsid w:val="004F5577"/>
    <w:rsid w:val="004F564F"/>
    <w:rsid w:val="005071A6"/>
    <w:rsid w:val="00511330"/>
    <w:rsid w:val="00514193"/>
    <w:rsid w:val="0052748F"/>
    <w:rsid w:val="00541F27"/>
    <w:rsid w:val="00544D57"/>
    <w:rsid w:val="005514D0"/>
    <w:rsid w:val="00551680"/>
    <w:rsid w:val="00557162"/>
    <w:rsid w:val="00567210"/>
    <w:rsid w:val="00570EE9"/>
    <w:rsid w:val="005741CA"/>
    <w:rsid w:val="00583A1E"/>
    <w:rsid w:val="0058519B"/>
    <w:rsid w:val="00585C33"/>
    <w:rsid w:val="00593CD1"/>
    <w:rsid w:val="005953AC"/>
    <w:rsid w:val="005A5A79"/>
    <w:rsid w:val="005B2068"/>
    <w:rsid w:val="005C714F"/>
    <w:rsid w:val="005D13D0"/>
    <w:rsid w:val="005E1039"/>
    <w:rsid w:val="00606295"/>
    <w:rsid w:val="006102CC"/>
    <w:rsid w:val="00611129"/>
    <w:rsid w:val="00634AD1"/>
    <w:rsid w:val="00635E41"/>
    <w:rsid w:val="00637D03"/>
    <w:rsid w:val="006505EA"/>
    <w:rsid w:val="00653432"/>
    <w:rsid w:val="006628A1"/>
    <w:rsid w:val="0067042B"/>
    <w:rsid w:val="00673770"/>
    <w:rsid w:val="00677815"/>
    <w:rsid w:val="006828AE"/>
    <w:rsid w:val="00684188"/>
    <w:rsid w:val="006848BF"/>
    <w:rsid w:val="00685154"/>
    <w:rsid w:val="006B00F0"/>
    <w:rsid w:val="006B27BF"/>
    <w:rsid w:val="006B37E7"/>
    <w:rsid w:val="006C632A"/>
    <w:rsid w:val="006C7565"/>
    <w:rsid w:val="006D28AE"/>
    <w:rsid w:val="006D7410"/>
    <w:rsid w:val="006E113A"/>
    <w:rsid w:val="006E5A49"/>
    <w:rsid w:val="00704B8A"/>
    <w:rsid w:val="00704C1D"/>
    <w:rsid w:val="00706658"/>
    <w:rsid w:val="0073203C"/>
    <w:rsid w:val="00743102"/>
    <w:rsid w:val="007473F6"/>
    <w:rsid w:val="00751B37"/>
    <w:rsid w:val="00752958"/>
    <w:rsid w:val="00754B3E"/>
    <w:rsid w:val="00760410"/>
    <w:rsid w:val="00762021"/>
    <w:rsid w:val="00782D36"/>
    <w:rsid w:val="00783868"/>
    <w:rsid w:val="0078691F"/>
    <w:rsid w:val="00790042"/>
    <w:rsid w:val="007901C3"/>
    <w:rsid w:val="00791932"/>
    <w:rsid w:val="00796685"/>
    <w:rsid w:val="00796B9D"/>
    <w:rsid w:val="007A5D26"/>
    <w:rsid w:val="007A5D59"/>
    <w:rsid w:val="007B6B6B"/>
    <w:rsid w:val="007C1326"/>
    <w:rsid w:val="007C189D"/>
    <w:rsid w:val="007C4CF5"/>
    <w:rsid w:val="007F0C90"/>
    <w:rsid w:val="007F7B2E"/>
    <w:rsid w:val="0080326A"/>
    <w:rsid w:val="0082014B"/>
    <w:rsid w:val="008337FE"/>
    <w:rsid w:val="0084343E"/>
    <w:rsid w:val="008520E7"/>
    <w:rsid w:val="00855906"/>
    <w:rsid w:val="0085692D"/>
    <w:rsid w:val="00860C66"/>
    <w:rsid w:val="0087752C"/>
    <w:rsid w:val="00882983"/>
    <w:rsid w:val="0088755B"/>
    <w:rsid w:val="0089149B"/>
    <w:rsid w:val="008A0CDE"/>
    <w:rsid w:val="008A1573"/>
    <w:rsid w:val="008A2747"/>
    <w:rsid w:val="008A2ACE"/>
    <w:rsid w:val="008B3756"/>
    <w:rsid w:val="008B5AC8"/>
    <w:rsid w:val="008B748F"/>
    <w:rsid w:val="008C321B"/>
    <w:rsid w:val="008F1703"/>
    <w:rsid w:val="008F4DE8"/>
    <w:rsid w:val="009045A3"/>
    <w:rsid w:val="00911462"/>
    <w:rsid w:val="00914549"/>
    <w:rsid w:val="00925544"/>
    <w:rsid w:val="00931B81"/>
    <w:rsid w:val="00935B90"/>
    <w:rsid w:val="00941F4A"/>
    <w:rsid w:val="00942FD0"/>
    <w:rsid w:val="0095096B"/>
    <w:rsid w:val="009512FA"/>
    <w:rsid w:val="009928E3"/>
    <w:rsid w:val="00992972"/>
    <w:rsid w:val="0099384F"/>
    <w:rsid w:val="00994D43"/>
    <w:rsid w:val="009954BD"/>
    <w:rsid w:val="009A32EB"/>
    <w:rsid w:val="009A44CC"/>
    <w:rsid w:val="009A4E88"/>
    <w:rsid w:val="009B716A"/>
    <w:rsid w:val="009C382D"/>
    <w:rsid w:val="009E37BD"/>
    <w:rsid w:val="009F0AFD"/>
    <w:rsid w:val="009F594F"/>
    <w:rsid w:val="00A05238"/>
    <w:rsid w:val="00A30474"/>
    <w:rsid w:val="00A33055"/>
    <w:rsid w:val="00A34E04"/>
    <w:rsid w:val="00A3657C"/>
    <w:rsid w:val="00A43BDE"/>
    <w:rsid w:val="00A548E5"/>
    <w:rsid w:val="00A55A5B"/>
    <w:rsid w:val="00A55A85"/>
    <w:rsid w:val="00A60A6C"/>
    <w:rsid w:val="00A60A8A"/>
    <w:rsid w:val="00A6610E"/>
    <w:rsid w:val="00A67BDA"/>
    <w:rsid w:val="00A71EE3"/>
    <w:rsid w:val="00A95690"/>
    <w:rsid w:val="00A95E85"/>
    <w:rsid w:val="00AB25E6"/>
    <w:rsid w:val="00AD0D95"/>
    <w:rsid w:val="00AD33C1"/>
    <w:rsid w:val="00AE132A"/>
    <w:rsid w:val="00AE34C7"/>
    <w:rsid w:val="00AE3E50"/>
    <w:rsid w:val="00AF07F3"/>
    <w:rsid w:val="00AF228A"/>
    <w:rsid w:val="00B00660"/>
    <w:rsid w:val="00B0234A"/>
    <w:rsid w:val="00B061EB"/>
    <w:rsid w:val="00B06F37"/>
    <w:rsid w:val="00B078EC"/>
    <w:rsid w:val="00B1716E"/>
    <w:rsid w:val="00B23080"/>
    <w:rsid w:val="00B34725"/>
    <w:rsid w:val="00B42EAE"/>
    <w:rsid w:val="00B430B1"/>
    <w:rsid w:val="00B45016"/>
    <w:rsid w:val="00B51872"/>
    <w:rsid w:val="00B55B5A"/>
    <w:rsid w:val="00B56371"/>
    <w:rsid w:val="00B64D87"/>
    <w:rsid w:val="00B65BC2"/>
    <w:rsid w:val="00B66B48"/>
    <w:rsid w:val="00B66E38"/>
    <w:rsid w:val="00B73DD0"/>
    <w:rsid w:val="00B825B3"/>
    <w:rsid w:val="00B977F3"/>
    <w:rsid w:val="00BA7ADE"/>
    <w:rsid w:val="00BB6F34"/>
    <w:rsid w:val="00BB7C8B"/>
    <w:rsid w:val="00BC4654"/>
    <w:rsid w:val="00BD23FD"/>
    <w:rsid w:val="00BD3AD3"/>
    <w:rsid w:val="00C25BD8"/>
    <w:rsid w:val="00C268F2"/>
    <w:rsid w:val="00C50823"/>
    <w:rsid w:val="00C51D1E"/>
    <w:rsid w:val="00C57A03"/>
    <w:rsid w:val="00C629C1"/>
    <w:rsid w:val="00C6704B"/>
    <w:rsid w:val="00C771B8"/>
    <w:rsid w:val="00C867C5"/>
    <w:rsid w:val="00CB2457"/>
    <w:rsid w:val="00CD15BD"/>
    <w:rsid w:val="00CF4FD8"/>
    <w:rsid w:val="00CF7A72"/>
    <w:rsid w:val="00D00ED3"/>
    <w:rsid w:val="00D10521"/>
    <w:rsid w:val="00D17E31"/>
    <w:rsid w:val="00D23006"/>
    <w:rsid w:val="00D25C7F"/>
    <w:rsid w:val="00D73441"/>
    <w:rsid w:val="00D75327"/>
    <w:rsid w:val="00D86D62"/>
    <w:rsid w:val="00D920AA"/>
    <w:rsid w:val="00DA0968"/>
    <w:rsid w:val="00DA2B38"/>
    <w:rsid w:val="00DA5E0F"/>
    <w:rsid w:val="00DB2804"/>
    <w:rsid w:val="00DE06D3"/>
    <w:rsid w:val="00DE7D40"/>
    <w:rsid w:val="00DF085A"/>
    <w:rsid w:val="00DF25C9"/>
    <w:rsid w:val="00E11447"/>
    <w:rsid w:val="00E24676"/>
    <w:rsid w:val="00E24FDC"/>
    <w:rsid w:val="00E2651F"/>
    <w:rsid w:val="00E541C1"/>
    <w:rsid w:val="00E66C2D"/>
    <w:rsid w:val="00E6748E"/>
    <w:rsid w:val="00E771CC"/>
    <w:rsid w:val="00E84754"/>
    <w:rsid w:val="00EA0961"/>
    <w:rsid w:val="00EA2096"/>
    <w:rsid w:val="00EB44FF"/>
    <w:rsid w:val="00EB62C7"/>
    <w:rsid w:val="00EC11BD"/>
    <w:rsid w:val="00F0260B"/>
    <w:rsid w:val="00F31552"/>
    <w:rsid w:val="00F36221"/>
    <w:rsid w:val="00F4213F"/>
    <w:rsid w:val="00F50437"/>
    <w:rsid w:val="00F7300F"/>
    <w:rsid w:val="00F8397F"/>
    <w:rsid w:val="00FA69AB"/>
    <w:rsid w:val="00FB1295"/>
    <w:rsid w:val="00FB633E"/>
    <w:rsid w:val="00FC0739"/>
    <w:rsid w:val="00FD169F"/>
    <w:rsid w:val="00FD7ED7"/>
    <w:rsid w:val="00FE4B7A"/>
    <w:rsid w:val="00FF349A"/>
    <w:rsid w:val="00FF7C60"/>
    <w:rsid w:val="0BEC56F3"/>
    <w:rsid w:val="0C4638C9"/>
    <w:rsid w:val="27C63C77"/>
    <w:rsid w:val="2BA33828"/>
    <w:rsid w:val="44BA55A3"/>
    <w:rsid w:val="51B95241"/>
    <w:rsid w:val="5A6671FD"/>
    <w:rsid w:val="669432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E996680"/>
  <w15:docId w15:val="{C52A7EBD-A073-4318-8342-0255FCF37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val="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Strong">
    <w:name w:val="Strong"/>
    <w:basedOn w:val="DefaultParagraphFont"/>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anchor-text">
    <w:name w:val="anchor-text"/>
    <w:basedOn w:val="DefaultParagraphFont"/>
    <w:qFormat/>
  </w:style>
  <w:style w:type="paragraph" w:styleId="ListParagraph">
    <w:name w:val="List Paragraph"/>
    <w:basedOn w:val="Normal"/>
    <w:uiPriority w:val="34"/>
    <w:qFormat/>
    <w:pPr>
      <w:ind w:left="720"/>
      <w:contextualSpacing/>
    </w:pPr>
  </w:style>
  <w:style w:type="paragraph" w:customStyle="1" w:styleId="z-TopofForm1">
    <w:name w:val="z-Top of Form1"/>
    <w:basedOn w:val="Normal"/>
    <w:next w:val="Normal"/>
    <w:link w:val="z-TopofFormChar"/>
    <w:uiPriority w:val="99"/>
    <w:semiHidden/>
    <w:unhideWhenUsed/>
    <w:pPr>
      <w:pBdr>
        <w:bottom w:val="single" w:sz="6" w:space="1" w:color="auto"/>
      </w:pBdr>
      <w:spacing w:after="0" w:line="240" w:lineRule="auto"/>
      <w:jc w:val="center"/>
    </w:pPr>
    <w:rPr>
      <w:rFonts w:ascii="Arial" w:eastAsia="Times New Roman" w:hAnsi="Arial" w:cs="Arial"/>
      <w:vanish/>
      <w:kern w:val="0"/>
      <w:sz w:val="16"/>
      <w:szCs w:val="16"/>
      <w:lang w:eastAsia="en-IN"/>
    </w:rPr>
  </w:style>
  <w:style w:type="character" w:customStyle="1" w:styleId="z-TopofFormChar">
    <w:name w:val="z-Top of Form Char"/>
    <w:basedOn w:val="DefaultParagraphFont"/>
    <w:link w:val="z-TopofForm1"/>
    <w:uiPriority w:val="99"/>
    <w:semiHidden/>
    <w:rPr>
      <w:rFonts w:ascii="Arial" w:eastAsia="Times New Roman" w:hAnsi="Arial" w:cs="Arial"/>
      <w:vanish/>
      <w:kern w:val="0"/>
      <w:sz w:val="16"/>
      <w:szCs w:val="16"/>
      <w:lang w:eastAsia="en-IN"/>
    </w:rPr>
  </w:style>
  <w:style w:type="character" w:customStyle="1" w:styleId="hljs-variable">
    <w:name w:val="hljs-variable"/>
    <w:basedOn w:val="DefaultParagraphFont"/>
  </w:style>
  <w:style w:type="character" w:customStyle="1" w:styleId="hljs-operator">
    <w:name w:val="hljs-operator"/>
    <w:basedOn w:val="DefaultParagraphFont"/>
  </w:style>
  <w:style w:type="character" w:customStyle="1" w:styleId="hljs-builtin">
    <w:name w:val="hljs-built_in"/>
    <w:basedOn w:val="DefaultParagraphFont"/>
    <w:qFormat/>
  </w:style>
  <w:style w:type="character" w:customStyle="1" w:styleId="html-italic">
    <w:name w:val="html-italic"/>
    <w:basedOn w:val="DefaultParagraphFont"/>
  </w:style>
  <w:style w:type="character" w:customStyle="1" w:styleId="string-name">
    <w:name w:val="string-name"/>
    <w:basedOn w:val="DefaultParagraphFont"/>
    <w:qFormat/>
  </w:style>
  <w:style w:type="character" w:customStyle="1" w:styleId="surname">
    <w:name w:val="surname"/>
    <w:basedOn w:val="DefaultParagraphFont"/>
    <w:qFormat/>
  </w:style>
  <w:style w:type="character" w:customStyle="1" w:styleId="given-names">
    <w:name w:val="given-names"/>
    <w:basedOn w:val="DefaultParagraphFont"/>
    <w:qFormat/>
  </w:style>
  <w:style w:type="character" w:customStyle="1" w:styleId="year">
    <w:name w:val="year"/>
    <w:basedOn w:val="DefaultParagraphFont"/>
    <w:qFormat/>
  </w:style>
  <w:style w:type="character" w:customStyle="1" w:styleId="article-title">
    <w:name w:val="article-title"/>
    <w:basedOn w:val="DefaultParagraphFont"/>
  </w:style>
  <w:style w:type="character" w:customStyle="1" w:styleId="source">
    <w:name w:val="source"/>
    <w:basedOn w:val="DefaultParagraphFont"/>
    <w:qFormat/>
  </w:style>
  <w:style w:type="character" w:customStyle="1" w:styleId="volume">
    <w:name w:val="volume"/>
    <w:basedOn w:val="DefaultParagraphFont"/>
    <w:qFormat/>
  </w:style>
  <w:style w:type="character" w:customStyle="1" w:styleId="fpage">
    <w:name w:val="fpage"/>
    <w:basedOn w:val="DefaultParagraphFont"/>
    <w:qFormat/>
  </w:style>
  <w:style w:type="character" w:customStyle="1" w:styleId="lpage">
    <w:name w:val="lpage"/>
    <w:basedOn w:val="DefaultParagraphFont"/>
    <w:qFormat/>
  </w:style>
  <w:style w:type="character" w:customStyle="1" w:styleId="etal">
    <w:name w:val="etal"/>
    <w:basedOn w:val="DefaultParagraphFont"/>
    <w:qFormat/>
  </w:style>
  <w:style w:type="paragraph" w:customStyle="1" w:styleId="z-TopofForm2">
    <w:name w:val="z-Top of Form2"/>
    <w:basedOn w:val="Normal"/>
    <w:next w:val="Normal"/>
    <w:hidden/>
    <w:uiPriority w:val="99"/>
    <w:semiHidden/>
    <w:unhideWhenUsed/>
    <w:qFormat/>
    <w:pPr>
      <w:pBdr>
        <w:bottom w:val="single" w:sz="6" w:space="1" w:color="auto"/>
      </w:pBdr>
      <w:spacing w:after="0" w:line="240" w:lineRule="auto"/>
      <w:jc w:val="center"/>
    </w:pPr>
    <w:rPr>
      <w:rFonts w:ascii="Arial" w:eastAsia="Times New Roman" w:hAnsi="Arial" w:cs="Arial"/>
      <w:vanish/>
      <w:kern w:val="0"/>
      <w:sz w:val="16"/>
      <w:szCs w:val="16"/>
      <w:lang w:eastAsia="en-IN"/>
    </w:rPr>
  </w:style>
  <w:style w:type="character" w:customStyle="1" w:styleId="z-TopofFormChar1">
    <w:name w:val="z-Top of Form Char1"/>
    <w:basedOn w:val="DefaultParagraphFont"/>
    <w:uiPriority w:val="99"/>
    <w:semiHidden/>
    <w:rPr>
      <w:rFonts w:ascii="Arial" w:hAnsi="Arial" w:cs="Arial"/>
      <w:vanish/>
      <w:kern w:val="2"/>
      <w:sz w:val="16"/>
      <w:szCs w:val="16"/>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semiHidden/>
    <w:qFormat/>
    <w:rPr>
      <w:kern w:val="2"/>
      <w:lang w:eastAsia="en-US"/>
    </w:rPr>
  </w:style>
  <w:style w:type="character" w:customStyle="1" w:styleId="CommentSubjectChar">
    <w:name w:val="Comment Subject Char"/>
    <w:basedOn w:val="CommentTextChar"/>
    <w:link w:val="CommentSubject"/>
    <w:uiPriority w:val="99"/>
    <w:semiHidden/>
    <w:rPr>
      <w:b/>
      <w:bCs/>
      <w:kern w:val="2"/>
      <w:lang w:eastAsia="en-US"/>
    </w:rPr>
  </w:style>
  <w:style w:type="character" w:customStyle="1" w:styleId="BalloonTextChar">
    <w:name w:val="Balloon Text Char"/>
    <w:basedOn w:val="DefaultParagraphFont"/>
    <w:link w:val="BalloonText"/>
    <w:uiPriority w:val="99"/>
    <w:semiHidden/>
    <w:rPr>
      <w:rFonts w:ascii="Tahoma" w:hAnsi="Tahoma" w:cs="Tahoma"/>
      <w:kern w:val="2"/>
      <w:sz w:val="16"/>
      <w:szCs w:val="16"/>
      <w:lang w:eastAsia="en-US"/>
    </w:rPr>
  </w:style>
  <w:style w:type="character" w:styleId="UnresolvedMention">
    <w:name w:val="Unresolved Mention"/>
    <w:basedOn w:val="DefaultParagraphFont"/>
    <w:uiPriority w:val="99"/>
    <w:semiHidden/>
    <w:unhideWhenUsed/>
    <w:rsid w:val="00B1716E"/>
    <w:rPr>
      <w:color w:val="605E5C"/>
      <w:shd w:val="clear" w:color="auto" w:fill="E1DFDD"/>
    </w:rPr>
  </w:style>
  <w:style w:type="paragraph" w:styleId="Header">
    <w:name w:val="header"/>
    <w:basedOn w:val="Normal"/>
    <w:link w:val="HeaderChar"/>
    <w:uiPriority w:val="99"/>
    <w:unhideWhenUsed/>
    <w:rsid w:val="008569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92D"/>
    <w:rPr>
      <w:rFonts w:asciiTheme="minorHAnsi" w:eastAsiaTheme="minorHAnsi" w:hAnsiTheme="minorHAnsi" w:cstheme="minorBidi"/>
      <w:kern w:val="2"/>
      <w:sz w:val="22"/>
      <w:szCs w:val="22"/>
      <w:lang w:val="en-IN"/>
    </w:rPr>
  </w:style>
  <w:style w:type="paragraph" w:styleId="Footer">
    <w:name w:val="footer"/>
    <w:basedOn w:val="Normal"/>
    <w:link w:val="FooterChar"/>
    <w:uiPriority w:val="99"/>
    <w:unhideWhenUsed/>
    <w:rsid w:val="008569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92D"/>
    <w:rPr>
      <w:rFonts w:asciiTheme="minorHAnsi" w:eastAsiaTheme="minorHAnsi" w:hAnsiTheme="minorHAnsi" w:cstheme="minorBidi"/>
      <w:kern w:val="2"/>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ciencedirect.com/topics/agricultural-and-biological-sciences/grass-carp"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sciencedirect.com/topics/agricultural-and-biological-sciences/chann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andfonline.com/doi/full/10.1080/09712119.2023.2203746"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tandfonline.com/doi/full/10.1080/09712119.2023.2203746"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mdpi.com/2072-6643/13/8/2592" TargetMode="External"/><Relationship Id="rId14" Type="http://schemas.openxmlformats.org/officeDocument/2006/relationships/hyperlink" Target="https://www.tandfonline.com/doi/full/10.1080/09712119.2023.2203746"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DA8DA471-72E5-460A-BA35-85547A11414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24</Pages>
  <Words>8950</Words>
  <Characters>51017</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asra</dc:creator>
  <cp:keywords/>
  <dc:description/>
  <cp:lastModifiedBy>hamza malik</cp:lastModifiedBy>
  <cp:revision>2</cp:revision>
  <dcterms:created xsi:type="dcterms:W3CDTF">2025-03-17T03:54:00Z</dcterms:created>
  <dcterms:modified xsi:type="dcterms:W3CDTF">2025-11-06T21:03:00Z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DDC23A96FFDA4D8BA86C1A08160A0853_12</vt:lpwstr>
  </property>
</Properties>
</file>