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527" w:rsidRDefault="00C35527" w:rsidP="00441B6F">
      <w:pPr>
        <w:pStyle w:val="Title"/>
        <w:spacing w:after="0"/>
        <w:jc w:val="both"/>
        <w:rPr>
          <w:rFonts w:ascii="Arial" w:hAnsi="Arial" w:cs="Arial"/>
        </w:rPr>
      </w:pPr>
    </w:p>
    <w:p w:rsidR="004E19A4" w:rsidRPr="004E19A4" w:rsidRDefault="004E19A4" w:rsidP="004E19A4">
      <w:pPr>
        <w:pStyle w:val="Author"/>
        <w:spacing w:line="240" w:lineRule="auto"/>
        <w:rPr>
          <w:rFonts w:ascii="Arial" w:hAnsi="Arial" w:cs="Arial"/>
          <w:bCs/>
          <w:iCs/>
          <w:kern w:val="28"/>
          <w:sz w:val="36"/>
        </w:rPr>
      </w:pPr>
      <w:r w:rsidRPr="004E19A4">
        <w:rPr>
          <w:rFonts w:ascii="Arial" w:hAnsi="Arial" w:cs="Arial"/>
          <w:bCs/>
          <w:iCs/>
          <w:kern w:val="28"/>
          <w:sz w:val="36"/>
        </w:rPr>
        <w:t xml:space="preserve">Practicality and Effectiveness </w:t>
      </w:r>
      <w:r w:rsidR="006E420C" w:rsidRPr="004E19A4">
        <w:rPr>
          <w:rFonts w:ascii="Arial" w:hAnsi="Arial" w:cs="Arial"/>
          <w:bCs/>
          <w:iCs/>
          <w:kern w:val="28"/>
          <w:sz w:val="36"/>
        </w:rPr>
        <w:t xml:space="preserve">of </w:t>
      </w:r>
      <w:r w:rsidRPr="004E19A4">
        <w:rPr>
          <w:rFonts w:ascii="Arial" w:hAnsi="Arial" w:cs="Arial"/>
          <w:bCs/>
          <w:iCs/>
          <w:kern w:val="28"/>
          <w:sz w:val="36"/>
        </w:rPr>
        <w:t xml:space="preserve">E-Modules Based on Conservation Projects </w:t>
      </w:r>
      <w:proofErr w:type="spellStart"/>
      <w:r w:rsidRPr="004E19A4">
        <w:rPr>
          <w:rFonts w:ascii="Arial" w:hAnsi="Arial" w:cs="Arial"/>
          <w:bCs/>
          <w:i/>
          <w:kern w:val="28"/>
          <w:sz w:val="36"/>
        </w:rPr>
        <w:t>Salacca</w:t>
      </w:r>
      <w:proofErr w:type="spellEnd"/>
      <w:r w:rsidRPr="004E19A4">
        <w:rPr>
          <w:rFonts w:ascii="Arial" w:hAnsi="Arial" w:cs="Arial"/>
          <w:bCs/>
          <w:i/>
          <w:kern w:val="28"/>
          <w:sz w:val="36"/>
        </w:rPr>
        <w:t xml:space="preserve"> </w:t>
      </w:r>
      <w:proofErr w:type="spellStart"/>
      <w:r w:rsidRPr="004E19A4">
        <w:rPr>
          <w:rFonts w:ascii="Arial" w:hAnsi="Arial" w:cs="Arial"/>
          <w:bCs/>
          <w:i/>
          <w:kern w:val="28"/>
          <w:sz w:val="36"/>
        </w:rPr>
        <w:t>sumatrana</w:t>
      </w:r>
      <w:proofErr w:type="spellEnd"/>
    </w:p>
    <w:p w:rsidR="004E19A4" w:rsidRPr="00163BC4" w:rsidRDefault="004E19A4" w:rsidP="00441B6F">
      <w:pPr>
        <w:pStyle w:val="Author"/>
        <w:spacing w:line="240" w:lineRule="auto"/>
        <w:rPr>
          <w:rFonts w:ascii="Arial" w:hAnsi="Arial" w:cs="Arial"/>
          <w:bCs/>
          <w:iCs/>
          <w:kern w:val="28"/>
          <w:sz w:val="36"/>
        </w:rPr>
      </w:pPr>
    </w:p>
    <w:p w:rsidR="00A258C3" w:rsidRPr="00790ADA" w:rsidRDefault="00A258C3" w:rsidP="00441B6F">
      <w:pPr>
        <w:pStyle w:val="Author"/>
        <w:spacing w:line="240" w:lineRule="auto"/>
        <w:jc w:val="both"/>
        <w:rPr>
          <w:rFonts w:ascii="Arial" w:hAnsi="Arial" w:cs="Arial"/>
          <w:sz w:val="36"/>
        </w:rPr>
      </w:pPr>
    </w:p>
    <w:p w:rsidR="00B01FCD" w:rsidRPr="00FB3A86" w:rsidRDefault="000C76C0" w:rsidP="00441B6F">
      <w:pPr>
        <w:pStyle w:val="Copyright"/>
        <w:spacing w:after="0" w:line="240" w:lineRule="auto"/>
        <w:jc w:val="both"/>
        <w:rPr>
          <w:rFonts w:ascii="Arial" w:hAnsi="Arial" w:cs="Arial"/>
        </w:rPr>
        <w:sectPr w:rsidR="00B01FCD" w:rsidRPr="00FB3A86" w:rsidSect="004307D6">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3335" t="13335" r="17145" b="15240"/>
                <wp:docPr id="5369653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8D732D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9308B9" w:rsidRPr="009308B9" w:rsidRDefault="009308B9" w:rsidP="009308B9">
            <w:pPr>
              <w:pStyle w:val="Body"/>
              <w:spacing w:after="0"/>
              <w:rPr>
                <w:rFonts w:ascii="Arial" w:eastAsia="Calibri" w:hAnsi="Arial" w:cs="Arial"/>
                <w:b/>
                <w:bCs/>
                <w:szCs w:val="22"/>
              </w:rPr>
            </w:pPr>
            <w:r w:rsidRPr="009308B9">
              <w:rPr>
                <w:rFonts w:ascii="Arial" w:eastAsia="Calibri" w:hAnsi="Arial" w:cs="Arial"/>
                <w:b/>
                <w:bCs/>
                <w:szCs w:val="22"/>
              </w:rPr>
              <w:t>Abstract</w:t>
            </w:r>
          </w:p>
          <w:p w:rsid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Background:</w:t>
            </w:r>
          </w:p>
          <w:p w:rsidR="004E19A4" w:rsidRPr="009308B9" w:rsidRDefault="004E19A4" w:rsidP="004E19A4">
            <w:pPr>
              <w:pStyle w:val="Body"/>
              <w:pBdr>
                <w:top w:val="nil"/>
                <w:left w:val="nil"/>
                <w:bottom w:val="nil"/>
                <w:right w:val="nil"/>
                <w:between w:val="nil"/>
              </w:pBdr>
              <w:spacing w:after="0"/>
              <w:rPr>
                <w:rFonts w:ascii="Arial" w:eastAsia="Calibri" w:hAnsi="Arial" w:cs="Arial"/>
                <w:szCs w:val="22"/>
              </w:rPr>
            </w:pPr>
            <w:r w:rsidRPr="004E19A4">
              <w:rPr>
                <w:rFonts w:ascii="Arial" w:eastAsia="Calibri" w:hAnsi="Arial" w:cs="Arial"/>
                <w:szCs w:val="22"/>
              </w:rPr>
              <w:t xml:space="preserve">Endemic species such as </w:t>
            </w:r>
            <w:proofErr w:type="spellStart"/>
            <w:r w:rsidRPr="004E19A4">
              <w:rPr>
                <w:rFonts w:ascii="Arial" w:eastAsia="Calibri" w:hAnsi="Arial" w:cs="Arial"/>
                <w:szCs w:val="22"/>
              </w:rPr>
              <w:t>Salacca</w:t>
            </w:r>
            <w:proofErr w:type="spellEnd"/>
            <w:r w:rsidRPr="004E19A4">
              <w:rPr>
                <w:rFonts w:ascii="Arial" w:eastAsia="Calibri" w:hAnsi="Arial" w:cs="Arial"/>
                <w:szCs w:val="22"/>
              </w:rPr>
              <w:t xml:space="preserve"> </w:t>
            </w:r>
            <w:proofErr w:type="spellStart"/>
            <w:r w:rsidRPr="004E19A4">
              <w:rPr>
                <w:rFonts w:ascii="Arial" w:eastAsia="Calibri" w:hAnsi="Arial" w:cs="Arial"/>
                <w:szCs w:val="22"/>
              </w:rPr>
              <w:t>sumatrana</w:t>
            </w:r>
            <w:proofErr w:type="spellEnd"/>
            <w:r w:rsidRPr="004E19A4">
              <w:rPr>
                <w:rFonts w:ascii="Arial" w:eastAsia="Calibri" w:hAnsi="Arial" w:cs="Arial"/>
                <w:szCs w:val="22"/>
              </w:rPr>
              <w:t xml:space="preserve"> or </w:t>
            </w:r>
            <w:proofErr w:type="spellStart"/>
            <w:r w:rsidRPr="004E19A4">
              <w:rPr>
                <w:rFonts w:ascii="Arial" w:eastAsia="Calibri" w:hAnsi="Arial" w:cs="Arial"/>
                <w:szCs w:val="22"/>
              </w:rPr>
              <w:t>Sidimpuan</w:t>
            </w:r>
            <w:proofErr w:type="spellEnd"/>
            <w:r w:rsidRPr="004E19A4">
              <w:rPr>
                <w:rFonts w:ascii="Arial" w:eastAsia="Calibri" w:hAnsi="Arial" w:cs="Arial"/>
                <w:szCs w:val="22"/>
              </w:rPr>
              <w:t xml:space="preserve"> snake fruit faces serious threats due to land conversion and the lack of awareness of the younger generation regarding its conservation value, creating an urgency for the integration of education and conservation.</w:t>
            </w:r>
            <w:r w:rsidR="000C7917">
              <w:rPr>
                <w:rFonts w:ascii="Arial" w:eastAsia="Calibri" w:hAnsi="Arial" w:cs="Arial"/>
                <w:szCs w:val="22"/>
              </w:rPr>
              <w:t xml:space="preserve"> </w:t>
            </w:r>
            <w:r w:rsidR="000C7917" w:rsidRPr="000C7917">
              <w:rPr>
                <w:rFonts w:ascii="Arial" w:eastAsia="Calibri" w:hAnsi="Arial" w:cs="Arial"/>
                <w:szCs w:val="22"/>
              </w:rPr>
              <w:t>In many Indonesian schools, science learning remains dominated by memorization and generic examples, so students rarely engage with authentic local biodiversity issues or conservation projects.</w:t>
            </w:r>
            <w:r w:rsidR="000C7917">
              <w:rPr>
                <w:rFonts w:ascii="Arial" w:eastAsia="Calibri" w:hAnsi="Arial" w:cs="Arial"/>
                <w:szCs w:val="22"/>
              </w:rPr>
              <w:t xml:space="preserve"> </w:t>
            </w:r>
            <w:r w:rsidRPr="004E19A4">
              <w:rPr>
                <w:rFonts w:ascii="Arial" w:eastAsia="Calibri" w:hAnsi="Arial" w:cs="Arial"/>
                <w:szCs w:val="22"/>
              </w:rPr>
              <w:t xml:space="preserve">This research aims to develop and test the feasibility of an E Module based on conservation projects that focuses on local potential, namely </w:t>
            </w:r>
            <w:proofErr w:type="spellStart"/>
            <w:r w:rsidRPr="004E19A4">
              <w:rPr>
                <w:rFonts w:ascii="Arial" w:eastAsia="Calibri" w:hAnsi="Arial" w:cs="Arial"/>
                <w:szCs w:val="22"/>
              </w:rPr>
              <w:t>Salacca</w:t>
            </w:r>
            <w:proofErr w:type="spellEnd"/>
            <w:r w:rsidRPr="004E19A4">
              <w:rPr>
                <w:rFonts w:ascii="Arial" w:eastAsia="Calibri" w:hAnsi="Arial" w:cs="Arial"/>
                <w:szCs w:val="22"/>
              </w:rPr>
              <w:t xml:space="preserve"> </w:t>
            </w:r>
            <w:proofErr w:type="spellStart"/>
            <w:r w:rsidRPr="004E19A4">
              <w:rPr>
                <w:rFonts w:ascii="Arial" w:eastAsia="Calibri" w:hAnsi="Arial" w:cs="Arial"/>
                <w:szCs w:val="22"/>
              </w:rPr>
              <w:t>sumatrana</w:t>
            </w:r>
            <w:proofErr w:type="spellEnd"/>
            <w:r w:rsidRPr="004E19A4">
              <w:rPr>
                <w:rFonts w:ascii="Arial" w:eastAsia="Calibri" w:hAnsi="Arial" w:cs="Arial"/>
                <w:szCs w:val="22"/>
              </w:rPr>
              <w:t xml:space="preserve"> (</w:t>
            </w:r>
            <w:proofErr w:type="spellStart"/>
            <w:r w:rsidRPr="004E19A4">
              <w:rPr>
                <w:rFonts w:ascii="Arial" w:eastAsia="Calibri" w:hAnsi="Arial" w:cs="Arial"/>
                <w:szCs w:val="22"/>
              </w:rPr>
              <w:t>Salak</w:t>
            </w:r>
            <w:proofErr w:type="spellEnd"/>
            <w:r w:rsidRPr="004E19A4">
              <w:rPr>
                <w:rFonts w:ascii="Arial" w:eastAsia="Calibri" w:hAnsi="Arial" w:cs="Arial"/>
                <w:szCs w:val="22"/>
              </w:rPr>
              <w:t xml:space="preserve"> </w:t>
            </w:r>
            <w:proofErr w:type="spellStart"/>
            <w:r w:rsidRPr="004E19A4">
              <w:rPr>
                <w:rFonts w:ascii="Arial" w:eastAsia="Calibri" w:hAnsi="Arial" w:cs="Arial"/>
                <w:szCs w:val="22"/>
              </w:rPr>
              <w:t>Sidimpuan</w:t>
            </w:r>
            <w:proofErr w:type="spellEnd"/>
            <w:r w:rsidRPr="004E19A4">
              <w:rPr>
                <w:rFonts w:ascii="Arial" w:eastAsia="Calibri" w:hAnsi="Arial" w:cs="Arial"/>
                <w:szCs w:val="22"/>
              </w:rPr>
              <w:t>), to enhance the creativity of high school students. The research background is based on observations in four high schools in South Tapanuli that showed low student creativity in solving local conservation problems, as well as limited contextual and interactive teaching materials.</w:t>
            </w:r>
          </w:p>
          <w:p w:rsidR="009308B9" w:rsidRP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Methods:</w:t>
            </w:r>
            <w:r w:rsidRPr="009308B9">
              <w:rPr>
                <w:rFonts w:ascii="Arial" w:eastAsia="Calibri" w:hAnsi="Arial" w:cs="Arial"/>
                <w:szCs w:val="22"/>
              </w:rPr>
              <w:br/>
            </w:r>
            <w:r w:rsidR="000C7917" w:rsidRPr="000C7917">
              <w:rPr>
                <w:rFonts w:ascii="Arial" w:eastAsia="Calibri" w:hAnsi="Arial" w:cs="Arial"/>
                <w:szCs w:val="22"/>
              </w:rPr>
              <w:t>The study employed a Research and Development (R&amp;D) design using the ADDIE model (Analysis, Design, Development, Implementation, and Evaluation) combined with a quasi-experimental approach involving four public high schools in South Tapanuli (N = 70 students) organized into control and experimental classes.</w:t>
            </w:r>
            <w:r w:rsidR="000C7917">
              <w:rPr>
                <w:rFonts w:ascii="Arial" w:eastAsia="Calibri" w:hAnsi="Arial" w:cs="Arial"/>
                <w:szCs w:val="22"/>
              </w:rPr>
              <w:t xml:space="preserve"> </w:t>
            </w:r>
            <w:r w:rsidR="000C7917" w:rsidRPr="000C7917">
              <w:rPr>
                <w:rFonts w:ascii="Arial" w:eastAsia="Calibri" w:hAnsi="Arial" w:cs="Arial"/>
                <w:szCs w:val="22"/>
              </w:rPr>
              <w:t>Validity testing involved expert review by media, material, and language specialists, while practicality was examined through teacher and student responses in small- and large-scale trials. Effectiveness was evaluated using pretest–posttest measures of student creativity, analyzed with N-gain scores based on validated test items.</w:t>
            </w:r>
          </w:p>
          <w:p w:rsidR="009308B9" w:rsidRP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Results:</w:t>
            </w:r>
            <w:r w:rsidRPr="009308B9">
              <w:rPr>
                <w:rFonts w:ascii="Arial" w:eastAsia="Calibri" w:hAnsi="Arial" w:cs="Arial"/>
                <w:szCs w:val="22"/>
              </w:rPr>
              <w:br/>
            </w:r>
            <w:r w:rsidR="004E19A4" w:rsidRPr="004E19A4">
              <w:rPr>
                <w:rFonts w:ascii="Arial" w:eastAsia="Calibri" w:hAnsi="Arial" w:cs="Arial"/>
                <w:szCs w:val="22"/>
              </w:rPr>
              <w:t>The needs analysis showed that 86% of teachers indicated the need for an e-module based on local potential. Practicality testing produced an overall average score of 3.46 in the feasible category, with five of seven aspects—visual appearance, content quality, usability, readability, and assessment instruments—falling into the very feasible category. Student user trials on both small and large scales reinforced these findings, with feasibility percentages ranging from 82.20% to 92.69% in the very feasible category. Effectiveness tests showed creativity scores in the control class of 72.20% (small scale) and 72.40% (large scale), while the experimental class achieved 72.35% (small scale) and 86.40% (large scale).</w:t>
            </w:r>
            <w:r w:rsidR="000C7917">
              <w:rPr>
                <w:rFonts w:ascii="Arial" w:eastAsia="Calibri" w:hAnsi="Arial" w:cs="Arial"/>
                <w:szCs w:val="22"/>
              </w:rPr>
              <w:t xml:space="preserve"> </w:t>
            </w:r>
            <w:r w:rsidR="000C7917" w:rsidRPr="000C7917">
              <w:rPr>
                <w:rFonts w:ascii="Arial" w:eastAsia="Calibri" w:hAnsi="Arial" w:cs="Arial"/>
                <w:szCs w:val="22"/>
              </w:rPr>
              <w:t>These findings indicate not only positive user perceptions of the module but also a substantial improvement in creativity when the conservation project–based e-module is fully implemented in the experimental class.</w:t>
            </w:r>
          </w:p>
          <w:p w:rsidR="00505F06" w:rsidRPr="00BA1B01" w:rsidRDefault="009308B9" w:rsidP="00441B6F">
            <w:pPr>
              <w:pStyle w:val="Body"/>
              <w:spacing w:after="0"/>
              <w:rPr>
                <w:rFonts w:ascii="Arial" w:eastAsia="Calibri" w:hAnsi="Arial" w:cs="Arial"/>
                <w:szCs w:val="22"/>
              </w:rPr>
            </w:pPr>
            <w:r w:rsidRPr="009308B9">
              <w:rPr>
                <w:rFonts w:ascii="Arial" w:eastAsia="Calibri" w:hAnsi="Arial" w:cs="Arial"/>
                <w:b/>
                <w:bCs/>
                <w:szCs w:val="22"/>
              </w:rPr>
              <w:t>Conclusion:</w:t>
            </w:r>
            <w:r w:rsidRPr="009308B9">
              <w:rPr>
                <w:rFonts w:ascii="Arial" w:eastAsia="Calibri" w:hAnsi="Arial" w:cs="Arial"/>
                <w:szCs w:val="22"/>
              </w:rPr>
              <w:br/>
            </w:r>
            <w:r w:rsidR="004E19A4" w:rsidRPr="004E19A4">
              <w:rPr>
                <w:rFonts w:ascii="Arial" w:eastAsia="Calibri" w:hAnsi="Arial" w:cs="Arial"/>
                <w:szCs w:val="22"/>
              </w:rPr>
              <w:t xml:space="preserve">These results indicate that the developed conservation project–based </w:t>
            </w:r>
            <w:proofErr w:type="spellStart"/>
            <w:r w:rsidR="004E19A4" w:rsidRPr="004E19A4">
              <w:rPr>
                <w:rFonts w:ascii="Arial" w:eastAsia="Calibri" w:hAnsi="Arial" w:cs="Arial"/>
                <w:i/>
                <w:iCs/>
                <w:szCs w:val="22"/>
              </w:rPr>
              <w:t>Salacca</w:t>
            </w:r>
            <w:proofErr w:type="spellEnd"/>
            <w:r w:rsidR="004E19A4" w:rsidRPr="004E19A4">
              <w:rPr>
                <w:rFonts w:ascii="Arial" w:eastAsia="Calibri" w:hAnsi="Arial" w:cs="Arial"/>
                <w:i/>
                <w:iCs/>
                <w:szCs w:val="22"/>
              </w:rPr>
              <w:t xml:space="preserve"> </w:t>
            </w:r>
            <w:proofErr w:type="spellStart"/>
            <w:r w:rsidR="004E19A4" w:rsidRPr="004E19A4">
              <w:rPr>
                <w:rFonts w:ascii="Arial" w:eastAsia="Calibri" w:hAnsi="Arial" w:cs="Arial"/>
                <w:i/>
                <w:iCs/>
                <w:szCs w:val="22"/>
              </w:rPr>
              <w:t>sumatrana</w:t>
            </w:r>
            <w:proofErr w:type="spellEnd"/>
            <w:r w:rsidR="004E19A4" w:rsidRPr="004E19A4">
              <w:rPr>
                <w:rFonts w:ascii="Arial" w:eastAsia="Calibri" w:hAnsi="Arial" w:cs="Arial"/>
                <w:szCs w:val="22"/>
              </w:rPr>
              <w:t xml:space="preserve"> e-module is practical, highly feasible for classroom use, and has strong potential to improve students’ creativity. </w:t>
            </w:r>
            <w:r w:rsidR="000C7917" w:rsidRPr="000C7917">
              <w:rPr>
                <w:rFonts w:ascii="Arial" w:eastAsia="Calibri" w:hAnsi="Arial" w:cs="Arial"/>
                <w:szCs w:val="22"/>
              </w:rPr>
              <w:t xml:space="preserve">The module also strengthens students’ ecological literacy and local conservation awareness by positioning </w:t>
            </w:r>
            <w:proofErr w:type="spellStart"/>
            <w:r w:rsidR="000C7917" w:rsidRPr="000C7917">
              <w:rPr>
                <w:rFonts w:ascii="Arial" w:eastAsia="Calibri" w:hAnsi="Arial" w:cs="Arial"/>
                <w:i/>
                <w:iCs/>
                <w:szCs w:val="22"/>
              </w:rPr>
              <w:t>Salacca</w:t>
            </w:r>
            <w:proofErr w:type="spellEnd"/>
            <w:r w:rsidR="000C7917" w:rsidRPr="000C7917">
              <w:rPr>
                <w:rFonts w:ascii="Arial" w:eastAsia="Calibri" w:hAnsi="Arial" w:cs="Arial"/>
                <w:i/>
                <w:iCs/>
                <w:szCs w:val="22"/>
              </w:rPr>
              <w:t xml:space="preserve"> </w:t>
            </w:r>
            <w:proofErr w:type="spellStart"/>
            <w:r w:rsidR="000C7917" w:rsidRPr="000C7917">
              <w:rPr>
                <w:rFonts w:ascii="Arial" w:eastAsia="Calibri" w:hAnsi="Arial" w:cs="Arial"/>
                <w:i/>
                <w:iCs/>
                <w:szCs w:val="22"/>
              </w:rPr>
              <w:t>sumatrana</w:t>
            </w:r>
            <w:proofErr w:type="spellEnd"/>
            <w:r w:rsidR="000C7917" w:rsidRPr="000C7917">
              <w:rPr>
                <w:rFonts w:ascii="Arial" w:eastAsia="Calibri" w:hAnsi="Arial" w:cs="Arial"/>
                <w:szCs w:val="22"/>
              </w:rPr>
              <w:t xml:space="preserve"> as an authentic context for </w:t>
            </w:r>
            <w:r w:rsidR="000C7917" w:rsidRPr="000C7917">
              <w:rPr>
                <w:rFonts w:ascii="Arial" w:eastAsia="Calibri" w:hAnsi="Arial" w:cs="Arial"/>
                <w:szCs w:val="22"/>
              </w:rPr>
              <w:lastRenderedPageBreak/>
              <w:t>scientific inquiry and problem solving.</w:t>
            </w:r>
            <w:r w:rsidR="000C7917">
              <w:rPr>
                <w:rFonts w:ascii="Arial" w:eastAsia="Calibri" w:hAnsi="Arial" w:cs="Arial"/>
                <w:szCs w:val="22"/>
              </w:rPr>
              <w:t xml:space="preserve"> </w:t>
            </w:r>
            <w:r w:rsidR="004E19A4" w:rsidRPr="004E19A4">
              <w:rPr>
                <w:rFonts w:ascii="Arial" w:eastAsia="Calibri" w:hAnsi="Arial" w:cs="Arial"/>
                <w:szCs w:val="22"/>
              </w:rPr>
              <w:t>Further studies are recommended to examine its effectiveness using broader experimental designs and to refine linguistic aspects and variations in creativity-oriented learning activities.</w:t>
            </w:r>
            <w:r w:rsidR="000C7917">
              <w:rPr>
                <w:rFonts w:ascii="Arial" w:eastAsia="Calibri" w:hAnsi="Arial" w:cs="Arial"/>
                <w:szCs w:val="22"/>
              </w:rPr>
              <w:t xml:space="preserve"> </w:t>
            </w:r>
            <w:r w:rsidR="000C7917" w:rsidRPr="000928A0">
              <w:rPr>
                <w:rFonts w:eastAsia="Calibri"/>
              </w:rPr>
              <w:t>In addition, future research may explore integration with other digital features (e.g. virtual field trips or augmented reality) and the development of teacher professional development programs to scale up the use of conservation-based e-modules in diverse school settings.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4E19A4" w:rsidRPr="004E19A4">
        <w:rPr>
          <w:rFonts w:ascii="Arial" w:hAnsi="Arial" w:cs="Arial"/>
          <w:i/>
        </w:rPr>
        <w:t xml:space="preserve">Project; </w:t>
      </w:r>
      <w:proofErr w:type="spellStart"/>
      <w:r w:rsidR="004E19A4" w:rsidRPr="004E19A4">
        <w:rPr>
          <w:rFonts w:ascii="Arial" w:hAnsi="Arial" w:cs="Arial"/>
          <w:i/>
        </w:rPr>
        <w:t>Salacca</w:t>
      </w:r>
      <w:proofErr w:type="spellEnd"/>
      <w:r w:rsidR="004E19A4" w:rsidRPr="004E19A4">
        <w:rPr>
          <w:rFonts w:ascii="Arial" w:hAnsi="Arial" w:cs="Arial"/>
          <w:i/>
        </w:rPr>
        <w:t xml:space="preserve"> </w:t>
      </w:r>
      <w:proofErr w:type="spellStart"/>
      <w:r w:rsidR="004E19A4" w:rsidRPr="004E19A4">
        <w:rPr>
          <w:rFonts w:ascii="Arial" w:hAnsi="Arial" w:cs="Arial"/>
          <w:i/>
        </w:rPr>
        <w:t>sumatrana</w:t>
      </w:r>
      <w:proofErr w:type="spellEnd"/>
      <w:r w:rsidR="004E19A4" w:rsidRPr="004E19A4">
        <w:rPr>
          <w:rFonts w:ascii="Arial" w:hAnsi="Arial" w:cs="Arial"/>
          <w:i/>
        </w:rPr>
        <w:t>; Conservation; Creativity</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4F0F27" w:rsidRPr="004F0F27" w:rsidRDefault="004F0F27" w:rsidP="004F0F27">
      <w:pPr>
        <w:pStyle w:val="Body"/>
        <w:spacing w:after="0"/>
        <w:rPr>
          <w:rFonts w:ascii="Arial" w:hAnsi="Arial" w:cs="Arial"/>
        </w:rPr>
      </w:pPr>
      <w:r w:rsidRPr="004F0F27">
        <w:rPr>
          <w:rFonts w:ascii="Arial" w:hAnsi="Arial" w:cs="Arial"/>
        </w:rPr>
        <w:t xml:space="preserve">Education in Indonesia, particularly in South Tapanuli, faces a dual challenge: science learning remains largely theoretical and poorly connected to real environmental issues, while ecological pressures on local biodiversity are becoming increasingly alarming. Endemic species such as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xml:space="preserve"> (</w:t>
      </w:r>
      <w:proofErr w:type="spellStart"/>
      <w:r w:rsidRPr="004F0F27">
        <w:rPr>
          <w:rFonts w:ascii="Arial" w:hAnsi="Arial" w:cs="Arial"/>
        </w:rPr>
        <w:t>Salak</w:t>
      </w:r>
      <w:proofErr w:type="spellEnd"/>
      <w:r w:rsidRPr="004F0F27">
        <w:rPr>
          <w:rFonts w:ascii="Arial" w:hAnsi="Arial" w:cs="Arial"/>
        </w:rPr>
        <w:t xml:space="preserve"> </w:t>
      </w:r>
      <w:proofErr w:type="spellStart"/>
      <w:r w:rsidRPr="004F0F27">
        <w:rPr>
          <w:rFonts w:ascii="Arial" w:hAnsi="Arial" w:cs="Arial"/>
        </w:rPr>
        <w:t>Sidimpuan</w:t>
      </w:r>
      <w:proofErr w:type="spellEnd"/>
      <w:r w:rsidRPr="004F0F27">
        <w:rPr>
          <w:rFonts w:ascii="Arial" w:hAnsi="Arial" w:cs="Arial"/>
        </w:rPr>
        <w:t>) are under serious threat due to land conversion and the low awareness of younger generations regarding their conservation value. This condition creates an urgent need to integrate conservation education into science learning in a meaningful and contextual way.</w:t>
      </w:r>
    </w:p>
    <w:p w:rsidR="004F0F27" w:rsidRPr="004F0F27" w:rsidRDefault="004F0F27" w:rsidP="004F0F27">
      <w:pPr>
        <w:pStyle w:val="Body"/>
        <w:spacing w:after="0"/>
        <w:rPr>
          <w:rFonts w:ascii="Arial" w:hAnsi="Arial" w:cs="Arial"/>
        </w:rPr>
      </w:pPr>
      <w:r w:rsidRPr="004F0F27">
        <w:rPr>
          <w:rFonts w:ascii="Arial" w:hAnsi="Arial" w:cs="Arial"/>
        </w:rPr>
        <w:t>Project-Based Learning (</w:t>
      </w:r>
      <w:proofErr w:type="spellStart"/>
      <w:r w:rsidRPr="004F0F27">
        <w:rPr>
          <w:rFonts w:ascii="Arial" w:hAnsi="Arial" w:cs="Arial"/>
        </w:rPr>
        <w:t>PjBL</w:t>
      </w:r>
      <w:proofErr w:type="spellEnd"/>
      <w:r w:rsidRPr="004F0F27">
        <w:rPr>
          <w:rFonts w:ascii="Arial" w:hAnsi="Arial" w:cs="Arial"/>
        </w:rPr>
        <w:t xml:space="preserve">) has been shown to be effective in improving students’ conceptual understanding </w:t>
      </w:r>
      <w:r w:rsidR="003F55CD">
        <w:rPr>
          <w:rFonts w:ascii="Arial" w:hAnsi="Arial" w:cs="Arial"/>
        </w:rPr>
        <w:fldChar w:fldCharType="begin" w:fldLock="1"/>
      </w:r>
      <w:r w:rsidR="003F55CD">
        <w:rPr>
          <w:rFonts w:ascii="Arial" w:hAnsi="Arial" w:cs="Arial"/>
        </w:rPr>
        <w:instrText>ADDIN CSL_CITATION {"citationItems":[{"id":"ITEM-1","itemData":{"DOI":"https://doi.org/10.1016/j.ijer.2020.101586","ISSN":"0883-0355","abstract":"Project-based learning (PjBL) is understood to be a promising approach that improves student learning in higher education. Empirical studies on project-based learning have been reviewed with a focus on student outcomes. Affective outcomes (i.e. perceptions of the benefits of PjBL and perceptions of the experience of PjBL) were most applied, which were measured by questionnaires, interviews, observation, and self-reflection journals. Cognitive outcomes (i.e. knowledge and cognitive strategies) and behavioral outcomes (i.e. skills and engagement) were measured by questionnaires, rubrics, tests, interviews, observation, self-reflection journals, artifacts, and log data. The outcome of artifact performance was assessed by rubrics. Future research should investigate more about students’ learning processes and final products. Measurement instruments and data analyses should also be improved.","author":[{"dropping-particle":"","family":"Guo","given":"Pengyue","non-dropping-particle":"","parse-names":false,"suffix":""},{"dropping-particle":"","family":"Saab","given":"Nadira","non-dropping-particle":"","parse-names":false,"suffix":""},{"dropping-particle":"","family":"Post","given":"Lysanne S","non-dropping-particle":"","parse-names":false,"suffix":""},{"dropping-particle":"","family":"Admiraal","given":"Wilfried","non-dropping-particle":"","parse-names":false,"suffix":""}],"container-title":"International Journal of Educational Research","id":"ITEM-1","issued":{"date-parts":[["2020"]]},"page":"101586","title":"A review of project-based learning in higher education: Student outcomes and measures","type":"article-journal","volume":"102"},"uris":["http://www.mendeley.com/documents/?uuid=82c84d84-c866-463f-b54d-6d657badab0a"]},{"id":"ITEM-2","itemData":{"DOI":"10.22219/jpbi.v9i3.27461","ISSN":"2442-3750","abstract":"Critical and creative thinking abilities are part of 21st century skills that have not been well utilized. One effort to improve these abilities can be through project-based learning (PjBL). This quantitative study aims to determine the effect of the PjBL model on students' critical thinking and creative thinking abilities on the ecosystem concept. This research used a quasi-experimental design with the matching posttest-only control group design and a population of all class The sample was determined using a purposive sampling technique with various considerations, selecting class X-1 as the experimental class and class X-2 as the control class. The research instrument used 15 questions for critical thinking skills and 12 questions for creative thinking. The collected data was then analyzed using the one-way ANOVA test. The results of the analysis show that the PjBL model has a significant effect on students' critical and creative thinking abilities on the ecosystem concept (P 0.000 &lt; 0.05). Thus, the PjBL model can be used as an alternative learning to empower 21st century skills.","author":[{"dropping-particle":"","family":"Khafah","given":"Fissilmi","non-dropping-particle":"","parse-names":false,"suffix":""},{"dropping-particle":"","family":"Suprapto","given":"Purwati Kuswarini","non-dropping-particle":"","parse-names":false,"suffix":""},{"dropping-particle":"","family":"Nuryadin","given":"Egi","non-dropping-particle":"","parse-names":false,"suffix":""}],"container-title":"JPBI (Jurnal Pendidikan Biologi Indonesia)","id":"ITEM-2","issue":"3","issued":{"date-parts":[["2023"]]},"page":"244-255","title":"The effect of project-based learning model on students’ critical and creative thinking skills in the ecosystem concept","type":"article-journal","volume":"9"},"uris":["http://www.mendeley.com/documents/?uuid=100cb9f2-ad43-496a-8848-7d531baf6a57"]}],"mendeley":{"formattedCitation":"(Guo et al., 2020; Khafah et al., 2023)","plainTextFormattedCitation":"(Guo et al., 2020; Khafah et al., 2023)","previouslyFormattedCitation":"(Guo et al., 2020; Khafah et al., 2023)"},"properties":{"noteIndex":0},"schema":"https://github.com/citation-style-language/schema/raw/master/csl-citation.json"}</w:instrText>
      </w:r>
      <w:r w:rsidR="003F55CD">
        <w:rPr>
          <w:rFonts w:ascii="Arial" w:hAnsi="Arial" w:cs="Arial"/>
        </w:rPr>
        <w:fldChar w:fldCharType="separate"/>
      </w:r>
      <w:r w:rsidR="003F55CD" w:rsidRPr="003F55CD">
        <w:rPr>
          <w:rFonts w:ascii="Arial" w:hAnsi="Arial" w:cs="Arial"/>
          <w:noProof/>
        </w:rPr>
        <w:t>(Guo et al., 2020; Khafah et al., 2023)</w:t>
      </w:r>
      <w:r w:rsidR="003F55CD">
        <w:rPr>
          <w:rFonts w:ascii="Arial" w:hAnsi="Arial" w:cs="Arial"/>
        </w:rPr>
        <w:fldChar w:fldCharType="end"/>
      </w:r>
      <w:r w:rsidRPr="004F0F27">
        <w:rPr>
          <w:rFonts w:ascii="Arial" w:hAnsi="Arial" w:cs="Arial"/>
        </w:rPr>
        <w:t xml:space="preserve">, and technology-based modules are well suited to support project-based learning processes </w:t>
      </w:r>
      <w:r w:rsidR="003F55CD">
        <w:rPr>
          <w:rFonts w:ascii="Arial" w:hAnsi="Arial" w:cs="Arial"/>
        </w:rPr>
        <w:fldChar w:fldCharType="begin" w:fldLock="1"/>
      </w:r>
      <w:r w:rsidR="003F55CD">
        <w:rPr>
          <w:rFonts w:ascii="Arial" w:hAnsi="Arial" w:cs="Arial"/>
        </w:rPr>
        <w:instrText>ADDIN CSL_CITATION {"citationItems":[{"id":"ITEM-1","itemData":{"DOI":"10.3390/educsci15081021","ISBN":"2227-7102","abstract":"Despite the growing adoption of technology-integrated project-based learning (PjBL) in K-12 education, little research has systematically examined its implementation. To address this gap, we conducted a systematic literature review, guided by PRISMA standards, of 24 studies describing successful PjBL interventions using digital technologies. Our findings reveal that while most interventions include the initial phases of PjBL, fewer than half incorporate a closing phase, often neglecting revision and reflection. Additionally, the activities within each phase are partial, omitting key elements necessary to fully leverage this methodology, which poses challenges to the comparability and transferability of PjBL. Moreover, the use of digital technologies is often partial and limited. To improve implementation, we analyze the full range of activities and technology use and propose an empirical model for designing future PjBL interventions and enhancing teacher training and professional development. Furthermore, we emphasize the need to formally integrate project management skill development into PjBL practices.","author":[{"dropping-particle":"","family":"Hinostroza","given":"J E","non-dropping-particle":"","parse-names":false,"suffix":""},{"dropping-particle":"","family":"Armstrong-Gallegos","given":"Stephanie","non-dropping-particle":"","parse-names":false,"suffix":""},{"dropping-particle":"","family":"Soto-Valenzuela","given":"Paulina","non-dropping-particle":"","parse-names":false,"suffix":""},{"dropping-particle":"","family":"Villafaena","given":"Mariana","non-dropping-particle":"","parse-names":false,"suffix":""}],"container-title":"Education Sciences","id":"ITEM-1","issue":"8","issued":{"date-parts":[["2025"]]},"page":"1021","title":"Phases and Activities of Technology-Integrated Project-Based Learning in K-12: Findings from a Systematic Literature Review","type":"article-journal","volume":"15"},"uris":["http://www.mendeley.com/documents/?uuid=f1a2ec91-3a90-4ae5-a7ec-3dfdf2e6bead"]},{"id":"ITEM-2","itemData":{"DOI":"https://doi.org/10.1016/j.heliyon.2024.e39988","ISSN":"2405-8440","abstract":"Along with traditional academic knowledge, 21st-century skills are crucial for equipping students with a competitive future. Project-based learning (PBL) cultivates these competencies among learners as an instructional approach. This research aimed to construct and analyze a PBL framework designed to weave 21st-century skills into high school education. Data collection involved a survey questionnaire based on an extensive literature review administered to students from ten government-run girls' high schools, where mathematics was taught using the PBL approach. Employing Confirmatory Factor Analysis (CFA) and Structural Equation Modeling (SEM) via the Analysis of Moment Structures (AMOS) software, the study meticulously calculated chi-square values, modification indices, and standardized estimates to validate the framework's effectiveness. The results showed a significant enhancement in collaborative learning, problem-solving, critical thinking, and positive attitudes toward mathematics among students, mediated by the PBL approach. The Heterotrait-Monotrait Ratio (HTMT) values were below the threshold of 1, confirming discriminant validity and ensuring that each construct was unique. The observed substantial correlations between PBL and educational outcomes, ranging from moderate to significant, attest to these variables' interconnectedness and mutual reinforcement. Overall, the structural model and subsequent analyses underscore PBL's pivotal role in promoting active learning and student engagement. This approach advocates its adoption as a forward-thinking educational strategy.","author":[{"dropping-particle":"","family":"Rehman","given":"Nadia","non-dropping-particle":"","parse-names":false,"suffix":""},{"dropping-particle":"","family":"Huang","given":"Xiao","non-dropping-particle":"","parse-names":false,"suffix":""},{"dropping-particle":"","family":"Mahmood","given":"Amir","non-dropping-particle":"","parse-names":false,"suffix":""},{"dropping-particle":"","family":"AlGerafi","given":"Mohammed A M","non-dropping-particle":"","parse-names":false,"suffix":""},{"dropping-particle":"","family":"Javed","given":"Saima","non-dropping-particle":"","parse-names":false,"suffix":""}],"container-title":"Heliyon","id":"ITEM-2","issue":"23","issued":{"date-parts":[["2024"]]},"page":"e39988","title":"Project-based learning as a catalyst for 21st-Century skills and student engagement in the math classroom","type":"article-journal","volume":"10"},"uris":["http://www.mendeley.com/documents/?uuid=5b5b4736-397b-49b2-a874-f19895489bd8"]}],"mendeley":{"formattedCitation":"(Hinostroza et al., 2025; Rehman et al., 2024)","plainTextFormattedCitation":"(Hinostroza et al., 2025; Rehman et al., 2024)","previouslyFormattedCitation":"(Hinostroza et al., 2025; Rehman et al., 2024)"},"properties":{"noteIndex":0},"schema":"https://github.com/citation-style-language/schema/raw/master/csl-citation.json"}</w:instrText>
      </w:r>
      <w:r w:rsidR="003F55CD">
        <w:rPr>
          <w:rFonts w:ascii="Arial" w:hAnsi="Arial" w:cs="Arial"/>
        </w:rPr>
        <w:fldChar w:fldCharType="separate"/>
      </w:r>
      <w:r w:rsidR="003F55CD" w:rsidRPr="003F55CD">
        <w:rPr>
          <w:rFonts w:ascii="Arial" w:hAnsi="Arial" w:cs="Arial"/>
          <w:noProof/>
        </w:rPr>
        <w:t>(Hinostroza et al., 2025; Rehman et al., 2024)</w:t>
      </w:r>
      <w:r w:rsidR="003F55CD">
        <w:rPr>
          <w:rFonts w:ascii="Arial" w:hAnsi="Arial" w:cs="Arial"/>
        </w:rPr>
        <w:fldChar w:fldCharType="end"/>
      </w:r>
      <w:r w:rsidRPr="004F0F27">
        <w:rPr>
          <w:rFonts w:ascii="Arial" w:hAnsi="Arial" w:cs="Arial"/>
        </w:rPr>
        <w:t xml:space="preserve">. When embedded in a conservation context, </w:t>
      </w:r>
      <w:proofErr w:type="spellStart"/>
      <w:r w:rsidRPr="004F0F27">
        <w:rPr>
          <w:rFonts w:ascii="Arial" w:hAnsi="Arial" w:cs="Arial"/>
        </w:rPr>
        <w:t>PjBL</w:t>
      </w:r>
      <w:proofErr w:type="spellEnd"/>
      <w:r w:rsidRPr="004F0F27">
        <w:rPr>
          <w:rFonts w:ascii="Arial" w:hAnsi="Arial" w:cs="Arial"/>
        </w:rPr>
        <w:t xml:space="preserve"> can encourage students to engage actively in solving environmental problems </w:t>
      </w:r>
      <w:r w:rsidR="003F55CD">
        <w:rPr>
          <w:rFonts w:ascii="Arial" w:hAnsi="Arial" w:cs="Arial"/>
        </w:rPr>
        <w:fldChar w:fldCharType="begin" w:fldLock="1"/>
      </w:r>
      <w:r w:rsidR="003F55CD">
        <w:rPr>
          <w:rFonts w:ascii="Arial" w:hAnsi="Arial" w:cs="Arial"/>
        </w:rPr>
        <w:instrText>ADDIN CSL_CITATION {"citationItems":[{"id":"ITEM-1","itemData":{"DOI":"10.22219/jpbi.v11i 2.40433","author":[{"dropping-particle":"","family":"Agustina","given":"Fitri","non-dropping-particle":"","parse-names":false,"suffix":""},{"dropping-particle":"","family":"Mochamad","given":"Yus","non-dropping-particle":"","parse-names":false,"suffix":""},{"dropping-particle":"","family":"Rahardjanto","given":"Abdulkadir","non-dropping-particle":"","parse-names":false,"suffix":""}],"container-title":"JPBI (Jurnal Pendidikan Biologi Indonesia)","id":"ITEM-1","issue":"2","issued":{"date-parts":[["2025"]]},"page":"753-762","title":"Salacca sumatrana - based project-based learning : Students ' positive attitudes and critical thinking","type":"article-journal","volume":"11"},"uris":["http://www.mendeley.com/documents/?uuid=91017924-8d37-4f70-8a76-a04b3a4b6c67"]}],"mendeley":{"formattedCitation":"(Agustina et al., 2025)","plainTextFormattedCitation":"(Agustina et al., 2025)","previouslyFormattedCitation":"(Agustina et al., 2025)"},"properties":{"noteIndex":0},"schema":"https://github.com/citation-style-language/schema/raw/master/csl-citation.json"}</w:instrText>
      </w:r>
      <w:r w:rsidR="003F55CD">
        <w:rPr>
          <w:rFonts w:ascii="Arial" w:hAnsi="Arial" w:cs="Arial"/>
        </w:rPr>
        <w:fldChar w:fldCharType="separate"/>
      </w:r>
      <w:r w:rsidR="003F55CD" w:rsidRPr="003F55CD">
        <w:rPr>
          <w:rFonts w:ascii="Arial" w:hAnsi="Arial" w:cs="Arial"/>
          <w:noProof/>
        </w:rPr>
        <w:t>(Agustina et al., 2025)</w:t>
      </w:r>
      <w:r w:rsidR="003F55CD">
        <w:rPr>
          <w:rFonts w:ascii="Arial" w:hAnsi="Arial" w:cs="Arial"/>
        </w:rPr>
        <w:fldChar w:fldCharType="end"/>
      </w:r>
      <w:r w:rsidRPr="004F0F27">
        <w:rPr>
          <w:rFonts w:ascii="Arial" w:hAnsi="Arial" w:cs="Arial"/>
        </w:rPr>
        <w:t xml:space="preserve">. However, its implementation in schools is still limited, mainly due to the lack of appropriate and contextual teaching materials. Electronic modules (e-modules) offer a promising solution because they provide flexibility, support self-directed learning, and can combine multimedia elements, local case studies, and collaborative activities into a single, coherent learning resource </w:t>
      </w:r>
      <w:r w:rsidR="003F55CD">
        <w:rPr>
          <w:rFonts w:ascii="Arial" w:hAnsi="Arial" w:cs="Arial"/>
        </w:rPr>
        <w:fldChar w:fldCharType="begin" w:fldLock="1"/>
      </w:r>
      <w:r w:rsidR="00550AC3">
        <w:rPr>
          <w:rFonts w:ascii="Arial" w:hAnsi="Arial" w:cs="Arial"/>
        </w:rPr>
        <w:instrText>ADDIN CSL_CITATION {"citationItems":[{"id":"ITEM-1","itemData":{"DOI":"10.3390/su17198859","ISBN":"2071-1050","abstract":"The integration of multimedia technologies is transforming teaching and learning in higher education, offering innovative ways to improve student engagement and learning outcomes. Although numerous studies investigate the impact of multimedia, there is still a clear need for a synthesis that brings together the latest evidence from a variety of disciplines and contexts. To address this need, this systematic review aims to summarize the empirical evidence and provide a clearer understanding of how multimedia is applied in higher education, to outline how educators can effectively design and the implications for curriculum design. This article focuses on three key research questions: (1) How does the integration of multimedia in higher education classrooms influence student engagement and learning outcomes? (2) How does the use of multimedia affect the development of specific skills? (3) What are the challenges and opportunities to integrate multimedia technologies into higher education? Relevant studies were systematically retrieved and screened from major academic databases, including ScienceDirect, Web of Science, IEEE Xplore, Wiley Online Library, Springer, Taylor &amp; Francis, and Google Scholar. In total, 48 studies were selected from these sources for detailed analysis. The findings showed that multimedia tools enhance student engagement, motivation, and performance when integrated with clear pedagogical strategies. In addition, multimedia helps to develop skills such as creativity, digital literacy, and independent learning. However, challenges such as technical limitations, uneven infrastructure, and the need for ongoing teacher training remain significant difficulties in fully exploiting the benefits in higher education. Addressing these challenges requires coordinated institutional support, investment in professional development, and careful alignment of multimedia tools with pedagogical goals.","author":[{"dropping-particle":"","family":"Staneviciene","given":"Evelina","non-dropping-particle":"","parse-names":false,"suffix":""},{"dropping-particle":"","family":"Žekienė","given":"Gintarė","non-dropping-particle":"","parse-names":false,"suffix":""}],"container-title":"Sustainability","id":"ITEM-1","issue":"19","issued":{"date-parts":[["2025"]]},"page":"8859","title":"The Use of Multimedia in the Teaching and Learning Process of Higher Education: A Systematic Review","type":"article-journal","volume":"17"},"uris":["http://www.mendeley.com/documents/?uuid=bebaa34b-6ded-4fdd-8435-2841011f0ed1"]},{"id":"ITEM-2","itemData":{"DOI":"https://doi.org/10.1016/j.heliyon.2022.e12657","ISSN":"2405-8440","abstract":"Individuals attempting to study remotely during the COVID-19 lockdown will find that blended learning is a helpful solution and results in a significant increase in learning engagement. The best benefits for teachers and students are obtained by maximizing the advantages of each teaching method and by combining the advantages of online and face-to-face instruction. The study aims to investigate the effectiveness of the flex model of blended learning in teaching the mathematics subtopic of coordinates in the plane through the improvement of students' academic achievement, self-study skills and learning attitudes. A quasi-experiment was conducted to compare the academic achievement, self-study skills and learning attitudes of 46 students in the control class who used traditional methods to those of 44 students in the experimental group who used the blended learning model. The pre-and post-test results, observations, and student opinion survey were used to compile data, which were then analyzed quantitatively (with SPSS) and qualitatively. The study confirmed that blended learning positively impacts students' academic achievement in the experimental class compared with the control class (Sig (2-tailed) = 0.001 and SMD = 0.6717), as demonstrated by the outcomes of the independent t-test analysis of the two groups in the post-test phase. In addition, observations and student opinion survey results also indicated that blended learning increased student interactions with teachers and improved students' academic achievement, self-study abilities and learning attitudes. Due to time constraints, not all the students who participated in the experiment could make progress. On the other hand, the study's relatively small sample size gave the impression that the results were only partially representative of the population. As a result, additional studies focusing on improving the effectiveness of teaching and learning within different blended learning models, broadening the scope of research on the influence of blended learning in other subjects, or increasing the sample size can all be considered.","author":[{"dropping-particle":"","family":"Tong","given":"Duong Huu","non-dropping-particle":"","parse-names":false,"suffix":""},{"dropping-particle":"","family":"Uyen","given":"Bui Phuong","non-dropping-particle":"","parse-names":false,"suffix":""},{"dropping-particle":"","family":"Ngan","given":"Lu Kim","non-dropping-particle":"","parse-names":false,"suffix":""}],"container-title":"Heliyon","id":"ITEM-2","issue":"12","issued":{"date-parts":[["2022"]]},"page":"e12657","title":"The effectiveness of blended learning on students' academic achievement, self-study skills and learning attitudes: A quasi-experiment study in teaching the conventions for coordinates in the plane","type":"article-journal","volume":"8"},"uris":["http://www.mendeley.com/documents/?uuid=d30b87e9-be2f-464c-af36-efcc0eaf279d"]},{"id":"ITEM-3","itemData":{"DOI":"10.1007/s12528-025-09458-0","ISSN":"1867-1233","abstract":"Digital literacy encompasses the skills needed to effectively navigate and use the digital tools and resources that are essential in today's educational landscape. Students with higher levels of digital literacy often demonstrate self-directed learning skills, enabling them to manage their study schedules and submit assignments in a timely and effective manner. Integrating digital literacy with preparation for self-directed learning is critical to fostering successful online learning experiences. Research into the impact of students' digital literacy and readiness for online learning on their self-directed learning is crucial to understanding the competencies and skills required for online education. Such competencies in learners may have unique effects, especially in specific online learning processes such as emergency remote teaching. Therefore, this study aimed to explore the potential impact of students' digital literacy on their self-directed online learning, with a particular focus on their online learning readiness. In line with the purpose of the study, a cross-sectional survey design was employed, using a structural equation modeling approach. The results showed that digital literacy has a direct and positive effect on online learning readiness. In addition, online learning readiness has a direct and positive influence on self-directed online learning. The results also highlighted that digital literacy indirectly and positively influences individuals' levels of self-directed online learning through their online learning readiness.","author":[{"dropping-particle":"","family":"Alanoglu","given":"Muslim","non-dropping-particle":"","parse-names":false,"suffix":""},{"dropping-particle":"","family":"Karabatak","given":"Songül","non-dropping-particle":"","parse-names":false,"suffix":""},{"dropping-particle":"","family":"Yang","given":"Hongwei","non-dropping-particle":"","parse-names":false,"suffix":""}],"container-title":"Journal of Computing in Higher Education","id":"ITEM-3","issued":{"date-parts":[["2025"]]},"title":"Understanding university students’ self-directed online learning in the context of emergency remote teaching: the role of online learning readiness and digital literacy","type":"article-journal"},"uris":["http://www.mendeley.com/documents/?uuid=8e59519d-ace0-45e3-a05a-be0bb132747c"]}],"mendeley":{"formattedCitation":"(Alanoglu et al., 2025; Staneviciene &amp; Žekienė, 2025; Tong et al., 2022)","plainTextFormattedCitation":"(Alanoglu et al., 2025; Staneviciene &amp; Žekienė, 2025; Tong et al., 2022)","previouslyFormattedCitation":"(Alanoglu et al., 2025; Staneviciene &amp; Žekienė, 2025; Tong et al., 2022)"},"properties":{"noteIndex":0},"schema":"https://github.com/citation-style-language/schema/raw/master/csl-citation.json"}</w:instrText>
      </w:r>
      <w:r w:rsidR="003F55CD">
        <w:rPr>
          <w:rFonts w:ascii="Arial" w:hAnsi="Arial" w:cs="Arial"/>
        </w:rPr>
        <w:fldChar w:fldCharType="separate"/>
      </w:r>
      <w:r w:rsidR="003F55CD" w:rsidRPr="003F55CD">
        <w:rPr>
          <w:rFonts w:ascii="Arial" w:hAnsi="Arial" w:cs="Arial"/>
          <w:noProof/>
        </w:rPr>
        <w:t>(Alanoglu et al., 2025; Staneviciene &amp; Žekienė, 2025; Tong et al., 2022)</w:t>
      </w:r>
      <w:r w:rsidR="003F55CD">
        <w:rPr>
          <w:rFonts w:ascii="Arial" w:hAnsi="Arial" w:cs="Arial"/>
        </w:rPr>
        <w:fldChar w:fldCharType="end"/>
      </w:r>
      <w:r w:rsidRPr="004F0F27">
        <w:rPr>
          <w:rFonts w:ascii="Arial" w:hAnsi="Arial" w:cs="Arial"/>
        </w:rPr>
        <w:t>.</w:t>
      </w:r>
    </w:p>
    <w:p w:rsidR="004F0F27" w:rsidRPr="004F0F27" w:rsidRDefault="004F0F27" w:rsidP="004F0F27">
      <w:pPr>
        <w:pStyle w:val="Body"/>
        <w:spacing w:after="0"/>
        <w:rPr>
          <w:rFonts w:ascii="Arial" w:hAnsi="Arial" w:cs="Arial"/>
        </w:rPr>
      </w:pPr>
      <w:r w:rsidRPr="004F0F27">
        <w:rPr>
          <w:rFonts w:ascii="Arial" w:hAnsi="Arial" w:cs="Arial"/>
        </w:rPr>
        <w:t xml:space="preserve">Indonesia has a significant number of conservation areas, yet various studies report that the number of endangered species continues to decline </w:t>
      </w:r>
      <w:r w:rsidR="00550AC3">
        <w:rPr>
          <w:rFonts w:ascii="Arial" w:hAnsi="Arial" w:cs="Arial"/>
        </w:rPr>
        <w:fldChar w:fldCharType="begin" w:fldLock="1"/>
      </w:r>
      <w:r w:rsidR="00550AC3">
        <w:rPr>
          <w:rFonts w:ascii="Arial" w:hAnsi="Arial" w:cs="Arial"/>
        </w:rPr>
        <w:instrText>ADDIN CSL_CITATION {"citationItems":[{"id":"ITEM-1","itemData":{"DOI":"https://doi.org/10.1016/j.gecco.2024.e02918","ISSN":"2351-9894","abstract":"Indonesia, a global biodiversity hotspot, confronts escalating threats from land-use change, triggering extensive forest fragmentation and threatening biodiversity. This review synthesizes existing literature on Indonesian forest fragmentation, highlighting key findings, methodologies, and knowledge gaps. It assesses spatial fragmentation patterns, evaluates current conservation efforts, and identifies areas for enhancement. Utilizing the Driving Forces-Pressures-State-Impacts-Responses (DPSIR) framework, we comprehensively examine the intricate dynamics influencing forest fragmentation, emphasizing the role of driving forces, pressures, conditions, impacts, and responses in biodiversity conservation. Pressures such as agricultural expansion and infrastructure development induce changes in forest conditions and biodiversity, resulting in diverse impacts such as habitat destruction, altered animal behaviors, and human-wildlife conflict. These findings accentuate the pressing need for adaptive conservation strategies addressing the root causes of fragmentation. We propose a comprehensive biodiversity conservation strategy for fragmented landscapes, encompassing integrated land use planning, habitat connectivity, restoration, wildlife-friendly infrastructure, agroecology, community-based conservation, buffer zones, invasive species management, education, outreach, transboundary cooperation, translocation, monitoring, research, and innovation.","author":[{"dropping-particle":"","family":"Gunawan","given":"Hendra","non-dropping-particle":"","parse-names":false,"suffix":""},{"dropping-particle":"","family":"Setyawati","given":"Titiek","non-dropping-particle":"","parse-names":false,"suffix":""},{"dropping-particle":"","family":"Atmoko","given":"Tri","non-dropping-particle":"","parse-names":false,"suffix":""},{"dropping-particle":"","family":"Subarudi","given":"","non-dropping-particle":"","parse-names":false,"suffix":""},{"dropping-particle":"","family":"Kwatrina","given":"Rozza Tri","non-dropping-particle":"","parse-names":false,"suffix":""},{"dropping-particle":"","family":"Yeny","given":"Irma","non-dropping-particle":"","parse-names":false,"suffix":""},{"dropping-particle":"","family":"Yuwati","given":"Tri Wira","non-dropping-particle":"","parse-names":false,"suffix":""},{"dropping-particle":"","family":"Effendy","given":"Rachman","non-dropping-particle":"","parse-names":false,"suffix":""},{"dropping-particle":"","family":"Abdullah","given":"Lutfy","non-dropping-particle":"","parse-names":false,"suffix":""},{"dropping-particle":"","family":"Mukhlisi","given":"","non-dropping-particle":"","parse-names":false,"suffix":""},{"dropping-particle":"","family":"Lastini","given":"Tien","non-dropping-particle":"","parse-names":false,"suffix":""},{"dropping-particle":"","family":"Arini","given":"Diah Irawati Dwi","non-dropping-particle":"","parse-names":false,"suffix":""},{"dropping-particle":"","family":"Sari","given":"Ulfah Karmila","non-dropping-particle":"","parse-names":false,"suffix":""},{"dropping-particle":"","family":"Sitepu","given":"Bina Swasta","non-dropping-particle":"","parse-names":false,"suffix":""},{"dropping-particle":"","family":"Pattiselanno","given":"Freddy","non-dropping-particle":"","parse-names":false,"suffix":""},{"dropping-particle":"","family":"Kuswanda","given":"Wanda","non-dropping-particle":"","parse-names":false,"suffix":""}],"container-title":"Global Ecology and Conservation","id":"ITEM-1","issued":{"date-parts":[["2024"]]},"page":"e02918","title":"A review of forest fragmentation in Indonesia under the DPSIR framework for biodiversity conservation strategies","type":"article-journal","volume":"51"},"uris":["http://www.mendeley.com/documents/?uuid=0518dfbc-2089-4b02-98fd-d379d5069f2f"]},{"id":"ITEM-2","itemData":{"DOI":"DOI: 10.1017/S0030605324001480","ISSN":"0030-6053","abstract":"Indonesia is home to a high number of Critically Endangered land vertebrates. Examining the research on these species is important to improve biodiversity-related policy and management and to provide insight into knowledge gaps. We conducted a comprehensive review of 2,188 publications published during 2000–2021 that studied the Critically Endangered vertebrate species of Indonesia, to understand variations in the level of research on each species and the proportion of research carried out within Indonesia and by Indonesian researchers. Over this 22-year period, research on Critically Endangered species in Indonesia increased, but &amp;gt; 50% of this research was carried out by researchers based outside Indonesia. Moreover, the quantity of research was uneven across taxonomic classes, indicating an imbalance in research attention. Most publications during the period were on mammals (1,573 publications), followed by reptiles (310), birds (300) and amphibians (5). We identified 17 species for which there were no significant publications, suggesting little attention has been given to these species. We highlight three key issues: limited Indonesian authorship, taxonomic bias towards mammals and birds, and a need to address these challenges in authorship and bias. The low number of publications on many Critically Endangered land vertebrates reflects a lack of research effort, mostly because of limited funds and unequal conservation attention.","author":[{"dropping-particle":"","family":"Kusrini","given":"Mirza Dikari","non-dropping-particle":"","parse-names":false,"suffix":""},{"dropping-particle":"","family":"Tohir","given":"Rizki Kurnia","non-dropping-particle":"","parse-names":false,"suffix":""},{"dropping-particle":"","family":"Hasibuan","given":"Mhd Muhajir","non-dropping-particle":"","parse-names":false,"suffix":""},{"dropping-particle":"","family":"Aprilianti","given":"Risma","non-dropping-particle":"","parse-names":false,"suffix":""},{"dropping-particle":"","family":"Sunarto","given":"Sunarto","non-dropping-particle":"","parse-names":false,"suffix":""},{"dropping-particle":"","family":"Sheherazade","given":"","non-dropping-particle":"","parse-names":false,"suffix":""},{"dropping-particle":"","family":"Mardiastuti","given":"Ani","non-dropping-particle":"","parse-names":false,"suffix":""},{"dropping-particle":"","family":"Rahman","given":"Dede Aulia","non-dropping-particle":"","parse-names":false,"suffix":""},{"dropping-particle":"","family":"Wiantoro","given":"Sigit","non-dropping-particle":"","parse-names":false,"suffix":""},{"dropping-particle":"","family":"Andayani","given":"Noviar","non-dropping-particle":"","parse-names":false,"suffix":""},{"dropping-particle":"","family":"Chao","given":"Nerissa","non-dropping-particle":"","parse-names":false,"suffix":""}],"container-title":"Oryx","edition":"2025/08/27","id":"ITEM-2","issued":{"date-parts":[["2025"]]},"page":"1-11","publisher":"Cambridge University Press","title":"Research trends and outlook for Indonesia’s most threatened land vertebrates","type":"article-journal"},"uris":["http://www.mendeley.com/documents/?uuid=b62720be-96ef-4fde-8a20-a888b2ba2481"]}],"mendeley":{"formattedCitation":"(Gunawan et al., 2024; Kusrini et al., 2025)","plainTextFormattedCitation":"(Gunawan et al., 2024; Kusrini et al., 2025)","previouslyFormattedCitation":"(Gunawan et al., 2024; Kusrini et al., 2025)"},"properties":{"noteIndex":0},"schema":"https://github.com/citation-style-language/schema/raw/master/csl-citation.json"}</w:instrText>
      </w:r>
      <w:r w:rsidR="00550AC3">
        <w:rPr>
          <w:rFonts w:ascii="Arial" w:hAnsi="Arial" w:cs="Arial"/>
        </w:rPr>
        <w:fldChar w:fldCharType="separate"/>
      </w:r>
      <w:r w:rsidR="00550AC3" w:rsidRPr="00550AC3">
        <w:rPr>
          <w:rFonts w:ascii="Arial" w:hAnsi="Arial" w:cs="Arial"/>
          <w:noProof/>
        </w:rPr>
        <w:t>(Gunawan et al., 2024; Kusrini et al., 2025)</w:t>
      </w:r>
      <w:r w:rsidR="00550AC3">
        <w:rPr>
          <w:rFonts w:ascii="Arial" w:hAnsi="Arial" w:cs="Arial"/>
        </w:rPr>
        <w:fldChar w:fldCharType="end"/>
      </w:r>
      <w:r w:rsidRPr="004F0F27">
        <w:rPr>
          <w:rFonts w:ascii="Arial" w:hAnsi="Arial" w:cs="Arial"/>
        </w:rPr>
        <w:t xml:space="preserve">. Environmental degradation caused by human activities persists and even intensifies, despite conservation efforts that have been carried out since the 1970s </w:t>
      </w:r>
      <w:r w:rsidR="00550AC3">
        <w:rPr>
          <w:rFonts w:ascii="Arial" w:hAnsi="Arial" w:cs="Arial"/>
        </w:rPr>
        <w:fldChar w:fldCharType="begin" w:fldLock="1"/>
      </w:r>
      <w:r w:rsidR="00550AC3">
        <w:rPr>
          <w:rFonts w:ascii="Arial" w:hAnsi="Arial" w:cs="Arial"/>
        </w:rPr>
        <w:instrText>ADDIN CSL_CITATION {"citationItems":[{"id":"ITEM-1","itemData":{"DOI":"10.1016/j.oneear.2020.04.003","ISSN":"2590-3322 (Electronic)","PMID":"34171026","abstract":"In April 1970, the first Earth Day engaged millions of people in thousands of events around the US. Those events reflected the emergence of a new form of environmentalism. Many of the themes present 50 years ago persist, but in the US environmental issues have become more politically polarized, and it is unclear whether such value conflicts will persist in the future.","author":[{"dropping-particle":"","family":"Dietz","given":"Thomas","non-dropping-particle":"","parse-names":false,"suffix":""}],"container-title":"One earth (Cambridge, Mass.)","id":"ITEM-1","issue":"4","issued":{"date-parts":[["2020","4"]]},"language":"eng","page":"306-308","publisher-place":"United States","title":"Earth Day: 50 Years of Continuity and Change in Environmentalism.","type":"article-journal","volume":"2"},"uris":["http://www.mendeley.com/documents/?uuid=cde96e9a-cccd-4da5-b1a5-1ca158c41772"]},{"id":"ITEM-2","itemData":{"DOI":"10.3390/encyclopedia5020045","ISBN":"2673-8392","abstract":"Overpopulation’s central role in environmental degradation is intermittently challenged. This article assesses the impact of mounting demographic pressures on six critical global sustainability challenges: deforestation, climate change, biodiversity loss, fishery depletion, water scarcity, and soil degradation. By synthesizing findings from hundreds of peer-reviewed studies, the article offers a comprehensive review of the effects of expanding human populations on the most pressing current environmental problems. Although the rate of population growth worldwide is slowing, human numbers are expected to continue increasing on Earth until the end of the century. Current research confirms that overpopulation causes substantial and potentially irreversible environmental impacts that cannot be ignored if international sustainability policy is to be effective.","author":[{"dropping-particle":"","family":"Tal","given":"Alon","non-dropping-particle":"","parse-names":false,"suffix":""}],"container-title":"Encyclopedia","id":"ITEM-2","issue":"2","issued":{"date-parts":[["2025"]]},"title":"The Environmental Impacts of Overpopulation","type":"article-journal","volume":"5"},"uris":["http://www.mendeley.com/documents/?uuid=e6b4feae-86c3-40f7-bd67-81e7f021db69"]}],"mendeley":{"formattedCitation":"(Dietz, 2020; Tal, 2025)","plainTextFormattedCitation":"(Dietz, 2020; Tal, 2025)","previouslyFormattedCitation":"(Dietz, 2020; Tal, 2025)"},"properties":{"noteIndex":0},"schema":"https://github.com/citation-style-language/schema/raw/master/csl-citation.json"}</w:instrText>
      </w:r>
      <w:r w:rsidR="00550AC3">
        <w:rPr>
          <w:rFonts w:ascii="Arial" w:hAnsi="Arial" w:cs="Arial"/>
        </w:rPr>
        <w:fldChar w:fldCharType="separate"/>
      </w:r>
      <w:r w:rsidR="00550AC3" w:rsidRPr="00550AC3">
        <w:rPr>
          <w:rFonts w:ascii="Arial" w:hAnsi="Arial" w:cs="Arial"/>
          <w:noProof/>
        </w:rPr>
        <w:t>(Dietz, 2020; Tal, 2025)</w:t>
      </w:r>
      <w:r w:rsidR="00550AC3">
        <w:rPr>
          <w:rFonts w:ascii="Arial" w:hAnsi="Arial" w:cs="Arial"/>
        </w:rPr>
        <w:fldChar w:fldCharType="end"/>
      </w:r>
      <w:r w:rsidRPr="004F0F27">
        <w:rPr>
          <w:rFonts w:ascii="Arial" w:hAnsi="Arial" w:cs="Arial"/>
        </w:rPr>
        <w:t xml:space="preserve">. Therefore, it is essential to provide systematic and continuous conservation education to the younger generation </w:t>
      </w:r>
      <w:r w:rsidR="00550AC3">
        <w:rPr>
          <w:rFonts w:ascii="Arial" w:hAnsi="Arial" w:cs="Arial"/>
        </w:rPr>
        <w:fldChar w:fldCharType="begin" w:fldLock="1"/>
      </w:r>
      <w:r w:rsidR="00550AC3">
        <w:rPr>
          <w:rFonts w:ascii="Arial" w:hAnsi="Arial" w:cs="Arial"/>
        </w:rPr>
        <w:instrText>ADDIN CSL_CITATION {"citationItems":[{"id":"ITEM-1","itemData":{"DOI":"10.1080/10382046.2025.2524673","ISSN":"1038-2046","author":[{"dropping-particle":"","family":"Ali","given":"Muhammad Ichsan","non-dropping-particle":"","parse-names":false,"suffix":""},{"dropping-particle":"","family":"Malik","given":"Abdul","non-dropping-particle":"","parse-names":false,"suffix":""},{"dropping-particle":"","family":"Aslinda","given":"Andi","non-dropping-particle":"","parse-names":false,"suffix":""},{"dropping-particle":"","family":"Umar","given":"Ramli","non-dropping-particle":"","parse-names":false,"suffix":""},{"dropping-particle":"","family":"Dg Bau","given":"Qadriathi","non-dropping-particle":"","parse-names":false,"suffix":""}],"container-title":"International Research in Geographical and Environmental Education","id":"ITEM-1","issued":{"date-parts":[["2025"]]},"note":"doi: 10.1080/10382046.2025.2524673","page":"1-20","publisher":"Routledge","title":"Enhancing environmental education on Mangroves and climate change to achieve SDG 13 in coastal communities of South Sulawesi, Indonesia","type":"article-journal","volume":"2025"},"uris":["http://www.mendeley.com/documents/?uuid=eb93be88-f859-48a8-b17a-99f892378a97"]},{"id":"ITEM-2","itemData":{"DOI":"10.1016/j.edurev.2020.100353","ISSN":"1747938X","abstract":"Environmental education focused on the early-childhood years is experiencing dynamic growth in research and practice due to persistent environmental challenges coupled with burgeoning interest in the documented benefits of nature-rich experiences for infants and children. To better understand the landscape of early childhood environmental education (ECEE) pedagogical practices and expected outcomes, we undertook a systematic review of empirical studies of ECEE programs. Focusing on a 25-year span, we surfaced 66 studies that met our inclusion criteria. We found that participants in such programs spanned the early-childhood age range (birth through age eight) with the majority involving three- to six-year-olds in teacher-led, formal (school-like) programs. The primary outcomes documented in our sample studies included environmental literacy development, cognitive development, and social and emotional development. To a lesser extent, the studies addressed physical development and language and literacy development. On balance, our sample of ECEE studies reported strongly positive findings associated with the aforementioned outcomes. The majority emphasized the effectiveness of play-based, nature-rich pedagogical approaches that incorporated movement and social interaction. We include a visualization that synthesizes cross-sample findings with the intention of assisting ECEE practitioners in developing, implementing, and evaluating programs as well as encouraging researchers to further study elements, processes, and theoretical assumptions inherent in them.","author":[{"dropping-particle":"","family":"Ardoin","given":"Nicole M.","non-dropping-particle":"","parse-names":false,"suffix":""},{"dropping-particle":"","family":"Bowers","given":"Alison W.","non-dropping-particle":"","parse-names":false,"suffix":""}],"container-title":"Educational Research Review","id":"ITEM-2","issued":{"date-parts":[["2020"]]},"page":"100353","publisher":"Elsevier Ltd","title":"Early childhood environmental education: A systematic review of the research literature","type":"article-journal","volume":"31"},"uris":["http://www.mendeley.com/documents/?uuid=2ebb9800-a1cc-4c53-8f38-aac59f7198e1"]},{"id":"ITEM-3","itemData":{"DOI":"https://doi.org/10.1016/j.crsust.2024.100278","ISSN":"2666-0490","abstract":"Conservation is necessary to achieve sustainable development, and building capacity of youth and having them participate in conservation is an urgent imperative. The SATO-YAMA-UMI Project was a conservation project operated in six countries in the Asia-Pacific region. The project conducted an internship program for Japanese youth in fiscal year 2018–2019, whose impacts were assessed by members of implementing organizations and former interns in 2024 through online questionnaire and a focus group discussion. The assessment sought answers to: What are the benefits of on-site internship, as opposed to classroom learning? What effects have the on-site internship had in the career of the participants? What program elements would facilitate youth participation in conservation? We found that the field internship provides participants with opportunities to see the environmental issues in their totality without screening, and to gain perspectives that will be difficult to obtain once in the corporate system. Results supported the theory of change that direct experiences lead to enhanced engagement in conservation, such that the participants would play stronger roles as agents of change in the society. Non-governmental organizations organizing and presenting field internship program can significantly lower the barriers that impede many youth members to take the critical step, and they can play a significant role in inter-sectoral collaboration in human resource development. We discuss the role of conservation organizations in mobilizing youth as agents of change for sustainable futures, both through their own activities and in collaborations with private sector and academia.","author":[{"dropping-particle":"","family":"Natori","given":"Yoji","non-dropping-particle":"","parse-names":false,"suffix":""},{"dropping-particle":"","family":"Nakagawa","given":"Tomohiro","non-dropping-particle":"","parse-names":false,"suffix":""},{"dropping-particle":"","family":"Saito","given":"Tomomi","non-dropping-particle":"","parse-names":false,"suffix":""},{"dropping-particle":"","family":"Kato","given":"Tatsuhiro","non-dropping-particle":"","parse-names":false,"suffix":""},{"dropping-particle":"","family":"Seo","given":"Takashi","non-dropping-particle":"","parse-names":false,"suffix":""},{"dropping-particle":"","family":"Yata","given":"Makoto","non-dropping-particle":"","parse-names":false,"suffix":""},{"dropping-particle":"","family":"Sawa","given":"Yusuke","non-dropping-particle":"","parse-names":false,"suffix":""},{"dropping-particle":"","family":"Yasuda","given":"Mika","non-dropping-particle":"","parse-names":false,"suffix":""},{"dropping-particle":"","family":"Enomoto","given":"Akiko","non-dropping-particle":"","parse-names":false,"suffix":""},{"dropping-particle":"","family":"Isobe","given":"Asako","non-dropping-particle":"","parse-names":false,"suffix":""}],"container-title":"Current Research in Environmental Sustainability","id":"ITEM-3","issued":{"date-parts":[["2025"]]},"page":"100278","title":"Conservation education for sustainable development through field internship at NGOs","type":"article-journal","volume":"9"},"uris":["http://www.mendeley.com/documents/?uuid=aa2ba8a2-e58e-40c7-baa5-86a55680d4ab"]}],"mendeley":{"formattedCitation":"(Ali et al., 2025; Ardoin &amp; Bowers, 2020; Natori et al., 2025)","plainTextFormattedCitation":"(Ali et al., 2025; Ardoin &amp; Bowers, 2020; Natori et al., 2025)","previouslyFormattedCitation":"(Ali et al., 2025; Ardoin &amp; Bowers, 2020; Natori et al., 2025)"},"properties":{"noteIndex":0},"schema":"https://github.com/citation-style-language/schema/raw/master/csl-citation.json"}</w:instrText>
      </w:r>
      <w:r w:rsidR="00550AC3">
        <w:rPr>
          <w:rFonts w:ascii="Arial" w:hAnsi="Arial" w:cs="Arial"/>
        </w:rPr>
        <w:fldChar w:fldCharType="separate"/>
      </w:r>
      <w:r w:rsidR="00550AC3" w:rsidRPr="00550AC3">
        <w:rPr>
          <w:rFonts w:ascii="Arial" w:hAnsi="Arial" w:cs="Arial"/>
          <w:noProof/>
        </w:rPr>
        <w:t>(Ali et al., 2025; Ardoin &amp; Bowers, 2020; Natori et al., 2025)</w:t>
      </w:r>
      <w:r w:rsidR="00550AC3">
        <w:rPr>
          <w:rFonts w:ascii="Arial" w:hAnsi="Arial" w:cs="Arial"/>
        </w:rPr>
        <w:fldChar w:fldCharType="end"/>
      </w:r>
      <w:r w:rsidRPr="004F0F27">
        <w:rPr>
          <w:rFonts w:ascii="Arial" w:hAnsi="Arial" w:cs="Arial"/>
        </w:rPr>
        <w:t>, so that their knowledge can transform into pro-environmental mindsets and behaviors.</w:t>
      </w:r>
    </w:p>
    <w:p w:rsidR="004F0F27" w:rsidRPr="004F0F27" w:rsidRDefault="004F0F27" w:rsidP="004F0F27">
      <w:pPr>
        <w:pStyle w:val="Body"/>
        <w:spacing w:after="0"/>
        <w:rPr>
          <w:rFonts w:ascii="Arial" w:hAnsi="Arial" w:cs="Arial"/>
        </w:rPr>
      </w:pPr>
      <w:r w:rsidRPr="004F0F27">
        <w:rPr>
          <w:rFonts w:ascii="Arial" w:hAnsi="Arial" w:cs="Arial"/>
        </w:rPr>
        <w:t xml:space="preserve">Within this context, project-based e-modules emerge as an innovative medium to enhance environmental awareness while developing higher-order skills, such as the ability to compare traditional ecological knowledge with scientific explanations and to design models for conserving local potential </w:t>
      </w:r>
      <w:r w:rsidR="00550AC3">
        <w:rPr>
          <w:rFonts w:ascii="Arial" w:hAnsi="Arial" w:cs="Arial"/>
        </w:rPr>
        <w:fldChar w:fldCharType="begin" w:fldLock="1"/>
      </w:r>
      <w:r w:rsidR="00550AC3">
        <w:rPr>
          <w:rFonts w:ascii="Arial" w:hAnsi="Arial" w:cs="Arial"/>
        </w:rPr>
        <w:instrText>ADDIN CSL_CITATION {"citationItems":[{"id":"ITEM-1","itemData":{"DOI":"10.30870/jppi.v11i1.25378","author":[{"dropping-particle":"","family":"Jaenudin","given":"Dadang","non-dropping-particle":"","parse-names":false,"suffix":""},{"dropping-particle":"","family":"Nurhayati","given":"Nunung","non-dropping-particle":"","parse-names":false,"suffix":""},{"dropping-particle":"","family":"Sukmanasa","given":"Elly","non-dropping-particle":"","parse-names":false,"suffix":""},{"dropping-particle":"","family":"Program","given":"Environmental Management","non-dropping-particle":"","parse-names":false,"suffix":""},{"dropping-particle":"","family":"Pakuan","given":"Universitas","non-dropping-particle":"","parse-names":false,"suffix":""},{"dropping-particle":"","family":"Program","given":"Elementary Education","non-dropping-particle":"","parse-names":false,"suffix":""},{"dropping-particle":"","family":"Pakuan","given":"Universitas","non-dropping-particle":"","parse-names":false,"suffix":""}],"container-title":"Jurnal Penelitian dan Pembelajaran IPA","id":"ITEM-1","issue":"1","issued":{"date-parts":[["2025"]]},"page":"132-143","title":"Implementation of Local Wisdom-Based e-Module on Ecosystem Concepts to Enhance Elementary School Students ' Environmental Awareness","type":"article-journal","volume":"11"},"uris":["http://www.mendeley.com/documents/?uuid=e340fb7f-bce5-484b-9cd8-b31df31782e0"]}],"mendeley":{"formattedCitation":"(Jaenudin et al., 2025)","plainTextFormattedCitation":"(Jaenudin et al., 2025)","previouslyFormattedCitation":"(Jaenudin et al., 2025)"},"properties":{"noteIndex":0},"schema":"https://github.com/citation-style-language/schema/raw/master/csl-citation.json"}</w:instrText>
      </w:r>
      <w:r w:rsidR="00550AC3">
        <w:rPr>
          <w:rFonts w:ascii="Arial" w:hAnsi="Arial" w:cs="Arial"/>
        </w:rPr>
        <w:fldChar w:fldCharType="separate"/>
      </w:r>
      <w:r w:rsidR="00550AC3" w:rsidRPr="00550AC3">
        <w:rPr>
          <w:rFonts w:ascii="Arial" w:hAnsi="Arial" w:cs="Arial"/>
          <w:noProof/>
        </w:rPr>
        <w:t>(Jaenudin et al., 2025)</w:t>
      </w:r>
      <w:r w:rsidR="00550AC3">
        <w:rPr>
          <w:rFonts w:ascii="Arial" w:hAnsi="Arial" w:cs="Arial"/>
        </w:rPr>
        <w:fldChar w:fldCharType="end"/>
      </w:r>
      <w:r w:rsidRPr="004F0F27">
        <w:rPr>
          <w:rFonts w:ascii="Arial" w:hAnsi="Arial" w:cs="Arial"/>
        </w:rPr>
        <w:t>. Character education can be directed toward shaping student behavior in preserving local biodiversity, while global frameworks also emphasize the need for conservation-oriented educatio</w:t>
      </w:r>
      <w:r w:rsidR="00550AC3">
        <w:rPr>
          <w:rFonts w:ascii="Arial" w:hAnsi="Arial" w:cs="Arial"/>
        </w:rPr>
        <w:t xml:space="preserve">n </w:t>
      </w:r>
      <w:r w:rsidR="00550AC3">
        <w:rPr>
          <w:rFonts w:ascii="Arial" w:hAnsi="Arial" w:cs="Arial"/>
        </w:rPr>
        <w:fldChar w:fldCharType="begin" w:fldLock="1"/>
      </w:r>
      <w:r w:rsidR="00550AC3">
        <w:rPr>
          <w:rFonts w:ascii="Arial" w:hAnsi="Arial" w:cs="Arial"/>
        </w:rPr>
        <w:instrText>ADDIN CSL_CITATION {"citationItems":[{"id":"ITEM-1","itemData":{"author":[{"dropping-particle":"","family":"Ulfaturrohmatiririn","given":"Zahro","non-dropping-particle":"","parse-names":false,"suffix":""},{"dropping-particle":"","family":"Nisa","given":"Khoirun","non-dropping-particle":"","parse-names":false,"suffix":""},{"dropping-particle":"","family":"Syehab","given":"Riziq","non-dropping-particle":"","parse-names":false,"suffix":""},{"dropping-particle":"","family":"Khoirotussiha","given":"Fiki","non-dropping-particle":"","parse-names":false,"suffix":""}],"container-title":"JIEMR: Journal of Islamic Education Management Research","id":"ITEM-1","issue":"2","issued":{"date-parts":[["2023"]]},"page":"177-188","title":"Character Education Based on Local Wisdom at SMA Negeri 1 Teladan Yogyakarta : A Model for Addressing Contemporary Challenges in the Digital Era","type":"article-journal","volume":"1"},"uris":["http://www.mendeley.com/documents/?uuid=15547041-371a-4175-a05e-9d9af742a183"]},{"id":"ITEM-2","itemData":{"author":[{"dropping-particle":"","family":"Fajri","given":"Siti Rabiatul","non-dropping-particle":"","parse-names":false,"suffix":""},{"dropping-particle":"","family":"Citrawathi","given":"Desak Made","non-dropping-particle":"","parse-names":false,"suffix":""},{"dropping-particle":"","family":"Adnyana","given":"Putu Budi","non-dropping-particle":"","parse-names":false,"suffix":""},{"dropping-particle":"","family":"Putu","given":"Ida Bagus","non-dropping-particle":"","parse-names":false,"suffix":""}],"container-title":"Journal of Turkish Science Education","id":"ITEM-2","issue":"2","issued":{"date-parts":[["2025"]]},"page":"374-392","title":"The strategic role of conservation education in efforts to improve biodiversity literacy : a systematic review","type":"article-journal","volume":"22"},"uris":["http://www.mendeley.com/documents/?uuid=fd9474e8-6f19-4931-ba94-e0b6ca8565f5"]}],"mendeley":{"formattedCitation":"(Fajri et al., 2025; Ulfaturrohmatiririn et al., 2023)","plainTextFormattedCitation":"(Fajri et al., 2025; Ulfaturrohmatiririn et al., 2023)","previouslyFormattedCitation":"(Fajri et al., 2025; Ulfaturrohmatiririn et al., 2023)"},"properties":{"noteIndex":0},"schema":"https://github.com/citation-style-language/schema/raw/master/csl-citation.json"}</w:instrText>
      </w:r>
      <w:r w:rsidR="00550AC3">
        <w:rPr>
          <w:rFonts w:ascii="Arial" w:hAnsi="Arial" w:cs="Arial"/>
        </w:rPr>
        <w:fldChar w:fldCharType="separate"/>
      </w:r>
      <w:r w:rsidR="00550AC3" w:rsidRPr="00550AC3">
        <w:rPr>
          <w:rFonts w:ascii="Arial" w:hAnsi="Arial" w:cs="Arial"/>
          <w:noProof/>
        </w:rPr>
        <w:t>(Fajri et al., 2025; Ulfaturrohmatiririn et al., 2023)</w:t>
      </w:r>
      <w:r w:rsidR="00550AC3">
        <w:rPr>
          <w:rFonts w:ascii="Arial" w:hAnsi="Arial" w:cs="Arial"/>
        </w:rPr>
        <w:fldChar w:fldCharType="end"/>
      </w:r>
      <w:r w:rsidRPr="004F0F27">
        <w:rPr>
          <w:rFonts w:ascii="Arial" w:hAnsi="Arial" w:cs="Arial"/>
        </w:rPr>
        <w:t xml:space="preserve">. One local potential that has not been optimally utilized in learning is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an endemic snake fruit of South Tapanuli that has high ecological and economic value but is threatened with extinction due to land conversion.</w:t>
      </w:r>
    </w:p>
    <w:p w:rsidR="004F0F27" w:rsidRPr="004F0F27" w:rsidRDefault="004F0F27" w:rsidP="004F0F27">
      <w:pPr>
        <w:pStyle w:val="Body"/>
        <w:spacing w:after="0"/>
        <w:rPr>
          <w:rFonts w:ascii="Arial" w:hAnsi="Arial" w:cs="Arial"/>
        </w:rPr>
      </w:pPr>
      <w:r w:rsidRPr="004F0F27">
        <w:rPr>
          <w:rFonts w:ascii="Arial" w:hAnsi="Arial" w:cs="Arial"/>
        </w:rPr>
        <w:t>Preliminary research shows that students generally recognize snake fruit only as a commodity, without understanding its status as an endangered endemic species. Their creativity in science learning is also not optimally developed to generate real solutions to local environmental problems. Teachers report difficulties in developing contextual, digital, and project-based teaching materials. Student creativity remains low, as reflected in the limited ideas proposed to address local conservation issues. Learning still tends to emphasize memorization</w:t>
      </w:r>
      <w:r w:rsidR="00550AC3">
        <w:rPr>
          <w:rFonts w:ascii="Arial" w:hAnsi="Arial" w:cs="Arial"/>
        </w:rPr>
        <w:t xml:space="preserve"> </w:t>
      </w:r>
      <w:r w:rsidR="00550AC3">
        <w:rPr>
          <w:rFonts w:ascii="Arial" w:hAnsi="Arial" w:cs="Arial"/>
        </w:rPr>
        <w:fldChar w:fldCharType="begin" w:fldLock="1"/>
      </w:r>
      <w:r w:rsidR="00550AC3">
        <w:rPr>
          <w:rFonts w:ascii="Arial" w:hAnsi="Arial" w:cs="Arial"/>
        </w:rPr>
        <w:instrText>ADDIN CSL_CITATION {"citationItems":[{"id":"ITEM-1","itemData":{"author":[{"dropping-particle":"","family":"Pratama","given":"Erik Yuda","non-dropping-particle":"","parse-names":false,"suffix":""}],"container-title":"English Journal","id":"ITEM-1","issue":"2","issued":{"date-parts":[["2016"]]},"page":"11-16","title":"Young Indonesian students’ learning style and strategies in acquiring English as second language","type":"article-journal","volume":"19"},"uris":["http://www.mendeley.com/documents/?uuid=1ec9b0d7-7ff5-4190-93e7-68f775e6e4a4"]}],"mendeley":{"formattedCitation":"(Pratama, 2016)","plainTextFormattedCitation":"(Pratama, 2016)","previouslyFormattedCitation":"(Pratama, 2016)"},"properties":{"noteIndex":0},"schema":"https://github.com/citation-style-language/schema/raw/master/csl-citation.json"}</w:instrText>
      </w:r>
      <w:r w:rsidR="00550AC3">
        <w:rPr>
          <w:rFonts w:ascii="Arial" w:hAnsi="Arial" w:cs="Arial"/>
        </w:rPr>
        <w:fldChar w:fldCharType="separate"/>
      </w:r>
      <w:r w:rsidR="00550AC3" w:rsidRPr="00550AC3">
        <w:rPr>
          <w:rFonts w:ascii="Arial" w:hAnsi="Arial" w:cs="Arial"/>
          <w:noProof/>
        </w:rPr>
        <w:t>(Pratama, 2016)</w:t>
      </w:r>
      <w:r w:rsidR="00550AC3">
        <w:rPr>
          <w:rFonts w:ascii="Arial" w:hAnsi="Arial" w:cs="Arial"/>
        </w:rPr>
        <w:fldChar w:fldCharType="end"/>
      </w:r>
      <w:r w:rsidRPr="004F0F27">
        <w:rPr>
          <w:rFonts w:ascii="Arial" w:hAnsi="Arial" w:cs="Arial"/>
        </w:rPr>
        <w:t xml:space="preserve">, textbook dependence, and conventional teaching models </w:t>
      </w:r>
      <w:r w:rsidR="00550AC3">
        <w:rPr>
          <w:rFonts w:ascii="Arial" w:hAnsi="Arial" w:cs="Arial"/>
        </w:rPr>
        <w:fldChar w:fldCharType="begin" w:fldLock="1"/>
      </w:r>
      <w:r w:rsidR="00695BAD">
        <w:rPr>
          <w:rFonts w:ascii="Arial" w:hAnsi="Arial" w:cs="Arial"/>
        </w:rPr>
        <w:instrText>ADDIN CSL_CITATION {"citationItems":[{"id":"ITEM-1","itemData":{"DOI":"10.35445/alishlah.v17i2.7448","author":[{"dropping-particle":"","family":"Haetami","given":"Haetami","non-dropping-particle":"","parse-names":false,"suffix":""}],"container-title":"Al-Ishlah: Jurnal Pendidikan","id":"ITEM-1","issue":"2","issued":{"date-parts":[["2025"]]},"page":"1819-1832","title":"AI-Driven Educational Transformation in Indonesia : From Learning Personalization to Institutional Management","type":"article-journal","volume":"17"},"uris":["http://www.mendeley.com/documents/?uuid=731fb5c2-f43e-4c82-82ba-a288a1ca8b3d"]},{"id":"ITEM-2","itemData":{"DOI":"10.3390/economies10060140","ISBN":"2227-7099","abstract":"This study provides empirical proof that the positive impact of high accrual quality is the ability to accurately predict the future return with a positive sign. In the capital market, better prospects are commonly indicated by regularly and routinely implementing a high-yield dividend policy. This study uses dividend policy as a moderated multiple regression, which plays a critical role in achieving a high obedience to accounting standards. The causal research involved 154 of the companies listed on the Indonesia Capital Market and 384 observations in the industrial manufacturing sector for 2015–2020. By mulling over the effect of the COVID-19 pandemic in 2020, and predicting the future market using zero growth with no assumed growth in the future, this empirical study shows that dividend policy is critical when minimizing opportunity behavior. This research provides a mapping of the decision tree model as an implication of game theory because of the interactive feedback between the earning quality and future market value. A sign such as “good” news significantly stimulates the perception of optimistic investors, with no negative manipulation and accruals. It paves the way for investors to strictly control and monitor strategic decisions to obtain significant improvement in prospects.","author":[{"dropping-particle":"","family":"Siladjaja","given":"Muljanto","non-dropping-particle":"","parse-names":false,"suffix":""},{"dropping-particle":"","family":"Anwar","given":"Yuli","non-dropping-particle":"","parse-names":false,"suffix":""},{"dropping-particle":"","family":"Djan","given":"Ismulyana","non-dropping-particle":"","parse-names":false,"suffix":""}],"container-title":"Economies","id":"ITEM-2","issue":"6","issued":{"date-parts":[["2022"]]},"page":"140","title":"The Relationship between Dividend Policy and Earnings Quality: The Role of Accounting Information in Indonesia’s Capital Market","type":"article-journal","volume":"10"},"uris":["http://www.mendeley.com/documents/?uuid=4b79c02d-1207-4619-be5c-4feba1f6f586"]}],"mendeley":{"formattedCitation":"(Haetami, 2025; Siladjaja et al., 2022)","plainTextFormattedCitation":"(Haetami, 2025; Siladjaja et al., 2022)","previouslyFormattedCitation":"(Haetami, 2025; Siladjaja et al., 2022)"},"properties":{"noteIndex":0},"schema":"https://github.com/citation-style-language/schema/raw/master/csl-citation.json"}</w:instrText>
      </w:r>
      <w:r w:rsidR="00550AC3">
        <w:rPr>
          <w:rFonts w:ascii="Arial" w:hAnsi="Arial" w:cs="Arial"/>
        </w:rPr>
        <w:fldChar w:fldCharType="separate"/>
      </w:r>
      <w:r w:rsidR="00695BAD" w:rsidRPr="00695BAD">
        <w:rPr>
          <w:rFonts w:ascii="Arial" w:hAnsi="Arial" w:cs="Arial"/>
          <w:noProof/>
        </w:rPr>
        <w:t>(Haetami, 2025; Siladjaja et al., 2022)</w:t>
      </w:r>
      <w:r w:rsidR="00550AC3">
        <w:rPr>
          <w:rFonts w:ascii="Arial" w:hAnsi="Arial" w:cs="Arial"/>
        </w:rPr>
        <w:fldChar w:fldCharType="end"/>
      </w:r>
      <w:r w:rsidRPr="004F0F27">
        <w:rPr>
          <w:rFonts w:ascii="Arial" w:hAnsi="Arial" w:cs="Arial"/>
        </w:rPr>
        <w:t xml:space="preserve">. The learning resources used by teachers are often abstract and do not </w:t>
      </w:r>
      <w:r w:rsidRPr="004F0F27">
        <w:rPr>
          <w:rFonts w:ascii="Arial" w:hAnsi="Arial" w:cs="Arial"/>
        </w:rPr>
        <w:lastRenderedPageBreak/>
        <w:t xml:space="preserve">directly involve students in authentic environmental experiences </w:t>
      </w:r>
      <w:r w:rsidR="00695BAD">
        <w:rPr>
          <w:rFonts w:ascii="Arial" w:hAnsi="Arial" w:cs="Arial"/>
        </w:rPr>
        <w:fldChar w:fldCharType="begin" w:fldLock="1"/>
      </w:r>
      <w:r w:rsidR="00695BAD">
        <w:rPr>
          <w:rFonts w:ascii="Arial" w:hAnsi="Arial" w:cs="Arial"/>
        </w:rPr>
        <w:instrText>ADDIN CSL_CITATION {"citationItems":[{"id":"ITEM-1","itemData":{"DOI":"https://doi.org/10.1016/j.njas.2014.03.002","ISSN":"1573-5214","abstract":"This study provides evidence of the significant life experiences that have influenced teachers’ attitudes towards the environment and present their teaching practices within environmental education. Three groups of teachers (preschool, primary school and biology), working in preschools and in nine-year long compulsory basic schools in Slovenia completed questionnaires. Findings were generalised against bodies of research discussing significant life experiences and recomendations concerning environmental education improvement. Enjoyment of the outdoors, especially in the childhood, attitudes of parents, life in the countryside, experiences with animals and plants, solitude of remote places, education and experiencing negative environmental changes, all had an influence on the teachers’ care for nature. Experiences with organisms and education were more influential life experiences for biology teachers then for preschool or primary school teachers. Teachers emphasised four teaching practices important for environmental education: direct experience of nature, discussions about environmental problems, active participation of students in environmental activities and the importance of teachers as role models. The importance of student's inter-active participation in environmental activities has been under-emphasized, particularly among biology teachers. They have encouraged them to analyze and discuss environmental problems rather than to empower them in the extension of collective pro-environmental actions, which would provide them with necessary experiences in governing processes enabling them to take an active societal role.","author":[{"dropping-particle":"","family":"Torkar","given":"Gregor","non-dropping-particle":"","parse-names":false,"suffix":""}],"container-title":"NJAS - Wageningen Journal of Life Sciences","id":"ITEM-1","issued":{"date-parts":[["2014"]]},"page":"49-55","title":"Learning experiences that produce environmentally active and informed minds","type":"article-journal","volume":"69"},"uris":["http://www.mendeley.com/documents/?uuid=542a0d54-e1e9-4825-afc0-e4d58d2158b9"]},{"id":"ITEM-2","itemData":{"DOI":"10.1177/10538259231211537","ISSN":"1053-8259","abstract":"Background: Experiential learning environments are beneficial for the development of generic learning outcomes, such as critical thinking, communication, and self-regulation. However, research about the variation in experiential learning activities and their benefits is scattered across several bodies of discipline-specific literature. Purpose: The aim is to map the design elements of experiential learning environments across domains and to uncover their relation with generic learning outcomes. Methodology/Approach: Using a scoping review study, 22 studies were subjected to qualitative analysis. Findings/Conclusions: The design elements were related to authenticity, structure, and agency, and learning outcomes in the cognitive, affective, metacognitive, and socio-communicative domain. Confidence and communication skills were the most often included learning outcomes, followed by teamwork and problem-solving. The design elements that were most prominently present across learning outcomes were related to individual agency within group work during the activity and authenticity represented in interactions with peers. Further, we identified seven patterns about how design elements relate to generic learning outcomes. Implications: Addressing the design of experiential learning environments on a more fine-grained level is needed to increase insights of which generic learning outcomes are being fostered, and to enhance comparability of research findings within and between types of experiential learning environments.","author":[{"dropping-particle":"","family":"Duchatelet","given":" Dorothy","non-dropping-particle":"","parse-names":false,"suffix":""},{"dropping-particle":"","family":"Cornelissen","given":" Frank","non-dropping-particle":"","parse-names":false,"suffix":""},{"dropping-particle":"","family":"Volman","given":" Monique","non-dropping-particle":"","parse-names":false,"suffix":""}],"container-title":"Journal of Experiential Education","id":"ITEM-2","issue":"3","issued":{"date-parts":[["2023","11","5"]]},"note":"doi: 10.1177/10538259231211537","page":"400-423","publisher":"SAGE Publications Inc","title":"Features of Experiential Learning Environments in Relation to Generic Learning Outcomes in Higher Education: A Scoping Review","type":"article-journal","volume":"47"},"uris":["http://www.mendeley.com/documents/?uuid=a7f0bfaf-5e9c-47a7-bc20-b2077dc84cb4"]}],"mendeley":{"formattedCitation":"(Duchatelet et al., 2023; Torkar, 2014)","plainTextFormattedCitation":"(Duchatelet et al., 2023; Torkar, 2014)","previouslyFormattedCitation":"(Duchatelet et al., 2023; Torkar, 2014)"},"properties":{"noteIndex":0},"schema":"https://github.com/citation-style-language/schema/raw/master/csl-citation.json"}</w:instrText>
      </w:r>
      <w:r w:rsidR="00695BAD">
        <w:rPr>
          <w:rFonts w:ascii="Arial" w:hAnsi="Arial" w:cs="Arial"/>
        </w:rPr>
        <w:fldChar w:fldCharType="separate"/>
      </w:r>
      <w:r w:rsidR="00695BAD" w:rsidRPr="00695BAD">
        <w:rPr>
          <w:rFonts w:ascii="Arial" w:hAnsi="Arial" w:cs="Arial"/>
          <w:noProof/>
        </w:rPr>
        <w:t>(Duchatelet et al., 2023; Torkar, 2014)</w:t>
      </w:r>
      <w:r w:rsidR="00695BAD">
        <w:rPr>
          <w:rFonts w:ascii="Arial" w:hAnsi="Arial" w:cs="Arial"/>
        </w:rPr>
        <w:fldChar w:fldCharType="end"/>
      </w:r>
      <w:r w:rsidRPr="004F0F27">
        <w:rPr>
          <w:rFonts w:ascii="Arial" w:hAnsi="Arial" w:cs="Arial"/>
        </w:rPr>
        <w:t xml:space="preserve">. This lack of ecological literacy is exacerbated by the limited coverage of environmental conservation topics in existing teaching materials and the absence of interactive resources with clear visuals and real-life videos, which teachers explicitly expect </w:t>
      </w:r>
      <w:r w:rsidR="00695BAD">
        <w:rPr>
          <w:rFonts w:ascii="Arial" w:hAnsi="Arial" w:cs="Arial"/>
        </w:rPr>
        <w:fldChar w:fldCharType="begin" w:fldLock="1"/>
      </w:r>
      <w:r w:rsidR="00695BAD">
        <w:rPr>
          <w:rFonts w:ascii="Arial" w:hAnsi="Arial" w:cs="Arial"/>
        </w:rPr>
        <w:instrText>ADDIN CSL_CITATION {"citationItems":[{"id":"ITEM-1","itemData":{"DOI":"10.3390/educsci14080912","ISBN":"2227-7102","abstract":"This qualitative descriptive-interpretive study aims to understand and describe the perceptions of a group of pre-service teachers of the degree of environmental literacy in primary education at the University of Seville. They participated in a training proposal focused on the current eco-social crisis related to the socio-environmental impact of food in which the different dimensions constituting environmental literacy were analysed. Those dimensions are knowledge, attitudes and emotions, behaviour, and the didactic knowledge associated with socio-environmental issues. The students’ diaries were used as a data-collecting tool in this study. The results reveal a heterogeneous distribution in the students’ understanding and internalisation of concepts related to the dimensions of environmental literacy. In terms of knowledge, most students show a deep and holistic understanding. Diversity is observed in their attitudes and emotions towards socio-environmental issues, and tentative attitudes towards change prevail. Finally, their intentions and proposals for solutions mainly reflect simplistic perceptions. This emphasises the importance of encouraging active participation and collaboration in the search for socio-environmental solutions. In general, the results stress the need to continue improving the preparation of future teachers with regard to environmental education. A deeper understanding and a committed attitude towards sustainability and the preservation of the social and natural environment should be encouraged in initial teacher training.","author":[{"dropping-particle":"","family":"Rodríguez Pérez","given":"Lucía","non-dropping-particle":"","parse-names":false,"suffix":""},{"dropping-particle":"","family":"Azcárate Goded","given":"María D","non-dropping-particle":"","parse-names":false,"suffix":""},{"dropping-particle":"","family":"García-González","given":"Esther","non-dropping-particle":"","parse-names":false,"suffix":""}],"container-title":"Education Sciences","id":"ITEM-1","issue":"8","issued":{"date-parts":[["2024"]]},"page":"912","title":"Environmental Literacy in Initial Teacher Training: Pre-Service Teachers’ Perceptions of the Socio-Environmental Impact of Food","type":"article-journal","volume":"14"},"uris":["http://www.mendeley.com/documents/?uuid=0c8987ce-b315-4f43-ac05-1a31cea85794"]},{"id":"ITEM-2","itemData":{"DOI":"https://doi.org/10.1016/j.jclepro.2020.123749","ISSN":"0959-6526","abstract":"Teacher education for sustainability (TEfS) aims to prepare future educators for their role as societal change agents by developing in them specific sustainability competencies. Whereas previous literature has dealt extensively with concepts and empirical work connected to learning objectives in TEfS, this paper links these learning outcomes, or what student teachers learn in individual course offerings, to the learning process—how they learn. In this way, we reveal factors of common teaching and learning formats in TEfS that may either foster learning or hinder it. At Arizona State University (ASU), the TEfS course Sustainability Science for Teachers (SSfT) is a mandatory component of all elementary-education (K–8) programs. As similar requirements appear in more and more teacher-education programs, it is important to understand how learning in course offerings like SSfT should be designed in order to best support student achievement of intended learning outcomes. More than 100 pre-service teachers and four instructors, all taking or teaching the SSfT course at ASU, participated in this single explanatory case study, which adopted a mixed-methods approach. To richly portray students’ learning processes, as well as the outcomes of their learning in the course, this study involved non-participatory observations, a pre/post-course survey, end-of-semester focus groups, and semi-structured interviews. Its findings suggest that four forms of connection (the 4 Cs) namely personal, professional, social, and structural, are particularly impactful on students’ learning in the SSfT course. Finally, these insights are accompanied by a set of recommendations as to what to consider when planning and designing similar TEfS course offerings. Future research should focus on the K–12 students of educators trained in education for sustainability (EfS) to understand the extent to which educators can use their new skills and knowledge to empower and motivate K–12 students to persistently engage in real-world projects that contribute to systemic change.","author":[{"dropping-particle":"","family":"Brandt","given":"Jan-Ole","non-dropping-particle":"","parse-names":false,"suffix":""},{"dropping-particle":"","family":"Barth","given":"Matthias","non-dropping-particle":"","parse-names":false,"suffix":""},{"dropping-particle":"","family":"Merritt","given":"Eileen","non-dropping-particle":"","parse-names":false,"suffix":""},{"dropping-particle":"","family":"Hale","given":"Annie","non-dropping-particle":"","parse-names":false,"suffix":""}],"container-title":"Journal of Cleaner Production","id":"ITEM-2","issued":{"date-parts":[["2021"]]},"page":"123749","title":"A matter of connection: The 4 Cs of learning in pre-service teacher education for sustainability","type":"article-journal","volume":"279"},"uris":["http://www.mendeley.com/documents/?uuid=0f3a8341-fdab-4010-9326-8574c89287a8"]}],"mendeley":{"formattedCitation":"(Brandt et al., 2021; Rodríguez Pérez et al., 2024)","plainTextFormattedCitation":"(Brandt et al., 2021; Rodríguez Pérez et al., 2024)","previouslyFormattedCitation":"(Brandt et al., 2021; Rodríguez Pérez et al., 2024)"},"properties":{"noteIndex":0},"schema":"https://github.com/citation-style-language/schema/raw/master/csl-citation.json"}</w:instrText>
      </w:r>
      <w:r w:rsidR="00695BAD">
        <w:rPr>
          <w:rFonts w:ascii="Arial" w:hAnsi="Arial" w:cs="Arial"/>
        </w:rPr>
        <w:fldChar w:fldCharType="separate"/>
      </w:r>
      <w:r w:rsidR="00695BAD" w:rsidRPr="00695BAD">
        <w:rPr>
          <w:rFonts w:ascii="Arial" w:hAnsi="Arial" w:cs="Arial"/>
          <w:noProof/>
        </w:rPr>
        <w:t>(Brandt et al., 2021; Rodríguez Pérez et al., 2024)</w:t>
      </w:r>
      <w:r w:rsidR="00695BAD">
        <w:rPr>
          <w:rFonts w:ascii="Arial" w:hAnsi="Arial" w:cs="Arial"/>
        </w:rPr>
        <w:fldChar w:fldCharType="end"/>
      </w:r>
      <w:r w:rsidRPr="004F0F27">
        <w:rPr>
          <w:rFonts w:ascii="Arial" w:hAnsi="Arial" w:cs="Arial"/>
        </w:rPr>
        <w:t xml:space="preserve">. In fact, local potential such as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xml:space="preserve"> could serve as a concrete learning medium to strengthen students’ ecological literacy, while education itself has a strategic role in producing human resources who are environmentally responsible </w:t>
      </w:r>
      <w:r w:rsidR="00695BAD">
        <w:rPr>
          <w:rFonts w:ascii="Arial" w:hAnsi="Arial" w:cs="Arial"/>
        </w:rPr>
        <w:fldChar w:fldCharType="begin" w:fldLock="1"/>
      </w:r>
      <w:r w:rsidR="00695BAD">
        <w:rPr>
          <w:rFonts w:ascii="Arial" w:hAnsi="Arial" w:cs="Arial"/>
        </w:rPr>
        <w:instrText>ADDIN CSL_CITATION {"citationItems":[{"id":"ITEM-1","itemData":{"DOI":"10.1080/21580103.2025.2519475","ISSN":"2158-0103","author":[{"dropping-particle":"","family":"Gunawan","given":"Hendra","non-dropping-particle":"","parse-names":false,"suffix":""},{"dropping-particle":"","family":"Basyuni","given":"Mohammad","non-dropping-particle":"","parse-names":false,"suffix":""},{"dropping-particle":"","family":"Subarudi","given":"","non-dropping-particle":"","parse-names":false,"suffix":""},{"dropping-particle":"","family":"Suharti","given":"Sri","non-dropping-particle":"","parse-names":false,"suffix":""},{"dropping-particle":"","family":"Kustanti","given":"Asihing","non-dropping-particle":"","parse-names":false,"suffix":""},{"dropping-particle":"","family":"Wahyuni","given":"Tien","non-dropping-particle":"","parse-names":false,"suffix":""},{"dropping-particle":"","family":"Arifanti","given":"Virni Budi","non-dropping-particle":"","parse-names":false,"suffix":""},{"dropping-particle":"","family":"Yeny","given":"Irma","non-dropping-particle":"","parse-names":false,"suffix":""},{"dropping-particle":"","family":"Affandi","given":"Oding","non-dropping-particle":"","parse-names":false,"suffix":""},{"dropping-particle":"","family":"Sugiarti","given":"","non-dropping-particle":"","parse-names":false,"suffix":""},{"dropping-particle":"","family":"Zuhriana","given":"Diah","non-dropping-particle":"","parse-names":false,"suffix":""},{"dropping-particle":"","family":"Lastini","given":"Tien","non-dropping-particle":"","parse-names":false,"suffix":""},{"dropping-particle":"","family":"Herawati","given":"Tuti","non-dropping-particle":"","parse-names":false,"suffix":""},{"dropping-particle":"","family":"Riswati","given":"Melani Kurnia","non-dropping-particle":"","parse-names":false,"suffix":""},{"dropping-particle":"","family":"Effendi","given":"Rachman","non-dropping-particle":"","parse-names":false,"suffix":""}],"container-title":"Forest Science and Technology","id":"ITEM-1","issued":{"date-parts":[["2025"]]},"note":"doi: 10.1080/21580103.2025.2519475","page":"1-20","publisher":"Taylor &amp; Francis","title":"Empowering conservation: the transformative role of mangrove education in Indonesia’s climate strategies","type":"article-journal","volume":"2025"},"uris":["http://www.mendeley.com/documents/?uuid=d4e047df-cbe8-4eb6-be50-ef25c2c61a49"]},{"id":"ITEM-2","itemData":{"DOI":"https://doi.org/10.1016/j.jclepro.2018.07.017","ISSN":"0959-6526","abstract":"Education research has acknowledged the value of transformation, which offers an opportunity for researching and rethinking how appropriate and successful educational practices may be. However, despite the role of transformation in higher education and particularly in sustainability learning, there is a paucity of studies which examine the extent to which transformation and learning on matters related to sustainable development may be integrated. Based on this perceived research need, the purpose of this article is to present how transformation in learning in education for sustainability requires the commitment of Faculty and the engament of students. To do this, a set of qualitative case studies were used in higher education institutions across seven countries (Brazil, Serbia, Latvia, South Africa, Spain, Syria, UK). The findings revealed that the concept of education for sustainable development has not been sufficiently integrated into the concept of transformation in higher education institutions. It also found that to enhance sustainability in the curricula, academics should develop collaborative approaches, and discuss how to redesign their own disciplines, and how to appreciate the epistemology and multicultural vision of sustainability, both as a topic, and as a field of education research. It was further found that reflections of the academics on their own values are crucial for developing the transformative potential of students as agents of a sustainable future. It is necessary that universities should transform to serve as models of social justice and environmental stewardship, and to foster sustainability learning.","author":[{"dropping-particle":"","family":"Leal Filho","given":"W","non-dropping-particle":"","parse-names":false,"suffix":""},{"dropping-particle":"","family":"Raath","given":"S","non-dropping-particle":"","parse-names":false,"suffix":""},{"dropping-particle":"","family":"Lazzarini","given":"B","non-dropping-particle":"","parse-names":false,"suffix":""},{"dropping-particle":"","family":"Vargas","given":"V R","non-dropping-particle":"","parse-names":false,"suffix":""},{"dropping-particle":"","family":"Souza","given":"L","non-dropping-particle":"de","parse-names":false,"suffix":""},{"dropping-particle":"","family":"Anholon","given":"R","non-dropping-particle":"","parse-names":false,"suffix":""},{"dropping-particle":"","family":"Quelhas","given":"O L G","non-dropping-particle":"","parse-names":false,"suffix":""},{"dropping-particle":"","family":"Haddad","given":"R","non-dropping-particle":"","parse-names":false,"suffix":""},{"dropping-particle":"","family":"Klavins","given":"M","non-dropping-particle":"","parse-names":false,"suffix":""},{"dropping-particle":"","family":"Orlovic","given":"V L","non-dropping-particle":"","parse-names":false,"suffix":""}],"container-title":"Journal of Cleaner Production","id":"ITEM-2","issued":{"date-parts":[["2018"]]},"page":"286-295","title":"The role of transformation in learning and education for sustainability","type":"article-journal","volume":"199"},"uris":["http://www.mendeley.com/documents/?uuid=df32a0a5-4151-4c6a-bd8a-9774a7559ec7"]}],"mendeley":{"formattedCitation":"(Gunawan et al., 2025; Leal Filho et al., 2018)","plainTextFormattedCitation":"(Gunawan et al., 2025; Leal Filho et al., 2018)","previouslyFormattedCitation":"(Gunawan et al., 2025; Leal Filho et al., 2018)"},"properties":{"noteIndex":0},"schema":"https://github.com/citation-style-language/schema/raw/master/csl-citation.json"}</w:instrText>
      </w:r>
      <w:r w:rsidR="00695BAD">
        <w:rPr>
          <w:rFonts w:ascii="Arial" w:hAnsi="Arial" w:cs="Arial"/>
        </w:rPr>
        <w:fldChar w:fldCharType="separate"/>
      </w:r>
      <w:r w:rsidR="00695BAD" w:rsidRPr="00695BAD">
        <w:rPr>
          <w:rFonts w:ascii="Arial" w:hAnsi="Arial" w:cs="Arial"/>
          <w:noProof/>
        </w:rPr>
        <w:t>(Gunawan et al., 2025; Leal Filho et al., 2018)</w:t>
      </w:r>
      <w:r w:rsidR="00695BAD">
        <w:rPr>
          <w:rFonts w:ascii="Arial" w:hAnsi="Arial" w:cs="Arial"/>
        </w:rPr>
        <w:fldChar w:fldCharType="end"/>
      </w:r>
      <w:r w:rsidRPr="004F0F27">
        <w:rPr>
          <w:rFonts w:ascii="Arial" w:hAnsi="Arial" w:cs="Arial"/>
        </w:rPr>
        <w:t>.</w:t>
      </w:r>
    </w:p>
    <w:p w:rsidR="004F0F27" w:rsidRPr="004F0F27" w:rsidRDefault="004F0F27" w:rsidP="004F0F27">
      <w:pPr>
        <w:pStyle w:val="Body"/>
        <w:spacing w:after="0"/>
        <w:rPr>
          <w:rFonts w:ascii="Arial" w:hAnsi="Arial" w:cs="Arial"/>
        </w:rPr>
      </w:pPr>
      <w:r w:rsidRPr="004F0F27">
        <w:rPr>
          <w:rFonts w:ascii="Arial" w:hAnsi="Arial" w:cs="Arial"/>
        </w:rPr>
        <w:t xml:space="preserve">Although the development of e-modules and the implementation of </w:t>
      </w:r>
      <w:proofErr w:type="spellStart"/>
      <w:r w:rsidRPr="004F0F27">
        <w:rPr>
          <w:rFonts w:ascii="Arial" w:hAnsi="Arial" w:cs="Arial"/>
        </w:rPr>
        <w:t>PjBL</w:t>
      </w:r>
      <w:proofErr w:type="spellEnd"/>
      <w:r w:rsidRPr="004F0F27">
        <w:rPr>
          <w:rFonts w:ascii="Arial" w:hAnsi="Arial" w:cs="Arial"/>
        </w:rPr>
        <w:t xml:space="preserve"> have been widely studied, a review of the literature indicates a clear gap. Existing studies, such as </w:t>
      </w:r>
      <w:r w:rsidR="00695BAD">
        <w:rPr>
          <w:rFonts w:ascii="Arial" w:hAnsi="Arial" w:cs="Arial"/>
        </w:rPr>
        <w:fldChar w:fldCharType="begin" w:fldLock="1"/>
      </w:r>
      <w:r w:rsidR="00695BAD">
        <w:rPr>
          <w:rFonts w:ascii="Arial" w:hAnsi="Arial" w:cs="Arial"/>
        </w:rPr>
        <w:instrText>ADDIN CSL_CITATION {"citationItems":[{"id":"ITEM-1","itemData":{"DOI":"https://doi.org/10.1016/j.ufug.2025.129163","ISSN":"1618-8667","abstract":"Nature-Based Solutions (NBS) are increasingly recognised as essential approaches for addressing urban challenges such as climate change, biodiversity loss, and social resilience. One of the key factors in the successful implementation and long-term sustainability of NBS is the capacity-building role of education systems, particularly in equipping future professionals with the necessary knowledge and skills. This study explores the current understanding and integration of NBS within higher education and Technical and Vocational Education and Training (TVET) across seven EU countries: Germany, the Netherlands, Finland, Austria, Lithuania, Greece, and the Czech Republic. The research employs a mixed-methods approach, combining a review of academic and grey literature, expert interviews, and surveys. The study analyses how NBS-related content is embedded in educational curricula and training programs. The literature review reveals existing definitions and criteria for understanding NBS, while empirical findings highlight significant differences in perception, not only between countries but also across institutions. The integration of NBS in curricula remains fragmented, with limited interdisciplinary collaboration and a noticeable gap between theoretical knowledge and practical application. However, innovative formats such as Living Labs and co-creation with societal actors show strong potential to support transformative, challenge-based learning. By identifying key barriers and showcasing good practices, this study contributes to the growing discourse on educational innovation in sustainability transitions. It highlights the importance of transdisciplinary approaches and international cooperation in embedding NBS into higher education and TVET systems, and offers recommendations to support effective curriculum development.","author":[{"dropping-particle":"","family":"Keryan","given":"Tigran","non-dropping-particle":"","parse-names":false,"suffix":""},{"dropping-particle":"","family":"Uhlhorn","given":"Birthe","non-dropping-particle":"","parse-names":false,"suffix":""},{"dropping-particle":"","family":"Wals","given":"Arjen","non-dropping-particle":"","parse-names":false,"suffix":""},{"dropping-particle":"","family":"Jones","given":"Michael","non-dropping-particle":"","parse-names":false,"suffix":""},{"dropping-particle":"","family":"Radinger-Peer","given":"Verena","non-dropping-particle":"","parse-names":false,"suffix":""}],"container-title":"Urban Forestry &amp; Urban Greening","id":"ITEM-1","issued":{"date-parts":[["2025"]]},"page":"129163","title":"Exploring the understanding and integration of nature-based solutions into higher education and TVET: Insights from 7 EU countries","type":"article-journal","volume":"114"},"uris":["http://www.mendeley.com/documents/?uuid=ae62c8d7-8ffd-4335-9451-827cb086707c"]}],"mendeley":{"formattedCitation":"(Keryan et al., 2025)","manualFormatting":"Keryan et al. (2025)","plainTextFormattedCitation":"(Keryan et al., 2025)","previouslyFormattedCitation":"(Keryan et al., 2025)"},"properties":{"noteIndex":0},"schema":"https://github.com/citation-style-language/schema/raw/master/csl-citation.json"}</w:instrText>
      </w:r>
      <w:r w:rsidR="00695BAD">
        <w:rPr>
          <w:rFonts w:ascii="Arial" w:hAnsi="Arial" w:cs="Arial"/>
        </w:rPr>
        <w:fldChar w:fldCharType="separate"/>
      </w:r>
      <w:r w:rsidR="00695BAD" w:rsidRPr="00695BAD">
        <w:rPr>
          <w:rFonts w:ascii="Arial" w:hAnsi="Arial" w:cs="Arial"/>
          <w:noProof/>
        </w:rPr>
        <w:t>Keryan et al.</w:t>
      </w:r>
      <w:r w:rsidR="00695BAD">
        <w:rPr>
          <w:rFonts w:ascii="Arial" w:hAnsi="Arial" w:cs="Arial"/>
          <w:noProof/>
        </w:rPr>
        <w:t xml:space="preserve"> (</w:t>
      </w:r>
      <w:r w:rsidR="00695BAD" w:rsidRPr="00695BAD">
        <w:rPr>
          <w:rFonts w:ascii="Arial" w:hAnsi="Arial" w:cs="Arial"/>
          <w:noProof/>
        </w:rPr>
        <w:t>2025)</w:t>
      </w:r>
      <w:r w:rsidR="00695BAD">
        <w:rPr>
          <w:rFonts w:ascii="Arial" w:hAnsi="Arial" w:cs="Arial"/>
        </w:rPr>
        <w:fldChar w:fldCharType="end"/>
      </w:r>
      <w:r w:rsidRPr="004F0F27">
        <w:rPr>
          <w:rFonts w:ascii="Arial" w:hAnsi="Arial" w:cs="Arial"/>
        </w:rPr>
        <w:t>, generally use generic project contexts, while works that explicitly integrate the conservation of specific endemic species into project-based e-modules are still scarce. This study addresses this gap by offering an e-module that not only aims to enhance creativity but also to cultivate students’ awareness and agency as future conservation leaders in their own region.</w:t>
      </w:r>
    </w:p>
    <w:p w:rsidR="004F0F27" w:rsidRPr="004F0F27" w:rsidRDefault="004F0F27" w:rsidP="004F0F27">
      <w:pPr>
        <w:pStyle w:val="Body"/>
        <w:spacing w:after="0"/>
        <w:rPr>
          <w:rFonts w:ascii="Arial" w:hAnsi="Arial" w:cs="Arial"/>
        </w:rPr>
      </w:pPr>
      <w:r w:rsidRPr="004F0F27">
        <w:rPr>
          <w:rFonts w:ascii="Arial" w:hAnsi="Arial" w:cs="Arial"/>
        </w:rPr>
        <w:t xml:space="preserve">The present research on developing a conservation project–based e-module for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xml:space="preserve"> offers significant novelty through the triune integration of endemic species conservation, ethnoscience approaches, and contextual creativity. Much of the previous work on project-based e-modules in STEM education has focused on generic projects without specific links to local biodiversity conservation </w:t>
      </w:r>
      <w:r w:rsidR="00695BAD">
        <w:rPr>
          <w:rFonts w:ascii="Arial" w:hAnsi="Arial" w:cs="Arial"/>
        </w:rPr>
        <w:fldChar w:fldCharType="begin" w:fldLock="1"/>
      </w:r>
      <w:r w:rsidR="00695BAD">
        <w:rPr>
          <w:rFonts w:ascii="Arial" w:hAnsi="Arial" w:cs="Arial"/>
        </w:rPr>
        <w:instrText>ADDIN CSL_CITATION {"citationItems":[{"id":"ITEM-1","itemData":{"DOI":"10.3390/educsci15070871","ISBN":"2227-7102","abstract":"The call for enhancing Science, Technology, Engineering, and Mathematics (STEM) education to prepare students for tackling complex global challenges has become increasingly urgent (Becker &amp; Park, 2011; Contribution 1; English, 2016; Contribution 7; Sokolova et al [...]","author":[{"dropping-particle":"","family":"Lee","given":"Mi Y","non-dropping-particle":"","parse-names":false,"suffix":""},{"dropping-particle":"","family":"Lee","given":"Jean S","non-dropping-particle":"","parse-names":false,"suffix":""}],"container-title":"Education Sciences","id":"ITEM-1","issue":"7","issued":{"date-parts":[["2025"]]},"page":"871","title":"Project-Based Learning as a Catalyst for Integrated STEM Education","type":"article-journal","volume":"15"},"uris":["http://www.mendeley.com/documents/?uuid=846c9d71-72ad-4bcd-86a5-2ae80d404d69"]}],"mendeley":{"formattedCitation":"(Lee &amp; Lee, 2025)","plainTextFormattedCitation":"(Lee &amp; Lee, 2025)","previouslyFormattedCitation":"(Lee &amp; Lee, 2025)"},"properties":{"noteIndex":0},"schema":"https://github.com/citation-style-language/schema/raw/master/csl-citation.json"}</w:instrText>
      </w:r>
      <w:r w:rsidR="00695BAD">
        <w:rPr>
          <w:rFonts w:ascii="Arial" w:hAnsi="Arial" w:cs="Arial"/>
        </w:rPr>
        <w:fldChar w:fldCharType="separate"/>
      </w:r>
      <w:r w:rsidR="00695BAD" w:rsidRPr="00695BAD">
        <w:rPr>
          <w:rFonts w:ascii="Arial" w:hAnsi="Arial" w:cs="Arial"/>
          <w:noProof/>
        </w:rPr>
        <w:t>(Lee &amp; Lee, 2025)</w:t>
      </w:r>
      <w:r w:rsidR="00695BAD">
        <w:rPr>
          <w:rFonts w:ascii="Arial" w:hAnsi="Arial" w:cs="Arial"/>
        </w:rPr>
        <w:fldChar w:fldCharType="end"/>
      </w:r>
      <w:r w:rsidRPr="004F0F27">
        <w:rPr>
          <w:rFonts w:ascii="Arial" w:hAnsi="Arial" w:cs="Arial"/>
        </w:rPr>
        <w:t xml:space="preserve">. This study differs by placing the conservation of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—a threatened endemic species with cultural significance—as an authentic project context. This is in line with</w:t>
      </w:r>
      <w:r w:rsidR="00695BAD">
        <w:rPr>
          <w:rFonts w:ascii="Arial" w:hAnsi="Arial" w:cs="Arial"/>
        </w:rPr>
        <w:t xml:space="preserve"> </w:t>
      </w:r>
      <w:r w:rsidR="00695BAD">
        <w:rPr>
          <w:rFonts w:ascii="Arial" w:hAnsi="Arial" w:cs="Arial"/>
        </w:rPr>
        <w:fldChar w:fldCharType="begin" w:fldLock="1"/>
      </w:r>
      <w:r w:rsidR="004E2DA4">
        <w:rPr>
          <w:rFonts w:ascii="Arial" w:hAnsi="Arial" w:cs="Arial"/>
        </w:rPr>
        <w:instrText>ADDIN CSL_CITATION {"citationItems":[{"id":"ITEM-1","itemData":{"DOI":"10.1007/s11191-019-00100-x","ISSN":"1573-1901","abstract":"Indigenous knowledge provides specific views of the world held by various indigenous peoples. It offers different views on nature and science that generally differ from traditional Western science. Futhermore, it introduces different perspectives on nature and the human in nature. Coming basically from a Western perspective on nature and science, the paper analyzes the literature in science education focusing on research and practices of integrating indigenous knowledge with science education. The paper suggests Didaktik models and frameworks for how to elaborate on and design science education for sustainability that takes indigenous knowledge and related non-Western and alternative Western ideas into consideration. To do so, indigenous knowledge is contextualized with regards to related terms (e.g., ethnoscience), and with Eastern perspectives (e.g., Buddhism), and alternative Western thinking (e.g., post-human Bildung). This critical review provides justification for a stronger reflection about how to include views, aspects, and practices from indigenous communities into science teaching and learning. It also suggests that indigenous knowledge offers rich and authentic contexts for science learning. At the same time, it provides chances to reflect views on nature and science in contemporary (Western) science education for contributing to the development of more balanced and holistic worldviews, intercultural understanding, and sustainability.","author":[{"dropping-particle":"","family":"Zidny","given":"Robby","non-dropping-particle":"","parse-names":false,"suffix":""},{"dropping-particle":"","family":"Sjöström","given":"Jesper","non-dropping-particle":"","parse-names":false,"suffix":""},{"dropping-particle":"","family":"Eilks","given":"Ingo","non-dropping-particle":"","parse-names":false,"suffix":""}],"container-title":"Science &amp; Education","id":"ITEM-1","issue":"1","issued":{"date-parts":[["2020"]]},"page":"145-185","title":"A Multi-Perspective Reflection on How Indigenous Knowledge and Related Ideas Can Improve Science Education for Sustainability","type":"article-journal","volume":"29"},"uris":["http://www.mendeley.com/documents/?uuid=372d9ac3-9ca4-485a-8ccb-7297573bf3bd"]}],"mendeley":{"formattedCitation":"(Zidny et al., 2020)","manualFormatting":"Zidny et al. (2020)","plainTextFormattedCitation":"(Zidny et al., 2020)","previouslyFormattedCitation":"(Zidny et al., 2020)"},"properties":{"noteIndex":0},"schema":"https://github.com/citation-style-language/schema/raw/master/csl-citation.json"}</w:instrText>
      </w:r>
      <w:r w:rsidR="00695BAD">
        <w:rPr>
          <w:rFonts w:ascii="Arial" w:hAnsi="Arial" w:cs="Arial"/>
        </w:rPr>
        <w:fldChar w:fldCharType="separate"/>
      </w:r>
      <w:r w:rsidR="00695BAD" w:rsidRPr="00695BAD">
        <w:rPr>
          <w:rFonts w:ascii="Arial" w:hAnsi="Arial" w:cs="Arial"/>
          <w:noProof/>
        </w:rPr>
        <w:t>Zidny et al.</w:t>
      </w:r>
      <w:r w:rsidR="00695BAD">
        <w:rPr>
          <w:rFonts w:ascii="Arial" w:hAnsi="Arial" w:cs="Arial"/>
          <w:noProof/>
        </w:rPr>
        <w:t xml:space="preserve"> (</w:t>
      </w:r>
      <w:r w:rsidR="00695BAD" w:rsidRPr="00695BAD">
        <w:rPr>
          <w:rFonts w:ascii="Arial" w:hAnsi="Arial" w:cs="Arial"/>
          <w:noProof/>
        </w:rPr>
        <w:t>2020)</w:t>
      </w:r>
      <w:r w:rsidR="00695BAD">
        <w:rPr>
          <w:rFonts w:ascii="Arial" w:hAnsi="Arial" w:cs="Arial"/>
        </w:rPr>
        <w:fldChar w:fldCharType="end"/>
      </w:r>
      <w:r w:rsidRPr="004F0F27">
        <w:rPr>
          <w:rFonts w:ascii="Arial" w:hAnsi="Arial" w:cs="Arial"/>
        </w:rPr>
        <w:t>, who emphasizes the importance of linking science learning with indigenous knowledge, but the present study conducts a more specific and in-depth exploration of a unique bio-cultural entity.</w:t>
      </w:r>
      <w:r w:rsidR="004E2DA4">
        <w:rPr>
          <w:rFonts w:ascii="Arial" w:hAnsi="Arial" w:cs="Arial"/>
        </w:rPr>
        <w:t xml:space="preserve"> </w:t>
      </w:r>
      <w:r w:rsidR="004E2DA4">
        <w:rPr>
          <w:rFonts w:ascii="Arial" w:hAnsi="Arial" w:cs="Arial"/>
        </w:rPr>
        <w:fldChar w:fldCharType="begin" w:fldLock="1"/>
      </w:r>
      <w:r w:rsidR="004E2DA4">
        <w:rPr>
          <w:rFonts w:ascii="Arial" w:hAnsi="Arial" w:cs="Arial"/>
        </w:rPr>
        <w:instrText>ADDIN CSL_CITATION {"citationItems":[{"id":"ITEM-1","itemData":{"author":[{"dropping-particle":"","family":"Marlina","given":"Meli","non-dropping-particle":"","parse-names":false,"suffix":""},{"dropping-particle":"","family":"Syafi’i","given":"Wan","non-dropping-particle":"","parse-names":false,"suffix":""},{"dropping-particle":"","family":"Suwondo","given":"S.","non-dropping-particle":"","parse-names":false,"suffix":""}],"container-title":"JPBI (Jurnal Pendidikan Biologi Indonesia)","id":"ITEM-1","issue":"1","issued":{"date-parts":[["2025"]]},"page":"728-741","title":"Validity and practicality of ecosystem e- modules integrated with local wisdom to improve students ' SCA and critical thinking skills Abstract :","type":"article-journal","volume":"11"},"uris":["http://www.mendeley.com/documents/?uuid=ede0c5be-da6b-4e49-b373-cacd5608b843"]}],"mendeley":{"formattedCitation":"(Marlina et al., 2025)","manualFormatting":"Marlina et al. (2025)","plainTextFormattedCitation":"(Marlina et al., 2025)","previouslyFormattedCitation":"(Marlina et al., 2025)"},"properties":{"noteIndex":0},"schema":"https://github.com/citation-style-language/schema/raw/master/csl-citation.json"}</w:instrText>
      </w:r>
      <w:r w:rsidR="004E2DA4">
        <w:rPr>
          <w:rFonts w:ascii="Arial" w:hAnsi="Arial" w:cs="Arial"/>
        </w:rPr>
        <w:fldChar w:fldCharType="separate"/>
      </w:r>
      <w:r w:rsidR="004E2DA4" w:rsidRPr="004E2DA4">
        <w:rPr>
          <w:rFonts w:ascii="Arial" w:hAnsi="Arial" w:cs="Arial"/>
          <w:noProof/>
        </w:rPr>
        <w:t>Marlina et al.</w:t>
      </w:r>
      <w:r w:rsidR="004E2DA4">
        <w:rPr>
          <w:rFonts w:ascii="Arial" w:hAnsi="Arial" w:cs="Arial"/>
          <w:noProof/>
        </w:rPr>
        <w:t xml:space="preserve"> (</w:t>
      </w:r>
      <w:r w:rsidR="004E2DA4" w:rsidRPr="004E2DA4">
        <w:rPr>
          <w:rFonts w:ascii="Arial" w:hAnsi="Arial" w:cs="Arial"/>
          <w:noProof/>
        </w:rPr>
        <w:t>2025)</w:t>
      </w:r>
      <w:r w:rsidR="004E2DA4">
        <w:rPr>
          <w:rFonts w:ascii="Arial" w:hAnsi="Arial" w:cs="Arial"/>
        </w:rPr>
        <w:fldChar w:fldCharType="end"/>
      </w:r>
      <w:r w:rsidRPr="004F0F27">
        <w:rPr>
          <w:rFonts w:ascii="Arial" w:hAnsi="Arial" w:cs="Arial"/>
        </w:rPr>
        <w:t>, for example, showed that integrating local wisdom can improve thinking skills, yet their study did not develop a project-based e-module. Building on this, the current research designs a systematic integration model that documents and transforms local wisdom of the Tapanuli community in cultivating and utilizing snake fruit into interactive digital content.</w:t>
      </w:r>
    </w:p>
    <w:p w:rsidR="004F0F27" w:rsidRPr="004F0F27" w:rsidRDefault="004F0F27" w:rsidP="004F0F27">
      <w:pPr>
        <w:pStyle w:val="Body"/>
        <w:spacing w:after="0"/>
        <w:rPr>
          <w:rFonts w:ascii="Arial" w:hAnsi="Arial" w:cs="Arial"/>
        </w:rPr>
      </w:pPr>
      <w:r w:rsidRPr="004F0F27">
        <w:rPr>
          <w:rFonts w:ascii="Arial" w:hAnsi="Arial" w:cs="Arial"/>
        </w:rPr>
        <w:t>The creativity aspect developed in this study also departs from earlier research. Unlike</w:t>
      </w:r>
      <w:r w:rsidR="004E2DA4">
        <w:rPr>
          <w:rFonts w:ascii="Arial" w:hAnsi="Arial" w:cs="Arial"/>
        </w:rPr>
        <w:t xml:space="preserve"> </w:t>
      </w:r>
      <w:r w:rsidR="004E2DA4">
        <w:rPr>
          <w:rFonts w:ascii="Arial" w:hAnsi="Arial" w:cs="Arial"/>
        </w:rPr>
        <w:fldChar w:fldCharType="begin" w:fldLock="1"/>
      </w:r>
      <w:r w:rsidR="004E2DA4">
        <w:rPr>
          <w:rFonts w:ascii="Arial" w:hAnsi="Arial" w:cs="Arial"/>
        </w:rPr>
        <w:instrText>ADDIN CSL_CITATION {"citationItems":[{"id":"ITEM-1","itemData":{"DOI":"https://doi.org/10.1016/j.tsc.2019.05.001","ISSN":"1871-1871","abstract":"Creativity literature was criticized for its bias towards conventional areas (e.g. arts), and creativity studies in domains less concerned about creativity, such as environmental sustainability (ES), are rare. This study aimed to understand the development of “creativity for ES” (pro-ES creativity) of common tertiary students. Based on a pro-environmental behaviour model and a pro-sustainability competence model found in literature, a pro-ES creative learning curriculum was designed and integrated into an existing toy course in a university of Hong Kong. A total of 20 students from three cohorts were interviewed, and their feedback was analysed inductively with open-coding by the consensus of two experts. Together with their affecting factors, five learning outcomes emerged as attributes of pro-ES creativity: sensitivity and problem-finding; creative problem-solving abilities; affinity for self-creating life-style; creative systems thinking and futures thinking; and reconceptualization of creativity and ES. This study discovered that creativity, as a kind of self-actualization, had developed both individual competences and intrinsic motivation, which are conducive to life-long self-determining ES behaviours. This study informs the education field that the five attributes of pro-ES creativity can be enhanced in a curriculum based on a simple everyday theme. As such, pro-ES creativity education can be integrated into many existing curricula. Going beyond ES, this study shed light on creativity studies of other less popular areas. It suggested a dual domain-specific-general creativity education approach and a dual deductive-inductive research approach for developing creativity theories and curriculum of “low-creativity” domains.","author":[{"dropping-particle":"","family":"Cheng","given":"Vivian M Y","non-dropping-particle":"","parse-names":false,"suffix":""}],"container-title":"Thinking Skills and Creativity","id":"ITEM-1","issued":{"date-parts":[["2019"]]},"page":"100567","title":"Developing individual creativity for environmental sustainability: Using an everyday theme in higher education","type":"article-journal","volume":"33"},"uris":["http://www.mendeley.com/documents/?uuid=735af315-09d4-48c3-a759-8017653b6930"]}],"mendeley":{"formattedCitation":"(Cheng, 2019)","manualFormatting":"Cheng (2019)","plainTextFormattedCitation":"(Cheng, 2019)","previouslyFormattedCitation":"(Cheng, 2019)"},"properties":{"noteIndex":0},"schema":"https://github.com/citation-style-language/schema/raw/master/csl-citation.json"}</w:instrText>
      </w:r>
      <w:r w:rsidR="004E2DA4">
        <w:rPr>
          <w:rFonts w:ascii="Arial" w:hAnsi="Arial" w:cs="Arial"/>
        </w:rPr>
        <w:fldChar w:fldCharType="separate"/>
      </w:r>
      <w:r w:rsidR="004E2DA4" w:rsidRPr="004E2DA4">
        <w:rPr>
          <w:rFonts w:ascii="Arial" w:hAnsi="Arial" w:cs="Arial"/>
          <w:noProof/>
        </w:rPr>
        <w:t>Cheng</w:t>
      </w:r>
      <w:r w:rsidR="004E2DA4">
        <w:rPr>
          <w:rFonts w:ascii="Arial" w:hAnsi="Arial" w:cs="Arial"/>
          <w:noProof/>
        </w:rPr>
        <w:t xml:space="preserve"> (</w:t>
      </w:r>
      <w:r w:rsidR="004E2DA4" w:rsidRPr="004E2DA4">
        <w:rPr>
          <w:rFonts w:ascii="Arial" w:hAnsi="Arial" w:cs="Arial"/>
          <w:noProof/>
        </w:rPr>
        <w:t>2019)</w:t>
      </w:r>
      <w:r w:rsidR="004E2DA4">
        <w:rPr>
          <w:rFonts w:ascii="Arial" w:hAnsi="Arial" w:cs="Arial"/>
        </w:rPr>
        <w:fldChar w:fldCharType="end"/>
      </w:r>
      <w:r w:rsidRPr="004F0F27">
        <w:rPr>
          <w:rFonts w:ascii="Arial" w:hAnsi="Arial" w:cs="Arial"/>
        </w:rPr>
        <w:t>, who measured creativity in a general technical context, this research focuses on contextual creativity—students’ ability to design real, ecologically and socio-economically feasible solutions to conservation problems in their communities. Through an e-module that guides students to produce product prototypes or implementable conservation strategies, this study does not only pursue abstract creativity but also fosters feasibility-oriented design thinking</w:t>
      </w:r>
      <w:r w:rsidR="004E2DA4">
        <w:rPr>
          <w:rFonts w:ascii="Arial" w:hAnsi="Arial" w:cs="Arial"/>
        </w:rPr>
        <w:t xml:space="preserve"> </w:t>
      </w:r>
      <w:r w:rsidR="004E2DA4">
        <w:rPr>
          <w:rFonts w:ascii="Arial" w:hAnsi="Arial" w:cs="Arial"/>
        </w:rPr>
        <w:fldChar w:fldCharType="begin" w:fldLock="1"/>
      </w:r>
      <w:r w:rsidR="004E2DA4">
        <w:rPr>
          <w:rFonts w:ascii="Arial" w:hAnsi="Arial" w:cs="Arial"/>
        </w:rPr>
        <w:instrText>ADDIN CSL_CITATION {"citationItems":[{"id":"ITEM-1","itemData":{"DOI":"10.22219/jpbi.v11i2.40955","author":[{"dropping-particle":"","family":"Alisah","given":"Siti","non-dropping-particle":"","parse-names":false,"suffix":""},{"dropping-particle":"","family":"Sajidan","given":"S","non-dropping-particle":"","parse-names":false,"suffix":""},{"dropping-particle":"","family":"Muzzazinah","given":"M","non-dropping-particle":"","parse-names":false,"suffix":""}],"container-title":"JPBI (Jurnal Pendidikan Biologi Indonesia)","id":"ITEM-1","issue":"2","issued":{"date-parts":[["2025"]]},"page":"683-692","title":"Development of STEM ethnoscience electronic module on environmental preservation material to improve students ' science process skills","type":"article-journal","volume":"11"},"uris":["http://www.mendeley.com/documents/?uuid=9ab5809e-9d75-41f9-849e-bc83c5167a24"]},{"id":"ITEM-2","itemData":{"DOI":"https://doi.org/10.1016/j.joitmc.2025.100480","ISSN":"2199-8531","abstract":"Sustainable product development requires integrating eco- and open innovation. Traditional Design Thinking (DT), while effective for iterative product improvement, often lacks the capability to address environmental considerations comprehensively, necessitating new approaches to balance consumer needs with ecological stewardship. Despite growing attention to sustainability, existing methodologies fail to integrate consumer-focused innovation with systematic environmental responsibility. We tried to bridge this research gap by combining DT with Quality Life Cycle Assessment (QLCA) model to support eco-innovation within sustainable product design. This study aims to answer two research questions: 1) How can DT be integrated with QLCA to support open innovations in sustainable product development? 2) How can the DT-QLCA framework enhance decision-making processes in product design to align sustainability goals with customer expectations? Its objective is to develop a holistic framework that facilitates sustainable innovation while maintaining market competitiveness. An interdisciplinary DT-QLCA framework, integrating quality and sustainability metrics into the early stages of product development was developed. DT-QLCA bridges DT and environmental assessment, creating a structured decision-making tool that supports resource optimization, reduced environmental impact, and enhanced customer satisfaction. It can be applied in manufacturing industry for product designing and production management, bringing also added value for the environment and society.","author":[{"dropping-particle":"","family":"Siwiec","given":"Dominika","non-dropping-particle":"","parse-names":false,"suffix":""},{"dropping-particle":"","family":"Gajdzik","given":"Bożena","non-dropping-particle":"","parse-names":false,"suffix":""},{"dropping-particle":"","family":"Gawlik","given":"Remigiusz","non-dropping-particle":"","parse-names":false,"suffix":""},{"dropping-particle":"","family":"Wolniak","given":"Radosław","non-dropping-particle":"","parse-names":false,"suffix":""},{"dropping-particle":"","family":"Pacana","given":"Andrzej","non-dropping-particle":"","parse-names":false,"suffix":""}],"container-title":"Journal of Open Innovation: Technology, Market, and Complexity","id":"ITEM-2","issue":"1","issued":{"date-parts":[["2025"]]},"page":"100480","title":"Open eco-innovations in sustainable product development: Model framework of design thinking in quality life cycle assessment (DT-QLCA)","type":"article-journal","volume":"11"},"uris":["http://www.mendeley.com/documents/?uuid=fd6b9bf0-dc61-4619-8a5d-c00d20aa9ae7"]}],"mendeley":{"formattedCitation":"(Alisah et al., 2025; Siwiec et al., 2025)","plainTextFormattedCitation":"(Alisah et al., 2025; Siwiec et al., 2025)","previouslyFormattedCitation":"(Alisah et al., 2025; Siwiec et al., 2025)"},"properties":{"noteIndex":0},"schema":"https://github.com/citation-style-language/schema/raw/master/csl-citation.json"}</w:instrText>
      </w:r>
      <w:r w:rsidR="004E2DA4">
        <w:rPr>
          <w:rFonts w:ascii="Arial" w:hAnsi="Arial" w:cs="Arial"/>
        </w:rPr>
        <w:fldChar w:fldCharType="separate"/>
      </w:r>
      <w:r w:rsidR="004E2DA4" w:rsidRPr="004E2DA4">
        <w:rPr>
          <w:rFonts w:ascii="Arial" w:hAnsi="Arial" w:cs="Arial"/>
          <w:noProof/>
        </w:rPr>
        <w:t>(Alisah et al., 2025; Siwiec et al., 2025)</w:t>
      </w:r>
      <w:r w:rsidR="004E2DA4">
        <w:rPr>
          <w:rFonts w:ascii="Arial" w:hAnsi="Arial" w:cs="Arial"/>
        </w:rPr>
        <w:fldChar w:fldCharType="end"/>
      </w:r>
      <w:r w:rsidR="004E2DA4">
        <w:rPr>
          <w:rFonts w:ascii="Arial" w:hAnsi="Arial" w:cs="Arial"/>
        </w:rPr>
        <w:t xml:space="preserve">. </w:t>
      </w:r>
      <w:r w:rsidRPr="004F0F27">
        <w:rPr>
          <w:rFonts w:ascii="Arial" w:hAnsi="Arial" w:cs="Arial"/>
        </w:rPr>
        <w:t xml:space="preserve">Thus, the combination of a unique conservation object, an in-depth ethnoscience approach, and a solution-based creativity orientation places this e-module development in a distinctive and strategic position within contemporary science education research. Concretely, the local potential–based conservation e-module is presented in the form of text, images, photographs, and videos on topics such as conservation management, ecology, reproduction, and conservation efforts related to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w:t>
      </w:r>
    </w:p>
    <w:p w:rsidR="004F0F27" w:rsidRDefault="004F0F27" w:rsidP="004F0F27">
      <w:pPr>
        <w:pStyle w:val="Body"/>
        <w:spacing w:after="0"/>
        <w:rPr>
          <w:rFonts w:ascii="Arial" w:hAnsi="Arial" w:cs="Arial"/>
        </w:rPr>
      </w:pPr>
      <w:r w:rsidRPr="004F0F27">
        <w:rPr>
          <w:rFonts w:ascii="Arial" w:hAnsi="Arial" w:cs="Arial"/>
        </w:rPr>
        <w:t xml:space="preserve">From a long-term perspective, this research is expected to generate impacts at several levels: (1) academically, by enriching scientific literacy and contextual learning resources; (2) socio-ecologically, by strengthening local conservation movements; (3) culturally, by preserving traditional knowledge related to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xml:space="preserve">; and (4) in terms of sustainable development, by contributing to the achievement of SDG 4 (quality education). The conservation project–based e-module on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xml:space="preserve"> has several advantages: (a) bridging the gap between multimedia design theory and local conservation practice; (b) developing integrative conservation projects using digital technology; and (c) presenting instruments capable of measuring both cognitive outcomes and character related to local conservation potential. </w:t>
      </w:r>
    </w:p>
    <w:p w:rsidR="000C7917" w:rsidRPr="004F0F27" w:rsidRDefault="000C7917" w:rsidP="004F0F27">
      <w:pPr>
        <w:pStyle w:val="Body"/>
        <w:spacing w:after="0"/>
        <w:rPr>
          <w:rFonts w:ascii="Arial" w:hAnsi="Arial" w:cs="Arial"/>
        </w:rPr>
      </w:pPr>
      <w:r w:rsidRPr="000C7917">
        <w:rPr>
          <w:rFonts w:ascii="Arial" w:hAnsi="Arial" w:cs="Arial"/>
        </w:rPr>
        <w:t>This manuscript therefore contributes to the scientific community by offering a replicable model of digital learning that is at once conservation-oriented, culturally grounded, and creativity-</w:t>
      </w:r>
      <w:r w:rsidRPr="000C7917">
        <w:rPr>
          <w:rFonts w:ascii="Arial" w:hAnsi="Arial" w:cs="Arial"/>
        </w:rPr>
        <w:lastRenderedPageBreak/>
        <w:t>focused. It demonstrates how an ADDIE-based development process can be used to co-design e-modules with local stakeholders, empirically validates the practicality and effectiveness of the product, and provides evidence that contextual conservation projects can become powerful vehicles for enhancing 21st-century skills. In doing so, the study addresses the dual agenda of enriching science education research and supporting urgent conservation efforts for an endangered endemic species.</w:t>
      </w:r>
    </w:p>
    <w:p w:rsidR="004F0F27" w:rsidRDefault="004F0F27" w:rsidP="004F0F27">
      <w:pPr>
        <w:pStyle w:val="Body"/>
        <w:spacing w:after="0"/>
        <w:rPr>
          <w:rFonts w:ascii="Arial" w:hAnsi="Arial" w:cs="Arial"/>
        </w:rPr>
      </w:pPr>
      <w:r w:rsidRPr="004F0F27">
        <w:rPr>
          <w:rFonts w:ascii="Arial" w:hAnsi="Arial" w:cs="Arial"/>
        </w:rPr>
        <w:t xml:space="preserve">Based on these considerations, the research problem in this study focuses on two main questions: (1) How practical is the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xml:space="preserve"> conservation project–based e-module when implemented in high school learning? and (2) How effective is the e-module in improving students’ creativity? Accordingly, the objectives of this study are: (1) to develop a local potential–based conservation project e-module on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xml:space="preserve"> and (2) to determine the practicality and effectiveness of the developed e-module in enhancing high school students’ creativity.</w:t>
      </w:r>
    </w:p>
    <w:p w:rsidR="000C7917" w:rsidRDefault="000C7917" w:rsidP="004F0F27">
      <w:pPr>
        <w:pStyle w:val="Body"/>
        <w:spacing w:after="0"/>
        <w:rPr>
          <w:rFonts w:ascii="Arial" w:hAnsi="Arial" w:cs="Arial"/>
        </w:rPr>
      </w:pPr>
    </w:p>
    <w:p w:rsidR="000C7917" w:rsidRPr="000C7917" w:rsidRDefault="000C7917" w:rsidP="000C7917">
      <w:pPr>
        <w:pStyle w:val="Body"/>
        <w:spacing w:after="0"/>
        <w:rPr>
          <w:rFonts w:ascii="Arial" w:hAnsi="Arial" w:cs="Arial"/>
          <w:b/>
          <w:bCs/>
        </w:rPr>
      </w:pPr>
      <w:r w:rsidRPr="000C7917">
        <w:rPr>
          <w:rFonts w:ascii="Arial" w:hAnsi="Arial" w:cs="Arial"/>
          <w:b/>
          <w:bCs/>
        </w:rPr>
        <w:t xml:space="preserve">2. LITERATURE REVIEW </w:t>
      </w:r>
    </w:p>
    <w:p w:rsidR="000C7917" w:rsidRPr="000C7917" w:rsidRDefault="000C7917" w:rsidP="000C7917">
      <w:pPr>
        <w:pStyle w:val="Body"/>
        <w:spacing w:after="0"/>
        <w:rPr>
          <w:rFonts w:ascii="Arial" w:hAnsi="Arial" w:cs="Arial"/>
        </w:rPr>
      </w:pPr>
      <w:r w:rsidRPr="000928A0">
        <w:rPr>
          <w:rFonts w:ascii="Arial" w:hAnsi="Arial" w:cs="Arial"/>
        </w:rPr>
        <w:t>Project-Based Learning (</w:t>
      </w:r>
      <w:proofErr w:type="spellStart"/>
      <w:r w:rsidRPr="000928A0">
        <w:rPr>
          <w:rFonts w:ascii="Arial" w:hAnsi="Arial" w:cs="Arial"/>
        </w:rPr>
        <w:t>PjBL</w:t>
      </w:r>
      <w:proofErr w:type="spellEnd"/>
      <w:r w:rsidRPr="000928A0">
        <w:rPr>
          <w:rFonts w:ascii="Arial" w:hAnsi="Arial" w:cs="Arial"/>
        </w:rPr>
        <w:t>) and E-Modules in Science Education</w:t>
      </w:r>
      <w:r w:rsidRPr="000C7917">
        <w:rPr>
          <w:rFonts w:ascii="Arial" w:hAnsi="Arial" w:cs="Arial"/>
        </w:rPr>
        <w:br/>
      </w:r>
      <w:proofErr w:type="spellStart"/>
      <w:r w:rsidRPr="000928A0">
        <w:rPr>
          <w:rFonts w:ascii="Arial" w:hAnsi="Arial" w:cs="Arial"/>
        </w:rPr>
        <w:t>PjBL</w:t>
      </w:r>
      <w:proofErr w:type="spellEnd"/>
      <w:r w:rsidRPr="000928A0">
        <w:rPr>
          <w:rFonts w:ascii="Arial" w:hAnsi="Arial" w:cs="Arial"/>
        </w:rPr>
        <w:t xml:space="preserve"> has been widely recognized as an approach that promotes active, inquiry-based, and collaborative learning while improving higher-order thinking skills (Guo et al., 2020; </w:t>
      </w:r>
      <w:proofErr w:type="spellStart"/>
      <w:r w:rsidRPr="000928A0">
        <w:rPr>
          <w:rFonts w:ascii="Arial" w:hAnsi="Arial" w:cs="Arial"/>
        </w:rPr>
        <w:t>Khafah</w:t>
      </w:r>
      <w:proofErr w:type="spellEnd"/>
      <w:r w:rsidRPr="000928A0">
        <w:rPr>
          <w:rFonts w:ascii="Arial" w:hAnsi="Arial" w:cs="Arial"/>
        </w:rPr>
        <w:t xml:space="preserve"> et al., 2023). Technology-integrated </w:t>
      </w:r>
      <w:proofErr w:type="spellStart"/>
      <w:r w:rsidRPr="000928A0">
        <w:rPr>
          <w:rFonts w:ascii="Arial" w:hAnsi="Arial" w:cs="Arial"/>
        </w:rPr>
        <w:t>PjBL</w:t>
      </w:r>
      <w:proofErr w:type="spellEnd"/>
      <w:r w:rsidRPr="000928A0">
        <w:rPr>
          <w:rFonts w:ascii="Arial" w:hAnsi="Arial" w:cs="Arial"/>
        </w:rPr>
        <w:t xml:space="preserve"> further enables students to access rich resources, document project processes, and present products in creative digital formats (Hinostroza et al., 2025; Tong et al., 2022). E-modules, as structured digital learning resources, can scaffold </w:t>
      </w:r>
      <w:proofErr w:type="spellStart"/>
      <w:r w:rsidRPr="000928A0">
        <w:rPr>
          <w:rFonts w:ascii="Arial" w:hAnsi="Arial" w:cs="Arial"/>
        </w:rPr>
        <w:t>PjBL</w:t>
      </w:r>
      <w:proofErr w:type="spellEnd"/>
      <w:r w:rsidRPr="000928A0">
        <w:rPr>
          <w:rFonts w:ascii="Arial" w:hAnsi="Arial" w:cs="Arial"/>
        </w:rPr>
        <w:t xml:space="preserve"> by providing clear project steps, embedded assessments, and multimedia representations that support diverse learning styles (</w:t>
      </w:r>
      <w:proofErr w:type="spellStart"/>
      <w:r w:rsidRPr="000928A0">
        <w:rPr>
          <w:rFonts w:ascii="Arial" w:hAnsi="Arial" w:cs="Arial"/>
        </w:rPr>
        <w:t>Alanoglu</w:t>
      </w:r>
      <w:proofErr w:type="spellEnd"/>
      <w:r w:rsidRPr="000928A0">
        <w:rPr>
          <w:rFonts w:ascii="Arial" w:hAnsi="Arial" w:cs="Arial"/>
        </w:rPr>
        <w:t xml:space="preserve"> et al., 2025; </w:t>
      </w:r>
      <w:proofErr w:type="spellStart"/>
      <w:r w:rsidRPr="000928A0">
        <w:rPr>
          <w:rFonts w:ascii="Arial" w:hAnsi="Arial" w:cs="Arial"/>
        </w:rPr>
        <w:t>Staneviciene</w:t>
      </w:r>
      <w:proofErr w:type="spellEnd"/>
      <w:r w:rsidRPr="000928A0">
        <w:rPr>
          <w:rFonts w:ascii="Arial" w:hAnsi="Arial" w:cs="Arial"/>
        </w:rPr>
        <w:t xml:space="preserve"> &amp; </w:t>
      </w:r>
      <w:proofErr w:type="spellStart"/>
      <w:r w:rsidRPr="000928A0">
        <w:rPr>
          <w:rFonts w:ascii="Arial" w:hAnsi="Arial" w:cs="Arial"/>
        </w:rPr>
        <w:t>Žekienė</w:t>
      </w:r>
      <w:proofErr w:type="spellEnd"/>
      <w:r w:rsidRPr="000928A0">
        <w:rPr>
          <w:rFonts w:ascii="Arial" w:hAnsi="Arial" w:cs="Arial"/>
        </w:rPr>
        <w:t>, 2025).</w:t>
      </w:r>
    </w:p>
    <w:p w:rsidR="000C7917" w:rsidRPr="000C7917" w:rsidRDefault="000C7917" w:rsidP="000C7917">
      <w:pPr>
        <w:pStyle w:val="Body"/>
        <w:spacing w:after="0"/>
        <w:rPr>
          <w:rFonts w:ascii="Arial" w:hAnsi="Arial" w:cs="Arial"/>
        </w:rPr>
      </w:pPr>
      <w:r w:rsidRPr="000928A0">
        <w:rPr>
          <w:rFonts w:ascii="Arial" w:hAnsi="Arial" w:cs="Arial"/>
        </w:rPr>
        <w:t>Conservation Education, Environmental Literacy, and Local Wisdom</w:t>
      </w:r>
      <w:r w:rsidRPr="000C7917">
        <w:rPr>
          <w:rFonts w:ascii="Arial" w:hAnsi="Arial" w:cs="Arial"/>
        </w:rPr>
        <w:br/>
      </w:r>
      <w:r w:rsidRPr="000928A0">
        <w:rPr>
          <w:rFonts w:ascii="Arial" w:hAnsi="Arial" w:cs="Arial"/>
        </w:rPr>
        <w:t>Conservation education plays a strategic role in improving biodiversity literacy and shaping pro-environmental behavior (</w:t>
      </w:r>
      <w:proofErr w:type="spellStart"/>
      <w:r w:rsidRPr="000928A0">
        <w:rPr>
          <w:rFonts w:ascii="Arial" w:hAnsi="Arial" w:cs="Arial"/>
        </w:rPr>
        <w:t>Fajri</w:t>
      </w:r>
      <w:proofErr w:type="spellEnd"/>
      <w:r w:rsidRPr="000928A0">
        <w:rPr>
          <w:rFonts w:ascii="Arial" w:hAnsi="Arial" w:cs="Arial"/>
        </w:rPr>
        <w:t xml:space="preserve"> et al., 2025; Ali et al., 2025). Studies show that early and sustained exposure to environmental issues, combined with experiential learning, can foster environmentally active and informed citizens (Torkar, 2014; Ardoin &amp; Bowers, 2020; </w:t>
      </w:r>
      <w:proofErr w:type="spellStart"/>
      <w:r w:rsidRPr="000928A0">
        <w:rPr>
          <w:rFonts w:ascii="Arial" w:hAnsi="Arial" w:cs="Arial"/>
        </w:rPr>
        <w:t>Duchatelet</w:t>
      </w:r>
      <w:proofErr w:type="spellEnd"/>
      <w:r w:rsidRPr="000928A0">
        <w:rPr>
          <w:rFonts w:ascii="Arial" w:hAnsi="Arial" w:cs="Arial"/>
        </w:rPr>
        <w:t xml:space="preserve"> et al., 2023). In Indonesia and other contexts rich in indigenous knowledge, integrating local wisdom into science learning has been recommended as a way to connect abstract concepts with familiar socio-ecological realities (</w:t>
      </w:r>
      <w:proofErr w:type="spellStart"/>
      <w:r w:rsidRPr="000928A0">
        <w:rPr>
          <w:rFonts w:ascii="Arial" w:hAnsi="Arial" w:cs="Arial"/>
        </w:rPr>
        <w:t>Zidny</w:t>
      </w:r>
      <w:proofErr w:type="spellEnd"/>
      <w:r w:rsidRPr="000928A0">
        <w:rPr>
          <w:rFonts w:ascii="Arial" w:hAnsi="Arial" w:cs="Arial"/>
        </w:rPr>
        <w:t xml:space="preserve"> et al., 2020; </w:t>
      </w:r>
      <w:proofErr w:type="spellStart"/>
      <w:r w:rsidRPr="000928A0">
        <w:rPr>
          <w:rFonts w:ascii="Arial" w:hAnsi="Arial" w:cs="Arial"/>
        </w:rPr>
        <w:t>Ulfaturrohmatiririn</w:t>
      </w:r>
      <w:proofErr w:type="spellEnd"/>
      <w:r w:rsidRPr="000928A0">
        <w:rPr>
          <w:rFonts w:ascii="Arial" w:hAnsi="Arial" w:cs="Arial"/>
        </w:rPr>
        <w:t xml:space="preserve"> et al., 2023). Local biodiversity, such as mangroves or endemic plant species, has been used as a context to strengthen ecological literacy and support national conservation strategies (Gunawan et al., 2024, 2025).</w:t>
      </w:r>
    </w:p>
    <w:p w:rsidR="000C7917" w:rsidRPr="000C7917" w:rsidRDefault="000C7917" w:rsidP="000C7917">
      <w:pPr>
        <w:pStyle w:val="Body"/>
        <w:spacing w:after="0"/>
        <w:rPr>
          <w:rFonts w:ascii="Arial" w:hAnsi="Arial" w:cs="Arial"/>
        </w:rPr>
      </w:pPr>
      <w:r w:rsidRPr="000928A0">
        <w:rPr>
          <w:rFonts w:ascii="Arial" w:hAnsi="Arial" w:cs="Arial"/>
        </w:rPr>
        <w:t>Ethnoscience and Contextual Creativity</w:t>
      </w:r>
      <w:r w:rsidRPr="000C7917">
        <w:rPr>
          <w:rFonts w:ascii="Arial" w:hAnsi="Arial" w:cs="Arial"/>
        </w:rPr>
        <w:br/>
      </w:r>
      <w:r w:rsidRPr="000928A0">
        <w:rPr>
          <w:rFonts w:ascii="Arial" w:hAnsi="Arial" w:cs="Arial"/>
        </w:rPr>
        <w:t>Ethnoscience-oriented science education emphasizes the dialog between scientific concepts and indigenous knowledge systems, encouraging students to analyze, compare, and synthesize multiple ways of knowing (</w:t>
      </w:r>
      <w:proofErr w:type="spellStart"/>
      <w:r w:rsidRPr="000928A0">
        <w:rPr>
          <w:rFonts w:ascii="Arial" w:hAnsi="Arial" w:cs="Arial"/>
        </w:rPr>
        <w:t>Zidny</w:t>
      </w:r>
      <w:proofErr w:type="spellEnd"/>
      <w:r w:rsidRPr="000928A0">
        <w:rPr>
          <w:rFonts w:ascii="Arial" w:hAnsi="Arial" w:cs="Arial"/>
        </w:rPr>
        <w:t xml:space="preserve"> et al., 2020). When coupled with </w:t>
      </w:r>
      <w:proofErr w:type="spellStart"/>
      <w:r w:rsidRPr="000928A0">
        <w:rPr>
          <w:rFonts w:ascii="Arial" w:hAnsi="Arial" w:cs="Arial"/>
        </w:rPr>
        <w:t>PjBL</w:t>
      </w:r>
      <w:proofErr w:type="spellEnd"/>
      <w:r w:rsidRPr="000928A0">
        <w:rPr>
          <w:rFonts w:ascii="Arial" w:hAnsi="Arial" w:cs="Arial"/>
        </w:rPr>
        <w:t xml:space="preserve"> and e-modules, ethnoscience can guide students to design locally appropriate solutions to environmental problems and thus cultivate contextual creativity—innovation that is feasible, culturally sensitive, and responsive to local needs (Cheng, 2019; Alisah et al., 2025; Siwiec et al., 2025). Research on ecosystem and environmental e-modules integrated with local wisdom has shown positive effects on students’ critical thinking and science process skills (Marlina et al., 2025; </w:t>
      </w:r>
      <w:proofErr w:type="spellStart"/>
      <w:r w:rsidRPr="000928A0">
        <w:rPr>
          <w:rFonts w:ascii="Arial" w:hAnsi="Arial" w:cs="Arial"/>
        </w:rPr>
        <w:t>Widiyatmoko</w:t>
      </w:r>
      <w:proofErr w:type="spellEnd"/>
      <w:r w:rsidRPr="000928A0">
        <w:rPr>
          <w:rFonts w:ascii="Arial" w:hAnsi="Arial" w:cs="Arial"/>
        </w:rPr>
        <w:t xml:space="preserve"> et al., 2022; </w:t>
      </w:r>
      <w:proofErr w:type="spellStart"/>
      <w:r w:rsidRPr="000928A0">
        <w:rPr>
          <w:rFonts w:ascii="Arial" w:hAnsi="Arial" w:cs="Arial"/>
        </w:rPr>
        <w:t>Jaenudin</w:t>
      </w:r>
      <w:proofErr w:type="spellEnd"/>
      <w:r w:rsidRPr="000928A0">
        <w:rPr>
          <w:rFonts w:ascii="Arial" w:hAnsi="Arial" w:cs="Arial"/>
        </w:rPr>
        <w:t xml:space="preserve"> et al., 2025).</w:t>
      </w:r>
    </w:p>
    <w:p w:rsidR="000C7917" w:rsidRPr="000C7917" w:rsidRDefault="000C7917" w:rsidP="000C7917">
      <w:pPr>
        <w:pStyle w:val="Body"/>
        <w:spacing w:after="0"/>
        <w:rPr>
          <w:rFonts w:ascii="Arial" w:hAnsi="Arial" w:cs="Arial"/>
        </w:rPr>
      </w:pPr>
      <w:r w:rsidRPr="000928A0">
        <w:rPr>
          <w:rFonts w:ascii="Arial" w:hAnsi="Arial" w:cs="Arial"/>
        </w:rPr>
        <w:t>Research Gap</w:t>
      </w:r>
      <w:r w:rsidRPr="000C7917">
        <w:rPr>
          <w:rFonts w:ascii="Arial" w:hAnsi="Arial" w:cs="Arial"/>
        </w:rPr>
        <w:br/>
      </w:r>
      <w:r w:rsidRPr="000928A0">
        <w:rPr>
          <w:rFonts w:ascii="Arial" w:hAnsi="Arial" w:cs="Arial"/>
        </w:rPr>
        <w:t xml:space="preserve">Despite these advancements, most studies on </w:t>
      </w:r>
      <w:proofErr w:type="spellStart"/>
      <w:r w:rsidRPr="000928A0">
        <w:rPr>
          <w:rFonts w:ascii="Arial" w:hAnsi="Arial" w:cs="Arial"/>
        </w:rPr>
        <w:t>PjBL</w:t>
      </w:r>
      <w:proofErr w:type="spellEnd"/>
      <w:r w:rsidRPr="000928A0">
        <w:rPr>
          <w:rFonts w:ascii="Arial" w:hAnsi="Arial" w:cs="Arial"/>
        </w:rPr>
        <w:t>-based e-modules in STEM and environmental education still rely on generic project themes without focusing on the conservation of specific endemic species (</w:t>
      </w:r>
      <w:proofErr w:type="spellStart"/>
      <w:r w:rsidRPr="000928A0">
        <w:rPr>
          <w:rFonts w:ascii="Arial" w:hAnsi="Arial" w:cs="Arial"/>
        </w:rPr>
        <w:t>Keryan</w:t>
      </w:r>
      <w:proofErr w:type="spellEnd"/>
      <w:r w:rsidRPr="000928A0">
        <w:rPr>
          <w:rFonts w:ascii="Arial" w:hAnsi="Arial" w:cs="Arial"/>
        </w:rPr>
        <w:t xml:space="preserve"> et al., 2025; Lee &amp; Lee, 2025). There is a need for empirically tested digital learning resources that explicitly center on endangered local species, document </w:t>
      </w:r>
      <w:proofErr w:type="spellStart"/>
      <w:r w:rsidRPr="000928A0">
        <w:rPr>
          <w:rFonts w:ascii="Arial" w:hAnsi="Arial" w:cs="Arial"/>
        </w:rPr>
        <w:t>ethnoscientific</w:t>
      </w:r>
      <w:proofErr w:type="spellEnd"/>
      <w:r w:rsidRPr="000928A0">
        <w:rPr>
          <w:rFonts w:ascii="Arial" w:hAnsi="Arial" w:cs="Arial"/>
        </w:rPr>
        <w:t xml:space="preserve"> practices, and measure creativity outcomes in authentic conservation contexts. This study addresses that gap by developing and evaluating a </w:t>
      </w:r>
      <w:r w:rsidRPr="000928A0">
        <w:rPr>
          <w:rFonts w:ascii="Arial" w:hAnsi="Arial" w:cs="Arial"/>
        </w:rPr>
        <w:lastRenderedPageBreak/>
        <w:t xml:space="preserve">conservation project–based e-module on </w:t>
      </w:r>
      <w:proofErr w:type="spellStart"/>
      <w:r w:rsidRPr="000928A0">
        <w:rPr>
          <w:rFonts w:ascii="Arial" w:hAnsi="Arial" w:cs="Arial"/>
          <w:i/>
          <w:iCs/>
        </w:rPr>
        <w:t>Salacca</w:t>
      </w:r>
      <w:proofErr w:type="spellEnd"/>
      <w:r w:rsidRPr="000928A0">
        <w:rPr>
          <w:rFonts w:ascii="Arial" w:hAnsi="Arial" w:cs="Arial"/>
          <w:i/>
          <w:iCs/>
        </w:rPr>
        <w:t xml:space="preserve"> </w:t>
      </w:r>
      <w:proofErr w:type="spellStart"/>
      <w:r w:rsidRPr="000928A0">
        <w:rPr>
          <w:rFonts w:ascii="Arial" w:hAnsi="Arial" w:cs="Arial"/>
          <w:i/>
          <w:iCs/>
        </w:rPr>
        <w:t>sumatrana</w:t>
      </w:r>
      <w:proofErr w:type="spellEnd"/>
      <w:r w:rsidRPr="000928A0">
        <w:rPr>
          <w:rFonts w:ascii="Arial" w:hAnsi="Arial" w:cs="Arial"/>
        </w:rPr>
        <w:t xml:space="preserve"> for high school students in South Tapanuli.</w:t>
      </w:r>
    </w:p>
    <w:p w:rsidR="000C7917" w:rsidRPr="004F0F27" w:rsidRDefault="000C7917" w:rsidP="004F0F27">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790ADA" w:rsidRPr="00FB3A86" w:rsidRDefault="000C7917"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6B57D0">
        <w:rPr>
          <w:rFonts w:ascii="Arial" w:hAnsi="Arial" w:cs="Arial"/>
        </w:rPr>
        <w:t>methodology</w:t>
      </w:r>
      <w:r w:rsidR="007F7B32">
        <w:rPr>
          <w:rFonts w:ascii="Arial" w:hAnsi="Arial" w:cs="Arial"/>
        </w:rPr>
        <w:t xml:space="preserve"> </w:t>
      </w:r>
    </w:p>
    <w:p w:rsidR="004F0F27" w:rsidRDefault="004F0F27" w:rsidP="004F0F27">
      <w:pPr>
        <w:pStyle w:val="Body"/>
        <w:spacing w:after="0"/>
        <w:rPr>
          <w:rFonts w:ascii="Arial" w:hAnsi="Arial" w:cs="Arial"/>
        </w:rPr>
      </w:pPr>
    </w:p>
    <w:p w:rsidR="004F0F27" w:rsidRPr="004F0F27" w:rsidRDefault="004F0F27" w:rsidP="004F0F27">
      <w:pPr>
        <w:pStyle w:val="Body"/>
        <w:spacing w:after="0"/>
        <w:rPr>
          <w:rFonts w:ascii="Arial" w:hAnsi="Arial" w:cs="Arial"/>
        </w:rPr>
      </w:pPr>
      <w:r w:rsidRPr="004F0F27">
        <w:rPr>
          <w:rFonts w:ascii="Arial" w:hAnsi="Arial" w:cs="Arial"/>
        </w:rPr>
        <w:t xml:space="preserve">This research was conducted at four high schools in South Tapanuli: SMA Negeri 1 </w:t>
      </w:r>
      <w:proofErr w:type="spellStart"/>
      <w:r w:rsidRPr="004F0F27">
        <w:rPr>
          <w:rFonts w:ascii="Arial" w:hAnsi="Arial" w:cs="Arial"/>
        </w:rPr>
        <w:t>Angkola</w:t>
      </w:r>
      <w:proofErr w:type="spellEnd"/>
      <w:r w:rsidRPr="004F0F27">
        <w:rPr>
          <w:rFonts w:ascii="Arial" w:hAnsi="Arial" w:cs="Arial"/>
        </w:rPr>
        <w:t xml:space="preserve"> Barat, SMA Negeri 1 </w:t>
      </w:r>
      <w:proofErr w:type="spellStart"/>
      <w:r w:rsidRPr="004F0F27">
        <w:rPr>
          <w:rFonts w:ascii="Arial" w:hAnsi="Arial" w:cs="Arial"/>
        </w:rPr>
        <w:t>Angkola</w:t>
      </w:r>
      <w:proofErr w:type="spellEnd"/>
      <w:r w:rsidRPr="004F0F27">
        <w:rPr>
          <w:rFonts w:ascii="Arial" w:hAnsi="Arial" w:cs="Arial"/>
        </w:rPr>
        <w:t xml:space="preserve"> Timur, SMA Negeri 1 </w:t>
      </w:r>
      <w:proofErr w:type="spellStart"/>
      <w:r w:rsidRPr="004F0F27">
        <w:rPr>
          <w:rFonts w:ascii="Arial" w:hAnsi="Arial" w:cs="Arial"/>
        </w:rPr>
        <w:t>Angkola</w:t>
      </w:r>
      <w:proofErr w:type="spellEnd"/>
      <w:r w:rsidRPr="004F0F27">
        <w:rPr>
          <w:rFonts w:ascii="Arial" w:hAnsi="Arial" w:cs="Arial"/>
        </w:rPr>
        <w:t xml:space="preserve"> Selatan, and SMA Negeri 1 </w:t>
      </w:r>
      <w:proofErr w:type="spellStart"/>
      <w:r w:rsidRPr="004F0F27">
        <w:rPr>
          <w:rFonts w:ascii="Arial" w:hAnsi="Arial" w:cs="Arial"/>
        </w:rPr>
        <w:t>Sipirok</w:t>
      </w:r>
      <w:proofErr w:type="spellEnd"/>
      <w:r w:rsidRPr="004F0F27">
        <w:rPr>
          <w:rFonts w:ascii="Arial" w:hAnsi="Arial" w:cs="Arial"/>
        </w:rPr>
        <w:t xml:space="preserve">. The validation process involved lecturers, two media experts, two material experts, and two language experts. This research method used a research and development (R&amp;D) especially ADDIE model </w:t>
      </w:r>
      <w:r w:rsidRPr="004F0F27">
        <w:rPr>
          <w:rFonts w:ascii="Arial" w:hAnsi="Arial" w:cs="Arial"/>
          <w:i/>
          <w:iCs/>
        </w:rPr>
        <w:t>(Analysis, Design, Development, Implementation, Evaluation)</w:t>
      </w:r>
      <w:r w:rsidRPr="004F0F27">
        <w:rPr>
          <w:rFonts w:ascii="Arial" w:hAnsi="Arial" w:cs="Arial"/>
        </w:rPr>
        <w:t xml:space="preserve"> and quasi-experiments</w:t>
      </w:r>
      <w:r w:rsidRPr="004F0F27">
        <w:rPr>
          <w:rFonts w:ascii="Arial" w:hAnsi="Arial" w:cs="Arial"/>
          <w:i/>
          <w:iCs/>
        </w:rPr>
        <w:t xml:space="preserve">. </w:t>
      </w:r>
      <w:r w:rsidRPr="004F0F27">
        <w:rPr>
          <w:rFonts w:ascii="Arial" w:hAnsi="Arial" w:cs="Arial"/>
        </w:rPr>
        <w:t>The ADDIE method is limited to the design of practicality trials. Implementation is limited to small-scale and large-scale trials to develop e-modules based on conservation projects</w:t>
      </w:r>
      <w:r w:rsidRPr="004F0F27">
        <w:rPr>
          <w:rFonts w:ascii="Arial" w:hAnsi="Arial" w:cs="Arial"/>
          <w:i/>
          <w:iCs/>
        </w:rPr>
        <w:t>.</w:t>
      </w:r>
      <w:r w:rsidR="004E2DA4">
        <w:rPr>
          <w:rFonts w:ascii="Arial" w:hAnsi="Arial" w:cs="Arial"/>
          <w:i/>
          <w:iCs/>
        </w:rPr>
        <w:t xml:space="preserve"> </w:t>
      </w:r>
      <w:r w:rsidRPr="004F0F27">
        <w:rPr>
          <w:rFonts w:ascii="Arial" w:hAnsi="Arial" w:cs="Arial"/>
        </w:rPr>
        <w:t>This approach was chosen because it allows for systematic, measurable product development based on real needs.</w:t>
      </w:r>
      <w:r w:rsidR="006B18EC">
        <w:rPr>
          <w:rFonts w:ascii="Arial" w:hAnsi="Arial" w:cs="Arial"/>
        </w:rPr>
        <w:t xml:space="preserve"> </w:t>
      </w:r>
      <w:r w:rsidR="006B18EC" w:rsidRPr="006B18EC">
        <w:rPr>
          <w:rFonts w:ascii="Arial" w:hAnsi="Arial" w:cs="Arial"/>
        </w:rPr>
        <w:t>In addition, a quasi-experimental design with control and experimental classes was used to test the effectiveness of the e-module on students’ creativity through pretest–posttest comparisons.</w:t>
      </w:r>
      <w:r w:rsidRPr="004F0F27">
        <w:rPr>
          <w:rFonts w:ascii="Arial" w:hAnsi="Arial" w:cs="Arial"/>
          <w:b/>
          <w:bCs/>
        </w:rPr>
        <w:t xml:space="preserve"> </w:t>
      </w:r>
      <w:r w:rsidR="006B18EC" w:rsidRPr="006B18EC">
        <w:rPr>
          <w:rFonts w:ascii="Arial" w:hAnsi="Arial" w:cs="Arial"/>
        </w:rPr>
        <w:t xml:space="preserve">In this research, the implementation of </w:t>
      </w:r>
      <w:r w:rsidRPr="004F0F27">
        <w:rPr>
          <w:rFonts w:ascii="Arial" w:hAnsi="Arial" w:cs="Arial"/>
        </w:rPr>
        <w:t xml:space="preserve">the ADDIE method on This research is limited to the development stage. The data obtained are in the form of percentages, which are used to determine the suitability of the media being developed. The data is then interpreted on a scale of 1 to 4 and </w:t>
      </w:r>
      <w:r w:rsidR="004E2DA4">
        <w:rPr>
          <w:rFonts w:ascii="Arial" w:hAnsi="Arial" w:cs="Arial"/>
        </w:rPr>
        <w:fldChar w:fldCharType="begin" w:fldLock="1"/>
      </w:r>
      <w:r w:rsidR="00FA1874">
        <w:rPr>
          <w:rFonts w:ascii="Arial" w:hAnsi="Arial" w:cs="Arial"/>
        </w:rPr>
        <w:instrText>ADDIN CSL_CITATION {"citationItems":[{"id":"ITEM-1","itemData":{"DOI":"10.1007/978-0-387-09506-6","ISBN":"9780387095059","abstract":"The Analyze, Design, Develop, Implement, and Evaluate (ADDIE) process is used to introduce an approach to instruction design that has a proven record of success. Instructional Design: The ADDIE Approach is intended to serve as an overview of the ADDIE concept. The primary rationale for this book is to respond to the need for an instruction design primer that addresses the current proliferation of complex educational development models, particularly non-traditional approaches to learning, multimedia development and online learning environments. Many entry level instructional designers and students enrolled in related academic programs indicate they are better prepared to accomplish the challenging work of creating effective training and education materials after they have a thorough understanding of the ADDIE principles. However, a survey of instructional development applications indicate that the overwhelming majority of instructional design models are based on ADDIE, often do not present the ADDIE origins as part of their content, and are poorly applied by people unfamiliar with the ADDIE paradigm. The purpose of this book is to focus on fundamental ADDIE principles, written with a minimum of professional jargon. This is not an attempt to debate scholars or other educational professionals on the finer points of instructional design, however, the book's content is based on sound doctrine and supported by valid empirical research. The only bias toward the topic is that generic terms will be used as often as possible in order to make it easy for the reader to apply the concepts in the book to other specific situations. © Springer Science+Business Media, LLC 2009. All rights reserved.","author":[{"dropping-particle":"","family":"Branch","given":"Robert Maribe","non-dropping-particle":"","parse-names":false,"suffix":""}],"container-title":"Instructional Design: The ADDIE Approach","id":"ITEM-1","issued":{"date-parts":[["2009"]]},"number-of-pages":"1-203","publisher":"Springer","title":"Instructional design: The ADDIE approach","type":"book"},"uris":["http://www.mendeley.com/documents/?uuid=f5503d1d-24b3-484c-bb04-0ad7c773e432"]}],"mendeley":{"formattedCitation":"(Branch, 2009)","plainTextFormattedCitation":"(Branch, 2009)","previouslyFormattedCitation":"(Branch, 2009)"},"properties":{"noteIndex":0},"schema":"https://github.com/citation-style-language/schema/raw/master/csl-citation.json"}</w:instrText>
      </w:r>
      <w:r w:rsidR="004E2DA4">
        <w:rPr>
          <w:rFonts w:ascii="Arial" w:hAnsi="Arial" w:cs="Arial"/>
        </w:rPr>
        <w:fldChar w:fldCharType="separate"/>
      </w:r>
      <w:r w:rsidR="004E2DA4" w:rsidRPr="004E2DA4">
        <w:rPr>
          <w:rFonts w:ascii="Arial" w:hAnsi="Arial" w:cs="Arial"/>
          <w:noProof/>
        </w:rPr>
        <w:t>(Branch, 2009)</w:t>
      </w:r>
      <w:r w:rsidR="004E2DA4">
        <w:rPr>
          <w:rFonts w:ascii="Arial" w:hAnsi="Arial" w:cs="Arial"/>
        </w:rPr>
        <w:fldChar w:fldCharType="end"/>
      </w:r>
      <w:r w:rsidRPr="004F0F27">
        <w:rPr>
          <w:rFonts w:ascii="Arial" w:hAnsi="Arial" w:cs="Arial"/>
        </w:rPr>
        <w:t xml:space="preserve">. </w:t>
      </w:r>
    </w:p>
    <w:p w:rsidR="004F0F27" w:rsidRPr="004F0F27" w:rsidRDefault="004F0F27" w:rsidP="004F0F27">
      <w:pPr>
        <w:widowControl w:val="0"/>
        <w:pBdr>
          <w:top w:val="nil"/>
          <w:left w:val="nil"/>
          <w:bottom w:val="nil"/>
          <w:right w:val="nil"/>
          <w:between w:val="nil"/>
        </w:pBdr>
        <w:spacing w:before="226"/>
        <w:ind w:left="7"/>
        <w:rPr>
          <w:rFonts w:ascii="Arial" w:hAnsi="Arial" w:cs="Arial"/>
        </w:rPr>
      </w:pPr>
      <w:r w:rsidRPr="004F0F27">
        <w:rPr>
          <w:rFonts w:ascii="Arial" w:hAnsi="Arial" w:cs="Arial"/>
        </w:rPr>
        <w:t>The results of the previous stages, namely analysis, design and development:</w:t>
      </w:r>
    </w:p>
    <w:p w:rsidR="004F0F27" w:rsidRPr="004F0F27" w:rsidRDefault="004F0F27" w:rsidP="004F0F27">
      <w:pPr>
        <w:widowControl w:val="0"/>
        <w:pBdr>
          <w:top w:val="nil"/>
          <w:left w:val="nil"/>
          <w:bottom w:val="nil"/>
          <w:right w:val="nil"/>
          <w:between w:val="nil"/>
        </w:pBdr>
        <w:spacing w:before="216" w:line="229" w:lineRule="auto"/>
        <w:ind w:left="287" w:right="-4" w:hanging="257"/>
        <w:jc w:val="both"/>
        <w:rPr>
          <w:rFonts w:ascii="Arial" w:hAnsi="Arial" w:cs="Arial"/>
        </w:rPr>
      </w:pPr>
      <w:r w:rsidRPr="004F0F27">
        <w:rPr>
          <w:rFonts w:ascii="Arial" w:hAnsi="Arial" w:cs="Arial"/>
        </w:rPr>
        <w:t>1. Teacher and student needs analysis stage data on teacher needs (</w:t>
      </w:r>
      <w:proofErr w:type="spellStart"/>
      <w:r w:rsidRPr="004F0F27">
        <w:rPr>
          <w:rFonts w:ascii="Arial" w:hAnsi="Arial" w:cs="Arial"/>
        </w:rPr>
        <w:t>N_teacher</w:t>
      </w:r>
      <w:proofErr w:type="spellEnd"/>
      <w:r w:rsidRPr="004F0F27">
        <w:rPr>
          <w:rFonts w:ascii="Arial" w:hAnsi="Arial" w:cs="Arial"/>
        </w:rPr>
        <w:t xml:space="preserve"> = 4) and students (</w:t>
      </w:r>
      <w:proofErr w:type="spellStart"/>
      <w:r w:rsidRPr="004F0F27">
        <w:rPr>
          <w:rFonts w:ascii="Arial" w:hAnsi="Arial" w:cs="Arial"/>
        </w:rPr>
        <w:t>N_student</w:t>
      </w:r>
      <w:proofErr w:type="spellEnd"/>
      <w:r w:rsidRPr="004F0F27">
        <w:rPr>
          <w:rFonts w:ascii="Arial" w:hAnsi="Arial" w:cs="Arial"/>
        </w:rPr>
        <w:t xml:space="preserve"> = 120) in 4 high schools in South Tapanuli. 86% of teachers stated the need for digital e-modules containing local potential (</w:t>
      </w:r>
      <w:proofErr w:type="spellStart"/>
      <w:r w:rsidRPr="004F0F27">
        <w:rPr>
          <w:rFonts w:ascii="Arial" w:hAnsi="Arial" w:cs="Arial"/>
        </w:rPr>
        <w:t>salak</w:t>
      </w:r>
      <w:proofErr w:type="spellEnd"/>
      <w:r w:rsidRPr="004F0F27">
        <w:rPr>
          <w:rFonts w:ascii="Arial" w:hAnsi="Arial" w:cs="Arial"/>
        </w:rPr>
        <w:t>) for contextualization of the material. 74% of students stated they were more interested in materials containing local examples &amp; practical activities. In-depth interviews were conducted with subject teachers and principals to examine implementation constraints such as limited devices, lesson time, and teacher training needs. Interpretation of the needs analysis showed strong support from stakeholders for the development of contextual e-modules. These findings became the basis for learning objectives and e-modules.</w:t>
      </w:r>
      <w:r w:rsidR="006B18EC" w:rsidRPr="006B18EC">
        <w:t xml:space="preserve"> </w:t>
      </w:r>
      <w:r w:rsidR="006B18EC" w:rsidRPr="006B18EC">
        <w:rPr>
          <w:rFonts w:ascii="Arial" w:hAnsi="Arial" w:cs="Arial"/>
        </w:rPr>
        <w:t>The needs analysis results also served as inputs for determining the structure of project tasks, the selection of multimedia elements, and the alignment of learning outcomes with conservation and creativity goals.</w:t>
      </w:r>
    </w:p>
    <w:p w:rsidR="004F0F27" w:rsidRPr="004F0F27" w:rsidRDefault="004F0F27" w:rsidP="004F0F27">
      <w:pPr>
        <w:widowControl w:val="0"/>
        <w:pBdr>
          <w:top w:val="nil"/>
          <w:left w:val="nil"/>
          <w:bottom w:val="nil"/>
          <w:right w:val="nil"/>
          <w:between w:val="nil"/>
        </w:pBdr>
        <w:spacing w:before="5" w:line="229" w:lineRule="auto"/>
        <w:ind w:left="287" w:right="-2" w:hanging="277"/>
        <w:jc w:val="both"/>
        <w:rPr>
          <w:rFonts w:ascii="Arial" w:hAnsi="Arial" w:cs="Arial"/>
        </w:rPr>
      </w:pPr>
      <w:r w:rsidRPr="004F0F27">
        <w:rPr>
          <w:rFonts w:ascii="Arial" w:hAnsi="Arial" w:cs="Arial"/>
        </w:rPr>
        <w:t xml:space="preserve">2. The development design stage has several needs for designing learning tools that researchers must fulfill, namely formulating instructional objectives, chapter and sub-chapter module structure, learning activity design for the </w:t>
      </w:r>
      <w:proofErr w:type="spellStart"/>
      <w:r w:rsidRPr="004F0F27">
        <w:rPr>
          <w:rFonts w:ascii="Arial" w:hAnsi="Arial" w:cs="Arial"/>
        </w:rPr>
        <w:t>Salacca</w:t>
      </w:r>
      <w:proofErr w:type="spellEnd"/>
      <w:r w:rsidRPr="004F0F27">
        <w:rPr>
          <w:rFonts w:ascii="Arial" w:hAnsi="Arial" w:cs="Arial"/>
        </w:rPr>
        <w:t xml:space="preserve"> </w:t>
      </w:r>
      <w:proofErr w:type="spellStart"/>
      <w:r w:rsidRPr="004F0F27">
        <w:rPr>
          <w:rFonts w:ascii="Arial" w:hAnsi="Arial" w:cs="Arial"/>
        </w:rPr>
        <w:t>sumatrana</w:t>
      </w:r>
      <w:proofErr w:type="spellEnd"/>
      <w:r w:rsidRPr="004F0F27">
        <w:rPr>
          <w:rFonts w:ascii="Arial" w:hAnsi="Arial" w:cs="Arial"/>
        </w:rPr>
        <w:t xml:space="preserve"> local potential conservation project, assessment, and interface storyboard. The learning objectives contain 5 HOTS indicators (analysis, synthesis, evaluation, application, scientific communication). The designed e-module components are: (1) Cover, (2) Objectives &amp; competency maps, (3) Theoretical materials and local context, (4) Activities, (5) Local potential videos/gallery, (6) Mini project assignments (processed </w:t>
      </w:r>
      <w:proofErr w:type="spellStart"/>
      <w:r w:rsidRPr="004F0F27">
        <w:rPr>
          <w:rFonts w:ascii="Arial" w:hAnsi="Arial" w:cs="Arial"/>
        </w:rPr>
        <w:t>salak</w:t>
      </w:r>
      <w:proofErr w:type="spellEnd"/>
      <w:r w:rsidRPr="004F0F27">
        <w:rPr>
          <w:rFonts w:ascii="Arial" w:hAnsi="Arial" w:cs="Arial"/>
        </w:rPr>
        <w:t>), (7) Formative &amp; summative assessment instruments.</w:t>
      </w:r>
      <w:r w:rsidR="006B18EC" w:rsidRPr="006B18EC">
        <w:t xml:space="preserve"> </w:t>
      </w:r>
      <w:r w:rsidR="006B18EC" w:rsidRPr="006B18EC">
        <w:rPr>
          <w:rFonts w:ascii="Arial" w:hAnsi="Arial" w:cs="Arial"/>
        </w:rPr>
        <w:t xml:space="preserve">Each component was explicitly linked to stages of </w:t>
      </w:r>
      <w:proofErr w:type="spellStart"/>
      <w:r w:rsidR="006B18EC" w:rsidRPr="006B18EC">
        <w:rPr>
          <w:rFonts w:ascii="Arial" w:hAnsi="Arial" w:cs="Arial"/>
        </w:rPr>
        <w:t>PjBL</w:t>
      </w:r>
      <w:proofErr w:type="spellEnd"/>
      <w:r w:rsidR="006B18EC" w:rsidRPr="006B18EC">
        <w:rPr>
          <w:rFonts w:ascii="Arial" w:hAnsi="Arial" w:cs="Arial"/>
        </w:rPr>
        <w:t xml:space="preserve">, from problem orientation and investigation to product design, presentation, and reflection, so that students could gradually construct ideas and solutions related to </w:t>
      </w:r>
      <w:proofErr w:type="spellStart"/>
      <w:r w:rsidR="006B18EC" w:rsidRPr="006B18EC">
        <w:rPr>
          <w:rFonts w:ascii="Arial" w:hAnsi="Arial" w:cs="Arial"/>
          <w:i/>
          <w:iCs/>
        </w:rPr>
        <w:t>Salacca</w:t>
      </w:r>
      <w:proofErr w:type="spellEnd"/>
      <w:r w:rsidR="006B18EC" w:rsidRPr="006B18EC">
        <w:rPr>
          <w:rFonts w:ascii="Arial" w:hAnsi="Arial" w:cs="Arial"/>
          <w:i/>
          <w:iCs/>
        </w:rPr>
        <w:t xml:space="preserve"> </w:t>
      </w:r>
      <w:proofErr w:type="spellStart"/>
      <w:r w:rsidR="006B18EC" w:rsidRPr="006B18EC">
        <w:rPr>
          <w:rFonts w:ascii="Arial" w:hAnsi="Arial" w:cs="Arial"/>
          <w:i/>
          <w:iCs/>
        </w:rPr>
        <w:t>sumatrana</w:t>
      </w:r>
      <w:proofErr w:type="spellEnd"/>
      <w:r w:rsidR="006B18EC" w:rsidRPr="006B18EC">
        <w:rPr>
          <w:rFonts w:ascii="Arial" w:hAnsi="Arial" w:cs="Arial"/>
        </w:rPr>
        <w:t xml:space="preserve"> conservation.</w:t>
      </w:r>
    </w:p>
    <w:p w:rsidR="004F0F27" w:rsidRPr="004F0F27" w:rsidRDefault="004F0F27" w:rsidP="006B18EC">
      <w:pPr>
        <w:widowControl w:val="0"/>
        <w:pBdr>
          <w:top w:val="nil"/>
          <w:left w:val="nil"/>
          <w:bottom w:val="nil"/>
          <w:right w:val="nil"/>
          <w:between w:val="nil"/>
        </w:pBdr>
        <w:spacing w:before="6" w:line="229" w:lineRule="auto"/>
        <w:ind w:left="286" w:right="-5" w:hanging="273"/>
        <w:jc w:val="both"/>
        <w:rPr>
          <w:rFonts w:ascii="Arial" w:hAnsi="Arial" w:cs="Arial"/>
        </w:rPr>
      </w:pPr>
      <w:r w:rsidRPr="004F0F27">
        <w:rPr>
          <w:rFonts w:ascii="Arial" w:hAnsi="Arial" w:cs="Arial"/>
        </w:rPr>
        <w:t xml:space="preserve">3. Development stage This stage transforms the design into a final e-module product compiling content, multimedia, assessment instruments, and conducting expert validation and practicality tests. Media expert validation, material expert validation and language expert validation. The results of this study focused on the validity and practicality of the developed e-module, which was assessed by experts before being implemented in the field. The results of the e-module validation process involved six validators consisting of media experts, material experts, and language experts. Quantitative data obtained from the questionnaire were converted into a percentage scale and analyzed based on </w:t>
      </w:r>
      <w:r w:rsidRPr="004F0F27">
        <w:rPr>
          <w:rFonts w:ascii="Arial" w:hAnsi="Arial" w:cs="Arial"/>
        </w:rPr>
        <w:lastRenderedPageBreak/>
        <w:t>predetermined criteria. The e-module was declared valid for testing if the percentage of validator assessments was on all items declared valid as shown in Figure 1.</w:t>
      </w:r>
      <w:r w:rsidR="006B18EC">
        <w:rPr>
          <w:rFonts w:ascii="Arial" w:hAnsi="Arial" w:cs="Arial"/>
        </w:rPr>
        <w:t xml:space="preserve"> </w:t>
      </w:r>
      <w:r w:rsidR="006B18EC" w:rsidRPr="006B18EC">
        <w:rPr>
          <w:rFonts w:ascii="Arial" w:hAnsi="Arial" w:cs="Arial"/>
        </w:rPr>
        <w:t>Qualitative comments from validators were used to refine aspects such as image sharpness, navigation buttons, alignment between learning outcomes and activities, and the clarity of conservation messages.</w:t>
      </w:r>
    </w:p>
    <w:p w:rsidR="004F0F27" w:rsidRPr="004F0F27" w:rsidRDefault="004F0F27" w:rsidP="004F0F27">
      <w:pPr>
        <w:widowControl w:val="0"/>
        <w:pBdr>
          <w:top w:val="nil"/>
          <w:left w:val="nil"/>
          <w:bottom w:val="nil"/>
          <w:right w:val="nil"/>
          <w:between w:val="nil"/>
        </w:pBdr>
        <w:spacing w:before="6" w:line="229" w:lineRule="auto"/>
        <w:ind w:left="286" w:right="-5" w:hanging="273"/>
        <w:jc w:val="both"/>
        <w:rPr>
          <w:rFonts w:ascii="Arial" w:hAnsi="Arial" w:cs="Arial"/>
        </w:rPr>
      </w:pPr>
    </w:p>
    <w:p w:rsidR="004F0F27" w:rsidRPr="004F0F27" w:rsidRDefault="004F0F27" w:rsidP="004F0F27">
      <w:pPr>
        <w:widowControl w:val="0"/>
        <w:pBdr>
          <w:top w:val="nil"/>
          <w:left w:val="nil"/>
          <w:bottom w:val="nil"/>
          <w:right w:val="nil"/>
          <w:between w:val="nil"/>
        </w:pBdr>
        <w:spacing w:before="6" w:line="229" w:lineRule="auto"/>
        <w:ind w:left="286" w:right="-5" w:hanging="273"/>
        <w:jc w:val="both"/>
        <w:rPr>
          <w:rFonts w:ascii="Arial" w:hAnsi="Arial" w:cs="Arial"/>
        </w:rPr>
      </w:pPr>
      <w:r>
        <w:rPr>
          <w:noProof/>
        </w:rPr>
        <w:drawing>
          <wp:inline distT="0" distB="0" distL="0" distR="0">
            <wp:extent cx="5212080" cy="2564765"/>
            <wp:effectExtent l="0" t="0" r="7620" b="6985"/>
            <wp:docPr id="655901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2080" cy="2564765"/>
                    </a:xfrm>
                    <a:prstGeom prst="rect">
                      <a:avLst/>
                    </a:prstGeom>
                    <a:noFill/>
                    <a:ln>
                      <a:noFill/>
                    </a:ln>
                  </pic:spPr>
                </pic:pic>
              </a:graphicData>
            </a:graphic>
          </wp:inline>
        </w:drawing>
      </w:r>
    </w:p>
    <w:p w:rsidR="004F0F27" w:rsidRPr="004F0F27" w:rsidRDefault="004F0F27" w:rsidP="004F0F27">
      <w:pPr>
        <w:widowControl w:val="0"/>
        <w:pBdr>
          <w:top w:val="nil"/>
          <w:left w:val="nil"/>
          <w:bottom w:val="nil"/>
          <w:right w:val="nil"/>
          <w:between w:val="nil"/>
        </w:pBdr>
        <w:spacing w:before="6" w:line="229" w:lineRule="auto"/>
        <w:ind w:left="286" w:right="-5" w:hanging="273"/>
        <w:jc w:val="center"/>
        <w:rPr>
          <w:rFonts w:ascii="Arial" w:hAnsi="Arial" w:cs="Arial"/>
          <w:b/>
        </w:rPr>
      </w:pPr>
      <w:r w:rsidRPr="004F0F27">
        <w:rPr>
          <w:rFonts w:ascii="Arial" w:hAnsi="Arial" w:cs="Arial"/>
          <w:b/>
        </w:rPr>
        <w:t>Fig</w:t>
      </w:r>
      <w:r>
        <w:rPr>
          <w:rFonts w:ascii="Arial" w:hAnsi="Arial" w:cs="Arial"/>
          <w:b/>
        </w:rPr>
        <w:t xml:space="preserve">. </w:t>
      </w:r>
      <w:r w:rsidRPr="004F0F27">
        <w:rPr>
          <w:rFonts w:ascii="Arial" w:hAnsi="Arial" w:cs="Arial"/>
          <w:b/>
        </w:rPr>
        <w:t xml:space="preserve">1. Validation Results </w:t>
      </w:r>
    </w:p>
    <w:p w:rsidR="004F0F27" w:rsidRPr="004F0F27" w:rsidRDefault="004F0F27" w:rsidP="004F0F27">
      <w:pPr>
        <w:pStyle w:val="Body"/>
        <w:spacing w:before="120" w:after="120"/>
        <w:rPr>
          <w:rFonts w:ascii="Arial" w:hAnsi="Arial" w:cs="Arial"/>
        </w:rPr>
      </w:pPr>
    </w:p>
    <w:p w:rsidR="004F0F27" w:rsidRPr="004F0F27" w:rsidRDefault="004F0F27" w:rsidP="004F0F27">
      <w:pPr>
        <w:pStyle w:val="Body"/>
        <w:spacing w:before="120" w:after="120"/>
        <w:rPr>
          <w:rFonts w:ascii="Arial" w:hAnsi="Arial" w:cs="Arial"/>
        </w:rPr>
      </w:pPr>
      <w:r w:rsidRPr="004F0F27">
        <w:rPr>
          <w:rFonts w:ascii="Arial" w:hAnsi="Arial" w:cs="Arial"/>
        </w:rPr>
        <w:t>The developed e-module has met the eligibility standards of the images as seen in the media validation results, the screen design display needs to be emphasized, ease of use needs to be reconsidered the sharpness of the use of images. The results of the validation of the material experts in the developed learning e-module are categorized as very valid. Implementation was carried out on a small and large scale to determine the increase in student creativity. Implementation was tested through a quasi-experimental research method.</w:t>
      </w:r>
      <w:r w:rsidR="006B18EC">
        <w:rPr>
          <w:rFonts w:ascii="Arial" w:hAnsi="Arial" w:cs="Arial"/>
        </w:rPr>
        <w:t xml:space="preserve"> </w:t>
      </w:r>
      <w:r w:rsidR="006B18EC" w:rsidRPr="006B18EC">
        <w:rPr>
          <w:rFonts w:ascii="Arial" w:hAnsi="Arial" w:cs="Arial"/>
        </w:rPr>
        <w:t>Small-scale trials involved 10 students (5 control and 5 experimental) from two schools, while the large-scale trials involved 60 students (15 from each of the four schools) divided into control and experimental classes.</w:t>
      </w:r>
    </w:p>
    <w:p w:rsidR="004F0F27" w:rsidRDefault="004F0F27" w:rsidP="004F0F27">
      <w:pPr>
        <w:pStyle w:val="Body"/>
        <w:spacing w:after="0"/>
        <w:rPr>
          <w:rFonts w:ascii="Arial" w:hAnsi="Arial" w:cs="Arial"/>
        </w:rPr>
      </w:pPr>
      <w:r w:rsidRPr="004F0F27">
        <w:rPr>
          <w:rFonts w:ascii="Arial" w:hAnsi="Arial" w:cs="Arial"/>
        </w:rPr>
        <w:t>The effectiveness of the e-module was assessed using the n-gain test. For the learning outcome test and the pretest and posttest of creativity ability, the questions used were tested for their suitability through validity, reliability, difficulty level, and discriminatory power using the SPSS application. Then, the creativity test data was calculated using the N-Gain calculation with the formula</w:t>
      </w:r>
      <w:r>
        <w:rPr>
          <w:rFonts w:ascii="Arial" w:hAnsi="Arial" w:cs="Arial"/>
        </w:rPr>
        <w:t xml:space="preserve"> and criteria as in Table 1.</w:t>
      </w:r>
      <w:r w:rsidR="006B18EC">
        <w:rPr>
          <w:rFonts w:ascii="Arial" w:hAnsi="Arial" w:cs="Arial"/>
        </w:rPr>
        <w:t xml:space="preserve"> </w:t>
      </w:r>
      <w:r w:rsidR="006B18EC" w:rsidRPr="006B18EC">
        <w:rPr>
          <w:rFonts w:ascii="Arial" w:hAnsi="Arial" w:cs="Arial"/>
        </w:rPr>
        <w:t>Reliability analysis using Cronbach’s Alpha indicated high internal consistency of the practicality instrument, providing additional support for the robustness of the measurement.</w:t>
      </w:r>
    </w:p>
    <w:p w:rsidR="004F0F27" w:rsidRPr="004F0F27" w:rsidRDefault="004F0F27" w:rsidP="004F0F27">
      <w:pPr>
        <w:pStyle w:val="Body"/>
        <w:spacing w:after="0"/>
        <w:rPr>
          <w:rFonts w:ascii="Arial" w:hAnsi="Arial" w:cs="Arial"/>
        </w:rPr>
      </w:pPr>
    </w:p>
    <w:p w:rsidR="004F0F27" w:rsidRPr="004F0F27" w:rsidRDefault="004F0F27" w:rsidP="004F0F27">
      <w:pPr>
        <w:ind w:firstLine="567"/>
        <w:jc w:val="both"/>
        <w:rPr>
          <w:rFonts w:ascii="Arial" w:hAnsi="Arial" w:cs="Arial"/>
          <w:color w:val="000000"/>
        </w:rPr>
      </w:pPr>
      <m:oMath>
        <m:r>
          <m:rPr>
            <m:sty m:val="p"/>
          </m:rPr>
          <w:rPr>
            <w:rFonts w:ascii="Cambria Math" w:hAnsi="Cambria Math" w:cs="Arial"/>
            <w:color w:val="000000"/>
          </w:rPr>
          <m:t>N-Gain=</m:t>
        </m:r>
        <m:f>
          <m:fPr>
            <m:ctrlPr>
              <w:rPr>
                <w:rFonts w:ascii="Cambria Math" w:hAnsi="Cambria Math" w:cs="Arial"/>
                <w:color w:val="000000"/>
              </w:rPr>
            </m:ctrlPr>
          </m:fPr>
          <m:num>
            <m:r>
              <w:rPr>
                <w:rFonts w:ascii="Cambria Math" w:hAnsi="Cambria Math" w:cs="Arial"/>
                <w:color w:val="000000"/>
              </w:rPr>
              <m:t>Nilai posttest-pretest</m:t>
            </m:r>
          </m:num>
          <m:den>
            <m:r>
              <m:rPr>
                <m:sty m:val="p"/>
              </m:rPr>
              <w:rPr>
                <w:rFonts w:ascii="Cambria Math" w:hAnsi="Cambria Math" w:cs="Arial"/>
                <w:color w:val="000000"/>
              </w:rPr>
              <m:t>Nilai-pretest</m:t>
            </m:r>
          </m:den>
        </m:f>
      </m:oMath>
      <w:r w:rsidRPr="004F0F27">
        <w:rPr>
          <w:rFonts w:ascii="Arial" w:hAnsi="Arial" w:cs="Arial"/>
          <w:color w:val="000000"/>
        </w:rPr>
        <w:t xml:space="preserve"> X 100%</w:t>
      </w:r>
    </w:p>
    <w:p w:rsidR="004F0F27" w:rsidRDefault="004F0F27" w:rsidP="004F0F27">
      <w:pPr>
        <w:widowControl w:val="0"/>
        <w:pBdr>
          <w:top w:val="nil"/>
          <w:left w:val="nil"/>
          <w:bottom w:val="nil"/>
          <w:right w:val="nil"/>
          <w:between w:val="nil"/>
        </w:pBdr>
        <w:ind w:left="2201"/>
        <w:rPr>
          <w:rFonts w:ascii="Arial" w:hAnsi="Arial" w:cs="Arial"/>
        </w:rPr>
      </w:pPr>
      <w:r w:rsidRPr="004F0F27">
        <w:rPr>
          <w:rFonts w:ascii="Arial" w:hAnsi="Arial" w:cs="Arial"/>
        </w:rPr>
        <w:t xml:space="preserve"> </w:t>
      </w:r>
    </w:p>
    <w:p w:rsidR="004F0F27" w:rsidRPr="004F0F27" w:rsidRDefault="004F0F27" w:rsidP="004F0F27">
      <w:pPr>
        <w:widowControl w:val="0"/>
        <w:pBdr>
          <w:top w:val="nil"/>
          <w:left w:val="nil"/>
          <w:bottom w:val="nil"/>
          <w:right w:val="nil"/>
          <w:between w:val="nil"/>
        </w:pBdr>
        <w:ind w:left="2201"/>
        <w:rPr>
          <w:rFonts w:ascii="Arial" w:hAnsi="Arial" w:cs="Arial"/>
        </w:rPr>
      </w:pPr>
      <w:r>
        <w:rPr>
          <w:rFonts w:ascii="Arial" w:hAnsi="Arial" w:cs="Arial"/>
        </w:rPr>
        <w:t xml:space="preserve">Table 1. </w:t>
      </w:r>
      <w:r w:rsidRPr="004F0F27">
        <w:rPr>
          <w:rFonts w:ascii="Arial" w:hAnsi="Arial" w:cs="Arial"/>
        </w:rPr>
        <w:t>creativity test</w:t>
      </w:r>
      <w:r>
        <w:rPr>
          <w:rFonts w:ascii="Arial" w:hAnsi="Arial" w:cs="Arial"/>
        </w:rPr>
        <w:t xml:space="preserve"> criteria</w:t>
      </w:r>
    </w:p>
    <w:tbl>
      <w:tblPr>
        <w:tblW w:w="5273" w:type="dxa"/>
        <w:tblInd w:w="1613" w:type="dxa"/>
        <w:tblLayout w:type="fixed"/>
        <w:tblLook w:val="0600" w:firstRow="0" w:lastRow="0" w:firstColumn="0" w:lastColumn="0" w:noHBand="1" w:noVBand="1"/>
      </w:tblPr>
      <w:tblGrid>
        <w:gridCol w:w="2578"/>
        <w:gridCol w:w="2695"/>
      </w:tblGrid>
      <w:tr w:rsidR="004F0F27" w:rsidRPr="004F0F27" w:rsidTr="004F0F27">
        <w:trPr>
          <w:trHeight w:val="20"/>
        </w:trPr>
        <w:tc>
          <w:tcPr>
            <w:tcW w:w="2578" w:type="dxa"/>
            <w:tcBorders>
              <w:top w:val="single" w:sz="4" w:space="0" w:color="auto"/>
              <w:bottom w:val="single" w:sz="4" w:space="0" w:color="auto"/>
            </w:tcBorders>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0"/>
              <w:rPr>
                <w:rFonts w:ascii="Arial" w:hAnsi="Arial" w:cs="Arial"/>
              </w:rPr>
            </w:pPr>
            <w:r w:rsidRPr="004F0F27">
              <w:rPr>
                <w:rFonts w:ascii="Arial" w:hAnsi="Arial" w:cs="Arial"/>
              </w:rPr>
              <w:t xml:space="preserve">N-Gain </w:t>
            </w:r>
          </w:p>
        </w:tc>
        <w:tc>
          <w:tcPr>
            <w:tcW w:w="2695" w:type="dxa"/>
            <w:tcBorders>
              <w:top w:val="single" w:sz="4" w:space="0" w:color="auto"/>
              <w:bottom w:val="single" w:sz="4" w:space="0" w:color="auto"/>
            </w:tcBorders>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5"/>
              <w:rPr>
                <w:rFonts w:ascii="Arial" w:hAnsi="Arial" w:cs="Arial"/>
              </w:rPr>
            </w:pPr>
            <w:r w:rsidRPr="004F0F27">
              <w:rPr>
                <w:rFonts w:ascii="Arial" w:hAnsi="Arial" w:cs="Arial"/>
              </w:rPr>
              <w:t>Criteria</w:t>
            </w:r>
          </w:p>
        </w:tc>
      </w:tr>
      <w:tr w:rsidR="004F0F27" w:rsidRPr="004F0F27" w:rsidTr="004F0F27">
        <w:trPr>
          <w:trHeight w:val="20"/>
        </w:trPr>
        <w:tc>
          <w:tcPr>
            <w:tcW w:w="2578" w:type="dxa"/>
            <w:tcBorders>
              <w:top w:val="single" w:sz="4" w:space="0" w:color="auto"/>
            </w:tcBorders>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1"/>
              <w:rPr>
                <w:rFonts w:ascii="Arial" w:hAnsi="Arial" w:cs="Arial"/>
              </w:rPr>
            </w:pPr>
            <w:r w:rsidRPr="004F0F27">
              <w:rPr>
                <w:rFonts w:ascii="Arial" w:hAnsi="Arial" w:cs="Arial"/>
              </w:rPr>
              <w:t>˃0</w:t>
            </w:r>
            <w:r>
              <w:rPr>
                <w:rFonts w:ascii="Arial" w:hAnsi="Arial" w:cs="Arial"/>
              </w:rPr>
              <w:t>.</w:t>
            </w:r>
            <w:r w:rsidRPr="004F0F27">
              <w:rPr>
                <w:rFonts w:ascii="Arial" w:hAnsi="Arial" w:cs="Arial"/>
              </w:rPr>
              <w:t xml:space="preserve">7 </w:t>
            </w:r>
          </w:p>
        </w:tc>
        <w:tc>
          <w:tcPr>
            <w:tcW w:w="2695" w:type="dxa"/>
            <w:tcBorders>
              <w:top w:val="single" w:sz="4" w:space="0" w:color="auto"/>
            </w:tcBorders>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1"/>
              <w:rPr>
                <w:rFonts w:ascii="Arial" w:hAnsi="Arial" w:cs="Arial"/>
              </w:rPr>
            </w:pPr>
            <w:r w:rsidRPr="004F0F27">
              <w:rPr>
                <w:rFonts w:ascii="Arial" w:hAnsi="Arial" w:cs="Arial"/>
              </w:rPr>
              <w:t>High</w:t>
            </w:r>
          </w:p>
        </w:tc>
      </w:tr>
      <w:tr w:rsidR="004F0F27" w:rsidRPr="004F0F27" w:rsidTr="004F0F27">
        <w:trPr>
          <w:trHeight w:val="20"/>
        </w:trPr>
        <w:tc>
          <w:tcPr>
            <w:tcW w:w="2578" w:type="dxa"/>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5"/>
              <w:rPr>
                <w:rFonts w:ascii="Arial" w:hAnsi="Arial" w:cs="Arial"/>
              </w:rPr>
            </w:pPr>
            <w:r w:rsidRPr="004F0F27">
              <w:rPr>
                <w:rFonts w:ascii="Arial" w:hAnsi="Arial" w:cs="Arial"/>
              </w:rPr>
              <w:t>0</w:t>
            </w:r>
            <w:r>
              <w:rPr>
                <w:rFonts w:ascii="Arial" w:hAnsi="Arial" w:cs="Arial"/>
              </w:rPr>
              <w:t>.</w:t>
            </w:r>
            <w:r w:rsidRPr="004F0F27">
              <w:rPr>
                <w:rFonts w:ascii="Arial" w:hAnsi="Arial" w:cs="Arial"/>
              </w:rPr>
              <w:t>3˃N-Gain˃0</w:t>
            </w:r>
            <w:r>
              <w:rPr>
                <w:rFonts w:ascii="Arial" w:hAnsi="Arial" w:cs="Arial"/>
              </w:rPr>
              <w:t>.</w:t>
            </w:r>
            <w:r w:rsidRPr="004F0F27">
              <w:rPr>
                <w:rFonts w:ascii="Arial" w:hAnsi="Arial" w:cs="Arial"/>
              </w:rPr>
              <w:t xml:space="preserve">7 </w:t>
            </w:r>
          </w:p>
        </w:tc>
        <w:tc>
          <w:tcPr>
            <w:tcW w:w="2695" w:type="dxa"/>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7"/>
              <w:rPr>
                <w:rFonts w:ascii="Arial" w:hAnsi="Arial" w:cs="Arial"/>
              </w:rPr>
            </w:pPr>
            <w:r w:rsidRPr="004F0F27">
              <w:rPr>
                <w:rFonts w:ascii="Arial" w:hAnsi="Arial" w:cs="Arial"/>
              </w:rPr>
              <w:t>Currently</w:t>
            </w:r>
          </w:p>
        </w:tc>
      </w:tr>
      <w:tr w:rsidR="004F0F27" w:rsidRPr="004F0F27" w:rsidTr="004F0F27">
        <w:trPr>
          <w:trHeight w:val="20"/>
        </w:trPr>
        <w:tc>
          <w:tcPr>
            <w:tcW w:w="2578" w:type="dxa"/>
            <w:tcBorders>
              <w:top w:val="single" w:sz="4" w:space="0" w:color="auto"/>
              <w:bottom w:val="single" w:sz="4" w:space="0" w:color="auto"/>
            </w:tcBorders>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4"/>
              <w:rPr>
                <w:rFonts w:ascii="Arial" w:hAnsi="Arial" w:cs="Arial"/>
              </w:rPr>
            </w:pPr>
            <w:r w:rsidRPr="004F0F27">
              <w:rPr>
                <w:rFonts w:ascii="Arial" w:hAnsi="Arial" w:cs="Arial"/>
              </w:rPr>
              <w:lastRenderedPageBreak/>
              <w:t>&gt;0</w:t>
            </w:r>
            <w:r>
              <w:rPr>
                <w:rFonts w:ascii="Arial" w:hAnsi="Arial" w:cs="Arial"/>
              </w:rPr>
              <w:t>.</w:t>
            </w:r>
            <w:r w:rsidRPr="004F0F27">
              <w:rPr>
                <w:rFonts w:ascii="Arial" w:hAnsi="Arial" w:cs="Arial"/>
              </w:rPr>
              <w:t xml:space="preserve">3 </w:t>
            </w:r>
          </w:p>
        </w:tc>
        <w:tc>
          <w:tcPr>
            <w:tcW w:w="2695" w:type="dxa"/>
            <w:tcBorders>
              <w:top w:val="single" w:sz="4" w:space="0" w:color="auto"/>
              <w:bottom w:val="single" w:sz="4" w:space="0" w:color="auto"/>
            </w:tcBorders>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1"/>
              <w:rPr>
                <w:rFonts w:ascii="Arial" w:hAnsi="Arial" w:cs="Arial"/>
              </w:rPr>
            </w:pPr>
            <w:r w:rsidRPr="004F0F27">
              <w:rPr>
                <w:rFonts w:ascii="Arial" w:hAnsi="Arial" w:cs="Arial"/>
              </w:rPr>
              <w:t>Low</w:t>
            </w:r>
          </w:p>
        </w:tc>
      </w:tr>
    </w:tbl>
    <w:p w:rsidR="00790ADA" w:rsidRDefault="00790ADA" w:rsidP="00441B6F">
      <w:pPr>
        <w:pStyle w:val="Body"/>
        <w:spacing w:after="0"/>
        <w:rPr>
          <w:rFonts w:ascii="Arial" w:hAnsi="Arial" w:cs="Arial"/>
        </w:rPr>
      </w:pPr>
    </w:p>
    <w:p w:rsidR="004F0F27" w:rsidRPr="00FB3A86" w:rsidRDefault="004F0F27" w:rsidP="00441B6F">
      <w:pPr>
        <w:pStyle w:val="Body"/>
        <w:spacing w:after="0"/>
        <w:rPr>
          <w:rFonts w:ascii="Arial" w:hAnsi="Arial" w:cs="Arial"/>
        </w:rPr>
      </w:pPr>
    </w:p>
    <w:p w:rsidR="00902823" w:rsidRDefault="006B18EC"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rsidR="00E13995" w:rsidRDefault="00E13995" w:rsidP="00E13995">
      <w:pPr>
        <w:pStyle w:val="Body"/>
        <w:spacing w:before="120" w:after="120"/>
        <w:rPr>
          <w:rFonts w:ascii="Arial" w:hAnsi="Arial" w:cs="Arial"/>
        </w:rPr>
      </w:pPr>
    </w:p>
    <w:p w:rsidR="00E13995" w:rsidRPr="00E13995" w:rsidRDefault="00E13995" w:rsidP="00E13995">
      <w:pPr>
        <w:pStyle w:val="Body"/>
        <w:spacing w:before="120" w:after="120"/>
        <w:rPr>
          <w:rFonts w:ascii="Arial" w:hAnsi="Arial" w:cs="Arial"/>
        </w:rPr>
      </w:pPr>
      <w:r w:rsidRPr="00E13995">
        <w:rPr>
          <w:rFonts w:ascii="Arial" w:hAnsi="Arial" w:cs="Arial"/>
        </w:rPr>
        <w:t xml:space="preserve">This study aimed to develop a project-based e-module focusing on the conservation of </w:t>
      </w:r>
      <w:proofErr w:type="spellStart"/>
      <w:r w:rsidRPr="00E13995">
        <w:rPr>
          <w:rFonts w:ascii="Arial" w:hAnsi="Arial" w:cs="Arial"/>
          <w:i/>
          <w:iCs/>
        </w:rPr>
        <w:t>Salacca</w:t>
      </w:r>
      <w:proofErr w:type="spellEnd"/>
      <w:r w:rsidRPr="00E13995">
        <w:rPr>
          <w:rFonts w:ascii="Arial" w:hAnsi="Arial" w:cs="Arial"/>
          <w:i/>
          <w:iCs/>
        </w:rPr>
        <w:t xml:space="preserve"> </w:t>
      </w:r>
      <w:proofErr w:type="spellStart"/>
      <w:r w:rsidRPr="00E13995">
        <w:rPr>
          <w:rFonts w:ascii="Arial" w:hAnsi="Arial" w:cs="Arial"/>
          <w:i/>
          <w:iCs/>
        </w:rPr>
        <w:t>sumatrana</w:t>
      </w:r>
      <w:proofErr w:type="spellEnd"/>
      <w:r w:rsidRPr="00E13995">
        <w:rPr>
          <w:rFonts w:ascii="Arial" w:hAnsi="Arial" w:cs="Arial"/>
        </w:rPr>
        <w:t xml:space="preserve"> (</w:t>
      </w:r>
      <w:proofErr w:type="spellStart"/>
      <w:r w:rsidRPr="00E13995">
        <w:rPr>
          <w:rFonts w:ascii="Arial" w:hAnsi="Arial" w:cs="Arial"/>
        </w:rPr>
        <w:t>Salak</w:t>
      </w:r>
      <w:proofErr w:type="spellEnd"/>
      <w:r w:rsidRPr="00E13995">
        <w:rPr>
          <w:rFonts w:ascii="Arial" w:hAnsi="Arial" w:cs="Arial"/>
        </w:rPr>
        <w:t xml:space="preserve"> </w:t>
      </w:r>
      <w:proofErr w:type="spellStart"/>
      <w:r w:rsidRPr="00E13995">
        <w:rPr>
          <w:rFonts w:ascii="Arial" w:hAnsi="Arial" w:cs="Arial"/>
        </w:rPr>
        <w:t>Sidimpuan</w:t>
      </w:r>
      <w:proofErr w:type="spellEnd"/>
      <w:r w:rsidRPr="00E13995">
        <w:rPr>
          <w:rFonts w:ascii="Arial" w:hAnsi="Arial" w:cs="Arial"/>
        </w:rPr>
        <w:t xml:space="preserve">) to enhance student creativity in four high schools in South Tapanuli: SMAN 1 West </w:t>
      </w:r>
      <w:proofErr w:type="spellStart"/>
      <w:r w:rsidRPr="00E13995">
        <w:rPr>
          <w:rFonts w:ascii="Arial" w:hAnsi="Arial" w:cs="Arial"/>
        </w:rPr>
        <w:t>Angkola</w:t>
      </w:r>
      <w:proofErr w:type="spellEnd"/>
      <w:r w:rsidRPr="00E13995">
        <w:rPr>
          <w:rFonts w:ascii="Arial" w:hAnsi="Arial" w:cs="Arial"/>
        </w:rPr>
        <w:t xml:space="preserve">, SMAN 1 East </w:t>
      </w:r>
      <w:proofErr w:type="spellStart"/>
      <w:r w:rsidRPr="00E13995">
        <w:rPr>
          <w:rFonts w:ascii="Arial" w:hAnsi="Arial" w:cs="Arial"/>
        </w:rPr>
        <w:t>Angkola</w:t>
      </w:r>
      <w:proofErr w:type="spellEnd"/>
      <w:r w:rsidRPr="00E13995">
        <w:rPr>
          <w:rFonts w:ascii="Arial" w:hAnsi="Arial" w:cs="Arial"/>
        </w:rPr>
        <w:t xml:space="preserve">, SMAN 1 South </w:t>
      </w:r>
      <w:proofErr w:type="spellStart"/>
      <w:r w:rsidRPr="00E13995">
        <w:rPr>
          <w:rFonts w:ascii="Arial" w:hAnsi="Arial" w:cs="Arial"/>
        </w:rPr>
        <w:t>Angkola</w:t>
      </w:r>
      <w:proofErr w:type="spellEnd"/>
      <w:r w:rsidRPr="00E13995">
        <w:rPr>
          <w:rFonts w:ascii="Arial" w:hAnsi="Arial" w:cs="Arial"/>
        </w:rPr>
        <w:t xml:space="preserve">, and SMAN 1 </w:t>
      </w:r>
      <w:proofErr w:type="spellStart"/>
      <w:r w:rsidRPr="00E13995">
        <w:rPr>
          <w:rFonts w:ascii="Arial" w:hAnsi="Arial" w:cs="Arial"/>
        </w:rPr>
        <w:t>Sipirok</w:t>
      </w:r>
      <w:proofErr w:type="spellEnd"/>
      <w:r w:rsidRPr="00E13995">
        <w:rPr>
          <w:rFonts w:ascii="Arial" w:hAnsi="Arial" w:cs="Arial"/>
        </w:rPr>
        <w:t>. The research followed the ADDIE model of Research and Development (R&amp;D), and the reported results emphasize the practicality and effectiveness testing stages.</w:t>
      </w:r>
    </w:p>
    <w:p w:rsidR="00E13995" w:rsidRPr="00E13995" w:rsidRDefault="00E13995" w:rsidP="00E13995">
      <w:pPr>
        <w:pStyle w:val="Body"/>
        <w:spacing w:before="120" w:after="120"/>
        <w:rPr>
          <w:rFonts w:ascii="Arial" w:hAnsi="Arial" w:cs="Arial"/>
        </w:rPr>
      </w:pPr>
      <w:r w:rsidRPr="00E13995">
        <w:rPr>
          <w:rFonts w:ascii="Arial" w:hAnsi="Arial" w:cs="Arial"/>
        </w:rPr>
        <w:t xml:space="preserve">The practicality test used a Likert scale from 1 to 4. The results indicated that the overall average score across seven assessed criteria was </w:t>
      </w:r>
      <w:r w:rsidRPr="00E13995">
        <w:rPr>
          <w:rFonts w:ascii="Arial" w:hAnsi="Arial" w:cs="Arial"/>
          <w:b/>
          <w:bCs/>
        </w:rPr>
        <w:t>3.46</w:t>
      </w:r>
      <w:r w:rsidRPr="00E13995">
        <w:rPr>
          <w:rFonts w:ascii="Arial" w:hAnsi="Arial" w:cs="Arial"/>
        </w:rPr>
        <w:t>, which falls into the “Feasible” category. Five of the seven criteria—visual appearance (3.50), content quality (3.62), usability/practicality (3.50), readability (3.50), and assessment instruments (3.50)—were in the “Very Feasible” category. In contrast, language (3.38) and learning activities (3.25) were classified as “Feasible.” These results suggest that while the module is suitable for classroom use, minor revisions, particularly in linguistic clarity and task variety, are needed to elevate it to a fully “Very Feasible” category.</w:t>
      </w:r>
    </w:p>
    <w:p w:rsidR="00E13995" w:rsidRPr="00E13995" w:rsidRDefault="00E13995" w:rsidP="00E13995">
      <w:pPr>
        <w:pStyle w:val="Body"/>
        <w:spacing w:before="120" w:after="120"/>
        <w:rPr>
          <w:rFonts w:ascii="Arial" w:hAnsi="Arial" w:cs="Arial"/>
        </w:rPr>
      </w:pPr>
      <w:r w:rsidRPr="00E13995">
        <w:rPr>
          <w:rFonts w:ascii="Arial" w:hAnsi="Arial" w:cs="Arial"/>
          <w:b/>
          <w:bCs/>
        </w:rPr>
        <w:t xml:space="preserve">Table </w:t>
      </w:r>
      <w:r w:rsidR="008656DD">
        <w:rPr>
          <w:rFonts w:ascii="Arial" w:hAnsi="Arial" w:cs="Arial"/>
          <w:b/>
          <w:bCs/>
        </w:rPr>
        <w:t>2</w:t>
      </w:r>
      <w:r w:rsidRPr="00E13995">
        <w:rPr>
          <w:rFonts w:ascii="Arial" w:hAnsi="Arial" w:cs="Arial"/>
        </w:rPr>
        <w:t xml:space="preserve"> below shows the mean scores for each of the practicality criteria and their respective categories.</w:t>
      </w:r>
    </w:p>
    <w:p w:rsidR="00E13995" w:rsidRPr="00E13995" w:rsidRDefault="00E13995" w:rsidP="00E13995">
      <w:pPr>
        <w:pStyle w:val="Body"/>
        <w:spacing w:before="120" w:after="120"/>
        <w:rPr>
          <w:rFonts w:ascii="Arial" w:hAnsi="Arial" w:cs="Arial"/>
        </w:rPr>
      </w:pPr>
      <w:r w:rsidRPr="00E13995">
        <w:rPr>
          <w:rFonts w:ascii="Arial" w:hAnsi="Arial" w:cs="Arial"/>
          <w:b/>
          <w:bCs/>
        </w:rPr>
        <w:t xml:space="preserve">Table </w:t>
      </w:r>
      <w:r w:rsidR="008656DD">
        <w:rPr>
          <w:rFonts w:ascii="Arial" w:hAnsi="Arial" w:cs="Arial"/>
          <w:b/>
          <w:bCs/>
        </w:rPr>
        <w:t>2</w:t>
      </w:r>
      <w:r w:rsidRPr="00E13995">
        <w:rPr>
          <w:rFonts w:ascii="Arial" w:hAnsi="Arial" w:cs="Arial"/>
          <w:b/>
          <w:bCs/>
        </w:rPr>
        <w:t>. Practicality Average Scores of the E-Module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
        <w:gridCol w:w="3173"/>
        <w:gridCol w:w="1183"/>
        <w:gridCol w:w="1298"/>
      </w:tblGrid>
      <w:tr w:rsidR="00E13995" w:rsidRPr="00E13995" w:rsidTr="00E13995">
        <w:trPr>
          <w:tblHeader/>
          <w:tblCellSpacing w:w="15" w:type="dxa"/>
        </w:trPr>
        <w:tc>
          <w:tcPr>
            <w:tcW w:w="0" w:type="auto"/>
            <w:tcBorders>
              <w:top w:val="single" w:sz="4" w:space="0" w:color="auto"/>
              <w:bottom w:val="single" w:sz="4" w:space="0" w:color="auto"/>
            </w:tcBorders>
            <w:vAlign w:val="center"/>
            <w:hideMark/>
          </w:tcPr>
          <w:p w:rsidR="00E13995" w:rsidRPr="00E13995" w:rsidRDefault="00E13995" w:rsidP="00E13995">
            <w:pPr>
              <w:pStyle w:val="Body"/>
              <w:spacing w:before="120" w:after="120"/>
              <w:rPr>
                <w:rFonts w:ascii="Arial" w:hAnsi="Arial" w:cs="Arial"/>
                <w:b/>
                <w:bCs/>
              </w:rPr>
            </w:pPr>
            <w:r w:rsidRPr="00E13995">
              <w:rPr>
                <w:rFonts w:ascii="Arial" w:hAnsi="Arial" w:cs="Arial"/>
                <w:b/>
                <w:bCs/>
              </w:rPr>
              <w:t>No</w:t>
            </w:r>
          </w:p>
        </w:tc>
        <w:tc>
          <w:tcPr>
            <w:tcW w:w="0" w:type="auto"/>
            <w:tcBorders>
              <w:top w:val="single" w:sz="4" w:space="0" w:color="auto"/>
              <w:bottom w:val="single" w:sz="4" w:space="0" w:color="auto"/>
            </w:tcBorders>
            <w:vAlign w:val="center"/>
            <w:hideMark/>
          </w:tcPr>
          <w:p w:rsidR="00E13995" w:rsidRPr="00E13995" w:rsidRDefault="00E13995" w:rsidP="00E13995">
            <w:pPr>
              <w:pStyle w:val="Body"/>
              <w:spacing w:before="120" w:after="120"/>
              <w:rPr>
                <w:rFonts w:ascii="Arial" w:hAnsi="Arial" w:cs="Arial"/>
                <w:b/>
                <w:bCs/>
              </w:rPr>
            </w:pPr>
            <w:r w:rsidRPr="00E13995">
              <w:rPr>
                <w:rFonts w:ascii="Arial" w:hAnsi="Arial" w:cs="Arial"/>
                <w:b/>
                <w:bCs/>
              </w:rPr>
              <w:t>Practicality Criteria</w:t>
            </w:r>
          </w:p>
        </w:tc>
        <w:tc>
          <w:tcPr>
            <w:tcW w:w="0" w:type="auto"/>
            <w:tcBorders>
              <w:top w:val="single" w:sz="4" w:space="0" w:color="auto"/>
              <w:bottom w:val="single" w:sz="4" w:space="0" w:color="auto"/>
            </w:tcBorders>
            <w:vAlign w:val="center"/>
            <w:hideMark/>
          </w:tcPr>
          <w:p w:rsidR="00E13995" w:rsidRPr="00E13995" w:rsidRDefault="00E13995" w:rsidP="00E13995">
            <w:pPr>
              <w:pStyle w:val="Body"/>
              <w:spacing w:before="120" w:after="120"/>
              <w:rPr>
                <w:rFonts w:ascii="Arial" w:hAnsi="Arial" w:cs="Arial"/>
                <w:b/>
                <w:bCs/>
              </w:rPr>
            </w:pPr>
            <w:r w:rsidRPr="00E13995">
              <w:rPr>
                <w:rFonts w:ascii="Arial" w:hAnsi="Arial" w:cs="Arial"/>
                <w:b/>
                <w:bCs/>
              </w:rPr>
              <w:t>Mean Score</w:t>
            </w:r>
          </w:p>
        </w:tc>
        <w:tc>
          <w:tcPr>
            <w:tcW w:w="0" w:type="auto"/>
            <w:tcBorders>
              <w:top w:val="single" w:sz="4" w:space="0" w:color="auto"/>
              <w:bottom w:val="single" w:sz="4" w:space="0" w:color="auto"/>
            </w:tcBorders>
            <w:vAlign w:val="center"/>
            <w:hideMark/>
          </w:tcPr>
          <w:p w:rsidR="00E13995" w:rsidRPr="00E13995" w:rsidRDefault="00E13995" w:rsidP="00E13995">
            <w:pPr>
              <w:pStyle w:val="Body"/>
              <w:spacing w:before="120" w:after="120"/>
              <w:rPr>
                <w:rFonts w:ascii="Arial" w:hAnsi="Arial" w:cs="Arial"/>
                <w:b/>
                <w:bCs/>
              </w:rPr>
            </w:pPr>
            <w:r w:rsidRPr="00E13995">
              <w:rPr>
                <w:rFonts w:ascii="Arial" w:hAnsi="Arial" w:cs="Arial"/>
                <w:b/>
                <w:bCs/>
              </w:rPr>
              <w:t>Category</w:t>
            </w:r>
          </w:p>
        </w:tc>
      </w:tr>
      <w:tr w:rsidR="00E13995" w:rsidRPr="00E13995">
        <w:trPr>
          <w:tblCellSpacing w:w="15" w:type="dxa"/>
        </w:trPr>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1</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Visual appearance</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3.50</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Very Feasible</w:t>
            </w:r>
          </w:p>
        </w:tc>
      </w:tr>
      <w:tr w:rsidR="00E13995" w:rsidRPr="00E13995">
        <w:trPr>
          <w:tblCellSpacing w:w="15" w:type="dxa"/>
        </w:trPr>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2</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Content quality/material accuracy</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3.62</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Very Feasible</w:t>
            </w:r>
          </w:p>
        </w:tc>
      </w:tr>
      <w:tr w:rsidR="00E13995" w:rsidRPr="00E13995">
        <w:trPr>
          <w:tblCellSpacing w:w="15" w:type="dxa"/>
        </w:trPr>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Language</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3.38</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Feasible</w:t>
            </w:r>
          </w:p>
        </w:tc>
      </w:tr>
      <w:tr w:rsidR="00E13995" w:rsidRPr="00E13995">
        <w:trPr>
          <w:tblCellSpacing w:w="15" w:type="dxa"/>
        </w:trPr>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4</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Usability/practicality</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3.50</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Very Feasible</w:t>
            </w:r>
          </w:p>
        </w:tc>
      </w:tr>
      <w:tr w:rsidR="00E13995" w:rsidRPr="00E13995">
        <w:trPr>
          <w:tblCellSpacing w:w="15" w:type="dxa"/>
        </w:trPr>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5</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Readability/accessibility</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3.50</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Very Feasible</w:t>
            </w:r>
          </w:p>
        </w:tc>
      </w:tr>
      <w:tr w:rsidR="00E13995" w:rsidRPr="00E13995">
        <w:trPr>
          <w:tblCellSpacing w:w="15" w:type="dxa"/>
        </w:trPr>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6</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Learning activities</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3.25</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Feasible</w:t>
            </w:r>
          </w:p>
        </w:tc>
      </w:tr>
      <w:tr w:rsidR="00E13995" w:rsidRPr="00E13995">
        <w:trPr>
          <w:tblCellSpacing w:w="15" w:type="dxa"/>
        </w:trPr>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7</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Integrated assessment instruments</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3.50</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Very Feasible</w:t>
            </w:r>
          </w:p>
        </w:tc>
      </w:tr>
      <w:tr w:rsidR="00E13995" w:rsidRPr="00E13995" w:rsidTr="00E13995">
        <w:trPr>
          <w:tblCellSpacing w:w="15" w:type="dxa"/>
        </w:trPr>
        <w:tc>
          <w:tcPr>
            <w:tcW w:w="0" w:type="auto"/>
            <w:tcBorders>
              <w:bottom w:val="single" w:sz="4" w:space="0" w:color="auto"/>
            </w:tcBorders>
            <w:vAlign w:val="center"/>
            <w:hideMark/>
          </w:tcPr>
          <w:p w:rsidR="00E13995" w:rsidRPr="00E13995" w:rsidRDefault="00E13995" w:rsidP="00E13995">
            <w:pPr>
              <w:pStyle w:val="Body"/>
              <w:spacing w:before="120" w:after="120"/>
              <w:rPr>
                <w:rFonts w:ascii="Arial" w:hAnsi="Arial" w:cs="Arial"/>
              </w:rPr>
            </w:pPr>
          </w:p>
        </w:tc>
        <w:tc>
          <w:tcPr>
            <w:tcW w:w="0" w:type="auto"/>
            <w:tcBorders>
              <w:bottom w:val="single" w:sz="4" w:space="0" w:color="auto"/>
            </w:tcBorders>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b/>
                <w:bCs/>
              </w:rPr>
              <w:t>Overall Average</w:t>
            </w:r>
          </w:p>
        </w:tc>
        <w:tc>
          <w:tcPr>
            <w:tcW w:w="0" w:type="auto"/>
            <w:tcBorders>
              <w:bottom w:val="single" w:sz="4" w:space="0" w:color="auto"/>
            </w:tcBorders>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b/>
                <w:bCs/>
              </w:rPr>
              <w:t>3.46</w:t>
            </w:r>
          </w:p>
        </w:tc>
        <w:tc>
          <w:tcPr>
            <w:tcW w:w="0" w:type="auto"/>
            <w:tcBorders>
              <w:bottom w:val="single" w:sz="4" w:space="0" w:color="auto"/>
            </w:tcBorders>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b/>
                <w:bCs/>
              </w:rPr>
              <w:t>Feasible</w:t>
            </w:r>
          </w:p>
        </w:tc>
      </w:tr>
    </w:tbl>
    <w:p w:rsidR="00E13995" w:rsidRDefault="00E13995" w:rsidP="00E13995">
      <w:pPr>
        <w:pStyle w:val="Body"/>
        <w:spacing w:before="120" w:after="120"/>
        <w:rPr>
          <w:rFonts w:ascii="Arial" w:hAnsi="Arial" w:cs="Arial"/>
        </w:rPr>
      </w:pPr>
    </w:p>
    <w:p w:rsidR="00E13995" w:rsidRPr="00E13995" w:rsidRDefault="00E13995" w:rsidP="00E13995">
      <w:pPr>
        <w:pStyle w:val="Body"/>
        <w:spacing w:before="120" w:after="120"/>
        <w:rPr>
          <w:rFonts w:ascii="Arial" w:hAnsi="Arial" w:cs="Arial"/>
        </w:rPr>
      </w:pPr>
      <w:r w:rsidRPr="00E13995">
        <w:rPr>
          <w:rFonts w:ascii="Arial" w:hAnsi="Arial" w:cs="Arial"/>
        </w:rPr>
        <w:t xml:space="preserve">A small-group trial was conducted involving five students each from SMA Negeri 1 </w:t>
      </w:r>
      <w:proofErr w:type="spellStart"/>
      <w:r w:rsidRPr="00E13995">
        <w:rPr>
          <w:rFonts w:ascii="Arial" w:hAnsi="Arial" w:cs="Arial"/>
        </w:rPr>
        <w:t>Sipirok</w:t>
      </w:r>
      <w:proofErr w:type="spellEnd"/>
      <w:r w:rsidRPr="00E13995">
        <w:rPr>
          <w:rFonts w:ascii="Arial" w:hAnsi="Arial" w:cs="Arial"/>
        </w:rPr>
        <w:t xml:space="preserve"> (control class) and SMA Negeri 1 </w:t>
      </w:r>
      <w:proofErr w:type="spellStart"/>
      <w:r w:rsidRPr="00E13995">
        <w:rPr>
          <w:rFonts w:ascii="Arial" w:hAnsi="Arial" w:cs="Arial"/>
        </w:rPr>
        <w:t>Angkola</w:t>
      </w:r>
      <w:proofErr w:type="spellEnd"/>
      <w:r w:rsidRPr="00E13995">
        <w:rPr>
          <w:rFonts w:ascii="Arial" w:hAnsi="Arial" w:cs="Arial"/>
        </w:rPr>
        <w:t xml:space="preserve"> Barat (experimental class). The control class yielded a feasibility score of </w:t>
      </w:r>
      <w:r w:rsidRPr="00E13995">
        <w:rPr>
          <w:rFonts w:ascii="Arial" w:hAnsi="Arial" w:cs="Arial"/>
          <w:b/>
          <w:bCs/>
        </w:rPr>
        <w:t>72.20%</w:t>
      </w:r>
      <w:r w:rsidRPr="00E13995">
        <w:rPr>
          <w:rFonts w:ascii="Arial" w:hAnsi="Arial" w:cs="Arial"/>
        </w:rPr>
        <w:t xml:space="preserve">, while the experimental class reached </w:t>
      </w:r>
      <w:r w:rsidRPr="00E13995">
        <w:rPr>
          <w:rFonts w:ascii="Arial" w:hAnsi="Arial" w:cs="Arial"/>
          <w:b/>
          <w:bCs/>
        </w:rPr>
        <w:t>72.35%</w:t>
      </w:r>
      <w:r w:rsidRPr="00E13995">
        <w:rPr>
          <w:rFonts w:ascii="Arial" w:hAnsi="Arial" w:cs="Arial"/>
        </w:rPr>
        <w:t xml:space="preserve">. Students provided feedback recommending improvements in image resolution, consistency of learning outcome statements, and language structure. These suggestions were incorporated into a </w:t>
      </w:r>
      <w:r w:rsidRPr="00E13995">
        <w:rPr>
          <w:rFonts w:ascii="Arial" w:hAnsi="Arial" w:cs="Arial"/>
        </w:rPr>
        <w:lastRenderedPageBreak/>
        <w:t>revised version of the e-module before proceeding to the large-group trial phase.</w:t>
      </w:r>
      <w:r w:rsidR="006B18EC">
        <w:rPr>
          <w:rFonts w:ascii="Arial" w:hAnsi="Arial" w:cs="Arial"/>
        </w:rPr>
        <w:t xml:space="preserve"> </w:t>
      </w:r>
      <w:r w:rsidR="006B18EC" w:rsidRPr="006B18EC">
        <w:rPr>
          <w:rFonts w:ascii="Arial" w:hAnsi="Arial" w:cs="Arial"/>
        </w:rPr>
        <w:t>This iterative revision process is consistent with the development logic of the ADDIE model, in which formative evaluation informs successive refinements of the product (Branch, 2009).</w:t>
      </w:r>
    </w:p>
    <w:p w:rsidR="00E13995" w:rsidRPr="00E13995" w:rsidRDefault="00E13995" w:rsidP="00E13995">
      <w:pPr>
        <w:pStyle w:val="Body"/>
        <w:spacing w:before="120" w:after="120"/>
        <w:rPr>
          <w:rFonts w:ascii="Arial" w:hAnsi="Arial" w:cs="Arial"/>
        </w:rPr>
      </w:pPr>
      <w:r w:rsidRPr="00E13995">
        <w:rPr>
          <w:rFonts w:ascii="Arial" w:hAnsi="Arial" w:cs="Arial"/>
        </w:rPr>
        <w:t xml:space="preserve">In the large-group trial, the module was tested on 15 students from each school. The feasibility score increased significantly: SMA Negeri 1 </w:t>
      </w:r>
      <w:proofErr w:type="spellStart"/>
      <w:r w:rsidRPr="00E13995">
        <w:rPr>
          <w:rFonts w:ascii="Arial" w:hAnsi="Arial" w:cs="Arial"/>
        </w:rPr>
        <w:t>Sipirok</w:t>
      </w:r>
      <w:proofErr w:type="spellEnd"/>
      <w:r w:rsidRPr="00E13995">
        <w:rPr>
          <w:rFonts w:ascii="Arial" w:hAnsi="Arial" w:cs="Arial"/>
        </w:rPr>
        <w:t xml:space="preserve"> (control class) reached </w:t>
      </w:r>
      <w:r w:rsidRPr="00E13995">
        <w:rPr>
          <w:rFonts w:ascii="Arial" w:hAnsi="Arial" w:cs="Arial"/>
          <w:b/>
          <w:bCs/>
        </w:rPr>
        <w:t>84.23%</w:t>
      </w:r>
      <w:r w:rsidRPr="00E13995">
        <w:rPr>
          <w:rFonts w:ascii="Arial" w:hAnsi="Arial" w:cs="Arial"/>
        </w:rPr>
        <w:t xml:space="preserve">, and SMA Negeri 1 </w:t>
      </w:r>
      <w:proofErr w:type="spellStart"/>
      <w:r w:rsidRPr="00E13995">
        <w:rPr>
          <w:rFonts w:ascii="Arial" w:hAnsi="Arial" w:cs="Arial"/>
        </w:rPr>
        <w:t>Angkola</w:t>
      </w:r>
      <w:proofErr w:type="spellEnd"/>
      <w:r w:rsidRPr="00E13995">
        <w:rPr>
          <w:rFonts w:ascii="Arial" w:hAnsi="Arial" w:cs="Arial"/>
        </w:rPr>
        <w:t xml:space="preserve"> Barat (experimental class) scored </w:t>
      </w:r>
      <w:r w:rsidRPr="00E13995">
        <w:rPr>
          <w:rFonts w:ascii="Arial" w:hAnsi="Arial" w:cs="Arial"/>
          <w:b/>
          <w:bCs/>
        </w:rPr>
        <w:t>92.69%</w:t>
      </w:r>
      <w:r w:rsidRPr="00E13995">
        <w:rPr>
          <w:rFonts w:ascii="Arial" w:hAnsi="Arial" w:cs="Arial"/>
        </w:rPr>
        <w:t>. These results confirmed the module’s usability and student satisfaction, particularly in the experimental group, where the module was implemented in full.</w:t>
      </w:r>
      <w:r w:rsidR="006B18EC">
        <w:rPr>
          <w:rFonts w:ascii="Arial" w:hAnsi="Arial" w:cs="Arial"/>
        </w:rPr>
        <w:t xml:space="preserve"> </w:t>
      </w:r>
      <w:r w:rsidR="006B18EC" w:rsidRPr="006B18EC">
        <w:rPr>
          <w:rFonts w:ascii="Arial" w:hAnsi="Arial" w:cs="Arial"/>
        </w:rPr>
        <w:t>The sharp increase in feasibility scores from small- to large-scale implementation suggests that the revisions made after the pilot phase effectively addressed user needs and that students quickly adapted to the digital format and project-based structure.</w:t>
      </w:r>
    </w:p>
    <w:p w:rsidR="00E13995" w:rsidRPr="00E13995" w:rsidRDefault="00E13995" w:rsidP="00E13995">
      <w:pPr>
        <w:pStyle w:val="Body"/>
        <w:spacing w:before="120" w:after="120"/>
        <w:rPr>
          <w:rFonts w:ascii="Arial" w:hAnsi="Arial" w:cs="Arial"/>
        </w:rPr>
      </w:pPr>
      <w:r w:rsidRPr="00E13995">
        <w:rPr>
          <w:rFonts w:ascii="Arial" w:hAnsi="Arial" w:cs="Arial"/>
        </w:rPr>
        <w:t xml:space="preserve">To assess its effectiveness, the e-module was evaluated based on creativity outcomes. In the small group trial, the control and experimental classes scored </w:t>
      </w:r>
      <w:r w:rsidRPr="00E13995">
        <w:rPr>
          <w:rFonts w:ascii="Arial" w:hAnsi="Arial" w:cs="Arial"/>
          <w:b/>
          <w:bCs/>
        </w:rPr>
        <w:t>72.20%</w:t>
      </w:r>
      <w:r w:rsidRPr="00E13995">
        <w:rPr>
          <w:rFonts w:ascii="Arial" w:hAnsi="Arial" w:cs="Arial"/>
        </w:rPr>
        <w:t xml:space="preserve"> and </w:t>
      </w:r>
      <w:r w:rsidRPr="00E13995">
        <w:rPr>
          <w:rFonts w:ascii="Arial" w:hAnsi="Arial" w:cs="Arial"/>
          <w:b/>
          <w:bCs/>
        </w:rPr>
        <w:t>72.35%</w:t>
      </w:r>
      <w:r w:rsidRPr="00E13995">
        <w:rPr>
          <w:rFonts w:ascii="Arial" w:hAnsi="Arial" w:cs="Arial"/>
        </w:rPr>
        <w:t xml:space="preserve"> respectively. In the large group, the control class remained stable at </w:t>
      </w:r>
      <w:r w:rsidRPr="00E13995">
        <w:rPr>
          <w:rFonts w:ascii="Arial" w:hAnsi="Arial" w:cs="Arial"/>
          <w:b/>
          <w:bCs/>
        </w:rPr>
        <w:t>72.40%</w:t>
      </w:r>
      <w:r w:rsidRPr="00E13995">
        <w:rPr>
          <w:rFonts w:ascii="Arial" w:hAnsi="Arial" w:cs="Arial"/>
        </w:rPr>
        <w:t xml:space="preserve">, while the experimental class showed a notable increase to </w:t>
      </w:r>
      <w:r w:rsidRPr="00E13995">
        <w:rPr>
          <w:rFonts w:ascii="Arial" w:hAnsi="Arial" w:cs="Arial"/>
          <w:b/>
          <w:bCs/>
        </w:rPr>
        <w:t>86.40%</w:t>
      </w:r>
      <w:r w:rsidRPr="00E13995">
        <w:rPr>
          <w:rFonts w:ascii="Arial" w:hAnsi="Arial" w:cs="Arial"/>
        </w:rPr>
        <w:t>. These results reflect the module’s strong impact on student creativity, attributed to its structured project-based approach and authentic, localized content.</w:t>
      </w:r>
    </w:p>
    <w:p w:rsidR="00E13995" w:rsidRDefault="00E13995" w:rsidP="00E13995">
      <w:pPr>
        <w:pStyle w:val="Body"/>
        <w:spacing w:before="120" w:after="120"/>
        <w:rPr>
          <w:rFonts w:ascii="Arial" w:hAnsi="Arial" w:cs="Arial"/>
        </w:rPr>
      </w:pPr>
      <w:r w:rsidRPr="00E13995">
        <w:rPr>
          <w:rFonts w:ascii="Arial" w:hAnsi="Arial" w:cs="Arial"/>
        </w:rPr>
        <w:t xml:space="preserve">These findings are visually summarized in </w:t>
      </w:r>
      <w:r w:rsidRPr="00E13995">
        <w:rPr>
          <w:rFonts w:ascii="Arial" w:hAnsi="Arial" w:cs="Arial"/>
          <w:b/>
          <w:bCs/>
        </w:rPr>
        <w:t>Figure 2</w:t>
      </w:r>
      <w:r w:rsidRPr="00E13995">
        <w:rPr>
          <w:rFonts w:ascii="Arial" w:hAnsi="Arial" w:cs="Arial"/>
        </w:rPr>
        <w:t xml:space="preserve"> below, which illustrates the improvement in effectiveness across both trial phases.</w:t>
      </w:r>
    </w:p>
    <w:p w:rsidR="00E13995" w:rsidRPr="00E13995" w:rsidRDefault="00E13995" w:rsidP="00E13995">
      <w:pPr>
        <w:pStyle w:val="Body"/>
        <w:spacing w:before="120" w:after="120"/>
        <w:rPr>
          <w:rFonts w:ascii="Arial" w:hAnsi="Arial" w:cs="Arial"/>
        </w:rPr>
      </w:pPr>
      <w:r>
        <w:rPr>
          <w:noProof/>
        </w:rPr>
        <w:drawing>
          <wp:inline distT="0" distB="0" distL="0" distR="0">
            <wp:extent cx="5019675" cy="3562350"/>
            <wp:effectExtent l="0" t="0" r="9525" b="0"/>
            <wp:docPr id="7211752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9675" cy="3562350"/>
                    </a:xfrm>
                    <a:prstGeom prst="rect">
                      <a:avLst/>
                    </a:prstGeom>
                    <a:noFill/>
                    <a:ln>
                      <a:noFill/>
                    </a:ln>
                  </pic:spPr>
                </pic:pic>
              </a:graphicData>
            </a:graphic>
          </wp:inline>
        </w:drawing>
      </w:r>
    </w:p>
    <w:p w:rsidR="00E13995" w:rsidRPr="00E13995" w:rsidRDefault="00E13995" w:rsidP="00E13995">
      <w:pPr>
        <w:pStyle w:val="Body"/>
        <w:spacing w:before="120" w:after="120"/>
        <w:rPr>
          <w:rFonts w:ascii="Arial" w:hAnsi="Arial" w:cs="Arial"/>
        </w:rPr>
      </w:pPr>
      <w:r w:rsidRPr="00E13995">
        <w:rPr>
          <w:rFonts w:ascii="Arial" w:hAnsi="Arial" w:cs="Arial"/>
          <w:b/>
          <w:bCs/>
        </w:rPr>
        <w:t>Fig</w:t>
      </w:r>
      <w:r>
        <w:rPr>
          <w:rFonts w:ascii="Arial" w:hAnsi="Arial" w:cs="Arial"/>
          <w:b/>
          <w:bCs/>
        </w:rPr>
        <w:t>.</w:t>
      </w:r>
      <w:r w:rsidRPr="00E13995">
        <w:rPr>
          <w:rFonts w:ascii="Arial" w:hAnsi="Arial" w:cs="Arial"/>
          <w:b/>
          <w:bCs/>
        </w:rPr>
        <w:t xml:space="preserve"> 2. Effectiveness Test Results of the Conservation Project-Based E-Module</w:t>
      </w:r>
    </w:p>
    <w:p w:rsidR="00E13995" w:rsidRPr="00E13995" w:rsidRDefault="00E13995" w:rsidP="00E13995">
      <w:pPr>
        <w:pStyle w:val="Body"/>
        <w:spacing w:before="120" w:after="120"/>
        <w:rPr>
          <w:rFonts w:ascii="Arial" w:hAnsi="Arial" w:cs="Arial"/>
        </w:rPr>
      </w:pPr>
      <w:r w:rsidRPr="00E13995">
        <w:rPr>
          <w:rFonts w:ascii="Arial" w:hAnsi="Arial" w:cs="Arial"/>
        </w:rPr>
        <w:t xml:space="preserve">Final validation by subject matter experts confirmed that all items in the module were valid, with average scores exceeding 3.0. The reliability of the practicality instrument, measured using Cronbach’s Alpha, reached </w:t>
      </w:r>
      <w:r w:rsidRPr="00E13995">
        <w:rPr>
          <w:rFonts w:ascii="Arial" w:hAnsi="Arial" w:cs="Arial"/>
          <w:b/>
          <w:bCs/>
        </w:rPr>
        <w:t>0.857</w:t>
      </w:r>
      <w:r w:rsidRPr="00E13995">
        <w:rPr>
          <w:rFonts w:ascii="Arial" w:hAnsi="Arial" w:cs="Arial"/>
        </w:rPr>
        <w:t xml:space="preserve">, indicating high internal consistency. Further recommendations included enhancing language clarity, integrating differentiated learning tasks, and developing project-based assessment rubrics. It is also suggested that future </w:t>
      </w:r>
      <w:r w:rsidRPr="00E13995">
        <w:rPr>
          <w:rFonts w:ascii="Arial" w:hAnsi="Arial" w:cs="Arial"/>
        </w:rPr>
        <w:lastRenderedPageBreak/>
        <w:t>research conduct a more rigorous effectiveness test using a larger sample (60–100 students) to examine inferential statistics such as significance levels and effect sizes.</w:t>
      </w:r>
    </w:p>
    <w:p w:rsidR="00E13995" w:rsidRPr="00E13995" w:rsidRDefault="00E13995" w:rsidP="00E13995">
      <w:pPr>
        <w:pStyle w:val="Body"/>
        <w:spacing w:before="120" w:after="120"/>
        <w:rPr>
          <w:rFonts w:ascii="Arial" w:hAnsi="Arial" w:cs="Arial"/>
        </w:rPr>
      </w:pPr>
      <w:r w:rsidRPr="00E13995">
        <w:rPr>
          <w:rFonts w:ascii="Arial" w:hAnsi="Arial" w:cs="Arial"/>
        </w:rPr>
        <w:t>Additional suggestions from students highlighted the need for better formatting of learning outcomes and correction of a few low-resolution images. Following these revisions, the final version of the e-module was considered ready for broader implementation. No further improvements were necessary after the large-scale trial, as students found the module engaging and easy to navigate.</w:t>
      </w:r>
    </w:p>
    <w:p w:rsidR="00E13995" w:rsidRPr="00E13995" w:rsidRDefault="00E13995" w:rsidP="00E13995">
      <w:pPr>
        <w:pStyle w:val="Body"/>
        <w:spacing w:before="120" w:after="120"/>
        <w:rPr>
          <w:rFonts w:ascii="Arial" w:hAnsi="Arial" w:cs="Arial"/>
        </w:rPr>
      </w:pPr>
      <w:r w:rsidRPr="00E13995">
        <w:rPr>
          <w:rFonts w:ascii="Arial" w:hAnsi="Arial" w:cs="Arial"/>
        </w:rPr>
        <w:t xml:space="preserve">In summary, the e-module demonstrated high practicality and significant effectiveness in fostering student creativity. The highest-scoring aspect was content quality, reflecting strong contextual alignment and relevance. Meanwhile, learning activities scored the lowest, emphasizing the need for increased task variety to promote HOTS. These findings align with </w:t>
      </w:r>
      <w:r w:rsidR="004E2DA4">
        <w:rPr>
          <w:rFonts w:ascii="Arial" w:hAnsi="Arial" w:cs="Arial"/>
        </w:rPr>
        <w:t xml:space="preserve">other </w:t>
      </w:r>
      <w:proofErr w:type="spellStart"/>
      <w:r w:rsidR="004E2DA4">
        <w:rPr>
          <w:rFonts w:ascii="Arial" w:hAnsi="Arial" w:cs="Arial"/>
        </w:rPr>
        <w:t>researchs</w:t>
      </w:r>
      <w:proofErr w:type="spellEnd"/>
      <w:r w:rsidRPr="00E13995">
        <w:rPr>
          <w:rFonts w:ascii="Arial" w:hAnsi="Arial" w:cs="Arial"/>
        </w:rPr>
        <w:t xml:space="preserve"> who found that interactive and context-based e-modules can enhance both conceptual understanding and environmental awareness</w:t>
      </w:r>
      <w:r w:rsidR="00FA1874">
        <w:rPr>
          <w:rFonts w:ascii="Arial" w:hAnsi="Arial" w:cs="Arial"/>
        </w:rPr>
        <w:t xml:space="preserve"> </w:t>
      </w:r>
      <w:r w:rsidR="00FA1874">
        <w:rPr>
          <w:rFonts w:ascii="Arial" w:hAnsi="Arial" w:cs="Arial"/>
        </w:rPr>
        <w:fldChar w:fldCharType="begin" w:fldLock="1"/>
      </w:r>
      <w:r w:rsidR="00FA1874">
        <w:rPr>
          <w:rFonts w:ascii="Arial" w:hAnsi="Arial" w:cs="Arial"/>
        </w:rPr>
        <w:instrText>ADDIN CSL_CITATION {"citationItems":[{"id":"ITEM-1","itemData":{"DOI":"10.30870/jppi.v11i1.25378","author":[{"dropping-particle":"","family":"Jaenudin","given":"Dadang","non-dropping-particle":"","parse-names":false,"suffix":""},{"dropping-particle":"","family":"Nurhayati","given":"Nunung","non-dropping-particle":"","parse-names":false,"suffix":""},{"dropping-particle":"","family":"Sukmanasa","given":"Elly","non-dropping-particle":"","parse-names":false,"suffix":""},{"dropping-particle":"","family":"Program","given":"Environmental Management","non-dropping-particle":"","parse-names":false,"suffix":""},{"dropping-particle":"","family":"Pakuan","given":"Universitas","non-dropping-particle":"","parse-names":false,"suffix":""},{"dropping-particle":"","family":"Program","given":"Elementary Education","non-dropping-particle":"","parse-names":false,"suffix":""},{"dropping-particle":"","family":"Pakuan","given":"Universitas","non-dropping-particle":"","parse-names":false,"suffix":""}],"container-title":"Jurnal Penelitian dan Pembelajaran IPA","id":"ITEM-1","issue":"1","issued":{"date-parts":[["2025"]]},"page":"132-143","title":"Implementation of Local Wisdom-Based e-Module on Ecosystem Concepts to Enhance Elementary School Students ' Environmental Awareness","type":"article-journal","volume":"11"},"uris":["http://www.mendeley.com/documents/?uuid=e340fb7f-bce5-484b-9cd8-b31df31782e0"]},{"id":"ITEM-2","itemData":{"DOI":"10.46843/jiecr.v3i4.344","author":[{"dropping-particle":"","family":"Widiyatmoko","given":"Arif","non-dropping-particle":"","parse-names":false,"suffix":""},{"dropping-particle":"","family":"Taufiq","given":"Muhamad","non-dropping-particle":"","parse-names":false,"suffix":""},{"dropping-particle":"","family":"Purwinarko","given":"Aji","non-dropping-particle":"","parse-names":false,"suffix":""},{"dropping-particle":"","family":"Wusqo","given":"Indah Urwatin","non-dropping-particle":"","parse-names":false,"suffix":""},{"dropping-particle":"","family":"Salma","given":"Melissa","non-dropping-particle":"","parse-names":false,"suffix":""}],"container-title":"Journal of Innovation in Educational and Cultural Research","id":"ITEM-2","issue":"4","issued":{"date-parts":[["2022"]]},"page":"691-700","title":"The Effect of Environmental Pollution Game-Based Learning on Improving Students ' Conceptual Understanding and Environmental Awareness","type":"article-journal","volume":"3"},"uris":["http://www.mendeley.com/documents/?uuid=4474d2cf-ba49-4821-9961-49ca5c2e02ba"]},{"id":"ITEM-3","itemData":{"DOI":"10.1007/s10639-024-12688-x","ISSN":"1573-7608","abstract":"This study aims to compare and analyse the effects of context-based vocabulary activities with technology-assisted tools and printed materials on fourth-grade primary school students’ vocabulary knowledge and learning motivation. One of the quasi-experimental designs, the “pretest-posttest control group design”, was used in the study. There were two experimental groups and one control group. Technology-assisted context-based vocabulary activities were used in one of the experimental groups, and printed materials with context-based vocabulary activities were used in the other experimental group. The implementation was carried out in the control group according to the current Turkish curriculum. It was planned to teach vocabulary by utilising sentence and text context in context-based vocabulary activities. The research was conducted with students studying in three different fourth grade classes of a primary school, which were equivalent to each other according to the pre-tests. A total of 91 students from three groups (experimental-1: 30, experimental-2: 30, control: 31) participated in the study. The Vocabulary Knowledge Achievement Test (VKAT) developed by Yaşar-Sağlık (2022) and the Vocabulary Learning Motivation Scale (VLMS) developed by Genç-Ersoy and Belet-Boyacı (2018) were used in the study. After the pre-tests were applied, 14 lesson hours of interventions were carried out over 7 weeks. After the implementation, the process was finalised by applying post-tests. The data were analysed using one-way analysis of variance (ANOVA) on the difference in scores (post-test – pre-test). Also, the Tukey post hoc test was used to determine the source of the difference. In addition, partial eta squared (η2) values were calculated to determine effect sizes. As a result, it was found that context-based vocabulary activities conducted with technology-assisted tools and printed materials were significantly more effective in improving students’ vocabulary knowledge than the current Turkish curriculum. In addition, it was also revealed that technology-assisted activities were more effective in improving students’ vocabulary knowledge than the activities carried out using printed materials. In terms of vocabulary learning motivation, the results are slightly different. It was found that context-based vocabulary activities conducted with technology-assisted tools were significantly more effective in improving students’ vocabulary learning motivation than the current…","author":[{"dropping-particle":"","family":"Sural","given":"Ülkü Çoban","non-dropping-particle":"","parse-names":false,"suffix":""},{"dropping-particle":"","family":"Sağlık","given":"Zehra Yaşar","non-dropping-particle":"","parse-names":false,"suffix":""}],"container-title":"Education and Information Technologies","id":"ITEM-3","issue":"16","issued":{"date-parts":[["2024"]]},"page":"20823-20853","title":"Next-generation learning experience: The effect of technology-assisted and printed context-based vocabulary activities on vocabulary knowledge and learning motivation","type":"article-journal","volume":"29"},"uris":["http://www.mendeley.com/documents/?uuid=f9223793-a1cb-4932-9c39-9cfe460ce6da"]}],"mendeley":{"formattedCitation":"(Jaenudin et al., 2025; Sural &amp; Sağlık, 2024; Widiyatmoko et al., 2022)","plainTextFormattedCitation":"(Jaenudin et al., 2025; Sural &amp; Sağlık, 2024; Widiyatmoko et al., 2022)","previouslyFormattedCitation":"(Jaenudin et al., 2025; Sural &amp; Sağlık, 2024; Widiyatmoko et al., 2022)"},"properties":{"noteIndex":0},"schema":"https://github.com/citation-style-language/schema/raw/master/csl-citation.json"}</w:instrText>
      </w:r>
      <w:r w:rsidR="00FA1874">
        <w:rPr>
          <w:rFonts w:ascii="Arial" w:hAnsi="Arial" w:cs="Arial"/>
        </w:rPr>
        <w:fldChar w:fldCharType="separate"/>
      </w:r>
      <w:r w:rsidR="00FA1874" w:rsidRPr="00FA1874">
        <w:rPr>
          <w:rFonts w:ascii="Arial" w:hAnsi="Arial" w:cs="Arial"/>
          <w:noProof/>
        </w:rPr>
        <w:t>(Jaenudin et al., 2025; Sural &amp; Sağlık, 2024; Widiyatmoko et al., 2022)</w:t>
      </w:r>
      <w:r w:rsidR="00FA1874">
        <w:rPr>
          <w:rFonts w:ascii="Arial" w:hAnsi="Arial" w:cs="Arial"/>
        </w:rPr>
        <w:fldChar w:fldCharType="end"/>
      </w:r>
      <w:r w:rsidRPr="00E13995">
        <w:rPr>
          <w:rFonts w:ascii="Arial" w:hAnsi="Arial" w:cs="Arial"/>
        </w:rPr>
        <w:t>.</w:t>
      </w:r>
      <w:r w:rsidR="006B18EC">
        <w:rPr>
          <w:rFonts w:ascii="Arial" w:hAnsi="Arial" w:cs="Arial"/>
        </w:rPr>
        <w:t xml:space="preserve"> </w:t>
      </w:r>
      <w:r w:rsidR="006B18EC" w:rsidRPr="006B18EC">
        <w:rPr>
          <w:rFonts w:ascii="Arial" w:hAnsi="Arial" w:cs="Arial"/>
        </w:rPr>
        <w:t xml:space="preserve">From a conceptual perspective, the results support the view that </w:t>
      </w:r>
      <w:proofErr w:type="spellStart"/>
      <w:r w:rsidR="006B18EC" w:rsidRPr="006B18EC">
        <w:rPr>
          <w:rFonts w:ascii="Arial" w:hAnsi="Arial" w:cs="Arial"/>
        </w:rPr>
        <w:t>PjBL</w:t>
      </w:r>
      <w:proofErr w:type="spellEnd"/>
      <w:r w:rsidR="006B18EC" w:rsidRPr="006B18EC">
        <w:rPr>
          <w:rFonts w:ascii="Arial" w:hAnsi="Arial" w:cs="Arial"/>
        </w:rPr>
        <w:t xml:space="preserve">, when embedded in a meaningful local conservation context, can provide fertile ground for developing students’ creativity by requiring them to analyze problems, synthesize information from scientific and indigenous sources, and design feasible solutions (Guo et al., 2020; Cheng, 2019; </w:t>
      </w:r>
      <w:proofErr w:type="spellStart"/>
      <w:r w:rsidR="006B18EC" w:rsidRPr="006B18EC">
        <w:rPr>
          <w:rFonts w:ascii="Arial" w:hAnsi="Arial" w:cs="Arial"/>
        </w:rPr>
        <w:t>Zidny</w:t>
      </w:r>
      <w:proofErr w:type="spellEnd"/>
      <w:r w:rsidR="006B18EC" w:rsidRPr="006B18EC">
        <w:rPr>
          <w:rFonts w:ascii="Arial" w:hAnsi="Arial" w:cs="Arial"/>
        </w:rPr>
        <w:t xml:space="preserve"> et al., 2020).</w:t>
      </w:r>
    </w:p>
    <w:p w:rsidR="006B18EC" w:rsidRPr="006B18EC" w:rsidRDefault="006B18EC" w:rsidP="006B18EC">
      <w:pPr>
        <w:pStyle w:val="Body"/>
        <w:spacing w:before="120" w:after="120"/>
        <w:rPr>
          <w:rFonts w:ascii="Arial" w:hAnsi="Arial" w:cs="Arial"/>
        </w:rPr>
      </w:pPr>
      <w:r w:rsidRPr="000928A0">
        <w:rPr>
          <w:rFonts w:ascii="Arial" w:hAnsi="Arial" w:cs="Arial"/>
        </w:rPr>
        <w:t xml:space="preserve">The differential gains between control and experimental classes also suggest that contextual creativity is more likely to emerge when students are given structured opportunities to engage with real-world issues and to produce tangible project outcomes, rather than only engaging with decontextualized exercises. In this study, the conservation of </w:t>
      </w:r>
      <w:proofErr w:type="spellStart"/>
      <w:r w:rsidRPr="000928A0">
        <w:rPr>
          <w:rFonts w:ascii="Arial" w:hAnsi="Arial" w:cs="Arial"/>
          <w:i/>
          <w:iCs/>
        </w:rPr>
        <w:t>Salacca</w:t>
      </w:r>
      <w:proofErr w:type="spellEnd"/>
      <w:r w:rsidRPr="000928A0">
        <w:rPr>
          <w:rFonts w:ascii="Arial" w:hAnsi="Arial" w:cs="Arial"/>
          <w:i/>
          <w:iCs/>
        </w:rPr>
        <w:t xml:space="preserve"> </w:t>
      </w:r>
      <w:proofErr w:type="spellStart"/>
      <w:r w:rsidRPr="000928A0">
        <w:rPr>
          <w:rFonts w:ascii="Arial" w:hAnsi="Arial" w:cs="Arial"/>
          <w:i/>
          <w:iCs/>
        </w:rPr>
        <w:t>sumatrana</w:t>
      </w:r>
      <w:proofErr w:type="spellEnd"/>
      <w:r w:rsidRPr="000928A0">
        <w:rPr>
          <w:rFonts w:ascii="Arial" w:hAnsi="Arial" w:cs="Arial"/>
        </w:rPr>
        <w:t xml:space="preserve"> served as an integrative theme that connected ecological content, local wisdom, and entrepreneurship-oriented product design, thereby operationalizing the notion of education for sustainable development at the classroom level (Leal Filho et al., 2018; </w:t>
      </w:r>
      <w:proofErr w:type="spellStart"/>
      <w:r w:rsidRPr="000928A0">
        <w:rPr>
          <w:rFonts w:ascii="Arial" w:hAnsi="Arial" w:cs="Arial"/>
        </w:rPr>
        <w:t>Fajri</w:t>
      </w:r>
      <w:proofErr w:type="spellEnd"/>
      <w:r w:rsidRPr="000928A0">
        <w:rPr>
          <w:rFonts w:ascii="Arial" w:hAnsi="Arial" w:cs="Arial"/>
        </w:rPr>
        <w:t xml:space="preserve"> et al., 2025).</w:t>
      </w:r>
    </w:p>
    <w:p w:rsidR="006B18EC" w:rsidRPr="006B18EC" w:rsidRDefault="006B18EC" w:rsidP="006B18EC">
      <w:pPr>
        <w:pStyle w:val="Body"/>
        <w:spacing w:before="120" w:after="120"/>
        <w:rPr>
          <w:rFonts w:ascii="Arial" w:hAnsi="Arial" w:cs="Arial"/>
        </w:rPr>
      </w:pPr>
      <w:r w:rsidRPr="000928A0">
        <w:rPr>
          <w:rFonts w:ascii="Arial" w:hAnsi="Arial" w:cs="Arial"/>
        </w:rPr>
        <w:t xml:space="preserve">Nevertheless, the moderate scores for learning activities indicate that there is still room to diversify project tasks—for example, by adding interdisciplinary components (such as socio-economic analysis of </w:t>
      </w:r>
      <w:proofErr w:type="spellStart"/>
      <w:r w:rsidRPr="000928A0">
        <w:rPr>
          <w:rFonts w:ascii="Arial" w:hAnsi="Arial" w:cs="Arial"/>
          <w:i/>
          <w:iCs/>
        </w:rPr>
        <w:t>Salacca</w:t>
      </w:r>
      <w:proofErr w:type="spellEnd"/>
      <w:r w:rsidRPr="000928A0">
        <w:rPr>
          <w:rFonts w:ascii="Arial" w:hAnsi="Arial" w:cs="Arial"/>
          <w:i/>
          <w:iCs/>
        </w:rPr>
        <w:t xml:space="preserve"> </w:t>
      </w:r>
      <w:proofErr w:type="spellStart"/>
      <w:r w:rsidRPr="000928A0">
        <w:rPr>
          <w:rFonts w:ascii="Arial" w:hAnsi="Arial" w:cs="Arial"/>
          <w:i/>
          <w:iCs/>
        </w:rPr>
        <w:t>sumatrana</w:t>
      </w:r>
      <w:proofErr w:type="spellEnd"/>
      <w:r w:rsidRPr="000928A0">
        <w:rPr>
          <w:rFonts w:ascii="Arial" w:hAnsi="Arial" w:cs="Arial"/>
        </w:rPr>
        <w:t xml:space="preserve"> value chains), peer-assessment mechanisms, or reflective journals—to further deepen critical and creative thinking. These refinements would allow the e-module to better align with the “4C” competences (critical thinking, creativity, collaboration, communication) that are central to 21st-century learning (Brandt et al., 2021).</w:t>
      </w:r>
    </w:p>
    <w:p w:rsidR="00E13995" w:rsidRDefault="00E13995" w:rsidP="00E13995">
      <w:pPr>
        <w:pStyle w:val="Body"/>
        <w:spacing w:before="120" w:after="120"/>
        <w:rPr>
          <w:rFonts w:ascii="Arial" w:hAnsi="Arial" w:cs="Arial"/>
        </w:rPr>
      </w:pPr>
    </w:p>
    <w:p w:rsidR="00790ADA" w:rsidRPr="00FB3A86" w:rsidRDefault="006B18EC"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rsidR="00E13995" w:rsidRPr="00E13995" w:rsidRDefault="00E13995" w:rsidP="00E13995">
      <w:pPr>
        <w:pStyle w:val="Body"/>
        <w:spacing w:after="0"/>
        <w:rPr>
          <w:rFonts w:ascii="Arial" w:hAnsi="Arial" w:cs="Arial"/>
        </w:rPr>
      </w:pPr>
      <w:r w:rsidRPr="00E13995">
        <w:rPr>
          <w:rFonts w:ascii="Arial" w:hAnsi="Arial" w:cs="Arial"/>
        </w:rPr>
        <w:t xml:space="preserve">Based on the findings, it can be concluded that the conservation project–based e-module on </w:t>
      </w:r>
      <w:proofErr w:type="spellStart"/>
      <w:r w:rsidRPr="00E13995">
        <w:rPr>
          <w:rFonts w:ascii="Arial" w:hAnsi="Arial" w:cs="Arial"/>
          <w:i/>
          <w:iCs/>
        </w:rPr>
        <w:t>Salacca</w:t>
      </w:r>
      <w:proofErr w:type="spellEnd"/>
      <w:r w:rsidRPr="00E13995">
        <w:rPr>
          <w:rFonts w:ascii="Arial" w:hAnsi="Arial" w:cs="Arial"/>
          <w:i/>
          <w:iCs/>
        </w:rPr>
        <w:t xml:space="preserve"> </w:t>
      </w:r>
      <w:proofErr w:type="spellStart"/>
      <w:r w:rsidRPr="00E13995">
        <w:rPr>
          <w:rFonts w:ascii="Arial" w:hAnsi="Arial" w:cs="Arial"/>
          <w:i/>
          <w:iCs/>
        </w:rPr>
        <w:t>sumatrana</w:t>
      </w:r>
      <w:proofErr w:type="spellEnd"/>
      <w:r w:rsidRPr="00E13995">
        <w:rPr>
          <w:rFonts w:ascii="Arial" w:hAnsi="Arial" w:cs="Arial"/>
        </w:rPr>
        <w:t xml:space="preserve"> has been successfully developed and meets the criteria of both practicality and effectiveness. The module responds to an urgent educational need for interactive, contextual, and non–memorization-oriented learning resources, demonstrating strong potential to enhance students’ creativity and ecological literacy. The positive results obtained in the practicality and trial phases provide a solid foundation for advancing this product to broader classroom implementation and rigorous effectiveness testing.</w:t>
      </w:r>
      <w:r w:rsidR="006B18EC" w:rsidRPr="006B18EC">
        <w:t xml:space="preserve"> </w:t>
      </w:r>
      <w:r w:rsidR="006B18EC" w:rsidRPr="006B18EC">
        <w:rPr>
          <w:rFonts w:ascii="Arial" w:hAnsi="Arial" w:cs="Arial"/>
        </w:rPr>
        <w:t>At the same time, the module contributes to local conservation efforts by positioning an endangered endemic species as the focal context for scientific inquiry and project work, thereby connecting classroom learning with real environmental challenges in South Tapanuli.</w:t>
      </w:r>
    </w:p>
    <w:p w:rsidR="00E13995" w:rsidRPr="00E13995" w:rsidRDefault="00E13995" w:rsidP="00E13995">
      <w:pPr>
        <w:pStyle w:val="Body"/>
        <w:spacing w:before="120" w:after="120"/>
        <w:rPr>
          <w:rFonts w:ascii="Arial" w:hAnsi="Arial" w:cs="Arial"/>
        </w:rPr>
      </w:pPr>
      <w:r w:rsidRPr="00E13995">
        <w:rPr>
          <w:rFonts w:ascii="Arial" w:hAnsi="Arial" w:cs="Arial"/>
        </w:rPr>
        <w:t xml:space="preserve">For future research, it is recommended that the e-module be evaluated through large-scale experimental or quasi-experimental studies involving diverse school settings to obtain stronger inferential evidence, including significance tests and effect sizes. Further refinement may also explore the integration of differentiated project tasks, cross-disciplinary conservation themes, and digital features such as augmented reality or virtual field simulations to deepen student engagement. Longitudinal studies are also suggested to examine the sustained impact of the e-module on students’ creativity, ecological awareness, and conservation-oriented behaviors </w:t>
      </w:r>
      <w:r w:rsidRPr="00E13995">
        <w:rPr>
          <w:rFonts w:ascii="Arial" w:hAnsi="Arial" w:cs="Arial"/>
        </w:rPr>
        <w:lastRenderedPageBreak/>
        <w:t>over time. Additionally, future work could investigate teacher professional development models that support the adoption of conservation-based digital learning materials in various ecological and cultural contexts.</w:t>
      </w:r>
      <w:r w:rsidR="006B18EC">
        <w:rPr>
          <w:rFonts w:ascii="Arial" w:hAnsi="Arial" w:cs="Arial"/>
        </w:rPr>
        <w:t xml:space="preserve"> </w:t>
      </w:r>
      <w:r w:rsidR="006B18EC" w:rsidRPr="006B18EC">
        <w:rPr>
          <w:rFonts w:ascii="Arial" w:hAnsi="Arial" w:cs="Arial"/>
        </w:rPr>
        <w:t>Such extensions would help consolidate the role of conservation project–based e-modules as a strategic innovation in science education, bridging the gap between curriculum demands, local biodiversity preservation, and the development of students’ 21st-century competences.</w:t>
      </w:r>
    </w:p>
    <w:p w:rsidR="00316805" w:rsidRPr="00316805" w:rsidRDefault="00316805" w:rsidP="00316805">
      <w:pPr>
        <w:rPr>
          <w:rFonts w:ascii="Arial" w:eastAsia="Calibri" w:hAnsi="Arial" w:cs="Arial"/>
          <w:b/>
          <w:kern w:val="2"/>
        </w:rPr>
      </w:pPr>
      <w:r w:rsidRPr="00316805">
        <w:rPr>
          <w:rFonts w:ascii="Arial" w:eastAsia="Calibri" w:hAnsi="Arial" w:cs="Arial"/>
          <w:b/>
          <w:kern w:val="2"/>
        </w:rPr>
        <w:t>Ethical Approval:</w:t>
      </w:r>
    </w:p>
    <w:p w:rsidR="00316805" w:rsidRPr="00316805" w:rsidRDefault="00316805" w:rsidP="00316805">
      <w:pPr>
        <w:rPr>
          <w:rFonts w:ascii="Arial" w:eastAsia="Calibri" w:hAnsi="Arial" w:cs="Arial"/>
          <w:b/>
          <w:kern w:val="2"/>
        </w:rPr>
      </w:pPr>
    </w:p>
    <w:p w:rsidR="00316805" w:rsidRPr="00316805" w:rsidRDefault="00316805" w:rsidP="00316805">
      <w:pPr>
        <w:rPr>
          <w:rFonts w:ascii="Arial" w:eastAsia="Calibri" w:hAnsi="Arial" w:cs="Arial"/>
          <w:kern w:val="2"/>
        </w:rPr>
      </w:pPr>
      <w:r w:rsidRPr="00316805">
        <w:rPr>
          <w:rFonts w:ascii="Arial" w:eastAsia="Calibri" w:hAnsi="Arial" w:cs="Arial"/>
          <w:kern w:val="2"/>
        </w:rPr>
        <w:t>As per international standards or university standards written ethical approval has been collected and preserved by the author(s)</w:t>
      </w:r>
      <w:bookmarkStart w:id="0" w:name="_GoBack"/>
      <w:bookmarkEnd w:id="0"/>
      <w:r w:rsidRPr="00316805">
        <w:rPr>
          <w:rFonts w:ascii="Arial" w:eastAsia="Calibri" w:hAnsi="Arial" w:cs="Arial"/>
          <w:kern w:val="2"/>
        </w:rPr>
        <w:t>.</w:t>
      </w:r>
    </w:p>
    <w:p w:rsidR="00316805" w:rsidRDefault="00316805" w:rsidP="006B18EC">
      <w:pPr>
        <w:rPr>
          <w:rFonts w:ascii="Arial" w:eastAsia="Calibri" w:hAnsi="Arial" w:cs="Arial"/>
          <w:b/>
          <w:kern w:val="2"/>
        </w:rPr>
      </w:pPr>
    </w:p>
    <w:p w:rsidR="006B18EC" w:rsidRPr="00316805" w:rsidRDefault="006B18EC" w:rsidP="006B18EC">
      <w:pPr>
        <w:rPr>
          <w:rFonts w:ascii="Arial" w:eastAsia="Calibri" w:hAnsi="Arial" w:cs="Arial"/>
          <w:b/>
          <w:kern w:val="2"/>
        </w:rPr>
      </w:pPr>
      <w:r w:rsidRPr="00316805">
        <w:rPr>
          <w:rFonts w:ascii="Arial" w:eastAsia="Calibri" w:hAnsi="Arial" w:cs="Arial"/>
          <w:b/>
          <w:kern w:val="2"/>
        </w:rPr>
        <w:t>Disclaimer (Artificial intelligence)</w:t>
      </w:r>
    </w:p>
    <w:p w:rsidR="006B18EC" w:rsidRPr="00B65966" w:rsidRDefault="006B18EC" w:rsidP="006B18EC">
      <w:pPr>
        <w:rPr>
          <w:rFonts w:ascii="Arial" w:eastAsia="Calibri" w:hAnsi="Arial" w:cs="Arial"/>
          <w:kern w:val="2"/>
        </w:rPr>
      </w:pPr>
      <w:r w:rsidRPr="00B65966">
        <w:rPr>
          <w:rFonts w:ascii="Arial" w:eastAsia="Calibri" w:hAnsi="Arial" w:cs="Arial"/>
          <w:kern w:val="2"/>
        </w:rPr>
        <w:t>The authors hereby declare that generative AI technology was used during the writing and editing of this manuscript. The assistance was limited to language refinement, structural organization, and formatting consistency. All intellectual and conceptual contributions—including the research design, data analysis, interpretation, and final approval—were solely conducted by the authors.</w:t>
      </w:r>
    </w:p>
    <w:p w:rsidR="006B18EC" w:rsidRPr="00B65966" w:rsidRDefault="006B18EC" w:rsidP="006B18EC">
      <w:pPr>
        <w:rPr>
          <w:rFonts w:ascii="Arial" w:eastAsia="Calibri" w:hAnsi="Arial" w:cs="Arial"/>
          <w:kern w:val="2"/>
        </w:rPr>
      </w:pPr>
      <w:r w:rsidRPr="00B65966">
        <w:rPr>
          <w:rFonts w:ascii="Arial" w:eastAsia="Calibri" w:hAnsi="Arial" w:cs="Arial"/>
          <w:kern w:val="2"/>
        </w:rPr>
        <w:t>Details of AI usage:</w:t>
      </w:r>
    </w:p>
    <w:p w:rsidR="006B18EC" w:rsidRPr="00B65966" w:rsidRDefault="006B18EC" w:rsidP="006B18EC">
      <w:pPr>
        <w:numPr>
          <w:ilvl w:val="0"/>
          <w:numId w:val="39"/>
        </w:numPr>
        <w:rPr>
          <w:rFonts w:ascii="Arial" w:eastAsia="Calibri" w:hAnsi="Arial" w:cs="Arial"/>
          <w:kern w:val="2"/>
        </w:rPr>
      </w:pPr>
      <w:r w:rsidRPr="00B65966">
        <w:rPr>
          <w:rFonts w:ascii="Arial" w:eastAsia="Calibri" w:hAnsi="Arial" w:cs="Arial"/>
          <w:b/>
          <w:bCs/>
          <w:kern w:val="2"/>
        </w:rPr>
        <w:t>Technology Used:</w:t>
      </w:r>
      <w:r w:rsidRPr="00B65966">
        <w:rPr>
          <w:rFonts w:ascii="Arial" w:eastAsia="Calibri" w:hAnsi="Arial" w:cs="Arial"/>
          <w:kern w:val="2"/>
        </w:rPr>
        <w:t xml:space="preserve"> ChatGPT (GPT-5 model, OpenAI, 2025).</w:t>
      </w:r>
    </w:p>
    <w:p w:rsidR="006B18EC" w:rsidRPr="00B65966" w:rsidRDefault="006B18EC" w:rsidP="006B18EC">
      <w:pPr>
        <w:numPr>
          <w:ilvl w:val="0"/>
          <w:numId w:val="39"/>
        </w:numPr>
        <w:rPr>
          <w:rFonts w:ascii="Arial" w:eastAsia="Calibri" w:hAnsi="Arial" w:cs="Arial"/>
          <w:kern w:val="2"/>
        </w:rPr>
      </w:pPr>
      <w:r w:rsidRPr="00B65966">
        <w:rPr>
          <w:rFonts w:ascii="Arial" w:eastAsia="Calibri" w:hAnsi="Arial" w:cs="Arial"/>
          <w:b/>
          <w:bCs/>
          <w:kern w:val="2"/>
        </w:rPr>
        <w:t>Purpose of Use:</w:t>
      </w:r>
      <w:r w:rsidRPr="00B65966">
        <w:rPr>
          <w:rFonts w:ascii="Arial" w:eastAsia="Calibri" w:hAnsi="Arial" w:cs="Arial"/>
          <w:kern w:val="2"/>
        </w:rPr>
        <w:t xml:space="preserve"> To assist in improving academic writing style, grammar accuracy, and clarity of expression, as well as to structure reviewer responses and summarize methodological sections in clear scholarly English.</w:t>
      </w:r>
    </w:p>
    <w:p w:rsidR="006B18EC" w:rsidRPr="00B65966" w:rsidRDefault="006B18EC" w:rsidP="006B18EC">
      <w:pPr>
        <w:numPr>
          <w:ilvl w:val="0"/>
          <w:numId w:val="39"/>
        </w:numPr>
        <w:rPr>
          <w:rFonts w:ascii="Arial" w:eastAsia="Calibri" w:hAnsi="Arial" w:cs="Arial"/>
          <w:kern w:val="2"/>
        </w:rPr>
      </w:pPr>
      <w:r w:rsidRPr="00B65966">
        <w:rPr>
          <w:rFonts w:ascii="Arial" w:eastAsia="Calibri" w:hAnsi="Arial" w:cs="Arial"/>
          <w:b/>
          <w:bCs/>
          <w:kern w:val="2"/>
        </w:rPr>
        <w:t>Scope and Human Oversight:</w:t>
      </w:r>
      <w:r w:rsidRPr="00B65966">
        <w:rPr>
          <w:rFonts w:ascii="Arial" w:eastAsia="Calibri" w:hAnsi="Arial" w:cs="Arial"/>
          <w:kern w:val="2"/>
        </w:rPr>
        <w:t xml:space="preserve"> The authors carefully reviewed, edited, and validated all AI-generated suggestions to ensure factual accuracy, originality, and alignment with the intended meaning. No AI system contributed to data analysis, result interpretation, or scientific conclusions.</w:t>
      </w:r>
    </w:p>
    <w:p w:rsidR="004D1FB7" w:rsidRDefault="004D1FB7" w:rsidP="00441B6F">
      <w:pPr>
        <w:pStyle w:val="ReferHead"/>
        <w:spacing w:after="0"/>
        <w:jc w:val="both"/>
        <w:rPr>
          <w:rFonts w:ascii="Arial" w:hAnsi="Arial" w:cs="Arial"/>
          <w:b w:val="0"/>
          <w:caps w:val="0"/>
          <w:sz w:val="20"/>
        </w:rPr>
      </w:pPr>
    </w:p>
    <w:p w:rsidR="004D1FB7" w:rsidRPr="004D1FB7" w:rsidRDefault="004D1FB7" w:rsidP="00441B6F">
      <w:pPr>
        <w:pStyle w:val="ReferHead"/>
        <w:spacing w:after="0"/>
        <w:jc w:val="both"/>
        <w:rPr>
          <w:rFonts w:ascii="Arial" w:hAnsi="Arial" w:cs="Arial"/>
        </w:rPr>
      </w:pPr>
      <w:r w:rsidRPr="00FB3A86">
        <w:rPr>
          <w:rFonts w:ascii="Arial" w:hAnsi="Arial" w:cs="Arial"/>
        </w:rPr>
        <w:t>References</w:t>
      </w:r>
    </w:p>
    <w:p w:rsidR="00091805" w:rsidRDefault="00091805" w:rsidP="00441B6F">
      <w:pPr>
        <w:pStyle w:val="ReferHead"/>
        <w:spacing w:after="0"/>
        <w:jc w:val="both"/>
        <w:rPr>
          <w:rFonts w:ascii="Arial" w:hAnsi="Arial" w:cs="Arial"/>
          <w:b w:val="0"/>
          <w:caps w:val="0"/>
          <w:sz w:val="20"/>
        </w:rPr>
      </w:pP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0928A0">
        <w:rPr>
          <w:rFonts w:ascii="Arial" w:hAnsi="Arial" w:cs="Arial"/>
          <w:b/>
          <w:caps/>
        </w:rPr>
        <w:fldChar w:fldCharType="begin" w:fldLock="1"/>
      </w:r>
      <w:r w:rsidRPr="00CD1F59">
        <w:rPr>
          <w:rFonts w:ascii="Arial" w:hAnsi="Arial" w:cs="Arial"/>
          <w:b/>
          <w:caps/>
        </w:rPr>
        <w:instrText xml:space="preserve">ADDIN Mendeley Bibliography CSL_BIBLIOGRAPHY </w:instrText>
      </w:r>
      <w:r w:rsidRPr="000928A0">
        <w:rPr>
          <w:rFonts w:ascii="Arial" w:hAnsi="Arial" w:cs="Arial"/>
          <w:b/>
          <w:caps/>
        </w:rPr>
        <w:fldChar w:fldCharType="separate"/>
      </w:r>
      <w:r w:rsidRPr="00CD1F59">
        <w:rPr>
          <w:rFonts w:ascii="Arial" w:hAnsi="Arial" w:cs="Arial"/>
          <w:noProof/>
        </w:rPr>
        <w:t xml:space="preserve">Agustina, F., Mochamad, Y., &amp; Rahardjanto, A. (2025). Salacca sumatrana - based project-based learning : Students ’ positive attitudes and critical thinking. </w:t>
      </w:r>
      <w:r w:rsidRPr="00CD1F59">
        <w:rPr>
          <w:rFonts w:ascii="Arial" w:hAnsi="Arial" w:cs="Arial"/>
          <w:i/>
          <w:iCs/>
          <w:noProof/>
        </w:rPr>
        <w:t>JPBI (Jurnal Pendidikan Biologi Indonesia)</w:t>
      </w:r>
      <w:r w:rsidRPr="00CD1F59">
        <w:rPr>
          <w:rFonts w:ascii="Arial" w:hAnsi="Arial" w:cs="Arial"/>
          <w:noProof/>
        </w:rPr>
        <w:t xml:space="preserve">, </w:t>
      </w:r>
      <w:r w:rsidRPr="00CD1F59">
        <w:rPr>
          <w:rFonts w:ascii="Arial" w:hAnsi="Arial" w:cs="Arial"/>
          <w:i/>
          <w:iCs/>
          <w:noProof/>
        </w:rPr>
        <w:t>11</w:t>
      </w:r>
      <w:r w:rsidRPr="00CD1F59">
        <w:rPr>
          <w:rFonts w:ascii="Arial" w:hAnsi="Arial" w:cs="Arial"/>
          <w:noProof/>
        </w:rPr>
        <w:t>(2), 753–762. https://doi.org/10.22219/jpbi.v11i 2.40433</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Alanoglu, M., Karabatak, S., &amp; Yang, H. (2025). Understanding university students’ self-directed online learning in the context of emergency remote teaching: the role of online learning readiness and digital literacy. </w:t>
      </w:r>
      <w:r w:rsidRPr="00CD1F59">
        <w:rPr>
          <w:rFonts w:ascii="Arial" w:hAnsi="Arial" w:cs="Arial"/>
          <w:i/>
          <w:iCs/>
          <w:noProof/>
        </w:rPr>
        <w:t>Journal of Computing in Higher Education</w:t>
      </w:r>
      <w:r w:rsidRPr="00CD1F59">
        <w:rPr>
          <w:rFonts w:ascii="Arial" w:hAnsi="Arial" w:cs="Arial"/>
          <w:noProof/>
        </w:rPr>
        <w:t>. https://doi.org/10.1007/s12528-025-09458-0</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Ali, M. I., Malik, A., Aslinda, A., Umar, R., &amp; Dg Bau, Q. (2025). Enhancing environmental education on Mangroves and climate change to achieve SDG 13 in coastal communities of South Sulawesi, Indonesia. </w:t>
      </w:r>
      <w:r w:rsidRPr="00CD1F59">
        <w:rPr>
          <w:rFonts w:ascii="Arial" w:hAnsi="Arial" w:cs="Arial"/>
          <w:i/>
          <w:iCs/>
          <w:noProof/>
        </w:rPr>
        <w:t>International Research in Geographical and Environmental Education</w:t>
      </w:r>
      <w:r w:rsidRPr="00CD1F59">
        <w:rPr>
          <w:rFonts w:ascii="Arial" w:hAnsi="Arial" w:cs="Arial"/>
          <w:noProof/>
        </w:rPr>
        <w:t xml:space="preserve">, </w:t>
      </w:r>
      <w:r w:rsidRPr="00CD1F59">
        <w:rPr>
          <w:rFonts w:ascii="Arial" w:hAnsi="Arial" w:cs="Arial"/>
          <w:i/>
          <w:iCs/>
          <w:noProof/>
        </w:rPr>
        <w:t>2025</w:t>
      </w:r>
      <w:r w:rsidRPr="00CD1F59">
        <w:rPr>
          <w:rFonts w:ascii="Arial" w:hAnsi="Arial" w:cs="Arial"/>
          <w:noProof/>
        </w:rPr>
        <w:t>, 1–20. https://doi.org/10.1080/10382046.2025.2524673</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Alisah, S., Sajidan, S., &amp; Muzzazinah, M. (2025). Development of STEM ethnoscience electronic module on environmental preservation material to improve students ’ science process skills. </w:t>
      </w:r>
      <w:r w:rsidRPr="00CD1F59">
        <w:rPr>
          <w:rFonts w:ascii="Arial" w:hAnsi="Arial" w:cs="Arial"/>
          <w:i/>
          <w:iCs/>
          <w:noProof/>
        </w:rPr>
        <w:t>JPBI (Jurnal Pendidikan Biologi Indonesia)</w:t>
      </w:r>
      <w:r w:rsidRPr="00CD1F59">
        <w:rPr>
          <w:rFonts w:ascii="Arial" w:hAnsi="Arial" w:cs="Arial"/>
          <w:noProof/>
        </w:rPr>
        <w:t xml:space="preserve">, </w:t>
      </w:r>
      <w:r w:rsidRPr="00CD1F59">
        <w:rPr>
          <w:rFonts w:ascii="Arial" w:hAnsi="Arial" w:cs="Arial"/>
          <w:i/>
          <w:iCs/>
          <w:noProof/>
        </w:rPr>
        <w:t>11</w:t>
      </w:r>
      <w:r w:rsidRPr="00CD1F59">
        <w:rPr>
          <w:rFonts w:ascii="Arial" w:hAnsi="Arial" w:cs="Arial"/>
          <w:noProof/>
        </w:rPr>
        <w:t>(2), 683–692. https://doi.org/10.22219/jpbi.v11i2.40955</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Ardoin, N. M., &amp; Bowers, A. W. (2020). Early childhood environmental education: A systematic review of the research literature. </w:t>
      </w:r>
      <w:r w:rsidRPr="00CD1F59">
        <w:rPr>
          <w:rFonts w:ascii="Arial" w:hAnsi="Arial" w:cs="Arial"/>
          <w:i/>
          <w:iCs/>
          <w:noProof/>
        </w:rPr>
        <w:t>Educational Research Review</w:t>
      </w:r>
      <w:r w:rsidRPr="00CD1F59">
        <w:rPr>
          <w:rFonts w:ascii="Arial" w:hAnsi="Arial" w:cs="Arial"/>
          <w:noProof/>
        </w:rPr>
        <w:t xml:space="preserve">, </w:t>
      </w:r>
      <w:r w:rsidRPr="00CD1F59">
        <w:rPr>
          <w:rFonts w:ascii="Arial" w:hAnsi="Arial" w:cs="Arial"/>
          <w:i/>
          <w:iCs/>
          <w:noProof/>
        </w:rPr>
        <w:t>31</w:t>
      </w:r>
      <w:r w:rsidRPr="00CD1F59">
        <w:rPr>
          <w:rFonts w:ascii="Arial" w:hAnsi="Arial" w:cs="Arial"/>
          <w:noProof/>
        </w:rPr>
        <w:t>, 100353. https://doi.org/10.1016/j.edurev.2020.100353</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Branch, R. M. (2009). Instructional design: The ADDIE approach. In </w:t>
      </w:r>
      <w:r w:rsidRPr="00CD1F59">
        <w:rPr>
          <w:rFonts w:ascii="Arial" w:hAnsi="Arial" w:cs="Arial"/>
          <w:i/>
          <w:iCs/>
          <w:noProof/>
        </w:rPr>
        <w:t>Instructional Design: The ADDIE Approach</w:t>
      </w:r>
      <w:r w:rsidRPr="00CD1F59">
        <w:rPr>
          <w:rFonts w:ascii="Arial" w:hAnsi="Arial" w:cs="Arial"/>
          <w:noProof/>
        </w:rPr>
        <w:t>. Springer. https://doi.org/10.1007/978-0-387-09506-6</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Brandt, J.-O., Barth, M., Merritt, E., &amp; Hale, A. (2021). A matter of connection: The 4 Cs of learning in pre-service teacher education for sustainability. </w:t>
      </w:r>
      <w:r w:rsidRPr="00CD1F59">
        <w:rPr>
          <w:rFonts w:ascii="Arial" w:hAnsi="Arial" w:cs="Arial"/>
          <w:i/>
          <w:iCs/>
          <w:noProof/>
        </w:rPr>
        <w:t xml:space="preserve">Journal of Cleaner </w:t>
      </w:r>
      <w:r w:rsidRPr="00CD1F59">
        <w:rPr>
          <w:rFonts w:ascii="Arial" w:hAnsi="Arial" w:cs="Arial"/>
          <w:i/>
          <w:iCs/>
          <w:noProof/>
        </w:rPr>
        <w:lastRenderedPageBreak/>
        <w:t>Production</w:t>
      </w:r>
      <w:r w:rsidRPr="00CD1F59">
        <w:rPr>
          <w:rFonts w:ascii="Arial" w:hAnsi="Arial" w:cs="Arial"/>
          <w:noProof/>
        </w:rPr>
        <w:t xml:space="preserve">, </w:t>
      </w:r>
      <w:r w:rsidRPr="00CD1F59">
        <w:rPr>
          <w:rFonts w:ascii="Arial" w:hAnsi="Arial" w:cs="Arial"/>
          <w:i/>
          <w:iCs/>
          <w:noProof/>
        </w:rPr>
        <w:t>279</w:t>
      </w:r>
      <w:r w:rsidRPr="00CD1F59">
        <w:rPr>
          <w:rFonts w:ascii="Arial" w:hAnsi="Arial" w:cs="Arial"/>
          <w:noProof/>
        </w:rPr>
        <w:t>, 123749. https://doi.org/https://doi.org/10.1016/j.jclepro.2020.123749</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Cheng, V. M. Y. (2019). Developing individual creativity for environmental sustainability: Using an everyday theme in higher education. </w:t>
      </w:r>
      <w:r w:rsidRPr="00CD1F59">
        <w:rPr>
          <w:rFonts w:ascii="Arial" w:hAnsi="Arial" w:cs="Arial"/>
          <w:i/>
          <w:iCs/>
          <w:noProof/>
        </w:rPr>
        <w:t>Thinking Skills and Creativity</w:t>
      </w:r>
      <w:r w:rsidRPr="00CD1F59">
        <w:rPr>
          <w:rFonts w:ascii="Arial" w:hAnsi="Arial" w:cs="Arial"/>
          <w:noProof/>
        </w:rPr>
        <w:t xml:space="preserve">, </w:t>
      </w:r>
      <w:r w:rsidRPr="00CD1F59">
        <w:rPr>
          <w:rFonts w:ascii="Arial" w:hAnsi="Arial" w:cs="Arial"/>
          <w:i/>
          <w:iCs/>
          <w:noProof/>
        </w:rPr>
        <w:t>33</w:t>
      </w:r>
      <w:r w:rsidRPr="00CD1F59">
        <w:rPr>
          <w:rFonts w:ascii="Arial" w:hAnsi="Arial" w:cs="Arial"/>
          <w:noProof/>
        </w:rPr>
        <w:t>, 100567. https://doi.org/https://doi.org/10.1016/j.tsc.2019.05.001</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Dietz, T. (2020). Earth Day: 50 Years of Continuity and Change in Environmentalism. </w:t>
      </w:r>
      <w:r w:rsidRPr="00CD1F59">
        <w:rPr>
          <w:rFonts w:ascii="Arial" w:hAnsi="Arial" w:cs="Arial"/>
          <w:i/>
          <w:iCs/>
          <w:noProof/>
        </w:rPr>
        <w:t>One Earth (Cambridge, Mass.)</w:t>
      </w:r>
      <w:r w:rsidRPr="00CD1F59">
        <w:rPr>
          <w:rFonts w:ascii="Arial" w:hAnsi="Arial" w:cs="Arial"/>
          <w:noProof/>
        </w:rPr>
        <w:t xml:space="preserve">, </w:t>
      </w:r>
      <w:r w:rsidRPr="00CD1F59">
        <w:rPr>
          <w:rFonts w:ascii="Arial" w:hAnsi="Arial" w:cs="Arial"/>
          <w:i/>
          <w:iCs/>
          <w:noProof/>
        </w:rPr>
        <w:t>2</w:t>
      </w:r>
      <w:r w:rsidRPr="00CD1F59">
        <w:rPr>
          <w:rFonts w:ascii="Arial" w:hAnsi="Arial" w:cs="Arial"/>
          <w:noProof/>
        </w:rPr>
        <w:t>(4), 306–308. https://doi.org/10.1016/j.oneear.2020.04.003</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Duchatelet,  Dorothy, Cornelissen,  Frank, &amp; Volman,  Monique. (2023). Features of Experiential Learning Environments in Relation to Generic Learning Outcomes in Higher Education: A Scoping Review. </w:t>
      </w:r>
      <w:r w:rsidRPr="00CD1F59">
        <w:rPr>
          <w:rFonts w:ascii="Arial" w:hAnsi="Arial" w:cs="Arial"/>
          <w:i/>
          <w:iCs/>
          <w:noProof/>
        </w:rPr>
        <w:t>Journal of Experiential Education</w:t>
      </w:r>
      <w:r w:rsidRPr="00CD1F59">
        <w:rPr>
          <w:rFonts w:ascii="Arial" w:hAnsi="Arial" w:cs="Arial"/>
          <w:noProof/>
        </w:rPr>
        <w:t xml:space="preserve">, </w:t>
      </w:r>
      <w:r w:rsidRPr="00CD1F59">
        <w:rPr>
          <w:rFonts w:ascii="Arial" w:hAnsi="Arial" w:cs="Arial"/>
          <w:i/>
          <w:iCs/>
          <w:noProof/>
        </w:rPr>
        <w:t>47</w:t>
      </w:r>
      <w:r w:rsidRPr="00CD1F59">
        <w:rPr>
          <w:rFonts w:ascii="Arial" w:hAnsi="Arial" w:cs="Arial"/>
          <w:noProof/>
        </w:rPr>
        <w:t>(3), 400–423. https://doi.org/10.1177/10538259231211537</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Fajri, S. R., Citrawathi, D. M., Adnyana, P. B., &amp; Putu, I. B. (2025). The strategic role of conservation education in efforts to improve biodiversity literacy : a systematic review. </w:t>
      </w:r>
      <w:r w:rsidRPr="00CD1F59">
        <w:rPr>
          <w:rFonts w:ascii="Arial" w:hAnsi="Arial" w:cs="Arial"/>
          <w:i/>
          <w:iCs/>
          <w:noProof/>
        </w:rPr>
        <w:t>Journal of Turkish Science Education</w:t>
      </w:r>
      <w:r w:rsidRPr="00CD1F59">
        <w:rPr>
          <w:rFonts w:ascii="Arial" w:hAnsi="Arial" w:cs="Arial"/>
          <w:noProof/>
        </w:rPr>
        <w:t xml:space="preserve">, </w:t>
      </w:r>
      <w:r w:rsidRPr="00CD1F59">
        <w:rPr>
          <w:rFonts w:ascii="Arial" w:hAnsi="Arial" w:cs="Arial"/>
          <w:i/>
          <w:iCs/>
          <w:noProof/>
        </w:rPr>
        <w:t>22</w:t>
      </w:r>
      <w:r w:rsidRPr="00CD1F59">
        <w:rPr>
          <w:rFonts w:ascii="Arial" w:hAnsi="Arial" w:cs="Arial"/>
          <w:noProof/>
        </w:rPr>
        <w:t>(2), 374–392.</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Gunawan, H., Basyuni, M., Subarudi, Suharti, S., Kustanti, A., Wahyuni, T., Arifanti, V. B., Yeny, I., Affandi, O., Sugiarti, Zuhriana, D., Lastini, T., Herawati, T., Riswati, M. K., &amp; Effendi, R. (2025). Empowering conservation: the transformative role of mangrove education in Indonesia’s climate strategies. </w:t>
      </w:r>
      <w:r w:rsidRPr="00CD1F59">
        <w:rPr>
          <w:rFonts w:ascii="Arial" w:hAnsi="Arial" w:cs="Arial"/>
          <w:i/>
          <w:iCs/>
          <w:noProof/>
        </w:rPr>
        <w:t>Forest Science and Technology</w:t>
      </w:r>
      <w:r w:rsidRPr="00CD1F59">
        <w:rPr>
          <w:rFonts w:ascii="Arial" w:hAnsi="Arial" w:cs="Arial"/>
          <w:noProof/>
        </w:rPr>
        <w:t xml:space="preserve">, </w:t>
      </w:r>
      <w:r w:rsidRPr="00CD1F59">
        <w:rPr>
          <w:rFonts w:ascii="Arial" w:hAnsi="Arial" w:cs="Arial"/>
          <w:i/>
          <w:iCs/>
          <w:noProof/>
        </w:rPr>
        <w:t>2025</w:t>
      </w:r>
      <w:r w:rsidRPr="00CD1F59">
        <w:rPr>
          <w:rFonts w:ascii="Arial" w:hAnsi="Arial" w:cs="Arial"/>
          <w:noProof/>
        </w:rPr>
        <w:t>, 1–20. https://doi.org/10.1080/21580103.2025.2519475</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Gunawan, H., Setyawati, T., Atmoko, T., Subarudi, Kwatrina, R. T., Yeny, I., Yuwati, T. W., Effendy, R., Abdullah, L., Mukhlisi, Lastini, T., Arini, D. I. D., Sari, U. K., Sitepu, B. S., Pattiselanno, F., &amp; Kuswanda, W. (2024). A review of forest fragmentation in Indonesia under the DPSIR framework for biodiversity conservation strategies. </w:t>
      </w:r>
      <w:r w:rsidRPr="00CD1F59">
        <w:rPr>
          <w:rFonts w:ascii="Arial" w:hAnsi="Arial" w:cs="Arial"/>
          <w:i/>
          <w:iCs/>
          <w:noProof/>
        </w:rPr>
        <w:t>Global Ecology and Conservation</w:t>
      </w:r>
      <w:r w:rsidRPr="00CD1F59">
        <w:rPr>
          <w:rFonts w:ascii="Arial" w:hAnsi="Arial" w:cs="Arial"/>
          <w:noProof/>
        </w:rPr>
        <w:t xml:space="preserve">, </w:t>
      </w:r>
      <w:r w:rsidRPr="00CD1F59">
        <w:rPr>
          <w:rFonts w:ascii="Arial" w:hAnsi="Arial" w:cs="Arial"/>
          <w:i/>
          <w:iCs/>
          <w:noProof/>
        </w:rPr>
        <w:t>51</w:t>
      </w:r>
      <w:r w:rsidRPr="00CD1F59">
        <w:rPr>
          <w:rFonts w:ascii="Arial" w:hAnsi="Arial" w:cs="Arial"/>
          <w:noProof/>
        </w:rPr>
        <w:t>, e02918. https://doi.org/https://doi.org/10.1016/j.gecco.2024.e02918</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Guo, P., Saab, N., Post, L. S., &amp; Admiraal, W. (2020). A review of project-based learning in higher education: Student outcomes and measures. </w:t>
      </w:r>
      <w:r w:rsidRPr="00CD1F59">
        <w:rPr>
          <w:rFonts w:ascii="Arial" w:hAnsi="Arial" w:cs="Arial"/>
          <w:i/>
          <w:iCs/>
          <w:noProof/>
        </w:rPr>
        <w:t>International Journal of Educational Research</w:t>
      </w:r>
      <w:r w:rsidRPr="00CD1F59">
        <w:rPr>
          <w:rFonts w:ascii="Arial" w:hAnsi="Arial" w:cs="Arial"/>
          <w:noProof/>
        </w:rPr>
        <w:t xml:space="preserve">, </w:t>
      </w:r>
      <w:r w:rsidRPr="00CD1F59">
        <w:rPr>
          <w:rFonts w:ascii="Arial" w:hAnsi="Arial" w:cs="Arial"/>
          <w:i/>
          <w:iCs/>
          <w:noProof/>
        </w:rPr>
        <w:t>102</w:t>
      </w:r>
      <w:r w:rsidRPr="00CD1F59">
        <w:rPr>
          <w:rFonts w:ascii="Arial" w:hAnsi="Arial" w:cs="Arial"/>
          <w:noProof/>
        </w:rPr>
        <w:t>, 101586. https://doi.org/https://doi.org/10.1016/j.ijer.2020.101586</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Haetami, H. (2025). AI-Driven Educational Transformation in Indonesia : From Learning Personalization to Institutional Management. </w:t>
      </w:r>
      <w:r w:rsidRPr="00CD1F59">
        <w:rPr>
          <w:rFonts w:ascii="Arial" w:hAnsi="Arial" w:cs="Arial"/>
          <w:i/>
          <w:iCs/>
          <w:noProof/>
        </w:rPr>
        <w:t>Al-Ishlah: Jurnal Pendidikan</w:t>
      </w:r>
      <w:r w:rsidRPr="00CD1F59">
        <w:rPr>
          <w:rFonts w:ascii="Arial" w:hAnsi="Arial" w:cs="Arial"/>
          <w:noProof/>
        </w:rPr>
        <w:t xml:space="preserve">, </w:t>
      </w:r>
      <w:r w:rsidRPr="00CD1F59">
        <w:rPr>
          <w:rFonts w:ascii="Arial" w:hAnsi="Arial" w:cs="Arial"/>
          <w:i/>
          <w:iCs/>
          <w:noProof/>
        </w:rPr>
        <w:t>17</w:t>
      </w:r>
      <w:r w:rsidRPr="00CD1F59">
        <w:rPr>
          <w:rFonts w:ascii="Arial" w:hAnsi="Arial" w:cs="Arial"/>
          <w:noProof/>
        </w:rPr>
        <w:t>(2), 1819–1832. https://doi.org/10.35445/alishlah.v17i2.7448</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Hinostroza, J. E., Armstrong-Gallegos, S., Soto-Valenzuela, P., &amp; Villafaena, M. (2025). Phases and Activities of Technology-Integrated Project-Based Learning in K-12: Findings from a Systematic Literature Review. </w:t>
      </w:r>
      <w:r w:rsidRPr="00CD1F59">
        <w:rPr>
          <w:rFonts w:ascii="Arial" w:hAnsi="Arial" w:cs="Arial"/>
          <w:i/>
          <w:iCs/>
          <w:noProof/>
        </w:rPr>
        <w:t>Education Sciences</w:t>
      </w:r>
      <w:r w:rsidRPr="00CD1F59">
        <w:rPr>
          <w:rFonts w:ascii="Arial" w:hAnsi="Arial" w:cs="Arial"/>
          <w:noProof/>
        </w:rPr>
        <w:t xml:space="preserve">, </w:t>
      </w:r>
      <w:r w:rsidRPr="00CD1F59">
        <w:rPr>
          <w:rFonts w:ascii="Arial" w:hAnsi="Arial" w:cs="Arial"/>
          <w:i/>
          <w:iCs/>
          <w:noProof/>
        </w:rPr>
        <w:t>15</w:t>
      </w:r>
      <w:r w:rsidRPr="00CD1F59">
        <w:rPr>
          <w:rFonts w:ascii="Arial" w:hAnsi="Arial" w:cs="Arial"/>
          <w:noProof/>
        </w:rPr>
        <w:t>(8), 1021. https://doi.org/10.3390/educsci15081021</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Jaenudin, D., Nurhayati, N., Sukmanasa, E., Program, E. M., Pakuan, U., Program, E. E., &amp; Pakuan, U. (2025). Implementation of Local Wisdom-Based e-Module on Ecosystem Concepts to Enhance Elementary School Students ’ Environmental Awareness. </w:t>
      </w:r>
      <w:r w:rsidRPr="00CD1F59">
        <w:rPr>
          <w:rFonts w:ascii="Arial" w:hAnsi="Arial" w:cs="Arial"/>
          <w:i/>
          <w:iCs/>
          <w:noProof/>
        </w:rPr>
        <w:t>Jurnal Penelitian Dan Pembelajaran IPA</w:t>
      </w:r>
      <w:r w:rsidRPr="00CD1F59">
        <w:rPr>
          <w:rFonts w:ascii="Arial" w:hAnsi="Arial" w:cs="Arial"/>
          <w:noProof/>
        </w:rPr>
        <w:t xml:space="preserve">, </w:t>
      </w:r>
      <w:r w:rsidRPr="00CD1F59">
        <w:rPr>
          <w:rFonts w:ascii="Arial" w:hAnsi="Arial" w:cs="Arial"/>
          <w:i/>
          <w:iCs/>
          <w:noProof/>
        </w:rPr>
        <w:t>11</w:t>
      </w:r>
      <w:r w:rsidRPr="00CD1F59">
        <w:rPr>
          <w:rFonts w:ascii="Arial" w:hAnsi="Arial" w:cs="Arial"/>
          <w:noProof/>
        </w:rPr>
        <w:t>(1), 132–143. https://doi.org/10.30870/jppi.v11i1.25378</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Keryan, T., Uhlhorn, B., Wals, A., Jones, M., &amp; Radinger-Peer, V. (2025). Exploring the understanding and integration of nature-based solutions into higher education and TVET: Insights from 7 EU countries. </w:t>
      </w:r>
      <w:r w:rsidRPr="00CD1F59">
        <w:rPr>
          <w:rFonts w:ascii="Arial" w:hAnsi="Arial" w:cs="Arial"/>
          <w:i/>
          <w:iCs/>
          <w:noProof/>
        </w:rPr>
        <w:t>Urban Forestry &amp; Urban Greening</w:t>
      </w:r>
      <w:r w:rsidRPr="00CD1F59">
        <w:rPr>
          <w:rFonts w:ascii="Arial" w:hAnsi="Arial" w:cs="Arial"/>
          <w:noProof/>
        </w:rPr>
        <w:t xml:space="preserve">, </w:t>
      </w:r>
      <w:r w:rsidRPr="00CD1F59">
        <w:rPr>
          <w:rFonts w:ascii="Arial" w:hAnsi="Arial" w:cs="Arial"/>
          <w:i/>
          <w:iCs/>
          <w:noProof/>
        </w:rPr>
        <w:t>114</w:t>
      </w:r>
      <w:r w:rsidRPr="00CD1F59">
        <w:rPr>
          <w:rFonts w:ascii="Arial" w:hAnsi="Arial" w:cs="Arial"/>
          <w:noProof/>
        </w:rPr>
        <w:t>, 129163. https://doi.org/https://doi.org/10.1016/j.ufug.2025.129163</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Khafah, F., Suprapto, P. K., &amp; Nuryadin, E. (2023). The effect of project-based learning model on students’ critical and creative thinking skills in the ecosystem concept. </w:t>
      </w:r>
      <w:r w:rsidRPr="00CD1F59">
        <w:rPr>
          <w:rFonts w:ascii="Arial" w:hAnsi="Arial" w:cs="Arial"/>
          <w:i/>
          <w:iCs/>
          <w:noProof/>
        </w:rPr>
        <w:t>JPBI (Jurnal Pendidikan Biologi Indonesia)</w:t>
      </w:r>
      <w:r w:rsidRPr="00CD1F59">
        <w:rPr>
          <w:rFonts w:ascii="Arial" w:hAnsi="Arial" w:cs="Arial"/>
          <w:noProof/>
        </w:rPr>
        <w:t xml:space="preserve">, </w:t>
      </w:r>
      <w:r w:rsidRPr="00CD1F59">
        <w:rPr>
          <w:rFonts w:ascii="Arial" w:hAnsi="Arial" w:cs="Arial"/>
          <w:i/>
          <w:iCs/>
          <w:noProof/>
        </w:rPr>
        <w:t>9</w:t>
      </w:r>
      <w:r w:rsidRPr="00CD1F59">
        <w:rPr>
          <w:rFonts w:ascii="Arial" w:hAnsi="Arial" w:cs="Arial"/>
          <w:noProof/>
        </w:rPr>
        <w:t>(3), 244–255. https://doi.org/10.22219/jpbi.v9i3.27461</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Kusrini, M. D., Tohir, R. K., Hasibuan, M. M., Aprilianti, R., Sunarto, S., Sheherazade, Mardiastuti, A., Rahman, D. A., Wiantoro, S., Andayani, N., &amp; Chao, N. (2025). Research trends and outlook for Indonesia’s most threatened land </w:t>
      </w:r>
      <w:r w:rsidRPr="00CD1F59">
        <w:rPr>
          <w:rFonts w:ascii="Arial" w:hAnsi="Arial" w:cs="Arial"/>
          <w:noProof/>
        </w:rPr>
        <w:lastRenderedPageBreak/>
        <w:t xml:space="preserve">vertebrates. </w:t>
      </w:r>
      <w:r w:rsidRPr="00CD1F59">
        <w:rPr>
          <w:rFonts w:ascii="Arial" w:hAnsi="Arial" w:cs="Arial"/>
          <w:i/>
          <w:iCs/>
          <w:noProof/>
        </w:rPr>
        <w:t>Oryx</w:t>
      </w:r>
      <w:r w:rsidRPr="00CD1F59">
        <w:rPr>
          <w:rFonts w:ascii="Arial" w:hAnsi="Arial" w:cs="Arial"/>
          <w:noProof/>
        </w:rPr>
        <w:t>, 1–11. https://doi.org/DOI: 10.1017/S0030605324001480</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Leal Filho, W., Raath, S., Lazzarini, B., Vargas, V. R., de Souza, L., Anholon, R., Quelhas, O. L. G., Haddad, R., Klavins, M., &amp; Orlovic, V. L. (2018). The role of transformation in learning and education for sustainability. </w:t>
      </w:r>
      <w:r w:rsidRPr="00CD1F59">
        <w:rPr>
          <w:rFonts w:ascii="Arial" w:hAnsi="Arial" w:cs="Arial"/>
          <w:i/>
          <w:iCs/>
          <w:noProof/>
        </w:rPr>
        <w:t>Journal of Cleaner Production</w:t>
      </w:r>
      <w:r w:rsidRPr="00CD1F59">
        <w:rPr>
          <w:rFonts w:ascii="Arial" w:hAnsi="Arial" w:cs="Arial"/>
          <w:noProof/>
        </w:rPr>
        <w:t xml:space="preserve">, </w:t>
      </w:r>
      <w:r w:rsidRPr="00CD1F59">
        <w:rPr>
          <w:rFonts w:ascii="Arial" w:hAnsi="Arial" w:cs="Arial"/>
          <w:i/>
          <w:iCs/>
          <w:noProof/>
        </w:rPr>
        <w:t>199</w:t>
      </w:r>
      <w:r w:rsidRPr="00CD1F59">
        <w:rPr>
          <w:rFonts w:ascii="Arial" w:hAnsi="Arial" w:cs="Arial"/>
          <w:noProof/>
        </w:rPr>
        <w:t>, 286–295. https://doi.org/https://doi.org/10.1016/j.jclepro.2018.07.017</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Lee, M. Y., &amp; Lee, J. S. (2025). Project-Based Learning as a Catalyst for Integrated STEM Education. </w:t>
      </w:r>
      <w:r w:rsidRPr="00CD1F59">
        <w:rPr>
          <w:rFonts w:ascii="Arial" w:hAnsi="Arial" w:cs="Arial"/>
          <w:i/>
          <w:iCs/>
          <w:noProof/>
        </w:rPr>
        <w:t>Education Sciences</w:t>
      </w:r>
      <w:r w:rsidRPr="00CD1F59">
        <w:rPr>
          <w:rFonts w:ascii="Arial" w:hAnsi="Arial" w:cs="Arial"/>
          <w:noProof/>
        </w:rPr>
        <w:t xml:space="preserve">, </w:t>
      </w:r>
      <w:r w:rsidRPr="00CD1F59">
        <w:rPr>
          <w:rFonts w:ascii="Arial" w:hAnsi="Arial" w:cs="Arial"/>
          <w:i/>
          <w:iCs/>
          <w:noProof/>
        </w:rPr>
        <w:t>15</w:t>
      </w:r>
      <w:r w:rsidRPr="00CD1F59">
        <w:rPr>
          <w:rFonts w:ascii="Arial" w:hAnsi="Arial" w:cs="Arial"/>
          <w:noProof/>
        </w:rPr>
        <w:t>(7), 871. https://doi.org/10.3390/educsci15070871</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Marlina, M., Syafi’i, W., &amp; Suwondo, S. (2025). Validity and practicality of ecosystem e- modules integrated with local wisdom to improve students ’ SCA and critical thinking skills Abstract : </w:t>
      </w:r>
      <w:r w:rsidRPr="00CD1F59">
        <w:rPr>
          <w:rFonts w:ascii="Arial" w:hAnsi="Arial" w:cs="Arial"/>
          <w:i/>
          <w:iCs/>
          <w:noProof/>
        </w:rPr>
        <w:t>JPBI (Jurnal Pendidikan Biologi Indonesia)</w:t>
      </w:r>
      <w:r w:rsidRPr="00CD1F59">
        <w:rPr>
          <w:rFonts w:ascii="Arial" w:hAnsi="Arial" w:cs="Arial"/>
          <w:noProof/>
        </w:rPr>
        <w:t xml:space="preserve">, </w:t>
      </w:r>
      <w:r w:rsidRPr="00CD1F59">
        <w:rPr>
          <w:rFonts w:ascii="Arial" w:hAnsi="Arial" w:cs="Arial"/>
          <w:i/>
          <w:iCs/>
          <w:noProof/>
        </w:rPr>
        <w:t>11</w:t>
      </w:r>
      <w:r w:rsidRPr="00CD1F59">
        <w:rPr>
          <w:rFonts w:ascii="Arial" w:hAnsi="Arial" w:cs="Arial"/>
          <w:noProof/>
        </w:rPr>
        <w:t>(1), 728–741.</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Natori, Y., Nakagawa, T., Saito, T., Kato, T., Seo, T., Yata, M., Sawa, Y., Yasuda, M., Enomoto, A., &amp; Isobe, A. (2025). Conservation education for sustainable development through field internship at NGOs. </w:t>
      </w:r>
      <w:r w:rsidRPr="00CD1F59">
        <w:rPr>
          <w:rFonts w:ascii="Arial" w:hAnsi="Arial" w:cs="Arial"/>
          <w:i/>
          <w:iCs/>
          <w:noProof/>
        </w:rPr>
        <w:t>Current Research in Environmental Sustainability</w:t>
      </w:r>
      <w:r w:rsidRPr="00CD1F59">
        <w:rPr>
          <w:rFonts w:ascii="Arial" w:hAnsi="Arial" w:cs="Arial"/>
          <w:noProof/>
        </w:rPr>
        <w:t xml:space="preserve">, </w:t>
      </w:r>
      <w:r w:rsidRPr="00CD1F59">
        <w:rPr>
          <w:rFonts w:ascii="Arial" w:hAnsi="Arial" w:cs="Arial"/>
          <w:i/>
          <w:iCs/>
          <w:noProof/>
        </w:rPr>
        <w:t>9</w:t>
      </w:r>
      <w:r w:rsidRPr="00CD1F59">
        <w:rPr>
          <w:rFonts w:ascii="Arial" w:hAnsi="Arial" w:cs="Arial"/>
          <w:noProof/>
        </w:rPr>
        <w:t>, 100278. https://doi.org/https://doi.org/10.1016/j.crsust.2024.100278</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Pratama, E. Y. (2016). Young Indonesian students’ learning style and strategies in acquiring English as second language. </w:t>
      </w:r>
      <w:r w:rsidRPr="00CD1F59">
        <w:rPr>
          <w:rFonts w:ascii="Arial" w:hAnsi="Arial" w:cs="Arial"/>
          <w:i/>
          <w:iCs/>
          <w:noProof/>
        </w:rPr>
        <w:t>English Journal</w:t>
      </w:r>
      <w:r w:rsidRPr="00CD1F59">
        <w:rPr>
          <w:rFonts w:ascii="Arial" w:hAnsi="Arial" w:cs="Arial"/>
          <w:noProof/>
        </w:rPr>
        <w:t xml:space="preserve">, </w:t>
      </w:r>
      <w:r w:rsidRPr="00CD1F59">
        <w:rPr>
          <w:rFonts w:ascii="Arial" w:hAnsi="Arial" w:cs="Arial"/>
          <w:i/>
          <w:iCs/>
          <w:noProof/>
        </w:rPr>
        <w:t>19</w:t>
      </w:r>
      <w:r w:rsidRPr="00CD1F59">
        <w:rPr>
          <w:rFonts w:ascii="Arial" w:hAnsi="Arial" w:cs="Arial"/>
          <w:noProof/>
        </w:rPr>
        <w:t>(2), 11–16.</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Rehman, N., Huang, X., Mahmood, A., AlGerafi, M. A. M., &amp; Javed, S. (2024). Project-based learning as a catalyst for 21st-Century skills and student engagement in the math classroom. </w:t>
      </w:r>
      <w:r w:rsidRPr="00CD1F59">
        <w:rPr>
          <w:rFonts w:ascii="Arial" w:hAnsi="Arial" w:cs="Arial"/>
          <w:i/>
          <w:iCs/>
          <w:noProof/>
        </w:rPr>
        <w:t>Heliyon</w:t>
      </w:r>
      <w:r w:rsidRPr="00CD1F59">
        <w:rPr>
          <w:rFonts w:ascii="Arial" w:hAnsi="Arial" w:cs="Arial"/>
          <w:noProof/>
        </w:rPr>
        <w:t xml:space="preserve">, </w:t>
      </w:r>
      <w:r w:rsidRPr="00CD1F59">
        <w:rPr>
          <w:rFonts w:ascii="Arial" w:hAnsi="Arial" w:cs="Arial"/>
          <w:i/>
          <w:iCs/>
          <w:noProof/>
        </w:rPr>
        <w:t>10</w:t>
      </w:r>
      <w:r w:rsidRPr="00CD1F59">
        <w:rPr>
          <w:rFonts w:ascii="Arial" w:hAnsi="Arial" w:cs="Arial"/>
          <w:noProof/>
        </w:rPr>
        <w:t>(23), e39988. https://doi.org/https://doi.org/10.1016/j.heliyon.2024.e39988</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Rodríguez Pérez, L., Azcárate Goded, M. D., &amp; García-González, E. (2024). Environmental Literacy in Initial Teacher Training: Pre-Service Teachers’ Perceptions of the Socio-Environmental Impact of Food. </w:t>
      </w:r>
      <w:r w:rsidRPr="00CD1F59">
        <w:rPr>
          <w:rFonts w:ascii="Arial" w:hAnsi="Arial" w:cs="Arial"/>
          <w:i/>
          <w:iCs/>
          <w:noProof/>
        </w:rPr>
        <w:t>Education Sciences</w:t>
      </w:r>
      <w:r w:rsidRPr="00CD1F59">
        <w:rPr>
          <w:rFonts w:ascii="Arial" w:hAnsi="Arial" w:cs="Arial"/>
          <w:noProof/>
        </w:rPr>
        <w:t xml:space="preserve">, </w:t>
      </w:r>
      <w:r w:rsidRPr="00CD1F59">
        <w:rPr>
          <w:rFonts w:ascii="Arial" w:hAnsi="Arial" w:cs="Arial"/>
          <w:i/>
          <w:iCs/>
          <w:noProof/>
        </w:rPr>
        <w:t>14</w:t>
      </w:r>
      <w:r w:rsidRPr="00CD1F59">
        <w:rPr>
          <w:rFonts w:ascii="Arial" w:hAnsi="Arial" w:cs="Arial"/>
          <w:noProof/>
        </w:rPr>
        <w:t>(8), 912. https://doi.org/10.3390/educsci14080912</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Siladjaja, M., Anwar, Y., &amp; Djan, I. (2022). The Relationship between Dividend Policy and Earnings Quality: The Role of Accounting Information in Indonesia’s Capital Market. </w:t>
      </w:r>
      <w:r w:rsidRPr="00CD1F59">
        <w:rPr>
          <w:rFonts w:ascii="Arial" w:hAnsi="Arial" w:cs="Arial"/>
          <w:i/>
          <w:iCs/>
          <w:noProof/>
        </w:rPr>
        <w:t>Economies</w:t>
      </w:r>
      <w:r w:rsidRPr="00CD1F59">
        <w:rPr>
          <w:rFonts w:ascii="Arial" w:hAnsi="Arial" w:cs="Arial"/>
          <w:noProof/>
        </w:rPr>
        <w:t xml:space="preserve">, </w:t>
      </w:r>
      <w:r w:rsidRPr="00CD1F59">
        <w:rPr>
          <w:rFonts w:ascii="Arial" w:hAnsi="Arial" w:cs="Arial"/>
          <w:i/>
          <w:iCs/>
          <w:noProof/>
        </w:rPr>
        <w:t>10</w:t>
      </w:r>
      <w:r w:rsidRPr="00CD1F59">
        <w:rPr>
          <w:rFonts w:ascii="Arial" w:hAnsi="Arial" w:cs="Arial"/>
          <w:noProof/>
        </w:rPr>
        <w:t>(6), 140. https://doi.org/10.3390/economies10060140</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Siwiec, D., Gajdzik, B., Gawlik, R., Wolniak, R., &amp; Pacana, A. (2025). Open eco-innovations in sustainable product development: Model framework of design thinking in quality life cycle assessment (DT-QLCA). </w:t>
      </w:r>
      <w:r w:rsidRPr="00CD1F59">
        <w:rPr>
          <w:rFonts w:ascii="Arial" w:hAnsi="Arial" w:cs="Arial"/>
          <w:i/>
          <w:iCs/>
          <w:noProof/>
        </w:rPr>
        <w:t>Journal of Open Innovation: Technology, Market, and Complexity</w:t>
      </w:r>
      <w:r w:rsidRPr="00CD1F59">
        <w:rPr>
          <w:rFonts w:ascii="Arial" w:hAnsi="Arial" w:cs="Arial"/>
          <w:noProof/>
        </w:rPr>
        <w:t xml:space="preserve">, </w:t>
      </w:r>
      <w:r w:rsidRPr="00CD1F59">
        <w:rPr>
          <w:rFonts w:ascii="Arial" w:hAnsi="Arial" w:cs="Arial"/>
          <w:i/>
          <w:iCs/>
          <w:noProof/>
        </w:rPr>
        <w:t>11</w:t>
      </w:r>
      <w:r w:rsidRPr="00CD1F59">
        <w:rPr>
          <w:rFonts w:ascii="Arial" w:hAnsi="Arial" w:cs="Arial"/>
          <w:noProof/>
        </w:rPr>
        <w:t>(1), 100480. https://doi.org/https://doi.org/10.1016/j.joitmc.2025.100480</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Staneviciene, E., &amp; Žekienė, G. (2025). The Use of Multimedia in the Teaching and Learning Process of Higher Education: A Systematic Review. </w:t>
      </w:r>
      <w:r w:rsidRPr="00CD1F59">
        <w:rPr>
          <w:rFonts w:ascii="Arial" w:hAnsi="Arial" w:cs="Arial"/>
          <w:i/>
          <w:iCs/>
          <w:noProof/>
        </w:rPr>
        <w:t>Sustainability</w:t>
      </w:r>
      <w:r w:rsidRPr="00CD1F59">
        <w:rPr>
          <w:rFonts w:ascii="Arial" w:hAnsi="Arial" w:cs="Arial"/>
          <w:noProof/>
        </w:rPr>
        <w:t xml:space="preserve">, </w:t>
      </w:r>
      <w:r w:rsidRPr="00CD1F59">
        <w:rPr>
          <w:rFonts w:ascii="Arial" w:hAnsi="Arial" w:cs="Arial"/>
          <w:i/>
          <w:iCs/>
          <w:noProof/>
        </w:rPr>
        <w:t>17</w:t>
      </w:r>
      <w:r w:rsidRPr="00CD1F59">
        <w:rPr>
          <w:rFonts w:ascii="Arial" w:hAnsi="Arial" w:cs="Arial"/>
          <w:noProof/>
        </w:rPr>
        <w:t>(19), 8859. https://doi.org/10.3390/su17198859</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Sural, Ü. Ç., &amp; Sağlık, Z. Y. (2024). Next-generation learning experience: The effect of technology-assisted and printed context-based vocabulary activities on vocabulary knowledge and learning motivation. </w:t>
      </w:r>
      <w:r w:rsidRPr="00CD1F59">
        <w:rPr>
          <w:rFonts w:ascii="Arial" w:hAnsi="Arial" w:cs="Arial"/>
          <w:i/>
          <w:iCs/>
          <w:noProof/>
        </w:rPr>
        <w:t>Education and Information Technologies</w:t>
      </w:r>
      <w:r w:rsidRPr="00CD1F59">
        <w:rPr>
          <w:rFonts w:ascii="Arial" w:hAnsi="Arial" w:cs="Arial"/>
          <w:noProof/>
        </w:rPr>
        <w:t xml:space="preserve">, </w:t>
      </w:r>
      <w:r w:rsidRPr="00CD1F59">
        <w:rPr>
          <w:rFonts w:ascii="Arial" w:hAnsi="Arial" w:cs="Arial"/>
          <w:i/>
          <w:iCs/>
          <w:noProof/>
        </w:rPr>
        <w:t>29</w:t>
      </w:r>
      <w:r w:rsidRPr="00CD1F59">
        <w:rPr>
          <w:rFonts w:ascii="Arial" w:hAnsi="Arial" w:cs="Arial"/>
          <w:noProof/>
        </w:rPr>
        <w:t>(16), 20823–20853. https://doi.org/10.1007/s10639-024-12688-x</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Tal, A. (2025). The Environmental Impacts of Overpopulation. </w:t>
      </w:r>
      <w:r w:rsidRPr="00CD1F59">
        <w:rPr>
          <w:rFonts w:ascii="Arial" w:hAnsi="Arial" w:cs="Arial"/>
          <w:i/>
          <w:iCs/>
          <w:noProof/>
        </w:rPr>
        <w:t>Encyclopedia</w:t>
      </w:r>
      <w:r w:rsidRPr="00CD1F59">
        <w:rPr>
          <w:rFonts w:ascii="Arial" w:hAnsi="Arial" w:cs="Arial"/>
          <w:noProof/>
        </w:rPr>
        <w:t xml:space="preserve">, </w:t>
      </w:r>
      <w:r w:rsidRPr="00CD1F59">
        <w:rPr>
          <w:rFonts w:ascii="Arial" w:hAnsi="Arial" w:cs="Arial"/>
          <w:i/>
          <w:iCs/>
          <w:noProof/>
        </w:rPr>
        <w:t>5</w:t>
      </w:r>
      <w:r w:rsidRPr="00CD1F59">
        <w:rPr>
          <w:rFonts w:ascii="Arial" w:hAnsi="Arial" w:cs="Arial"/>
          <w:noProof/>
        </w:rPr>
        <w:t>(2). https://doi.org/10.3390/encyclopedia5020045</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Tong, D. H., Uyen, B. P., &amp; Ngan, L. K. (2022). The effectiveness of blended learning on students’ academic achievement, self-study skills and learning attitudes: A quasi-experiment study in teaching the conventions for coordinates in the plane. </w:t>
      </w:r>
      <w:r w:rsidRPr="00CD1F59">
        <w:rPr>
          <w:rFonts w:ascii="Arial" w:hAnsi="Arial" w:cs="Arial"/>
          <w:i/>
          <w:iCs/>
          <w:noProof/>
        </w:rPr>
        <w:t>Heliyon</w:t>
      </w:r>
      <w:r w:rsidRPr="00CD1F59">
        <w:rPr>
          <w:rFonts w:ascii="Arial" w:hAnsi="Arial" w:cs="Arial"/>
          <w:noProof/>
        </w:rPr>
        <w:t xml:space="preserve">, </w:t>
      </w:r>
      <w:r w:rsidRPr="00CD1F59">
        <w:rPr>
          <w:rFonts w:ascii="Arial" w:hAnsi="Arial" w:cs="Arial"/>
          <w:i/>
          <w:iCs/>
          <w:noProof/>
        </w:rPr>
        <w:t>8</w:t>
      </w:r>
      <w:r w:rsidRPr="00CD1F59">
        <w:rPr>
          <w:rFonts w:ascii="Arial" w:hAnsi="Arial" w:cs="Arial"/>
          <w:noProof/>
        </w:rPr>
        <w:t>(12), e12657. https://doi.org/https://doi.org/10.1016/j.heliyon.2022.e12657</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Torkar, G. (2014). Learning experiences that produce environmentally active and informed minds. </w:t>
      </w:r>
      <w:r w:rsidRPr="00CD1F59">
        <w:rPr>
          <w:rFonts w:ascii="Arial" w:hAnsi="Arial" w:cs="Arial"/>
          <w:i/>
          <w:iCs/>
          <w:noProof/>
        </w:rPr>
        <w:t>NJAS - Wageningen Journal of Life Sciences</w:t>
      </w:r>
      <w:r w:rsidRPr="00CD1F59">
        <w:rPr>
          <w:rFonts w:ascii="Arial" w:hAnsi="Arial" w:cs="Arial"/>
          <w:noProof/>
        </w:rPr>
        <w:t xml:space="preserve">, </w:t>
      </w:r>
      <w:r w:rsidRPr="00CD1F59">
        <w:rPr>
          <w:rFonts w:ascii="Arial" w:hAnsi="Arial" w:cs="Arial"/>
          <w:i/>
          <w:iCs/>
          <w:noProof/>
        </w:rPr>
        <w:t>69</w:t>
      </w:r>
      <w:r w:rsidRPr="00CD1F59">
        <w:rPr>
          <w:rFonts w:ascii="Arial" w:hAnsi="Arial" w:cs="Arial"/>
          <w:noProof/>
        </w:rPr>
        <w:t>, 49–55. https://doi.org/https://doi.org/10.1016/j.njas.2014.03.002</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Ulfaturrohmatiririn, Z., Nisa, K., Syehab, R., &amp; Khoirotussiha, F. (2023). Character Education Based on Local Wisdom at SMA Negeri 1 Teladan Yogyakarta : A Model for Addressing Contemporary Challenges in the Digital Era. </w:t>
      </w:r>
      <w:r w:rsidRPr="00CD1F59">
        <w:rPr>
          <w:rFonts w:ascii="Arial" w:hAnsi="Arial" w:cs="Arial"/>
          <w:i/>
          <w:iCs/>
          <w:noProof/>
        </w:rPr>
        <w:t xml:space="preserve">JIEMR: Journal of </w:t>
      </w:r>
      <w:r w:rsidRPr="00CD1F59">
        <w:rPr>
          <w:rFonts w:ascii="Arial" w:hAnsi="Arial" w:cs="Arial"/>
          <w:i/>
          <w:iCs/>
          <w:noProof/>
        </w:rPr>
        <w:lastRenderedPageBreak/>
        <w:t>Islamic Education Management Research</w:t>
      </w:r>
      <w:r w:rsidRPr="00CD1F59">
        <w:rPr>
          <w:rFonts w:ascii="Arial" w:hAnsi="Arial" w:cs="Arial"/>
          <w:noProof/>
        </w:rPr>
        <w:t xml:space="preserve">, </w:t>
      </w:r>
      <w:r w:rsidRPr="00CD1F59">
        <w:rPr>
          <w:rFonts w:ascii="Arial" w:hAnsi="Arial" w:cs="Arial"/>
          <w:i/>
          <w:iCs/>
          <w:noProof/>
        </w:rPr>
        <w:t>1</w:t>
      </w:r>
      <w:r w:rsidRPr="00CD1F59">
        <w:rPr>
          <w:rFonts w:ascii="Arial" w:hAnsi="Arial" w:cs="Arial"/>
          <w:noProof/>
        </w:rPr>
        <w:t>(2), 177–188.</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Widiyatmoko, A., Taufiq, M., Purwinarko, A., Wusqo, I. U., &amp; Salma, M. (2022). The Effect of Environmental Pollution Game-Based Learning on Improving Students ’ Conceptual Understanding and Environmental Awareness. </w:t>
      </w:r>
      <w:r w:rsidRPr="00CD1F59">
        <w:rPr>
          <w:rFonts w:ascii="Arial" w:hAnsi="Arial" w:cs="Arial"/>
          <w:i/>
          <w:iCs/>
          <w:noProof/>
        </w:rPr>
        <w:t>Journal of Innovation in Educational and Cultural Research</w:t>
      </w:r>
      <w:r w:rsidRPr="00CD1F59">
        <w:rPr>
          <w:rFonts w:ascii="Arial" w:hAnsi="Arial" w:cs="Arial"/>
          <w:noProof/>
        </w:rPr>
        <w:t xml:space="preserve">, </w:t>
      </w:r>
      <w:r w:rsidRPr="00CD1F59">
        <w:rPr>
          <w:rFonts w:ascii="Arial" w:hAnsi="Arial" w:cs="Arial"/>
          <w:i/>
          <w:iCs/>
          <w:noProof/>
        </w:rPr>
        <w:t>3</w:t>
      </w:r>
      <w:r w:rsidRPr="00CD1F59">
        <w:rPr>
          <w:rFonts w:ascii="Arial" w:hAnsi="Arial" w:cs="Arial"/>
          <w:noProof/>
        </w:rPr>
        <w:t>(4), 691–700. https://doi.org/10.46843/jiecr.v3i4.344</w:t>
      </w:r>
    </w:p>
    <w:p w:rsidR="00FA1874" w:rsidRPr="00CD1F59" w:rsidRDefault="00FA1874" w:rsidP="00CD1F59">
      <w:pPr>
        <w:pStyle w:val="ListParagraph"/>
        <w:widowControl w:val="0"/>
        <w:numPr>
          <w:ilvl w:val="0"/>
          <w:numId w:val="40"/>
        </w:numPr>
        <w:autoSpaceDE w:val="0"/>
        <w:autoSpaceDN w:val="0"/>
        <w:adjustRightInd w:val="0"/>
        <w:rPr>
          <w:rFonts w:ascii="Arial" w:hAnsi="Arial" w:cs="Arial"/>
          <w:noProof/>
        </w:rPr>
      </w:pPr>
      <w:r w:rsidRPr="00CD1F59">
        <w:rPr>
          <w:rFonts w:ascii="Arial" w:hAnsi="Arial" w:cs="Arial"/>
          <w:noProof/>
        </w:rPr>
        <w:t xml:space="preserve">Zidny, R., Sjöström, J., &amp; Eilks, I. (2020). A Multi-Perspective Reflection on How Indigenous Knowledge and Related Ideas Can Improve Science Education for Sustainability. </w:t>
      </w:r>
      <w:r w:rsidRPr="00CD1F59">
        <w:rPr>
          <w:rFonts w:ascii="Arial" w:hAnsi="Arial" w:cs="Arial"/>
          <w:i/>
          <w:iCs/>
          <w:noProof/>
        </w:rPr>
        <w:t>Science &amp; Education</w:t>
      </w:r>
      <w:r w:rsidRPr="00CD1F59">
        <w:rPr>
          <w:rFonts w:ascii="Arial" w:hAnsi="Arial" w:cs="Arial"/>
          <w:noProof/>
        </w:rPr>
        <w:t xml:space="preserve">, </w:t>
      </w:r>
      <w:r w:rsidRPr="00CD1F59">
        <w:rPr>
          <w:rFonts w:ascii="Arial" w:hAnsi="Arial" w:cs="Arial"/>
          <w:i/>
          <w:iCs/>
          <w:noProof/>
        </w:rPr>
        <w:t>29</w:t>
      </w:r>
      <w:r w:rsidRPr="00CD1F59">
        <w:rPr>
          <w:rFonts w:ascii="Arial" w:hAnsi="Arial" w:cs="Arial"/>
          <w:noProof/>
        </w:rPr>
        <w:t>(1), 145–185. https://doi.org/10.1007/s11191-019-00100-x</w:t>
      </w:r>
    </w:p>
    <w:p w:rsidR="00FA1874" w:rsidRPr="004D1FB7" w:rsidRDefault="00FA1874" w:rsidP="00441B6F">
      <w:pPr>
        <w:pStyle w:val="ReferHead"/>
        <w:spacing w:after="0"/>
        <w:jc w:val="both"/>
        <w:rPr>
          <w:rFonts w:ascii="Arial" w:hAnsi="Arial" w:cs="Arial"/>
          <w:b w:val="0"/>
          <w:caps w:val="0"/>
          <w:sz w:val="20"/>
        </w:rPr>
      </w:pPr>
      <w:r w:rsidRPr="000928A0">
        <w:rPr>
          <w:rFonts w:ascii="Arial" w:hAnsi="Arial" w:cs="Arial"/>
          <w:b w:val="0"/>
          <w:caps w:val="0"/>
          <w:sz w:val="20"/>
        </w:rPr>
        <w:fldChar w:fldCharType="end"/>
      </w:r>
    </w:p>
    <w:p w:rsidR="004D4277" w:rsidRDefault="004D4277" w:rsidP="00441B6F">
      <w:pPr>
        <w:pStyle w:val="Appendix"/>
        <w:spacing w:after="0"/>
        <w:jc w:val="both"/>
        <w:rPr>
          <w:rFonts w:ascii="Arial" w:hAnsi="Arial" w:cs="Arial"/>
          <w:b w:val="0"/>
        </w:rPr>
      </w:pPr>
    </w:p>
    <w:p w:rsidR="001B0917" w:rsidRPr="00FB3A86" w:rsidRDefault="001B0917" w:rsidP="00441B6F">
      <w:pPr>
        <w:pStyle w:val="Appendix"/>
        <w:spacing w:after="0"/>
        <w:jc w:val="both"/>
        <w:rPr>
          <w:rFonts w:ascii="Arial" w:hAnsi="Arial" w:cs="Arial"/>
          <w:b w:val="0"/>
        </w:rPr>
        <w:sectPr w:rsidR="001B0917" w:rsidRPr="00FB3A86" w:rsidSect="004307D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4307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5F5" w:rsidRDefault="00F455F5" w:rsidP="00C37E61">
      <w:r>
        <w:separator/>
      </w:r>
    </w:p>
  </w:endnote>
  <w:endnote w:type="continuationSeparator" w:id="0">
    <w:p w:rsidR="00F455F5" w:rsidRDefault="00F455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5F5" w:rsidRDefault="00F455F5" w:rsidP="00C37E61">
      <w:r>
        <w:separator/>
      </w:r>
    </w:p>
  </w:footnote>
  <w:footnote w:type="continuationSeparator" w:id="0">
    <w:p w:rsidR="00F455F5" w:rsidRDefault="00F455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7D6" w:rsidRDefault="00F455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78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7D6" w:rsidRDefault="00F455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78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F455F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78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7D6" w:rsidRDefault="00F455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787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7D6" w:rsidRDefault="00F455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787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7D6" w:rsidRDefault="00F455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787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D143CD"/>
    <w:multiLevelType w:val="multilevel"/>
    <w:tmpl w:val="8F80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0B0179"/>
    <w:multiLevelType w:val="multilevel"/>
    <w:tmpl w:val="729C48D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E18D4"/>
    <w:multiLevelType w:val="multilevel"/>
    <w:tmpl w:val="8B9C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F67520"/>
    <w:multiLevelType w:val="hybridMultilevel"/>
    <w:tmpl w:val="8690CB6C"/>
    <w:lvl w:ilvl="0" w:tplc="3CA86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5483707"/>
    <w:multiLevelType w:val="multilevel"/>
    <w:tmpl w:val="A51A8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B5798F"/>
    <w:multiLevelType w:val="multilevel"/>
    <w:tmpl w:val="5EB2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1363B"/>
    <w:multiLevelType w:val="multilevel"/>
    <w:tmpl w:val="66EE4A1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F17BA6"/>
    <w:multiLevelType w:val="multilevel"/>
    <w:tmpl w:val="CCDE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F133A"/>
    <w:multiLevelType w:val="hybridMultilevel"/>
    <w:tmpl w:val="8272CF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4AB4FF2"/>
    <w:multiLevelType w:val="multilevel"/>
    <w:tmpl w:val="6778C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5"/>
  </w:num>
  <w:num w:numId="10">
    <w:abstractNumId w:val="2"/>
  </w:num>
  <w:num w:numId="11">
    <w:abstractNumId w:val="28"/>
  </w:num>
  <w:num w:numId="12">
    <w:abstractNumId w:val="3"/>
  </w:num>
  <w:num w:numId="13">
    <w:abstractNumId w:val="26"/>
  </w:num>
  <w:num w:numId="14">
    <w:abstractNumId w:val="10"/>
  </w:num>
  <w:num w:numId="15">
    <w:abstractNumId w:val="31"/>
  </w:num>
  <w:num w:numId="16">
    <w:abstractNumId w:val="5"/>
  </w:num>
  <w:num w:numId="17">
    <w:abstractNumId w:val="32"/>
  </w:num>
  <w:num w:numId="18">
    <w:abstractNumId w:val="18"/>
  </w:num>
  <w:num w:numId="19">
    <w:abstractNumId w:val="38"/>
  </w:num>
  <w:num w:numId="20">
    <w:abstractNumId w:val="14"/>
  </w:num>
  <w:num w:numId="21">
    <w:abstractNumId w:val="11"/>
  </w:num>
  <w:num w:numId="22">
    <w:abstractNumId w:val="17"/>
  </w:num>
  <w:num w:numId="23">
    <w:abstractNumId w:val="29"/>
  </w:num>
  <w:num w:numId="24">
    <w:abstractNumId w:val="36"/>
  </w:num>
  <w:num w:numId="25">
    <w:abstractNumId w:val="4"/>
  </w:num>
  <w:num w:numId="26">
    <w:abstractNumId w:val="24"/>
  </w:num>
  <w:num w:numId="27">
    <w:abstractNumId w:val="30"/>
  </w:num>
  <w:num w:numId="28">
    <w:abstractNumId w:val="37"/>
  </w:num>
  <w:num w:numId="29">
    <w:abstractNumId w:val="34"/>
  </w:num>
  <w:num w:numId="30">
    <w:abstractNumId w:val="12"/>
  </w:num>
  <w:num w:numId="31">
    <w:abstractNumId w:val="13"/>
  </w:num>
  <w:num w:numId="32">
    <w:abstractNumId w:val="20"/>
  </w:num>
  <w:num w:numId="33">
    <w:abstractNumId w:val="22"/>
  </w:num>
  <w:num w:numId="34">
    <w:abstractNumId w:val="19"/>
  </w:num>
  <w:num w:numId="35">
    <w:abstractNumId w:val="6"/>
  </w:num>
  <w:num w:numId="36">
    <w:abstractNumId w:val="21"/>
  </w:num>
  <w:num w:numId="37">
    <w:abstractNumId w:val="8"/>
  </w:num>
  <w:num w:numId="38">
    <w:abstractNumId w:val="16"/>
  </w:num>
  <w:num w:numId="39">
    <w:abstractNumId w:val="2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29EE"/>
    <w:rsid w:val="0004579C"/>
    <w:rsid w:val="00091805"/>
    <w:rsid w:val="00091FC8"/>
    <w:rsid w:val="000928A0"/>
    <w:rsid w:val="000A47FA"/>
    <w:rsid w:val="000A65D3"/>
    <w:rsid w:val="000B1E33"/>
    <w:rsid w:val="000C76C0"/>
    <w:rsid w:val="000C7917"/>
    <w:rsid w:val="000D689F"/>
    <w:rsid w:val="000E7B7B"/>
    <w:rsid w:val="000E7D62"/>
    <w:rsid w:val="00103357"/>
    <w:rsid w:val="00123C9F"/>
    <w:rsid w:val="00126190"/>
    <w:rsid w:val="00130F17"/>
    <w:rsid w:val="001320BF"/>
    <w:rsid w:val="00155B61"/>
    <w:rsid w:val="00163BC4"/>
    <w:rsid w:val="00191062"/>
    <w:rsid w:val="00192B72"/>
    <w:rsid w:val="001A29D8"/>
    <w:rsid w:val="001A5CAA"/>
    <w:rsid w:val="001B0427"/>
    <w:rsid w:val="001B0917"/>
    <w:rsid w:val="001D3A51"/>
    <w:rsid w:val="001E10D2"/>
    <w:rsid w:val="001E25B4"/>
    <w:rsid w:val="001E44FE"/>
    <w:rsid w:val="00200595"/>
    <w:rsid w:val="00204835"/>
    <w:rsid w:val="00231920"/>
    <w:rsid w:val="0023195C"/>
    <w:rsid w:val="0024282C"/>
    <w:rsid w:val="002460DC"/>
    <w:rsid w:val="00250985"/>
    <w:rsid w:val="002519B3"/>
    <w:rsid w:val="002556F6"/>
    <w:rsid w:val="00283105"/>
    <w:rsid w:val="00284C4C"/>
    <w:rsid w:val="00287E68"/>
    <w:rsid w:val="00296529"/>
    <w:rsid w:val="002B27FB"/>
    <w:rsid w:val="002B685A"/>
    <w:rsid w:val="002C57D2"/>
    <w:rsid w:val="002C64D3"/>
    <w:rsid w:val="002E0D56"/>
    <w:rsid w:val="002F6C12"/>
    <w:rsid w:val="00315186"/>
    <w:rsid w:val="00316805"/>
    <w:rsid w:val="0033343E"/>
    <w:rsid w:val="00346DF0"/>
    <w:rsid w:val="003512C2"/>
    <w:rsid w:val="0036223F"/>
    <w:rsid w:val="00371FB6"/>
    <w:rsid w:val="003763C1"/>
    <w:rsid w:val="00376BBE"/>
    <w:rsid w:val="0039224F"/>
    <w:rsid w:val="003A43A4"/>
    <w:rsid w:val="003A7E18"/>
    <w:rsid w:val="003C4C86"/>
    <w:rsid w:val="003C6258"/>
    <w:rsid w:val="003C7A4C"/>
    <w:rsid w:val="003E2904"/>
    <w:rsid w:val="003E3100"/>
    <w:rsid w:val="003F55CD"/>
    <w:rsid w:val="00401927"/>
    <w:rsid w:val="0041027F"/>
    <w:rsid w:val="00412475"/>
    <w:rsid w:val="00423789"/>
    <w:rsid w:val="004307D6"/>
    <w:rsid w:val="00440F43"/>
    <w:rsid w:val="00441B6F"/>
    <w:rsid w:val="00446221"/>
    <w:rsid w:val="00450E62"/>
    <w:rsid w:val="004539DB"/>
    <w:rsid w:val="00471A80"/>
    <w:rsid w:val="004B5747"/>
    <w:rsid w:val="004D1FB7"/>
    <w:rsid w:val="004D25A4"/>
    <w:rsid w:val="004D305E"/>
    <w:rsid w:val="004D4277"/>
    <w:rsid w:val="004E19A4"/>
    <w:rsid w:val="004E2DA4"/>
    <w:rsid w:val="004F0F27"/>
    <w:rsid w:val="00502516"/>
    <w:rsid w:val="00505F06"/>
    <w:rsid w:val="00506828"/>
    <w:rsid w:val="0053056E"/>
    <w:rsid w:val="00550AC3"/>
    <w:rsid w:val="00554FDA"/>
    <w:rsid w:val="00571A9A"/>
    <w:rsid w:val="00576FD9"/>
    <w:rsid w:val="005C784C"/>
    <w:rsid w:val="005D17F6"/>
    <w:rsid w:val="005E5539"/>
    <w:rsid w:val="00602BF5"/>
    <w:rsid w:val="00607111"/>
    <w:rsid w:val="00617FDD"/>
    <w:rsid w:val="00633614"/>
    <w:rsid w:val="00633F68"/>
    <w:rsid w:val="00636EB2"/>
    <w:rsid w:val="006375B8"/>
    <w:rsid w:val="006542EC"/>
    <w:rsid w:val="0066510A"/>
    <w:rsid w:val="00673F9F"/>
    <w:rsid w:val="00683F50"/>
    <w:rsid w:val="00686953"/>
    <w:rsid w:val="00687DEA"/>
    <w:rsid w:val="00687E67"/>
    <w:rsid w:val="00695BAD"/>
    <w:rsid w:val="006967F7"/>
    <w:rsid w:val="006A250C"/>
    <w:rsid w:val="006B18EC"/>
    <w:rsid w:val="006B21D3"/>
    <w:rsid w:val="006B57D0"/>
    <w:rsid w:val="006D30FF"/>
    <w:rsid w:val="006D6940"/>
    <w:rsid w:val="006E420C"/>
    <w:rsid w:val="006F11EC"/>
    <w:rsid w:val="0070082C"/>
    <w:rsid w:val="00726AED"/>
    <w:rsid w:val="007369E6"/>
    <w:rsid w:val="00746E59"/>
    <w:rsid w:val="007478D0"/>
    <w:rsid w:val="00754C9A"/>
    <w:rsid w:val="0075599A"/>
    <w:rsid w:val="00761D52"/>
    <w:rsid w:val="007651E1"/>
    <w:rsid w:val="0077749E"/>
    <w:rsid w:val="00790ADA"/>
    <w:rsid w:val="00795773"/>
    <w:rsid w:val="007D2288"/>
    <w:rsid w:val="007D39A2"/>
    <w:rsid w:val="007E088F"/>
    <w:rsid w:val="007F7B32"/>
    <w:rsid w:val="00804BC2"/>
    <w:rsid w:val="0081431A"/>
    <w:rsid w:val="0083216F"/>
    <w:rsid w:val="00860000"/>
    <w:rsid w:val="00863BD3"/>
    <w:rsid w:val="008641ED"/>
    <w:rsid w:val="008656DD"/>
    <w:rsid w:val="00866D66"/>
    <w:rsid w:val="008671C6"/>
    <w:rsid w:val="00875803"/>
    <w:rsid w:val="008B1B16"/>
    <w:rsid w:val="008B459E"/>
    <w:rsid w:val="008E13AE"/>
    <w:rsid w:val="008E1506"/>
    <w:rsid w:val="008E710C"/>
    <w:rsid w:val="008F69D6"/>
    <w:rsid w:val="00902823"/>
    <w:rsid w:val="00915CA6"/>
    <w:rsid w:val="00927834"/>
    <w:rsid w:val="009308B9"/>
    <w:rsid w:val="009500A6"/>
    <w:rsid w:val="00957C18"/>
    <w:rsid w:val="009659BA"/>
    <w:rsid w:val="00983040"/>
    <w:rsid w:val="009B3FB9"/>
    <w:rsid w:val="009B75E8"/>
    <w:rsid w:val="009C2465"/>
    <w:rsid w:val="009D35A0"/>
    <w:rsid w:val="009D7EB7"/>
    <w:rsid w:val="009E048A"/>
    <w:rsid w:val="009E08E9"/>
    <w:rsid w:val="009E3DB9"/>
    <w:rsid w:val="009E6E35"/>
    <w:rsid w:val="009F0EDA"/>
    <w:rsid w:val="009F3BCA"/>
    <w:rsid w:val="00A03B96"/>
    <w:rsid w:val="00A05B19"/>
    <w:rsid w:val="00A1134E"/>
    <w:rsid w:val="00A24E7E"/>
    <w:rsid w:val="00A258C3"/>
    <w:rsid w:val="00A347C0"/>
    <w:rsid w:val="00A51431"/>
    <w:rsid w:val="00A539AD"/>
    <w:rsid w:val="00A92425"/>
    <w:rsid w:val="00A94063"/>
    <w:rsid w:val="00AA5C9B"/>
    <w:rsid w:val="00AA6219"/>
    <w:rsid w:val="00AA74E0"/>
    <w:rsid w:val="00AB703F"/>
    <w:rsid w:val="00AC6BB8"/>
    <w:rsid w:val="00AE008F"/>
    <w:rsid w:val="00B01FCD"/>
    <w:rsid w:val="00B1776C"/>
    <w:rsid w:val="00B44352"/>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5527"/>
    <w:rsid w:val="00C37E61"/>
    <w:rsid w:val="00C70F1B"/>
    <w:rsid w:val="00C71A47"/>
    <w:rsid w:val="00C7464C"/>
    <w:rsid w:val="00C85588"/>
    <w:rsid w:val="00CD1F59"/>
    <w:rsid w:val="00CD6755"/>
    <w:rsid w:val="00CD6856"/>
    <w:rsid w:val="00CE0089"/>
    <w:rsid w:val="00CE793C"/>
    <w:rsid w:val="00CF193C"/>
    <w:rsid w:val="00D173F1"/>
    <w:rsid w:val="00D74CB0"/>
    <w:rsid w:val="00D75753"/>
    <w:rsid w:val="00D80993"/>
    <w:rsid w:val="00D8295D"/>
    <w:rsid w:val="00DB0E0E"/>
    <w:rsid w:val="00DC2A65"/>
    <w:rsid w:val="00DE15F0"/>
    <w:rsid w:val="00DE5663"/>
    <w:rsid w:val="00DE78AA"/>
    <w:rsid w:val="00DF69C8"/>
    <w:rsid w:val="00E053D0"/>
    <w:rsid w:val="00E13995"/>
    <w:rsid w:val="00E15994"/>
    <w:rsid w:val="00E3114E"/>
    <w:rsid w:val="00E31A70"/>
    <w:rsid w:val="00E35B02"/>
    <w:rsid w:val="00E66496"/>
    <w:rsid w:val="00E66B35"/>
    <w:rsid w:val="00E66E10"/>
    <w:rsid w:val="00E761A5"/>
    <w:rsid w:val="00E769F6"/>
    <w:rsid w:val="00E8407C"/>
    <w:rsid w:val="00E84F3C"/>
    <w:rsid w:val="00EA012C"/>
    <w:rsid w:val="00EC6A55"/>
    <w:rsid w:val="00ED0288"/>
    <w:rsid w:val="00EE52CB"/>
    <w:rsid w:val="00EF581D"/>
    <w:rsid w:val="00EF7FD8"/>
    <w:rsid w:val="00F06F59"/>
    <w:rsid w:val="00F13FE3"/>
    <w:rsid w:val="00F17988"/>
    <w:rsid w:val="00F455F5"/>
    <w:rsid w:val="00F469F0"/>
    <w:rsid w:val="00F53273"/>
    <w:rsid w:val="00F56FD9"/>
    <w:rsid w:val="00F755E4"/>
    <w:rsid w:val="00F77D02"/>
    <w:rsid w:val="00FA187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438B0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519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B09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D809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B091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D80993"/>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2519B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0C7917"/>
    <w:rPr>
      <w:rFonts w:ascii="Helvetica" w:hAnsi="Helvetica"/>
    </w:rPr>
  </w:style>
  <w:style w:type="paragraph" w:styleId="ListParagraph">
    <w:name w:val="List Paragraph"/>
    <w:basedOn w:val="Normal"/>
    <w:uiPriority w:val="34"/>
    <w:qFormat/>
    <w:rsid w:val="00CD1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597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28872-BFF0-438B-852B-D5527443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13</Pages>
  <Words>19034</Words>
  <Characters>108495</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127275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9</cp:revision>
  <cp:lastPrinted>1999-07-06T11:00:00Z</cp:lastPrinted>
  <dcterms:created xsi:type="dcterms:W3CDTF">2025-11-26T14:58:00Z</dcterms:created>
  <dcterms:modified xsi:type="dcterms:W3CDTF">2025-11-28T11:01:00Z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http://www.zotero.org/styles/annals-of-agricultural-sciences</vt:lpwstr>
  </property>
  <property fmtid="{D5CDD505-2E9C-101B-9397-08002B2CF9AE}" pid="5" name="Mendeley Recent Style Name 1_1">
    <vt:lpwstr>Annals of Agricultural Sciences</vt:lpwstr>
  </property>
  <property fmtid="{D5CDD505-2E9C-101B-9397-08002B2CF9AE}" pid="6" name="Mendeley Recent Style Id 2_1">
    <vt:lpwstr>http://www.zotero.org/styles/cell-numeric</vt:lpwstr>
  </property>
  <property fmtid="{D5CDD505-2E9C-101B-9397-08002B2CF9AE}" pid="7" name="Mendeley Recent Style Name 2_1">
    <vt:lpwstr>Cell journals (numeric)</vt:lpwstr>
  </property>
  <property fmtid="{D5CDD505-2E9C-101B-9397-08002B2CF9AE}" pid="8" name="Mendeley Recent Style Id 3_1">
    <vt:lpwstr>http://www.zotero.org/styles/council-of-science-editors-alphabetical</vt:lpwstr>
  </property>
  <property fmtid="{D5CDD505-2E9C-101B-9397-08002B2CF9AE}" pid="9" name="Mendeley Recent Style Name 3_1">
    <vt:lpwstr>Council of Science Editors, Citation-Name (numeric, sorted alphabetically)</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http://www.zotero.org/styles/institute-of-physics-numeric</vt:lpwstr>
  </property>
  <property fmtid="{D5CDD505-2E9C-101B-9397-08002B2CF9AE}" pid="13" name="Mendeley Recent Style Name 5_1">
    <vt:lpwstr>Institute of Physics (numeric)</vt:lpwstr>
  </property>
  <property fmtid="{D5CDD505-2E9C-101B-9397-08002B2CF9AE}" pid="14" name="Mendeley Recent Style Id 6_1">
    <vt:lpwstr>http://www.zotero.org/styles/nature-publishing-group-vancouver</vt:lpwstr>
  </property>
  <property fmtid="{D5CDD505-2E9C-101B-9397-08002B2CF9AE}" pid="15" name="Mendeley Recent Style Name 6_1">
    <vt:lpwstr>Nature Publishing Group - Vancouver</vt:lpwstr>
  </property>
  <property fmtid="{D5CDD505-2E9C-101B-9397-08002B2CF9AE}" pid="16" name="Mendeley Recent Style Id 7_1">
    <vt:lpwstr>http://www.zotero.org/styles/springer-basic-brackets-no-et-al-alphabetical</vt:lpwstr>
  </property>
  <property fmtid="{D5CDD505-2E9C-101B-9397-08002B2CF9AE}" pid="17" name="Mendeley Recent Style Name 7_1">
    <vt:lpwstr>Springer - Basic (numeric, brackets, no "et al.", alphabetical)</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http://www.zotero.org/styles/serbian-archives-of-medicine</vt:lpwstr>
  </property>
  <property fmtid="{D5CDD505-2E9C-101B-9397-08002B2CF9AE}" pid="21" name="Mendeley Recent Style Name 9_1">
    <vt:lpwstr>Vancouver - Serbian Archives of Medicine</vt:lpwstr>
  </property>
  <property fmtid="{D5CDD505-2E9C-101B-9397-08002B2CF9AE}" pid="22" name="Mendeley Document_1">
    <vt:lpwstr>True</vt:lpwstr>
  </property>
  <property fmtid="{D5CDD505-2E9C-101B-9397-08002B2CF9AE}" pid="23" name="Mendeley Unique User Id_1">
    <vt:lpwstr>1c3d96d5-2cb9-33ce-8ba8-efeb22e52b68</vt:lpwstr>
  </property>
  <property fmtid="{D5CDD505-2E9C-101B-9397-08002B2CF9AE}" pid="24" name="Mendeley Citation Style_1">
    <vt:lpwstr>http://www.zotero.org/styles/apa</vt:lpwstr>
  </property>
</Properties>
</file>