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A224F" w14:textId="77777777" w:rsidR="00754C9A" w:rsidRDefault="00754C9A" w:rsidP="00441B6F">
      <w:pPr>
        <w:pStyle w:val="Title"/>
        <w:spacing w:after="0"/>
        <w:jc w:val="both"/>
        <w:rPr>
          <w:rFonts w:ascii="Arial" w:hAnsi="Arial" w:cs="Arial"/>
        </w:rPr>
      </w:pPr>
    </w:p>
    <w:p w14:paraId="45DAA8B3" w14:textId="77777777" w:rsidR="00C61BE3" w:rsidRDefault="00C61BE3" w:rsidP="00D13B94">
      <w:pPr>
        <w:pStyle w:val="NoSpacing"/>
        <w:rPr>
          <w:rFonts w:ascii="Arial" w:hAnsi="Arial" w:cs="Arial"/>
          <w:b/>
          <w:bCs/>
          <w:sz w:val="36"/>
          <w:szCs w:val="36"/>
        </w:rPr>
      </w:pPr>
    </w:p>
    <w:p w14:paraId="2AC2F03D" w14:textId="159F3B96" w:rsidR="00E07EEF" w:rsidRPr="00E07EEF" w:rsidRDefault="00E07EEF" w:rsidP="00D13B94">
      <w:pPr>
        <w:pStyle w:val="NoSpacing"/>
        <w:rPr>
          <w:rFonts w:ascii="Arial" w:hAnsi="Arial" w:cs="Arial"/>
          <w:b/>
          <w:bCs/>
          <w:sz w:val="36"/>
          <w:szCs w:val="36"/>
        </w:rPr>
      </w:pPr>
      <w:r w:rsidRPr="00E07EEF">
        <w:rPr>
          <w:rFonts w:ascii="Arial" w:hAnsi="Arial" w:cs="Arial"/>
          <w:b/>
          <w:bCs/>
          <w:sz w:val="36"/>
          <w:szCs w:val="36"/>
        </w:rPr>
        <w:t xml:space="preserve">Gender Participation </w:t>
      </w:r>
      <w:r w:rsidR="00760698">
        <w:rPr>
          <w:rFonts w:ascii="Arial" w:hAnsi="Arial" w:cs="Arial"/>
          <w:b/>
          <w:bCs/>
          <w:sz w:val="36"/>
          <w:szCs w:val="36"/>
        </w:rPr>
        <w:t>in</w:t>
      </w:r>
      <w:r w:rsidRPr="00E07EEF">
        <w:rPr>
          <w:rFonts w:ascii="Arial" w:hAnsi="Arial" w:cs="Arial"/>
          <w:b/>
          <w:bCs/>
          <w:sz w:val="36"/>
          <w:szCs w:val="36"/>
        </w:rPr>
        <w:t xml:space="preserve"> Protected Area Management in Northern </w:t>
      </w:r>
      <w:proofErr w:type="spellStart"/>
      <w:r w:rsidRPr="00E07EEF">
        <w:rPr>
          <w:rFonts w:ascii="Arial" w:hAnsi="Arial" w:cs="Arial"/>
          <w:b/>
          <w:bCs/>
          <w:sz w:val="36"/>
          <w:szCs w:val="36"/>
        </w:rPr>
        <w:t>Ilocos</w:t>
      </w:r>
      <w:proofErr w:type="spellEnd"/>
      <w:r w:rsidRPr="00E07EEF">
        <w:rPr>
          <w:rFonts w:ascii="Arial" w:hAnsi="Arial" w:cs="Arial"/>
          <w:b/>
          <w:bCs/>
          <w:sz w:val="36"/>
          <w:szCs w:val="36"/>
        </w:rPr>
        <w:t xml:space="preserve"> Sur, Philippines</w:t>
      </w:r>
    </w:p>
    <w:p w14:paraId="13872F33" w14:textId="77777777" w:rsidR="00A258C3" w:rsidRPr="00790ADA" w:rsidRDefault="00A258C3" w:rsidP="00441B6F">
      <w:pPr>
        <w:pStyle w:val="Author"/>
        <w:spacing w:line="240" w:lineRule="auto"/>
        <w:jc w:val="both"/>
        <w:rPr>
          <w:rFonts w:ascii="Arial" w:hAnsi="Arial" w:cs="Arial"/>
          <w:sz w:val="36"/>
        </w:rPr>
      </w:pPr>
    </w:p>
    <w:p w14:paraId="4A7A2C11" w14:textId="77777777" w:rsidR="002C57D2" w:rsidRPr="00FB3A86" w:rsidRDefault="002C57D2" w:rsidP="00441B6F">
      <w:pPr>
        <w:pStyle w:val="Affiliation"/>
        <w:spacing w:after="0" w:line="240" w:lineRule="auto"/>
        <w:jc w:val="both"/>
        <w:rPr>
          <w:rFonts w:ascii="Arial" w:hAnsi="Arial" w:cs="Arial"/>
        </w:rPr>
      </w:pPr>
    </w:p>
    <w:p w14:paraId="4BF97664" w14:textId="77777777" w:rsidR="00B01FCD" w:rsidRPr="00FB3A86" w:rsidRDefault="0084338F" w:rsidP="00441B6F">
      <w:pPr>
        <w:pStyle w:val="Copyright"/>
        <w:spacing w:after="0" w:line="240" w:lineRule="auto"/>
        <w:jc w:val="both"/>
        <w:rPr>
          <w:rFonts w:ascii="Arial" w:hAnsi="Arial" w:cs="Arial"/>
        </w:rPr>
        <w:sectPr w:rsidR="00B01FCD" w:rsidRPr="00FB3A86" w:rsidSect="00CD30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D525C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C3FA87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A31497">
        <w:rPr>
          <w:rFonts w:ascii="Arial" w:hAnsi="Arial" w:cs="Arial"/>
        </w:rPr>
        <w:t xml:space="preserve"> </w:t>
      </w:r>
    </w:p>
    <w:p w14:paraId="712F3B7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AB3551D" w14:textId="77777777" w:rsidTr="001E44FE">
        <w:tc>
          <w:tcPr>
            <w:tcW w:w="9576" w:type="dxa"/>
            <w:shd w:val="clear" w:color="auto" w:fill="F2F2F2"/>
          </w:tcPr>
          <w:p w14:paraId="3C093AB1" w14:textId="189540A9" w:rsidR="00A31497" w:rsidRPr="00A31497" w:rsidRDefault="00A31497" w:rsidP="00A31497">
            <w:pPr>
              <w:jc w:val="both"/>
              <w:rPr>
                <w:rFonts w:ascii="Arial" w:eastAsia="Calibri" w:hAnsi="Arial" w:cs="Arial"/>
                <w:szCs w:val="22"/>
              </w:rPr>
            </w:pPr>
            <w:r w:rsidRPr="00A31497">
              <w:rPr>
                <w:rFonts w:ascii="Arial" w:eastAsia="Calibri" w:hAnsi="Arial" w:cs="Arial"/>
                <w:szCs w:val="22"/>
              </w:rPr>
              <w:t xml:space="preserve">This study examines the role of gender participation in the management of protected areas under the jurisdiction of the Community Environment and Natural Resources Office (CENRO) </w:t>
            </w:r>
            <w:r w:rsidR="003A5EE1">
              <w:rPr>
                <w:rFonts w:ascii="Arial" w:eastAsia="Calibri" w:hAnsi="Arial" w:cs="Arial"/>
                <w:szCs w:val="22"/>
              </w:rPr>
              <w:t xml:space="preserve">in Northern </w:t>
            </w:r>
            <w:proofErr w:type="spellStart"/>
            <w:r w:rsidR="003A5EE1">
              <w:rPr>
                <w:rFonts w:ascii="Arial" w:eastAsia="Calibri" w:hAnsi="Arial" w:cs="Arial"/>
                <w:szCs w:val="22"/>
              </w:rPr>
              <w:t>Ilocos</w:t>
            </w:r>
            <w:proofErr w:type="spellEnd"/>
            <w:r w:rsidR="003A5EE1">
              <w:rPr>
                <w:rFonts w:ascii="Arial" w:eastAsia="Calibri" w:hAnsi="Arial" w:cs="Arial"/>
                <w:szCs w:val="22"/>
              </w:rPr>
              <w:t xml:space="preserve"> Sur, specifically in the</w:t>
            </w:r>
            <w:r w:rsidRPr="00A31497">
              <w:rPr>
                <w:rFonts w:ascii="Arial" w:eastAsia="Calibri" w:hAnsi="Arial" w:cs="Arial"/>
                <w:szCs w:val="22"/>
              </w:rPr>
              <w:t xml:space="preserve"> </w:t>
            </w:r>
            <w:proofErr w:type="spellStart"/>
            <w:r w:rsidRPr="00A31497">
              <w:rPr>
                <w:rFonts w:ascii="Arial" w:eastAsia="Calibri" w:hAnsi="Arial" w:cs="Arial"/>
                <w:szCs w:val="22"/>
              </w:rPr>
              <w:t>Libunao</w:t>
            </w:r>
            <w:proofErr w:type="spellEnd"/>
            <w:r w:rsidRPr="00A31497">
              <w:rPr>
                <w:rFonts w:ascii="Arial" w:eastAsia="Calibri" w:hAnsi="Arial" w:cs="Arial"/>
                <w:szCs w:val="22"/>
              </w:rPr>
              <w:t xml:space="preserve"> Protected Landscape, </w:t>
            </w:r>
            <w:proofErr w:type="spellStart"/>
            <w:r w:rsidRPr="00A31497">
              <w:rPr>
                <w:rFonts w:ascii="Arial" w:eastAsia="Calibri" w:hAnsi="Arial" w:cs="Arial"/>
                <w:szCs w:val="22"/>
              </w:rPr>
              <w:t>Bigbiga</w:t>
            </w:r>
            <w:proofErr w:type="spellEnd"/>
            <w:r w:rsidRPr="00A31497">
              <w:rPr>
                <w:rFonts w:ascii="Arial" w:eastAsia="Calibri" w:hAnsi="Arial" w:cs="Arial"/>
                <w:szCs w:val="22"/>
              </w:rPr>
              <w:t xml:space="preserve"> Protected Landscape, and the Northern Luzon Heroes Hill National Park. Through a combination of surveys, interviews, and field observations, the research assesses </w:t>
            </w:r>
            <w:r w:rsidR="003A5EE1">
              <w:rPr>
                <w:rFonts w:ascii="Arial" w:eastAsia="Calibri" w:hAnsi="Arial" w:cs="Arial"/>
                <w:szCs w:val="22"/>
              </w:rPr>
              <w:t xml:space="preserve">gender roles, awareness, and involvement in management, identifies </w:t>
            </w:r>
            <w:r w:rsidR="00134D99">
              <w:rPr>
                <w:rFonts w:ascii="Arial" w:eastAsia="Calibri" w:hAnsi="Arial" w:cs="Arial"/>
                <w:szCs w:val="22"/>
              </w:rPr>
              <w:t>key stakeholders, and examines the strategies employed in this</w:t>
            </w:r>
            <w:r w:rsidRPr="00A31497">
              <w:rPr>
                <w:rFonts w:ascii="Arial" w:eastAsia="Calibri" w:hAnsi="Arial" w:cs="Arial"/>
                <w:szCs w:val="22"/>
              </w:rPr>
              <w:t xml:space="preserve"> area. Findings indicate that both genders are actively engaged in various roles, including technical staff, park rangers, and some are members of the Protected Area Management Board (PAMB). Both sexes are also exposed to protected area activities</w:t>
            </w:r>
            <w:r w:rsidR="003A5EE1">
              <w:rPr>
                <w:rFonts w:ascii="Arial" w:eastAsia="Calibri" w:hAnsi="Arial" w:cs="Arial"/>
                <w:szCs w:val="22"/>
              </w:rPr>
              <w:t>, such as foot patrolling, information, education, and communication campaigns, as well as the</w:t>
            </w:r>
            <w:r w:rsidRPr="00A31497">
              <w:rPr>
                <w:rFonts w:ascii="Arial" w:eastAsia="Calibri" w:hAnsi="Arial" w:cs="Arial"/>
                <w:szCs w:val="22"/>
              </w:rPr>
              <w:t xml:space="preserve"> crafting of a protected area management plan. Inclusive participation ensures that conservation strategies are comprehensive and considerate of the needs of all community members. </w:t>
            </w:r>
            <w:r w:rsidR="003A5EE1">
              <w:rPr>
                <w:rFonts w:ascii="Arial" w:eastAsia="Calibri" w:hAnsi="Arial" w:cs="Arial"/>
                <w:szCs w:val="22"/>
              </w:rPr>
              <w:t>T</w:t>
            </w:r>
            <w:r w:rsidRPr="00A31497">
              <w:rPr>
                <w:rFonts w:ascii="Arial" w:eastAsia="Calibri" w:hAnsi="Arial" w:cs="Arial"/>
                <w:szCs w:val="22"/>
              </w:rPr>
              <w:t xml:space="preserve">he organizational culture within CENRO Northern </w:t>
            </w:r>
            <w:proofErr w:type="spellStart"/>
            <w:r w:rsidRPr="00A31497">
              <w:rPr>
                <w:rFonts w:ascii="Arial" w:eastAsia="Calibri" w:hAnsi="Arial" w:cs="Arial"/>
                <w:szCs w:val="22"/>
              </w:rPr>
              <w:t>Ilocos</w:t>
            </w:r>
            <w:proofErr w:type="spellEnd"/>
            <w:r w:rsidRPr="00A31497">
              <w:rPr>
                <w:rFonts w:ascii="Arial" w:eastAsia="Calibri" w:hAnsi="Arial" w:cs="Arial"/>
                <w:szCs w:val="22"/>
              </w:rPr>
              <w:t xml:space="preserve"> Sur </w:t>
            </w:r>
            <w:r w:rsidR="003A5EE1">
              <w:rPr>
                <w:rFonts w:ascii="Arial" w:eastAsia="Calibri" w:hAnsi="Arial" w:cs="Arial"/>
                <w:szCs w:val="22"/>
              </w:rPr>
              <w:t xml:space="preserve">also </w:t>
            </w:r>
            <w:r w:rsidRPr="00A31497">
              <w:rPr>
                <w:rFonts w:ascii="Arial" w:eastAsia="Calibri" w:hAnsi="Arial" w:cs="Arial"/>
                <w:szCs w:val="22"/>
              </w:rPr>
              <w:t xml:space="preserve">ensures equal treatment to all members, and gender-based bullying was not observed. Additionally, the recognition of outstanding individuals during Gender and Development (GAD) celebrations exemplifies the program's commitment to acknowledging contributions irrespective of gender, thereby motivating continued involvement and leadership. Moreover, the research </w:t>
            </w:r>
            <w:r w:rsidR="00134D99">
              <w:rPr>
                <w:rFonts w:ascii="Arial" w:eastAsia="Calibri" w:hAnsi="Arial" w:cs="Arial"/>
                <w:szCs w:val="22"/>
              </w:rPr>
              <w:t>emphasizes the importance of gender inclusivity in protected area management by fostering an environment where both men and women can actively participate</w:t>
            </w:r>
            <w:r w:rsidRPr="00A31497">
              <w:rPr>
                <w:rFonts w:ascii="Arial" w:eastAsia="Calibri" w:hAnsi="Arial" w:cs="Arial"/>
                <w:szCs w:val="22"/>
              </w:rPr>
              <w:t xml:space="preserve">. CENRO Northern </w:t>
            </w:r>
            <w:proofErr w:type="spellStart"/>
            <w:r w:rsidRPr="00A31497">
              <w:rPr>
                <w:rFonts w:ascii="Arial" w:eastAsia="Calibri" w:hAnsi="Arial" w:cs="Arial"/>
                <w:szCs w:val="22"/>
              </w:rPr>
              <w:t>Ilocos</w:t>
            </w:r>
            <w:proofErr w:type="spellEnd"/>
            <w:r w:rsidRPr="00A31497">
              <w:rPr>
                <w:rFonts w:ascii="Arial" w:eastAsia="Calibri" w:hAnsi="Arial" w:cs="Arial"/>
                <w:szCs w:val="22"/>
              </w:rPr>
              <w:t xml:space="preserve"> Sur not only enhances conservation efforts but also promotes social equity, demonstrating that gender-inclusive approaches lead to more sustainable and effective outcomes.</w:t>
            </w:r>
          </w:p>
          <w:p w14:paraId="491D78E2" w14:textId="77777777" w:rsidR="00505F06" w:rsidRPr="00BA1B01" w:rsidRDefault="00505F06" w:rsidP="00441B6F">
            <w:pPr>
              <w:pStyle w:val="Body"/>
              <w:spacing w:after="0"/>
              <w:rPr>
                <w:rFonts w:ascii="Arial" w:eastAsia="Calibri" w:hAnsi="Arial" w:cs="Arial"/>
                <w:szCs w:val="22"/>
              </w:rPr>
            </w:pPr>
          </w:p>
        </w:tc>
      </w:tr>
    </w:tbl>
    <w:p w14:paraId="1CD4F94D" w14:textId="77777777" w:rsidR="00636EB2" w:rsidRDefault="00636EB2" w:rsidP="00441B6F">
      <w:pPr>
        <w:pStyle w:val="Body"/>
        <w:spacing w:after="0"/>
        <w:rPr>
          <w:rFonts w:ascii="Arial" w:hAnsi="Arial" w:cs="Arial"/>
          <w:i/>
        </w:rPr>
      </w:pPr>
    </w:p>
    <w:p w14:paraId="316CC88E" w14:textId="41B862A5" w:rsidR="00A31497" w:rsidRPr="00A31497" w:rsidRDefault="00A31497" w:rsidP="00A31497">
      <w:pPr>
        <w:spacing w:line="216" w:lineRule="auto"/>
        <w:rPr>
          <w:rFonts w:ascii="Arial" w:hAnsi="Arial" w:cs="Arial"/>
          <w:i/>
        </w:rPr>
      </w:pPr>
      <w:r w:rsidRPr="00A31497">
        <w:rPr>
          <w:rFonts w:ascii="Arial" w:hAnsi="Arial" w:cs="Arial"/>
          <w:i/>
        </w:rPr>
        <w:t xml:space="preserve">Keywords: CENRO; </w:t>
      </w:r>
      <w:r w:rsidR="003A5EE1" w:rsidRPr="00A31497">
        <w:rPr>
          <w:rFonts w:ascii="Arial" w:eastAsia="Calibri" w:hAnsi="Arial" w:cs="Arial"/>
          <w:szCs w:val="22"/>
        </w:rPr>
        <w:t xml:space="preserve">Gender and </w:t>
      </w:r>
      <w:r w:rsidR="003A5EE1">
        <w:rPr>
          <w:rFonts w:ascii="Arial" w:eastAsia="Calibri" w:hAnsi="Arial" w:cs="Arial"/>
          <w:szCs w:val="22"/>
        </w:rPr>
        <w:t>d</w:t>
      </w:r>
      <w:r w:rsidR="003A5EE1" w:rsidRPr="00A31497">
        <w:rPr>
          <w:rFonts w:ascii="Arial" w:eastAsia="Calibri" w:hAnsi="Arial" w:cs="Arial"/>
          <w:szCs w:val="22"/>
        </w:rPr>
        <w:t>evelopment</w:t>
      </w:r>
      <w:r w:rsidR="003A5EE1">
        <w:rPr>
          <w:rFonts w:ascii="Arial" w:eastAsia="Calibri" w:hAnsi="Arial" w:cs="Arial"/>
          <w:szCs w:val="22"/>
        </w:rPr>
        <w:t xml:space="preserve">; </w:t>
      </w:r>
      <w:r w:rsidRPr="00A31497">
        <w:rPr>
          <w:rFonts w:ascii="Arial" w:hAnsi="Arial" w:cs="Arial"/>
          <w:i/>
        </w:rPr>
        <w:t>Protected area; PAMB.</w:t>
      </w:r>
    </w:p>
    <w:p w14:paraId="3556B14D" w14:textId="77777777" w:rsidR="00505F06" w:rsidRPr="00A24E7E" w:rsidRDefault="00A31497" w:rsidP="00441B6F">
      <w:pPr>
        <w:pStyle w:val="Body"/>
        <w:spacing w:after="0"/>
        <w:rPr>
          <w:rFonts w:ascii="Arial" w:hAnsi="Arial" w:cs="Arial"/>
          <w:i/>
        </w:rPr>
      </w:pPr>
      <w:r>
        <w:rPr>
          <w:rFonts w:ascii="Arial" w:hAnsi="Arial" w:cs="Arial"/>
          <w:i/>
        </w:rPr>
        <w:t xml:space="preserve"> </w:t>
      </w:r>
    </w:p>
    <w:p w14:paraId="59DC95E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E6FFBA9" w14:textId="77777777" w:rsidR="00790ADA" w:rsidRPr="00FB3A86" w:rsidRDefault="00790ADA" w:rsidP="00441B6F">
      <w:pPr>
        <w:pStyle w:val="AbstHead"/>
        <w:spacing w:after="0"/>
        <w:jc w:val="both"/>
        <w:rPr>
          <w:rFonts w:ascii="Arial" w:hAnsi="Arial" w:cs="Arial"/>
        </w:rPr>
      </w:pPr>
    </w:p>
    <w:p w14:paraId="29167171" w14:textId="5E7B0302" w:rsidR="00734AF3" w:rsidRDefault="00AD3A56" w:rsidP="00734AF3">
      <w:pPr>
        <w:pStyle w:val="Body"/>
        <w:spacing w:after="0"/>
        <w:rPr>
          <w:rFonts w:ascii="Arial" w:hAnsi="Arial" w:cs="Arial"/>
        </w:rPr>
      </w:pPr>
      <w:r w:rsidRPr="00AD3A56">
        <w:rPr>
          <w:rFonts w:ascii="Arial" w:hAnsi="Arial" w:cs="Arial"/>
        </w:rPr>
        <w:t xml:space="preserve">Protected areas (PAs) are considered natural ecosystems wherein human encroachment is restricted. This is done to </w:t>
      </w:r>
      <w:r w:rsidR="003A5EE1">
        <w:rPr>
          <w:rFonts w:ascii="Arial" w:hAnsi="Arial" w:cs="Arial"/>
        </w:rPr>
        <w:t>conserve</w:t>
      </w:r>
      <w:r w:rsidRPr="00AD3A56">
        <w:rPr>
          <w:rFonts w:ascii="Arial" w:hAnsi="Arial" w:cs="Arial"/>
        </w:rPr>
        <w:t xml:space="preserve"> the unique features and biodiversity of the areas for succeeding generations. People with legitimate or historical land ownership live within the established boundaries (</w:t>
      </w:r>
      <w:proofErr w:type="spellStart"/>
      <w:r w:rsidRPr="00AD3A56">
        <w:rPr>
          <w:rFonts w:ascii="Arial" w:hAnsi="Arial" w:cs="Arial"/>
        </w:rPr>
        <w:t>Tauli-Corpuz</w:t>
      </w:r>
      <w:proofErr w:type="spellEnd"/>
      <w:r w:rsidRPr="00AD3A56">
        <w:rPr>
          <w:rFonts w:ascii="Arial" w:hAnsi="Arial" w:cs="Arial"/>
        </w:rPr>
        <w:t xml:space="preserve"> et al., 2020). Women’s and men’s </w:t>
      </w:r>
      <w:r w:rsidR="003A5EE1">
        <w:rPr>
          <w:rFonts w:ascii="Arial" w:hAnsi="Arial" w:cs="Arial"/>
        </w:rPr>
        <w:t>relationships within the PAs and their</w:t>
      </w:r>
      <w:r w:rsidRPr="00AD3A56">
        <w:rPr>
          <w:rFonts w:ascii="Arial" w:hAnsi="Arial" w:cs="Arial"/>
        </w:rPr>
        <w:t xml:space="preserve"> buffer zones are crucial for the management of these natural habitats. Men and women also differ in management approaches. That is why understanding and addressing these dynamics and </w:t>
      </w:r>
      <w:r w:rsidR="003A5EE1">
        <w:rPr>
          <w:rFonts w:ascii="Arial" w:hAnsi="Arial" w:cs="Arial"/>
        </w:rPr>
        <w:t>interactions</w:t>
      </w:r>
      <w:r w:rsidRPr="00AD3A56">
        <w:rPr>
          <w:rFonts w:ascii="Arial" w:hAnsi="Arial" w:cs="Arial"/>
        </w:rPr>
        <w:t xml:space="preserve"> will help in targeting efforts </w:t>
      </w:r>
      <w:r w:rsidR="0050276B">
        <w:rPr>
          <w:rFonts w:ascii="Arial" w:hAnsi="Arial" w:cs="Arial"/>
        </w:rPr>
        <w:t xml:space="preserve">aimed at improving sustainability and equity in the use and management of natural resources </w:t>
      </w:r>
      <w:r w:rsidRPr="00AD3A56">
        <w:rPr>
          <w:rFonts w:ascii="Arial" w:hAnsi="Arial" w:cs="Arial"/>
        </w:rPr>
        <w:t>(Ota et al., 2024)</w:t>
      </w:r>
      <w:r w:rsidR="0089437F">
        <w:rPr>
          <w:rFonts w:ascii="Arial" w:hAnsi="Arial" w:cs="Arial"/>
        </w:rPr>
        <w:t>.</w:t>
      </w:r>
    </w:p>
    <w:p w14:paraId="5D0AB705" w14:textId="77777777" w:rsidR="00734AF3" w:rsidRDefault="00734AF3" w:rsidP="00734AF3">
      <w:pPr>
        <w:pStyle w:val="Body"/>
        <w:spacing w:after="0"/>
        <w:rPr>
          <w:rFonts w:ascii="Arial" w:hAnsi="Arial" w:cs="Arial"/>
        </w:rPr>
      </w:pPr>
    </w:p>
    <w:p w14:paraId="730965EF" w14:textId="334C73B5" w:rsidR="00AD3A56" w:rsidRDefault="00AD3A56" w:rsidP="00734AF3">
      <w:pPr>
        <w:pStyle w:val="Body"/>
        <w:spacing w:after="0"/>
        <w:rPr>
          <w:rFonts w:ascii="Arial" w:hAnsi="Arial" w:cs="Arial"/>
        </w:rPr>
      </w:pPr>
      <w:r w:rsidRPr="00AD3A56">
        <w:rPr>
          <w:rFonts w:ascii="Arial" w:hAnsi="Arial" w:cs="Arial"/>
        </w:rPr>
        <w:t xml:space="preserve">In the study </w:t>
      </w:r>
      <w:r w:rsidR="003A5EE1">
        <w:rPr>
          <w:rFonts w:ascii="Arial" w:hAnsi="Arial" w:cs="Arial"/>
        </w:rPr>
        <w:t>by Manfre and Rubin (2012), it was emphasized that gender roles are considered socially constructed expectations that outline the duties, behaviors, and responsibilities considered</w:t>
      </w:r>
      <w:r w:rsidRPr="00AD3A56">
        <w:rPr>
          <w:rFonts w:ascii="Arial" w:hAnsi="Arial" w:cs="Arial"/>
        </w:rPr>
        <w:t xml:space="preserve"> suitable for men and women. These roles are shaped by </w:t>
      </w:r>
      <w:r w:rsidR="003A5EE1">
        <w:rPr>
          <w:rFonts w:ascii="Arial" w:hAnsi="Arial" w:cs="Arial"/>
        </w:rPr>
        <w:lastRenderedPageBreak/>
        <w:t xml:space="preserve">differences in </w:t>
      </w:r>
      <w:r w:rsidRPr="00AD3A56">
        <w:rPr>
          <w:rFonts w:ascii="Arial" w:hAnsi="Arial" w:cs="Arial"/>
        </w:rPr>
        <w:t xml:space="preserve">access </w:t>
      </w:r>
      <w:r w:rsidR="003A5EE1">
        <w:rPr>
          <w:rFonts w:ascii="Arial" w:hAnsi="Arial" w:cs="Arial"/>
        </w:rPr>
        <w:t>to</w:t>
      </w:r>
      <w:r w:rsidRPr="00AD3A56">
        <w:rPr>
          <w:rFonts w:ascii="Arial" w:hAnsi="Arial" w:cs="Arial"/>
        </w:rPr>
        <w:t xml:space="preserve"> forest utilization and knowledge about natural resources. These preferences and priorities are the result of socialization </w:t>
      </w:r>
      <w:r w:rsidR="003541AE" w:rsidRPr="00AD3A56">
        <w:rPr>
          <w:rFonts w:ascii="Arial" w:hAnsi="Arial" w:cs="Arial"/>
        </w:rPr>
        <w:t>processes</w:t>
      </w:r>
      <w:r w:rsidR="003541AE">
        <w:rPr>
          <w:rFonts w:ascii="Arial" w:hAnsi="Arial" w:cs="Arial"/>
        </w:rPr>
        <w:t>;</w:t>
      </w:r>
      <w:r w:rsidR="003A5EE1">
        <w:rPr>
          <w:rFonts w:ascii="Arial" w:hAnsi="Arial" w:cs="Arial"/>
        </w:rPr>
        <w:t xml:space="preserve"> wherein certain responsibilities are assigned</w:t>
      </w:r>
      <w:r w:rsidRPr="00AD3A56">
        <w:rPr>
          <w:rFonts w:ascii="Arial" w:hAnsi="Arial" w:cs="Arial"/>
        </w:rPr>
        <w:t xml:space="preserve"> to an individual based on their gender. Moreover, when women are empowered, they can </w:t>
      </w:r>
      <w:r w:rsidR="003A5EE1">
        <w:rPr>
          <w:rFonts w:ascii="Arial" w:hAnsi="Arial" w:cs="Arial"/>
        </w:rPr>
        <w:t xml:space="preserve">contribute to developing programs and be equipped with the necessary competencies and resources </w:t>
      </w:r>
      <w:r w:rsidRPr="00AD3A56">
        <w:rPr>
          <w:rFonts w:ascii="Arial" w:hAnsi="Arial" w:cs="Arial"/>
        </w:rPr>
        <w:t>to perform effectively in leadership responsibilities (Thelma &amp; Ngulube, 2024).</w:t>
      </w:r>
    </w:p>
    <w:p w14:paraId="4A987597" w14:textId="77777777" w:rsidR="00734AF3" w:rsidRPr="00AD3A56" w:rsidRDefault="00734AF3" w:rsidP="00734AF3">
      <w:pPr>
        <w:pStyle w:val="Body"/>
        <w:spacing w:after="0"/>
        <w:rPr>
          <w:rFonts w:ascii="Arial" w:hAnsi="Arial" w:cs="Arial"/>
        </w:rPr>
      </w:pPr>
    </w:p>
    <w:p w14:paraId="55E3EDC2" w14:textId="4BA575FD" w:rsidR="00AD3A56" w:rsidRDefault="00AD3A56" w:rsidP="00734AF3">
      <w:pPr>
        <w:pStyle w:val="Body"/>
        <w:spacing w:after="0"/>
        <w:rPr>
          <w:rFonts w:ascii="Arial" w:hAnsi="Arial" w:cs="Arial"/>
        </w:rPr>
      </w:pPr>
      <w:r w:rsidRPr="00AD3A56">
        <w:rPr>
          <w:rFonts w:ascii="Arial" w:hAnsi="Arial" w:cs="Arial"/>
        </w:rPr>
        <w:t xml:space="preserve">Recognizing the perspectives of both </w:t>
      </w:r>
      <w:r w:rsidR="003A5EE1">
        <w:rPr>
          <w:rFonts w:ascii="Arial" w:hAnsi="Arial" w:cs="Arial"/>
        </w:rPr>
        <w:t>genders provides an essential understanding of how they value natural resources and helps advance</w:t>
      </w:r>
      <w:r w:rsidRPr="00AD3A56">
        <w:rPr>
          <w:rFonts w:ascii="Arial" w:hAnsi="Arial" w:cs="Arial"/>
        </w:rPr>
        <w:t xml:space="preserve"> sustainable development. When women are involved, particularly in the management of forests, they can be empowered, increase their </w:t>
      </w:r>
      <w:r w:rsidR="003A5EE1">
        <w:rPr>
          <w:rFonts w:ascii="Arial" w:hAnsi="Arial" w:cs="Arial"/>
        </w:rPr>
        <w:t>awareness of their rights, and become more</w:t>
      </w:r>
      <w:r w:rsidRPr="00AD3A56">
        <w:rPr>
          <w:rFonts w:ascii="Arial" w:hAnsi="Arial" w:cs="Arial"/>
        </w:rPr>
        <w:t xml:space="preserve"> aware of inequalities (</w:t>
      </w:r>
      <w:r w:rsidR="00DB67C6">
        <w:rPr>
          <w:rFonts w:ascii="Arial" w:hAnsi="Arial" w:cs="Arial"/>
        </w:rPr>
        <w:t>d</w:t>
      </w:r>
      <w:r w:rsidRPr="00AD3A56">
        <w:rPr>
          <w:rFonts w:ascii="Arial" w:hAnsi="Arial" w:cs="Arial"/>
        </w:rPr>
        <w:t xml:space="preserve">e Vente et al., 2016). In addition, the participation of women in forest management and conservation </w:t>
      </w:r>
      <w:r w:rsidR="003A5EE1">
        <w:rPr>
          <w:rFonts w:ascii="Arial" w:hAnsi="Arial" w:cs="Arial"/>
        </w:rPr>
        <w:t>contributes significantly to achieving environmental outcomes through effective forest governance, which is essential</w:t>
      </w:r>
      <w:r w:rsidRPr="00AD3A56">
        <w:rPr>
          <w:rFonts w:ascii="Arial" w:hAnsi="Arial" w:cs="Arial"/>
        </w:rPr>
        <w:t xml:space="preserve"> for sustainable conservation (</w:t>
      </w:r>
      <w:proofErr w:type="spellStart"/>
      <w:r w:rsidRPr="00AD3A56">
        <w:rPr>
          <w:rFonts w:ascii="Arial" w:hAnsi="Arial" w:cs="Arial"/>
        </w:rPr>
        <w:t>Ameha</w:t>
      </w:r>
      <w:proofErr w:type="spellEnd"/>
      <w:r w:rsidRPr="00AD3A56">
        <w:rPr>
          <w:rFonts w:ascii="Arial" w:hAnsi="Arial" w:cs="Arial"/>
        </w:rPr>
        <w:t xml:space="preserve"> et al., 2014).</w:t>
      </w:r>
    </w:p>
    <w:p w14:paraId="24250564" w14:textId="77777777" w:rsidR="00734AF3" w:rsidRPr="00AD3A56" w:rsidRDefault="00734AF3" w:rsidP="00734AF3">
      <w:pPr>
        <w:pStyle w:val="Body"/>
        <w:spacing w:after="0"/>
        <w:rPr>
          <w:rFonts w:ascii="Arial" w:hAnsi="Arial" w:cs="Arial"/>
        </w:rPr>
      </w:pPr>
    </w:p>
    <w:p w14:paraId="3B4CA5F8" w14:textId="48A28F6F" w:rsidR="00AD3A56" w:rsidRDefault="00AD3A56" w:rsidP="00734AF3">
      <w:pPr>
        <w:pStyle w:val="Body"/>
        <w:spacing w:after="0"/>
        <w:rPr>
          <w:rFonts w:ascii="Arial" w:hAnsi="Arial" w:cs="Arial"/>
        </w:rPr>
      </w:pPr>
      <w:r w:rsidRPr="00AD3A56">
        <w:rPr>
          <w:rFonts w:ascii="Arial" w:hAnsi="Arial" w:cs="Arial"/>
        </w:rPr>
        <w:t xml:space="preserve">In the context of biodiversity and natural resource management, adopting a gender </w:t>
      </w:r>
      <w:r w:rsidR="003A5EE1">
        <w:rPr>
          <w:rFonts w:ascii="Arial" w:hAnsi="Arial" w:cs="Arial"/>
        </w:rPr>
        <w:t>perspective entails recognizing the relationships between men and women, particularly in relation to</w:t>
      </w:r>
      <w:r w:rsidRPr="00AD3A56">
        <w:rPr>
          <w:rFonts w:ascii="Arial" w:hAnsi="Arial" w:cs="Arial"/>
        </w:rPr>
        <w:t xml:space="preserve"> project initiatives. This </w:t>
      </w:r>
      <w:r w:rsidR="003A5EE1">
        <w:rPr>
          <w:rFonts w:ascii="Arial" w:hAnsi="Arial" w:cs="Arial"/>
        </w:rPr>
        <w:t>approach takes</w:t>
      </w:r>
      <w:r w:rsidRPr="00AD3A56">
        <w:rPr>
          <w:rFonts w:ascii="Arial" w:hAnsi="Arial" w:cs="Arial"/>
        </w:rPr>
        <w:t xml:space="preserve"> into consideration the various roles and opportunities that each gender holds </w:t>
      </w:r>
      <w:r w:rsidR="003A5EE1">
        <w:rPr>
          <w:rFonts w:ascii="Arial" w:hAnsi="Arial" w:cs="Arial"/>
        </w:rPr>
        <w:t>in</w:t>
      </w:r>
      <w:r w:rsidRPr="00AD3A56">
        <w:rPr>
          <w:rFonts w:ascii="Arial" w:hAnsi="Arial" w:cs="Arial"/>
        </w:rPr>
        <w:t xml:space="preserve"> </w:t>
      </w:r>
      <w:r w:rsidR="00450915">
        <w:rPr>
          <w:rFonts w:ascii="Arial" w:hAnsi="Arial" w:cs="Arial"/>
        </w:rPr>
        <w:t>accessing, utilizing, governing, and preserving</w:t>
      </w:r>
      <w:r w:rsidRPr="00AD3A56">
        <w:rPr>
          <w:rFonts w:ascii="Arial" w:hAnsi="Arial" w:cs="Arial"/>
        </w:rPr>
        <w:t xml:space="preserve"> natural resources. It also accounts for the differing impacts that environmental decline has on men and women (Gonzales &amp; Martin, 2007).</w:t>
      </w:r>
    </w:p>
    <w:p w14:paraId="0687F05E" w14:textId="77777777" w:rsidR="00734AF3" w:rsidRPr="00AD3A56" w:rsidRDefault="00734AF3" w:rsidP="00734AF3">
      <w:pPr>
        <w:pStyle w:val="Body"/>
        <w:spacing w:after="0"/>
        <w:rPr>
          <w:rFonts w:ascii="Arial" w:hAnsi="Arial" w:cs="Arial"/>
        </w:rPr>
      </w:pPr>
    </w:p>
    <w:p w14:paraId="281CEE63" w14:textId="3C614B1B" w:rsidR="00AD3A56" w:rsidRDefault="00AD3A56" w:rsidP="00734AF3">
      <w:pPr>
        <w:pStyle w:val="Body"/>
        <w:spacing w:after="0"/>
        <w:rPr>
          <w:rFonts w:ascii="Arial" w:hAnsi="Arial" w:cs="Arial"/>
        </w:rPr>
      </w:pPr>
      <w:r w:rsidRPr="00AD3A56">
        <w:rPr>
          <w:rFonts w:ascii="Arial" w:hAnsi="Arial" w:cs="Arial"/>
        </w:rPr>
        <w:t xml:space="preserve">Applying a gender-inclusive approach to the management and conservation of protected areas supports the initiatives set forth in the Program of Work on Protected Areas, established during the Seventh Conference of the Parties (CoP7) to the Convention on Biological Diversity in 2004 (Martin, 2007). Gender considerations also </w:t>
      </w:r>
      <w:r w:rsidR="00450915">
        <w:rPr>
          <w:rFonts w:ascii="Arial" w:hAnsi="Arial" w:cs="Arial"/>
        </w:rPr>
        <w:t>advance</w:t>
      </w:r>
      <w:r w:rsidRPr="00AD3A56">
        <w:rPr>
          <w:rFonts w:ascii="Arial" w:hAnsi="Arial" w:cs="Arial"/>
        </w:rPr>
        <w:t xml:space="preserve"> the objectives of the </w:t>
      </w:r>
      <w:r w:rsidR="00450915">
        <w:rPr>
          <w:rFonts w:ascii="Arial" w:hAnsi="Arial" w:cs="Arial"/>
        </w:rPr>
        <w:t>Sustainable</w:t>
      </w:r>
      <w:r w:rsidRPr="00AD3A56">
        <w:rPr>
          <w:rFonts w:ascii="Arial" w:hAnsi="Arial" w:cs="Arial"/>
        </w:rPr>
        <w:t xml:space="preserve"> Development Goals, </w:t>
      </w:r>
      <w:r w:rsidR="00450915">
        <w:rPr>
          <w:rFonts w:ascii="Arial" w:hAnsi="Arial" w:cs="Arial"/>
        </w:rPr>
        <w:t>particularly those related to</w:t>
      </w:r>
      <w:r w:rsidRPr="00AD3A56">
        <w:rPr>
          <w:rFonts w:ascii="Arial" w:hAnsi="Arial" w:cs="Arial"/>
        </w:rPr>
        <w:t xml:space="preserve"> gender equality and women’s empowerment, while addressing key priorities identified in the Platform for Action adopted at the Fourth World Conference on Women in Beijing in 1995 (Gonzalez &amp; Martin, 2007).</w:t>
      </w:r>
      <w:r w:rsidR="00450915">
        <w:rPr>
          <w:rFonts w:ascii="Arial" w:hAnsi="Arial" w:cs="Arial"/>
        </w:rPr>
        <w:t xml:space="preserve"> </w:t>
      </w:r>
      <w:r w:rsidRPr="00AD3A56">
        <w:rPr>
          <w:rFonts w:ascii="Arial" w:hAnsi="Arial" w:cs="Arial"/>
        </w:rPr>
        <w:t xml:space="preserve">The study </w:t>
      </w:r>
      <w:r w:rsidR="00450915">
        <w:rPr>
          <w:rFonts w:ascii="Arial" w:hAnsi="Arial" w:cs="Arial"/>
        </w:rPr>
        <w:t xml:space="preserve">by </w:t>
      </w:r>
      <w:proofErr w:type="spellStart"/>
      <w:r w:rsidR="00450915">
        <w:rPr>
          <w:rFonts w:ascii="Arial" w:hAnsi="Arial" w:cs="Arial"/>
        </w:rPr>
        <w:t>Jeevanasai</w:t>
      </w:r>
      <w:proofErr w:type="spellEnd"/>
      <w:r w:rsidR="00450915">
        <w:rPr>
          <w:rFonts w:ascii="Arial" w:hAnsi="Arial" w:cs="Arial"/>
        </w:rPr>
        <w:t xml:space="preserve"> et al. (2023) highlights that achieving SDG 5, which focuses on promoting independence and gender parity among women and girls, is crucial for attaining the other SDGs and establishing</w:t>
      </w:r>
      <w:r w:rsidRPr="00AD3A56">
        <w:rPr>
          <w:rFonts w:ascii="Arial" w:hAnsi="Arial" w:cs="Arial"/>
        </w:rPr>
        <w:t xml:space="preserve"> sustainable norms. Promoting gender equality can enhance productivity and, at the same time, the economic outcomes.</w:t>
      </w:r>
    </w:p>
    <w:p w14:paraId="78F21431" w14:textId="77777777" w:rsidR="00734AF3" w:rsidRPr="00AD3A56" w:rsidRDefault="00734AF3" w:rsidP="00734AF3">
      <w:pPr>
        <w:pStyle w:val="Body"/>
        <w:spacing w:after="0"/>
        <w:rPr>
          <w:rFonts w:ascii="Arial" w:hAnsi="Arial" w:cs="Arial"/>
        </w:rPr>
      </w:pPr>
    </w:p>
    <w:p w14:paraId="79FD9FE5" w14:textId="77777777" w:rsidR="00790ADA" w:rsidRPr="00FB3A86" w:rsidRDefault="00AD3A56" w:rsidP="00A82F14">
      <w:pPr>
        <w:pStyle w:val="Body"/>
        <w:spacing w:after="0"/>
        <w:rPr>
          <w:rFonts w:ascii="Arial" w:hAnsi="Arial" w:cs="Arial"/>
        </w:rPr>
      </w:pPr>
      <w:r w:rsidRPr="00AD3A56">
        <w:rPr>
          <w:rFonts w:ascii="Arial" w:hAnsi="Arial" w:cs="Arial"/>
        </w:rPr>
        <w:t xml:space="preserve">In the case of the Protected Area Management Office (PAMO) of CENRO Northern </w:t>
      </w:r>
      <w:proofErr w:type="spellStart"/>
      <w:r w:rsidRPr="00AD3A56">
        <w:rPr>
          <w:rFonts w:ascii="Arial" w:hAnsi="Arial" w:cs="Arial"/>
        </w:rPr>
        <w:t>Ilocos</w:t>
      </w:r>
      <w:proofErr w:type="spellEnd"/>
      <w:r w:rsidRPr="00AD3A56">
        <w:rPr>
          <w:rFonts w:ascii="Arial" w:hAnsi="Arial" w:cs="Arial"/>
        </w:rPr>
        <w:t xml:space="preserve"> Sur, the gender issues in PAs, particularly on the awareness and perception of PAs, have not been evaluated yet. Understanding the distinct responsibilities of men and women, along with recognizing the value of equitable participation, is essential for identifying issues, formulating solutions, guiding management strategies, and informing decision-making for the sustainable use of natural resources. Therefore, this study was conducted to examine the roles of men and women across different age groups in the conservation and safeguarding of protected areas in Northern </w:t>
      </w:r>
      <w:proofErr w:type="spellStart"/>
      <w:r w:rsidRPr="00AD3A56">
        <w:rPr>
          <w:rFonts w:ascii="Arial" w:hAnsi="Arial" w:cs="Arial"/>
        </w:rPr>
        <w:t>Ilocos</w:t>
      </w:r>
      <w:proofErr w:type="spellEnd"/>
      <w:r w:rsidRPr="00AD3A56">
        <w:rPr>
          <w:rFonts w:ascii="Arial" w:hAnsi="Arial" w:cs="Arial"/>
        </w:rPr>
        <w:t xml:space="preserve"> Sur, Philippines. This will also help in identifying a more efficient and participatory approach, paving the way for conservation management that is both more impactful and inclusive.</w:t>
      </w:r>
      <w:r w:rsidRPr="00AD3A56">
        <w:rPr>
          <w:rFonts w:ascii="Arial" w:eastAsia="Calibri" w:hAnsi="Arial" w:cs="Arial"/>
          <w:szCs w:val="22"/>
        </w:rPr>
        <w:t xml:space="preserve"> </w:t>
      </w:r>
    </w:p>
    <w:p w14:paraId="11EC1D63" w14:textId="77777777" w:rsidR="00AD3A56" w:rsidRDefault="00AD3A56" w:rsidP="00A82F14">
      <w:pPr>
        <w:pStyle w:val="AbstHead"/>
        <w:spacing w:after="0"/>
        <w:jc w:val="both"/>
        <w:rPr>
          <w:rFonts w:ascii="Arial" w:hAnsi="Arial" w:cs="Arial"/>
        </w:rPr>
      </w:pPr>
    </w:p>
    <w:p w14:paraId="2A3028EC" w14:textId="1BF026EB" w:rsidR="00AD3A56" w:rsidRDefault="00902823" w:rsidP="00734AF3">
      <w:pPr>
        <w:pStyle w:val="AbstHead"/>
        <w:spacing w:after="0"/>
        <w:jc w:val="both"/>
        <w:rPr>
          <w:rFonts w:ascii="Arial" w:hAnsi="Arial" w:cs="Arial"/>
        </w:rPr>
      </w:pPr>
      <w:r>
        <w:rPr>
          <w:rFonts w:ascii="Arial" w:hAnsi="Arial" w:cs="Arial"/>
        </w:rPr>
        <w:t xml:space="preserve">2. </w:t>
      </w:r>
      <w:r w:rsidR="00450915">
        <w:rPr>
          <w:rFonts w:ascii="Arial" w:hAnsi="Arial" w:cs="Arial"/>
        </w:rPr>
        <w:t>Materials</w:t>
      </w:r>
      <w:r>
        <w:rPr>
          <w:rFonts w:ascii="Arial" w:hAnsi="Arial" w:cs="Arial"/>
        </w:rPr>
        <w:t xml:space="preserve"> and </w:t>
      </w:r>
      <w:r w:rsidR="00450915">
        <w:rPr>
          <w:rFonts w:ascii="Arial" w:hAnsi="Arial" w:cs="Arial"/>
        </w:rPr>
        <w:t>Methods</w:t>
      </w:r>
      <w:r w:rsidR="00000F8F">
        <w:rPr>
          <w:rFonts w:ascii="Arial" w:hAnsi="Arial" w:cs="Arial"/>
        </w:rPr>
        <w:t xml:space="preserve"> </w:t>
      </w:r>
    </w:p>
    <w:p w14:paraId="149EA3EE" w14:textId="77777777" w:rsidR="00734AF3" w:rsidRPr="00734AF3" w:rsidRDefault="00734AF3" w:rsidP="00734AF3">
      <w:pPr>
        <w:pStyle w:val="AbstHead"/>
        <w:spacing w:after="0"/>
        <w:jc w:val="both"/>
        <w:rPr>
          <w:rFonts w:ascii="Arial" w:hAnsi="Arial" w:cs="Arial"/>
        </w:rPr>
      </w:pPr>
    </w:p>
    <w:p w14:paraId="5075737C" w14:textId="6E51854E" w:rsidR="00451D22" w:rsidRPr="009E4C2B" w:rsidRDefault="00AD3A56" w:rsidP="00451D22">
      <w:pPr>
        <w:jc w:val="both"/>
        <w:rPr>
          <w:rFonts w:ascii="Arial" w:hAnsi="Arial" w:cs="Arial"/>
        </w:rPr>
      </w:pPr>
      <w:r w:rsidRPr="00AD3A56">
        <w:rPr>
          <w:rFonts w:ascii="Arial" w:hAnsi="Arial" w:cs="Arial"/>
        </w:rPr>
        <w:t>This study adapted a quantitative</w:t>
      </w:r>
      <w:r w:rsidR="00965191">
        <w:rPr>
          <w:rFonts w:ascii="Arial" w:hAnsi="Arial" w:cs="Arial"/>
        </w:rPr>
        <w:t>-descriptive</w:t>
      </w:r>
      <w:r w:rsidRPr="00AD3A56">
        <w:rPr>
          <w:rFonts w:ascii="Arial" w:hAnsi="Arial" w:cs="Arial"/>
        </w:rPr>
        <w:t xml:space="preserve"> research design and was conducted within the three PAs in Northern </w:t>
      </w:r>
      <w:proofErr w:type="spellStart"/>
      <w:r w:rsidRPr="00AD3A56">
        <w:rPr>
          <w:rFonts w:ascii="Arial" w:hAnsi="Arial" w:cs="Arial"/>
        </w:rPr>
        <w:t>Ilocos</w:t>
      </w:r>
      <w:proofErr w:type="spellEnd"/>
      <w:r w:rsidRPr="00AD3A56">
        <w:rPr>
          <w:rFonts w:ascii="Arial" w:hAnsi="Arial" w:cs="Arial"/>
        </w:rPr>
        <w:t xml:space="preserve"> Sur, Philippines, namely </w:t>
      </w:r>
      <w:proofErr w:type="spellStart"/>
      <w:r w:rsidRPr="00AD3A56">
        <w:rPr>
          <w:rFonts w:ascii="Arial" w:hAnsi="Arial" w:cs="Arial"/>
        </w:rPr>
        <w:t>Libunao</w:t>
      </w:r>
      <w:proofErr w:type="spellEnd"/>
      <w:r w:rsidRPr="00AD3A56">
        <w:rPr>
          <w:rFonts w:ascii="Arial" w:hAnsi="Arial" w:cs="Arial"/>
        </w:rPr>
        <w:t xml:space="preserve"> Protected Landscape, </w:t>
      </w:r>
      <w:proofErr w:type="spellStart"/>
      <w:r w:rsidRPr="00AD3A56">
        <w:rPr>
          <w:rFonts w:ascii="Arial" w:hAnsi="Arial" w:cs="Arial"/>
        </w:rPr>
        <w:t>Bigbiga</w:t>
      </w:r>
      <w:proofErr w:type="spellEnd"/>
      <w:r w:rsidRPr="00AD3A56">
        <w:rPr>
          <w:rFonts w:ascii="Arial" w:hAnsi="Arial" w:cs="Arial"/>
        </w:rPr>
        <w:t xml:space="preserve"> Protected Landscape, and the Northern Luzon Heroes Hill National Park. </w:t>
      </w:r>
      <w:r w:rsidR="00451D22" w:rsidRPr="00451D22">
        <w:rPr>
          <w:rFonts w:ascii="Arial" w:hAnsi="Arial" w:cs="Arial"/>
        </w:rPr>
        <w:t xml:space="preserve">The study considered the actual number of active PAMB and PAMO members across the sites. PAMB participants were randomly selected, while all staff members of the PAMO were surveyed </w:t>
      </w:r>
      <w:r w:rsidR="00451D22" w:rsidRPr="009E4C2B">
        <w:rPr>
          <w:rFonts w:ascii="Arial" w:hAnsi="Arial" w:cs="Arial"/>
        </w:rPr>
        <w:t>(Table 1). This is to ensure that all the people working within the protected sites</w:t>
      </w:r>
      <w:r w:rsidR="00680B75" w:rsidRPr="009E4C2B">
        <w:rPr>
          <w:rFonts w:ascii="Arial" w:hAnsi="Arial" w:cs="Arial"/>
        </w:rPr>
        <w:t xml:space="preserve"> are </w:t>
      </w:r>
      <w:r w:rsidR="00680B75" w:rsidRPr="009E4C2B">
        <w:rPr>
          <w:rFonts w:ascii="Arial" w:hAnsi="Arial" w:cs="Arial"/>
        </w:rPr>
        <w:lastRenderedPageBreak/>
        <w:t xml:space="preserve">represented. Although, the </w:t>
      </w:r>
      <w:r w:rsidR="00451D22" w:rsidRPr="009E4C2B">
        <w:rPr>
          <w:rFonts w:ascii="Arial" w:hAnsi="Arial" w:cs="Arial"/>
        </w:rPr>
        <w:t>overall sample is small, it reflects the true population of stakeholders involved in the management of the sites. This makes the sample adequate for capturing the experiences and insights from the people who are most directly involved.</w:t>
      </w:r>
    </w:p>
    <w:p w14:paraId="1BA694B4" w14:textId="77777777" w:rsidR="00451D22" w:rsidRPr="009E4C2B" w:rsidRDefault="00451D22" w:rsidP="00451D22">
      <w:pPr>
        <w:jc w:val="both"/>
        <w:rPr>
          <w:rFonts w:ascii="Arial" w:hAnsi="Arial" w:cs="Arial"/>
        </w:rPr>
      </w:pPr>
    </w:p>
    <w:p w14:paraId="1416DCA4" w14:textId="0C8C3DBF" w:rsidR="00005323" w:rsidRPr="009E4C2B" w:rsidRDefault="0046198B" w:rsidP="00451D22">
      <w:pPr>
        <w:jc w:val="both"/>
        <w:rPr>
          <w:rFonts w:ascii="Arial" w:hAnsi="Arial" w:cs="Arial"/>
        </w:rPr>
      </w:pPr>
      <w:r w:rsidRPr="009E4C2B">
        <w:rPr>
          <w:rFonts w:ascii="Arial" w:hAnsi="Arial" w:cs="Arial"/>
        </w:rPr>
        <w:t>A</w:t>
      </w:r>
      <w:r w:rsidR="00451D22" w:rsidRPr="009E4C2B">
        <w:rPr>
          <w:rFonts w:ascii="Arial" w:hAnsi="Arial" w:cs="Arial"/>
        </w:rPr>
        <w:t xml:space="preserve"> structured</w:t>
      </w:r>
      <w:r w:rsidRPr="009E4C2B">
        <w:rPr>
          <w:rFonts w:ascii="Arial" w:hAnsi="Arial" w:cs="Arial"/>
        </w:rPr>
        <w:t xml:space="preserve"> s</w:t>
      </w:r>
      <w:r w:rsidR="00AD3A56" w:rsidRPr="009E4C2B">
        <w:rPr>
          <w:rFonts w:ascii="Arial" w:hAnsi="Arial" w:cs="Arial"/>
        </w:rPr>
        <w:t xml:space="preserve">urvey questionnaire was used as the </w:t>
      </w:r>
      <w:r w:rsidR="00450915" w:rsidRPr="009E4C2B">
        <w:rPr>
          <w:rFonts w:ascii="Arial" w:hAnsi="Arial" w:cs="Arial"/>
        </w:rPr>
        <w:t>primary data collection instrument</w:t>
      </w:r>
      <w:r w:rsidR="00AD3A56" w:rsidRPr="009E4C2B">
        <w:rPr>
          <w:rFonts w:ascii="Arial" w:hAnsi="Arial" w:cs="Arial"/>
        </w:rPr>
        <w:t xml:space="preserve"> for the study. This evaluates</w:t>
      </w:r>
      <w:r w:rsidR="00451D22" w:rsidRPr="009E4C2B">
        <w:rPr>
          <w:rFonts w:ascii="Arial" w:hAnsi="Arial" w:cs="Arial"/>
        </w:rPr>
        <w:t xml:space="preserve"> socio-demographic profile,</w:t>
      </w:r>
      <w:r w:rsidR="00AD3A56" w:rsidRPr="009E4C2B">
        <w:rPr>
          <w:rFonts w:ascii="Arial" w:hAnsi="Arial" w:cs="Arial"/>
        </w:rPr>
        <w:t xml:space="preserve"> the involvement, gender roles, and awareness in protected area management. The researchers also asked each participant to </w:t>
      </w:r>
      <w:r w:rsidR="00450915" w:rsidRPr="009E4C2B">
        <w:rPr>
          <w:rFonts w:ascii="Arial" w:hAnsi="Arial" w:cs="Arial"/>
        </w:rPr>
        <w:t xml:space="preserve">share any ideas they had </w:t>
      </w:r>
      <w:r w:rsidR="00AD3A56" w:rsidRPr="009E4C2B">
        <w:rPr>
          <w:rFonts w:ascii="Arial" w:hAnsi="Arial" w:cs="Arial"/>
        </w:rPr>
        <w:t>regarding various gender-based issues. The needs of the PAMB and PAMO, particularly on the strategies to strengthen gender and development within the PA, were also gathered.</w:t>
      </w:r>
      <w:r w:rsidR="00451D22" w:rsidRPr="009E4C2B">
        <w:rPr>
          <w:rFonts w:ascii="Arial" w:hAnsi="Arial" w:cs="Arial"/>
        </w:rPr>
        <w:t xml:space="preserve"> While the study did not </w:t>
      </w:r>
      <w:r w:rsidR="009E4C2B" w:rsidRPr="009E4C2B">
        <w:rPr>
          <w:rFonts w:ascii="Arial" w:hAnsi="Arial" w:cs="Arial"/>
        </w:rPr>
        <w:t>employ a conceptual model, the</w:t>
      </w:r>
      <w:r w:rsidR="008B1F95" w:rsidRPr="009E4C2B">
        <w:rPr>
          <w:rFonts w:ascii="Arial" w:hAnsi="Arial" w:cs="Arial"/>
        </w:rPr>
        <w:t xml:space="preserve"> research </w:t>
      </w:r>
      <w:r w:rsidR="00451D22" w:rsidRPr="009E4C2B">
        <w:rPr>
          <w:rFonts w:ascii="Arial" w:hAnsi="Arial" w:cs="Arial"/>
        </w:rPr>
        <w:t>instrument was carefully aligned with these areas, ensuring that the questions accurately   captured the respondents’ experiences and perspective relevant to the research objectives.</w:t>
      </w:r>
    </w:p>
    <w:p w14:paraId="76EF8765" w14:textId="4BEC9D85" w:rsidR="009E4C2B" w:rsidRPr="009E4C2B" w:rsidRDefault="00450915" w:rsidP="009E4C2B">
      <w:pPr>
        <w:jc w:val="both"/>
        <w:rPr>
          <w:rFonts w:ascii="Arial" w:hAnsi="Arial" w:cs="Arial"/>
        </w:rPr>
      </w:pPr>
      <w:r w:rsidRPr="009E4C2B">
        <w:rPr>
          <w:rFonts w:ascii="Arial" w:hAnsi="Arial" w:cs="Arial"/>
        </w:rPr>
        <w:t>Additionally, site coordination and drafting of letters were completed prior to the survey's conduct</w:t>
      </w:r>
      <w:r w:rsidR="000B5223" w:rsidRPr="009E4C2B">
        <w:rPr>
          <w:rFonts w:ascii="Arial" w:hAnsi="Arial" w:cs="Arial"/>
        </w:rPr>
        <w:t>.</w:t>
      </w:r>
      <w:r w:rsidR="0089499E" w:rsidRPr="009E4C2B">
        <w:rPr>
          <w:rFonts w:ascii="Arial" w:hAnsi="Arial" w:cs="Arial"/>
        </w:rPr>
        <w:t xml:space="preserve"> </w:t>
      </w:r>
      <w:r w:rsidR="000B5223" w:rsidRPr="009E4C2B">
        <w:rPr>
          <w:rFonts w:ascii="Arial" w:hAnsi="Arial" w:cs="Arial"/>
        </w:rPr>
        <w:t>In addition, f</w:t>
      </w:r>
      <w:r w:rsidR="00AD3A56" w:rsidRPr="009E4C2B">
        <w:rPr>
          <w:rFonts w:ascii="Arial" w:hAnsi="Arial" w:cs="Arial"/>
        </w:rPr>
        <w:t>ace-to-face and online surveys</w:t>
      </w:r>
      <w:r w:rsidRPr="009E4C2B">
        <w:rPr>
          <w:rFonts w:ascii="Arial" w:hAnsi="Arial" w:cs="Arial"/>
        </w:rPr>
        <w:t>, conducted using Google Forms, were employed during data collection</w:t>
      </w:r>
      <w:r w:rsidR="00AD3A56" w:rsidRPr="009E4C2B">
        <w:rPr>
          <w:rFonts w:ascii="Arial" w:hAnsi="Arial" w:cs="Arial"/>
        </w:rPr>
        <w:t>. The collected data were tabulated and analyzed using descriptive statistical tools</w:t>
      </w:r>
      <w:r w:rsidRPr="009E4C2B">
        <w:rPr>
          <w:rFonts w:ascii="Arial" w:hAnsi="Arial" w:cs="Arial"/>
        </w:rPr>
        <w:t>, including</w:t>
      </w:r>
      <w:r w:rsidR="00AD3A56" w:rsidRPr="009E4C2B">
        <w:rPr>
          <w:rFonts w:ascii="Arial" w:hAnsi="Arial" w:cs="Arial"/>
        </w:rPr>
        <w:t xml:space="preserve"> frequency, means, and percentages.</w:t>
      </w:r>
      <w:r w:rsidR="00965191" w:rsidRPr="009E4C2B">
        <w:rPr>
          <w:rFonts w:ascii="Arial" w:hAnsi="Arial" w:cs="Arial"/>
        </w:rPr>
        <w:t xml:space="preserve"> The sample size is relatively small, </w:t>
      </w:r>
      <w:r w:rsidRPr="009E4C2B">
        <w:rPr>
          <w:rFonts w:ascii="Arial" w:hAnsi="Arial" w:cs="Arial"/>
        </w:rPr>
        <w:t xml:space="preserve">and the findings are shared as descriptive insights specific to this </w:t>
      </w:r>
      <w:r w:rsidR="00965191" w:rsidRPr="009E4C2B">
        <w:rPr>
          <w:rFonts w:ascii="Arial" w:hAnsi="Arial" w:cs="Arial"/>
        </w:rPr>
        <w:t>group, rather than making broader generalizations.</w:t>
      </w:r>
      <w:r w:rsidR="009E4C2B" w:rsidRPr="009E4C2B">
        <w:rPr>
          <w:rFonts w:ascii="Arial" w:hAnsi="Arial" w:cs="Arial"/>
        </w:rPr>
        <w:t xml:space="preserve"> Since the study did not aim to examine casual relationships or make predictive claims, regression and comparative analysis was not employed. Instead, descriptive statistics were applied as the most appropriate method for summarizing and representing the data, enabling the study to identify patterns and insights specific to the participants.</w:t>
      </w:r>
    </w:p>
    <w:p w14:paraId="47A6A127" w14:textId="2A3E3F07" w:rsidR="00965191" w:rsidRPr="009E4C2B" w:rsidRDefault="00965191" w:rsidP="0089499E">
      <w:pPr>
        <w:pStyle w:val="NormalWeb"/>
        <w:jc w:val="both"/>
        <w:rPr>
          <w:rFonts w:ascii="Arial" w:hAnsi="Arial" w:cs="Arial"/>
          <w:sz w:val="20"/>
          <w:szCs w:val="20"/>
        </w:rPr>
      </w:pPr>
    </w:p>
    <w:p w14:paraId="4C1B36A6" w14:textId="77777777" w:rsidR="00AD3A56" w:rsidRDefault="00AD3A56" w:rsidP="00005323">
      <w:pPr>
        <w:pStyle w:val="Body"/>
        <w:spacing w:after="0"/>
        <w:rPr>
          <w:rFonts w:ascii="Arial" w:hAnsi="Arial" w:cs="Arial"/>
        </w:rPr>
      </w:pPr>
    </w:p>
    <w:p w14:paraId="4B0C6B8D" w14:textId="77777777" w:rsidR="00AD3A56" w:rsidRPr="00AD3A56" w:rsidRDefault="00AD3A56" w:rsidP="00A82F14">
      <w:pPr>
        <w:pStyle w:val="Body"/>
        <w:spacing w:after="0"/>
        <w:rPr>
          <w:rFonts w:ascii="Arial" w:hAnsi="Arial" w:cs="Arial"/>
        </w:rPr>
      </w:pPr>
    </w:p>
    <w:p w14:paraId="3686D39E" w14:textId="77777777" w:rsidR="00E66E10" w:rsidRDefault="00E66E10" w:rsidP="00A82F14">
      <w:pPr>
        <w:pStyle w:val="Body"/>
        <w:spacing w:after="0"/>
        <w:rPr>
          <w:rFonts w:ascii="Arial" w:hAnsi="Arial" w:cs="Arial"/>
        </w:rPr>
      </w:pPr>
    </w:p>
    <w:p w14:paraId="6D71349B" w14:textId="77777777" w:rsidR="00790ADA" w:rsidRDefault="00AD3A56" w:rsidP="00A82F14">
      <w:pPr>
        <w:pStyle w:val="Body"/>
        <w:spacing w:after="0"/>
        <w:jc w:val="center"/>
        <w:rPr>
          <w:rFonts w:ascii="Arial" w:hAnsi="Arial" w:cs="Arial"/>
        </w:rPr>
      </w:pPr>
      <w:r>
        <w:rPr>
          <w:rFonts w:ascii="Arial" w:hAnsi="Arial" w:cs="Arial"/>
          <w:noProof/>
          <w:lang w:val="en-PH" w:eastAsia="en-PH"/>
        </w:rPr>
        <w:lastRenderedPageBreak/>
        <w:drawing>
          <wp:inline distT="0" distB="0" distL="0" distR="0" wp14:anchorId="7117698E" wp14:editId="2A396F1D">
            <wp:extent cx="2646045" cy="386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6045" cy="3865245"/>
                    </a:xfrm>
                    <a:prstGeom prst="rect">
                      <a:avLst/>
                    </a:prstGeom>
                    <a:noFill/>
                  </pic:spPr>
                </pic:pic>
              </a:graphicData>
            </a:graphic>
          </wp:inline>
        </w:drawing>
      </w:r>
    </w:p>
    <w:p w14:paraId="2AFC00D7" w14:textId="5EA64552" w:rsidR="00AD3A56" w:rsidRDefault="00AD3A56" w:rsidP="00A82F14">
      <w:pPr>
        <w:pStyle w:val="Body"/>
        <w:spacing w:after="0"/>
        <w:jc w:val="center"/>
        <w:rPr>
          <w:rFonts w:ascii="Arial" w:hAnsi="Arial" w:cs="Arial"/>
        </w:rPr>
      </w:pPr>
      <w:r w:rsidRPr="00AD3A56">
        <w:rPr>
          <w:rFonts w:ascii="Arial" w:hAnsi="Arial" w:cs="Arial"/>
        </w:rPr>
        <w:t xml:space="preserve">Figure 1: Map of the Three Protected Areas of CENRO Northern </w:t>
      </w:r>
      <w:proofErr w:type="spellStart"/>
      <w:r w:rsidRPr="00AD3A56">
        <w:rPr>
          <w:rFonts w:ascii="Arial" w:hAnsi="Arial" w:cs="Arial"/>
        </w:rPr>
        <w:t>Ilocos</w:t>
      </w:r>
      <w:proofErr w:type="spellEnd"/>
      <w:r w:rsidRPr="00AD3A56">
        <w:rPr>
          <w:rFonts w:ascii="Arial" w:hAnsi="Arial" w:cs="Arial"/>
        </w:rPr>
        <w:t xml:space="preserve"> Sur</w:t>
      </w:r>
      <w:r w:rsidR="0050276B">
        <w:rPr>
          <w:rFonts w:ascii="Arial" w:hAnsi="Arial" w:cs="Arial"/>
        </w:rPr>
        <w:t>, Philippines</w:t>
      </w:r>
    </w:p>
    <w:p w14:paraId="20B90C8D" w14:textId="77777777" w:rsidR="00A03020" w:rsidRDefault="00A03020" w:rsidP="00A82F14">
      <w:pPr>
        <w:pStyle w:val="Body"/>
        <w:spacing w:after="0"/>
        <w:jc w:val="center"/>
        <w:rPr>
          <w:rFonts w:ascii="Arial" w:hAnsi="Arial" w:cs="Arial"/>
        </w:rPr>
      </w:pPr>
    </w:p>
    <w:p w14:paraId="76234BE5" w14:textId="2D1FA63E" w:rsidR="00AD3A56" w:rsidRDefault="00AD3A56" w:rsidP="00A82F14">
      <w:pPr>
        <w:pStyle w:val="Body"/>
        <w:spacing w:after="0"/>
        <w:jc w:val="center"/>
        <w:rPr>
          <w:rFonts w:ascii="Arial" w:hAnsi="Arial" w:cs="Arial"/>
        </w:rPr>
      </w:pPr>
      <w:r w:rsidRPr="00AD3A56">
        <w:rPr>
          <w:rFonts w:ascii="Arial" w:hAnsi="Arial" w:cs="Arial"/>
          <w:b/>
        </w:rPr>
        <w:t xml:space="preserve">Table 1: </w:t>
      </w:r>
      <w:r w:rsidRPr="00AD3A56">
        <w:rPr>
          <w:rFonts w:ascii="Arial" w:hAnsi="Arial" w:cs="Arial"/>
        </w:rPr>
        <w:t xml:space="preserve">Breakdown of Respondents from the Three Protected Areas of CENRO Northern </w:t>
      </w:r>
      <w:proofErr w:type="spellStart"/>
      <w:r w:rsidRPr="00AD3A56">
        <w:rPr>
          <w:rFonts w:ascii="Arial" w:hAnsi="Arial" w:cs="Arial"/>
        </w:rPr>
        <w:t>Ilocos</w:t>
      </w:r>
      <w:proofErr w:type="spellEnd"/>
      <w:r w:rsidRPr="00AD3A56">
        <w:rPr>
          <w:rFonts w:ascii="Arial" w:hAnsi="Arial" w:cs="Arial"/>
        </w:rPr>
        <w:t xml:space="preserve"> Sur</w:t>
      </w:r>
      <w:r w:rsidR="0050276B">
        <w:rPr>
          <w:rFonts w:ascii="Arial" w:hAnsi="Arial" w:cs="Arial"/>
        </w:rPr>
        <w:t>, Philippines</w:t>
      </w:r>
    </w:p>
    <w:p w14:paraId="432385C1" w14:textId="77777777" w:rsidR="00A03020" w:rsidRPr="00AD3A56" w:rsidRDefault="00A03020" w:rsidP="00A82F14">
      <w:pPr>
        <w:pStyle w:val="Body"/>
        <w:spacing w:after="0"/>
        <w:jc w:val="center"/>
        <w:rPr>
          <w:rFonts w:ascii="Arial" w:hAnsi="Arial" w:cs="Arial"/>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8"/>
        <w:gridCol w:w="1092"/>
        <w:gridCol w:w="40"/>
        <w:gridCol w:w="1060"/>
      </w:tblGrid>
      <w:tr w:rsidR="00AD3A56" w:rsidRPr="00AD3A56" w14:paraId="57AAA092" w14:textId="77777777" w:rsidTr="00AD3A56">
        <w:trPr>
          <w:jc w:val="center"/>
        </w:trPr>
        <w:tc>
          <w:tcPr>
            <w:tcW w:w="4384" w:type="dxa"/>
            <w:gridSpan w:val="5"/>
            <w:tcBorders>
              <w:top w:val="single" w:sz="4" w:space="0" w:color="auto"/>
              <w:bottom w:val="single" w:sz="4" w:space="0" w:color="auto"/>
            </w:tcBorders>
          </w:tcPr>
          <w:p w14:paraId="44CF16CD" w14:textId="77777777" w:rsidR="00AD3A56" w:rsidRPr="00AD3A56" w:rsidRDefault="00AD3A56" w:rsidP="00A82F14">
            <w:pPr>
              <w:pStyle w:val="Body"/>
              <w:spacing w:after="0"/>
              <w:jc w:val="left"/>
              <w:rPr>
                <w:rFonts w:ascii="Arial" w:hAnsi="Arial" w:cs="Arial"/>
                <w:b/>
                <w:sz w:val="20"/>
              </w:rPr>
            </w:pPr>
            <w:proofErr w:type="spellStart"/>
            <w:r w:rsidRPr="00AD3A56">
              <w:rPr>
                <w:rFonts w:ascii="Arial" w:hAnsi="Arial" w:cs="Arial"/>
                <w:b/>
                <w:sz w:val="20"/>
              </w:rPr>
              <w:t>Bigbiga</w:t>
            </w:r>
            <w:proofErr w:type="spellEnd"/>
            <w:r w:rsidRPr="00AD3A56">
              <w:rPr>
                <w:rFonts w:ascii="Arial" w:hAnsi="Arial" w:cs="Arial"/>
                <w:b/>
                <w:sz w:val="20"/>
              </w:rPr>
              <w:t xml:space="preserve"> Protected Landscape</w:t>
            </w:r>
          </w:p>
        </w:tc>
      </w:tr>
      <w:tr w:rsidR="00AD3A56" w:rsidRPr="00AD3A56" w14:paraId="22FADF16" w14:textId="77777777" w:rsidTr="00AD3A56">
        <w:trPr>
          <w:jc w:val="center"/>
        </w:trPr>
        <w:tc>
          <w:tcPr>
            <w:tcW w:w="2192" w:type="dxa"/>
            <w:gridSpan w:val="2"/>
            <w:tcBorders>
              <w:top w:val="single" w:sz="4" w:space="0" w:color="auto"/>
            </w:tcBorders>
          </w:tcPr>
          <w:p w14:paraId="47DEE2AC" w14:textId="77777777" w:rsidR="00AD3A56" w:rsidRPr="00AD3A56" w:rsidRDefault="00AD3A56" w:rsidP="00A82F14">
            <w:pPr>
              <w:pStyle w:val="Body"/>
              <w:spacing w:after="0"/>
              <w:jc w:val="left"/>
              <w:rPr>
                <w:rFonts w:ascii="Arial" w:hAnsi="Arial" w:cs="Arial"/>
                <w:b/>
                <w:sz w:val="20"/>
              </w:rPr>
            </w:pPr>
            <w:r w:rsidRPr="00AD3A56">
              <w:rPr>
                <w:rFonts w:ascii="Arial" w:hAnsi="Arial" w:cs="Arial"/>
                <w:b/>
                <w:sz w:val="20"/>
              </w:rPr>
              <w:t>Position</w:t>
            </w:r>
          </w:p>
        </w:tc>
        <w:tc>
          <w:tcPr>
            <w:tcW w:w="1092" w:type="dxa"/>
            <w:tcBorders>
              <w:top w:val="single" w:sz="4" w:space="0" w:color="auto"/>
            </w:tcBorders>
          </w:tcPr>
          <w:p w14:paraId="4CAAADF6" w14:textId="77777777" w:rsidR="00AD3A56" w:rsidRPr="00AD3A56" w:rsidRDefault="00AD3A56" w:rsidP="00A82F14">
            <w:pPr>
              <w:pStyle w:val="Body"/>
              <w:spacing w:after="0"/>
              <w:jc w:val="left"/>
              <w:rPr>
                <w:rFonts w:ascii="Arial" w:hAnsi="Arial" w:cs="Arial"/>
                <w:b/>
                <w:sz w:val="20"/>
              </w:rPr>
            </w:pPr>
            <w:r w:rsidRPr="00AD3A56">
              <w:rPr>
                <w:rFonts w:ascii="Arial" w:hAnsi="Arial" w:cs="Arial"/>
                <w:b/>
                <w:sz w:val="20"/>
              </w:rPr>
              <w:t>Male</w:t>
            </w:r>
          </w:p>
        </w:tc>
        <w:tc>
          <w:tcPr>
            <w:tcW w:w="1100" w:type="dxa"/>
            <w:gridSpan w:val="2"/>
            <w:tcBorders>
              <w:top w:val="single" w:sz="4" w:space="0" w:color="auto"/>
            </w:tcBorders>
          </w:tcPr>
          <w:p w14:paraId="4AE0892A" w14:textId="77777777" w:rsidR="00AD3A56" w:rsidRPr="00AD3A56" w:rsidRDefault="00AD3A56" w:rsidP="00A82F14">
            <w:pPr>
              <w:pStyle w:val="Body"/>
              <w:spacing w:after="0"/>
              <w:jc w:val="left"/>
              <w:rPr>
                <w:rFonts w:ascii="Arial" w:hAnsi="Arial" w:cs="Arial"/>
                <w:b/>
                <w:sz w:val="20"/>
              </w:rPr>
            </w:pPr>
            <w:r w:rsidRPr="00AD3A56">
              <w:rPr>
                <w:rFonts w:ascii="Arial" w:hAnsi="Arial" w:cs="Arial"/>
                <w:b/>
                <w:sz w:val="20"/>
              </w:rPr>
              <w:t>Female</w:t>
            </w:r>
          </w:p>
        </w:tc>
      </w:tr>
      <w:tr w:rsidR="00AD3A56" w:rsidRPr="00AD3A56" w14:paraId="7CA1D0DD" w14:textId="77777777" w:rsidTr="00AD3A56">
        <w:trPr>
          <w:jc w:val="center"/>
        </w:trPr>
        <w:tc>
          <w:tcPr>
            <w:tcW w:w="2192" w:type="dxa"/>
            <w:gridSpan w:val="2"/>
          </w:tcPr>
          <w:p w14:paraId="0D4D05C5"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Superintendent</w:t>
            </w:r>
          </w:p>
        </w:tc>
        <w:tc>
          <w:tcPr>
            <w:tcW w:w="1092" w:type="dxa"/>
          </w:tcPr>
          <w:p w14:paraId="5EE30193" w14:textId="77777777" w:rsidR="00AD3A56" w:rsidRPr="00AD3A56" w:rsidRDefault="00AD3A56" w:rsidP="00A82F14">
            <w:pPr>
              <w:pStyle w:val="Body"/>
              <w:spacing w:after="0"/>
              <w:jc w:val="left"/>
              <w:rPr>
                <w:rFonts w:ascii="Arial" w:hAnsi="Arial" w:cs="Arial"/>
                <w:sz w:val="20"/>
              </w:rPr>
            </w:pPr>
          </w:p>
        </w:tc>
        <w:tc>
          <w:tcPr>
            <w:tcW w:w="1100" w:type="dxa"/>
            <w:gridSpan w:val="2"/>
          </w:tcPr>
          <w:p w14:paraId="45C04848"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7DFC8BC1" w14:textId="77777777" w:rsidTr="00AD3A56">
        <w:trPr>
          <w:jc w:val="center"/>
        </w:trPr>
        <w:tc>
          <w:tcPr>
            <w:tcW w:w="2192" w:type="dxa"/>
            <w:gridSpan w:val="2"/>
          </w:tcPr>
          <w:p w14:paraId="66D69EE6"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Assistant Protected Area Superintendent</w:t>
            </w:r>
          </w:p>
        </w:tc>
        <w:tc>
          <w:tcPr>
            <w:tcW w:w="1092" w:type="dxa"/>
          </w:tcPr>
          <w:p w14:paraId="529ADE0E"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100" w:type="dxa"/>
            <w:gridSpan w:val="2"/>
          </w:tcPr>
          <w:p w14:paraId="1A45ACA2" w14:textId="77777777" w:rsidR="00AD3A56" w:rsidRPr="00AD3A56" w:rsidRDefault="00AD3A56" w:rsidP="00A82F14">
            <w:pPr>
              <w:pStyle w:val="Body"/>
              <w:spacing w:after="0"/>
              <w:jc w:val="left"/>
              <w:rPr>
                <w:rFonts w:ascii="Arial" w:hAnsi="Arial" w:cs="Arial"/>
                <w:sz w:val="20"/>
              </w:rPr>
            </w:pPr>
          </w:p>
        </w:tc>
      </w:tr>
      <w:tr w:rsidR="00AD3A56" w:rsidRPr="00AD3A56" w14:paraId="4B3D50CF" w14:textId="77777777" w:rsidTr="00AD3A56">
        <w:trPr>
          <w:jc w:val="center"/>
        </w:trPr>
        <w:tc>
          <w:tcPr>
            <w:tcW w:w="2192" w:type="dxa"/>
            <w:gridSpan w:val="2"/>
          </w:tcPr>
          <w:p w14:paraId="5C8A6133"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Ecosystem Management Specialist</w:t>
            </w:r>
          </w:p>
        </w:tc>
        <w:tc>
          <w:tcPr>
            <w:tcW w:w="1092" w:type="dxa"/>
          </w:tcPr>
          <w:p w14:paraId="43BFC58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2</w:t>
            </w:r>
          </w:p>
        </w:tc>
        <w:tc>
          <w:tcPr>
            <w:tcW w:w="1100" w:type="dxa"/>
            <w:gridSpan w:val="2"/>
          </w:tcPr>
          <w:p w14:paraId="2F0AC53C" w14:textId="77777777" w:rsidR="00AD3A56" w:rsidRPr="00AD3A56" w:rsidRDefault="00AD3A56" w:rsidP="00A82F14">
            <w:pPr>
              <w:pStyle w:val="Body"/>
              <w:spacing w:after="0"/>
              <w:jc w:val="left"/>
              <w:rPr>
                <w:rFonts w:ascii="Arial" w:hAnsi="Arial" w:cs="Arial"/>
                <w:sz w:val="20"/>
              </w:rPr>
            </w:pPr>
          </w:p>
        </w:tc>
      </w:tr>
      <w:tr w:rsidR="00AD3A56" w:rsidRPr="00AD3A56" w14:paraId="34A4C96F" w14:textId="77777777" w:rsidTr="00AD3A56">
        <w:trPr>
          <w:jc w:val="center"/>
        </w:trPr>
        <w:tc>
          <w:tcPr>
            <w:tcW w:w="2192" w:type="dxa"/>
            <w:gridSpan w:val="2"/>
          </w:tcPr>
          <w:p w14:paraId="0A51F00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Ranger</w:t>
            </w:r>
          </w:p>
        </w:tc>
        <w:tc>
          <w:tcPr>
            <w:tcW w:w="1092" w:type="dxa"/>
          </w:tcPr>
          <w:p w14:paraId="047182A1"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2</w:t>
            </w:r>
          </w:p>
        </w:tc>
        <w:tc>
          <w:tcPr>
            <w:tcW w:w="1100" w:type="dxa"/>
            <w:gridSpan w:val="2"/>
          </w:tcPr>
          <w:p w14:paraId="11ACFE4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6A38A739" w14:textId="77777777" w:rsidTr="00AD3A56">
        <w:trPr>
          <w:jc w:val="center"/>
        </w:trPr>
        <w:tc>
          <w:tcPr>
            <w:tcW w:w="2192" w:type="dxa"/>
            <w:gridSpan w:val="2"/>
          </w:tcPr>
          <w:p w14:paraId="30D06BA9"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Technical Staff</w:t>
            </w:r>
          </w:p>
        </w:tc>
        <w:tc>
          <w:tcPr>
            <w:tcW w:w="1092" w:type="dxa"/>
          </w:tcPr>
          <w:p w14:paraId="46BEFF0C"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100" w:type="dxa"/>
            <w:gridSpan w:val="2"/>
          </w:tcPr>
          <w:p w14:paraId="284B423B" w14:textId="77777777" w:rsidR="00AD3A56" w:rsidRPr="00AD3A56" w:rsidRDefault="00AD3A56" w:rsidP="00A82F14">
            <w:pPr>
              <w:pStyle w:val="Body"/>
              <w:spacing w:after="0"/>
              <w:jc w:val="left"/>
              <w:rPr>
                <w:rFonts w:ascii="Arial" w:hAnsi="Arial" w:cs="Arial"/>
                <w:sz w:val="20"/>
              </w:rPr>
            </w:pPr>
          </w:p>
        </w:tc>
      </w:tr>
      <w:tr w:rsidR="00AD3A56" w:rsidRPr="00AD3A56" w14:paraId="5B53DF12" w14:textId="77777777" w:rsidTr="00AD3A56">
        <w:trPr>
          <w:jc w:val="center"/>
        </w:trPr>
        <w:tc>
          <w:tcPr>
            <w:tcW w:w="2192" w:type="dxa"/>
            <w:gridSpan w:val="2"/>
            <w:tcBorders>
              <w:bottom w:val="single" w:sz="4" w:space="0" w:color="auto"/>
            </w:tcBorders>
          </w:tcPr>
          <w:p w14:paraId="1A743516"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Management Board Member</w:t>
            </w:r>
          </w:p>
        </w:tc>
        <w:tc>
          <w:tcPr>
            <w:tcW w:w="1092" w:type="dxa"/>
            <w:tcBorders>
              <w:bottom w:val="single" w:sz="4" w:space="0" w:color="auto"/>
            </w:tcBorders>
          </w:tcPr>
          <w:p w14:paraId="77255EBC"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100" w:type="dxa"/>
            <w:gridSpan w:val="2"/>
            <w:tcBorders>
              <w:bottom w:val="single" w:sz="4" w:space="0" w:color="auto"/>
            </w:tcBorders>
          </w:tcPr>
          <w:p w14:paraId="6FB0590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5</w:t>
            </w:r>
          </w:p>
        </w:tc>
      </w:tr>
      <w:tr w:rsidR="00AD3A56" w:rsidRPr="00AD3A56" w14:paraId="4011CD65" w14:textId="77777777" w:rsidTr="00AD3A56">
        <w:trPr>
          <w:jc w:val="center"/>
        </w:trPr>
        <w:tc>
          <w:tcPr>
            <w:tcW w:w="4384" w:type="dxa"/>
            <w:gridSpan w:val="5"/>
            <w:tcBorders>
              <w:top w:val="single" w:sz="4" w:space="0" w:color="auto"/>
              <w:bottom w:val="single" w:sz="4" w:space="0" w:color="auto"/>
            </w:tcBorders>
          </w:tcPr>
          <w:p w14:paraId="3BA18FAE" w14:textId="77777777" w:rsidR="00AD3A56" w:rsidRPr="00AD3A56" w:rsidRDefault="00AD3A56" w:rsidP="00A82F14">
            <w:pPr>
              <w:pStyle w:val="Body"/>
              <w:spacing w:after="0"/>
              <w:jc w:val="left"/>
              <w:rPr>
                <w:rFonts w:ascii="Arial" w:hAnsi="Arial" w:cs="Arial"/>
                <w:b/>
                <w:sz w:val="20"/>
              </w:rPr>
            </w:pPr>
            <w:r w:rsidRPr="00AD3A56">
              <w:rPr>
                <w:rFonts w:ascii="Arial" w:hAnsi="Arial" w:cs="Arial"/>
                <w:b/>
                <w:sz w:val="20"/>
              </w:rPr>
              <w:t>Northern Luzon Heroes Hill National Park</w:t>
            </w:r>
          </w:p>
        </w:tc>
      </w:tr>
      <w:tr w:rsidR="00AD3A56" w:rsidRPr="00AD3A56" w14:paraId="6DBFF981" w14:textId="77777777" w:rsidTr="00AD3A56">
        <w:trPr>
          <w:jc w:val="center"/>
        </w:trPr>
        <w:tc>
          <w:tcPr>
            <w:tcW w:w="2184" w:type="dxa"/>
            <w:tcBorders>
              <w:top w:val="single" w:sz="4" w:space="0" w:color="auto"/>
            </w:tcBorders>
          </w:tcPr>
          <w:p w14:paraId="0601649A"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Superintendent</w:t>
            </w:r>
          </w:p>
        </w:tc>
        <w:tc>
          <w:tcPr>
            <w:tcW w:w="1140" w:type="dxa"/>
            <w:gridSpan w:val="3"/>
            <w:tcBorders>
              <w:top w:val="single" w:sz="4" w:space="0" w:color="auto"/>
            </w:tcBorders>
          </w:tcPr>
          <w:p w14:paraId="7E7D114D" w14:textId="77777777" w:rsidR="00AD3A56" w:rsidRPr="00AD3A56" w:rsidRDefault="00AD3A56" w:rsidP="00A82F14">
            <w:pPr>
              <w:pStyle w:val="Body"/>
              <w:spacing w:after="0"/>
              <w:jc w:val="left"/>
              <w:rPr>
                <w:rFonts w:ascii="Arial" w:hAnsi="Arial" w:cs="Arial"/>
                <w:sz w:val="20"/>
              </w:rPr>
            </w:pPr>
          </w:p>
        </w:tc>
        <w:tc>
          <w:tcPr>
            <w:tcW w:w="1060" w:type="dxa"/>
            <w:tcBorders>
              <w:top w:val="single" w:sz="4" w:space="0" w:color="auto"/>
            </w:tcBorders>
          </w:tcPr>
          <w:p w14:paraId="1F0DC15E"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76ADAC09" w14:textId="77777777" w:rsidTr="00AD3A56">
        <w:trPr>
          <w:jc w:val="center"/>
        </w:trPr>
        <w:tc>
          <w:tcPr>
            <w:tcW w:w="2184" w:type="dxa"/>
          </w:tcPr>
          <w:p w14:paraId="78D3B93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Assistant Protected Area Superintendent</w:t>
            </w:r>
          </w:p>
        </w:tc>
        <w:tc>
          <w:tcPr>
            <w:tcW w:w="1140" w:type="dxa"/>
            <w:gridSpan w:val="3"/>
          </w:tcPr>
          <w:p w14:paraId="6D74FD18"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060" w:type="dxa"/>
          </w:tcPr>
          <w:p w14:paraId="3C1E6FA4" w14:textId="77777777" w:rsidR="00AD3A56" w:rsidRPr="00AD3A56" w:rsidRDefault="00AD3A56" w:rsidP="00A82F14">
            <w:pPr>
              <w:pStyle w:val="Body"/>
              <w:spacing w:after="0"/>
              <w:jc w:val="left"/>
              <w:rPr>
                <w:rFonts w:ascii="Arial" w:hAnsi="Arial" w:cs="Arial"/>
                <w:sz w:val="20"/>
              </w:rPr>
            </w:pPr>
          </w:p>
        </w:tc>
      </w:tr>
      <w:tr w:rsidR="00AD3A56" w:rsidRPr="00AD3A56" w14:paraId="09245258" w14:textId="77777777" w:rsidTr="00AD3A56">
        <w:trPr>
          <w:jc w:val="center"/>
        </w:trPr>
        <w:tc>
          <w:tcPr>
            <w:tcW w:w="2184" w:type="dxa"/>
          </w:tcPr>
          <w:p w14:paraId="7FADBDB7"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 xml:space="preserve">Ecosystem Management </w:t>
            </w:r>
            <w:r w:rsidRPr="00AD3A56">
              <w:rPr>
                <w:rFonts w:ascii="Arial" w:hAnsi="Arial" w:cs="Arial"/>
                <w:sz w:val="20"/>
              </w:rPr>
              <w:lastRenderedPageBreak/>
              <w:t>Specialist</w:t>
            </w:r>
          </w:p>
        </w:tc>
        <w:tc>
          <w:tcPr>
            <w:tcW w:w="1140" w:type="dxa"/>
            <w:gridSpan w:val="3"/>
          </w:tcPr>
          <w:p w14:paraId="47541DC6"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lastRenderedPageBreak/>
              <w:t>1</w:t>
            </w:r>
          </w:p>
        </w:tc>
        <w:tc>
          <w:tcPr>
            <w:tcW w:w="1060" w:type="dxa"/>
          </w:tcPr>
          <w:p w14:paraId="01071E5C"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00F0B85C" w14:textId="77777777" w:rsidTr="00AD3A56">
        <w:trPr>
          <w:jc w:val="center"/>
        </w:trPr>
        <w:tc>
          <w:tcPr>
            <w:tcW w:w="2184" w:type="dxa"/>
          </w:tcPr>
          <w:p w14:paraId="51779FC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Ranger</w:t>
            </w:r>
          </w:p>
        </w:tc>
        <w:tc>
          <w:tcPr>
            <w:tcW w:w="1140" w:type="dxa"/>
            <w:gridSpan w:val="3"/>
          </w:tcPr>
          <w:p w14:paraId="753AA31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7</w:t>
            </w:r>
          </w:p>
        </w:tc>
        <w:tc>
          <w:tcPr>
            <w:tcW w:w="1060" w:type="dxa"/>
          </w:tcPr>
          <w:p w14:paraId="6590D964" w14:textId="77777777" w:rsidR="00AD3A56" w:rsidRPr="00AD3A56" w:rsidRDefault="00AD3A56" w:rsidP="00A82F14">
            <w:pPr>
              <w:pStyle w:val="Body"/>
              <w:spacing w:after="0"/>
              <w:jc w:val="left"/>
              <w:rPr>
                <w:rFonts w:ascii="Arial" w:hAnsi="Arial" w:cs="Arial"/>
                <w:sz w:val="20"/>
              </w:rPr>
            </w:pPr>
          </w:p>
        </w:tc>
      </w:tr>
      <w:tr w:rsidR="00AD3A56" w:rsidRPr="00AD3A56" w14:paraId="4CDBA6E5" w14:textId="77777777" w:rsidTr="00AD3A56">
        <w:trPr>
          <w:jc w:val="center"/>
        </w:trPr>
        <w:tc>
          <w:tcPr>
            <w:tcW w:w="2184" w:type="dxa"/>
          </w:tcPr>
          <w:p w14:paraId="2DDD4B88"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Technical Staff</w:t>
            </w:r>
          </w:p>
        </w:tc>
        <w:tc>
          <w:tcPr>
            <w:tcW w:w="1140" w:type="dxa"/>
            <w:gridSpan w:val="3"/>
          </w:tcPr>
          <w:p w14:paraId="1DA77D65"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060" w:type="dxa"/>
          </w:tcPr>
          <w:p w14:paraId="3D825AA1" w14:textId="77777777" w:rsidR="00AD3A56" w:rsidRPr="00AD3A56" w:rsidRDefault="00AD3A56" w:rsidP="00A82F14">
            <w:pPr>
              <w:pStyle w:val="Body"/>
              <w:spacing w:after="0"/>
              <w:jc w:val="left"/>
              <w:rPr>
                <w:rFonts w:ascii="Arial" w:hAnsi="Arial" w:cs="Arial"/>
                <w:sz w:val="20"/>
              </w:rPr>
            </w:pPr>
          </w:p>
        </w:tc>
      </w:tr>
      <w:tr w:rsidR="00AD3A56" w:rsidRPr="00AD3A56" w14:paraId="379AF520" w14:textId="77777777" w:rsidTr="00AD3A56">
        <w:trPr>
          <w:jc w:val="center"/>
        </w:trPr>
        <w:tc>
          <w:tcPr>
            <w:tcW w:w="2184" w:type="dxa"/>
            <w:tcBorders>
              <w:bottom w:val="single" w:sz="4" w:space="0" w:color="auto"/>
            </w:tcBorders>
          </w:tcPr>
          <w:p w14:paraId="219E7D9A"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Management Board Member</w:t>
            </w:r>
          </w:p>
        </w:tc>
        <w:tc>
          <w:tcPr>
            <w:tcW w:w="1140" w:type="dxa"/>
            <w:gridSpan w:val="3"/>
            <w:tcBorders>
              <w:bottom w:val="single" w:sz="4" w:space="0" w:color="auto"/>
            </w:tcBorders>
          </w:tcPr>
          <w:p w14:paraId="584551B0"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7</w:t>
            </w:r>
          </w:p>
        </w:tc>
        <w:tc>
          <w:tcPr>
            <w:tcW w:w="1060" w:type="dxa"/>
            <w:tcBorders>
              <w:bottom w:val="single" w:sz="4" w:space="0" w:color="auto"/>
            </w:tcBorders>
          </w:tcPr>
          <w:p w14:paraId="765BB77C"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2</w:t>
            </w:r>
          </w:p>
        </w:tc>
      </w:tr>
      <w:tr w:rsidR="00AD3A56" w:rsidRPr="00AD3A56" w14:paraId="69C4B292" w14:textId="77777777" w:rsidTr="00AD3A56">
        <w:trPr>
          <w:jc w:val="center"/>
        </w:trPr>
        <w:tc>
          <w:tcPr>
            <w:tcW w:w="4384" w:type="dxa"/>
            <w:gridSpan w:val="5"/>
            <w:tcBorders>
              <w:top w:val="single" w:sz="4" w:space="0" w:color="auto"/>
              <w:bottom w:val="single" w:sz="4" w:space="0" w:color="auto"/>
            </w:tcBorders>
          </w:tcPr>
          <w:p w14:paraId="4EBAA7D0" w14:textId="77777777" w:rsidR="00AD3A56" w:rsidRPr="00AD3A56" w:rsidRDefault="00AD3A56" w:rsidP="00A82F14">
            <w:pPr>
              <w:pStyle w:val="Body"/>
              <w:spacing w:after="0"/>
              <w:jc w:val="left"/>
              <w:rPr>
                <w:rFonts w:ascii="Arial" w:hAnsi="Arial" w:cs="Arial"/>
                <w:sz w:val="20"/>
              </w:rPr>
            </w:pPr>
            <w:r w:rsidRPr="00AD3A56">
              <w:rPr>
                <w:rFonts w:ascii="Arial" w:hAnsi="Arial" w:cs="Arial"/>
                <w:b/>
                <w:sz w:val="20"/>
              </w:rPr>
              <w:t>Libunao Protected Landscape</w:t>
            </w:r>
          </w:p>
        </w:tc>
      </w:tr>
      <w:tr w:rsidR="00AD3A56" w:rsidRPr="00AD3A56" w14:paraId="457A297D" w14:textId="77777777" w:rsidTr="00AD3A56">
        <w:trPr>
          <w:jc w:val="center"/>
        </w:trPr>
        <w:tc>
          <w:tcPr>
            <w:tcW w:w="2184" w:type="dxa"/>
            <w:tcBorders>
              <w:top w:val="single" w:sz="4" w:space="0" w:color="auto"/>
            </w:tcBorders>
          </w:tcPr>
          <w:p w14:paraId="3A038D57"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Superintendent</w:t>
            </w:r>
          </w:p>
        </w:tc>
        <w:tc>
          <w:tcPr>
            <w:tcW w:w="1140" w:type="dxa"/>
            <w:gridSpan w:val="3"/>
            <w:tcBorders>
              <w:top w:val="single" w:sz="4" w:space="0" w:color="auto"/>
            </w:tcBorders>
          </w:tcPr>
          <w:p w14:paraId="35521793" w14:textId="77777777" w:rsidR="00AD3A56" w:rsidRPr="00AD3A56" w:rsidRDefault="00AD3A56" w:rsidP="00A82F14">
            <w:pPr>
              <w:pStyle w:val="Body"/>
              <w:spacing w:after="0"/>
              <w:jc w:val="left"/>
              <w:rPr>
                <w:rFonts w:ascii="Arial" w:hAnsi="Arial" w:cs="Arial"/>
                <w:sz w:val="20"/>
              </w:rPr>
            </w:pPr>
          </w:p>
        </w:tc>
        <w:tc>
          <w:tcPr>
            <w:tcW w:w="1060" w:type="dxa"/>
            <w:tcBorders>
              <w:top w:val="single" w:sz="4" w:space="0" w:color="auto"/>
            </w:tcBorders>
          </w:tcPr>
          <w:p w14:paraId="295F3B7E"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76EF6527" w14:textId="77777777" w:rsidTr="00AD3A56">
        <w:trPr>
          <w:jc w:val="center"/>
        </w:trPr>
        <w:tc>
          <w:tcPr>
            <w:tcW w:w="2184" w:type="dxa"/>
          </w:tcPr>
          <w:p w14:paraId="7A967CA5"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Assistant Protected Area Superintendent</w:t>
            </w:r>
          </w:p>
        </w:tc>
        <w:tc>
          <w:tcPr>
            <w:tcW w:w="1140" w:type="dxa"/>
            <w:gridSpan w:val="3"/>
          </w:tcPr>
          <w:p w14:paraId="7A38B6C8"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c>
          <w:tcPr>
            <w:tcW w:w="1060" w:type="dxa"/>
          </w:tcPr>
          <w:p w14:paraId="6CC905C6" w14:textId="77777777" w:rsidR="00AD3A56" w:rsidRPr="00AD3A56" w:rsidRDefault="00AD3A56" w:rsidP="00A82F14">
            <w:pPr>
              <w:pStyle w:val="Body"/>
              <w:spacing w:after="0"/>
              <w:jc w:val="left"/>
              <w:rPr>
                <w:rFonts w:ascii="Arial" w:hAnsi="Arial" w:cs="Arial"/>
                <w:sz w:val="20"/>
              </w:rPr>
            </w:pPr>
          </w:p>
        </w:tc>
      </w:tr>
      <w:tr w:rsidR="00AD3A56" w:rsidRPr="00AD3A56" w14:paraId="22F7A979" w14:textId="77777777" w:rsidTr="00AD3A56">
        <w:trPr>
          <w:jc w:val="center"/>
        </w:trPr>
        <w:tc>
          <w:tcPr>
            <w:tcW w:w="2184" w:type="dxa"/>
          </w:tcPr>
          <w:p w14:paraId="59087C7B"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Ecosystem Management Specialist</w:t>
            </w:r>
          </w:p>
        </w:tc>
        <w:tc>
          <w:tcPr>
            <w:tcW w:w="1140" w:type="dxa"/>
            <w:gridSpan w:val="3"/>
          </w:tcPr>
          <w:p w14:paraId="359C6981" w14:textId="77777777" w:rsidR="00AD3A56" w:rsidRPr="00AD3A56" w:rsidRDefault="00AD3A56" w:rsidP="00A82F14">
            <w:pPr>
              <w:pStyle w:val="Body"/>
              <w:spacing w:after="0"/>
              <w:jc w:val="left"/>
              <w:rPr>
                <w:rFonts w:ascii="Arial" w:hAnsi="Arial" w:cs="Arial"/>
                <w:sz w:val="20"/>
              </w:rPr>
            </w:pPr>
          </w:p>
        </w:tc>
        <w:tc>
          <w:tcPr>
            <w:tcW w:w="1060" w:type="dxa"/>
          </w:tcPr>
          <w:p w14:paraId="4C88462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2</w:t>
            </w:r>
          </w:p>
        </w:tc>
      </w:tr>
      <w:tr w:rsidR="00AD3A56" w:rsidRPr="00AD3A56" w14:paraId="3D1454BB" w14:textId="77777777" w:rsidTr="00AD3A56">
        <w:trPr>
          <w:jc w:val="center"/>
        </w:trPr>
        <w:tc>
          <w:tcPr>
            <w:tcW w:w="2184" w:type="dxa"/>
          </w:tcPr>
          <w:p w14:paraId="122D4AF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Ranger</w:t>
            </w:r>
          </w:p>
        </w:tc>
        <w:tc>
          <w:tcPr>
            <w:tcW w:w="1140" w:type="dxa"/>
            <w:gridSpan w:val="3"/>
          </w:tcPr>
          <w:p w14:paraId="6EA2C96A"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2</w:t>
            </w:r>
          </w:p>
        </w:tc>
        <w:tc>
          <w:tcPr>
            <w:tcW w:w="1060" w:type="dxa"/>
          </w:tcPr>
          <w:p w14:paraId="7615CADC" w14:textId="77777777" w:rsidR="00AD3A56" w:rsidRPr="00AD3A56" w:rsidRDefault="00AD3A56" w:rsidP="00A82F14">
            <w:pPr>
              <w:pStyle w:val="Body"/>
              <w:spacing w:after="0"/>
              <w:jc w:val="left"/>
              <w:rPr>
                <w:rFonts w:ascii="Arial" w:hAnsi="Arial" w:cs="Arial"/>
                <w:sz w:val="20"/>
              </w:rPr>
            </w:pPr>
          </w:p>
        </w:tc>
      </w:tr>
      <w:tr w:rsidR="00AD3A56" w:rsidRPr="00AD3A56" w14:paraId="28448076" w14:textId="77777777" w:rsidTr="00AD3A56">
        <w:trPr>
          <w:jc w:val="center"/>
        </w:trPr>
        <w:tc>
          <w:tcPr>
            <w:tcW w:w="2184" w:type="dxa"/>
          </w:tcPr>
          <w:p w14:paraId="500358A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Technical Staff</w:t>
            </w:r>
          </w:p>
        </w:tc>
        <w:tc>
          <w:tcPr>
            <w:tcW w:w="1140" w:type="dxa"/>
            <w:gridSpan w:val="3"/>
          </w:tcPr>
          <w:p w14:paraId="2B6E07BE" w14:textId="77777777" w:rsidR="00AD3A56" w:rsidRPr="00AD3A56" w:rsidRDefault="00AD3A56" w:rsidP="00A82F14">
            <w:pPr>
              <w:pStyle w:val="Body"/>
              <w:spacing w:after="0"/>
              <w:jc w:val="left"/>
              <w:rPr>
                <w:rFonts w:ascii="Arial" w:hAnsi="Arial" w:cs="Arial"/>
                <w:sz w:val="20"/>
              </w:rPr>
            </w:pPr>
          </w:p>
        </w:tc>
        <w:tc>
          <w:tcPr>
            <w:tcW w:w="1060" w:type="dxa"/>
          </w:tcPr>
          <w:p w14:paraId="372BD98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w:t>
            </w:r>
          </w:p>
        </w:tc>
      </w:tr>
      <w:tr w:rsidR="00AD3A56" w:rsidRPr="00AD3A56" w14:paraId="29F17E08" w14:textId="77777777" w:rsidTr="00AD3A56">
        <w:trPr>
          <w:jc w:val="center"/>
        </w:trPr>
        <w:tc>
          <w:tcPr>
            <w:tcW w:w="2184" w:type="dxa"/>
          </w:tcPr>
          <w:p w14:paraId="6700EABC"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Protected Area Management Board Member</w:t>
            </w:r>
          </w:p>
        </w:tc>
        <w:tc>
          <w:tcPr>
            <w:tcW w:w="1140" w:type="dxa"/>
            <w:gridSpan w:val="3"/>
          </w:tcPr>
          <w:p w14:paraId="293A0D28"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3</w:t>
            </w:r>
          </w:p>
        </w:tc>
        <w:tc>
          <w:tcPr>
            <w:tcW w:w="1060" w:type="dxa"/>
          </w:tcPr>
          <w:p w14:paraId="33178FB9"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4</w:t>
            </w:r>
          </w:p>
        </w:tc>
      </w:tr>
      <w:tr w:rsidR="00AD3A56" w:rsidRPr="00AD3A56" w14:paraId="2DB78E03" w14:textId="77777777" w:rsidTr="00AD3A56">
        <w:trPr>
          <w:jc w:val="center"/>
        </w:trPr>
        <w:tc>
          <w:tcPr>
            <w:tcW w:w="2184" w:type="dxa"/>
            <w:tcBorders>
              <w:bottom w:val="single" w:sz="4" w:space="0" w:color="auto"/>
            </w:tcBorders>
          </w:tcPr>
          <w:p w14:paraId="307CB9D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Total</w:t>
            </w:r>
          </w:p>
        </w:tc>
        <w:tc>
          <w:tcPr>
            <w:tcW w:w="1140" w:type="dxa"/>
            <w:gridSpan w:val="3"/>
            <w:tcBorders>
              <w:bottom w:val="single" w:sz="4" w:space="0" w:color="auto"/>
            </w:tcBorders>
          </w:tcPr>
          <w:p w14:paraId="3BF365FF"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30</w:t>
            </w:r>
          </w:p>
        </w:tc>
        <w:tc>
          <w:tcPr>
            <w:tcW w:w="1060" w:type="dxa"/>
            <w:tcBorders>
              <w:bottom w:val="single" w:sz="4" w:space="0" w:color="auto"/>
            </w:tcBorders>
          </w:tcPr>
          <w:p w14:paraId="039CB424" w14:textId="77777777" w:rsidR="00AD3A56" w:rsidRPr="00AD3A56" w:rsidRDefault="00AD3A56" w:rsidP="00A82F14">
            <w:pPr>
              <w:pStyle w:val="Body"/>
              <w:spacing w:after="0"/>
              <w:jc w:val="left"/>
              <w:rPr>
                <w:rFonts w:ascii="Arial" w:hAnsi="Arial" w:cs="Arial"/>
                <w:sz w:val="20"/>
              </w:rPr>
            </w:pPr>
            <w:r w:rsidRPr="00AD3A56">
              <w:rPr>
                <w:rFonts w:ascii="Arial" w:hAnsi="Arial" w:cs="Arial"/>
                <w:sz w:val="20"/>
              </w:rPr>
              <w:t>19</w:t>
            </w:r>
          </w:p>
        </w:tc>
      </w:tr>
    </w:tbl>
    <w:p w14:paraId="75CFE71F" w14:textId="77777777" w:rsidR="00790ADA" w:rsidRPr="00FB3A86" w:rsidRDefault="00790ADA" w:rsidP="00A82F14">
      <w:pPr>
        <w:pStyle w:val="Body"/>
        <w:spacing w:after="0"/>
        <w:rPr>
          <w:rFonts w:ascii="Arial" w:hAnsi="Arial" w:cs="Arial"/>
        </w:rPr>
      </w:pPr>
    </w:p>
    <w:p w14:paraId="43E28EE4" w14:textId="77777777" w:rsidR="00902823" w:rsidRDefault="00000F8F" w:rsidP="00A82F14">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59099C4" w14:textId="77777777" w:rsidR="00790ADA" w:rsidRPr="00FB3A86" w:rsidRDefault="00790ADA" w:rsidP="00A82F14">
      <w:pPr>
        <w:pStyle w:val="Head1"/>
        <w:spacing w:after="0"/>
        <w:jc w:val="both"/>
        <w:rPr>
          <w:rFonts w:ascii="Arial" w:hAnsi="Arial" w:cs="Arial"/>
        </w:rPr>
      </w:pPr>
    </w:p>
    <w:p w14:paraId="7767E557" w14:textId="77777777" w:rsidR="00AD3A56" w:rsidRDefault="00AD3A56" w:rsidP="00A82F14">
      <w:pPr>
        <w:pStyle w:val="Body"/>
        <w:spacing w:after="0"/>
        <w:rPr>
          <w:rFonts w:ascii="Arial" w:hAnsi="Arial" w:cs="Arial"/>
          <w:b/>
        </w:rPr>
      </w:pPr>
      <w:r w:rsidRPr="00AD3A56">
        <w:rPr>
          <w:rFonts w:ascii="Arial" w:hAnsi="Arial" w:cs="Arial"/>
          <w:b/>
        </w:rPr>
        <w:t xml:space="preserve">I. SOCIO DEMOGRAPHIC PROFILE </w:t>
      </w:r>
    </w:p>
    <w:p w14:paraId="67D64572" w14:textId="77777777" w:rsidR="00A03020" w:rsidRPr="00AD3A56" w:rsidRDefault="00A03020" w:rsidP="00A82F14">
      <w:pPr>
        <w:pStyle w:val="Body"/>
        <w:spacing w:after="0"/>
        <w:rPr>
          <w:rFonts w:ascii="Arial" w:hAnsi="Arial" w:cs="Arial"/>
          <w:b/>
        </w:rPr>
      </w:pPr>
    </w:p>
    <w:p w14:paraId="5368FC17" w14:textId="67D9F2BD" w:rsidR="00F25CC1" w:rsidRPr="00F25CC1" w:rsidRDefault="00807FB1" w:rsidP="00F25CC1">
      <w:pPr>
        <w:jc w:val="both"/>
        <w:rPr>
          <w:u w:val="single"/>
        </w:rPr>
      </w:pPr>
      <w:r w:rsidRPr="00807FB1">
        <w:rPr>
          <w:rFonts w:ascii="Arial" w:hAnsi="Arial" w:cs="Arial"/>
        </w:rPr>
        <w:t xml:space="preserve">Results showed that males (61.2%) comprised the majority of respondents, while females accounted for 38.8%. Although men dominate the sample, the presence of a substantial proportion of women indicates that female participation in </w:t>
      </w:r>
      <w:r>
        <w:rPr>
          <w:rFonts w:ascii="Arial" w:hAnsi="Arial" w:cs="Arial"/>
        </w:rPr>
        <w:t xml:space="preserve">PA </w:t>
      </w:r>
      <w:r w:rsidRPr="00807FB1">
        <w:rPr>
          <w:rFonts w:ascii="Arial" w:hAnsi="Arial" w:cs="Arial"/>
        </w:rPr>
        <w:t>management is recognized and valued. This gender representation supports inclusive and socially responsive approaches in the management of PAs. Moreover, the involvement of both men and women allows the integration of diverse perspectives, which is essential for designing effective conservation strategies, enhancing decision-making processes, and ensuring that management objectives reflect the needs and insights of different stakeholder groups.</w:t>
      </w:r>
      <w:r>
        <w:rPr>
          <w:rFonts w:ascii="Arial" w:hAnsi="Arial" w:cs="Arial"/>
        </w:rPr>
        <w:t xml:space="preserve"> </w:t>
      </w:r>
      <w:r w:rsidR="00450915">
        <w:rPr>
          <w:rFonts w:ascii="Arial" w:hAnsi="Arial" w:cs="Arial"/>
        </w:rPr>
        <w:t xml:space="preserve">This ensures that programs/activities are </w:t>
      </w:r>
      <w:r w:rsidR="00AD3A56" w:rsidRPr="00AD3A56">
        <w:rPr>
          <w:rFonts w:ascii="Arial" w:hAnsi="Arial" w:cs="Arial"/>
        </w:rPr>
        <w:t>aligned with both men's and women's perceptions and priorities (Martin, 2007).</w:t>
      </w:r>
      <w:r w:rsidR="00F25CC1" w:rsidRPr="00F25CC1">
        <w:rPr>
          <w:rFonts w:ascii="Arial" w:hAnsi="Arial" w:cs="Arial"/>
        </w:rPr>
        <w:t xml:space="preserve"> Ensuring a balanced representation of both men and women in the management of protected landscapes and involving them in IEC campaigns and fieldwork assignments helps promote productivity and equity (</w:t>
      </w:r>
      <w:r w:rsidR="00F25CC1" w:rsidRPr="00F25CC1">
        <w:rPr>
          <w:rFonts w:ascii="Arial" w:hAnsi="Arial" w:cs="Arial"/>
          <w:shd w:val="clear" w:color="auto" w:fill="FFFFFF"/>
        </w:rPr>
        <w:t>Gutierrez</w:t>
      </w:r>
      <w:r w:rsidR="00F25CC1" w:rsidRPr="00F25CC1">
        <w:rPr>
          <w:rFonts w:ascii="Arial" w:hAnsi="Arial" w:cs="Arial"/>
        </w:rPr>
        <w:t xml:space="preserve"> </w:t>
      </w:r>
      <w:r w:rsidR="00F25CC1" w:rsidRPr="00807FB1">
        <w:rPr>
          <w:rFonts w:ascii="Arial" w:hAnsi="Arial" w:cs="Arial"/>
          <w:iCs/>
        </w:rPr>
        <w:t>et al.,</w:t>
      </w:r>
      <w:r>
        <w:rPr>
          <w:rFonts w:ascii="Arial" w:hAnsi="Arial" w:cs="Arial"/>
        </w:rPr>
        <w:t xml:space="preserve"> </w:t>
      </w:r>
      <w:r w:rsidR="00F25CC1" w:rsidRPr="00F25CC1">
        <w:rPr>
          <w:rFonts w:ascii="Arial" w:hAnsi="Arial" w:cs="Arial"/>
        </w:rPr>
        <w:t>2025)</w:t>
      </w:r>
      <w:r>
        <w:rPr>
          <w:rFonts w:ascii="Arial" w:hAnsi="Arial" w:cs="Arial"/>
        </w:rPr>
        <w:t>.</w:t>
      </w:r>
    </w:p>
    <w:p w14:paraId="22331695" w14:textId="77777777" w:rsidR="00AD3A56" w:rsidRDefault="00AD3A56" w:rsidP="00A03020">
      <w:pPr>
        <w:pStyle w:val="Body"/>
        <w:spacing w:after="0"/>
        <w:rPr>
          <w:rFonts w:ascii="Arial" w:hAnsi="Arial" w:cs="Arial"/>
        </w:rPr>
      </w:pPr>
    </w:p>
    <w:p w14:paraId="1CF628C0" w14:textId="77777777" w:rsidR="00A03020" w:rsidRPr="00AD3A56" w:rsidRDefault="00A03020" w:rsidP="00A03020">
      <w:pPr>
        <w:pStyle w:val="Body"/>
        <w:spacing w:after="0"/>
        <w:rPr>
          <w:rFonts w:ascii="Arial" w:hAnsi="Arial" w:cs="Arial"/>
        </w:rPr>
      </w:pPr>
    </w:p>
    <w:p w14:paraId="2A860054" w14:textId="32857B88" w:rsidR="00AD3A56" w:rsidRDefault="00AD3A56" w:rsidP="0088349A">
      <w:pPr>
        <w:pStyle w:val="Body"/>
        <w:spacing w:after="0"/>
        <w:rPr>
          <w:rFonts w:ascii="Arial" w:hAnsi="Arial" w:cs="Arial"/>
        </w:rPr>
      </w:pPr>
      <w:r w:rsidRPr="00AD3A56">
        <w:rPr>
          <w:rFonts w:ascii="Arial" w:hAnsi="Arial" w:cs="Arial"/>
        </w:rPr>
        <w:t xml:space="preserve">Based on the staffing data from CENRO Northern </w:t>
      </w:r>
      <w:proofErr w:type="spellStart"/>
      <w:r w:rsidRPr="00AD3A56">
        <w:rPr>
          <w:rFonts w:ascii="Arial" w:hAnsi="Arial" w:cs="Arial"/>
        </w:rPr>
        <w:t>Ilocos</w:t>
      </w:r>
      <w:proofErr w:type="spellEnd"/>
      <w:r w:rsidRPr="00AD3A56">
        <w:rPr>
          <w:rFonts w:ascii="Arial" w:hAnsi="Arial" w:cs="Arial"/>
        </w:rPr>
        <w:t xml:space="preserve"> Sur, </w:t>
      </w:r>
      <w:r w:rsidR="00450915">
        <w:rPr>
          <w:rFonts w:ascii="Arial" w:hAnsi="Arial" w:cs="Arial"/>
        </w:rPr>
        <w:t xml:space="preserve">a clear gender disparity is evident </w:t>
      </w:r>
      <w:r w:rsidRPr="00AD3A56">
        <w:rPr>
          <w:rFonts w:ascii="Arial" w:hAnsi="Arial" w:cs="Arial"/>
        </w:rPr>
        <w:t>in role assignments among hired PAMO personnel (Table 1). Male employees predominantly occupy field-based and enforcement roles, including two Assistant Protected Area Superintendents (</w:t>
      </w:r>
      <w:r w:rsidR="00450915">
        <w:rPr>
          <w:rFonts w:ascii="Arial" w:hAnsi="Arial" w:cs="Arial"/>
        </w:rPr>
        <w:t>APASUs) and 11 PA Rangers. In contrast,</w:t>
      </w:r>
      <w:r w:rsidRPr="00AD3A56">
        <w:rPr>
          <w:rFonts w:ascii="Arial" w:hAnsi="Arial" w:cs="Arial"/>
        </w:rPr>
        <w:t xml:space="preserve"> there is only one female PA Ranger and no female APASU. Conversely, women are more represented in leadership and administrative roles, with two Protected Area Superintendents (PASU) being female and both genders equally represented in Information Officer positions. Notably, the technical role</w:t>
      </w:r>
      <w:r w:rsidR="00450915">
        <w:rPr>
          <w:rFonts w:ascii="Arial" w:hAnsi="Arial" w:cs="Arial"/>
        </w:rPr>
        <w:t xml:space="preserve"> of Ecosystem Management Specialist (EMS) demonstrates gender balance, with three male and three female staff members, indicating progress towards gender equality in scientific and planning roles (</w:t>
      </w:r>
      <w:proofErr w:type="spellStart"/>
      <w:r w:rsidR="00450915">
        <w:rPr>
          <w:rFonts w:ascii="Arial" w:hAnsi="Arial" w:cs="Arial"/>
        </w:rPr>
        <w:t>Recabar</w:t>
      </w:r>
      <w:proofErr w:type="spellEnd"/>
      <w:r w:rsidR="00450915">
        <w:rPr>
          <w:rFonts w:ascii="Arial" w:hAnsi="Arial" w:cs="Arial"/>
        </w:rPr>
        <w:t xml:space="preserve"> et al.,</w:t>
      </w:r>
      <w:r w:rsidRPr="00AD3A56">
        <w:rPr>
          <w:rFonts w:ascii="Arial" w:hAnsi="Arial" w:cs="Arial"/>
          <w:i/>
        </w:rPr>
        <w:t xml:space="preserve"> </w:t>
      </w:r>
      <w:r w:rsidRPr="00AD3A56">
        <w:rPr>
          <w:rFonts w:ascii="Arial" w:hAnsi="Arial" w:cs="Arial"/>
        </w:rPr>
        <w:t>2019). These patterns suggest ongoing efforts to mainstream gender in environmental governance while acknowledging persistent gaps in field-based roles.</w:t>
      </w:r>
    </w:p>
    <w:p w14:paraId="71C7614B" w14:textId="77777777" w:rsidR="0088349A" w:rsidRPr="00AD3A56" w:rsidRDefault="0088349A" w:rsidP="0088349A">
      <w:pPr>
        <w:pStyle w:val="Body"/>
        <w:spacing w:after="0"/>
        <w:rPr>
          <w:rFonts w:ascii="Arial" w:hAnsi="Arial" w:cs="Arial"/>
        </w:rPr>
      </w:pPr>
    </w:p>
    <w:p w14:paraId="41CDBE5A" w14:textId="3AA755D0" w:rsidR="00F25CC1" w:rsidRPr="00F25CC1" w:rsidRDefault="00AD3A56" w:rsidP="00F25CC1">
      <w:pPr>
        <w:jc w:val="both"/>
        <w:rPr>
          <w:u w:val="single"/>
        </w:rPr>
      </w:pPr>
      <w:r w:rsidRPr="00AD3A56">
        <w:rPr>
          <w:rFonts w:ascii="Arial" w:hAnsi="Arial" w:cs="Arial"/>
        </w:rPr>
        <w:t xml:space="preserve">The data reveal that </w:t>
      </w:r>
      <w:r w:rsidR="00450915">
        <w:rPr>
          <w:rFonts w:ascii="Arial" w:hAnsi="Arial" w:cs="Arial"/>
        </w:rPr>
        <w:t>individuals involved in managing the PAs are well-educated</w:t>
      </w:r>
      <w:r w:rsidRPr="00AD3A56">
        <w:rPr>
          <w:rFonts w:ascii="Arial" w:hAnsi="Arial" w:cs="Arial"/>
        </w:rPr>
        <w:t xml:space="preserve"> (Figure 2). It was found that 66% of the respondents graduated from college with various degrees, such as forestry, education, agricultural and biosystems engineering, and environmental science. These allow them to develop expertise in their field, especially in crafting orders and regulations, implementing conservation efforts, and </w:t>
      </w:r>
      <w:r w:rsidR="00450915">
        <w:rPr>
          <w:rFonts w:ascii="Arial" w:hAnsi="Arial" w:cs="Arial"/>
        </w:rPr>
        <w:t xml:space="preserve">conducting </w:t>
      </w:r>
      <w:r w:rsidRPr="00AD3A56">
        <w:rPr>
          <w:rFonts w:ascii="Arial" w:hAnsi="Arial" w:cs="Arial"/>
        </w:rPr>
        <w:t xml:space="preserve">ecological assessments within their jurisdictions. Moreover, 2.10% hold a doctorate degree.  This was supported by a study </w:t>
      </w:r>
      <w:r w:rsidR="00450915">
        <w:rPr>
          <w:rFonts w:ascii="Arial" w:hAnsi="Arial" w:cs="Arial"/>
        </w:rPr>
        <w:t>by Richardson et al. (2020), which found that individuals with high educational levels develop a deeper understanding of</w:t>
      </w:r>
      <w:r w:rsidRPr="00AD3A56">
        <w:rPr>
          <w:rFonts w:ascii="Arial" w:hAnsi="Arial" w:cs="Arial"/>
        </w:rPr>
        <w:t xml:space="preserve"> environmental issues, and education plays a crucial role in effective management.</w:t>
      </w:r>
      <w:r w:rsidR="00F25CC1">
        <w:rPr>
          <w:rFonts w:ascii="Arial" w:hAnsi="Arial" w:cs="Arial"/>
        </w:rPr>
        <w:t xml:space="preserve"> </w:t>
      </w:r>
    </w:p>
    <w:p w14:paraId="08EC5EBB" w14:textId="77777777" w:rsidR="00AD3A56" w:rsidRPr="00AD3A56" w:rsidRDefault="00AD3A56" w:rsidP="00A82F14">
      <w:pPr>
        <w:pStyle w:val="Body"/>
        <w:rPr>
          <w:rFonts w:ascii="Arial" w:hAnsi="Arial" w:cs="Arial"/>
        </w:rPr>
      </w:pPr>
    </w:p>
    <w:p w14:paraId="6EFACF5F" w14:textId="77777777" w:rsidR="00AD3A56" w:rsidRDefault="0088349A" w:rsidP="0088349A">
      <w:pPr>
        <w:pStyle w:val="Body"/>
        <w:jc w:val="center"/>
        <w:rPr>
          <w:rFonts w:ascii="Arial" w:hAnsi="Arial" w:cs="Arial"/>
        </w:rPr>
      </w:pPr>
      <w:r w:rsidRPr="00AD3A56">
        <w:rPr>
          <w:rFonts w:ascii="Arial" w:hAnsi="Arial" w:cs="Arial"/>
          <w:noProof/>
          <w:lang w:val="en-PH" w:eastAsia="en-PH"/>
        </w:rPr>
        <w:drawing>
          <wp:inline distT="0" distB="0" distL="0" distR="0" wp14:anchorId="78686F31" wp14:editId="597EABD3">
            <wp:extent cx="2840182" cy="2673928"/>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F26C7E" w14:textId="77777777" w:rsidR="0088349A" w:rsidRPr="00AD3A56" w:rsidRDefault="0088349A" w:rsidP="0088349A">
      <w:pPr>
        <w:pStyle w:val="Body"/>
        <w:jc w:val="center"/>
        <w:rPr>
          <w:rFonts w:ascii="Arial" w:hAnsi="Arial" w:cs="Arial"/>
        </w:rPr>
      </w:pPr>
      <w:r w:rsidRPr="00AD3A56">
        <w:rPr>
          <w:rFonts w:ascii="Arial" w:hAnsi="Arial" w:cs="Arial"/>
          <w:b/>
        </w:rPr>
        <w:t>Figure 2:</w:t>
      </w:r>
      <w:r w:rsidRPr="00AD3A56">
        <w:rPr>
          <w:rFonts w:ascii="Arial" w:hAnsi="Arial" w:cs="Arial"/>
        </w:rPr>
        <w:t xml:space="preserve"> Educational Attainment of Respondents</w:t>
      </w:r>
    </w:p>
    <w:p w14:paraId="3D38F6B7" w14:textId="0525ED27" w:rsidR="00AD3A56" w:rsidRDefault="00450915" w:rsidP="00A82F14">
      <w:pPr>
        <w:pStyle w:val="Body"/>
        <w:rPr>
          <w:rFonts w:ascii="Arial" w:hAnsi="Arial" w:cs="Arial"/>
        </w:rPr>
      </w:pPr>
      <w:r>
        <w:rPr>
          <w:rFonts w:ascii="Arial" w:hAnsi="Arial" w:cs="Arial"/>
        </w:rPr>
        <w:t>As shown in Figure 3, a significant proportion of respondents (34%) fall within the 31-40 age range</w:t>
      </w:r>
      <w:r w:rsidR="00AD3A56" w:rsidRPr="00AD3A56">
        <w:rPr>
          <w:rFonts w:ascii="Arial" w:hAnsi="Arial" w:cs="Arial"/>
        </w:rPr>
        <w:t xml:space="preserve">. However, the distribution indicates a considerably balanced age representation of the working class in the three PAs. The presence of multiple age groups within the workforce is a good indicator of developing an innovative workplace with diverse skills and leadership of different generations. </w:t>
      </w:r>
    </w:p>
    <w:p w14:paraId="4D5D9542" w14:textId="77777777" w:rsidR="0088349A" w:rsidRDefault="0088349A" w:rsidP="0088349A">
      <w:pPr>
        <w:pStyle w:val="Body"/>
        <w:jc w:val="center"/>
        <w:rPr>
          <w:rFonts w:ascii="Arial" w:hAnsi="Arial" w:cs="Arial"/>
        </w:rPr>
      </w:pPr>
      <w:r w:rsidRPr="00AD3A56">
        <w:rPr>
          <w:rFonts w:ascii="Arial" w:hAnsi="Arial" w:cs="Arial"/>
          <w:noProof/>
          <w:lang w:val="en-PH" w:eastAsia="en-PH"/>
        </w:rPr>
        <w:lastRenderedPageBreak/>
        <w:drawing>
          <wp:inline distT="0" distB="0" distL="0" distR="0" wp14:anchorId="6B92B5C3" wp14:editId="7653DA32">
            <wp:extent cx="2743200" cy="25146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33E975" w14:textId="77777777" w:rsidR="00AD3A56" w:rsidRDefault="0088349A" w:rsidP="0088349A">
      <w:pPr>
        <w:pStyle w:val="Body"/>
        <w:spacing w:after="0"/>
        <w:jc w:val="center"/>
        <w:rPr>
          <w:rFonts w:ascii="Arial" w:hAnsi="Arial" w:cs="Arial"/>
        </w:rPr>
      </w:pPr>
      <w:r w:rsidRPr="00AD3A56">
        <w:rPr>
          <w:rFonts w:ascii="Arial" w:hAnsi="Arial" w:cs="Arial"/>
          <w:b/>
        </w:rPr>
        <w:t>Figure 3:</w:t>
      </w:r>
      <w:r w:rsidRPr="00AD3A56">
        <w:rPr>
          <w:rFonts w:ascii="Arial" w:hAnsi="Arial" w:cs="Arial"/>
        </w:rPr>
        <w:t xml:space="preserve"> Age Distribution of Respondents</w:t>
      </w:r>
    </w:p>
    <w:p w14:paraId="548FF73B" w14:textId="77777777" w:rsidR="0088349A" w:rsidRPr="00AD3A56" w:rsidRDefault="0088349A" w:rsidP="0088349A">
      <w:pPr>
        <w:pStyle w:val="Body"/>
        <w:spacing w:after="0"/>
        <w:jc w:val="center"/>
        <w:rPr>
          <w:rFonts w:ascii="Arial" w:hAnsi="Arial" w:cs="Arial"/>
        </w:rPr>
      </w:pPr>
    </w:p>
    <w:p w14:paraId="320C8872" w14:textId="098D5B95" w:rsidR="00AD3A56" w:rsidRDefault="00AD3A56" w:rsidP="0088349A">
      <w:pPr>
        <w:pStyle w:val="Body"/>
        <w:spacing w:after="0"/>
        <w:rPr>
          <w:rFonts w:ascii="Arial" w:hAnsi="Arial" w:cs="Arial"/>
        </w:rPr>
      </w:pPr>
      <w:r w:rsidRPr="00AD3A56">
        <w:rPr>
          <w:rFonts w:ascii="Arial" w:hAnsi="Arial" w:cs="Arial"/>
        </w:rPr>
        <w:t xml:space="preserve">Results also revealed that a great majority (59.6%) of the respondents are married. Civil status can </w:t>
      </w:r>
      <w:r w:rsidR="00450915">
        <w:rPr>
          <w:rFonts w:ascii="Arial" w:hAnsi="Arial" w:cs="Arial"/>
        </w:rPr>
        <w:t>significantly influence an individual's perspectives and priorities</w:t>
      </w:r>
      <w:r w:rsidRPr="00AD3A56">
        <w:rPr>
          <w:rFonts w:ascii="Arial" w:hAnsi="Arial" w:cs="Arial"/>
        </w:rPr>
        <w:t xml:space="preserve">. However, it was a </w:t>
      </w:r>
      <w:r w:rsidR="00450915">
        <w:rPr>
          <w:rFonts w:ascii="Arial" w:hAnsi="Arial" w:cs="Arial"/>
        </w:rPr>
        <w:t>notable observation that, despite their varying civil statuses, the respondents were able to consistently develop a sense of responsibility in managing PAs within</w:t>
      </w:r>
      <w:r w:rsidRPr="00AD3A56">
        <w:rPr>
          <w:rFonts w:ascii="Arial" w:hAnsi="Arial" w:cs="Arial"/>
        </w:rPr>
        <w:t xml:space="preserve"> their jurisdiction. In the study </w:t>
      </w:r>
      <w:r w:rsidR="00450915">
        <w:rPr>
          <w:rFonts w:ascii="Arial" w:hAnsi="Arial" w:cs="Arial"/>
        </w:rPr>
        <w:t xml:space="preserve">by </w:t>
      </w:r>
      <w:proofErr w:type="spellStart"/>
      <w:r w:rsidR="00450915">
        <w:rPr>
          <w:rFonts w:ascii="Arial" w:hAnsi="Arial" w:cs="Arial"/>
        </w:rPr>
        <w:t>Sirgy</w:t>
      </w:r>
      <w:proofErr w:type="spellEnd"/>
      <w:r w:rsidR="00450915">
        <w:rPr>
          <w:rFonts w:ascii="Arial" w:hAnsi="Arial" w:cs="Arial"/>
        </w:rPr>
        <w:t xml:space="preserve"> &amp; Lee (201</w:t>
      </w:r>
      <w:r w:rsidR="00FB0A59">
        <w:rPr>
          <w:rFonts w:ascii="Arial" w:hAnsi="Arial" w:cs="Arial"/>
        </w:rPr>
        <w:t>7</w:t>
      </w:r>
      <w:r w:rsidR="00450915">
        <w:rPr>
          <w:rFonts w:ascii="Arial" w:hAnsi="Arial" w:cs="Arial"/>
        </w:rPr>
        <w:t xml:space="preserve">), it was emphasized that a work-life balance is a strategy that helps individuals balance their </w:t>
      </w:r>
      <w:r w:rsidRPr="00AD3A56">
        <w:rPr>
          <w:rFonts w:ascii="Arial" w:hAnsi="Arial" w:cs="Arial"/>
        </w:rPr>
        <w:t>personal and professional lives.</w:t>
      </w:r>
    </w:p>
    <w:p w14:paraId="25DB5A7A" w14:textId="77777777" w:rsidR="0088349A" w:rsidRDefault="0088349A" w:rsidP="0088349A">
      <w:pPr>
        <w:pStyle w:val="Body"/>
        <w:spacing w:after="0"/>
        <w:rPr>
          <w:rFonts w:ascii="Arial" w:hAnsi="Arial" w:cs="Arial"/>
        </w:rPr>
      </w:pPr>
    </w:p>
    <w:p w14:paraId="6B2AC4B9" w14:textId="77777777" w:rsidR="0088349A" w:rsidRDefault="0088349A" w:rsidP="0088349A">
      <w:pPr>
        <w:pStyle w:val="Body"/>
        <w:jc w:val="center"/>
        <w:rPr>
          <w:rFonts w:ascii="Arial" w:hAnsi="Arial" w:cs="Arial"/>
        </w:rPr>
      </w:pPr>
      <w:r w:rsidRPr="00AD3A56">
        <w:rPr>
          <w:rFonts w:ascii="Arial" w:hAnsi="Arial" w:cs="Arial"/>
          <w:noProof/>
          <w:lang w:val="en-PH" w:eastAsia="en-PH"/>
        </w:rPr>
        <w:drawing>
          <wp:inline distT="0" distB="0" distL="0" distR="0" wp14:anchorId="09E6A0C9" wp14:editId="6FB2F2CB">
            <wp:extent cx="2783840" cy="2311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C9D535" w14:textId="77777777" w:rsidR="0088349A" w:rsidRPr="00AD3A56" w:rsidRDefault="0088349A" w:rsidP="0088349A">
      <w:pPr>
        <w:pStyle w:val="Body"/>
        <w:jc w:val="center"/>
        <w:rPr>
          <w:rFonts w:ascii="Arial" w:hAnsi="Arial" w:cs="Arial"/>
        </w:rPr>
      </w:pPr>
      <w:r w:rsidRPr="00AD3A56">
        <w:rPr>
          <w:rFonts w:ascii="Arial" w:hAnsi="Arial" w:cs="Arial"/>
          <w:b/>
        </w:rPr>
        <w:t>Figure 4:</w:t>
      </w:r>
      <w:r w:rsidRPr="00AD3A56">
        <w:rPr>
          <w:rFonts w:ascii="Arial" w:hAnsi="Arial" w:cs="Arial"/>
        </w:rPr>
        <w:t xml:space="preserve"> Civil Status of Respondents</w:t>
      </w:r>
    </w:p>
    <w:p w14:paraId="74053096" w14:textId="77777777" w:rsidR="00AD3A56" w:rsidRPr="00AD3A56" w:rsidRDefault="00AD3A56" w:rsidP="00A82F14">
      <w:pPr>
        <w:pStyle w:val="Body"/>
        <w:rPr>
          <w:rFonts w:ascii="Arial" w:hAnsi="Arial" w:cs="Arial"/>
          <w:b/>
        </w:rPr>
      </w:pPr>
      <w:r w:rsidRPr="00AD3A56">
        <w:rPr>
          <w:rFonts w:ascii="Arial" w:hAnsi="Arial" w:cs="Arial"/>
          <w:b/>
        </w:rPr>
        <w:t>II. SUPPORTING AGENCIES</w:t>
      </w:r>
    </w:p>
    <w:p w14:paraId="0625DEA3" w14:textId="5BB6D85A" w:rsidR="00AD3A56" w:rsidRPr="00005323" w:rsidRDefault="00AD3A56" w:rsidP="00A82F14">
      <w:pPr>
        <w:pStyle w:val="Body"/>
        <w:rPr>
          <w:rFonts w:ascii="Arial" w:hAnsi="Arial" w:cs="Arial"/>
        </w:rPr>
      </w:pPr>
      <w:r w:rsidRPr="00005323">
        <w:rPr>
          <w:rFonts w:ascii="Arial" w:hAnsi="Arial" w:cs="Arial"/>
        </w:rPr>
        <w:t xml:space="preserve">There are various agencies </w:t>
      </w:r>
      <w:r w:rsidR="00450915">
        <w:rPr>
          <w:rFonts w:ascii="Arial" w:hAnsi="Arial" w:cs="Arial"/>
        </w:rPr>
        <w:t>that support members in managing their</w:t>
      </w:r>
      <w:r w:rsidRPr="00005323">
        <w:rPr>
          <w:rFonts w:ascii="Arial" w:hAnsi="Arial" w:cs="Arial"/>
        </w:rPr>
        <w:t xml:space="preserve"> PAs. These include the Department of Science and Technology, </w:t>
      </w:r>
      <w:r w:rsidR="00450915">
        <w:rPr>
          <w:rFonts w:ascii="Arial" w:hAnsi="Arial" w:cs="Arial"/>
        </w:rPr>
        <w:t xml:space="preserve">the Philippine National Police, the Provincial Government of </w:t>
      </w:r>
      <w:proofErr w:type="spellStart"/>
      <w:r w:rsidR="00450915">
        <w:rPr>
          <w:rFonts w:ascii="Arial" w:hAnsi="Arial" w:cs="Arial"/>
        </w:rPr>
        <w:t>Ilocos</w:t>
      </w:r>
      <w:proofErr w:type="spellEnd"/>
      <w:r w:rsidR="00450915">
        <w:rPr>
          <w:rFonts w:ascii="Arial" w:hAnsi="Arial" w:cs="Arial"/>
        </w:rPr>
        <w:t xml:space="preserve"> Sur, the Office of the Congress, state universities and colleges adjacent to the PAs, local government units of the municipalities of </w:t>
      </w:r>
      <w:proofErr w:type="spellStart"/>
      <w:r w:rsidR="00450915">
        <w:rPr>
          <w:rFonts w:ascii="Arial" w:hAnsi="Arial" w:cs="Arial"/>
        </w:rPr>
        <w:t>Narvacan</w:t>
      </w:r>
      <w:proofErr w:type="spellEnd"/>
      <w:r w:rsidR="00450915">
        <w:rPr>
          <w:rFonts w:ascii="Arial" w:hAnsi="Arial" w:cs="Arial"/>
        </w:rPr>
        <w:t xml:space="preserve"> and Santa, and various</w:t>
      </w:r>
      <w:r w:rsidRPr="00005323">
        <w:rPr>
          <w:rFonts w:ascii="Arial" w:hAnsi="Arial" w:cs="Arial"/>
        </w:rPr>
        <w:t xml:space="preserve"> people’s organizations. They help with the approval and implementation of projects </w:t>
      </w:r>
      <w:r w:rsidRPr="00005323">
        <w:rPr>
          <w:rFonts w:ascii="Arial" w:hAnsi="Arial" w:cs="Arial"/>
        </w:rPr>
        <w:lastRenderedPageBreak/>
        <w:t xml:space="preserve">and resolutions proposed by the Department of Environment and Natural Resources for the PAs. The successful management of PAs is influenced by the active participation of different stakeholders and other agencies. It helps </w:t>
      </w:r>
      <w:r w:rsidR="00450915">
        <w:rPr>
          <w:rFonts w:ascii="Arial" w:hAnsi="Arial" w:cs="Arial"/>
        </w:rPr>
        <w:t>foster collaboration, support community engagement, conservation efforts, and participation in decision-making to promote sustainability continuously</w:t>
      </w:r>
      <w:r w:rsidRPr="00005323">
        <w:rPr>
          <w:rFonts w:ascii="Arial" w:hAnsi="Arial" w:cs="Arial"/>
        </w:rPr>
        <w:t xml:space="preserve">. The study </w:t>
      </w:r>
      <w:r w:rsidR="00450915">
        <w:rPr>
          <w:rFonts w:ascii="Arial" w:hAnsi="Arial" w:cs="Arial"/>
        </w:rPr>
        <w:t>by Dalton et al. (2012) emphasized that stakeholder engagement can help ensure</w:t>
      </w:r>
      <w:r w:rsidRPr="00005323">
        <w:rPr>
          <w:rFonts w:ascii="Arial" w:hAnsi="Arial" w:cs="Arial"/>
        </w:rPr>
        <w:t xml:space="preserve"> that decisions are better supported. In addition, it will help </w:t>
      </w:r>
      <w:r w:rsidR="00450915">
        <w:rPr>
          <w:rFonts w:ascii="Arial" w:hAnsi="Arial" w:cs="Arial"/>
        </w:rPr>
        <w:t>ensure that the rules implemented are more widely accepted and that the goals align with management's objectives</w:t>
      </w:r>
      <w:r w:rsidRPr="00005323">
        <w:rPr>
          <w:rFonts w:ascii="Arial" w:hAnsi="Arial" w:cs="Arial"/>
        </w:rPr>
        <w:t xml:space="preserve">. Stakeholders’ engagement ensures long-term success in the conservation efforts. Participatory </w:t>
      </w:r>
      <w:r w:rsidR="00450915">
        <w:rPr>
          <w:rFonts w:ascii="Arial" w:hAnsi="Arial" w:cs="Arial"/>
        </w:rPr>
        <w:t>decision-making</w:t>
      </w:r>
      <w:r w:rsidRPr="00005323">
        <w:rPr>
          <w:rFonts w:ascii="Arial" w:hAnsi="Arial" w:cs="Arial"/>
        </w:rPr>
        <w:t xml:space="preserve"> can lead to a smoother enforcement of legal orders (</w:t>
      </w:r>
      <w:proofErr w:type="spellStart"/>
      <w:r w:rsidRPr="00005323">
        <w:rPr>
          <w:rFonts w:ascii="Arial" w:hAnsi="Arial" w:cs="Arial"/>
          <w:lang w:val="en-PH"/>
        </w:rPr>
        <w:t>Masagca</w:t>
      </w:r>
      <w:proofErr w:type="spellEnd"/>
      <w:r w:rsidRPr="00005323">
        <w:rPr>
          <w:rFonts w:ascii="Arial" w:hAnsi="Arial" w:cs="Arial"/>
          <w:lang w:val="en-PH"/>
        </w:rPr>
        <w:t xml:space="preserve">, 2018). It is indeed important for protected area management authorities to </w:t>
      </w:r>
      <w:r w:rsidR="00450915">
        <w:rPr>
          <w:rFonts w:ascii="Arial" w:hAnsi="Arial" w:cs="Arial"/>
          <w:lang w:val="en-PH"/>
        </w:rPr>
        <w:t>facilitate effective partnerships; this collaboration can be achieved through the form of agreements or Memoranda of Understanding (MOUs</w:t>
      </w:r>
      <w:r w:rsidRPr="00005323">
        <w:rPr>
          <w:rFonts w:ascii="Arial" w:hAnsi="Arial" w:cs="Arial"/>
        </w:rPr>
        <w:t>)</w:t>
      </w:r>
      <w:r w:rsidRPr="00005323">
        <w:rPr>
          <w:rFonts w:ascii="Arial" w:hAnsi="Arial" w:cs="Arial"/>
          <w:lang w:val="en-PH"/>
        </w:rPr>
        <w:t xml:space="preserve"> (De Koning &amp; </w:t>
      </w:r>
      <w:proofErr w:type="spellStart"/>
      <w:r w:rsidRPr="00005323">
        <w:rPr>
          <w:rFonts w:ascii="Arial" w:hAnsi="Arial" w:cs="Arial"/>
          <w:lang w:val="en-PH"/>
        </w:rPr>
        <w:t>Avramoski</w:t>
      </w:r>
      <w:proofErr w:type="spellEnd"/>
      <w:r w:rsidRPr="00005323">
        <w:rPr>
          <w:rFonts w:ascii="Arial" w:hAnsi="Arial" w:cs="Arial"/>
          <w:lang w:val="en-PH"/>
        </w:rPr>
        <w:t xml:space="preserve">, 2021). Local communities' involvement in PA governance or administration is </w:t>
      </w:r>
      <w:r w:rsidR="00450915">
        <w:rPr>
          <w:rFonts w:ascii="Arial" w:hAnsi="Arial" w:cs="Arial"/>
          <w:lang w:val="en-PH"/>
        </w:rPr>
        <w:t>a fundamental component</w:t>
      </w:r>
      <w:r w:rsidRPr="00005323">
        <w:rPr>
          <w:rFonts w:ascii="Arial" w:hAnsi="Arial" w:cs="Arial"/>
          <w:lang w:val="en-PH"/>
        </w:rPr>
        <w:t xml:space="preserve"> of many PA co-management strategies. It involves a quick conversation before PA creation to active involvement in day-to-day management decision-making, and participation can take several forms </w:t>
      </w:r>
      <w:r w:rsidRPr="00005323">
        <w:rPr>
          <w:rFonts w:ascii="Arial" w:hAnsi="Arial" w:cs="Arial"/>
          <w:color w:val="000000" w:themeColor="text1"/>
          <w:lang w:val="en-PH"/>
        </w:rPr>
        <w:t>(</w:t>
      </w:r>
      <w:hyperlink r:id="rId18" w:anchor="bib63" w:history="1">
        <w:r w:rsidRPr="00005323">
          <w:rPr>
            <w:rStyle w:val="Hyperlink"/>
            <w:rFonts w:ascii="Arial" w:hAnsi="Arial" w:cs="Arial"/>
            <w:color w:val="000000" w:themeColor="text1"/>
            <w:u w:val="none"/>
          </w:rPr>
          <w:t xml:space="preserve">Sterling </w:t>
        </w:r>
        <w:r w:rsidRPr="00005323">
          <w:rPr>
            <w:rStyle w:val="Hyperlink"/>
            <w:rFonts w:ascii="Arial" w:hAnsi="Arial" w:cs="Arial"/>
            <w:i/>
            <w:iCs/>
            <w:color w:val="000000" w:themeColor="text1"/>
            <w:u w:val="none"/>
          </w:rPr>
          <w:t>et al.</w:t>
        </w:r>
        <w:r w:rsidRPr="00005323">
          <w:rPr>
            <w:rStyle w:val="Hyperlink"/>
            <w:rFonts w:ascii="Arial" w:hAnsi="Arial" w:cs="Arial"/>
            <w:color w:val="000000" w:themeColor="text1"/>
            <w:u w:val="none"/>
          </w:rPr>
          <w:t>, 2017</w:t>
        </w:r>
      </w:hyperlink>
      <w:r w:rsidRPr="00005323">
        <w:rPr>
          <w:rFonts w:ascii="Arial" w:hAnsi="Arial" w:cs="Arial"/>
          <w:color w:val="000000" w:themeColor="text1"/>
        </w:rPr>
        <w:t xml:space="preserve">; </w:t>
      </w:r>
      <w:hyperlink r:id="rId19" w:anchor="bib58" w:history="1">
        <w:r w:rsidRPr="00005323">
          <w:rPr>
            <w:rStyle w:val="Hyperlink"/>
            <w:rFonts w:ascii="Arial" w:hAnsi="Arial" w:cs="Arial"/>
            <w:color w:val="000000" w:themeColor="text1"/>
            <w:u w:val="none"/>
          </w:rPr>
          <w:t>Reed, 2008</w:t>
        </w:r>
      </w:hyperlink>
      <w:r w:rsidRPr="00005323">
        <w:rPr>
          <w:rFonts w:ascii="Arial" w:hAnsi="Arial" w:cs="Arial"/>
          <w:color w:val="000000" w:themeColor="text1"/>
        </w:rPr>
        <w:t xml:space="preserve">; </w:t>
      </w:r>
      <w:hyperlink r:id="rId20" w:anchor="bib67" w:history="1">
        <w:r w:rsidR="00DB67C6">
          <w:rPr>
            <w:rStyle w:val="Hyperlink"/>
            <w:rFonts w:ascii="Arial" w:hAnsi="Arial" w:cs="Arial"/>
            <w:color w:val="000000" w:themeColor="text1"/>
            <w:u w:val="none"/>
          </w:rPr>
          <w:t>d</w:t>
        </w:r>
        <w:r w:rsidRPr="00005323">
          <w:rPr>
            <w:rStyle w:val="Hyperlink"/>
            <w:rFonts w:ascii="Arial" w:hAnsi="Arial" w:cs="Arial"/>
            <w:color w:val="000000" w:themeColor="text1"/>
            <w:u w:val="none"/>
          </w:rPr>
          <w:t xml:space="preserve">e Vente </w:t>
        </w:r>
        <w:r w:rsidRPr="00005323">
          <w:rPr>
            <w:rStyle w:val="Hyperlink"/>
            <w:rFonts w:ascii="Arial" w:hAnsi="Arial" w:cs="Arial"/>
            <w:i/>
            <w:iCs/>
            <w:color w:val="000000" w:themeColor="text1"/>
            <w:u w:val="none"/>
          </w:rPr>
          <w:t>et al.</w:t>
        </w:r>
        <w:r w:rsidRPr="00005323">
          <w:rPr>
            <w:rStyle w:val="Hyperlink"/>
            <w:rFonts w:ascii="Arial" w:hAnsi="Arial" w:cs="Arial"/>
            <w:color w:val="000000" w:themeColor="text1"/>
            <w:u w:val="none"/>
          </w:rPr>
          <w:t>, 2016</w:t>
        </w:r>
      </w:hyperlink>
      <w:r w:rsidRPr="00005323">
        <w:rPr>
          <w:rFonts w:ascii="Arial" w:hAnsi="Arial" w:cs="Arial"/>
          <w:color w:val="000000" w:themeColor="text1"/>
        </w:rPr>
        <w:t xml:space="preserve">). </w:t>
      </w:r>
      <w:r w:rsidRPr="00005323">
        <w:rPr>
          <w:rFonts w:ascii="Arial" w:hAnsi="Arial" w:cs="Arial"/>
        </w:rPr>
        <w:t xml:space="preserve">Engaging both men and women in decision-making processes, coming from different sectors, ensures that conservation strategies are more comprehensive and reflective of the entire community's needs and priorities. This inclusive approach not only enhances the effectiveness of conservation policies but also promotes social equity and community resilience. For instance, in Bangladesh's </w:t>
      </w:r>
      <w:proofErr w:type="spellStart"/>
      <w:r w:rsidRPr="00005323">
        <w:rPr>
          <w:rFonts w:ascii="Arial" w:hAnsi="Arial" w:cs="Arial"/>
        </w:rPr>
        <w:t>Sundarban</w:t>
      </w:r>
      <w:proofErr w:type="spellEnd"/>
      <w:r w:rsidRPr="00005323">
        <w:rPr>
          <w:rFonts w:ascii="Arial" w:hAnsi="Arial" w:cs="Arial"/>
        </w:rPr>
        <w:t xml:space="preserve"> mangrove forest, women's participation in forest co-management has been influenced by factors such as family expectations and societal norms. Addressing these barriers through training and awareness campaigns can lead to more equitable and effective forest governance. (Begum, </w:t>
      </w:r>
      <w:r w:rsidRPr="00005323">
        <w:rPr>
          <w:rFonts w:ascii="Arial" w:hAnsi="Arial" w:cs="Arial"/>
          <w:i/>
        </w:rPr>
        <w:t xml:space="preserve">et al., </w:t>
      </w:r>
      <w:r w:rsidRPr="00005323">
        <w:rPr>
          <w:rFonts w:ascii="Arial" w:hAnsi="Arial" w:cs="Arial"/>
        </w:rPr>
        <w:t>2024).</w:t>
      </w:r>
    </w:p>
    <w:p w14:paraId="75DAB54E" w14:textId="77777777" w:rsidR="00AD3A56" w:rsidRPr="00AD3A56" w:rsidRDefault="00AD3A56" w:rsidP="00A82F14">
      <w:pPr>
        <w:pStyle w:val="Body"/>
        <w:rPr>
          <w:rFonts w:ascii="Arial" w:hAnsi="Arial" w:cs="Arial"/>
          <w:b/>
        </w:rPr>
      </w:pPr>
    </w:p>
    <w:p w14:paraId="626A63F9" w14:textId="77777777" w:rsidR="00AD3A56" w:rsidRPr="00AD3A56" w:rsidRDefault="00AD3A56" w:rsidP="00A82F14">
      <w:pPr>
        <w:pStyle w:val="Body"/>
        <w:rPr>
          <w:rFonts w:ascii="Arial" w:hAnsi="Arial" w:cs="Arial"/>
          <w:b/>
        </w:rPr>
      </w:pPr>
      <w:r w:rsidRPr="00AD3A56">
        <w:rPr>
          <w:rFonts w:ascii="Arial" w:hAnsi="Arial" w:cs="Arial"/>
          <w:b/>
        </w:rPr>
        <w:t>III. STRATEGIES FOR GENDER INCLUSIVE APPROACHES</w:t>
      </w:r>
    </w:p>
    <w:p w14:paraId="268A445D" w14:textId="32D1F757" w:rsidR="00AD3A56" w:rsidRDefault="00AD3A56" w:rsidP="00A03020">
      <w:pPr>
        <w:pStyle w:val="Body"/>
        <w:spacing w:after="0"/>
        <w:rPr>
          <w:rFonts w:ascii="Arial" w:hAnsi="Arial" w:cs="Arial"/>
        </w:rPr>
      </w:pPr>
      <w:r w:rsidRPr="00AD3A56">
        <w:rPr>
          <w:rFonts w:ascii="Arial" w:hAnsi="Arial" w:cs="Arial"/>
        </w:rPr>
        <w:t xml:space="preserve">The most frequent response from </w:t>
      </w:r>
      <w:r w:rsidR="00450915">
        <w:rPr>
          <w:rFonts w:ascii="Arial" w:hAnsi="Arial" w:cs="Arial"/>
        </w:rPr>
        <w:t xml:space="preserve">respondents regarding the gender strategies applied in the PAs is that </w:t>
      </w:r>
      <w:r w:rsidRPr="00AD3A56">
        <w:rPr>
          <w:rFonts w:ascii="Arial" w:hAnsi="Arial" w:cs="Arial"/>
        </w:rPr>
        <w:t xml:space="preserve">members are treated equally regardless of gender (Figure 5). This result </w:t>
      </w:r>
      <w:r w:rsidR="00450915">
        <w:rPr>
          <w:rFonts w:ascii="Arial" w:hAnsi="Arial" w:cs="Arial"/>
        </w:rPr>
        <w:t>highlights the importance of equal treatment, particularly</w:t>
      </w:r>
      <w:r w:rsidRPr="00AD3A56">
        <w:rPr>
          <w:rFonts w:ascii="Arial" w:hAnsi="Arial" w:cs="Arial"/>
        </w:rPr>
        <w:t xml:space="preserve"> in promoting social equity.</w:t>
      </w:r>
    </w:p>
    <w:p w14:paraId="216D75C2" w14:textId="77777777" w:rsidR="00A03020" w:rsidRPr="00AD3A56" w:rsidRDefault="00A03020" w:rsidP="00A03020">
      <w:pPr>
        <w:pStyle w:val="Body"/>
        <w:spacing w:after="0"/>
        <w:rPr>
          <w:rFonts w:ascii="Arial" w:hAnsi="Arial" w:cs="Arial"/>
        </w:rPr>
      </w:pPr>
    </w:p>
    <w:p w14:paraId="3808CA6F" w14:textId="12CBE42F" w:rsidR="00AD3A56" w:rsidRPr="00450915" w:rsidRDefault="00AD3A56" w:rsidP="00450915">
      <w:pPr>
        <w:pStyle w:val="Body"/>
        <w:spacing w:after="0"/>
        <w:rPr>
          <w:rFonts w:ascii="Arial" w:hAnsi="Arial" w:cs="Arial"/>
          <w:bCs/>
        </w:rPr>
      </w:pPr>
      <w:r w:rsidRPr="00AD3A56">
        <w:rPr>
          <w:rFonts w:ascii="Arial" w:hAnsi="Arial" w:cs="Arial"/>
        </w:rPr>
        <w:t xml:space="preserve">In addition, the </w:t>
      </w:r>
      <w:r w:rsidRPr="00AD3A56">
        <w:rPr>
          <w:rFonts w:ascii="Arial" w:hAnsi="Arial" w:cs="Arial"/>
          <w:bCs/>
        </w:rPr>
        <w:t xml:space="preserve">CENRO in the province of </w:t>
      </w:r>
      <w:proofErr w:type="spellStart"/>
      <w:r w:rsidRPr="00AD3A56">
        <w:rPr>
          <w:rFonts w:ascii="Arial" w:hAnsi="Arial" w:cs="Arial"/>
          <w:bCs/>
        </w:rPr>
        <w:t>Ilocos</w:t>
      </w:r>
      <w:proofErr w:type="spellEnd"/>
      <w:r w:rsidRPr="00AD3A56">
        <w:rPr>
          <w:rFonts w:ascii="Arial" w:hAnsi="Arial" w:cs="Arial"/>
          <w:bCs/>
        </w:rPr>
        <w:t xml:space="preserve"> Sur has adopted various strategies </w:t>
      </w:r>
      <w:r w:rsidR="00450915">
        <w:rPr>
          <w:rFonts w:ascii="Arial" w:hAnsi="Arial" w:cs="Arial"/>
          <w:bCs/>
        </w:rPr>
        <w:t>aimed at promoting a gender-inclusive</w:t>
      </w:r>
      <w:r w:rsidRPr="00AD3A56">
        <w:rPr>
          <w:rFonts w:ascii="Arial" w:hAnsi="Arial" w:cs="Arial"/>
          <w:bCs/>
        </w:rPr>
        <w:t xml:space="preserve"> environment.</w:t>
      </w:r>
      <w:r w:rsidRPr="00AD3A56">
        <w:rPr>
          <w:rFonts w:ascii="Arial" w:hAnsi="Arial" w:cs="Arial"/>
        </w:rPr>
        <w:t xml:space="preserve"> </w:t>
      </w:r>
      <w:r w:rsidRPr="00AD3A56">
        <w:rPr>
          <w:rFonts w:ascii="Arial" w:hAnsi="Arial" w:cs="Arial"/>
          <w:bCs/>
        </w:rPr>
        <w:t>As highlighted by the respondents, their attendance in the GAD trainings and seminars related to violence against women and basic gender sensitivity orientations allows them to strengthen their connection with the other gender. These strategies</w:t>
      </w:r>
      <w:r w:rsidR="00450915">
        <w:rPr>
          <w:rFonts w:ascii="Arial" w:hAnsi="Arial" w:cs="Arial"/>
          <w:bCs/>
        </w:rPr>
        <w:t xml:space="preserve">, as outlined in the Magna Carta of Women and the Philippine GAD Agenda, are applied by CENRO </w:t>
      </w:r>
      <w:proofErr w:type="spellStart"/>
      <w:r w:rsidR="00450915">
        <w:rPr>
          <w:rFonts w:ascii="Arial" w:hAnsi="Arial" w:cs="Arial"/>
          <w:bCs/>
        </w:rPr>
        <w:t>Ilocos</w:t>
      </w:r>
      <w:proofErr w:type="spellEnd"/>
      <w:r w:rsidR="00450915">
        <w:rPr>
          <w:rFonts w:ascii="Arial" w:hAnsi="Arial" w:cs="Arial"/>
          <w:bCs/>
        </w:rPr>
        <w:t xml:space="preserve"> Sur</w:t>
      </w:r>
      <w:r w:rsidR="0098049A">
        <w:rPr>
          <w:rFonts w:ascii="Arial" w:hAnsi="Arial" w:cs="Arial"/>
          <w:bCs/>
        </w:rPr>
        <w:t xml:space="preserve">. </w:t>
      </w:r>
      <w:r w:rsidR="005730AC">
        <w:rPr>
          <w:rFonts w:ascii="Arial" w:hAnsi="Arial" w:cs="Arial"/>
        </w:rPr>
        <w:t>In response to a strengthened global agenda, biodiversity conservation activities now promote gender equity and increasingly recognized both men and women in effective management (</w:t>
      </w:r>
      <w:r w:rsidR="00ED51BF">
        <w:rPr>
          <w:rFonts w:ascii="Arial" w:hAnsi="Arial" w:cs="Arial"/>
        </w:rPr>
        <w:t xml:space="preserve">Lau,2020). </w:t>
      </w:r>
      <w:r w:rsidRPr="00AD3A56">
        <w:rPr>
          <w:rFonts w:ascii="Arial" w:hAnsi="Arial" w:cs="Arial"/>
        </w:rPr>
        <w:t>This </w:t>
      </w:r>
      <w:r w:rsidR="00450915">
        <w:rPr>
          <w:rFonts w:ascii="Arial" w:hAnsi="Arial" w:cs="Arial"/>
        </w:rPr>
        <w:t>aligns with the research conducted in the Maasi societies, where</w:t>
      </w:r>
      <w:r w:rsidRPr="00AD3A56">
        <w:rPr>
          <w:rFonts w:ascii="Arial" w:hAnsi="Arial" w:cs="Arial"/>
        </w:rPr>
        <w:t xml:space="preserve"> the rights of women were recognized. They have rights in creating decisions, financial matters, and involvement in employmen</w:t>
      </w:r>
      <w:r w:rsidR="005730AC">
        <w:rPr>
          <w:rFonts w:ascii="Arial" w:hAnsi="Arial" w:cs="Arial"/>
        </w:rPr>
        <w:t>t opportunities (</w:t>
      </w:r>
      <w:proofErr w:type="spellStart"/>
      <w:r w:rsidR="005730AC">
        <w:rPr>
          <w:rFonts w:ascii="Arial" w:hAnsi="Arial" w:cs="Arial"/>
        </w:rPr>
        <w:t>Muiruri</w:t>
      </w:r>
      <w:proofErr w:type="spellEnd"/>
      <w:r w:rsidR="005730AC">
        <w:rPr>
          <w:rFonts w:ascii="Arial" w:hAnsi="Arial" w:cs="Arial"/>
        </w:rPr>
        <w:t xml:space="preserve">, 2024). </w:t>
      </w:r>
    </w:p>
    <w:p w14:paraId="444AE894" w14:textId="77777777" w:rsidR="00AD3A56" w:rsidRPr="00AD3A56" w:rsidRDefault="00AD3A56" w:rsidP="00A82F14">
      <w:pPr>
        <w:pStyle w:val="Body"/>
        <w:rPr>
          <w:rFonts w:ascii="Arial" w:hAnsi="Arial" w:cs="Arial"/>
        </w:rPr>
      </w:pPr>
    </w:p>
    <w:p w14:paraId="08C950F5" w14:textId="77777777" w:rsidR="00AD3A56" w:rsidRPr="00AD3A56" w:rsidRDefault="00AD3A56" w:rsidP="00A82F14">
      <w:pPr>
        <w:pStyle w:val="Body"/>
        <w:jc w:val="center"/>
        <w:rPr>
          <w:rFonts w:ascii="Arial" w:hAnsi="Arial" w:cs="Arial"/>
          <w:b/>
        </w:rPr>
      </w:pPr>
      <w:r w:rsidRPr="00AD3A56">
        <w:rPr>
          <w:rFonts w:ascii="Arial" w:hAnsi="Arial" w:cs="Arial"/>
          <w:noProof/>
          <w:lang w:val="en-PH" w:eastAsia="en-PH"/>
        </w:rPr>
        <w:lastRenderedPageBreak/>
        <w:drawing>
          <wp:inline distT="0" distB="0" distL="0" distR="0" wp14:anchorId="3F19434B" wp14:editId="47375D4D">
            <wp:extent cx="2743200" cy="2052320"/>
            <wp:effectExtent l="0" t="0" r="0" b="508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337CA7" w14:textId="77777777" w:rsidR="00AD3A56" w:rsidRPr="00AD3A56" w:rsidRDefault="00AD3A56" w:rsidP="00A03020">
      <w:pPr>
        <w:pStyle w:val="Body"/>
        <w:jc w:val="center"/>
        <w:rPr>
          <w:rFonts w:ascii="Arial" w:hAnsi="Arial" w:cs="Arial"/>
        </w:rPr>
      </w:pPr>
      <w:r w:rsidRPr="00AD3A56">
        <w:rPr>
          <w:rFonts w:ascii="Arial" w:hAnsi="Arial" w:cs="Arial"/>
          <w:b/>
        </w:rPr>
        <w:t>Figure 5:</w:t>
      </w:r>
      <w:r w:rsidRPr="00AD3A56">
        <w:rPr>
          <w:rFonts w:ascii="Arial" w:hAnsi="Arial" w:cs="Arial"/>
        </w:rPr>
        <w:t xml:space="preserve"> Gender Inclusive Approaches to Protected Area Management</w:t>
      </w:r>
    </w:p>
    <w:p w14:paraId="4391AAB9" w14:textId="13D360C4" w:rsidR="0098049A" w:rsidRDefault="00AD3A56" w:rsidP="0098049A">
      <w:pPr>
        <w:jc w:val="both"/>
        <w:rPr>
          <w:rFonts w:ascii="Arial" w:hAnsi="Arial" w:cs="Arial"/>
          <w:bCs/>
        </w:rPr>
      </w:pPr>
      <w:r w:rsidRPr="00AD3A56">
        <w:rPr>
          <w:rFonts w:ascii="Arial" w:hAnsi="Arial" w:cs="Arial"/>
        </w:rPr>
        <w:t xml:space="preserve">Through the years, the inequality between men and women has been one of the concerning issues in the world. However, the value of women is now being recognized. They are actively involved in the </w:t>
      </w:r>
      <w:r w:rsidR="00450915">
        <w:rPr>
          <w:rFonts w:ascii="Arial" w:hAnsi="Arial" w:cs="Arial"/>
        </w:rPr>
        <w:t>decision-making process</w:t>
      </w:r>
      <w:r w:rsidRPr="00AD3A56">
        <w:rPr>
          <w:rFonts w:ascii="Arial" w:hAnsi="Arial" w:cs="Arial"/>
        </w:rPr>
        <w:t xml:space="preserve">, which is crucial for reconstruction efforts. Utilizing women's capacities, including their skills and knowledge, can help in risk identification and building security for families and communities (United Nations, n.d.). Moreover, the voices and ideas of women members of PAs were incorporated </w:t>
      </w:r>
      <w:r w:rsidR="00450915">
        <w:rPr>
          <w:rFonts w:ascii="Arial" w:hAnsi="Arial" w:cs="Arial"/>
        </w:rPr>
        <w:t>into the crafting of regulations and policies, as well as various conservation activities within</w:t>
      </w:r>
      <w:r w:rsidRPr="00AD3A56">
        <w:rPr>
          <w:rFonts w:ascii="Arial" w:hAnsi="Arial" w:cs="Arial"/>
        </w:rPr>
        <w:t xml:space="preserve"> their jurisdiction.  </w:t>
      </w:r>
      <w:r w:rsidR="0098049A">
        <w:rPr>
          <w:rFonts w:ascii="Arial" w:hAnsi="Arial" w:cs="Arial"/>
          <w:bCs/>
        </w:rPr>
        <w:t>It was also emphasized that women empowerment and inclusion in the activities can help solve issues. Women involvement in projects can make environmental outcomes more</w:t>
      </w:r>
      <w:r w:rsidR="006D606F">
        <w:rPr>
          <w:rFonts w:ascii="Arial" w:hAnsi="Arial" w:cs="Arial"/>
          <w:bCs/>
        </w:rPr>
        <w:t xml:space="preserve"> likely to succeed (Har</w:t>
      </w:r>
      <w:r w:rsidR="0098049A">
        <w:rPr>
          <w:rFonts w:ascii="Arial" w:hAnsi="Arial" w:cs="Arial"/>
          <w:bCs/>
        </w:rPr>
        <w:t>grove &amp; Sommer, 2022).</w:t>
      </w:r>
    </w:p>
    <w:p w14:paraId="646B8546" w14:textId="464F5319" w:rsidR="00A03020" w:rsidRPr="00A03020" w:rsidRDefault="00A03020" w:rsidP="00A03020">
      <w:pPr>
        <w:pStyle w:val="Body"/>
        <w:spacing w:after="0"/>
        <w:rPr>
          <w:rFonts w:ascii="Arial" w:hAnsi="Arial" w:cs="Arial"/>
        </w:rPr>
      </w:pPr>
    </w:p>
    <w:p w14:paraId="0BE4CDE3" w14:textId="77777777" w:rsidR="00AD3A56" w:rsidRPr="00AD3A56" w:rsidRDefault="00AD3A56" w:rsidP="00A03020">
      <w:pPr>
        <w:pStyle w:val="Body"/>
        <w:spacing w:after="0"/>
        <w:rPr>
          <w:rFonts w:ascii="Arial" w:hAnsi="Arial" w:cs="Arial"/>
          <w:b/>
        </w:rPr>
      </w:pPr>
      <w:r w:rsidRPr="00AD3A56">
        <w:rPr>
          <w:rFonts w:ascii="Arial" w:hAnsi="Arial" w:cs="Arial"/>
          <w:b/>
        </w:rPr>
        <w:t>IV. RESPONDENTS’ AWARENESS OF GENDER ISSUES</w:t>
      </w:r>
    </w:p>
    <w:p w14:paraId="17DF3F9A" w14:textId="77777777" w:rsidR="003E7957" w:rsidRDefault="00AD3A56" w:rsidP="00A82F14">
      <w:pPr>
        <w:pStyle w:val="Body"/>
        <w:rPr>
          <w:rFonts w:ascii="Arial" w:hAnsi="Arial" w:cs="Arial"/>
        </w:rPr>
      </w:pPr>
      <w:r w:rsidRPr="00AD3A56">
        <w:rPr>
          <w:rFonts w:ascii="Arial" w:hAnsi="Arial" w:cs="Arial"/>
        </w:rPr>
        <w:t>The respondents emphasize that they are aware that PA management is considered gender transformative, obtaining the highest percentage in all the categories (Fig</w:t>
      </w:r>
    </w:p>
    <w:p w14:paraId="63BB2FD1" w14:textId="654B6143" w:rsidR="00AD3A56" w:rsidRPr="00AD3A56" w:rsidRDefault="00AD3A56" w:rsidP="00A82F14">
      <w:pPr>
        <w:pStyle w:val="Body"/>
        <w:rPr>
          <w:rFonts w:ascii="Arial" w:hAnsi="Arial" w:cs="Arial"/>
        </w:rPr>
      </w:pPr>
      <w:proofErr w:type="spellStart"/>
      <w:r w:rsidRPr="00AD3A56">
        <w:rPr>
          <w:rFonts w:ascii="Arial" w:hAnsi="Arial" w:cs="Arial"/>
        </w:rPr>
        <w:t>ure</w:t>
      </w:r>
      <w:proofErr w:type="spellEnd"/>
      <w:r w:rsidRPr="00AD3A56">
        <w:rPr>
          <w:rFonts w:ascii="Arial" w:hAnsi="Arial" w:cs="Arial"/>
        </w:rPr>
        <w:t xml:space="preserve"> 6). This </w:t>
      </w:r>
      <w:r w:rsidR="00450915">
        <w:rPr>
          <w:rFonts w:ascii="Arial" w:hAnsi="Arial" w:cs="Arial"/>
        </w:rPr>
        <w:t>type of management contributes to promoting gender equality and gender-responsive</w:t>
      </w:r>
      <w:r w:rsidRPr="00AD3A56">
        <w:rPr>
          <w:rFonts w:ascii="Arial" w:hAnsi="Arial" w:cs="Arial"/>
        </w:rPr>
        <w:t xml:space="preserve"> efforts. It highlights the essential </w:t>
      </w:r>
      <w:r w:rsidR="00450915">
        <w:rPr>
          <w:rFonts w:ascii="Arial" w:hAnsi="Arial" w:cs="Arial"/>
        </w:rPr>
        <w:t xml:space="preserve">role of establishing gender-responsive management to </w:t>
      </w:r>
      <w:r w:rsidRPr="00AD3A56">
        <w:rPr>
          <w:rFonts w:ascii="Arial" w:hAnsi="Arial" w:cs="Arial"/>
        </w:rPr>
        <w:t xml:space="preserve">foster inclusive development for both the environment and PA members. PA members in the jurisdiction of CENRO Northern </w:t>
      </w:r>
      <w:proofErr w:type="spellStart"/>
      <w:r w:rsidRPr="00AD3A56">
        <w:rPr>
          <w:rFonts w:ascii="Arial" w:hAnsi="Arial" w:cs="Arial"/>
        </w:rPr>
        <w:t>Ilocos</w:t>
      </w:r>
      <w:proofErr w:type="spellEnd"/>
      <w:r w:rsidRPr="00AD3A56">
        <w:rPr>
          <w:rFonts w:ascii="Arial" w:hAnsi="Arial" w:cs="Arial"/>
        </w:rPr>
        <w:t xml:space="preserve"> Sur </w:t>
      </w:r>
      <w:r w:rsidR="00450915">
        <w:rPr>
          <w:rFonts w:ascii="Arial" w:hAnsi="Arial" w:cs="Arial"/>
        </w:rPr>
        <w:t>consistently champion gender-transformative</w:t>
      </w:r>
      <w:r w:rsidRPr="00AD3A56">
        <w:rPr>
          <w:rFonts w:ascii="Arial" w:hAnsi="Arial" w:cs="Arial"/>
        </w:rPr>
        <w:t xml:space="preserve"> leadership and management. Regardless of gender, each member is given equal </w:t>
      </w:r>
      <w:r w:rsidR="00450915">
        <w:rPr>
          <w:rFonts w:ascii="Arial" w:hAnsi="Arial" w:cs="Arial"/>
        </w:rPr>
        <w:t xml:space="preserve">opportunities to express their ideas and suggestions during </w:t>
      </w:r>
      <w:r w:rsidRPr="00AD3A56">
        <w:rPr>
          <w:rFonts w:ascii="Arial" w:hAnsi="Arial" w:cs="Arial"/>
        </w:rPr>
        <w:t xml:space="preserve">meetings and other activities, such as the formulation of rules and regulations. They also have an influence on the implementation of DENR projects and activities. Members are given the opportunity to exchange information on various strategies that can be applied in </w:t>
      </w:r>
      <w:r w:rsidR="00450915">
        <w:rPr>
          <w:rFonts w:ascii="Arial" w:hAnsi="Arial" w:cs="Arial"/>
        </w:rPr>
        <w:t>managing</w:t>
      </w:r>
      <w:r w:rsidRPr="00AD3A56">
        <w:rPr>
          <w:rFonts w:ascii="Arial" w:hAnsi="Arial" w:cs="Arial"/>
        </w:rPr>
        <w:t xml:space="preserve"> the areas. A gender-transformative protective management plan is </w:t>
      </w:r>
      <w:r w:rsidR="00450915">
        <w:rPr>
          <w:rFonts w:ascii="Arial" w:hAnsi="Arial" w:cs="Arial"/>
        </w:rPr>
        <w:t>crucial for addressing and mitigating gender-based vulnerabilities, particularly in contexts such as</w:t>
      </w:r>
      <w:r w:rsidRPr="00AD3A56">
        <w:rPr>
          <w:rFonts w:ascii="Arial" w:hAnsi="Arial" w:cs="Arial"/>
        </w:rPr>
        <w:t xml:space="preserve"> disaster risk reduction and humanitarian response.</w:t>
      </w:r>
    </w:p>
    <w:p w14:paraId="1F26412A" w14:textId="77777777" w:rsidR="00AD3A56" w:rsidRPr="00AD3A56" w:rsidRDefault="00AD3A56" w:rsidP="00A82F14">
      <w:pPr>
        <w:pStyle w:val="Body"/>
        <w:rPr>
          <w:rFonts w:ascii="Arial" w:hAnsi="Arial" w:cs="Arial"/>
          <w:b/>
        </w:rPr>
      </w:pPr>
    </w:p>
    <w:p w14:paraId="199EB2BD" w14:textId="77777777" w:rsidR="00AD3A56" w:rsidRPr="00AD3A56" w:rsidRDefault="00AD3A56" w:rsidP="00A82F14">
      <w:pPr>
        <w:pStyle w:val="Body"/>
        <w:jc w:val="center"/>
        <w:rPr>
          <w:rFonts w:ascii="Arial" w:hAnsi="Arial" w:cs="Arial"/>
          <w:b/>
        </w:rPr>
      </w:pPr>
      <w:r w:rsidRPr="00AD3A56">
        <w:rPr>
          <w:rFonts w:ascii="Arial" w:hAnsi="Arial" w:cs="Arial"/>
          <w:noProof/>
          <w:lang w:val="en-PH" w:eastAsia="en-PH"/>
        </w:rPr>
        <w:lastRenderedPageBreak/>
        <w:drawing>
          <wp:inline distT="0" distB="0" distL="0" distR="0" wp14:anchorId="320330A2" wp14:editId="3F6D92A4">
            <wp:extent cx="2766060" cy="3083560"/>
            <wp:effectExtent l="0" t="0" r="15240" b="254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83BC543" w14:textId="77777777" w:rsidR="00AD3A56" w:rsidRDefault="00AD3A56" w:rsidP="00A03020">
      <w:pPr>
        <w:pStyle w:val="Body"/>
        <w:spacing w:after="0"/>
        <w:rPr>
          <w:rFonts w:ascii="Arial" w:hAnsi="Arial" w:cs="Arial"/>
        </w:rPr>
      </w:pPr>
      <w:r w:rsidRPr="00AD3A56">
        <w:rPr>
          <w:rFonts w:ascii="Arial" w:hAnsi="Arial" w:cs="Arial"/>
          <w:b/>
        </w:rPr>
        <w:t>Figure 6:</w:t>
      </w:r>
      <w:r w:rsidRPr="00AD3A56">
        <w:rPr>
          <w:rFonts w:ascii="Arial" w:hAnsi="Arial" w:cs="Arial"/>
        </w:rPr>
        <w:t xml:space="preserve"> Respondents' Awareness of Gender Issues in Protected Area Management</w:t>
      </w:r>
    </w:p>
    <w:p w14:paraId="280B9BEB" w14:textId="77777777" w:rsidR="00A03020" w:rsidRPr="00AD3A56" w:rsidRDefault="00A03020" w:rsidP="00A03020">
      <w:pPr>
        <w:pStyle w:val="Body"/>
        <w:spacing w:after="0"/>
        <w:rPr>
          <w:rFonts w:ascii="Arial" w:hAnsi="Arial" w:cs="Arial"/>
        </w:rPr>
      </w:pPr>
    </w:p>
    <w:p w14:paraId="60695485" w14:textId="47262759" w:rsidR="00AD3A56" w:rsidRPr="00005323" w:rsidRDefault="00AD3A56" w:rsidP="00A03020">
      <w:pPr>
        <w:pStyle w:val="Body"/>
        <w:spacing w:after="0"/>
        <w:rPr>
          <w:rFonts w:ascii="Arial" w:hAnsi="Arial" w:cs="Arial"/>
          <w:color w:val="000000" w:themeColor="text1"/>
        </w:rPr>
      </w:pPr>
      <w:r w:rsidRPr="00AD3A56">
        <w:rPr>
          <w:rFonts w:ascii="Arial" w:hAnsi="Arial" w:cs="Arial"/>
        </w:rPr>
        <w:t xml:space="preserve">Furthermore, a </w:t>
      </w:r>
      <w:r w:rsidR="00450915">
        <w:rPr>
          <w:rFonts w:ascii="Arial" w:hAnsi="Arial" w:cs="Arial"/>
        </w:rPr>
        <w:t>gender-transformative management plan helps address gender-based vulnerabilities while also identifying</w:t>
      </w:r>
      <w:r w:rsidRPr="00AD3A56">
        <w:rPr>
          <w:rFonts w:ascii="Arial" w:hAnsi="Arial" w:cs="Arial"/>
        </w:rPr>
        <w:t xml:space="preserve"> disaster risk and environmental responses. The assessment of men and women in </w:t>
      </w:r>
      <w:r w:rsidR="00450915">
        <w:rPr>
          <w:rFonts w:ascii="Arial" w:hAnsi="Arial" w:cs="Arial"/>
        </w:rPr>
        <w:t>planning, policies, and programs is a global strategy that helps promote gender equality and ensures it becomes a central focus</w:t>
      </w:r>
      <w:r w:rsidRPr="00AD3A56">
        <w:rPr>
          <w:rFonts w:ascii="Arial" w:hAnsi="Arial" w:cs="Arial"/>
        </w:rPr>
        <w:t xml:space="preserve"> of plan and activity development (Alston, 2014). </w:t>
      </w:r>
      <w:r w:rsidRPr="00AD3A56">
        <w:rPr>
          <w:rFonts w:ascii="Arial" w:hAnsi="Arial" w:cs="Arial"/>
          <w:lang w:val="en-PH"/>
        </w:rPr>
        <w:t xml:space="preserve">The Hyogo Framework for Action (2005–2015) of the United Nations International Strategy for Disaster Reduction (UNISDR) emphasized that gender is a crucial component of disaster risk management and should be included in plans and policies. </w:t>
      </w:r>
      <w:r w:rsidRPr="00AD3A56">
        <w:rPr>
          <w:rFonts w:ascii="Arial" w:hAnsi="Arial" w:cs="Arial"/>
        </w:rPr>
        <w:t xml:space="preserve">Including all genders in </w:t>
      </w:r>
      <w:r w:rsidR="00450915">
        <w:rPr>
          <w:rFonts w:ascii="Arial" w:hAnsi="Arial" w:cs="Arial"/>
        </w:rPr>
        <w:t xml:space="preserve">management processes is beneficial for generating solutions to </w:t>
      </w:r>
      <w:r w:rsidRPr="00AD3A56">
        <w:rPr>
          <w:rFonts w:ascii="Arial" w:hAnsi="Arial" w:cs="Arial"/>
        </w:rPr>
        <w:t xml:space="preserve">problems (Kaur &amp; Arora, 2020). </w:t>
      </w:r>
      <w:r w:rsidR="00450915">
        <w:rPr>
          <w:rFonts w:ascii="Arial" w:hAnsi="Arial" w:cs="Arial"/>
        </w:rPr>
        <w:t xml:space="preserve">Additionally, various projects have demonstrated the benefits and positive results of involving women </w:t>
      </w:r>
      <w:r w:rsidRPr="00AD3A56">
        <w:rPr>
          <w:rFonts w:ascii="Arial" w:hAnsi="Arial" w:cs="Arial"/>
          <w:lang w:val="en-PH"/>
        </w:rPr>
        <w:t xml:space="preserve">in decision-making, monitoring, implementation, and </w:t>
      </w:r>
      <w:r w:rsidRPr="00AD3A56">
        <w:rPr>
          <w:rFonts w:ascii="Arial" w:hAnsi="Arial" w:cs="Arial"/>
        </w:rPr>
        <w:t>evaluation (</w:t>
      </w:r>
      <w:hyperlink r:id="rId23" w:anchor="B95" w:history="1">
        <w:r w:rsidRPr="00005323">
          <w:rPr>
            <w:rStyle w:val="Hyperlink"/>
            <w:rFonts w:ascii="Arial" w:hAnsi="Arial" w:cs="Arial"/>
            <w:color w:val="000000" w:themeColor="text1"/>
            <w:u w:val="none"/>
          </w:rPr>
          <w:t xml:space="preserve">Westermann </w:t>
        </w:r>
        <w:r w:rsidRPr="00005323">
          <w:rPr>
            <w:rStyle w:val="Hyperlink"/>
            <w:rFonts w:ascii="Arial" w:hAnsi="Arial" w:cs="Arial"/>
            <w:i/>
            <w:color w:val="000000" w:themeColor="text1"/>
            <w:u w:val="none"/>
          </w:rPr>
          <w:t>et al.</w:t>
        </w:r>
        <w:r w:rsidRPr="00005323">
          <w:rPr>
            <w:rStyle w:val="Hyperlink"/>
            <w:rFonts w:ascii="Arial" w:hAnsi="Arial" w:cs="Arial"/>
            <w:color w:val="000000" w:themeColor="text1"/>
            <w:u w:val="none"/>
          </w:rPr>
          <w:t>, 2005</w:t>
        </w:r>
      </w:hyperlink>
      <w:r w:rsidRPr="00005323">
        <w:rPr>
          <w:rFonts w:ascii="Arial" w:hAnsi="Arial" w:cs="Arial"/>
          <w:color w:val="000000" w:themeColor="text1"/>
        </w:rPr>
        <w:t>).</w:t>
      </w:r>
    </w:p>
    <w:p w14:paraId="43DC5D77" w14:textId="77777777" w:rsidR="00AD3A56" w:rsidRPr="00AD3A56" w:rsidRDefault="00AD3A56" w:rsidP="00A82F14">
      <w:pPr>
        <w:pStyle w:val="Body"/>
        <w:spacing w:after="0"/>
        <w:rPr>
          <w:rFonts w:ascii="Arial" w:hAnsi="Arial" w:cs="Arial"/>
        </w:rPr>
      </w:pPr>
    </w:p>
    <w:p w14:paraId="77FA6E53" w14:textId="77777777" w:rsidR="00AD3A56" w:rsidRDefault="00AD3A56" w:rsidP="00A03020">
      <w:pPr>
        <w:pStyle w:val="Body"/>
        <w:spacing w:after="0"/>
        <w:rPr>
          <w:rFonts w:ascii="Arial" w:hAnsi="Arial" w:cs="Arial"/>
          <w:b/>
        </w:rPr>
      </w:pPr>
      <w:r w:rsidRPr="00AD3A56">
        <w:rPr>
          <w:rFonts w:ascii="Arial" w:hAnsi="Arial" w:cs="Arial"/>
          <w:b/>
        </w:rPr>
        <w:t>V. RESPONDENTS’ INVOLVEMENT IN PROTECTED AREA MANAGEMENT</w:t>
      </w:r>
    </w:p>
    <w:p w14:paraId="5D676D06" w14:textId="77777777" w:rsidR="00A03020" w:rsidRPr="00AD3A56" w:rsidRDefault="00A03020" w:rsidP="00A03020">
      <w:pPr>
        <w:pStyle w:val="Body"/>
        <w:spacing w:after="0"/>
        <w:rPr>
          <w:rFonts w:ascii="Arial" w:hAnsi="Arial" w:cs="Arial"/>
          <w:b/>
        </w:rPr>
      </w:pPr>
    </w:p>
    <w:p w14:paraId="63CE5738" w14:textId="630C7CD5" w:rsidR="00AD3A56" w:rsidRPr="00AD3A56" w:rsidRDefault="00AD3A56" w:rsidP="00A03020">
      <w:pPr>
        <w:pStyle w:val="Body"/>
        <w:spacing w:after="0"/>
        <w:rPr>
          <w:rFonts w:ascii="Arial" w:hAnsi="Arial" w:cs="Arial"/>
        </w:rPr>
      </w:pPr>
      <w:r w:rsidRPr="00AD3A56">
        <w:rPr>
          <w:rFonts w:ascii="Arial" w:hAnsi="Arial" w:cs="Arial"/>
        </w:rPr>
        <w:t xml:space="preserve">The study highlights that respondents strongly agree that men and women were both involved in the management of the area (Figure 7). This was supported by the involvement of </w:t>
      </w:r>
      <w:r w:rsidR="00450915">
        <w:rPr>
          <w:rFonts w:ascii="Arial" w:hAnsi="Arial" w:cs="Arial"/>
        </w:rPr>
        <w:t>members in crafting policies, implementing projects, and conducting</w:t>
      </w:r>
      <w:r w:rsidRPr="00AD3A56">
        <w:rPr>
          <w:rFonts w:ascii="Arial" w:hAnsi="Arial" w:cs="Arial"/>
        </w:rPr>
        <w:t xml:space="preserve"> meetings. Men and women perceive that gender bullying is not a very alarming issue since most of the respondents strongly agree that there is no gender-based bullying.  It is also a good indicator that the higher authorities within the organization promote and formulate activities about gender and development. Members were also involved in activities, such as </w:t>
      </w:r>
      <w:r w:rsidR="00450915">
        <w:rPr>
          <w:rFonts w:ascii="Arial" w:hAnsi="Arial" w:cs="Arial"/>
        </w:rPr>
        <w:t>establishing retail stalls that offered a variety of goods at affordable prices, including</w:t>
      </w:r>
      <w:r w:rsidRPr="00AD3A56">
        <w:rPr>
          <w:rFonts w:ascii="Arial" w:hAnsi="Arial" w:cs="Arial"/>
        </w:rPr>
        <w:t xml:space="preserve"> agricultural crops. This activity </w:t>
      </w:r>
      <w:r w:rsidR="00450915">
        <w:rPr>
          <w:rFonts w:ascii="Arial" w:hAnsi="Arial" w:cs="Arial"/>
        </w:rPr>
        <w:t>enables them to establish a connection with the opposite gender, promotes environmental awareness, and helps combat</w:t>
      </w:r>
      <w:r w:rsidRPr="00AD3A56">
        <w:rPr>
          <w:rFonts w:ascii="Arial" w:hAnsi="Arial" w:cs="Arial"/>
        </w:rPr>
        <w:t xml:space="preserve"> violence against women. Another recognition is the awarding of the most outstanding </w:t>
      </w:r>
      <w:r w:rsidRPr="00AD3A56">
        <w:rPr>
          <w:rFonts w:ascii="Arial" w:hAnsi="Arial" w:cs="Arial"/>
          <w:i/>
          <w:iCs/>
        </w:rPr>
        <w:t>Juan</w:t>
      </w:r>
      <w:r w:rsidRPr="00AD3A56">
        <w:rPr>
          <w:rFonts w:ascii="Arial" w:hAnsi="Arial" w:cs="Arial"/>
        </w:rPr>
        <w:t xml:space="preserve"> (male) and </w:t>
      </w:r>
      <w:r w:rsidRPr="00AD3A56">
        <w:rPr>
          <w:rFonts w:ascii="Arial" w:hAnsi="Arial" w:cs="Arial"/>
          <w:i/>
          <w:iCs/>
        </w:rPr>
        <w:t xml:space="preserve">Juana </w:t>
      </w:r>
      <w:r w:rsidRPr="00AD3A56">
        <w:rPr>
          <w:rFonts w:ascii="Arial" w:hAnsi="Arial" w:cs="Arial"/>
        </w:rPr>
        <w:t xml:space="preserve">(female) employee during the GAD celebration.   Some of the </w:t>
      </w:r>
      <w:r w:rsidR="00450915">
        <w:rPr>
          <w:rFonts w:ascii="Arial" w:hAnsi="Arial" w:cs="Arial"/>
        </w:rPr>
        <w:t>identified gender roles include</w:t>
      </w:r>
      <w:r w:rsidRPr="00AD3A56">
        <w:rPr>
          <w:rFonts w:ascii="Arial" w:hAnsi="Arial" w:cs="Arial"/>
        </w:rPr>
        <w:t xml:space="preserve"> PA technical staff, park ranger, EMS, PASU, APASU, and members of PAMB. Wherein both men and women are involved in these various roles. </w:t>
      </w:r>
    </w:p>
    <w:p w14:paraId="7DF4E997" w14:textId="77777777" w:rsidR="00AD3A56" w:rsidRPr="00AD3A56" w:rsidRDefault="00AD3A56" w:rsidP="00A82F14">
      <w:pPr>
        <w:pStyle w:val="Body"/>
        <w:jc w:val="center"/>
        <w:rPr>
          <w:rFonts w:ascii="Arial" w:hAnsi="Arial" w:cs="Arial"/>
          <w:b/>
        </w:rPr>
      </w:pPr>
      <w:r w:rsidRPr="00AD3A56">
        <w:rPr>
          <w:rFonts w:ascii="Arial" w:hAnsi="Arial" w:cs="Arial"/>
          <w:noProof/>
          <w:lang w:val="en-PH" w:eastAsia="en-PH"/>
        </w:rPr>
        <w:lastRenderedPageBreak/>
        <w:drawing>
          <wp:inline distT="0" distB="0" distL="0" distR="0" wp14:anchorId="699F649C" wp14:editId="22E39601">
            <wp:extent cx="2782570" cy="4140200"/>
            <wp:effectExtent l="0" t="0" r="1778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7B2356D" w14:textId="77777777" w:rsidR="00AD3A56" w:rsidRDefault="00AD3A56" w:rsidP="00A03020">
      <w:pPr>
        <w:pStyle w:val="Body"/>
        <w:spacing w:after="0"/>
        <w:jc w:val="center"/>
        <w:rPr>
          <w:rFonts w:ascii="Arial" w:hAnsi="Arial" w:cs="Arial"/>
        </w:rPr>
      </w:pPr>
      <w:r w:rsidRPr="00AD3A56">
        <w:rPr>
          <w:rFonts w:ascii="Arial" w:hAnsi="Arial" w:cs="Arial"/>
          <w:b/>
        </w:rPr>
        <w:t>Figure 7:</w:t>
      </w:r>
      <w:r w:rsidRPr="00AD3A56">
        <w:rPr>
          <w:rFonts w:ascii="Arial" w:hAnsi="Arial" w:cs="Arial"/>
        </w:rPr>
        <w:t xml:space="preserve"> Respondents' involvement in the management of the Protected Area</w:t>
      </w:r>
    </w:p>
    <w:p w14:paraId="4AB85BE8" w14:textId="77777777" w:rsidR="00A03020" w:rsidRPr="00A03020" w:rsidRDefault="00A03020" w:rsidP="00A03020">
      <w:pPr>
        <w:pStyle w:val="Body"/>
        <w:spacing w:after="0"/>
        <w:rPr>
          <w:rFonts w:ascii="Arial" w:hAnsi="Arial" w:cs="Arial"/>
        </w:rPr>
      </w:pPr>
    </w:p>
    <w:p w14:paraId="3AD541AB" w14:textId="1A874BF9" w:rsidR="00E71F07" w:rsidRDefault="00AD3A56" w:rsidP="00E71F07">
      <w:pPr>
        <w:jc w:val="both"/>
      </w:pPr>
      <w:r w:rsidRPr="00AD3A56">
        <w:rPr>
          <w:rFonts w:ascii="Arial" w:hAnsi="Arial" w:cs="Arial"/>
        </w:rPr>
        <w:t xml:space="preserve">When examining problems and creating solutions, women's diverse expertise, perceptions, experiences, and interpretations can enhance management and offer new perspectives (World </w:t>
      </w:r>
      <w:r w:rsidRPr="00005323">
        <w:rPr>
          <w:rFonts w:ascii="Arial" w:hAnsi="Arial" w:cs="Arial"/>
          <w:color w:val="000000" w:themeColor="text1"/>
        </w:rPr>
        <w:t xml:space="preserve">Bank, </w:t>
      </w:r>
      <w:hyperlink r:id="rId25" w:anchor="B101" w:history="1">
        <w:r w:rsidRPr="00005323">
          <w:rPr>
            <w:rStyle w:val="Hyperlink"/>
            <w:rFonts w:ascii="Arial" w:hAnsi="Arial" w:cs="Arial"/>
            <w:color w:val="000000" w:themeColor="text1"/>
            <w:u w:val="none"/>
          </w:rPr>
          <w:t>2015</w:t>
        </w:r>
      </w:hyperlink>
      <w:r w:rsidRPr="00005323">
        <w:rPr>
          <w:rFonts w:ascii="Arial" w:hAnsi="Arial" w:cs="Arial"/>
          <w:color w:val="000000" w:themeColor="text1"/>
        </w:rPr>
        <w:t xml:space="preserve">). </w:t>
      </w:r>
      <w:r w:rsidRPr="00E71F07">
        <w:rPr>
          <w:rFonts w:ascii="Arial" w:hAnsi="Arial" w:cs="Arial"/>
          <w:color w:val="000000" w:themeColor="text1"/>
        </w:rPr>
        <w:t>Additionally, women's involvement produces a distinct type of leadership that can help navigate challenging policy issues (</w:t>
      </w:r>
      <w:hyperlink r:id="rId26" w:anchor="B91" w:history="1">
        <w:r w:rsidRPr="00E71F07">
          <w:rPr>
            <w:rStyle w:val="Hyperlink"/>
            <w:rFonts w:ascii="Arial" w:hAnsi="Arial" w:cs="Arial"/>
            <w:color w:val="000000" w:themeColor="text1"/>
            <w:u w:val="none"/>
          </w:rPr>
          <w:t>UNEP, 2015</w:t>
        </w:r>
      </w:hyperlink>
      <w:r w:rsidRPr="00E71F07">
        <w:rPr>
          <w:rFonts w:ascii="Arial" w:hAnsi="Arial" w:cs="Arial"/>
        </w:rPr>
        <w:t xml:space="preserve">). According to Di Chiro (2008), women’s participation and gender analysis </w:t>
      </w:r>
      <w:r w:rsidR="00450915">
        <w:rPr>
          <w:rFonts w:ascii="Arial" w:hAnsi="Arial" w:cs="Arial"/>
        </w:rPr>
        <w:t>facilitate the resolution of</w:t>
      </w:r>
      <w:r w:rsidRPr="00E71F07">
        <w:rPr>
          <w:rFonts w:ascii="Arial" w:hAnsi="Arial" w:cs="Arial"/>
        </w:rPr>
        <w:t xml:space="preserve"> issues such as justice and equity. It can also help </w:t>
      </w:r>
      <w:r w:rsidR="00450915">
        <w:rPr>
          <w:rFonts w:ascii="Arial" w:hAnsi="Arial" w:cs="Arial"/>
        </w:rPr>
        <w:t>identify the various contexts in which different</w:t>
      </w:r>
      <w:r w:rsidRPr="00E71F07">
        <w:rPr>
          <w:rFonts w:ascii="Arial" w:hAnsi="Arial" w:cs="Arial"/>
        </w:rPr>
        <w:t xml:space="preserve"> actors work and produce conservation efforts.</w:t>
      </w:r>
      <w:r w:rsidR="00E71F07" w:rsidRPr="00E71F07">
        <w:rPr>
          <w:rFonts w:ascii="Arial" w:hAnsi="Arial" w:cs="Arial"/>
        </w:rPr>
        <w:t xml:space="preserve"> Empowering women in decision-making, extension activities, and skills </w:t>
      </w:r>
      <w:r w:rsidR="00450915">
        <w:rPr>
          <w:rFonts w:ascii="Arial" w:hAnsi="Arial" w:cs="Arial"/>
        </w:rPr>
        <w:t>training is</w:t>
      </w:r>
      <w:r w:rsidR="00E71F07" w:rsidRPr="00E71F07">
        <w:rPr>
          <w:rFonts w:ascii="Arial" w:hAnsi="Arial" w:cs="Arial"/>
        </w:rPr>
        <w:t xml:space="preserve"> essential. These are practical ways to support women and </w:t>
      </w:r>
      <w:r w:rsidR="00450915">
        <w:rPr>
          <w:rFonts w:ascii="Arial" w:hAnsi="Arial" w:cs="Arial"/>
        </w:rPr>
        <w:t>recognize</w:t>
      </w:r>
      <w:r w:rsidR="00E71F07" w:rsidRPr="00E71F07">
        <w:rPr>
          <w:rFonts w:ascii="Arial" w:hAnsi="Arial" w:cs="Arial"/>
        </w:rPr>
        <w:t xml:space="preserve"> their </w:t>
      </w:r>
      <w:r w:rsidR="00450915">
        <w:rPr>
          <w:rFonts w:ascii="Arial" w:hAnsi="Arial" w:cs="Arial"/>
        </w:rPr>
        <w:t>contributions to natural resource management (</w:t>
      </w:r>
      <w:r w:rsidR="00A33B0D" w:rsidRPr="00DB67C6">
        <w:rPr>
          <w:rFonts w:cs="Helvetica"/>
          <w:color w:val="000000"/>
          <w:lang w:val="en-PH" w:eastAsia="en-PH"/>
        </w:rPr>
        <w:t>Bilal Ahmad Bhat</w:t>
      </w:r>
      <w:r w:rsidR="00A33B0D">
        <w:rPr>
          <w:rFonts w:cs="Helvetica"/>
          <w:color w:val="000000"/>
          <w:lang w:val="en-PH" w:eastAsia="en-PH"/>
        </w:rPr>
        <w:t xml:space="preserve"> and</w:t>
      </w:r>
      <w:r w:rsidR="00A33B0D" w:rsidRPr="00DB67C6">
        <w:rPr>
          <w:rFonts w:cs="Helvetica"/>
          <w:color w:val="000000"/>
          <w:lang w:val="en-PH" w:eastAsia="en-PH"/>
        </w:rPr>
        <w:t xml:space="preserve"> </w:t>
      </w:r>
      <w:proofErr w:type="spellStart"/>
      <w:r w:rsidR="00A33B0D" w:rsidRPr="00DB67C6">
        <w:rPr>
          <w:rFonts w:cs="Helvetica"/>
          <w:color w:val="000000"/>
          <w:lang w:val="en-PH" w:eastAsia="en-PH"/>
        </w:rPr>
        <w:t>Samreena</w:t>
      </w:r>
      <w:proofErr w:type="spellEnd"/>
      <w:r w:rsidR="00A33B0D" w:rsidRPr="00DB67C6">
        <w:rPr>
          <w:rFonts w:cs="Helvetica"/>
          <w:color w:val="000000"/>
          <w:lang w:val="en-PH" w:eastAsia="en-PH"/>
        </w:rPr>
        <w:t xml:space="preserve"> </w:t>
      </w:r>
      <w:proofErr w:type="spellStart"/>
      <w:r w:rsidR="00A33B0D" w:rsidRPr="00DB67C6">
        <w:rPr>
          <w:rFonts w:cs="Helvetica"/>
          <w:color w:val="000000"/>
          <w:lang w:val="en-PH" w:eastAsia="en-PH"/>
        </w:rPr>
        <w:t>Aushiq</w:t>
      </w:r>
      <w:proofErr w:type="spellEnd"/>
      <w:r w:rsidR="00450915">
        <w:rPr>
          <w:rFonts w:ascii="Arial" w:hAnsi="Arial" w:cs="Arial"/>
        </w:rPr>
        <w:t xml:space="preserve">, </w:t>
      </w:r>
      <w:r w:rsidR="00E71F07" w:rsidRPr="00E71F07">
        <w:rPr>
          <w:rFonts w:ascii="Arial" w:hAnsi="Arial" w:cs="Arial"/>
        </w:rPr>
        <w:t>2023).</w:t>
      </w:r>
    </w:p>
    <w:p w14:paraId="1DAAADCC" w14:textId="77777777" w:rsidR="00AD3A56" w:rsidRPr="00AD3A56" w:rsidRDefault="00AD3A56" w:rsidP="00A03020">
      <w:pPr>
        <w:pStyle w:val="Body"/>
        <w:spacing w:after="0"/>
        <w:rPr>
          <w:rFonts w:ascii="Arial" w:hAnsi="Arial" w:cs="Arial"/>
        </w:rPr>
      </w:pPr>
    </w:p>
    <w:p w14:paraId="37DA2EC5" w14:textId="77777777" w:rsidR="00790ADA" w:rsidRPr="00FB3A86" w:rsidRDefault="00790ADA" w:rsidP="00A82F14">
      <w:pPr>
        <w:pStyle w:val="Body"/>
        <w:spacing w:after="0"/>
        <w:rPr>
          <w:rFonts w:ascii="Arial" w:hAnsi="Arial" w:cs="Arial"/>
        </w:rPr>
      </w:pPr>
    </w:p>
    <w:p w14:paraId="4841163B" w14:textId="77777777" w:rsidR="00B01FCD" w:rsidRDefault="00000F8F" w:rsidP="00A82F14">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3FEA709" w14:textId="77777777" w:rsidR="00790ADA" w:rsidRPr="00FB3A86" w:rsidRDefault="00790ADA" w:rsidP="00A82F14">
      <w:pPr>
        <w:pStyle w:val="ConcHead"/>
        <w:spacing w:after="0"/>
        <w:jc w:val="both"/>
        <w:rPr>
          <w:rFonts w:ascii="Arial" w:hAnsi="Arial" w:cs="Arial"/>
        </w:rPr>
      </w:pPr>
    </w:p>
    <w:p w14:paraId="5B5AB053" w14:textId="77777777" w:rsidR="0089437F" w:rsidRDefault="0089437F" w:rsidP="00A03020">
      <w:pPr>
        <w:pStyle w:val="Body"/>
        <w:spacing w:after="0"/>
        <w:rPr>
          <w:rFonts w:ascii="Arial" w:hAnsi="Arial" w:cs="Arial"/>
        </w:rPr>
      </w:pPr>
      <w:r w:rsidRPr="0089437F">
        <w:rPr>
          <w:rFonts w:ascii="Arial" w:hAnsi="Arial" w:cs="Arial"/>
        </w:rPr>
        <w:t xml:space="preserve">The integration of gender-responsive approaches in the management of PAs in Northern </w:t>
      </w:r>
      <w:proofErr w:type="spellStart"/>
      <w:r w:rsidRPr="0089437F">
        <w:rPr>
          <w:rFonts w:ascii="Arial" w:hAnsi="Arial" w:cs="Arial"/>
        </w:rPr>
        <w:t>Ilocos</w:t>
      </w:r>
      <w:proofErr w:type="spellEnd"/>
      <w:r w:rsidRPr="0089437F">
        <w:rPr>
          <w:rFonts w:ascii="Arial" w:hAnsi="Arial" w:cs="Arial"/>
        </w:rPr>
        <w:t xml:space="preserve"> Sur, Philippines, signifies a progressive stride towards inclusive environmental governance. Both men and women actively contribute to the development and implementation of policies, ensuring that diverse perspectives are considered in decision-making processes.</w:t>
      </w:r>
    </w:p>
    <w:p w14:paraId="412B58DD" w14:textId="77777777" w:rsidR="00A03020" w:rsidRPr="0089437F" w:rsidRDefault="00A03020" w:rsidP="00A03020">
      <w:pPr>
        <w:pStyle w:val="Body"/>
        <w:spacing w:after="0"/>
        <w:rPr>
          <w:rFonts w:ascii="Arial" w:hAnsi="Arial" w:cs="Arial"/>
        </w:rPr>
      </w:pPr>
    </w:p>
    <w:p w14:paraId="1E6A0642" w14:textId="5090AE77" w:rsidR="0089437F" w:rsidRDefault="0089437F" w:rsidP="00A03020">
      <w:pPr>
        <w:pStyle w:val="Body"/>
        <w:spacing w:after="0"/>
        <w:rPr>
          <w:rFonts w:ascii="Arial" w:hAnsi="Arial" w:cs="Arial"/>
        </w:rPr>
      </w:pPr>
      <w:r w:rsidRPr="0089437F">
        <w:rPr>
          <w:rFonts w:ascii="Arial" w:hAnsi="Arial" w:cs="Arial"/>
        </w:rPr>
        <w:t xml:space="preserve">A notable indicator of this inclusivity is the equal treatment of all members, regardless of gender, as reflected in the strategies applied within the PAs. This approach aligns with </w:t>
      </w:r>
      <w:r w:rsidRPr="0089437F">
        <w:rPr>
          <w:rFonts w:ascii="Arial" w:hAnsi="Arial" w:cs="Arial"/>
        </w:rPr>
        <w:lastRenderedPageBreak/>
        <w:t xml:space="preserve">global initiatives that recognize the importance of women's involvement in conservation efforts. For instance, the </w:t>
      </w:r>
      <w:r w:rsidR="00450915">
        <w:rPr>
          <w:rFonts w:ascii="Arial" w:hAnsi="Arial" w:cs="Arial"/>
        </w:rPr>
        <w:t xml:space="preserve">development of the protected area management plan, which involves women in decision-making, emphasizes the enhancement of women's roles within </w:t>
      </w:r>
      <w:r w:rsidRPr="0089437F">
        <w:rPr>
          <w:rFonts w:ascii="Arial" w:hAnsi="Arial" w:cs="Arial"/>
        </w:rPr>
        <w:t>protected area governance, aiming to increase their influence and participation in decision-making processes.</w:t>
      </w:r>
      <w:r w:rsidR="00450915">
        <w:rPr>
          <w:rFonts w:ascii="Arial" w:hAnsi="Arial" w:cs="Arial"/>
        </w:rPr>
        <w:t xml:space="preserve"> </w:t>
      </w:r>
      <w:r w:rsidRPr="0089437F">
        <w:rPr>
          <w:rFonts w:ascii="Arial" w:hAnsi="Arial" w:cs="Arial"/>
        </w:rPr>
        <w:t>Furthermore, the absence of gender-based bullying among respondents highlights a positive organizational culture that fosters respect and equality. This environment is conducive to collaborative efforts, where both genders can work together towards common conservation goals.</w:t>
      </w:r>
    </w:p>
    <w:p w14:paraId="647EE119" w14:textId="77777777" w:rsidR="00A03020" w:rsidRPr="0089437F" w:rsidRDefault="00A03020" w:rsidP="00A03020">
      <w:pPr>
        <w:pStyle w:val="Body"/>
        <w:spacing w:after="0"/>
        <w:rPr>
          <w:rFonts w:ascii="Arial" w:hAnsi="Arial" w:cs="Arial"/>
        </w:rPr>
      </w:pPr>
    </w:p>
    <w:p w14:paraId="5E2EDA9B" w14:textId="67409514" w:rsidR="0089437F" w:rsidRDefault="0089437F" w:rsidP="00A03020">
      <w:pPr>
        <w:pStyle w:val="Body"/>
        <w:spacing w:after="0"/>
        <w:rPr>
          <w:rFonts w:ascii="Arial" w:hAnsi="Arial" w:cs="Arial"/>
        </w:rPr>
      </w:pPr>
      <w:r w:rsidRPr="0089437F">
        <w:rPr>
          <w:rFonts w:ascii="Arial" w:hAnsi="Arial" w:cs="Arial"/>
        </w:rPr>
        <w:t>The active participation of both men and women in various roles, such as technical staff, park rangers, and members of the PAMB, demonstrates a practical application of gender equality principles. This inclusive participation ensures that conservation strategies are comprehensive and considerate of the needs and contributions of all community members.</w:t>
      </w:r>
      <w:r w:rsidR="00450915">
        <w:rPr>
          <w:rFonts w:ascii="Arial" w:hAnsi="Arial" w:cs="Arial"/>
        </w:rPr>
        <w:t xml:space="preserve"> </w:t>
      </w:r>
      <w:r w:rsidRPr="0089437F">
        <w:rPr>
          <w:rFonts w:ascii="Arial" w:hAnsi="Arial" w:cs="Arial"/>
        </w:rPr>
        <w:t xml:space="preserve">Hence, the efforts of CENRO Northern </w:t>
      </w:r>
      <w:proofErr w:type="spellStart"/>
      <w:r w:rsidRPr="0089437F">
        <w:rPr>
          <w:rFonts w:ascii="Arial" w:hAnsi="Arial" w:cs="Arial"/>
        </w:rPr>
        <w:t>Ilocos</w:t>
      </w:r>
      <w:proofErr w:type="spellEnd"/>
      <w:r w:rsidRPr="0089437F">
        <w:rPr>
          <w:rFonts w:ascii="Arial" w:hAnsi="Arial" w:cs="Arial"/>
        </w:rPr>
        <w:t xml:space="preserve"> Sur in promoting gender equality within PA management not only enhance conservation outcomes but also contribute to the empowerment of both men and women in the community. By fostering an inclusive environment, the program sets a precedent for sustainable and equitable environmental governance.</w:t>
      </w:r>
    </w:p>
    <w:p w14:paraId="468551D6" w14:textId="77777777" w:rsidR="00A03020" w:rsidRPr="0089437F" w:rsidRDefault="00A03020" w:rsidP="00A03020">
      <w:pPr>
        <w:pStyle w:val="Body"/>
        <w:spacing w:after="0"/>
        <w:rPr>
          <w:rFonts w:ascii="Arial" w:hAnsi="Arial" w:cs="Arial"/>
        </w:rPr>
      </w:pPr>
    </w:p>
    <w:p w14:paraId="03A15D4E" w14:textId="77777777" w:rsidR="0089437F" w:rsidRDefault="0089437F" w:rsidP="00A03020">
      <w:pPr>
        <w:pStyle w:val="Body"/>
        <w:spacing w:after="0"/>
        <w:rPr>
          <w:rFonts w:ascii="Arial" w:hAnsi="Arial" w:cs="Arial"/>
          <w:b/>
        </w:rPr>
      </w:pPr>
      <w:r w:rsidRPr="0089437F">
        <w:rPr>
          <w:rFonts w:ascii="Arial" w:hAnsi="Arial" w:cs="Arial"/>
          <w:b/>
        </w:rPr>
        <w:t xml:space="preserve">RECOMMENDATION </w:t>
      </w:r>
    </w:p>
    <w:p w14:paraId="608535A7" w14:textId="77777777" w:rsidR="00A03020" w:rsidRPr="0089437F" w:rsidRDefault="00A03020" w:rsidP="00A03020">
      <w:pPr>
        <w:pStyle w:val="Body"/>
        <w:spacing w:after="0"/>
        <w:rPr>
          <w:rFonts w:ascii="Arial" w:hAnsi="Arial" w:cs="Arial"/>
          <w:b/>
        </w:rPr>
      </w:pPr>
    </w:p>
    <w:p w14:paraId="716829F9" w14:textId="552E4E23" w:rsidR="00790ADA" w:rsidRDefault="0089437F" w:rsidP="00A03020">
      <w:pPr>
        <w:pStyle w:val="Body"/>
        <w:spacing w:after="0"/>
        <w:rPr>
          <w:rFonts w:ascii="Arial" w:hAnsi="Arial" w:cs="Arial"/>
        </w:rPr>
      </w:pPr>
      <w:r w:rsidRPr="0089437F">
        <w:rPr>
          <w:rFonts w:ascii="Arial" w:hAnsi="Arial" w:cs="Arial"/>
        </w:rPr>
        <w:t xml:space="preserve">This study recommends </w:t>
      </w:r>
      <w:r w:rsidR="00450915">
        <w:rPr>
          <w:rFonts w:ascii="Arial" w:hAnsi="Arial" w:cs="Arial"/>
        </w:rPr>
        <w:t>the formulation of more Gender and Development (GAD) training and seminars to strengthen the relationships among members,</w:t>
      </w:r>
      <w:r w:rsidRPr="0089437F">
        <w:rPr>
          <w:rFonts w:ascii="Arial" w:hAnsi="Arial" w:cs="Arial"/>
        </w:rPr>
        <w:t xml:space="preserve"> regardless of gender. Engage stakeholders through team-building activities to ensure a grounded</w:t>
      </w:r>
      <w:r w:rsidR="00E07A06">
        <w:rPr>
          <w:rFonts w:ascii="Arial" w:hAnsi="Arial" w:cs="Arial"/>
        </w:rPr>
        <w:t xml:space="preserve"> and actionable outcome for</w:t>
      </w:r>
      <w:r w:rsidRPr="0089437F">
        <w:rPr>
          <w:rFonts w:ascii="Arial" w:hAnsi="Arial" w:cs="Arial"/>
        </w:rPr>
        <w:t xml:space="preserve"> projects and policy implementations. In addition, future researchers can utilize the </w:t>
      </w:r>
      <w:r w:rsidR="00E07A06">
        <w:rPr>
          <w:rFonts w:ascii="Arial" w:hAnsi="Arial" w:cs="Arial"/>
        </w:rPr>
        <w:t xml:space="preserve">study's results to inform policy guidelines that incorporate gender equity in </w:t>
      </w:r>
      <w:r w:rsidRPr="0089437F">
        <w:rPr>
          <w:rFonts w:ascii="Arial" w:hAnsi="Arial" w:cs="Arial"/>
        </w:rPr>
        <w:t xml:space="preserve">PA management. Lastly, this study recommends assessing the impact of </w:t>
      </w:r>
      <w:r w:rsidR="00E07A06">
        <w:rPr>
          <w:rFonts w:ascii="Arial" w:hAnsi="Arial" w:cs="Arial"/>
        </w:rPr>
        <w:t xml:space="preserve">gender-inclusive management through further research to identify socio-cultural and institutional barriers in </w:t>
      </w:r>
      <w:r w:rsidRPr="0089437F">
        <w:rPr>
          <w:rFonts w:ascii="Arial" w:hAnsi="Arial" w:cs="Arial"/>
        </w:rPr>
        <w:t>PA management.</w:t>
      </w:r>
    </w:p>
    <w:p w14:paraId="441F1B49" w14:textId="77777777" w:rsidR="00A03020" w:rsidRPr="00FB3A86" w:rsidRDefault="00A03020" w:rsidP="00A03020">
      <w:pPr>
        <w:pStyle w:val="Body"/>
        <w:spacing w:after="0"/>
        <w:rPr>
          <w:rFonts w:ascii="Arial" w:hAnsi="Arial" w:cs="Arial"/>
        </w:rPr>
      </w:pPr>
    </w:p>
    <w:p w14:paraId="4035E435" w14:textId="77777777" w:rsidR="00A47CFE" w:rsidRDefault="00A47CFE" w:rsidP="003E16F2">
      <w:pPr>
        <w:pStyle w:val="ReferHead"/>
        <w:spacing w:after="0"/>
        <w:jc w:val="both"/>
        <w:rPr>
          <w:rFonts w:ascii="Arial" w:hAnsi="Arial" w:cs="Arial"/>
          <w:b w:val="0"/>
          <w:caps w:val="0"/>
          <w:sz w:val="20"/>
          <w:u w:val="single"/>
        </w:rPr>
      </w:pPr>
    </w:p>
    <w:p w14:paraId="781ECC46" w14:textId="77777777" w:rsidR="00F91AC5" w:rsidRPr="00F91AC5" w:rsidRDefault="00F91AC5" w:rsidP="00F91AC5">
      <w:pPr>
        <w:pStyle w:val="ReferHead"/>
        <w:jc w:val="both"/>
        <w:rPr>
          <w:rFonts w:ascii="Arial" w:hAnsi="Arial" w:cs="Arial"/>
          <w:caps w:val="0"/>
          <w:sz w:val="20"/>
          <w:u w:val="single"/>
        </w:rPr>
      </w:pPr>
      <w:r w:rsidRPr="00F91AC5">
        <w:rPr>
          <w:rFonts w:ascii="Arial" w:hAnsi="Arial" w:cs="Arial"/>
          <w:caps w:val="0"/>
          <w:sz w:val="20"/>
          <w:u w:val="single"/>
        </w:rPr>
        <w:t xml:space="preserve">Consent </w:t>
      </w:r>
    </w:p>
    <w:p w14:paraId="435C9E68" w14:textId="508F7F8E" w:rsidR="00A47CFE" w:rsidRDefault="00F91AC5" w:rsidP="00F91AC5">
      <w:pPr>
        <w:pStyle w:val="ReferHead"/>
        <w:spacing w:after="0"/>
        <w:jc w:val="both"/>
        <w:rPr>
          <w:rFonts w:ascii="Arial" w:hAnsi="Arial" w:cs="Arial"/>
          <w:b w:val="0"/>
          <w:caps w:val="0"/>
          <w:sz w:val="20"/>
          <w:u w:val="single"/>
        </w:rPr>
      </w:pPr>
      <w:r w:rsidRPr="00F91AC5">
        <w:rPr>
          <w:rFonts w:ascii="Arial" w:hAnsi="Arial" w:cs="Arial"/>
          <w:b w:val="0"/>
          <w:caps w:val="0"/>
          <w:sz w:val="20"/>
          <w:u w:val="single"/>
        </w:rPr>
        <w:t>As per international standards or university standards, respondents’ written consent has been collected and preserved by the author(s).</w:t>
      </w:r>
    </w:p>
    <w:p w14:paraId="48B418D5" w14:textId="77777777" w:rsidR="00F91AC5" w:rsidRDefault="00F91AC5" w:rsidP="00764662">
      <w:pPr>
        <w:jc w:val="both"/>
        <w:rPr>
          <w:rFonts w:ascii="Arial" w:eastAsia="Calibri" w:hAnsi="Arial" w:cs="Arial"/>
          <w:b/>
          <w:kern w:val="2"/>
        </w:rPr>
      </w:pPr>
      <w:bookmarkStart w:id="0" w:name="_Hlk197682619"/>
      <w:bookmarkStart w:id="1" w:name="_Hlk180402183"/>
      <w:bookmarkStart w:id="2" w:name="_Hlk183680988"/>
      <w:bookmarkStart w:id="3" w:name="_Hlk197351200"/>
    </w:p>
    <w:p w14:paraId="1392F50F" w14:textId="77777777" w:rsidR="00F91AC5" w:rsidRDefault="00F91AC5" w:rsidP="00764662">
      <w:pPr>
        <w:jc w:val="both"/>
        <w:rPr>
          <w:rFonts w:ascii="Arial" w:eastAsia="Calibri" w:hAnsi="Arial" w:cs="Arial"/>
          <w:b/>
          <w:kern w:val="2"/>
        </w:rPr>
      </w:pPr>
    </w:p>
    <w:p w14:paraId="36C5B9CB" w14:textId="402982FD" w:rsidR="009A3474" w:rsidRPr="00F91AC5" w:rsidRDefault="009A3474" w:rsidP="00764662">
      <w:pPr>
        <w:jc w:val="both"/>
        <w:rPr>
          <w:rFonts w:ascii="Arial" w:eastAsia="Calibri" w:hAnsi="Arial" w:cs="Arial"/>
          <w:b/>
          <w:kern w:val="2"/>
        </w:rPr>
      </w:pPr>
      <w:r w:rsidRPr="00F91AC5">
        <w:rPr>
          <w:rFonts w:ascii="Arial" w:eastAsia="Calibri" w:hAnsi="Arial" w:cs="Arial"/>
          <w:b/>
          <w:kern w:val="2"/>
        </w:rPr>
        <w:t>Disclaimer (Artificial intelligence)</w:t>
      </w:r>
    </w:p>
    <w:p w14:paraId="64B51340" w14:textId="0FBF6BCB" w:rsidR="009A3474" w:rsidRPr="00764662" w:rsidRDefault="00764662" w:rsidP="00764662">
      <w:pPr>
        <w:jc w:val="both"/>
        <w:rPr>
          <w:rFonts w:ascii="Arial" w:eastAsia="Calibri" w:hAnsi="Arial" w:cs="Arial"/>
          <w:kern w:val="2"/>
        </w:rPr>
      </w:pPr>
      <w:r w:rsidRPr="00764662">
        <w:rPr>
          <w:rFonts w:ascii="Arial" w:eastAsia="Calibri" w:hAnsi="Arial" w:cs="Arial"/>
          <w:kern w:val="2"/>
        </w:rPr>
        <w:t xml:space="preserve">Authors </w:t>
      </w:r>
      <w:r w:rsidR="009A3474" w:rsidRPr="00764662">
        <w:rPr>
          <w:rFonts w:ascii="Arial" w:eastAsia="Calibri" w:hAnsi="Arial" w:cs="Arial"/>
          <w:kern w:val="2"/>
        </w:rPr>
        <w:t xml:space="preserve">hereby declare that NO generative AI technologies such as Large Language Models (ChatGPT, COPILOT, etc.) and text-to-image generators have been used during the writing or editing of this manuscript. </w:t>
      </w:r>
    </w:p>
    <w:bookmarkEnd w:id="0"/>
    <w:bookmarkEnd w:id="1"/>
    <w:bookmarkEnd w:id="2"/>
    <w:bookmarkEnd w:id="3"/>
    <w:p w14:paraId="31236AD2" w14:textId="77777777" w:rsidR="009A3474" w:rsidRPr="00A47CFE" w:rsidRDefault="009A3474" w:rsidP="00A47CFE">
      <w:pPr>
        <w:spacing w:after="200" w:line="276" w:lineRule="auto"/>
        <w:rPr>
          <w:rFonts w:asciiTheme="minorHAnsi" w:eastAsiaTheme="minorEastAsia" w:hAnsiTheme="minorHAnsi" w:cstheme="minorBidi"/>
          <w:sz w:val="22"/>
          <w:szCs w:val="22"/>
          <w:lang w:val="en-GB" w:eastAsia="en-GB"/>
        </w:rPr>
      </w:pPr>
    </w:p>
    <w:p w14:paraId="23A30EB4" w14:textId="311EA31C" w:rsidR="00FE1BB3" w:rsidRDefault="00FE1BB3" w:rsidP="003E16F2">
      <w:pPr>
        <w:pStyle w:val="ReferHead"/>
        <w:spacing w:after="0"/>
        <w:jc w:val="both"/>
        <w:rPr>
          <w:rFonts w:ascii="Arial" w:hAnsi="Arial" w:cs="Arial"/>
          <w:b w:val="0"/>
          <w:caps w:val="0"/>
          <w:sz w:val="20"/>
          <w:u w:val="single"/>
        </w:rPr>
      </w:pPr>
    </w:p>
    <w:p w14:paraId="4A714835" w14:textId="2B064EB4" w:rsidR="00A33B0D" w:rsidRPr="00FB3A86" w:rsidRDefault="00B01FCD" w:rsidP="00A82F14">
      <w:pPr>
        <w:pStyle w:val="ReferHead"/>
        <w:spacing w:after="0"/>
        <w:jc w:val="both"/>
        <w:rPr>
          <w:rFonts w:ascii="Arial" w:hAnsi="Arial" w:cs="Arial"/>
        </w:rPr>
      </w:pPr>
      <w:r w:rsidRPr="00FB3A86">
        <w:rPr>
          <w:rFonts w:ascii="Arial" w:hAnsi="Arial" w:cs="Arial"/>
        </w:rPr>
        <w:t>References</w:t>
      </w:r>
    </w:p>
    <w:p w14:paraId="76EBF2F1" w14:textId="77777777" w:rsidR="00A33B0D" w:rsidRPr="00F25CC1" w:rsidRDefault="00A33B0D" w:rsidP="00F25CC1">
      <w:pPr>
        <w:jc w:val="both"/>
      </w:pPr>
    </w:p>
    <w:p w14:paraId="54D3F1A6" w14:textId="77777777" w:rsidR="00A33B0D" w:rsidRPr="00DB67C6" w:rsidRDefault="00A33B0D" w:rsidP="00DB67C6">
      <w:pPr>
        <w:pStyle w:val="Body"/>
        <w:rPr>
          <w:rFonts w:cs="Helvetica"/>
        </w:rPr>
      </w:pPr>
      <w:r w:rsidRPr="00DB67C6">
        <w:rPr>
          <w:rFonts w:cs="Helvetica"/>
        </w:rPr>
        <w:t>Alston, M. (2014). Gender mainstreaming and climate change. Women’s Studies International Forum, 47(B), 287–294. https://doi.org/10.1016/j.wsif.2013.01.016</w:t>
      </w:r>
      <w:r>
        <w:rPr>
          <w:rFonts w:cs="Helvetica"/>
        </w:rPr>
        <w:t xml:space="preserve"> </w:t>
      </w:r>
    </w:p>
    <w:p w14:paraId="2359F13E" w14:textId="77777777" w:rsidR="00A33B0D" w:rsidRPr="00764662" w:rsidRDefault="00A33B0D" w:rsidP="00DB67C6">
      <w:pPr>
        <w:jc w:val="both"/>
        <w:rPr>
          <w:rFonts w:cs="Helvetica"/>
          <w:color w:val="000000"/>
          <w:lang w:val="en-PH" w:eastAsia="en-PH"/>
        </w:rPr>
      </w:pPr>
    </w:p>
    <w:p w14:paraId="4C88A274" w14:textId="77777777" w:rsidR="00A33B0D" w:rsidRPr="0089437F" w:rsidRDefault="00A33B0D" w:rsidP="00DB67C6">
      <w:pPr>
        <w:pStyle w:val="Body"/>
        <w:rPr>
          <w:rFonts w:cs="Helvetica"/>
        </w:rPr>
      </w:pPr>
      <w:proofErr w:type="spellStart"/>
      <w:r w:rsidRPr="00DB67C6">
        <w:rPr>
          <w:rFonts w:cs="Helvetica"/>
        </w:rPr>
        <w:t>Ameha</w:t>
      </w:r>
      <w:proofErr w:type="spellEnd"/>
      <w:r w:rsidRPr="00DB67C6">
        <w:rPr>
          <w:rFonts w:cs="Helvetica"/>
        </w:rPr>
        <w:t xml:space="preserve">, A., Larsen, H. O., &amp; </w:t>
      </w:r>
      <w:proofErr w:type="spellStart"/>
      <w:r w:rsidRPr="00DB67C6">
        <w:rPr>
          <w:rFonts w:cs="Helvetica"/>
        </w:rPr>
        <w:t>Lemenih</w:t>
      </w:r>
      <w:proofErr w:type="spellEnd"/>
      <w:r w:rsidRPr="00DB67C6">
        <w:rPr>
          <w:rFonts w:cs="Helvetica"/>
        </w:rPr>
        <w:t>, M. (2014). Participatory Forest Management in Ethiopia: Learning from Pilot Projects. Environmental Management, 53(4), 838–854. https://doi.org/10.1007/s00267-014-0243-9</w:t>
      </w:r>
    </w:p>
    <w:p w14:paraId="30CD0832" w14:textId="77777777" w:rsidR="00A33B0D" w:rsidRPr="0089437F" w:rsidRDefault="00A33B0D" w:rsidP="00DB67C6">
      <w:pPr>
        <w:pStyle w:val="Body"/>
        <w:rPr>
          <w:rFonts w:cs="Helvetica"/>
        </w:rPr>
      </w:pPr>
      <w:r w:rsidRPr="00DB67C6">
        <w:rPr>
          <w:rFonts w:cs="Helvetica"/>
        </w:rPr>
        <w:lastRenderedPageBreak/>
        <w:t xml:space="preserve">Begum, F., Lobry, L., Kristiansen, P., &amp; Mohammad Amirul Islam. (2024). What factors influence women’s participation in co-management? A case study of </w:t>
      </w:r>
      <w:proofErr w:type="spellStart"/>
      <w:r w:rsidRPr="00DB67C6">
        <w:rPr>
          <w:rFonts w:cs="Helvetica"/>
        </w:rPr>
        <w:t>Sundarban</w:t>
      </w:r>
      <w:proofErr w:type="spellEnd"/>
      <w:r w:rsidRPr="00DB67C6">
        <w:rPr>
          <w:rFonts w:cs="Helvetica"/>
        </w:rPr>
        <w:t xml:space="preserve"> mangrove forest management in Bangladesh. Journal of Environmental Planning and Management, 1–26. https://doi.org/10.1080/09640568.2024.2346600</w:t>
      </w:r>
    </w:p>
    <w:p w14:paraId="44C027A7" w14:textId="77777777" w:rsidR="00A33B0D" w:rsidRDefault="00A33B0D" w:rsidP="00DB67C6">
      <w:pPr>
        <w:jc w:val="both"/>
        <w:rPr>
          <w:rFonts w:cs="Helvetica"/>
          <w:color w:val="000000"/>
          <w:lang w:val="en-PH" w:eastAsia="en-PH"/>
        </w:rPr>
      </w:pPr>
      <w:r w:rsidRPr="00DB67C6">
        <w:rPr>
          <w:rFonts w:cs="Helvetica"/>
          <w:color w:val="000000"/>
          <w:lang w:val="en-PH" w:eastAsia="en-PH"/>
        </w:rPr>
        <w:t xml:space="preserve">Bilal Ahmad Bhat, &amp; </w:t>
      </w:r>
      <w:proofErr w:type="spellStart"/>
      <w:r w:rsidRPr="00DB67C6">
        <w:rPr>
          <w:rFonts w:cs="Helvetica"/>
          <w:color w:val="000000"/>
          <w:lang w:val="en-PH" w:eastAsia="en-PH"/>
        </w:rPr>
        <w:t>Samreena</w:t>
      </w:r>
      <w:proofErr w:type="spellEnd"/>
      <w:r w:rsidRPr="00DB67C6">
        <w:rPr>
          <w:rFonts w:cs="Helvetica"/>
          <w:color w:val="000000"/>
          <w:lang w:val="en-PH" w:eastAsia="en-PH"/>
        </w:rPr>
        <w:t xml:space="preserve"> </w:t>
      </w:r>
      <w:proofErr w:type="spellStart"/>
      <w:r w:rsidRPr="00DB67C6">
        <w:rPr>
          <w:rFonts w:cs="Helvetica"/>
          <w:color w:val="000000"/>
          <w:lang w:val="en-PH" w:eastAsia="en-PH"/>
        </w:rPr>
        <w:t>Aushiq</w:t>
      </w:r>
      <w:proofErr w:type="spellEnd"/>
      <w:r w:rsidRPr="00DB67C6">
        <w:rPr>
          <w:rFonts w:cs="Helvetica"/>
          <w:color w:val="000000"/>
          <w:lang w:val="en-PH" w:eastAsia="en-PH"/>
        </w:rPr>
        <w:t>. (2023). A Study on Role of Rural Women of District Anantnag of Kashmir Valley in Natural Resource Management. Journal of Women Empowerment and Studies, 41, 18–28. https://doi.org/10.55529/jwes.41.18.28</w:t>
      </w:r>
    </w:p>
    <w:p w14:paraId="7FBB6377" w14:textId="77777777" w:rsidR="00A33B0D" w:rsidRDefault="00A33B0D" w:rsidP="00DB67C6">
      <w:pPr>
        <w:jc w:val="both"/>
        <w:rPr>
          <w:rFonts w:cs="Helvetica"/>
          <w:color w:val="000000"/>
          <w:lang w:val="en-PH" w:eastAsia="en-PH"/>
        </w:rPr>
      </w:pPr>
    </w:p>
    <w:p w14:paraId="1ABE0212" w14:textId="77777777" w:rsidR="00A33B0D" w:rsidRPr="0089437F" w:rsidRDefault="00A33B0D" w:rsidP="00DB67C6">
      <w:pPr>
        <w:pStyle w:val="Body"/>
        <w:rPr>
          <w:rFonts w:cs="Helvetica"/>
        </w:rPr>
      </w:pPr>
      <w:r w:rsidRPr="00DB67C6">
        <w:rPr>
          <w:rFonts w:cs="Helvetica"/>
        </w:rPr>
        <w:t xml:space="preserve">Dalton, E. M., Mckenzie, J. A., &amp; </w:t>
      </w:r>
      <w:proofErr w:type="spellStart"/>
      <w:r w:rsidRPr="00DB67C6">
        <w:rPr>
          <w:rFonts w:cs="Helvetica"/>
        </w:rPr>
        <w:t>Kahonde</w:t>
      </w:r>
      <w:proofErr w:type="spellEnd"/>
      <w:r w:rsidRPr="00DB67C6">
        <w:rPr>
          <w:rFonts w:cs="Helvetica"/>
        </w:rPr>
        <w:t>, C. (2012). The implementation of inclusive education in South Africa: Reflections arising from a workshop for teachers and therapists to introduce Universal Design for Learning. African Journal of Disability, 1(1). https://doi.org/10.4102/ajod.v1i1.13</w:t>
      </w:r>
    </w:p>
    <w:p w14:paraId="06621C33" w14:textId="30737D3D" w:rsidR="00A33B0D" w:rsidRPr="0089437F" w:rsidRDefault="00A33B0D" w:rsidP="00DB67C6">
      <w:pPr>
        <w:pStyle w:val="Body"/>
        <w:rPr>
          <w:rFonts w:cs="Helvetica"/>
        </w:rPr>
      </w:pPr>
      <w:r w:rsidRPr="00DB67C6">
        <w:rPr>
          <w:rFonts w:cs="Helvetica"/>
        </w:rPr>
        <w:t xml:space="preserve">De Koning, M., &amp; </w:t>
      </w:r>
      <w:proofErr w:type="spellStart"/>
      <w:r w:rsidRPr="00DB67C6">
        <w:rPr>
          <w:rFonts w:cs="Helvetica"/>
        </w:rPr>
        <w:t>Avramoski</w:t>
      </w:r>
      <w:proofErr w:type="spellEnd"/>
      <w:r w:rsidRPr="00DB67C6">
        <w:rPr>
          <w:rFonts w:cs="Helvetica"/>
        </w:rPr>
        <w:t>, O. (). The Importance of Partnerships for Effective Protected Area Management. https://www.pont.org/wp-content/uploads/2021/08/The-importance-of-partnerships-for-PA-management.pdf</w:t>
      </w:r>
    </w:p>
    <w:p w14:paraId="7CE071B8" w14:textId="77777777" w:rsidR="00A33B0D" w:rsidRPr="0089437F" w:rsidRDefault="00A33B0D" w:rsidP="00DB67C6">
      <w:pPr>
        <w:pStyle w:val="Body"/>
        <w:rPr>
          <w:rFonts w:cs="Helvetica"/>
        </w:rPr>
      </w:pPr>
      <w:r w:rsidRPr="00DB67C6">
        <w:rPr>
          <w:rFonts w:cs="Helvetica"/>
        </w:rPr>
        <w:t xml:space="preserve">de Vente, J., Reed, M. S., Stringer, L. C., Valente, S., &amp; </w:t>
      </w:r>
      <w:proofErr w:type="spellStart"/>
      <w:r w:rsidRPr="00DB67C6">
        <w:rPr>
          <w:rFonts w:cs="Helvetica"/>
        </w:rPr>
        <w:t>Newig</w:t>
      </w:r>
      <w:proofErr w:type="spellEnd"/>
      <w:r w:rsidRPr="00DB67C6">
        <w:rPr>
          <w:rFonts w:cs="Helvetica"/>
        </w:rPr>
        <w:t>, J. (2016). How does the context and design of participatory decision making processes affect their outcomes? Evidence from sustainable land management in global drylands. Ecology and Society, 21(2). https://www.jstor.org/stable/26270377</w:t>
      </w:r>
    </w:p>
    <w:p w14:paraId="0A33017E" w14:textId="77777777" w:rsidR="00A33B0D" w:rsidRPr="0089437F" w:rsidRDefault="00A33B0D" w:rsidP="00E9114D">
      <w:pPr>
        <w:pStyle w:val="Body"/>
        <w:rPr>
          <w:rFonts w:cs="Helvetica"/>
        </w:rPr>
      </w:pPr>
      <w:r w:rsidRPr="00E9114D">
        <w:rPr>
          <w:rFonts w:cs="Helvetica"/>
        </w:rPr>
        <w:t>Di Chiro, G. (2008). Living environmentalisms: coalition politics, social reproduction, and environmental justice. Environmental Politics, 17(2), 276–298. https://doi.org/10.1080/09644010801936230</w:t>
      </w:r>
    </w:p>
    <w:p w14:paraId="0C9C0844" w14:textId="77777777" w:rsidR="00A33B0D" w:rsidRDefault="00A33B0D" w:rsidP="00A82F14">
      <w:pPr>
        <w:pStyle w:val="Body"/>
        <w:rPr>
          <w:rStyle w:val="Hyperlink"/>
          <w:rFonts w:cs="Helvetica"/>
        </w:rPr>
      </w:pPr>
      <w:r w:rsidRPr="0089437F">
        <w:rPr>
          <w:rFonts w:cs="Helvetica"/>
        </w:rPr>
        <w:t xml:space="preserve">Gonzalez, A. M., &amp; Martin, A. S. (2007). </w:t>
      </w:r>
      <w:r w:rsidRPr="0089437F">
        <w:rPr>
          <w:rFonts w:cs="Helvetica"/>
          <w:iCs/>
        </w:rPr>
        <w:t>Gender in the conservation of protected areas.</w:t>
      </w:r>
      <w:r w:rsidRPr="0089437F">
        <w:rPr>
          <w:rFonts w:cs="Helvetica"/>
        </w:rPr>
        <w:t xml:space="preserve"> </w:t>
      </w:r>
      <w:hyperlink r:id="rId27" w:history="1">
        <w:r w:rsidRPr="00E83C4D">
          <w:rPr>
            <w:rStyle w:val="Hyperlink"/>
            <w:rFonts w:cs="Helvetica"/>
            <w:color w:val="auto"/>
            <w:u w:val="none"/>
          </w:rPr>
          <w:t>https://paperzz.com/doc/9307527</w:t>
        </w:r>
      </w:hyperlink>
    </w:p>
    <w:p w14:paraId="58F5C12A" w14:textId="3AE77DA7" w:rsidR="00A33B0D" w:rsidRDefault="00A33B0D" w:rsidP="00F25CC1">
      <w:pPr>
        <w:jc w:val="both"/>
      </w:pPr>
      <w:r w:rsidRPr="00F25CC1">
        <w:t xml:space="preserve">Gutierrez, J. T., </w:t>
      </w:r>
      <w:proofErr w:type="spellStart"/>
      <w:r w:rsidRPr="00F25CC1">
        <w:t>Escultor</w:t>
      </w:r>
      <w:proofErr w:type="spellEnd"/>
      <w:r w:rsidRPr="00F25CC1">
        <w:t xml:space="preserve">, A. D. L., Dela Cruz, M. C., &amp; Cortado, J. M. G. (2025). </w:t>
      </w:r>
      <w:r w:rsidRPr="00E83C4D">
        <w:rPr>
          <w:rStyle w:val="Emphasis"/>
          <w:i w:val="0"/>
          <w:iCs w:val="0"/>
        </w:rPr>
        <w:t xml:space="preserve">Gender participation in the management of Mt. </w:t>
      </w:r>
      <w:proofErr w:type="spellStart"/>
      <w:r w:rsidRPr="00E83C4D">
        <w:rPr>
          <w:rStyle w:val="Emphasis"/>
          <w:i w:val="0"/>
          <w:iCs w:val="0"/>
        </w:rPr>
        <w:t>Calavite</w:t>
      </w:r>
      <w:proofErr w:type="spellEnd"/>
      <w:r w:rsidRPr="00E83C4D">
        <w:rPr>
          <w:rStyle w:val="Emphasis"/>
          <w:i w:val="0"/>
          <w:iCs w:val="0"/>
        </w:rPr>
        <w:t xml:space="preserve"> Wildlife Sanctuary and Mt. </w:t>
      </w:r>
      <w:proofErr w:type="spellStart"/>
      <w:r w:rsidRPr="00E83C4D">
        <w:rPr>
          <w:rStyle w:val="Emphasis"/>
          <w:i w:val="0"/>
          <w:iCs w:val="0"/>
        </w:rPr>
        <w:t>Arayat</w:t>
      </w:r>
      <w:proofErr w:type="spellEnd"/>
      <w:r w:rsidRPr="00E83C4D">
        <w:rPr>
          <w:rStyle w:val="Emphasis"/>
          <w:i w:val="0"/>
          <w:iCs w:val="0"/>
        </w:rPr>
        <w:t xml:space="preserve"> Protected Landscape in the Philippines.</w:t>
      </w:r>
      <w:r w:rsidRPr="00E83C4D">
        <w:rPr>
          <w:i/>
          <w:iCs/>
        </w:rPr>
        <w:t xml:space="preserve"> </w:t>
      </w:r>
      <w:r w:rsidRPr="00E83C4D">
        <w:rPr>
          <w:rStyle w:val="Emphasis"/>
          <w:i w:val="0"/>
          <w:iCs w:val="0"/>
        </w:rPr>
        <w:t>International Journal of Environmental, Sustainability, and Social Science, 6</w:t>
      </w:r>
      <w:r w:rsidRPr="00F25CC1">
        <w:t>(5), 932–942</w:t>
      </w:r>
      <w:r>
        <w:t xml:space="preserve">. </w:t>
      </w:r>
      <w:r w:rsidR="00E95ACF" w:rsidRPr="00E95ACF">
        <w:t>DOI: https://doi.org/10.38142/ijesss.v6i5.1471</w:t>
      </w:r>
    </w:p>
    <w:p w14:paraId="071E53F5" w14:textId="31878A10" w:rsidR="00007833" w:rsidRDefault="00007833" w:rsidP="00F25CC1">
      <w:pPr>
        <w:jc w:val="both"/>
      </w:pPr>
    </w:p>
    <w:p w14:paraId="37C85A29" w14:textId="5EDF0F9D" w:rsidR="00007833" w:rsidRDefault="00007833" w:rsidP="00F25CC1">
      <w:pPr>
        <w:jc w:val="both"/>
      </w:pPr>
      <w:proofErr w:type="spellStart"/>
      <w:proofErr w:type="gramStart"/>
      <w:r>
        <w:t>Hargrove,A</w:t>
      </w:r>
      <w:proofErr w:type="spellEnd"/>
      <w:r>
        <w:t>.</w:t>
      </w:r>
      <w:proofErr w:type="gramEnd"/>
      <w:r>
        <w:t xml:space="preserve">&amp; </w:t>
      </w:r>
      <w:proofErr w:type="spellStart"/>
      <w:r>
        <w:t>Sommer,J.M</w:t>
      </w:r>
      <w:proofErr w:type="spellEnd"/>
      <w:r>
        <w:t>. (2022). Gender-</w:t>
      </w:r>
      <w:proofErr w:type="spellStart"/>
      <w:r>
        <w:t>mainstreaming,governance</w:t>
      </w:r>
      <w:proofErr w:type="spellEnd"/>
      <w:r>
        <w:t xml:space="preserve">, and the </w:t>
      </w:r>
      <w:proofErr w:type="spellStart"/>
      <w:r>
        <w:t>environment:An</w:t>
      </w:r>
      <w:proofErr w:type="spellEnd"/>
      <w:r>
        <w:t xml:space="preserve"> analysis of forest </w:t>
      </w:r>
      <w:proofErr w:type="spellStart"/>
      <w:r>
        <w:t>loss.Environmental</w:t>
      </w:r>
      <w:proofErr w:type="spellEnd"/>
      <w:r>
        <w:t xml:space="preserve"> Sociology,8(4),484-497.</w:t>
      </w:r>
      <w:hyperlink r:id="rId28" w:history="1">
        <w:r w:rsidRPr="00007833">
          <w:rPr>
            <w:rStyle w:val="Hyperlink"/>
            <w:color w:val="000000" w:themeColor="text1"/>
            <w:u w:val="none"/>
          </w:rPr>
          <w:t>https://www.tandfonline.com/doi/full/10.1080/23251042.2022.2065428</w:t>
        </w:r>
      </w:hyperlink>
    </w:p>
    <w:p w14:paraId="78A5AD4B" w14:textId="77777777" w:rsidR="00A33B0D" w:rsidRDefault="00A33B0D" w:rsidP="00F25CC1">
      <w:pPr>
        <w:jc w:val="both"/>
      </w:pPr>
    </w:p>
    <w:p w14:paraId="67004564" w14:textId="77777777" w:rsidR="00A33B0D" w:rsidRPr="0089437F" w:rsidRDefault="00A33B0D" w:rsidP="00E83C4D">
      <w:pPr>
        <w:pStyle w:val="Body"/>
        <w:rPr>
          <w:rFonts w:cs="Helvetica"/>
        </w:rPr>
      </w:pPr>
      <w:proofErr w:type="spellStart"/>
      <w:r w:rsidRPr="00E83C4D">
        <w:rPr>
          <w:rFonts w:cs="Helvetica"/>
        </w:rPr>
        <w:t>Jeevanasai</w:t>
      </w:r>
      <w:proofErr w:type="spellEnd"/>
      <w:r w:rsidRPr="00E83C4D">
        <w:rPr>
          <w:rFonts w:cs="Helvetica"/>
        </w:rPr>
        <w:t xml:space="preserve">, S. A., </w:t>
      </w:r>
      <w:proofErr w:type="spellStart"/>
      <w:r w:rsidRPr="00E83C4D">
        <w:rPr>
          <w:rFonts w:cs="Helvetica"/>
        </w:rPr>
        <w:t>Saole</w:t>
      </w:r>
      <w:proofErr w:type="spellEnd"/>
      <w:r w:rsidRPr="00E83C4D">
        <w:rPr>
          <w:rFonts w:cs="Helvetica"/>
        </w:rPr>
        <w:t>, P., Rath, A., Singh, S., Rai, S., &amp; Kumar, M. (2023). Shades &amp; shines of gender equality with respect to sustainable development goals (SDGs): The environmental performance perspectives. Total Environment Research Themes, 8, 100082–100082. https://doi.org/10.1016/j.totert.2023.100082</w:t>
      </w:r>
    </w:p>
    <w:p w14:paraId="10730511" w14:textId="7F793B05" w:rsidR="00A33B0D" w:rsidRPr="009C0C45" w:rsidRDefault="00A33B0D" w:rsidP="00A82F14">
      <w:pPr>
        <w:pStyle w:val="Body"/>
        <w:rPr>
          <w:color w:val="000000" w:themeColor="text1"/>
        </w:rPr>
      </w:pPr>
      <w:r w:rsidRPr="00E83C4D">
        <w:rPr>
          <w:rFonts w:cs="Helvetica"/>
        </w:rPr>
        <w:t>Kaur, N., &amp; Arora, P. (2020). Acknowledging Gender Diversity and Inclusion as a Key to Organizational Growth: A Review and Trends. Journal Of Critical Reviews, 7(6), 125-131.</w:t>
      </w:r>
      <w:r w:rsidRPr="0089437F">
        <w:rPr>
          <w:rFonts w:cs="Helvetica"/>
        </w:rPr>
        <w:t xml:space="preserve"> </w:t>
      </w:r>
      <w:hyperlink r:id="rId29" w:history="1">
        <w:r w:rsidR="009C0C45" w:rsidRPr="009C0C45">
          <w:rPr>
            <w:rStyle w:val="Hyperlink"/>
            <w:color w:val="000000" w:themeColor="text1"/>
            <w:u w:val="none"/>
          </w:rPr>
          <w:t>http://researchrepository.napier.ac.uk/Output/4189659</w:t>
        </w:r>
      </w:hyperlink>
    </w:p>
    <w:p w14:paraId="7B5ED822" w14:textId="1731D613" w:rsidR="009C0C45" w:rsidRDefault="009C0C45" w:rsidP="009C0C45">
      <w:pPr>
        <w:jc w:val="both"/>
        <w:rPr>
          <w:rStyle w:val="Hyperlink"/>
          <w:color w:val="000000" w:themeColor="text1"/>
          <w:u w:val="none"/>
        </w:rPr>
      </w:pPr>
      <w:proofErr w:type="spellStart"/>
      <w:proofErr w:type="gramStart"/>
      <w:r>
        <w:t>Lau,J.D</w:t>
      </w:r>
      <w:proofErr w:type="spellEnd"/>
      <w:r>
        <w:t>.</w:t>
      </w:r>
      <w:proofErr w:type="gramEnd"/>
      <w:r>
        <w:t>(2020). Three lessons for gender equity in biodiversity conservation. Conservation Biology,34 (6),1589-1591</w:t>
      </w:r>
      <w:r w:rsidRPr="009C0C45">
        <w:rPr>
          <w:color w:val="000000" w:themeColor="text1"/>
        </w:rPr>
        <w:t>.</w:t>
      </w:r>
      <w:bookmarkStart w:id="4" w:name="_GoBack"/>
      <w:r w:rsidR="0084338F">
        <w:fldChar w:fldCharType="begin"/>
      </w:r>
      <w:r w:rsidR="0084338F">
        <w:instrText xml:space="preserve"> HYPERLINK "https://pmc.ncbi.nlm.nih.gov/articles/PMC7754110/" </w:instrText>
      </w:r>
      <w:r w:rsidR="0084338F">
        <w:fldChar w:fldCharType="separate"/>
      </w:r>
      <w:r w:rsidRPr="009C0C45">
        <w:rPr>
          <w:rStyle w:val="Hyperlink"/>
          <w:color w:val="000000" w:themeColor="text1"/>
          <w:u w:val="none"/>
        </w:rPr>
        <w:t>https://pmc.ncbi.nlm.nih.gov/articles/PMC7754110/</w:t>
      </w:r>
      <w:r w:rsidR="0084338F">
        <w:rPr>
          <w:rStyle w:val="Hyperlink"/>
          <w:color w:val="000000" w:themeColor="text1"/>
          <w:u w:val="none"/>
        </w:rPr>
        <w:fldChar w:fldCharType="end"/>
      </w:r>
      <w:bookmarkEnd w:id="4"/>
    </w:p>
    <w:p w14:paraId="6DEE5AA3" w14:textId="77777777" w:rsidR="009C0C45" w:rsidRPr="009C0C45" w:rsidRDefault="009C0C45" w:rsidP="009C0C45">
      <w:pPr>
        <w:jc w:val="both"/>
      </w:pPr>
    </w:p>
    <w:p w14:paraId="27961AB2" w14:textId="77777777" w:rsidR="00A33B0D" w:rsidRPr="0089437F" w:rsidRDefault="00A33B0D" w:rsidP="00E83C4D">
      <w:pPr>
        <w:pStyle w:val="Body"/>
        <w:rPr>
          <w:rFonts w:cs="Helvetica"/>
        </w:rPr>
      </w:pPr>
      <w:r w:rsidRPr="00A33B0D">
        <w:rPr>
          <w:rFonts w:cs="Helvetica"/>
        </w:rPr>
        <w:t>Manfre, C.</w:t>
      </w:r>
      <w:r>
        <w:rPr>
          <w:rFonts w:cs="Helvetica"/>
        </w:rPr>
        <w:t xml:space="preserve"> &amp; </w:t>
      </w:r>
      <w:r w:rsidRPr="00A33B0D">
        <w:rPr>
          <w:rFonts w:cs="Helvetica"/>
        </w:rPr>
        <w:t>Rubin, D</w:t>
      </w:r>
      <w:r w:rsidRPr="00E83C4D">
        <w:rPr>
          <w:rFonts w:cs="Helvetica"/>
        </w:rPr>
        <w:t xml:space="preserve">. (2012). Integrating gender into forestry research: A guide for CIFOR scientists and </w:t>
      </w:r>
      <w:proofErr w:type="spellStart"/>
      <w:r w:rsidRPr="00E83C4D">
        <w:rPr>
          <w:rFonts w:cs="Helvetica"/>
        </w:rPr>
        <w:t>programme</w:t>
      </w:r>
      <w:proofErr w:type="spellEnd"/>
      <w:r w:rsidRPr="00E83C4D">
        <w:rPr>
          <w:rFonts w:cs="Helvetica"/>
        </w:rPr>
        <w:t xml:space="preserve"> administrators. https://doi.org/10.17528/cifor/003892</w:t>
      </w:r>
    </w:p>
    <w:p w14:paraId="448AD703" w14:textId="77777777" w:rsidR="00A33B0D" w:rsidRPr="0089437F" w:rsidRDefault="00A33B0D" w:rsidP="00A82F14">
      <w:pPr>
        <w:pStyle w:val="Body"/>
        <w:rPr>
          <w:rFonts w:cs="Helvetica"/>
        </w:rPr>
      </w:pPr>
      <w:r w:rsidRPr="0089437F">
        <w:rPr>
          <w:rFonts w:cs="Helvetica"/>
        </w:rPr>
        <w:lastRenderedPageBreak/>
        <w:t xml:space="preserve">Martin, A. (2007). </w:t>
      </w:r>
      <w:r w:rsidRPr="0089437F">
        <w:rPr>
          <w:rFonts w:cs="Helvetica"/>
          <w:iCs/>
        </w:rPr>
        <w:t>Gender in the conservation of protected areas</w:t>
      </w:r>
      <w:r w:rsidRPr="0089437F">
        <w:rPr>
          <w:rFonts w:cs="Helvetica"/>
          <w:i/>
          <w:iCs/>
        </w:rPr>
        <w:t>.</w:t>
      </w:r>
      <w:r w:rsidRPr="0089437F">
        <w:rPr>
          <w:rFonts w:cs="Helvetica"/>
        </w:rPr>
        <w:t xml:space="preserve"> </w:t>
      </w:r>
      <w:hyperlink r:id="rId30" w:tgtFrame="_new" w:history="1">
        <w:r w:rsidRPr="00FB0A59">
          <w:rPr>
            <w:rStyle w:val="Hyperlink"/>
            <w:rFonts w:cs="Helvetica"/>
            <w:color w:val="auto"/>
            <w:u w:val="none"/>
          </w:rPr>
          <w:t>https://www.cbd.int/doc/pa/tols/Gender%20in%20the%20conservation%20of%20protected%20areas.pdf</w:t>
        </w:r>
      </w:hyperlink>
    </w:p>
    <w:p w14:paraId="1D675859" w14:textId="77777777" w:rsidR="00A33B0D" w:rsidRPr="0089437F" w:rsidRDefault="00A33B0D" w:rsidP="00E83C4D">
      <w:pPr>
        <w:pStyle w:val="Body"/>
        <w:rPr>
          <w:rFonts w:cs="Helvetica"/>
        </w:rPr>
      </w:pPr>
      <w:proofErr w:type="spellStart"/>
      <w:r w:rsidRPr="00E83C4D">
        <w:rPr>
          <w:rFonts w:cs="Helvetica"/>
        </w:rPr>
        <w:t>Masagca</w:t>
      </w:r>
      <w:proofErr w:type="spellEnd"/>
      <w:r w:rsidRPr="00E83C4D">
        <w:rPr>
          <w:rFonts w:cs="Helvetica"/>
        </w:rPr>
        <w:t>, J. (2018). Stakeholder management in marine protected areas. Kuroshio Science</w:t>
      </w:r>
      <w:r>
        <w:rPr>
          <w:rFonts w:cs="Helvetica"/>
        </w:rPr>
        <w:t>,</w:t>
      </w:r>
      <w:r w:rsidRPr="00E83C4D">
        <w:rPr>
          <w:rFonts w:cs="Helvetica"/>
        </w:rPr>
        <w:t xml:space="preserve"> 12</w:t>
      </w:r>
      <w:r>
        <w:rPr>
          <w:rFonts w:cs="Helvetica"/>
        </w:rPr>
        <w:t>(</w:t>
      </w:r>
      <w:r w:rsidRPr="00E83C4D">
        <w:rPr>
          <w:rFonts w:cs="Helvetica"/>
        </w:rPr>
        <w:t>1</w:t>
      </w:r>
      <w:r>
        <w:rPr>
          <w:rFonts w:cs="Helvetica"/>
        </w:rPr>
        <w:t>)</w:t>
      </w:r>
      <w:r w:rsidRPr="00E83C4D">
        <w:rPr>
          <w:rFonts w:cs="Helvetica"/>
        </w:rPr>
        <w:t>, 63-71</w:t>
      </w:r>
      <w:r>
        <w:rPr>
          <w:rFonts w:cs="Helvetica"/>
        </w:rPr>
        <w:t xml:space="preserve">. </w:t>
      </w:r>
    </w:p>
    <w:p w14:paraId="20B50209" w14:textId="77777777" w:rsidR="00A33B0D" w:rsidRPr="00FB0A59" w:rsidRDefault="00A33B0D" w:rsidP="00FB0A59">
      <w:pPr>
        <w:pStyle w:val="Body"/>
        <w:rPr>
          <w:rFonts w:cs="Helvetica"/>
        </w:rPr>
      </w:pPr>
      <w:r w:rsidRPr="00FB0A59">
        <w:rPr>
          <w:rFonts w:cs="Helvetica"/>
        </w:rPr>
        <w:t>Muiruri, P. (2024, January 31). “We said, there must be ladies”: the pioneering Maasai women ending all-male leadership of the land. The Guardian. https://www.theguardian.com/environment/2024/jan/31/maasai-women-kenyan-wildlife-reserve</w:t>
      </w:r>
    </w:p>
    <w:p w14:paraId="5B1BD37B" w14:textId="77777777" w:rsidR="00A33B0D" w:rsidRPr="0089437F" w:rsidRDefault="00A33B0D" w:rsidP="00FB0A59">
      <w:pPr>
        <w:pStyle w:val="Body"/>
        <w:rPr>
          <w:rFonts w:cs="Helvetica"/>
        </w:rPr>
      </w:pPr>
      <w:r w:rsidRPr="00FB0A59">
        <w:rPr>
          <w:rFonts w:cs="Helvetica"/>
        </w:rPr>
        <w:t xml:space="preserve">Ota, L., Gun </w:t>
      </w:r>
      <w:proofErr w:type="spellStart"/>
      <w:r w:rsidRPr="00FB0A59">
        <w:rPr>
          <w:rFonts w:cs="Helvetica"/>
        </w:rPr>
        <w:t>Lidestav</w:t>
      </w:r>
      <w:proofErr w:type="spellEnd"/>
      <w:r w:rsidRPr="00FB0A59">
        <w:rPr>
          <w:rFonts w:cs="Helvetica"/>
        </w:rPr>
        <w:t xml:space="preserve">, Andersson, E., Page, T., Curnow, J., Nunes, L., </w:t>
      </w:r>
      <w:proofErr w:type="spellStart"/>
      <w:r w:rsidRPr="00FB0A59">
        <w:rPr>
          <w:rFonts w:cs="Helvetica"/>
        </w:rPr>
        <w:t>Goltiano</w:t>
      </w:r>
      <w:proofErr w:type="spellEnd"/>
      <w:r w:rsidRPr="00FB0A59">
        <w:rPr>
          <w:rFonts w:cs="Helvetica"/>
        </w:rPr>
        <w:t xml:space="preserve">, H., Gregorio, N., Ferreira, N., &amp; </w:t>
      </w:r>
      <w:proofErr w:type="spellStart"/>
      <w:r w:rsidRPr="00FB0A59">
        <w:rPr>
          <w:rFonts w:cs="Helvetica"/>
        </w:rPr>
        <w:t>Herbohn</w:t>
      </w:r>
      <w:proofErr w:type="spellEnd"/>
      <w:r w:rsidRPr="00FB0A59">
        <w:rPr>
          <w:rFonts w:cs="Helvetica"/>
        </w:rPr>
        <w:t>, J. (2024). Reviewing gender roles, relations, and perspectives in small-scale and community forestry – implications for policy and practice. Forest Policy and Economics, 161, 103167–103167. https://doi.org/10.1016/j.forpol.2024.103167</w:t>
      </w:r>
    </w:p>
    <w:p w14:paraId="558D0912" w14:textId="77777777" w:rsidR="00A33B0D" w:rsidRPr="0089437F" w:rsidRDefault="00A33B0D" w:rsidP="00A82F14">
      <w:pPr>
        <w:pStyle w:val="Body"/>
        <w:rPr>
          <w:rFonts w:cs="Helvetica"/>
        </w:rPr>
      </w:pPr>
      <w:proofErr w:type="spellStart"/>
      <w:r w:rsidRPr="0089437F">
        <w:rPr>
          <w:rFonts w:cs="Helvetica"/>
        </w:rPr>
        <w:t>Recabar</w:t>
      </w:r>
      <w:proofErr w:type="spellEnd"/>
      <w:r w:rsidRPr="0089437F">
        <w:rPr>
          <w:rFonts w:cs="Helvetica"/>
        </w:rPr>
        <w:t xml:space="preserve">, S. G., Francisco, J. M. S., &amp; </w:t>
      </w:r>
      <w:proofErr w:type="spellStart"/>
      <w:r w:rsidRPr="0089437F">
        <w:rPr>
          <w:rFonts w:cs="Helvetica"/>
        </w:rPr>
        <w:t>Merilo</w:t>
      </w:r>
      <w:proofErr w:type="spellEnd"/>
      <w:r w:rsidRPr="0089437F">
        <w:rPr>
          <w:rFonts w:cs="Helvetica"/>
        </w:rPr>
        <w:t xml:space="preserve">, M. M. (2019). </w:t>
      </w:r>
      <w:r w:rsidRPr="0089437F">
        <w:rPr>
          <w:rFonts w:cs="Helvetica"/>
          <w:iCs/>
        </w:rPr>
        <w:t>Climate Change Commission</w:t>
      </w:r>
      <w:r w:rsidRPr="0089437F">
        <w:rPr>
          <w:rFonts w:cs="Helvetica"/>
          <w:i/>
          <w:iCs/>
        </w:rPr>
        <w:t xml:space="preserve"> </w:t>
      </w:r>
      <w:r w:rsidRPr="0089437F">
        <w:rPr>
          <w:rFonts w:cs="Helvetica"/>
          <w:iCs/>
        </w:rPr>
        <w:t>gender mainstreaming report</w:t>
      </w:r>
      <w:r w:rsidRPr="0089437F">
        <w:rPr>
          <w:rFonts w:cs="Helvetica"/>
          <w:i/>
        </w:rPr>
        <w:t>.</w:t>
      </w:r>
      <w:r w:rsidRPr="0089437F">
        <w:rPr>
          <w:rFonts w:cs="Helvetica"/>
        </w:rPr>
        <w:t xml:space="preserve"> </w:t>
      </w:r>
      <w:hyperlink r:id="rId31" w:tgtFrame="_new" w:history="1">
        <w:r w:rsidRPr="00FB0A59">
          <w:rPr>
            <w:rStyle w:val="Hyperlink"/>
            <w:rFonts w:cs="Helvetica"/>
            <w:color w:val="auto"/>
            <w:u w:val="none"/>
          </w:rPr>
          <w:t>https://www.climate.gov.ph/public/ckfinder/userfiles/files/Knowledge/AR/GMEF%20Report%202019.pdf</w:t>
        </w:r>
      </w:hyperlink>
    </w:p>
    <w:p w14:paraId="1EA1ED41" w14:textId="77777777" w:rsidR="00A33B0D" w:rsidRPr="0089437F" w:rsidRDefault="00A33B0D" w:rsidP="00FB0A59">
      <w:pPr>
        <w:pStyle w:val="Body"/>
        <w:rPr>
          <w:rFonts w:cs="Helvetica"/>
        </w:rPr>
      </w:pPr>
      <w:r w:rsidRPr="00FB0A59">
        <w:rPr>
          <w:rFonts w:cs="Helvetica"/>
        </w:rPr>
        <w:t>Reed, M. S. (2008). Stakeholder participation for environmental management: A literature review. Biological Conservation, 141(10), 2417–2431. https://doi.org/10.1016/j.biocon.2008.07.014</w:t>
      </w:r>
    </w:p>
    <w:p w14:paraId="451797CD" w14:textId="77777777" w:rsidR="00A33B0D" w:rsidRPr="0089437F" w:rsidRDefault="00A33B0D" w:rsidP="00FB0A59">
      <w:pPr>
        <w:pStyle w:val="Body"/>
        <w:rPr>
          <w:rFonts w:cs="Helvetica"/>
        </w:rPr>
      </w:pPr>
      <w:r w:rsidRPr="00FB0A59">
        <w:rPr>
          <w:rFonts w:cs="Helvetica"/>
        </w:rPr>
        <w:t>Richardson, M. L., Milton, A. D., &amp; Harrison, E. (2020). People with Different Educational Attainment in Washington, DC, USA have Differential Knowledge and Perceptions about Environmental Issues. Sustainability, 12(5), 2063. https://doi.org/10.3390/su12052063</w:t>
      </w:r>
    </w:p>
    <w:p w14:paraId="35276E5D" w14:textId="76A8AC0E" w:rsidR="00A33B0D" w:rsidRPr="0089437F" w:rsidRDefault="00A33B0D" w:rsidP="00FB0A59">
      <w:pPr>
        <w:pStyle w:val="Body"/>
        <w:rPr>
          <w:rFonts w:cs="Helvetica"/>
        </w:rPr>
      </w:pPr>
      <w:proofErr w:type="spellStart"/>
      <w:r w:rsidRPr="00FB0A59">
        <w:rPr>
          <w:rFonts w:cs="Helvetica"/>
        </w:rPr>
        <w:t>Sirgy</w:t>
      </w:r>
      <w:proofErr w:type="spellEnd"/>
      <w:r w:rsidRPr="00FB0A59">
        <w:rPr>
          <w:rFonts w:cs="Helvetica"/>
        </w:rPr>
        <w:t>, M. J., &amp; Lee, D.</w:t>
      </w:r>
      <w:r>
        <w:rPr>
          <w:rFonts w:cs="Helvetica"/>
        </w:rPr>
        <w:t xml:space="preserve"> </w:t>
      </w:r>
      <w:r w:rsidRPr="00FB0A59">
        <w:rPr>
          <w:rFonts w:cs="Helvetica"/>
        </w:rPr>
        <w:t xml:space="preserve">J. (2017). Work-Life Balance: </w:t>
      </w:r>
      <w:proofErr w:type="gramStart"/>
      <w:r w:rsidRPr="00FB0A59">
        <w:rPr>
          <w:rFonts w:cs="Helvetica"/>
        </w:rPr>
        <w:t>an</w:t>
      </w:r>
      <w:proofErr w:type="gramEnd"/>
      <w:r w:rsidRPr="00FB0A59">
        <w:rPr>
          <w:rFonts w:cs="Helvetica"/>
        </w:rPr>
        <w:t xml:space="preserve"> Integrative Review. Applied Research in Quality of Life, 13(1), 229–254. https://doi.org/10.1007/s11482-017-9509-8</w:t>
      </w:r>
    </w:p>
    <w:p w14:paraId="44C1A5EC" w14:textId="77777777" w:rsidR="00A33B0D" w:rsidRPr="0089437F" w:rsidRDefault="00A33B0D" w:rsidP="00FB0A59">
      <w:pPr>
        <w:pStyle w:val="Body"/>
        <w:rPr>
          <w:rFonts w:cs="Helvetica"/>
        </w:rPr>
      </w:pPr>
      <w:r w:rsidRPr="00FB0A59">
        <w:rPr>
          <w:rFonts w:cs="Helvetica"/>
        </w:rPr>
        <w:t xml:space="preserve">Sterling, E. J., </w:t>
      </w:r>
      <w:proofErr w:type="spellStart"/>
      <w:r w:rsidRPr="00FB0A59">
        <w:rPr>
          <w:rFonts w:cs="Helvetica"/>
        </w:rPr>
        <w:t>Betley</w:t>
      </w:r>
      <w:proofErr w:type="spellEnd"/>
      <w:r w:rsidRPr="00FB0A59">
        <w:rPr>
          <w:rFonts w:cs="Helvetica"/>
        </w:rPr>
        <w:t xml:space="preserve">, E., Sigouin, A., Gomez, A., Toomey, A., Cullman, G., Malone, C., </w:t>
      </w:r>
      <w:proofErr w:type="spellStart"/>
      <w:r w:rsidRPr="00FB0A59">
        <w:rPr>
          <w:rFonts w:cs="Helvetica"/>
        </w:rPr>
        <w:t>Pekor</w:t>
      </w:r>
      <w:proofErr w:type="spellEnd"/>
      <w:r w:rsidRPr="00FB0A59">
        <w:rPr>
          <w:rFonts w:cs="Helvetica"/>
        </w:rPr>
        <w:t xml:space="preserve">, A., </w:t>
      </w:r>
      <w:proofErr w:type="spellStart"/>
      <w:r w:rsidRPr="00FB0A59">
        <w:rPr>
          <w:rFonts w:cs="Helvetica"/>
        </w:rPr>
        <w:t>Arengo</w:t>
      </w:r>
      <w:proofErr w:type="spellEnd"/>
      <w:r w:rsidRPr="00FB0A59">
        <w:rPr>
          <w:rFonts w:cs="Helvetica"/>
        </w:rPr>
        <w:t xml:space="preserve">, F., Blair, M., Filardi, C., Landrigan, K., &amp; </w:t>
      </w:r>
      <w:proofErr w:type="spellStart"/>
      <w:r w:rsidRPr="00FB0A59">
        <w:rPr>
          <w:rFonts w:cs="Helvetica"/>
        </w:rPr>
        <w:t>Porzecanski</w:t>
      </w:r>
      <w:proofErr w:type="spellEnd"/>
      <w:r w:rsidRPr="00FB0A59">
        <w:rPr>
          <w:rFonts w:cs="Helvetica"/>
        </w:rPr>
        <w:t>, A. L. (2017). Assessing the evidence for stakeholder engagement in biodiversity conservation. Biological Conservation, 209(1), 159–171.</w:t>
      </w:r>
    </w:p>
    <w:p w14:paraId="54073B28" w14:textId="77777777" w:rsidR="00A33B0D" w:rsidRPr="0089437F" w:rsidRDefault="00A33B0D" w:rsidP="00FB0A59">
      <w:pPr>
        <w:pStyle w:val="Body"/>
        <w:rPr>
          <w:rFonts w:cs="Helvetica"/>
        </w:rPr>
      </w:pPr>
      <w:proofErr w:type="spellStart"/>
      <w:r w:rsidRPr="00FB0A59">
        <w:rPr>
          <w:rFonts w:cs="Helvetica"/>
        </w:rPr>
        <w:t>Tauli-Corpuz</w:t>
      </w:r>
      <w:proofErr w:type="spellEnd"/>
      <w:r w:rsidRPr="00FB0A59">
        <w:rPr>
          <w:rFonts w:cs="Helvetica"/>
        </w:rPr>
        <w:t>, V., Alcorn, J., Molnar, A., Healy, C., &amp; Barrow, E. (2020). Cornered by PAs: Adopting rights-based approaches to enable cost-effective conservation and climate action. World Development, 130, 1–13. https://doi.org/10.1016/j.worlddev.2020.104923</w:t>
      </w:r>
    </w:p>
    <w:p w14:paraId="34754101" w14:textId="77777777" w:rsidR="00A33B0D" w:rsidRPr="0089437F" w:rsidRDefault="00A33B0D" w:rsidP="00FB0A59">
      <w:pPr>
        <w:pStyle w:val="Body"/>
        <w:rPr>
          <w:rFonts w:cs="Helvetica"/>
        </w:rPr>
      </w:pPr>
      <w:r w:rsidRPr="00FB0A59">
        <w:rPr>
          <w:rFonts w:cs="Helvetica"/>
        </w:rPr>
        <w:t>Thelma, C. C., &amp; Ngulube, L. (2024). Women in Leadership: Examining Barriers to Women’s Advancement in Leadership Positions. Asian Journal of Advanced Research and Reports, 18(6), 273–290. https://doi.org/10.9734/ajarr/2024/v18i6671</w:t>
      </w:r>
    </w:p>
    <w:p w14:paraId="114B842E" w14:textId="233223CA" w:rsidR="00A33B0D" w:rsidRPr="0089437F" w:rsidRDefault="00A33B0D" w:rsidP="00A82F14">
      <w:pPr>
        <w:pStyle w:val="Body"/>
        <w:rPr>
          <w:rFonts w:cs="Helvetica"/>
        </w:rPr>
      </w:pPr>
      <w:r w:rsidRPr="0089437F">
        <w:rPr>
          <w:rFonts w:cs="Helvetica"/>
        </w:rPr>
        <w:t xml:space="preserve">UNEP. (2015). </w:t>
      </w:r>
      <w:r w:rsidRPr="0089437F">
        <w:rPr>
          <w:rFonts w:cs="Helvetica"/>
          <w:iCs/>
        </w:rPr>
        <w:t>Gender equality and environment: Policy and strategy.</w:t>
      </w:r>
      <w:r w:rsidRPr="0089437F">
        <w:rPr>
          <w:rFonts w:cs="Helvetica"/>
        </w:rPr>
        <w:t xml:space="preserve"> </w:t>
      </w:r>
      <w:hyperlink r:id="rId32" w:history="1">
        <w:r w:rsidR="00F91AC5" w:rsidRPr="00EC50C6">
          <w:rPr>
            <w:rStyle w:val="Hyperlink"/>
          </w:rPr>
          <w:t>https://www.humanitarianlibrary.org/sites/default/files/2021/05/-Gender_equality_and_the_environment_Policy_and_strategy-2015Gender_equality_and_the_environment_policy_and_strategy.pdf.pdf</w:t>
        </w:r>
      </w:hyperlink>
      <w:r w:rsidR="00F91AC5">
        <w:t xml:space="preserve"> </w:t>
      </w:r>
    </w:p>
    <w:p w14:paraId="191A90C3" w14:textId="77777777" w:rsidR="00A33B0D" w:rsidRPr="0089437F" w:rsidRDefault="00A33B0D" w:rsidP="00A82F14">
      <w:pPr>
        <w:pStyle w:val="Body"/>
        <w:rPr>
          <w:rFonts w:cs="Helvetica"/>
        </w:rPr>
      </w:pPr>
      <w:r w:rsidRPr="0089437F">
        <w:rPr>
          <w:rFonts w:cs="Helvetica"/>
        </w:rPr>
        <w:lastRenderedPageBreak/>
        <w:t xml:space="preserve">United Nations. (n.d.). Why women are key to climate action? </w:t>
      </w:r>
      <w:hyperlink r:id="rId33" w:tgtFrame="_new" w:history="1">
        <w:r w:rsidRPr="00FB0A59">
          <w:rPr>
            <w:rStyle w:val="Hyperlink"/>
            <w:rFonts w:cs="Helvetica"/>
            <w:color w:val="auto"/>
            <w:u w:val="none"/>
          </w:rPr>
          <w:t>https://www.un.org/en/climatechange/science/climate-issues/women</w:t>
        </w:r>
      </w:hyperlink>
    </w:p>
    <w:p w14:paraId="2B303739" w14:textId="77777777" w:rsidR="00A33B0D" w:rsidRPr="0089437F" w:rsidRDefault="00A33B0D" w:rsidP="00FB0A59">
      <w:pPr>
        <w:pStyle w:val="Body"/>
        <w:rPr>
          <w:rFonts w:cs="Helvetica"/>
        </w:rPr>
      </w:pPr>
      <w:r w:rsidRPr="00FB0A59">
        <w:rPr>
          <w:rFonts w:cs="Helvetica"/>
        </w:rPr>
        <w:t>Westermann, O., Ashby, J., &amp; Pretty, J. (2005). Gender and social capital: The importance of gender differences for the maturity and effectiveness of natural resource management groups. World Development, 33(11), 1783–1799. https://doi.org/10.1016/j.worlddev.2005.04.018</w:t>
      </w:r>
    </w:p>
    <w:p w14:paraId="73C349E4" w14:textId="77777777" w:rsidR="00A33B0D" w:rsidRPr="0089437F" w:rsidRDefault="00A33B0D" w:rsidP="00A82F14">
      <w:pPr>
        <w:pStyle w:val="Body"/>
        <w:rPr>
          <w:rFonts w:cs="Helvetica"/>
        </w:rPr>
      </w:pPr>
      <w:r w:rsidRPr="0089437F">
        <w:rPr>
          <w:rFonts w:cs="Helvetica"/>
        </w:rPr>
        <w:t xml:space="preserve">World Bank. (2015). </w:t>
      </w:r>
      <w:r w:rsidRPr="0089437F">
        <w:rPr>
          <w:rFonts w:cs="Helvetica"/>
          <w:iCs/>
        </w:rPr>
        <w:t>World Bank Group gender strategy (FY16-23): Gender equality, poverty reduction and inclusive growth.</w:t>
      </w:r>
      <w:r w:rsidRPr="0089437F">
        <w:rPr>
          <w:rFonts w:cs="Helvetica"/>
        </w:rPr>
        <w:t xml:space="preserve"> </w:t>
      </w:r>
      <w:hyperlink r:id="rId34" w:history="1">
        <w:r w:rsidRPr="00FB0A59">
          <w:rPr>
            <w:rStyle w:val="Hyperlink"/>
            <w:rFonts w:cs="Helvetica"/>
            <w:color w:val="auto"/>
            <w:u w:val="none"/>
          </w:rPr>
          <w:t>https://openknowledge.worldbank.org/entities/publication/95293946-99d3-5ef3-92a0-1fd78a3f11e6</w:t>
        </w:r>
      </w:hyperlink>
      <w:r>
        <w:rPr>
          <w:rFonts w:cs="Helvetica"/>
        </w:rPr>
        <w:t xml:space="preserve"> </w:t>
      </w:r>
    </w:p>
    <w:p w14:paraId="69D9265C" w14:textId="77777777" w:rsidR="0089437F" w:rsidRPr="0089437F" w:rsidRDefault="0089437F" w:rsidP="00A82F14">
      <w:pPr>
        <w:pStyle w:val="Body"/>
        <w:rPr>
          <w:rFonts w:cs="Helvetica"/>
        </w:rPr>
        <w:sectPr w:rsidR="0089437F" w:rsidRPr="0089437F" w:rsidSect="00CD3024">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p>
    <w:p w14:paraId="4AA182DE" w14:textId="77777777" w:rsidR="00B01FCD" w:rsidRPr="0089437F" w:rsidRDefault="00B01FCD" w:rsidP="00A82F14">
      <w:pPr>
        <w:pStyle w:val="Appendix"/>
        <w:spacing w:after="0"/>
        <w:jc w:val="both"/>
        <w:rPr>
          <w:rFonts w:cs="Helvetica"/>
          <w:b w:val="0"/>
        </w:rPr>
      </w:pPr>
    </w:p>
    <w:sectPr w:rsidR="00B01FCD" w:rsidRPr="0089437F" w:rsidSect="00CD30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8D01F" w14:textId="77777777" w:rsidR="0084338F" w:rsidRDefault="0084338F" w:rsidP="00C37E61">
      <w:r>
        <w:separator/>
      </w:r>
    </w:p>
  </w:endnote>
  <w:endnote w:type="continuationSeparator" w:id="0">
    <w:p w14:paraId="215900CF" w14:textId="77777777" w:rsidR="0084338F" w:rsidRDefault="008433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1B52" w14:textId="77777777" w:rsidR="00CD3024" w:rsidRDefault="00CD3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48F8" w14:textId="77777777" w:rsidR="00CD3024" w:rsidRDefault="00CD3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C4E8" w14:textId="2EAEF9EF" w:rsidR="00754C9A" w:rsidRPr="00CD3024" w:rsidRDefault="00754C9A" w:rsidP="00CD30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E2C9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3B741" w14:textId="77777777" w:rsidR="0084338F" w:rsidRDefault="0084338F" w:rsidP="00C37E61">
      <w:r>
        <w:separator/>
      </w:r>
    </w:p>
  </w:footnote>
  <w:footnote w:type="continuationSeparator" w:id="0">
    <w:p w14:paraId="4ACF5729" w14:textId="77777777" w:rsidR="0084338F" w:rsidRDefault="008433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21722" w14:textId="4EF8B0F6" w:rsidR="00CD3024" w:rsidRDefault="0084338F">
    <w:pPr>
      <w:pStyle w:val="Header"/>
    </w:pPr>
    <w:r>
      <w:rPr>
        <w:noProof/>
      </w:rPr>
      <w:pict w14:anchorId="45AB1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D5DBF" w14:textId="349BBF7E" w:rsidR="00CD3024" w:rsidRDefault="0084338F">
    <w:pPr>
      <w:pStyle w:val="Header"/>
    </w:pPr>
    <w:r>
      <w:rPr>
        <w:noProof/>
      </w:rPr>
      <w:pict w14:anchorId="5B5A5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F67B" w14:textId="5D310C51" w:rsidR="00296529" w:rsidRPr="00296529" w:rsidRDefault="0084338F" w:rsidP="00296529">
    <w:pPr>
      <w:ind w:left="2160"/>
      <w:jc w:val="center"/>
      <w:rPr>
        <w:rFonts w:ascii="Times New Roman" w:eastAsia="Calibri" w:hAnsi="Times New Roman"/>
        <w:i/>
        <w:sz w:val="18"/>
        <w:szCs w:val="22"/>
      </w:rPr>
    </w:pPr>
    <w:r>
      <w:rPr>
        <w:noProof/>
      </w:rPr>
      <w:pict w14:anchorId="514B9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7AA08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6D3EB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0B22F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49DBB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7FB25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EA3EF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AB9ED" w14:textId="50006B75" w:rsidR="00CD3024" w:rsidRDefault="0084338F">
    <w:pPr>
      <w:pStyle w:val="Header"/>
    </w:pPr>
    <w:r>
      <w:rPr>
        <w:noProof/>
      </w:rPr>
      <w:pict w14:anchorId="21FBB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FA3D0" w14:textId="63B19506" w:rsidR="00CD3024" w:rsidRDefault="0084338F">
    <w:pPr>
      <w:pStyle w:val="Header"/>
    </w:pPr>
    <w:r>
      <w:rPr>
        <w:noProof/>
      </w:rPr>
      <w:pict w14:anchorId="0BBCC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10084" w14:textId="6300BF93" w:rsidR="00CD3024" w:rsidRDefault="0084338F">
    <w:pPr>
      <w:pStyle w:val="Header"/>
    </w:pPr>
    <w:r>
      <w:rPr>
        <w:noProof/>
      </w:rPr>
      <w:pict w14:anchorId="183FC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034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E46116"/>
    <w:multiLevelType w:val="hybridMultilevel"/>
    <w:tmpl w:val="D554781E"/>
    <w:lvl w:ilvl="0" w:tplc="34090001">
      <w:start w:val="2"/>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323"/>
    <w:rsid w:val="00007833"/>
    <w:rsid w:val="00030174"/>
    <w:rsid w:val="0004579C"/>
    <w:rsid w:val="00085BB7"/>
    <w:rsid w:val="000A47FA"/>
    <w:rsid w:val="000A65D3"/>
    <w:rsid w:val="000B1E33"/>
    <w:rsid w:val="000B5223"/>
    <w:rsid w:val="000D689F"/>
    <w:rsid w:val="000E7B7B"/>
    <w:rsid w:val="000E7D62"/>
    <w:rsid w:val="00103357"/>
    <w:rsid w:val="00123C9F"/>
    <w:rsid w:val="00126190"/>
    <w:rsid w:val="00130F17"/>
    <w:rsid w:val="001320BF"/>
    <w:rsid w:val="00134D99"/>
    <w:rsid w:val="00136B88"/>
    <w:rsid w:val="00163BC4"/>
    <w:rsid w:val="00166C13"/>
    <w:rsid w:val="00166C43"/>
    <w:rsid w:val="00176C59"/>
    <w:rsid w:val="00191062"/>
    <w:rsid w:val="00192B72"/>
    <w:rsid w:val="001A29D8"/>
    <w:rsid w:val="001A5CAA"/>
    <w:rsid w:val="001B0427"/>
    <w:rsid w:val="001C571C"/>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1F2"/>
    <w:rsid w:val="00287E68"/>
    <w:rsid w:val="00296529"/>
    <w:rsid w:val="002B27FB"/>
    <w:rsid w:val="002B685A"/>
    <w:rsid w:val="002C57D2"/>
    <w:rsid w:val="002E0D56"/>
    <w:rsid w:val="003105D3"/>
    <w:rsid w:val="00315186"/>
    <w:rsid w:val="0033343E"/>
    <w:rsid w:val="0034432D"/>
    <w:rsid w:val="003512C2"/>
    <w:rsid w:val="003541AE"/>
    <w:rsid w:val="003652D6"/>
    <w:rsid w:val="00371FB6"/>
    <w:rsid w:val="003763C1"/>
    <w:rsid w:val="00376BBE"/>
    <w:rsid w:val="0039224F"/>
    <w:rsid w:val="00395FFC"/>
    <w:rsid w:val="003A43A4"/>
    <w:rsid w:val="003A5EE1"/>
    <w:rsid w:val="003A7E18"/>
    <w:rsid w:val="003C4C86"/>
    <w:rsid w:val="003C6258"/>
    <w:rsid w:val="003E16F2"/>
    <w:rsid w:val="003E2904"/>
    <w:rsid w:val="003E7957"/>
    <w:rsid w:val="003F2C31"/>
    <w:rsid w:val="00401927"/>
    <w:rsid w:val="0041027F"/>
    <w:rsid w:val="00412475"/>
    <w:rsid w:val="00413BA8"/>
    <w:rsid w:val="00423789"/>
    <w:rsid w:val="00440F43"/>
    <w:rsid w:val="00441B6F"/>
    <w:rsid w:val="00446221"/>
    <w:rsid w:val="00450915"/>
    <w:rsid w:val="00450E62"/>
    <w:rsid w:val="00451D22"/>
    <w:rsid w:val="004539DB"/>
    <w:rsid w:val="0046198B"/>
    <w:rsid w:val="00471A80"/>
    <w:rsid w:val="004D299C"/>
    <w:rsid w:val="004D305E"/>
    <w:rsid w:val="004D4277"/>
    <w:rsid w:val="00502516"/>
    <w:rsid w:val="0050276B"/>
    <w:rsid w:val="00505F06"/>
    <w:rsid w:val="00506828"/>
    <w:rsid w:val="0053056E"/>
    <w:rsid w:val="005428BF"/>
    <w:rsid w:val="00554FDA"/>
    <w:rsid w:val="005730AC"/>
    <w:rsid w:val="005C47F3"/>
    <w:rsid w:val="005C784C"/>
    <w:rsid w:val="005D17F6"/>
    <w:rsid w:val="005D750D"/>
    <w:rsid w:val="005E5539"/>
    <w:rsid w:val="005F5512"/>
    <w:rsid w:val="00602BF5"/>
    <w:rsid w:val="00617FDD"/>
    <w:rsid w:val="00633614"/>
    <w:rsid w:val="00633F68"/>
    <w:rsid w:val="00636EB2"/>
    <w:rsid w:val="006375B8"/>
    <w:rsid w:val="00642173"/>
    <w:rsid w:val="0066510A"/>
    <w:rsid w:val="00673001"/>
    <w:rsid w:val="00673F9F"/>
    <w:rsid w:val="00680B75"/>
    <w:rsid w:val="00686953"/>
    <w:rsid w:val="00686D93"/>
    <w:rsid w:val="00687978"/>
    <w:rsid w:val="00687DEA"/>
    <w:rsid w:val="00687E67"/>
    <w:rsid w:val="006967F7"/>
    <w:rsid w:val="006A250C"/>
    <w:rsid w:val="006B21D3"/>
    <w:rsid w:val="006B57D0"/>
    <w:rsid w:val="006D30FF"/>
    <w:rsid w:val="006D606F"/>
    <w:rsid w:val="006D6940"/>
    <w:rsid w:val="006F11EC"/>
    <w:rsid w:val="006F5234"/>
    <w:rsid w:val="0070082C"/>
    <w:rsid w:val="00734AF3"/>
    <w:rsid w:val="007369E6"/>
    <w:rsid w:val="00746E59"/>
    <w:rsid w:val="00754C9A"/>
    <w:rsid w:val="0075599A"/>
    <w:rsid w:val="00760698"/>
    <w:rsid w:val="00761D52"/>
    <w:rsid w:val="00764662"/>
    <w:rsid w:val="0076761A"/>
    <w:rsid w:val="0077749E"/>
    <w:rsid w:val="00790ADA"/>
    <w:rsid w:val="007924DB"/>
    <w:rsid w:val="007D2288"/>
    <w:rsid w:val="007E088F"/>
    <w:rsid w:val="007E57CE"/>
    <w:rsid w:val="007F4928"/>
    <w:rsid w:val="007F60D8"/>
    <w:rsid w:val="007F7B32"/>
    <w:rsid w:val="00804BC2"/>
    <w:rsid w:val="008072A9"/>
    <w:rsid w:val="00807FB1"/>
    <w:rsid w:val="0081431A"/>
    <w:rsid w:val="0083216F"/>
    <w:rsid w:val="0084338F"/>
    <w:rsid w:val="00846DBF"/>
    <w:rsid w:val="008541C9"/>
    <w:rsid w:val="00860000"/>
    <w:rsid w:val="00863BD3"/>
    <w:rsid w:val="008641ED"/>
    <w:rsid w:val="00866D66"/>
    <w:rsid w:val="008671C6"/>
    <w:rsid w:val="00874941"/>
    <w:rsid w:val="00875803"/>
    <w:rsid w:val="0088349A"/>
    <w:rsid w:val="0089437F"/>
    <w:rsid w:val="0089499E"/>
    <w:rsid w:val="008B193E"/>
    <w:rsid w:val="008B1F95"/>
    <w:rsid w:val="008B459E"/>
    <w:rsid w:val="008E13AE"/>
    <w:rsid w:val="008E1506"/>
    <w:rsid w:val="008E17B7"/>
    <w:rsid w:val="008E710C"/>
    <w:rsid w:val="008F69D6"/>
    <w:rsid w:val="00902823"/>
    <w:rsid w:val="00914830"/>
    <w:rsid w:val="00915CA6"/>
    <w:rsid w:val="00927834"/>
    <w:rsid w:val="009500A6"/>
    <w:rsid w:val="00957C18"/>
    <w:rsid w:val="00965191"/>
    <w:rsid w:val="009659BA"/>
    <w:rsid w:val="0098049A"/>
    <w:rsid w:val="00983040"/>
    <w:rsid w:val="00986EDB"/>
    <w:rsid w:val="009A3474"/>
    <w:rsid w:val="009B3FB9"/>
    <w:rsid w:val="009C0C45"/>
    <w:rsid w:val="009C2465"/>
    <w:rsid w:val="009D35A0"/>
    <w:rsid w:val="009D7EB7"/>
    <w:rsid w:val="009E048A"/>
    <w:rsid w:val="009E08E9"/>
    <w:rsid w:val="009E3DB9"/>
    <w:rsid w:val="009E4C2B"/>
    <w:rsid w:val="009E58F4"/>
    <w:rsid w:val="009E6E35"/>
    <w:rsid w:val="009F0EDA"/>
    <w:rsid w:val="00A03020"/>
    <w:rsid w:val="00A03B96"/>
    <w:rsid w:val="00A05B19"/>
    <w:rsid w:val="00A1134E"/>
    <w:rsid w:val="00A24E7E"/>
    <w:rsid w:val="00A258C3"/>
    <w:rsid w:val="00A31497"/>
    <w:rsid w:val="00A33B0D"/>
    <w:rsid w:val="00A347C0"/>
    <w:rsid w:val="00A47CFE"/>
    <w:rsid w:val="00A51431"/>
    <w:rsid w:val="00A539AD"/>
    <w:rsid w:val="00A82F14"/>
    <w:rsid w:val="00A92769"/>
    <w:rsid w:val="00A94063"/>
    <w:rsid w:val="00AA6219"/>
    <w:rsid w:val="00AA74E0"/>
    <w:rsid w:val="00AB703F"/>
    <w:rsid w:val="00AC6BB8"/>
    <w:rsid w:val="00AD3A56"/>
    <w:rsid w:val="00AE008F"/>
    <w:rsid w:val="00B01FCD"/>
    <w:rsid w:val="00B12541"/>
    <w:rsid w:val="00B1776C"/>
    <w:rsid w:val="00B33B39"/>
    <w:rsid w:val="00B43437"/>
    <w:rsid w:val="00B52583"/>
    <w:rsid w:val="00B52896"/>
    <w:rsid w:val="00B86045"/>
    <w:rsid w:val="00B95236"/>
    <w:rsid w:val="00B96BD9"/>
    <w:rsid w:val="00BA1B01"/>
    <w:rsid w:val="00BA2641"/>
    <w:rsid w:val="00BB37AA"/>
    <w:rsid w:val="00BC53A0"/>
    <w:rsid w:val="00BC6360"/>
    <w:rsid w:val="00BE62AD"/>
    <w:rsid w:val="00BF121F"/>
    <w:rsid w:val="00BF1F80"/>
    <w:rsid w:val="00BF238C"/>
    <w:rsid w:val="00C166EF"/>
    <w:rsid w:val="00C17EB0"/>
    <w:rsid w:val="00C27F5F"/>
    <w:rsid w:val="00C30A0F"/>
    <w:rsid w:val="00C37E61"/>
    <w:rsid w:val="00C61BE3"/>
    <w:rsid w:val="00C70F1B"/>
    <w:rsid w:val="00C71A47"/>
    <w:rsid w:val="00C7464C"/>
    <w:rsid w:val="00C841B6"/>
    <w:rsid w:val="00C85588"/>
    <w:rsid w:val="00CD3024"/>
    <w:rsid w:val="00CD6755"/>
    <w:rsid w:val="00CD6856"/>
    <w:rsid w:val="00CE0089"/>
    <w:rsid w:val="00CE52B3"/>
    <w:rsid w:val="00CE793C"/>
    <w:rsid w:val="00CF193C"/>
    <w:rsid w:val="00D13B94"/>
    <w:rsid w:val="00D173F1"/>
    <w:rsid w:val="00D6797C"/>
    <w:rsid w:val="00D74CB0"/>
    <w:rsid w:val="00D8295D"/>
    <w:rsid w:val="00DB67C6"/>
    <w:rsid w:val="00DC2A65"/>
    <w:rsid w:val="00DE15F0"/>
    <w:rsid w:val="00DE5663"/>
    <w:rsid w:val="00DE78AA"/>
    <w:rsid w:val="00E053D0"/>
    <w:rsid w:val="00E07A06"/>
    <w:rsid w:val="00E07EEF"/>
    <w:rsid w:val="00E15994"/>
    <w:rsid w:val="00E17020"/>
    <w:rsid w:val="00E3114E"/>
    <w:rsid w:val="00E31A70"/>
    <w:rsid w:val="00E35B02"/>
    <w:rsid w:val="00E66496"/>
    <w:rsid w:val="00E66B35"/>
    <w:rsid w:val="00E66E10"/>
    <w:rsid w:val="00E71F07"/>
    <w:rsid w:val="00E769F6"/>
    <w:rsid w:val="00E83C4D"/>
    <w:rsid w:val="00E8407C"/>
    <w:rsid w:val="00E84F3C"/>
    <w:rsid w:val="00E9114D"/>
    <w:rsid w:val="00E95ACF"/>
    <w:rsid w:val="00EA012C"/>
    <w:rsid w:val="00EB3BCB"/>
    <w:rsid w:val="00EC6A55"/>
    <w:rsid w:val="00ED0288"/>
    <w:rsid w:val="00ED51BF"/>
    <w:rsid w:val="00EE52CB"/>
    <w:rsid w:val="00EF581D"/>
    <w:rsid w:val="00EF7FD8"/>
    <w:rsid w:val="00F06F59"/>
    <w:rsid w:val="00F17988"/>
    <w:rsid w:val="00F25CC1"/>
    <w:rsid w:val="00F34210"/>
    <w:rsid w:val="00F469F0"/>
    <w:rsid w:val="00F53273"/>
    <w:rsid w:val="00F54205"/>
    <w:rsid w:val="00F61F2A"/>
    <w:rsid w:val="00F73259"/>
    <w:rsid w:val="00F755E4"/>
    <w:rsid w:val="00F77D02"/>
    <w:rsid w:val="00F81B0B"/>
    <w:rsid w:val="00F91AC5"/>
    <w:rsid w:val="00F937FF"/>
    <w:rsid w:val="00FB0A59"/>
    <w:rsid w:val="00FB3A86"/>
    <w:rsid w:val="00FD36C8"/>
    <w:rsid w:val="00FE1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56C5B6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95AC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E07EEF"/>
    <w:rPr>
      <w:rFonts w:ascii="Calibri" w:eastAsia="Calibri" w:hAnsi="Calibri"/>
      <w:sz w:val="22"/>
      <w:szCs w:val="22"/>
    </w:rPr>
  </w:style>
  <w:style w:type="paragraph" w:styleId="BodyText">
    <w:name w:val="Body Text"/>
    <w:basedOn w:val="Normal"/>
    <w:link w:val="BodyTextChar"/>
    <w:semiHidden/>
    <w:unhideWhenUsed/>
    <w:rsid w:val="00AD3A56"/>
    <w:pPr>
      <w:spacing w:after="120"/>
    </w:pPr>
  </w:style>
  <w:style w:type="character" w:customStyle="1" w:styleId="BodyTextChar">
    <w:name w:val="Body Text Char"/>
    <w:basedOn w:val="DefaultParagraphFont"/>
    <w:link w:val="BodyText"/>
    <w:semiHidden/>
    <w:rsid w:val="00AD3A56"/>
    <w:rPr>
      <w:rFonts w:ascii="Helvetica" w:hAnsi="Helvetica"/>
    </w:rPr>
  </w:style>
  <w:style w:type="paragraph" w:styleId="CommentSubject">
    <w:name w:val="annotation subject"/>
    <w:basedOn w:val="CommentText"/>
    <w:next w:val="CommentText"/>
    <w:link w:val="CommentSubjectChar"/>
    <w:semiHidden/>
    <w:unhideWhenUsed/>
    <w:rsid w:val="00D13B94"/>
    <w:rPr>
      <w:rFonts w:ascii="Helvetica" w:hAnsi="Helvetica"/>
      <w:b/>
      <w:bCs/>
      <w:lang w:val="en-US" w:eastAsia="en-US"/>
    </w:rPr>
  </w:style>
  <w:style w:type="character" w:customStyle="1" w:styleId="CommentSubjectChar">
    <w:name w:val="Comment Subject Char"/>
    <w:basedOn w:val="CommentTextChar"/>
    <w:link w:val="CommentSubject"/>
    <w:semiHidden/>
    <w:rsid w:val="00D13B94"/>
    <w:rPr>
      <w:rFonts w:ascii="Helvetica" w:hAnsi="Helvetica"/>
      <w:b/>
      <w:bCs/>
      <w:lang w:val="nb-NO" w:eastAsia="nb-NO"/>
    </w:rPr>
  </w:style>
  <w:style w:type="character" w:customStyle="1" w:styleId="UnresolvedMention2">
    <w:name w:val="Unresolved Mention2"/>
    <w:basedOn w:val="DefaultParagraphFont"/>
    <w:uiPriority w:val="99"/>
    <w:semiHidden/>
    <w:unhideWhenUsed/>
    <w:rsid w:val="009E58F4"/>
    <w:rPr>
      <w:color w:val="605E5C"/>
      <w:shd w:val="clear" w:color="auto" w:fill="E1DFDD"/>
    </w:rPr>
  </w:style>
  <w:style w:type="character" w:customStyle="1" w:styleId="UnresolvedMention3">
    <w:name w:val="Unresolved Mention3"/>
    <w:basedOn w:val="DefaultParagraphFont"/>
    <w:uiPriority w:val="99"/>
    <w:semiHidden/>
    <w:unhideWhenUsed/>
    <w:rsid w:val="00E07A06"/>
    <w:rPr>
      <w:color w:val="605E5C"/>
      <w:shd w:val="clear" w:color="auto" w:fill="E1DFDD"/>
    </w:rPr>
  </w:style>
  <w:style w:type="paragraph" w:styleId="NormalWeb">
    <w:name w:val="Normal (Web)"/>
    <w:basedOn w:val="Normal"/>
    <w:uiPriority w:val="99"/>
    <w:unhideWhenUsed/>
    <w:rsid w:val="000B5223"/>
    <w:pPr>
      <w:spacing w:before="100" w:beforeAutospacing="1" w:after="100" w:afterAutospacing="1"/>
    </w:pPr>
    <w:rPr>
      <w:rFonts w:ascii="Times New Roman" w:hAnsi="Times New Roman"/>
      <w:sz w:val="24"/>
      <w:szCs w:val="24"/>
      <w:lang w:val="en-PH" w:eastAsia="en-PH"/>
    </w:rPr>
  </w:style>
  <w:style w:type="character" w:styleId="UnresolvedMention">
    <w:name w:val="Unresolved Mention"/>
    <w:basedOn w:val="DefaultParagraphFont"/>
    <w:uiPriority w:val="99"/>
    <w:semiHidden/>
    <w:unhideWhenUsed/>
    <w:rsid w:val="00F91AC5"/>
    <w:rPr>
      <w:color w:val="605E5C"/>
      <w:shd w:val="clear" w:color="auto" w:fill="E1DFDD"/>
    </w:rPr>
  </w:style>
  <w:style w:type="character" w:customStyle="1" w:styleId="Heading2Char">
    <w:name w:val="Heading 2 Char"/>
    <w:basedOn w:val="DefaultParagraphFont"/>
    <w:link w:val="Heading2"/>
    <w:semiHidden/>
    <w:rsid w:val="00E95AC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18053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ciencedirect.com/science/article/pii/S0301479718310119" TargetMode="External"/><Relationship Id="rId26" Type="http://schemas.openxmlformats.org/officeDocument/2006/relationships/hyperlink" Target="https://www.frontiersin.org/journals/marine-science/articles/10.3389/fmars.2019.00156/full" TargetMode="External"/><Relationship Id="rId39" Type="http://schemas.openxmlformats.org/officeDocument/2006/relationships/fontTable" Target="fontTable.xml"/><Relationship Id="rId21" Type="http://schemas.openxmlformats.org/officeDocument/2006/relationships/chart" Target="charts/chart4.xml"/><Relationship Id="rId34" Type="http://schemas.openxmlformats.org/officeDocument/2006/relationships/hyperlink" Target="https://openknowledge.worldbank.org/entities/publication/95293946-99d3-5ef3-92a0-1fd78a3f11e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www.frontiersin.org/journals/marine-science/articles/10.3389/fmars.2019.00156/full" TargetMode="External"/><Relationship Id="rId33" Type="http://schemas.openxmlformats.org/officeDocument/2006/relationships/hyperlink" Target="https://www.un.org/en/climatechange/science/climate-issues/women"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sciencedirect.com/science/article/pii/S0301479718310119" TargetMode="External"/><Relationship Id="rId29" Type="http://schemas.openxmlformats.org/officeDocument/2006/relationships/hyperlink" Target="http://researchrepository.napier.ac.uk/Output/41896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6.xml"/><Relationship Id="rId32" Type="http://schemas.openxmlformats.org/officeDocument/2006/relationships/hyperlink" Target="https://www.humanitarianlibrary.org/sites/default/files/2021/05/-Gender_equality_and_the_environment_Policy_and_strategy-2015Gender_equality_and_the_environment_policy_and_strategy.pdf.pdf"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www.frontiersin.org/journals/marine-science/articles/10.3389/fmars.2019.00156/full" TargetMode="External"/><Relationship Id="rId28" Type="http://schemas.openxmlformats.org/officeDocument/2006/relationships/hyperlink" Target="https://www.tandfonline.com/doi/full/10.1080/23251042.2022.2065428"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sciencedirect.com/science/article/pii/S0301479718310119" TargetMode="External"/><Relationship Id="rId31" Type="http://schemas.openxmlformats.org/officeDocument/2006/relationships/hyperlink" Target="https://www.climate.gov.ph/public/ckfinder/userfiles/files/Knowledge/AR/GMEF%20Report%202019.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5.xml"/><Relationship Id="rId27" Type="http://schemas.openxmlformats.org/officeDocument/2006/relationships/hyperlink" Target="https://paperzz.com/doc/9307527" TargetMode="External"/><Relationship Id="rId30" Type="http://schemas.openxmlformats.org/officeDocument/2006/relationships/hyperlink" Target="https://www.cbd.int/doc/pa/tols/Gender%20in%20the%20conservation%20of%20protected%20areas.pdf"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407962487835087"/>
          <c:y val="5.3433590575929182E-2"/>
          <c:w val="0.56195310979386004"/>
          <c:h val="0.6332467304590218"/>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260-492F-B26B-353176F8BA5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260-492F-B26B-353176F8BA5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260-492F-B26B-353176F8BA5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260-492F-B26B-353176F8BA5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8260-492F-B26B-353176F8BA50}"/>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8260-492F-B26B-353176F8BA50}"/>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'[DMMMSU Files RND  (1).xlsx]Sheet2'!$A$18:$A$23</c:f>
              <c:strCache>
                <c:ptCount val="6"/>
                <c:pt idx="0">
                  <c:v>Elementary Level</c:v>
                </c:pt>
                <c:pt idx="1">
                  <c:v>Senior Highschool Graduate</c:v>
                </c:pt>
                <c:pt idx="2">
                  <c:v>College Level</c:v>
                </c:pt>
                <c:pt idx="3">
                  <c:v>College Graduate</c:v>
                </c:pt>
                <c:pt idx="4">
                  <c:v>Doctorate Degree</c:v>
                </c:pt>
                <c:pt idx="5">
                  <c:v>Master's</c:v>
                </c:pt>
              </c:strCache>
            </c:strRef>
          </c:cat>
          <c:val>
            <c:numRef>
              <c:f>'[DMMMSU Files RND  (1).xlsx]Sheet2'!$B$18:$B$23</c:f>
              <c:numCache>
                <c:formatCode>0.00%</c:formatCode>
                <c:ptCount val="6"/>
                <c:pt idx="0">
                  <c:v>4.2999999999999997E-2</c:v>
                </c:pt>
                <c:pt idx="1">
                  <c:v>4.2999999999999997E-2</c:v>
                </c:pt>
                <c:pt idx="2">
                  <c:v>8.5000000000000006E-2</c:v>
                </c:pt>
                <c:pt idx="3">
                  <c:v>0.66</c:v>
                </c:pt>
                <c:pt idx="4">
                  <c:v>2.1000000000000001E-2</c:v>
                </c:pt>
                <c:pt idx="5">
                  <c:v>0.14899999999999999</c:v>
                </c:pt>
              </c:numCache>
            </c:numRef>
          </c:val>
          <c:extLst>
            <c:ext xmlns:c16="http://schemas.microsoft.com/office/drawing/2014/chart" uri="{C3380CC4-5D6E-409C-BE32-E72D297353CC}">
              <c16:uniqueId val="{0000000C-8260-492F-B26B-353176F8BA50}"/>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3088966517825701"/>
          <c:y val="0.74165850818407131"/>
          <c:w val="0.76447748369557567"/>
          <c:h val="0.2583414918159286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47080129099761"/>
          <c:y val="4.1990386593599792E-2"/>
          <c:w val="0.65750287900490889"/>
          <c:h val="0.73574728337105133"/>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669-4F7D-A396-0FA78981D31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669-4F7D-A396-0FA78981D31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669-4F7D-A396-0FA78981D31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E669-4F7D-A396-0FA78981D31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E669-4F7D-A396-0FA78981D31A}"/>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'[DMMMSU Files RND  (1).xlsx]Sheet2'!$M$18:$M$22</c:f>
              <c:strCache>
                <c:ptCount val="5"/>
                <c:pt idx="0">
                  <c:v>18-30</c:v>
                </c:pt>
                <c:pt idx="1">
                  <c:v>31-40</c:v>
                </c:pt>
                <c:pt idx="2">
                  <c:v>41-50</c:v>
                </c:pt>
                <c:pt idx="3">
                  <c:v>51-60</c:v>
                </c:pt>
                <c:pt idx="4">
                  <c:v>61-70</c:v>
                </c:pt>
              </c:strCache>
            </c:strRef>
          </c:cat>
          <c:val>
            <c:numRef>
              <c:f>'[DMMMSU Files RND  (1).xlsx]Sheet2'!$N$18:$N$22</c:f>
              <c:numCache>
                <c:formatCode>0.00%</c:formatCode>
                <c:ptCount val="5"/>
                <c:pt idx="0">
                  <c:v>0.21299999999999999</c:v>
                </c:pt>
                <c:pt idx="1">
                  <c:v>0.34</c:v>
                </c:pt>
                <c:pt idx="2">
                  <c:v>0.14899999999999999</c:v>
                </c:pt>
                <c:pt idx="3">
                  <c:v>0.21299999999999999</c:v>
                </c:pt>
                <c:pt idx="4">
                  <c:v>8.5000000000000006E-2</c:v>
                </c:pt>
              </c:numCache>
            </c:numRef>
          </c:val>
          <c:extLst>
            <c:ext xmlns:c16="http://schemas.microsoft.com/office/drawing/2014/chart" uri="{C3380CC4-5D6E-409C-BE32-E72D297353CC}">
              <c16:uniqueId val="{0000000A-E669-4F7D-A396-0FA78981D31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6338039468691968"/>
          <c:y val="0.82921839639403749"/>
          <c:w val="0.34541038982311456"/>
          <c:h val="0.1517792283090504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731-4F3C-9D70-F85095DB632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731-4F3C-9D70-F85095DB632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731-4F3C-9D70-F85095DB6328}"/>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'[DMMMSU Files RND  (1).xlsx]Sheet2'!$M$7:$M$9</c:f>
              <c:strCache>
                <c:ptCount val="3"/>
                <c:pt idx="0">
                  <c:v>Single</c:v>
                </c:pt>
                <c:pt idx="1">
                  <c:v>Married</c:v>
                </c:pt>
                <c:pt idx="2">
                  <c:v>Prefer not to say</c:v>
                </c:pt>
              </c:strCache>
            </c:strRef>
          </c:cat>
          <c:val>
            <c:numRef>
              <c:f>'[DMMMSU Files RND  (1).xlsx]Sheet2'!$N$7:$N$9</c:f>
              <c:numCache>
                <c:formatCode>0.00%</c:formatCode>
                <c:ptCount val="3"/>
                <c:pt idx="0">
                  <c:v>0.36199999999999999</c:v>
                </c:pt>
                <c:pt idx="1">
                  <c:v>0.59599999999999997</c:v>
                </c:pt>
                <c:pt idx="2">
                  <c:v>2.1000000000000001E-2</c:v>
                </c:pt>
              </c:numCache>
            </c:numRef>
          </c:val>
          <c:extLst>
            <c:ext xmlns:c16="http://schemas.microsoft.com/office/drawing/2014/chart" uri="{C3380CC4-5D6E-409C-BE32-E72D297353CC}">
              <c16:uniqueId val="{00000006-B731-4F3C-9D70-F85095DB6328}"/>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3820304063291112"/>
          <c:y val="0.77166379047339584"/>
          <c:w val="0.41427354680839762"/>
          <c:h val="0.194228050686210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solidFill>
                <a:schemeClr val="tx1"/>
              </a:solidFill>
            </a:ln>
            <a:effectLst/>
          </c:spPr>
          <c:invertIfNegative val="0"/>
          <c:cat>
            <c:strRef>
              <c:f>Strategies!$B$17:$B$20</c:f>
              <c:strCache>
                <c:ptCount val="4"/>
                <c:pt idx="0">
                  <c:v>Participated in campaign to end violence against women </c:v>
                </c:pt>
                <c:pt idx="1">
                  <c:v>Employees attend GAD training</c:v>
                </c:pt>
                <c:pt idx="2">
                  <c:v>Basic Gender Sensitivity training</c:v>
                </c:pt>
                <c:pt idx="3">
                  <c:v>All are treated equally </c:v>
                </c:pt>
              </c:strCache>
            </c:strRef>
          </c:cat>
          <c:val>
            <c:numRef>
              <c:f>Strategies!$C$17:$C$20</c:f>
              <c:numCache>
                <c:formatCode>General</c:formatCode>
                <c:ptCount val="4"/>
                <c:pt idx="0">
                  <c:v>1</c:v>
                </c:pt>
                <c:pt idx="1">
                  <c:v>2</c:v>
                </c:pt>
                <c:pt idx="2">
                  <c:v>5</c:v>
                </c:pt>
                <c:pt idx="3">
                  <c:v>12</c:v>
                </c:pt>
              </c:numCache>
            </c:numRef>
          </c:val>
          <c:extLst>
            <c:ext xmlns:c16="http://schemas.microsoft.com/office/drawing/2014/chart" uri="{C3380CC4-5D6E-409C-BE32-E72D297353CC}">
              <c16:uniqueId val="{00000000-F449-4264-8DF9-CEDA0451AD23}"/>
            </c:ext>
          </c:extLst>
        </c:ser>
        <c:dLbls>
          <c:showLegendKey val="0"/>
          <c:showVal val="0"/>
          <c:showCatName val="0"/>
          <c:showSerName val="0"/>
          <c:showPercent val="0"/>
          <c:showBubbleSize val="0"/>
        </c:dLbls>
        <c:gapWidth val="125"/>
        <c:axId val="304022655"/>
        <c:axId val="304017247"/>
      </c:barChart>
      <c:catAx>
        <c:axId val="304022655"/>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crossAx val="304017247"/>
        <c:crosses val="autoZero"/>
        <c:auto val="1"/>
        <c:lblAlgn val="ctr"/>
        <c:lblOffset val="100"/>
        <c:noMultiLvlLbl val="0"/>
      </c:catAx>
      <c:valAx>
        <c:axId val="304017247"/>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r>
                  <a:rPr lang="en-PH"/>
                  <a:t>Frequency of responses</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crossAx val="30402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parajita" panose="02020603050405020304" pitchFamily="18" charset="0"/>
          <a:cs typeface="Aparajita"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Sheet2!$C$6</c:f>
              <c:strCache>
                <c:ptCount val="1"/>
                <c:pt idx="0">
                  <c:v>PA management is gender transformative</c:v>
                </c:pt>
              </c:strCache>
            </c:strRef>
          </c:tx>
          <c:spPr>
            <a:solidFill>
              <a:schemeClr val="accent1"/>
            </a:solidFill>
            <a:ln>
              <a:solidFill>
                <a:schemeClr val="tx1"/>
              </a:solidFill>
            </a:ln>
            <a:effectLst/>
          </c:spPr>
          <c:invertIfNegative val="0"/>
          <c:cat>
            <c:strRef>
              <c:f>Sheet2!$D$5:$I$5</c:f>
              <c:strCache>
                <c:ptCount val="6"/>
                <c:pt idx="0">
                  <c:v>  Gender Inclusive management design</c:v>
                </c:pt>
                <c:pt idx="1">
                  <c:v>Gender responsiveness of the accomplishment report</c:v>
                </c:pt>
                <c:pt idx="2">
                  <c:v>Gender knowledge, interest, and priorities</c:v>
                </c:pt>
                <c:pt idx="3">
                  <c:v>Gender uses and values</c:v>
                </c:pt>
                <c:pt idx="4">
                  <c:v>Gender responsiveness management design</c:v>
                </c:pt>
                <c:pt idx="5">
                  <c:v>Gender roles and power relations</c:v>
                </c:pt>
              </c:strCache>
            </c:strRef>
          </c:cat>
          <c:val>
            <c:numRef>
              <c:f>Sheet2!$D$6:$I$6</c:f>
              <c:numCache>
                <c:formatCode>General</c:formatCode>
                <c:ptCount val="6"/>
                <c:pt idx="0" formatCode="0.00">
                  <c:v>64.772727272727266</c:v>
                </c:pt>
                <c:pt idx="1">
                  <c:v>59.036144578313255</c:v>
                </c:pt>
                <c:pt idx="2">
                  <c:v>58.82352941176471</c:v>
                </c:pt>
                <c:pt idx="3">
                  <c:v>56.666666666666664</c:v>
                </c:pt>
                <c:pt idx="4">
                  <c:v>52.325581395348841</c:v>
                </c:pt>
                <c:pt idx="5">
                  <c:v>48.888888888888886</c:v>
                </c:pt>
              </c:numCache>
            </c:numRef>
          </c:val>
          <c:extLst>
            <c:ext xmlns:c16="http://schemas.microsoft.com/office/drawing/2014/chart" uri="{C3380CC4-5D6E-409C-BE32-E72D297353CC}">
              <c16:uniqueId val="{00000000-D19E-43E1-9942-B3B4320206F6}"/>
            </c:ext>
          </c:extLst>
        </c:ser>
        <c:ser>
          <c:idx val="1"/>
          <c:order val="1"/>
          <c:tx>
            <c:strRef>
              <c:f>Sheet2!$C$7</c:f>
              <c:strCache>
                <c:ptCount val="1"/>
                <c:pt idx="0">
                  <c:v>PA management is gender aware</c:v>
                </c:pt>
              </c:strCache>
            </c:strRef>
          </c:tx>
          <c:spPr>
            <a:solidFill>
              <a:schemeClr val="accent2"/>
            </a:solidFill>
            <a:ln>
              <a:solidFill>
                <a:schemeClr val="tx1"/>
              </a:solidFill>
            </a:ln>
            <a:effectLst/>
          </c:spPr>
          <c:invertIfNegative val="0"/>
          <c:cat>
            <c:strRef>
              <c:f>Sheet2!$D$5:$I$5</c:f>
              <c:strCache>
                <c:ptCount val="6"/>
                <c:pt idx="0">
                  <c:v>  Gender Inclusive management design</c:v>
                </c:pt>
                <c:pt idx="1">
                  <c:v>Gender responsiveness of the accomplishment report</c:v>
                </c:pt>
                <c:pt idx="2">
                  <c:v>Gender knowledge, interest, and priorities</c:v>
                </c:pt>
                <c:pt idx="3">
                  <c:v>Gender uses and values</c:v>
                </c:pt>
                <c:pt idx="4">
                  <c:v>Gender responsiveness management design</c:v>
                </c:pt>
                <c:pt idx="5">
                  <c:v>Gender roles and power relations</c:v>
                </c:pt>
              </c:strCache>
            </c:strRef>
          </c:cat>
          <c:val>
            <c:numRef>
              <c:f>Sheet2!$D$7:$I$7</c:f>
              <c:numCache>
                <c:formatCode>General</c:formatCode>
                <c:ptCount val="6"/>
                <c:pt idx="0" formatCode="0.00">
                  <c:v>34.090909090909086</c:v>
                </c:pt>
                <c:pt idx="1">
                  <c:v>37.349397590361441</c:v>
                </c:pt>
                <c:pt idx="2">
                  <c:v>31.764705882352938</c:v>
                </c:pt>
                <c:pt idx="3">
                  <c:v>31.111111111111111</c:v>
                </c:pt>
                <c:pt idx="4">
                  <c:v>36.046511627906973</c:v>
                </c:pt>
                <c:pt idx="5">
                  <c:v>41.111111111111107</c:v>
                </c:pt>
              </c:numCache>
            </c:numRef>
          </c:val>
          <c:extLst>
            <c:ext xmlns:c16="http://schemas.microsoft.com/office/drawing/2014/chart" uri="{C3380CC4-5D6E-409C-BE32-E72D297353CC}">
              <c16:uniqueId val="{00000001-D19E-43E1-9942-B3B4320206F6}"/>
            </c:ext>
          </c:extLst>
        </c:ser>
        <c:ser>
          <c:idx val="2"/>
          <c:order val="2"/>
          <c:tx>
            <c:strRef>
              <c:f>Sheet2!$C$8</c:f>
              <c:strCache>
                <c:ptCount val="1"/>
                <c:pt idx="0">
                  <c:v>PA management is becoming gender aware</c:v>
                </c:pt>
              </c:strCache>
            </c:strRef>
          </c:tx>
          <c:spPr>
            <a:solidFill>
              <a:schemeClr val="accent3"/>
            </a:solidFill>
            <a:ln>
              <a:solidFill>
                <a:schemeClr val="tx1"/>
              </a:solidFill>
            </a:ln>
            <a:effectLst/>
          </c:spPr>
          <c:invertIfNegative val="0"/>
          <c:cat>
            <c:strRef>
              <c:f>Sheet2!$D$5:$I$5</c:f>
              <c:strCache>
                <c:ptCount val="6"/>
                <c:pt idx="0">
                  <c:v>  Gender Inclusive management design</c:v>
                </c:pt>
                <c:pt idx="1">
                  <c:v>Gender responsiveness of the accomplishment report</c:v>
                </c:pt>
                <c:pt idx="2">
                  <c:v>Gender knowledge, interest, and priorities</c:v>
                </c:pt>
                <c:pt idx="3">
                  <c:v>Gender uses and values</c:v>
                </c:pt>
                <c:pt idx="4">
                  <c:v>Gender responsiveness management design</c:v>
                </c:pt>
                <c:pt idx="5">
                  <c:v>Gender roles and power relations</c:v>
                </c:pt>
              </c:strCache>
            </c:strRef>
          </c:cat>
          <c:val>
            <c:numRef>
              <c:f>Sheet2!$D$8:$I$8</c:f>
              <c:numCache>
                <c:formatCode>General</c:formatCode>
                <c:ptCount val="6"/>
                <c:pt idx="0" formatCode="0.00">
                  <c:v>1.1363636363636365</c:v>
                </c:pt>
                <c:pt idx="1">
                  <c:v>3.6144578313253009</c:v>
                </c:pt>
                <c:pt idx="2">
                  <c:v>9.4117647058823533</c:v>
                </c:pt>
                <c:pt idx="3">
                  <c:v>12.222222222222221</c:v>
                </c:pt>
                <c:pt idx="4">
                  <c:v>11.627906976744185</c:v>
                </c:pt>
                <c:pt idx="5">
                  <c:v>10</c:v>
                </c:pt>
              </c:numCache>
            </c:numRef>
          </c:val>
          <c:extLst>
            <c:ext xmlns:c16="http://schemas.microsoft.com/office/drawing/2014/chart" uri="{C3380CC4-5D6E-409C-BE32-E72D297353CC}">
              <c16:uniqueId val="{00000002-D19E-43E1-9942-B3B4320206F6}"/>
            </c:ext>
          </c:extLst>
        </c:ser>
        <c:dLbls>
          <c:showLegendKey val="0"/>
          <c:showVal val="0"/>
          <c:showCatName val="0"/>
          <c:showSerName val="0"/>
          <c:showPercent val="0"/>
          <c:showBubbleSize val="0"/>
        </c:dLbls>
        <c:gapWidth val="125"/>
        <c:overlap val="100"/>
        <c:axId val="483363055"/>
        <c:axId val="483361807"/>
      </c:barChart>
      <c:catAx>
        <c:axId val="483363055"/>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r>
                  <a:rPr lang="en-PH"/>
                  <a:t>Categories </a:t>
                </a:r>
              </a:p>
            </c:rich>
          </c:tx>
          <c:layout>
            <c:manualLayout>
              <c:xMode val="edge"/>
              <c:yMode val="edge"/>
              <c:x val="2.8673674552629033E-2"/>
              <c:y val="0.2246414094051663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endParaRPr lang="en-US"/>
          </a:p>
        </c:txPr>
        <c:crossAx val="483361807"/>
        <c:crosses val="autoZero"/>
        <c:auto val="1"/>
        <c:lblAlgn val="ctr"/>
        <c:lblOffset val="100"/>
        <c:noMultiLvlLbl val="0"/>
      </c:catAx>
      <c:valAx>
        <c:axId val="483361807"/>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r>
                  <a:rPr lang="en-PH"/>
                  <a:t>Percentage</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endParaRPr lang="en-US"/>
            </a:p>
          </c:txPr>
        </c:title>
        <c:numFmt formatCode="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endParaRPr lang="en-US"/>
          </a:p>
        </c:txPr>
        <c:crossAx val="483363055"/>
        <c:crosses val="autoZero"/>
        <c:crossBetween val="between"/>
      </c:valAx>
      <c:spPr>
        <a:noFill/>
        <a:ln>
          <a:noFill/>
        </a:ln>
        <a:effectLst/>
      </c:spPr>
    </c:plotArea>
    <c:legend>
      <c:legendPos val="b"/>
      <c:layout>
        <c:manualLayout>
          <c:xMode val="edge"/>
          <c:yMode val="edge"/>
          <c:x val="5.2922930088284421E-2"/>
          <c:y val="0.76301223261425088"/>
          <c:w val="0.88565079797433155"/>
          <c:h val="0.1875642721913858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parajita"/>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parajita"/>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'[hayss - Copy (1).xlsx]Sheet4'!$P$5</c:f>
              <c:strCache>
                <c:ptCount val="1"/>
                <c:pt idx="0">
                  <c:v>Highly Agree</c:v>
                </c:pt>
              </c:strCache>
            </c:strRef>
          </c:tx>
          <c:spPr>
            <a:solidFill>
              <a:schemeClr val="accent1"/>
            </a:solidFill>
            <a:ln>
              <a:solidFill>
                <a:sysClr val="windowText" lastClr="000000"/>
              </a:solidFill>
            </a:ln>
            <a:effectLst/>
          </c:spPr>
          <c:invertIfNegative val="0"/>
          <c:cat>
            <c:strRef>
              <c:f>'[hayss - Copy (1).xlsx]Sheet4'!$O$6:$O$16</c:f>
              <c:strCache>
                <c:ptCount val="11"/>
                <c:pt idx="1">
                  <c:v>Enough funds for men/women empowerment</c:v>
                </c:pt>
                <c:pt idx="2">
                  <c:v>PA Facilities are gender -friendly</c:v>
                </c:pt>
                <c:pt idx="3">
                  <c:v>Women and men are allowed to lead a team</c:v>
                </c:pt>
                <c:pt idx="4">
                  <c:v>Women were assigned to field activities</c:v>
                </c:pt>
                <c:pt idx="5">
                  <c:v>Equal recognition for men and women</c:v>
                </c:pt>
                <c:pt idx="6">
                  <c:v>Enough support to promote GAD</c:v>
                </c:pt>
                <c:pt idx="7">
                  <c:v>No Gender based bullying</c:v>
                </c:pt>
                <c:pt idx="8">
                  <c:v>Equal participation of men and women</c:v>
                </c:pt>
                <c:pt idx="9">
                  <c:v>PA management is inclusive</c:v>
                </c:pt>
                <c:pt idx="10">
                  <c:v>Women have equal rights as men</c:v>
                </c:pt>
              </c:strCache>
            </c:strRef>
          </c:cat>
          <c:val>
            <c:numRef>
              <c:f>'[hayss - Copy (1).xlsx]Sheet4'!$P$6:$P$16</c:f>
              <c:numCache>
                <c:formatCode>General</c:formatCode>
                <c:ptCount val="11"/>
                <c:pt idx="1">
                  <c:v>27</c:v>
                </c:pt>
                <c:pt idx="2">
                  <c:v>31</c:v>
                </c:pt>
                <c:pt idx="3">
                  <c:v>32</c:v>
                </c:pt>
                <c:pt idx="4">
                  <c:v>33</c:v>
                </c:pt>
                <c:pt idx="5">
                  <c:v>35</c:v>
                </c:pt>
                <c:pt idx="6">
                  <c:v>36</c:v>
                </c:pt>
                <c:pt idx="7">
                  <c:v>36</c:v>
                </c:pt>
                <c:pt idx="8">
                  <c:v>37</c:v>
                </c:pt>
                <c:pt idx="9">
                  <c:v>37</c:v>
                </c:pt>
                <c:pt idx="10">
                  <c:v>37</c:v>
                </c:pt>
              </c:numCache>
            </c:numRef>
          </c:val>
          <c:extLst>
            <c:ext xmlns:c16="http://schemas.microsoft.com/office/drawing/2014/chart" uri="{C3380CC4-5D6E-409C-BE32-E72D297353CC}">
              <c16:uniqueId val="{00000000-A005-4EA7-A15F-A43DDDF5C4D0}"/>
            </c:ext>
          </c:extLst>
        </c:ser>
        <c:ser>
          <c:idx val="1"/>
          <c:order val="1"/>
          <c:tx>
            <c:strRef>
              <c:f>'[hayss - Copy (1).xlsx]Sheet4'!$Q$5</c:f>
              <c:strCache>
                <c:ptCount val="1"/>
                <c:pt idx="0">
                  <c:v>Agree</c:v>
                </c:pt>
              </c:strCache>
            </c:strRef>
          </c:tx>
          <c:spPr>
            <a:solidFill>
              <a:schemeClr val="accent2"/>
            </a:solidFill>
            <a:ln>
              <a:solidFill>
                <a:sysClr val="windowText" lastClr="000000"/>
              </a:solidFill>
            </a:ln>
            <a:effectLst/>
          </c:spPr>
          <c:invertIfNegative val="0"/>
          <c:cat>
            <c:strRef>
              <c:f>'[hayss - Copy (1).xlsx]Sheet4'!$O$6:$O$16</c:f>
              <c:strCache>
                <c:ptCount val="11"/>
                <c:pt idx="1">
                  <c:v>Enough funds for men/women empowerment</c:v>
                </c:pt>
                <c:pt idx="2">
                  <c:v>PA Facilities are gender -friendly</c:v>
                </c:pt>
                <c:pt idx="3">
                  <c:v>Women and men are allowed to lead a team</c:v>
                </c:pt>
                <c:pt idx="4">
                  <c:v>Women were assigned to field activities</c:v>
                </c:pt>
                <c:pt idx="5">
                  <c:v>Equal recognition for men and women</c:v>
                </c:pt>
                <c:pt idx="6">
                  <c:v>Enough support to promote GAD</c:v>
                </c:pt>
                <c:pt idx="7">
                  <c:v>No Gender based bullying</c:v>
                </c:pt>
                <c:pt idx="8">
                  <c:v>Equal participation of men and women</c:v>
                </c:pt>
                <c:pt idx="9">
                  <c:v>PA management is inclusive</c:v>
                </c:pt>
                <c:pt idx="10">
                  <c:v>Women have equal rights as men</c:v>
                </c:pt>
              </c:strCache>
            </c:strRef>
          </c:cat>
          <c:val>
            <c:numRef>
              <c:f>'[hayss - Copy (1).xlsx]Sheet4'!$Q$6:$Q$16</c:f>
              <c:numCache>
                <c:formatCode>General</c:formatCode>
                <c:ptCount val="11"/>
                <c:pt idx="1">
                  <c:v>14</c:v>
                </c:pt>
                <c:pt idx="2">
                  <c:v>10</c:v>
                </c:pt>
                <c:pt idx="3">
                  <c:v>10</c:v>
                </c:pt>
                <c:pt idx="4">
                  <c:v>9</c:v>
                </c:pt>
                <c:pt idx="5">
                  <c:v>9</c:v>
                </c:pt>
                <c:pt idx="6">
                  <c:v>9</c:v>
                </c:pt>
                <c:pt idx="7">
                  <c:v>7</c:v>
                </c:pt>
                <c:pt idx="8">
                  <c:v>8</c:v>
                </c:pt>
                <c:pt idx="9">
                  <c:v>6</c:v>
                </c:pt>
                <c:pt idx="10">
                  <c:v>4</c:v>
                </c:pt>
              </c:numCache>
            </c:numRef>
          </c:val>
          <c:extLst>
            <c:ext xmlns:c16="http://schemas.microsoft.com/office/drawing/2014/chart" uri="{C3380CC4-5D6E-409C-BE32-E72D297353CC}">
              <c16:uniqueId val="{00000001-A005-4EA7-A15F-A43DDDF5C4D0}"/>
            </c:ext>
          </c:extLst>
        </c:ser>
        <c:ser>
          <c:idx val="2"/>
          <c:order val="2"/>
          <c:tx>
            <c:strRef>
              <c:f>'[hayss - Copy (1).xlsx]Sheet4'!$R$5</c:f>
              <c:strCache>
                <c:ptCount val="1"/>
                <c:pt idx="0">
                  <c:v>Neutral</c:v>
                </c:pt>
              </c:strCache>
            </c:strRef>
          </c:tx>
          <c:spPr>
            <a:solidFill>
              <a:schemeClr val="accent3"/>
            </a:solidFill>
            <a:ln>
              <a:solidFill>
                <a:sysClr val="windowText" lastClr="000000"/>
              </a:solidFill>
            </a:ln>
            <a:effectLst/>
          </c:spPr>
          <c:invertIfNegative val="0"/>
          <c:cat>
            <c:strRef>
              <c:f>'[hayss - Copy (1).xlsx]Sheet4'!$O$6:$O$16</c:f>
              <c:strCache>
                <c:ptCount val="11"/>
                <c:pt idx="1">
                  <c:v>Enough funds for men/women empowerment</c:v>
                </c:pt>
                <c:pt idx="2">
                  <c:v>PA Facilities are gender -friendly</c:v>
                </c:pt>
                <c:pt idx="3">
                  <c:v>Women and men are allowed to lead a team</c:v>
                </c:pt>
                <c:pt idx="4">
                  <c:v>Women were assigned to field activities</c:v>
                </c:pt>
                <c:pt idx="5">
                  <c:v>Equal recognition for men and women</c:v>
                </c:pt>
                <c:pt idx="6">
                  <c:v>Enough support to promote GAD</c:v>
                </c:pt>
                <c:pt idx="7">
                  <c:v>No Gender based bullying</c:v>
                </c:pt>
                <c:pt idx="8">
                  <c:v>Equal participation of men and women</c:v>
                </c:pt>
                <c:pt idx="9">
                  <c:v>PA management is inclusive</c:v>
                </c:pt>
                <c:pt idx="10">
                  <c:v>Women have equal rights as men</c:v>
                </c:pt>
              </c:strCache>
            </c:strRef>
          </c:cat>
          <c:val>
            <c:numRef>
              <c:f>'[hayss - Copy (1).xlsx]Sheet4'!$R$6:$R$16</c:f>
              <c:numCache>
                <c:formatCode>General</c:formatCode>
                <c:ptCount val="11"/>
                <c:pt idx="1">
                  <c:v>7</c:v>
                </c:pt>
                <c:pt idx="2">
                  <c:v>7</c:v>
                </c:pt>
                <c:pt idx="3">
                  <c:v>6</c:v>
                </c:pt>
                <c:pt idx="4">
                  <c:v>5</c:v>
                </c:pt>
                <c:pt idx="5">
                  <c:v>4</c:v>
                </c:pt>
                <c:pt idx="6">
                  <c:v>3</c:v>
                </c:pt>
                <c:pt idx="7">
                  <c:v>5</c:v>
                </c:pt>
                <c:pt idx="8">
                  <c:v>3</c:v>
                </c:pt>
                <c:pt idx="9">
                  <c:v>5</c:v>
                </c:pt>
                <c:pt idx="10">
                  <c:v>7</c:v>
                </c:pt>
              </c:numCache>
            </c:numRef>
          </c:val>
          <c:extLst>
            <c:ext xmlns:c16="http://schemas.microsoft.com/office/drawing/2014/chart" uri="{C3380CC4-5D6E-409C-BE32-E72D297353CC}">
              <c16:uniqueId val="{00000002-A005-4EA7-A15F-A43DDDF5C4D0}"/>
            </c:ext>
          </c:extLst>
        </c:ser>
        <c:ser>
          <c:idx val="3"/>
          <c:order val="3"/>
          <c:tx>
            <c:strRef>
              <c:f>'[hayss - Copy (1).xlsx]Sheet4'!$S$5</c:f>
              <c:strCache>
                <c:ptCount val="1"/>
                <c:pt idx="0">
                  <c:v>Disagree</c:v>
                </c:pt>
              </c:strCache>
            </c:strRef>
          </c:tx>
          <c:spPr>
            <a:solidFill>
              <a:schemeClr val="accent4"/>
            </a:solidFill>
            <a:ln>
              <a:solidFill>
                <a:sysClr val="windowText" lastClr="000000"/>
              </a:solidFill>
            </a:ln>
            <a:effectLst/>
          </c:spPr>
          <c:invertIfNegative val="0"/>
          <c:cat>
            <c:strRef>
              <c:f>'[hayss - Copy (1).xlsx]Sheet4'!$O$6:$O$16</c:f>
              <c:strCache>
                <c:ptCount val="11"/>
                <c:pt idx="1">
                  <c:v>Enough funds for men/women empowerment</c:v>
                </c:pt>
                <c:pt idx="2">
                  <c:v>PA Facilities are gender -friendly</c:v>
                </c:pt>
                <c:pt idx="3">
                  <c:v>Women and men are allowed to lead a team</c:v>
                </c:pt>
                <c:pt idx="4">
                  <c:v>Women were assigned to field activities</c:v>
                </c:pt>
                <c:pt idx="5">
                  <c:v>Equal recognition for men and women</c:v>
                </c:pt>
                <c:pt idx="6">
                  <c:v>Enough support to promote GAD</c:v>
                </c:pt>
                <c:pt idx="7">
                  <c:v>No Gender based bullying</c:v>
                </c:pt>
                <c:pt idx="8">
                  <c:v>Equal participation of men and women</c:v>
                </c:pt>
                <c:pt idx="9">
                  <c:v>PA management is inclusive</c:v>
                </c:pt>
                <c:pt idx="10">
                  <c:v>Women have equal rights as men</c:v>
                </c:pt>
              </c:strCache>
            </c:strRef>
          </c:cat>
          <c:val>
            <c:numRef>
              <c:f>'[hayss - Copy (1).xlsx]Sheet4'!$S$6:$S$16</c:f>
              <c:numCache>
                <c:formatCode>General</c:formatCode>
                <c:ptCount val="11"/>
                <c:pt idx="1">
                  <c:v>1</c:v>
                </c:pt>
                <c:pt idx="2">
                  <c:v>1</c:v>
                </c:pt>
                <c:pt idx="3">
                  <c:v>1</c:v>
                </c:pt>
                <c:pt idx="4">
                  <c:v>2</c:v>
                </c:pt>
                <c:pt idx="5">
                  <c:v>1</c:v>
                </c:pt>
                <c:pt idx="6">
                  <c:v>1</c:v>
                </c:pt>
                <c:pt idx="7">
                  <c:v>1</c:v>
                </c:pt>
                <c:pt idx="8">
                  <c:v>1</c:v>
                </c:pt>
                <c:pt idx="9">
                  <c:v>1</c:v>
                </c:pt>
                <c:pt idx="10">
                  <c:v>1</c:v>
                </c:pt>
              </c:numCache>
            </c:numRef>
          </c:val>
          <c:extLst>
            <c:ext xmlns:c16="http://schemas.microsoft.com/office/drawing/2014/chart" uri="{C3380CC4-5D6E-409C-BE32-E72D297353CC}">
              <c16:uniqueId val="{00000003-A005-4EA7-A15F-A43DDDF5C4D0}"/>
            </c:ext>
          </c:extLst>
        </c:ser>
        <c:ser>
          <c:idx val="4"/>
          <c:order val="4"/>
          <c:tx>
            <c:strRef>
              <c:f>'[hayss - Copy (1).xlsx]Sheet4'!$T$5</c:f>
              <c:strCache>
                <c:ptCount val="1"/>
                <c:pt idx="0">
                  <c:v>Highly Disagree</c:v>
                </c:pt>
              </c:strCache>
            </c:strRef>
          </c:tx>
          <c:spPr>
            <a:solidFill>
              <a:schemeClr val="accent5"/>
            </a:solidFill>
            <a:ln>
              <a:noFill/>
            </a:ln>
            <a:effectLst/>
          </c:spPr>
          <c:invertIfNegative val="0"/>
          <c:cat>
            <c:strRef>
              <c:f>'[hayss - Copy (1).xlsx]Sheet4'!$O$6:$O$16</c:f>
              <c:strCache>
                <c:ptCount val="11"/>
                <c:pt idx="1">
                  <c:v>Enough funds for men/women empowerment</c:v>
                </c:pt>
                <c:pt idx="2">
                  <c:v>PA Facilities are gender -friendly</c:v>
                </c:pt>
                <c:pt idx="3">
                  <c:v>Women and men are allowed to lead a team</c:v>
                </c:pt>
                <c:pt idx="4">
                  <c:v>Women were assigned to field activities</c:v>
                </c:pt>
                <c:pt idx="5">
                  <c:v>Equal recognition for men and women</c:v>
                </c:pt>
                <c:pt idx="6">
                  <c:v>Enough support to promote GAD</c:v>
                </c:pt>
                <c:pt idx="7">
                  <c:v>No Gender based bullying</c:v>
                </c:pt>
                <c:pt idx="8">
                  <c:v>Equal participation of men and women</c:v>
                </c:pt>
                <c:pt idx="9">
                  <c:v>PA management is inclusive</c:v>
                </c:pt>
                <c:pt idx="10">
                  <c:v>Women have equal rights as men</c:v>
                </c:pt>
              </c:strCache>
            </c:strRef>
          </c:cat>
          <c:val>
            <c:numRef>
              <c:f>'[hayss - Copy (1).xlsx]Sheet4'!$T$6:$T$16</c:f>
              <c:numCache>
                <c:formatCode>General</c:formatCode>
                <c:ptCount val="11"/>
              </c:numCache>
            </c:numRef>
          </c:val>
          <c:extLst>
            <c:ext xmlns:c16="http://schemas.microsoft.com/office/drawing/2014/chart" uri="{C3380CC4-5D6E-409C-BE32-E72D297353CC}">
              <c16:uniqueId val="{00000004-A005-4EA7-A15F-A43DDDF5C4D0}"/>
            </c:ext>
          </c:extLst>
        </c:ser>
        <c:dLbls>
          <c:showLegendKey val="0"/>
          <c:showVal val="0"/>
          <c:showCatName val="0"/>
          <c:showSerName val="0"/>
          <c:showPercent val="0"/>
          <c:showBubbleSize val="0"/>
        </c:dLbls>
        <c:gapWidth val="125"/>
        <c:overlap val="100"/>
        <c:axId val="473554127"/>
        <c:axId val="473539983"/>
      </c:barChart>
      <c:catAx>
        <c:axId val="473554127"/>
        <c:scaling>
          <c:orientation val="minMax"/>
        </c:scaling>
        <c:delete val="0"/>
        <c:axPos val="l"/>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crossAx val="473539983"/>
        <c:crosses val="autoZero"/>
        <c:auto val="1"/>
        <c:lblAlgn val="ctr"/>
        <c:lblOffset val="100"/>
        <c:noMultiLvlLbl val="0"/>
      </c:catAx>
      <c:valAx>
        <c:axId val="473539983"/>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r>
                  <a:rPr lang="en-PH"/>
                  <a:t>Frequency of responses</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title>
        <c:numFmt formatCode="General" sourceLinked="1"/>
        <c:majorTickMark val="out"/>
        <c:minorTickMark val="none"/>
        <c:tickLblPos val="nextTo"/>
        <c:spPr>
          <a:noFill/>
          <a:ln w="12700">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crossAx val="473554127"/>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parajita" panose="02020603050405020304" pitchFamily="18" charset="0"/>
              <a:ea typeface="+mn-ea"/>
              <a:cs typeface="Aparajita"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parajita" panose="02020603050405020304" pitchFamily="18" charset="0"/>
          <a:cs typeface="Aparajita"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3CEDD-9448-4F07-9C71-F55D0095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313</TotalTime>
  <Pages>15</Pages>
  <Words>5069</Words>
  <Characters>28895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33897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83</cp:revision>
  <cp:lastPrinted>1999-07-06T11:00:00Z</cp:lastPrinted>
  <dcterms:created xsi:type="dcterms:W3CDTF">2014-10-25T14:34:00Z</dcterms:created>
  <dcterms:modified xsi:type="dcterms:W3CDTF">2025-11-24T10:56:00Z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1df7f275-82b6-4179-95c9-03c65147858f</vt:lpwstr>
  </property>
</Properties>
</file>