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75673" w14:textId="1386FAFB" w:rsidR="0039011E" w:rsidRPr="0039011E" w:rsidRDefault="005A4C81" w:rsidP="0039011E">
      <w:pPr>
        <w:widowControl/>
        <w:autoSpaceDE/>
        <w:autoSpaceDN/>
        <w:spacing w:before="100" w:beforeAutospacing="1" w:line="360" w:lineRule="auto"/>
        <w:jc w:val="center"/>
        <w:rPr>
          <w:b/>
          <w:sz w:val="24"/>
          <w:szCs w:val="24"/>
        </w:rPr>
      </w:pPr>
      <w:r w:rsidRPr="0039011E">
        <w:rPr>
          <w:b/>
          <w:sz w:val="24"/>
          <w:szCs w:val="24"/>
        </w:rPr>
        <w:t xml:space="preserve">Specialized Pedagogical Training </w:t>
      </w:r>
      <w:r>
        <w:rPr>
          <w:b/>
          <w:sz w:val="24"/>
          <w:szCs w:val="24"/>
        </w:rPr>
        <w:t>a</w:t>
      </w:r>
      <w:r w:rsidRPr="0039011E">
        <w:rPr>
          <w:b/>
          <w:sz w:val="24"/>
          <w:szCs w:val="24"/>
        </w:rPr>
        <w:t xml:space="preserve">nd Teaching Competencies </w:t>
      </w:r>
      <w:r>
        <w:rPr>
          <w:b/>
          <w:sz w:val="24"/>
          <w:szCs w:val="24"/>
        </w:rPr>
        <w:t>o</w:t>
      </w:r>
      <w:r w:rsidRPr="0039011E">
        <w:rPr>
          <w:b/>
          <w:sz w:val="24"/>
          <w:szCs w:val="24"/>
        </w:rPr>
        <w:t xml:space="preserve">f Food Science Teachers </w:t>
      </w:r>
      <w:r>
        <w:rPr>
          <w:b/>
          <w:sz w:val="24"/>
          <w:szCs w:val="24"/>
        </w:rPr>
        <w:t>i</w:t>
      </w:r>
      <w:r w:rsidRPr="0039011E">
        <w:rPr>
          <w:b/>
          <w:sz w:val="24"/>
          <w:szCs w:val="24"/>
        </w:rPr>
        <w:t xml:space="preserve">n </w:t>
      </w:r>
      <w:proofErr w:type="spellStart"/>
      <w:r w:rsidRPr="0039011E">
        <w:rPr>
          <w:b/>
          <w:sz w:val="24"/>
          <w:szCs w:val="24"/>
        </w:rPr>
        <w:t>Mezam</w:t>
      </w:r>
      <w:proofErr w:type="spellEnd"/>
      <w:r w:rsidRPr="0039011E">
        <w:rPr>
          <w:b/>
          <w:sz w:val="24"/>
          <w:szCs w:val="24"/>
        </w:rPr>
        <w:t xml:space="preserve"> Division</w:t>
      </w:r>
      <w:r>
        <w:rPr>
          <w:b/>
          <w:sz w:val="24"/>
          <w:szCs w:val="24"/>
        </w:rPr>
        <w:t xml:space="preserve">, </w:t>
      </w:r>
      <w:r w:rsidRPr="005A4C81">
        <w:rPr>
          <w:b/>
          <w:sz w:val="24"/>
          <w:szCs w:val="24"/>
        </w:rPr>
        <w:t>Cameroon</w:t>
      </w:r>
    </w:p>
    <w:p w14:paraId="27588334" w14:textId="7695CDDC" w:rsidR="002B573F" w:rsidRPr="002B573F" w:rsidRDefault="00FA49C3" w:rsidP="004C4BB6">
      <w:pPr>
        <w:widowControl/>
        <w:autoSpaceDE/>
        <w:autoSpaceDN/>
        <w:spacing w:before="100" w:beforeAutospacing="1" w:line="256" w:lineRule="auto"/>
        <w:rPr>
          <w:sz w:val="24"/>
          <w:szCs w:val="24"/>
        </w:rPr>
      </w:pPr>
      <w:r w:rsidRPr="002B573F">
        <w:rPr>
          <w:b/>
          <w:bCs/>
          <w:sz w:val="24"/>
          <w:szCs w:val="24"/>
        </w:rPr>
        <w:t>ABSTRACT</w:t>
      </w:r>
    </w:p>
    <w:p w14:paraId="09AE379D" w14:textId="15FA945D" w:rsidR="000C13E7" w:rsidRDefault="000C13E7" w:rsidP="004C4BB6">
      <w:pPr>
        <w:pStyle w:val="NormalWeb"/>
        <w:spacing w:before="0" w:beforeAutospacing="0"/>
        <w:jc w:val="both"/>
      </w:pPr>
      <w:r>
        <w:t xml:space="preserve">This study investigated </w:t>
      </w:r>
      <w:r w:rsidR="0039011E">
        <w:t>how</w:t>
      </w:r>
      <w:r>
        <w:t xml:space="preserve"> specialized food science pedagogical training </w:t>
      </w:r>
      <w:r w:rsidR="0039011E">
        <w:t>relates with</w:t>
      </w:r>
      <w:r>
        <w:t xml:space="preserve"> the teaching competencies of </w:t>
      </w:r>
      <w:r w:rsidR="0039011E">
        <w:t xml:space="preserve">food science </w:t>
      </w:r>
      <w:r>
        <w:t>secondary school teachers in Mezam Division, Cameroon. Guided by two objectives, to determine the impact of teachers’ content knowledge and to evaluate the influence of practical and laboratory skills on their teaching competencies, the study adopted a convergent parallel mixed-methods design. Quantitative data were collected through structured questionnaires administered to 92 food science teachers, while qualitative insights were gathered from semi-structured interviews with four pedagogic inspectors. Descriptive statistics, Pearson correlation, and multiple regression analyses were used to test the hypotheses, complemented by thematic analysis of qualitative data. Findings revealed a statistically significant positive relationship between teachers’ content knowledge and their teaching competencies (r = 0.601, p &lt; 0.05), with content mastery explaining 36% of the variance in teaching effectiveness. Similarly, practical and laboratory skills exhibited a moderate but significant influence (r = 0.411, p &lt; 0.05), accounting for 16.9% of the variance. Qualitative evidence confirmed that while teachers demonstrated strong theoretical grounding, many lacked consistent practical exposure due to inadequate laboratory facilities and limited in-service training. The study concluded that both content knowledge and practical skills are vital predictors of teaching competency in food science education. It recommends continuous, context-based professional development, improved laboratory infrastructure, and stronger mentorship systems to enhance teachers’ instructional effectiveness across secondary schools in Mezam Division.</w:t>
      </w:r>
    </w:p>
    <w:p w14:paraId="7B9844B8" w14:textId="77777777" w:rsidR="000C13E7" w:rsidRDefault="000C13E7" w:rsidP="000C13E7">
      <w:pPr>
        <w:pStyle w:val="NormalWeb"/>
        <w:ind w:left="1080" w:hanging="1080"/>
        <w:jc w:val="both"/>
      </w:pPr>
      <w:r w:rsidRPr="000C13E7">
        <w:rPr>
          <w:b/>
          <w:i/>
        </w:rPr>
        <w:t>Keywords:</w:t>
      </w:r>
      <w:r>
        <w:t xml:space="preserve"> Food Science Education, Teaching Competencies, Content Knowledge, Practical and Laboratory Skills, Professional Development</w:t>
      </w:r>
    </w:p>
    <w:p w14:paraId="1B913A03" w14:textId="77777777" w:rsidR="00C74284" w:rsidRDefault="00F348ED" w:rsidP="009D7446">
      <w:pPr>
        <w:pStyle w:val="Heading1"/>
        <w:ind w:left="0"/>
        <w:jc w:val="left"/>
      </w:pPr>
      <w:r>
        <w:t>INTRODUCTION</w:t>
      </w:r>
    </w:p>
    <w:p w14:paraId="2D6B3F9C" w14:textId="77777777" w:rsidR="002B573F" w:rsidRPr="002B573F" w:rsidRDefault="002B573F" w:rsidP="00742C7B">
      <w:pPr>
        <w:widowControl/>
        <w:autoSpaceDE/>
        <w:autoSpaceDN/>
        <w:spacing w:before="100" w:beforeAutospacing="1" w:after="100" w:afterAutospacing="1"/>
        <w:jc w:val="both"/>
        <w:rPr>
          <w:sz w:val="24"/>
          <w:szCs w:val="24"/>
        </w:rPr>
      </w:pPr>
      <w:r w:rsidRPr="002B573F">
        <w:rPr>
          <w:sz w:val="24"/>
          <w:szCs w:val="24"/>
        </w:rPr>
        <w:t xml:space="preserve">The quality of food science education in secondary schools largely depends on teachers’ mastery of content knowledge and their ability to translate that knowledge into effective classroom practice. Food science, being an interdisciplinary field that draws from biology, chemistry, and nutrition, requires educators who are both scientifically proficient and pedagogically competent. According to </w:t>
      </w:r>
      <w:r w:rsidR="006D3709">
        <w:t>Zohar (2023)</w:t>
      </w:r>
      <w:r w:rsidRPr="002B573F">
        <w:rPr>
          <w:sz w:val="24"/>
          <w:szCs w:val="24"/>
        </w:rPr>
        <w:t>, teachers who possess a strong foundation in food science content are more capable of simplifying complex concepts, fostering inquiry, and promoting critical thinking among learners. However, mastery of content alone is insufficient without the ability to demonstrate and apply theoretical principles through practical experiences. Hence, teachers’ practical and laboratory skills play a vital role in linking theory with real-world applications and enhancing students’ understanding of food science.</w:t>
      </w:r>
    </w:p>
    <w:p w14:paraId="06741832" w14:textId="77777777" w:rsidR="00742C7B" w:rsidRDefault="002B573F" w:rsidP="00742C7B">
      <w:pPr>
        <w:widowControl/>
        <w:autoSpaceDE/>
        <w:autoSpaceDN/>
        <w:spacing w:before="100" w:beforeAutospacing="1" w:after="100" w:afterAutospacing="1"/>
        <w:jc w:val="both"/>
        <w:rPr>
          <w:sz w:val="24"/>
          <w:szCs w:val="24"/>
        </w:rPr>
      </w:pPr>
      <w:r w:rsidRPr="002B573F">
        <w:rPr>
          <w:sz w:val="24"/>
          <w:szCs w:val="24"/>
        </w:rPr>
        <w:t>In the Mezam Division of Cameroon, where secondary schools are increasingly incorporating technical and vocational subjects, the effectiveness of food science teaching depends heavily on teachers’ specialized training in both content and practical pedagogy. Teachers without adequate content knowledge or laboratory proficiency often struggle to deliver lessons that stimulate scientific curiosity and problem-solving among students (</w:t>
      </w:r>
      <w:r w:rsidR="006D3709">
        <w:t>National Research Council, 2006</w:t>
      </w:r>
      <w:r w:rsidRPr="002B573F">
        <w:rPr>
          <w:sz w:val="24"/>
          <w:szCs w:val="24"/>
        </w:rPr>
        <w:t xml:space="preserve">). Conversely, </w:t>
      </w:r>
      <w:r w:rsidR="006D3709">
        <w:rPr>
          <w:sz w:val="24"/>
          <w:szCs w:val="24"/>
        </w:rPr>
        <w:t xml:space="preserve">according to </w:t>
      </w:r>
      <w:r w:rsidR="006D3709">
        <w:t xml:space="preserve">Darling-Hammond et al. (2020), </w:t>
      </w:r>
      <w:r w:rsidRPr="002B573F">
        <w:rPr>
          <w:sz w:val="24"/>
          <w:szCs w:val="24"/>
        </w:rPr>
        <w:t>teachers who undergo specialized pedagogical training in food science develop the confidence and technical expertise needed to design interactive lessons, conduct experiments, and guide students in hands-on l</w:t>
      </w:r>
      <w:r w:rsidR="006D3709">
        <w:rPr>
          <w:sz w:val="24"/>
          <w:szCs w:val="24"/>
        </w:rPr>
        <w:t>earning activities</w:t>
      </w:r>
      <w:r w:rsidRPr="002B573F">
        <w:rPr>
          <w:sz w:val="24"/>
          <w:szCs w:val="24"/>
        </w:rPr>
        <w:t>. Such competencies are critical in preparing students for careers in nutrition, food safety, and other science-based industries.</w:t>
      </w:r>
      <w:r w:rsidR="00742C7B">
        <w:rPr>
          <w:sz w:val="24"/>
          <w:szCs w:val="24"/>
        </w:rPr>
        <w:t xml:space="preserve"> </w:t>
      </w:r>
    </w:p>
    <w:p w14:paraId="2ED0E572" w14:textId="77777777" w:rsidR="002B573F" w:rsidRPr="002B573F" w:rsidRDefault="002B573F" w:rsidP="00742C7B">
      <w:pPr>
        <w:widowControl/>
        <w:autoSpaceDE/>
        <w:autoSpaceDN/>
        <w:spacing w:before="100" w:beforeAutospacing="1" w:after="100" w:afterAutospacing="1"/>
        <w:jc w:val="both"/>
        <w:rPr>
          <w:sz w:val="24"/>
          <w:szCs w:val="24"/>
        </w:rPr>
      </w:pPr>
      <w:r w:rsidRPr="002B573F">
        <w:rPr>
          <w:sz w:val="24"/>
          <w:szCs w:val="24"/>
        </w:rPr>
        <w:lastRenderedPageBreak/>
        <w:t>Therefore, this study focuses on examining how teachers’ mastery of food science content knowledge and their practical laboratory skills influence their overall teaching competencies. By assessing these two dimensions, the study aims to provide evidence on how specialized pedagogical training can enhance effective teaching and learning in food science within the Mezam Division. Strengthening these competencies is essential for improving instructional quality, fostering student engagement, and promoting a scientifically literate and skilled population capable of contributing to national development.</w:t>
      </w:r>
    </w:p>
    <w:p w14:paraId="1EFF117F" w14:textId="77777777" w:rsidR="002B573F" w:rsidRPr="002B573F" w:rsidRDefault="002B573F" w:rsidP="00742C7B">
      <w:pPr>
        <w:widowControl/>
        <w:autoSpaceDE/>
        <w:autoSpaceDN/>
        <w:spacing w:before="100" w:beforeAutospacing="1" w:after="100" w:afterAutospacing="1"/>
        <w:jc w:val="both"/>
        <w:outlineLvl w:val="2"/>
        <w:rPr>
          <w:b/>
          <w:bCs/>
          <w:sz w:val="24"/>
          <w:szCs w:val="24"/>
        </w:rPr>
      </w:pPr>
      <w:r w:rsidRPr="002B573F">
        <w:rPr>
          <w:b/>
          <w:bCs/>
          <w:sz w:val="24"/>
          <w:szCs w:val="24"/>
        </w:rPr>
        <w:t>Background to the Study</w:t>
      </w:r>
    </w:p>
    <w:p w14:paraId="3A4EE8C3" w14:textId="72FEA776" w:rsidR="00742C7B" w:rsidRDefault="00742C7B" w:rsidP="00742C7B">
      <w:pPr>
        <w:pStyle w:val="NormalWeb"/>
        <w:jc w:val="both"/>
      </w:pPr>
      <w:r>
        <w:t>Food science education has emerged as an increasingly vital component of Cameroon’s secondary school curriculum, reflecting the government’s broader commitment to strengthening technical and vocational education as a driver of national development. This emphasis aligns with policy objectives aimed at achieving food security, improving nutrition, and enhancing public health (</w:t>
      </w:r>
      <w:r w:rsidR="00A3413D">
        <w:t>United Nations Children’s Fund &amp; World Health Organization, 2018</w:t>
      </w:r>
      <w:r>
        <w:t xml:space="preserve">). In a country where agriculture and food production remain major economic sectors, developing students’ scientific understanding of food processing, preservation, and safety is critical to addressing challenges such as malnutrition and post-harvest losses. Consequently, food science education serves not only academic purposes but also socio-economic and health-related goals by preparing learners to contribute meaningfully to the national vision of sustainable food systems. However, the effectiveness of food science education depends substantially on the professional competencies of the teachers who deliver it. These competencies include mastery of food science content, pedagogical knowledge, and the ability to demonstrate concepts through practical and laboratory applications. </w:t>
      </w:r>
      <w:r w:rsidR="00EA19E5">
        <w:t>M</w:t>
      </w:r>
      <w:r>
        <w:t>any teachers assigned to teach food science in Mezam Division were originally trained in related but non-specialized disciplines such as general science or home economics. This mismatch in training has historically limited the depth and accuracy of instruction, leading to a superficial treatment of key topics and minimal incorporation of laboratory-based activities. Without adequate practical engagement, students often struggle to connect theoretical principles with real-world applications, which weakens their scientific reasoning and problem-solving abilities.</w:t>
      </w:r>
    </w:p>
    <w:p w14:paraId="00446074" w14:textId="07388D12" w:rsidR="00742C7B" w:rsidRDefault="00742C7B" w:rsidP="00742C7B">
      <w:pPr>
        <w:pStyle w:val="NormalWeb"/>
        <w:jc w:val="both"/>
      </w:pPr>
      <w:r>
        <w:t>Recognizing these gaps, the Ministry of Secondary Education, in partnership with international organizations such as UNESCO and the World Bank, introduced specialized pedagogical training programs designed to enhance teachers’ mastery of food science content and laboratory-based instructio</w:t>
      </w:r>
      <w:r w:rsidR="00985EEB">
        <w:t>nal methods (UNESCO, 2024</w:t>
      </w:r>
      <w:r>
        <w:t xml:space="preserve">). These capacity-building initiatives aim to bridge the persistent gap between theory and practice by equipping teachers with the skills to plan, implement, and assess practical lessons effectively. Teachers are trained to handle laboratory equipment, conduct experiments safely, and guide students through inquiry-based learning processes. </w:t>
      </w:r>
      <w:r w:rsidR="00EA19E5">
        <w:t>T</w:t>
      </w:r>
      <w:r>
        <w:t>eachers who undergo such targeted professional development demonstrate improved confidence, stronger pedagogical integration of theory and practice, and enhanced student engagement during laboratory sessions. Empirical evidence supports the assertion that teachers’ content knowledge significantly influences their instructional effectiveness. Darling-Hammond et al. (2020) highlight that teachers with strong subject matter expertise are better able to design coherent lessons, diagnose student misconceptions, and select appropriate teaching strategies. In food science education, this means possessing a deep understanding of topics such as food microbiology, biochemistry, food preservation techniques, and nutritional science, and being able to translate these abstract concepts into meaningful learning experiences. Similarly, Smith and Jones (2021) argue that teachers’ laboratory and practical competencies are central to fostering scientific thinking, observation, and experimentation skills among learners. When teachers can skillfully demonstrate experiments and facilitate hands-on inquiry, students are more likely to develop curiosity, conceptual understanding, and transferable problem-solving abilities.</w:t>
      </w:r>
    </w:p>
    <w:p w14:paraId="5A34ECEC" w14:textId="77777777" w:rsidR="004C4BB6" w:rsidRDefault="004C4BB6" w:rsidP="00742C7B">
      <w:pPr>
        <w:pStyle w:val="NormalWeb"/>
        <w:jc w:val="both"/>
      </w:pPr>
      <w:r w:rsidRPr="004C4BB6">
        <w:lastRenderedPageBreak/>
        <w:t xml:space="preserve">The theoretical foundation of this study is anchored in </w:t>
      </w:r>
      <w:r w:rsidRPr="004C4BB6">
        <w:rPr>
          <w:bCs/>
        </w:rPr>
        <w:t>Shulman’s (1986) Theory of Pedagogical Content Knowledge (PCK)</w:t>
      </w:r>
      <w:r w:rsidRPr="004C4BB6">
        <w:t xml:space="preserve">, which emphasizes that effective teaching requires not only mastery of subject content but also the ability to translate that knowledge into instructional strategies that promote student understanding. PCK asserts that teachers’ competencies are shaped by the integration of content knowledge with pedagogy, enabling them to design lessons that are both conceptually accurate and pedagogically effective. In the context of food science education, this theory justifies examining both teachers’ content knowledge and their practical laboratory skills, as mastery of theoretical principles alone is insufficient for fostering student learning in a discipline that is inherently practical and experiential. By grounding the study in PCK, it becomes possible to conceptualize specialized pedagogical training as a mechanism for enhancing teachers’ ability to link scientific theory with hands-on application, thereby improving instructional quality and student engagement. Additionally, this study draws on </w:t>
      </w:r>
      <w:r w:rsidRPr="004C4BB6">
        <w:rPr>
          <w:bCs/>
        </w:rPr>
        <w:t>Bandura’s (1977) Social Learning Theory</w:t>
      </w:r>
      <w:r w:rsidRPr="004C4BB6">
        <w:t>, which posits that learning occurs through observation, modeling, and practice in social contexts. Applied to teacher professional development, the theory highlights that teachers acquire and refine instructional skills not solely through formal coursework but also through mentorship, peer observation, and guided practice in the classroom or laboratory. This perspective supports the investigation of practical and laboratory-based training as critical components of teacher competency, as such experiential learning opportunities enable educators to internalize effective teaching strategies, build confidence, and enhance their instructional performance. Together, Shulman’s PCK and Bandura’s Social Learning Theory provide a robust theoretical foundation, justifying the study’s focus on both content mastery and practical pedagogical skills as determinants of teaching competence in secondary school food science education in Mezam Division.</w:t>
      </w:r>
    </w:p>
    <w:p w14:paraId="3B720F13" w14:textId="77777777" w:rsidR="00742C7B" w:rsidRDefault="00742C7B" w:rsidP="00742C7B">
      <w:pPr>
        <w:pStyle w:val="NormalWeb"/>
        <w:jc w:val="both"/>
      </w:pPr>
      <w:r>
        <w:t>In Mezam Division, however, the implementation of the practical components of the food science curriculum remains challenging. Schools often contend with insufficient laboratory infrastructure, inadequate instructional materials, and a shortage of teachers who have received specialized training in food science pedagogy (</w:t>
      </w:r>
      <w:r w:rsidR="00246CAB">
        <w:t>Kumari et al., 2025</w:t>
      </w:r>
      <w:r>
        <w:t xml:space="preserve">). These limitations constrain teachers’ ability to deliver practical lessons that align with curriculum standards. Nonetheless, recent educational initiatives and studies (e.g., </w:t>
      </w:r>
      <w:r w:rsidR="00A3413D">
        <w:t>Adewale, 2022</w:t>
      </w:r>
      <w:r>
        <w:t>) indicate growing awareness among teachers, administrators, and policymakers about the importance of practical and experiential learning in enhancing student outcomes. Strengthening specialized pedagogical training that integrates both theoretical mastery and hands-on laboratory competence is, therefore, essential for improving teaching quality and student performance in food science. Within this context, the present study seeks to investigate the extent to which teachers’ mastery of food science content and their practical laboratory skills influence their overall teaching competencies in secondary schools across Mezam Division. By examining these relationships, the study aims to generate evidence-based insights into how specialized pedagogical training can be optimized to enhance the quality of food science instruction. The findings are expected to inform teacher training programs, curriculum development, and policy reforms that support the advancement of technical and vocational education in Cameroon. Ultimately, improving teachers’ professional competencies in food science is a crucial step toward nurturing a generation of learners equipped with both the theoretical and practical expertise necessary for innovation in food technology, nutrition, and sustainable development.</w:t>
      </w:r>
    </w:p>
    <w:p w14:paraId="21B91F00" w14:textId="77777777" w:rsidR="00742C7B" w:rsidRPr="00742C7B" w:rsidRDefault="00742C7B" w:rsidP="00742C7B">
      <w:pPr>
        <w:widowControl/>
        <w:autoSpaceDE/>
        <w:autoSpaceDN/>
        <w:spacing w:before="100" w:beforeAutospacing="1" w:after="100" w:afterAutospacing="1"/>
        <w:jc w:val="both"/>
        <w:outlineLvl w:val="2"/>
        <w:rPr>
          <w:b/>
          <w:bCs/>
          <w:sz w:val="24"/>
          <w:szCs w:val="24"/>
        </w:rPr>
      </w:pPr>
      <w:r>
        <w:rPr>
          <w:b/>
          <w:bCs/>
          <w:sz w:val="24"/>
          <w:szCs w:val="24"/>
        </w:rPr>
        <w:t>St</w:t>
      </w:r>
      <w:r w:rsidRPr="00742C7B">
        <w:rPr>
          <w:b/>
          <w:bCs/>
          <w:sz w:val="24"/>
          <w:szCs w:val="24"/>
        </w:rPr>
        <w:t>atement of the Problem</w:t>
      </w:r>
    </w:p>
    <w:p w14:paraId="55E70755" w14:textId="77777777" w:rsidR="00742C7B" w:rsidRPr="00742C7B" w:rsidRDefault="00742C7B" w:rsidP="00742C7B">
      <w:pPr>
        <w:widowControl/>
        <w:autoSpaceDE/>
        <w:autoSpaceDN/>
        <w:spacing w:before="100" w:beforeAutospacing="1" w:after="100" w:afterAutospacing="1"/>
        <w:jc w:val="both"/>
        <w:rPr>
          <w:sz w:val="24"/>
          <w:szCs w:val="24"/>
        </w:rPr>
      </w:pPr>
      <w:r w:rsidRPr="00742C7B">
        <w:rPr>
          <w:sz w:val="24"/>
          <w:szCs w:val="24"/>
        </w:rPr>
        <w:t xml:space="preserve">The effective teaching of food science in Cameroon’s secondary schools, particularly in Mezam Division, is hindered by teachers’ limited mastery of subject content and inadequate practical skills. Although food science is central to national goals in food security and vocational education, many teachers assigned to the subject were trained in general science or home economics and lack specialized knowledge in areas such as food chemistry, microbiology, and nutrition </w:t>
      </w:r>
      <w:r w:rsidRPr="00246CAB">
        <w:rPr>
          <w:sz w:val="24"/>
          <w:szCs w:val="24"/>
        </w:rPr>
        <w:t>(</w:t>
      </w:r>
      <w:proofErr w:type="spellStart"/>
      <w:r w:rsidR="00246CAB" w:rsidRPr="00246CAB">
        <w:t>Nguru</w:t>
      </w:r>
      <w:proofErr w:type="spellEnd"/>
      <w:r w:rsidR="00246CAB" w:rsidRPr="00246CAB">
        <w:t>, 2021</w:t>
      </w:r>
      <w:r w:rsidRPr="00246CAB">
        <w:rPr>
          <w:sz w:val="24"/>
          <w:szCs w:val="24"/>
        </w:rPr>
        <w:t>).</w:t>
      </w:r>
      <w:r w:rsidRPr="00742C7B">
        <w:rPr>
          <w:sz w:val="24"/>
          <w:szCs w:val="24"/>
        </w:rPr>
        <w:t xml:space="preserve"> </w:t>
      </w:r>
      <w:r w:rsidRPr="00742C7B">
        <w:rPr>
          <w:sz w:val="24"/>
          <w:szCs w:val="24"/>
        </w:rPr>
        <w:lastRenderedPageBreak/>
        <w:t>This results in overly theoretical instruction with minimal practical engagement. Moreover, the absence of sufficient laboratory training and facilities prevents teachers from integrating hands-on learning and experi</w:t>
      </w:r>
      <w:r w:rsidR="00096439">
        <w:rPr>
          <w:sz w:val="24"/>
          <w:szCs w:val="24"/>
        </w:rPr>
        <w:t>mentation</w:t>
      </w:r>
      <w:r w:rsidRPr="00742C7B">
        <w:rPr>
          <w:sz w:val="24"/>
          <w:szCs w:val="24"/>
        </w:rPr>
        <w:t>. Consequently, students fail to develop essential scientific and problem-solving skills. This study therefore seeks to examine how teachers’ mastery of food science content and their laboratory competencies influence their overall teaching effectiveness in secondary schools within Mezam Division.</w:t>
      </w:r>
    </w:p>
    <w:p w14:paraId="1B113AE5" w14:textId="77777777" w:rsidR="00742C7B" w:rsidRPr="00742C7B" w:rsidRDefault="00742C7B" w:rsidP="00742C7B">
      <w:pPr>
        <w:widowControl/>
        <w:autoSpaceDE/>
        <w:autoSpaceDN/>
        <w:spacing w:before="100" w:beforeAutospacing="1" w:after="100" w:afterAutospacing="1"/>
        <w:jc w:val="both"/>
        <w:rPr>
          <w:rFonts w:eastAsia="SimSun"/>
          <w:b/>
          <w:sz w:val="24"/>
          <w:szCs w:val="24"/>
        </w:rPr>
      </w:pPr>
      <w:r w:rsidRPr="00742C7B">
        <w:rPr>
          <w:rFonts w:eastAsia="SimSun"/>
          <w:b/>
          <w:sz w:val="24"/>
          <w:szCs w:val="24"/>
        </w:rPr>
        <w:t>Objectives of the Study</w:t>
      </w:r>
    </w:p>
    <w:p w14:paraId="7F0D360F" w14:textId="77777777" w:rsidR="00742C7B" w:rsidRPr="00742C7B" w:rsidRDefault="00742C7B" w:rsidP="00742C7B">
      <w:pPr>
        <w:widowControl/>
        <w:numPr>
          <w:ilvl w:val="0"/>
          <w:numId w:val="1"/>
        </w:numPr>
        <w:autoSpaceDE/>
        <w:autoSpaceDN/>
        <w:spacing w:before="100" w:beforeAutospacing="1" w:after="160"/>
        <w:ind w:left="720"/>
        <w:contextualSpacing/>
        <w:rPr>
          <w:rFonts w:eastAsia="SimSun"/>
          <w:bCs/>
          <w:color w:val="000000"/>
          <w:sz w:val="24"/>
          <w:szCs w:val="24"/>
        </w:rPr>
      </w:pPr>
      <w:r w:rsidRPr="00742C7B">
        <w:rPr>
          <w:rFonts w:eastAsia="Calibri"/>
          <w:color w:val="000000"/>
          <w:sz w:val="24"/>
          <w:szCs w:val="24"/>
        </w:rPr>
        <w:t xml:space="preserve">Determine the impact of teachers’ </w:t>
      </w:r>
      <w:r w:rsidRPr="00742C7B">
        <w:rPr>
          <w:rFonts w:eastAsia="Calibri"/>
          <w:bCs/>
          <w:color w:val="000000"/>
          <w:sz w:val="24"/>
          <w:szCs w:val="24"/>
        </w:rPr>
        <w:t>content knowledge in food science on their teaching competencies.</w:t>
      </w:r>
      <w:r w:rsidRPr="00742C7B">
        <w:rPr>
          <w:rFonts w:eastAsia="Calibri"/>
          <w:color w:val="000000"/>
          <w:sz w:val="24"/>
          <w:szCs w:val="24"/>
        </w:rPr>
        <w:t xml:space="preserve"> </w:t>
      </w:r>
    </w:p>
    <w:p w14:paraId="38DFD99B" w14:textId="77777777" w:rsidR="00742C7B" w:rsidRPr="00742C7B" w:rsidRDefault="00742C7B" w:rsidP="00742C7B">
      <w:pPr>
        <w:widowControl/>
        <w:numPr>
          <w:ilvl w:val="0"/>
          <w:numId w:val="1"/>
        </w:numPr>
        <w:autoSpaceDE/>
        <w:autoSpaceDN/>
        <w:spacing w:before="100" w:beforeAutospacing="1" w:after="100"/>
        <w:ind w:left="720"/>
        <w:jc w:val="both"/>
        <w:rPr>
          <w:rFonts w:eastAsia="SimSun"/>
          <w:sz w:val="24"/>
          <w:szCs w:val="24"/>
        </w:rPr>
      </w:pPr>
      <w:r w:rsidRPr="00742C7B">
        <w:rPr>
          <w:rFonts w:eastAsia="SimSun"/>
          <w:sz w:val="24"/>
          <w:szCs w:val="24"/>
        </w:rPr>
        <w:t xml:space="preserve">Evaluate the influence of teachers’ </w:t>
      </w:r>
      <w:r w:rsidRPr="00742C7B">
        <w:rPr>
          <w:rFonts w:eastAsia="SimSun"/>
          <w:bCs/>
          <w:sz w:val="24"/>
          <w:szCs w:val="24"/>
        </w:rPr>
        <w:t>practical and laboratory skills in food science on their teaching competencies.</w:t>
      </w:r>
    </w:p>
    <w:p w14:paraId="7EABE865" w14:textId="77777777" w:rsidR="00742C7B" w:rsidRPr="00742C7B" w:rsidRDefault="00742C7B" w:rsidP="00742C7B">
      <w:pPr>
        <w:widowControl/>
        <w:autoSpaceDE/>
        <w:autoSpaceDN/>
        <w:spacing w:before="100" w:beforeAutospacing="1" w:after="100" w:afterAutospacing="1"/>
        <w:jc w:val="both"/>
        <w:rPr>
          <w:rFonts w:eastAsia="SimSun"/>
          <w:b/>
          <w:bCs/>
          <w:sz w:val="24"/>
          <w:szCs w:val="24"/>
        </w:rPr>
      </w:pPr>
      <w:r w:rsidRPr="00742C7B">
        <w:rPr>
          <w:rFonts w:eastAsia="SimSun"/>
          <w:b/>
          <w:bCs/>
          <w:sz w:val="24"/>
          <w:szCs w:val="24"/>
        </w:rPr>
        <w:t>Research Questions</w:t>
      </w:r>
    </w:p>
    <w:p w14:paraId="23FF69C6" w14:textId="77777777" w:rsidR="00742C7B" w:rsidRPr="00742C7B" w:rsidRDefault="00742C7B" w:rsidP="00742C7B">
      <w:pPr>
        <w:widowControl/>
        <w:numPr>
          <w:ilvl w:val="0"/>
          <w:numId w:val="2"/>
        </w:numPr>
        <w:autoSpaceDE/>
        <w:autoSpaceDN/>
        <w:spacing w:before="100" w:beforeAutospacing="1" w:after="160"/>
        <w:ind w:left="720"/>
        <w:contextualSpacing/>
        <w:jc w:val="both"/>
        <w:rPr>
          <w:rFonts w:eastAsia="SimSun"/>
          <w:bCs/>
          <w:color w:val="000000"/>
          <w:sz w:val="24"/>
          <w:szCs w:val="24"/>
        </w:rPr>
      </w:pPr>
      <w:r w:rsidRPr="00742C7B">
        <w:rPr>
          <w:rFonts w:eastAsia="Calibri"/>
          <w:color w:val="000000"/>
          <w:sz w:val="24"/>
          <w:szCs w:val="24"/>
        </w:rPr>
        <w:t xml:space="preserve">What is the impact of teachers’ </w:t>
      </w:r>
      <w:r w:rsidRPr="00742C7B">
        <w:rPr>
          <w:rFonts w:eastAsia="Calibri"/>
          <w:bCs/>
          <w:color w:val="000000"/>
          <w:sz w:val="24"/>
          <w:szCs w:val="24"/>
        </w:rPr>
        <w:t>content knowledge in food science on their teaching competencies?</w:t>
      </w:r>
    </w:p>
    <w:p w14:paraId="188986CE" w14:textId="77777777" w:rsidR="00742C7B" w:rsidRPr="00742C7B" w:rsidRDefault="00742C7B" w:rsidP="00742C7B">
      <w:pPr>
        <w:widowControl/>
        <w:numPr>
          <w:ilvl w:val="0"/>
          <w:numId w:val="2"/>
        </w:numPr>
        <w:autoSpaceDE/>
        <w:autoSpaceDN/>
        <w:spacing w:before="100" w:beforeAutospacing="1" w:after="100"/>
        <w:ind w:left="720"/>
        <w:jc w:val="both"/>
        <w:rPr>
          <w:rFonts w:eastAsia="SimSun"/>
          <w:sz w:val="24"/>
          <w:szCs w:val="24"/>
        </w:rPr>
      </w:pPr>
      <w:r w:rsidRPr="00742C7B">
        <w:rPr>
          <w:rFonts w:eastAsia="SimSun"/>
          <w:sz w:val="24"/>
          <w:szCs w:val="24"/>
        </w:rPr>
        <w:t xml:space="preserve">What is the influence of teachers’ </w:t>
      </w:r>
      <w:r w:rsidRPr="00742C7B">
        <w:rPr>
          <w:rFonts w:eastAsia="SimSun"/>
          <w:bCs/>
          <w:sz w:val="24"/>
          <w:szCs w:val="24"/>
        </w:rPr>
        <w:t>practical and laboratory skills in food science on their teaching competencies?</w:t>
      </w:r>
    </w:p>
    <w:p w14:paraId="6F055750" w14:textId="77777777" w:rsidR="00742C7B" w:rsidRPr="00742C7B" w:rsidRDefault="00742C7B" w:rsidP="00742C7B">
      <w:pPr>
        <w:widowControl/>
        <w:autoSpaceDE/>
        <w:autoSpaceDN/>
        <w:spacing w:before="100" w:beforeAutospacing="1" w:after="100" w:afterAutospacing="1"/>
        <w:jc w:val="both"/>
        <w:rPr>
          <w:rFonts w:eastAsia="SimSun"/>
          <w:b/>
          <w:sz w:val="24"/>
          <w:szCs w:val="24"/>
        </w:rPr>
      </w:pPr>
      <w:r w:rsidRPr="00742C7B">
        <w:rPr>
          <w:rFonts w:eastAsia="SimSun"/>
          <w:b/>
          <w:sz w:val="24"/>
          <w:szCs w:val="24"/>
        </w:rPr>
        <w:t>Research Hypotheses</w:t>
      </w:r>
    </w:p>
    <w:p w14:paraId="3AF38708" w14:textId="77777777" w:rsidR="00742C7B" w:rsidRPr="00742C7B" w:rsidRDefault="00742C7B" w:rsidP="00742C7B">
      <w:pPr>
        <w:widowControl/>
        <w:autoSpaceDE/>
        <w:autoSpaceDN/>
        <w:spacing w:before="100" w:beforeAutospacing="1" w:after="100" w:afterAutospacing="1"/>
        <w:ind w:left="540" w:hanging="540"/>
        <w:jc w:val="both"/>
        <w:rPr>
          <w:rFonts w:eastAsia="SimSun"/>
          <w:sz w:val="24"/>
          <w:szCs w:val="24"/>
        </w:rPr>
      </w:pPr>
      <w:r w:rsidRPr="00742C7B">
        <w:rPr>
          <w:rFonts w:eastAsia="SimSun"/>
          <w:b/>
          <w:bCs/>
          <w:sz w:val="24"/>
          <w:szCs w:val="24"/>
        </w:rPr>
        <w:t>Ho</w:t>
      </w:r>
      <w:r w:rsidRPr="00742C7B">
        <w:rPr>
          <w:rFonts w:eastAsia="SimSun"/>
          <w:b/>
          <w:bCs/>
          <w:sz w:val="24"/>
          <w:szCs w:val="24"/>
          <w:vertAlign w:val="subscript"/>
        </w:rPr>
        <w:t>1</w:t>
      </w:r>
      <w:r w:rsidRPr="00742C7B">
        <w:rPr>
          <w:rFonts w:eastAsia="SimSun"/>
          <w:b/>
          <w:bCs/>
          <w:sz w:val="24"/>
          <w:szCs w:val="24"/>
        </w:rPr>
        <w:t>:</w:t>
      </w:r>
      <w:r w:rsidRPr="00742C7B">
        <w:rPr>
          <w:rFonts w:eastAsia="SimSun"/>
          <w:sz w:val="24"/>
          <w:szCs w:val="24"/>
        </w:rPr>
        <w:t xml:space="preserve"> Teachers’ content knowledge in food science has no significant impact on their teaching competencies.</w:t>
      </w:r>
    </w:p>
    <w:p w14:paraId="2B901832" w14:textId="77777777" w:rsidR="00742C7B" w:rsidRPr="00742C7B" w:rsidRDefault="00742C7B" w:rsidP="00742C7B">
      <w:pPr>
        <w:widowControl/>
        <w:autoSpaceDE/>
        <w:autoSpaceDN/>
        <w:spacing w:before="100" w:beforeAutospacing="1" w:after="100" w:afterAutospacing="1"/>
        <w:ind w:left="540" w:hanging="540"/>
        <w:jc w:val="both"/>
        <w:rPr>
          <w:rFonts w:eastAsia="SimSun"/>
          <w:b/>
          <w:sz w:val="24"/>
          <w:szCs w:val="24"/>
        </w:rPr>
      </w:pPr>
      <w:r w:rsidRPr="00742C7B">
        <w:rPr>
          <w:rFonts w:eastAsia="SimSun"/>
          <w:b/>
          <w:bCs/>
          <w:sz w:val="24"/>
          <w:szCs w:val="24"/>
        </w:rPr>
        <w:t xml:space="preserve"> Ha₁:</w:t>
      </w:r>
      <w:r w:rsidRPr="00742C7B">
        <w:rPr>
          <w:rFonts w:eastAsia="SimSun"/>
          <w:sz w:val="24"/>
          <w:szCs w:val="24"/>
        </w:rPr>
        <w:t xml:space="preserve"> Teachers’ content knowledge in food science has a significant impact on their teaching competencies.</w:t>
      </w:r>
    </w:p>
    <w:p w14:paraId="51FD0B48" w14:textId="77777777" w:rsidR="00742C7B" w:rsidRPr="00742C7B" w:rsidRDefault="00742C7B" w:rsidP="00742C7B">
      <w:pPr>
        <w:widowControl/>
        <w:autoSpaceDE/>
        <w:autoSpaceDN/>
        <w:spacing w:before="100" w:beforeAutospacing="1"/>
        <w:ind w:left="540" w:hanging="540"/>
        <w:jc w:val="both"/>
        <w:rPr>
          <w:color w:val="000000"/>
          <w:sz w:val="24"/>
          <w:szCs w:val="24"/>
        </w:rPr>
      </w:pPr>
      <w:r w:rsidRPr="00742C7B">
        <w:rPr>
          <w:b/>
          <w:bCs/>
          <w:color w:val="000000"/>
          <w:sz w:val="24"/>
          <w:szCs w:val="24"/>
        </w:rPr>
        <w:t>Ho</w:t>
      </w:r>
      <w:r w:rsidRPr="00742C7B">
        <w:rPr>
          <w:b/>
          <w:bCs/>
          <w:color w:val="000000"/>
          <w:sz w:val="24"/>
          <w:szCs w:val="24"/>
          <w:vertAlign w:val="subscript"/>
        </w:rPr>
        <w:t>2</w:t>
      </w:r>
      <w:r w:rsidRPr="00742C7B">
        <w:rPr>
          <w:b/>
          <w:bCs/>
          <w:color w:val="000000"/>
          <w:sz w:val="24"/>
          <w:szCs w:val="24"/>
        </w:rPr>
        <w:t xml:space="preserve">: </w:t>
      </w:r>
      <w:r w:rsidRPr="00742C7B">
        <w:rPr>
          <w:color w:val="000000"/>
          <w:sz w:val="24"/>
          <w:szCs w:val="24"/>
        </w:rPr>
        <w:t>Teachers’ practical and laboratory skills in food science have no significant influence on their teaching competencies.</w:t>
      </w:r>
    </w:p>
    <w:p w14:paraId="73A6B02E" w14:textId="77777777" w:rsidR="00742C7B" w:rsidRPr="00742C7B" w:rsidRDefault="00742C7B" w:rsidP="00742C7B">
      <w:pPr>
        <w:widowControl/>
        <w:autoSpaceDE/>
        <w:autoSpaceDN/>
        <w:spacing w:before="100" w:beforeAutospacing="1"/>
        <w:ind w:left="540" w:hanging="540"/>
        <w:jc w:val="both"/>
        <w:rPr>
          <w:color w:val="000000"/>
          <w:sz w:val="24"/>
          <w:szCs w:val="24"/>
        </w:rPr>
      </w:pPr>
      <w:r w:rsidRPr="00742C7B">
        <w:rPr>
          <w:b/>
          <w:bCs/>
          <w:color w:val="000000"/>
          <w:sz w:val="24"/>
          <w:szCs w:val="24"/>
        </w:rPr>
        <w:t>Ha</w:t>
      </w:r>
      <w:r w:rsidRPr="00742C7B">
        <w:rPr>
          <w:b/>
          <w:bCs/>
          <w:color w:val="000000"/>
          <w:sz w:val="24"/>
          <w:szCs w:val="24"/>
          <w:vertAlign w:val="subscript"/>
        </w:rPr>
        <w:t>2</w:t>
      </w:r>
      <w:r w:rsidRPr="00742C7B">
        <w:rPr>
          <w:b/>
          <w:bCs/>
          <w:color w:val="000000"/>
          <w:sz w:val="24"/>
          <w:szCs w:val="24"/>
        </w:rPr>
        <w:t>:</w:t>
      </w:r>
      <w:r w:rsidRPr="00742C7B">
        <w:rPr>
          <w:color w:val="000000"/>
          <w:sz w:val="24"/>
          <w:szCs w:val="24"/>
        </w:rPr>
        <w:t xml:space="preserve"> Teachers’ practical and laboratory skills in food science have a significant influence on their teaching competencies.</w:t>
      </w:r>
    </w:p>
    <w:p w14:paraId="5CC1CB8C" w14:textId="77777777" w:rsidR="00742C7B" w:rsidRDefault="00742C7B" w:rsidP="002B573F">
      <w:pPr>
        <w:pStyle w:val="Heading1"/>
        <w:ind w:left="0" w:right="0"/>
        <w:jc w:val="both"/>
      </w:pPr>
    </w:p>
    <w:p w14:paraId="11AA9700" w14:textId="77777777" w:rsidR="0057357B" w:rsidRDefault="0057357B" w:rsidP="002B573F">
      <w:pPr>
        <w:pStyle w:val="Heading1"/>
        <w:ind w:left="0" w:right="0"/>
        <w:jc w:val="both"/>
      </w:pPr>
      <w:r>
        <w:t>METHODOLOGY</w:t>
      </w:r>
    </w:p>
    <w:p w14:paraId="586F8602" w14:textId="1C9583B2" w:rsidR="00F348ED" w:rsidRPr="00F348ED" w:rsidRDefault="00F348ED" w:rsidP="00F348ED">
      <w:pPr>
        <w:pStyle w:val="Heading1"/>
        <w:spacing w:before="240" w:after="240"/>
        <w:ind w:left="0" w:right="0"/>
        <w:jc w:val="both"/>
        <w:rPr>
          <w:b w:val="0"/>
        </w:rPr>
      </w:pPr>
      <w:r w:rsidRPr="00F348ED">
        <w:rPr>
          <w:b w:val="0"/>
        </w:rPr>
        <w:t xml:space="preserve">This study used a convergent parallel mixed-methods design to examine the impact of specialized food science pedagogical training on teachers’ competencies in Mezam Division. Quantitative and qualitative data were collected simultaneously, analyzed separately, and merged for interpretation to provide a comprehensive understanding of the phenomenon. The quantitative aspect employed a descriptive survey, while the qualitative aspect involved interviews, ensuring triangulation and validity of findings. The study area was Mezam Division in the North West Region of Cameroon, selected for its educational diversity and concentration of secondary schools offering food science. The target population consisted of 118 teachers, from which a sample of 92 was determined using </w:t>
      </w:r>
      <w:proofErr w:type="spellStart"/>
      <w:r w:rsidRPr="00F348ED">
        <w:rPr>
          <w:b w:val="0"/>
        </w:rPr>
        <w:t>Krejcie</w:t>
      </w:r>
      <w:proofErr w:type="spellEnd"/>
      <w:r w:rsidRPr="00F348ED">
        <w:rPr>
          <w:b w:val="0"/>
        </w:rPr>
        <w:t xml:space="preserve"> and Morgan’s (1970) table. A stratified random sampling technique ensured representation of teachers across school types, while </w:t>
      </w:r>
      <w:r w:rsidR="00E4376E">
        <w:rPr>
          <w:b w:val="0"/>
        </w:rPr>
        <w:t xml:space="preserve">four </w:t>
      </w:r>
      <w:r w:rsidR="003A3D32">
        <w:rPr>
          <w:b w:val="0"/>
        </w:rPr>
        <w:t xml:space="preserve">food science </w:t>
      </w:r>
      <w:r w:rsidR="00E4376E">
        <w:rPr>
          <w:b w:val="0"/>
        </w:rPr>
        <w:t>pedagogic inspectors (PI)</w:t>
      </w:r>
      <w:r w:rsidRPr="00F348ED">
        <w:rPr>
          <w:b w:val="0"/>
        </w:rPr>
        <w:t xml:space="preserve"> were purposively selected for interviews to provide deeper insights.</w:t>
      </w:r>
    </w:p>
    <w:p w14:paraId="4974DE9B" w14:textId="77777777" w:rsidR="0057357B" w:rsidRDefault="00F348ED" w:rsidP="00F348ED">
      <w:pPr>
        <w:pStyle w:val="Heading1"/>
        <w:ind w:left="0" w:right="0"/>
        <w:jc w:val="both"/>
        <w:rPr>
          <w:b w:val="0"/>
        </w:rPr>
      </w:pPr>
      <w:r w:rsidRPr="00F348ED">
        <w:rPr>
          <w:b w:val="0"/>
        </w:rPr>
        <w:t xml:space="preserve">Data were gathered using a questionnaire and a semi-structured interview guide. The questionnaire covered demographic information, content knowledge, practical skills, technology use, and professional development, rated on a four-point Likert scale. The instruments were validated by </w:t>
      </w:r>
      <w:r w:rsidRPr="00F348ED">
        <w:rPr>
          <w:b w:val="0"/>
        </w:rPr>
        <w:lastRenderedPageBreak/>
        <w:t>experts, and a pilot test produced a Cronbach’s Alpha of 0.84, confirming reliability. Quantitative data were analyzed using descriptive and inferential statistics such as means, standard deviations, Pearson correlation, and multiple regression, while qualitative data were analyzed thematically. Ethical approval was obtained, and participants gave informed consent. Confidentiality and anonymity were upheld throughout the study.</w:t>
      </w:r>
    </w:p>
    <w:p w14:paraId="238CBF05" w14:textId="77777777" w:rsidR="00F348ED" w:rsidRDefault="00F348ED" w:rsidP="00F348ED">
      <w:pPr>
        <w:pStyle w:val="Heading1"/>
        <w:ind w:left="0" w:right="0"/>
        <w:jc w:val="both"/>
        <w:rPr>
          <w:b w:val="0"/>
        </w:rPr>
      </w:pPr>
    </w:p>
    <w:p w14:paraId="6988ED11" w14:textId="77777777" w:rsidR="00F348ED" w:rsidRDefault="00F348ED" w:rsidP="00F348ED">
      <w:pPr>
        <w:pStyle w:val="Heading1"/>
        <w:ind w:left="0" w:right="0"/>
        <w:jc w:val="both"/>
        <w:rPr>
          <w:b w:val="0"/>
        </w:rPr>
      </w:pPr>
    </w:p>
    <w:p w14:paraId="44FBA59A" w14:textId="77777777" w:rsidR="00F348ED" w:rsidRPr="00F348ED" w:rsidRDefault="00F348ED" w:rsidP="00F348ED">
      <w:pPr>
        <w:pStyle w:val="Heading1"/>
        <w:ind w:left="0" w:right="0"/>
        <w:jc w:val="both"/>
      </w:pPr>
      <w:r w:rsidRPr="00F348ED">
        <w:t>FINDINGS</w:t>
      </w:r>
    </w:p>
    <w:p w14:paraId="050CEB87" w14:textId="77777777" w:rsidR="00F348ED" w:rsidRPr="00F348ED" w:rsidRDefault="00F348ED" w:rsidP="00F348ED">
      <w:pPr>
        <w:widowControl/>
        <w:adjustRightInd w:val="0"/>
        <w:spacing w:before="100" w:beforeAutospacing="1"/>
        <w:rPr>
          <w:rFonts w:eastAsia="Calibri"/>
          <w:b/>
          <w:color w:val="000000"/>
          <w:sz w:val="24"/>
          <w:szCs w:val="24"/>
        </w:rPr>
      </w:pPr>
      <w:r w:rsidRPr="00F348ED">
        <w:rPr>
          <w:rFonts w:eastAsia="Calibri"/>
          <w:b/>
          <w:color w:val="000000"/>
          <w:sz w:val="24"/>
          <w:szCs w:val="24"/>
        </w:rPr>
        <w:t>Quantitative Analysis of Findings</w:t>
      </w:r>
    </w:p>
    <w:p w14:paraId="5BB440B4" w14:textId="77777777" w:rsidR="00F348ED" w:rsidRPr="00F348ED" w:rsidRDefault="00F348ED" w:rsidP="00F348ED">
      <w:pPr>
        <w:widowControl/>
        <w:tabs>
          <w:tab w:val="left" w:pos="2119"/>
        </w:tabs>
        <w:autoSpaceDE/>
        <w:autoSpaceDN/>
        <w:spacing w:before="100" w:beforeAutospacing="1"/>
        <w:jc w:val="both"/>
        <w:rPr>
          <w:rFonts w:eastAsia="Calibri"/>
          <w:b/>
          <w:color w:val="000000"/>
          <w:sz w:val="24"/>
          <w:szCs w:val="24"/>
        </w:rPr>
      </w:pPr>
      <w:r w:rsidRPr="00F348ED">
        <w:rPr>
          <w:rFonts w:eastAsia="Calibri"/>
          <w:b/>
          <w:color w:val="000000"/>
          <w:sz w:val="24"/>
          <w:szCs w:val="24"/>
        </w:rPr>
        <w:t xml:space="preserve">Teachers’ Content Knowledge in Food Science and Their Teaching Competencies </w:t>
      </w:r>
    </w:p>
    <w:p w14:paraId="2D232F1B" w14:textId="77777777" w:rsidR="00F348ED" w:rsidRPr="00F348ED" w:rsidRDefault="00F348ED" w:rsidP="00F348ED">
      <w:pPr>
        <w:widowControl/>
        <w:autoSpaceDE/>
        <w:autoSpaceDN/>
        <w:spacing w:before="100" w:beforeAutospacing="1" w:after="160"/>
        <w:jc w:val="both"/>
        <w:rPr>
          <w:rFonts w:eastAsia="SimSun"/>
          <w:bCs/>
          <w:color w:val="000000"/>
          <w:sz w:val="24"/>
          <w:szCs w:val="24"/>
        </w:rPr>
      </w:pPr>
      <w:r w:rsidRPr="00F348ED">
        <w:rPr>
          <w:rFonts w:eastAsia="Calibri"/>
          <w:b/>
          <w:color w:val="000000"/>
          <w:sz w:val="24"/>
          <w:szCs w:val="24"/>
        </w:rPr>
        <w:t xml:space="preserve">Research Question One: </w:t>
      </w:r>
      <w:r w:rsidRPr="00F348ED">
        <w:rPr>
          <w:rFonts w:eastAsia="Calibri"/>
          <w:color w:val="000000"/>
          <w:sz w:val="24"/>
          <w:szCs w:val="24"/>
        </w:rPr>
        <w:t xml:space="preserve">What is the impact of teachers’ </w:t>
      </w:r>
      <w:r w:rsidRPr="00F348ED">
        <w:rPr>
          <w:rFonts w:eastAsia="Calibri"/>
          <w:bCs/>
          <w:color w:val="000000"/>
          <w:sz w:val="24"/>
          <w:szCs w:val="24"/>
        </w:rPr>
        <w:t>content knowledge in food science on their teaching competencies?</w:t>
      </w:r>
    </w:p>
    <w:p w14:paraId="39D2DFFF" w14:textId="77777777" w:rsidR="00F348ED" w:rsidRPr="00F348ED" w:rsidRDefault="00F348ED" w:rsidP="00B279CE">
      <w:pPr>
        <w:widowControl/>
        <w:adjustRightInd w:val="0"/>
        <w:spacing w:before="100" w:beforeAutospacing="1" w:after="240"/>
        <w:ind w:right="60"/>
        <w:rPr>
          <w:rFonts w:eastAsia="Calibri"/>
          <w:b/>
          <w:bCs/>
          <w:color w:val="010205"/>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1: </w:t>
      </w:r>
      <w:r w:rsidRPr="00F348ED">
        <w:rPr>
          <w:rFonts w:eastAsia="Calibri"/>
          <w:b/>
          <w:color w:val="000000"/>
          <w:sz w:val="24"/>
          <w:szCs w:val="24"/>
        </w:rPr>
        <w:t xml:space="preserve">Descriptive Statistics on Teachers’ Content Knowledge in Food Science </w:t>
      </w:r>
    </w:p>
    <w:tbl>
      <w:tblPr>
        <w:tblStyle w:val="TableGrid1"/>
        <w:tblW w:w="1016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615"/>
        <w:gridCol w:w="664"/>
        <w:gridCol w:w="720"/>
        <w:gridCol w:w="654"/>
        <w:gridCol w:w="621"/>
        <w:gridCol w:w="818"/>
        <w:gridCol w:w="712"/>
        <w:gridCol w:w="720"/>
        <w:gridCol w:w="964"/>
      </w:tblGrid>
      <w:tr w:rsidR="00F348ED" w:rsidRPr="00F348ED" w14:paraId="028EF3F7" w14:textId="77777777" w:rsidTr="009A563E">
        <w:trPr>
          <w:trHeight w:val="557"/>
        </w:trPr>
        <w:tc>
          <w:tcPr>
            <w:tcW w:w="675" w:type="dxa"/>
            <w:tcBorders>
              <w:top w:val="single" w:sz="4" w:space="0" w:color="000000"/>
              <w:left w:val="nil"/>
              <w:bottom w:val="single" w:sz="4" w:space="0" w:color="000000"/>
              <w:right w:val="nil"/>
            </w:tcBorders>
            <w:vAlign w:val="center"/>
            <w:hideMark/>
          </w:tcPr>
          <w:p w14:paraId="69E81486" w14:textId="77777777" w:rsidR="00F348ED" w:rsidRPr="00F348ED" w:rsidRDefault="00F348ED" w:rsidP="00F348ED">
            <w:pPr>
              <w:widowControl/>
              <w:autoSpaceDE/>
              <w:autoSpaceDN/>
              <w:spacing w:before="100" w:beforeAutospacing="1"/>
              <w:jc w:val="center"/>
              <w:rPr>
                <w:b/>
                <w:color w:val="000000"/>
                <w:sz w:val="24"/>
                <w:szCs w:val="24"/>
              </w:rPr>
            </w:pPr>
            <w:r w:rsidRPr="00F348ED">
              <w:rPr>
                <w:b/>
                <w:color w:val="000000"/>
                <w:sz w:val="24"/>
                <w:szCs w:val="24"/>
              </w:rPr>
              <w:t>S/N</w:t>
            </w:r>
          </w:p>
        </w:tc>
        <w:tc>
          <w:tcPr>
            <w:tcW w:w="3615" w:type="dxa"/>
            <w:tcBorders>
              <w:top w:val="single" w:sz="4" w:space="0" w:color="000000"/>
              <w:left w:val="nil"/>
              <w:bottom w:val="single" w:sz="4" w:space="0" w:color="000000"/>
              <w:right w:val="nil"/>
            </w:tcBorders>
            <w:vAlign w:val="center"/>
            <w:hideMark/>
          </w:tcPr>
          <w:p w14:paraId="07683F2F" w14:textId="77777777" w:rsidR="00F348ED" w:rsidRPr="00F348ED" w:rsidRDefault="00F348ED" w:rsidP="00F348ED">
            <w:pPr>
              <w:widowControl/>
              <w:autoSpaceDE/>
              <w:autoSpaceDN/>
              <w:spacing w:before="100" w:beforeAutospacing="1"/>
              <w:ind w:left="108"/>
              <w:jc w:val="center"/>
              <w:rPr>
                <w:b/>
                <w:color w:val="000000"/>
                <w:sz w:val="24"/>
                <w:szCs w:val="24"/>
              </w:rPr>
            </w:pPr>
            <w:r w:rsidRPr="00F348ED">
              <w:rPr>
                <w:b/>
                <w:color w:val="000000"/>
                <w:sz w:val="24"/>
                <w:szCs w:val="24"/>
              </w:rPr>
              <w:t>Statement</w:t>
            </w:r>
          </w:p>
        </w:tc>
        <w:tc>
          <w:tcPr>
            <w:tcW w:w="664" w:type="dxa"/>
            <w:tcBorders>
              <w:top w:val="single" w:sz="4" w:space="0" w:color="000000"/>
              <w:left w:val="nil"/>
              <w:bottom w:val="single" w:sz="4" w:space="0" w:color="000000"/>
              <w:right w:val="nil"/>
            </w:tcBorders>
            <w:vAlign w:val="center"/>
            <w:hideMark/>
          </w:tcPr>
          <w:p w14:paraId="454CB422"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SA</w:t>
            </w:r>
          </w:p>
        </w:tc>
        <w:tc>
          <w:tcPr>
            <w:tcW w:w="720" w:type="dxa"/>
            <w:tcBorders>
              <w:top w:val="single" w:sz="4" w:space="0" w:color="000000"/>
              <w:left w:val="nil"/>
              <w:bottom w:val="single" w:sz="4" w:space="0" w:color="000000"/>
              <w:right w:val="nil"/>
            </w:tcBorders>
            <w:vAlign w:val="center"/>
            <w:hideMark/>
          </w:tcPr>
          <w:p w14:paraId="2AA74FD3"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A</w:t>
            </w:r>
          </w:p>
        </w:tc>
        <w:tc>
          <w:tcPr>
            <w:tcW w:w="654" w:type="dxa"/>
            <w:tcBorders>
              <w:top w:val="single" w:sz="4" w:space="0" w:color="000000"/>
              <w:left w:val="nil"/>
              <w:bottom w:val="single" w:sz="4" w:space="0" w:color="000000"/>
              <w:right w:val="nil"/>
            </w:tcBorders>
            <w:vAlign w:val="center"/>
            <w:hideMark/>
          </w:tcPr>
          <w:p w14:paraId="6FAE1276"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D</w:t>
            </w:r>
          </w:p>
        </w:tc>
        <w:tc>
          <w:tcPr>
            <w:tcW w:w="621" w:type="dxa"/>
            <w:tcBorders>
              <w:top w:val="single" w:sz="4" w:space="0" w:color="000000"/>
              <w:left w:val="nil"/>
              <w:bottom w:val="single" w:sz="4" w:space="0" w:color="000000"/>
              <w:right w:val="nil"/>
            </w:tcBorders>
            <w:vAlign w:val="center"/>
            <w:hideMark/>
          </w:tcPr>
          <w:p w14:paraId="04073DA5" w14:textId="77777777" w:rsidR="00F348ED" w:rsidRPr="00F348ED" w:rsidRDefault="00F348ED" w:rsidP="00F348ED">
            <w:pPr>
              <w:widowControl/>
              <w:autoSpaceDE/>
              <w:autoSpaceDN/>
              <w:spacing w:before="100" w:beforeAutospacing="1"/>
              <w:ind w:left="108"/>
              <w:jc w:val="center"/>
              <w:rPr>
                <w:b/>
                <w:color w:val="000000"/>
                <w:sz w:val="20"/>
                <w:szCs w:val="20"/>
              </w:rPr>
            </w:pPr>
            <w:r w:rsidRPr="00F348ED">
              <w:rPr>
                <w:b/>
                <w:color w:val="000000"/>
                <w:sz w:val="20"/>
                <w:szCs w:val="20"/>
              </w:rPr>
              <w:t>SD</w:t>
            </w:r>
          </w:p>
        </w:tc>
        <w:tc>
          <w:tcPr>
            <w:tcW w:w="818" w:type="dxa"/>
            <w:tcBorders>
              <w:top w:val="single" w:sz="4" w:space="0" w:color="000000"/>
              <w:left w:val="nil"/>
              <w:bottom w:val="single" w:sz="4" w:space="0" w:color="000000"/>
              <w:right w:val="nil"/>
            </w:tcBorders>
            <w:vAlign w:val="center"/>
            <w:hideMark/>
          </w:tcPr>
          <w:p w14:paraId="24D49153"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SA/A</w:t>
            </w:r>
          </w:p>
        </w:tc>
        <w:tc>
          <w:tcPr>
            <w:tcW w:w="712" w:type="dxa"/>
            <w:tcBorders>
              <w:top w:val="single" w:sz="4" w:space="0" w:color="000000"/>
              <w:left w:val="nil"/>
              <w:bottom w:val="single" w:sz="4" w:space="0" w:color="000000"/>
              <w:right w:val="nil"/>
            </w:tcBorders>
            <w:vAlign w:val="center"/>
            <w:hideMark/>
          </w:tcPr>
          <w:p w14:paraId="09D7E157"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SD/D</w:t>
            </w:r>
          </w:p>
        </w:tc>
        <w:tc>
          <w:tcPr>
            <w:tcW w:w="720" w:type="dxa"/>
            <w:tcBorders>
              <w:top w:val="single" w:sz="4" w:space="0" w:color="000000"/>
              <w:left w:val="nil"/>
              <w:bottom w:val="single" w:sz="4" w:space="0" w:color="000000"/>
              <w:right w:val="nil"/>
            </w:tcBorders>
            <w:vAlign w:val="center"/>
            <w:hideMark/>
          </w:tcPr>
          <w:p w14:paraId="39EC8552"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Mean</w:t>
            </w:r>
          </w:p>
        </w:tc>
        <w:tc>
          <w:tcPr>
            <w:tcW w:w="964" w:type="dxa"/>
            <w:tcBorders>
              <w:top w:val="single" w:sz="4" w:space="0" w:color="000000"/>
              <w:left w:val="nil"/>
              <w:bottom w:val="single" w:sz="4" w:space="0" w:color="000000"/>
              <w:right w:val="nil"/>
            </w:tcBorders>
            <w:vAlign w:val="center"/>
            <w:hideMark/>
          </w:tcPr>
          <w:p w14:paraId="41C375E7" w14:textId="77777777" w:rsidR="00F348ED" w:rsidRPr="00F348ED" w:rsidRDefault="00F348ED" w:rsidP="00F348ED">
            <w:pPr>
              <w:widowControl/>
              <w:autoSpaceDE/>
              <w:autoSpaceDN/>
              <w:spacing w:before="100" w:beforeAutospacing="1"/>
              <w:jc w:val="center"/>
              <w:rPr>
                <w:b/>
                <w:color w:val="000000"/>
                <w:sz w:val="20"/>
                <w:szCs w:val="20"/>
              </w:rPr>
            </w:pPr>
            <w:r w:rsidRPr="00F348ED">
              <w:rPr>
                <w:b/>
                <w:color w:val="000000"/>
                <w:sz w:val="20"/>
                <w:szCs w:val="20"/>
              </w:rPr>
              <w:t>Std Dev</w:t>
            </w:r>
          </w:p>
        </w:tc>
      </w:tr>
      <w:tr w:rsidR="00F348ED" w:rsidRPr="00F348ED" w14:paraId="4DF64D04" w14:textId="77777777" w:rsidTr="009A563E">
        <w:trPr>
          <w:trHeight w:val="709"/>
        </w:trPr>
        <w:tc>
          <w:tcPr>
            <w:tcW w:w="675" w:type="dxa"/>
            <w:tcBorders>
              <w:top w:val="single" w:sz="4" w:space="0" w:color="000000"/>
              <w:left w:val="nil"/>
              <w:bottom w:val="nil"/>
              <w:right w:val="nil"/>
            </w:tcBorders>
            <w:hideMark/>
          </w:tcPr>
          <w:p w14:paraId="4132046D"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w:t>
            </w:r>
          </w:p>
        </w:tc>
        <w:tc>
          <w:tcPr>
            <w:tcW w:w="3615" w:type="dxa"/>
            <w:tcBorders>
              <w:top w:val="single" w:sz="4" w:space="0" w:color="000000"/>
              <w:left w:val="nil"/>
              <w:bottom w:val="nil"/>
              <w:right w:val="nil"/>
            </w:tcBorders>
            <w:hideMark/>
          </w:tcPr>
          <w:p w14:paraId="36E09E32"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have a strong grasp of theoretical concepts in food science.</w:t>
            </w:r>
          </w:p>
        </w:tc>
        <w:tc>
          <w:tcPr>
            <w:tcW w:w="664" w:type="dxa"/>
            <w:tcBorders>
              <w:top w:val="nil"/>
              <w:left w:val="nil"/>
              <w:bottom w:val="nil"/>
              <w:right w:val="nil"/>
            </w:tcBorders>
            <w:hideMark/>
          </w:tcPr>
          <w:p w14:paraId="6221B16A"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58</w:t>
            </w:r>
          </w:p>
        </w:tc>
        <w:tc>
          <w:tcPr>
            <w:tcW w:w="720" w:type="dxa"/>
            <w:tcBorders>
              <w:top w:val="nil"/>
              <w:left w:val="nil"/>
              <w:bottom w:val="nil"/>
              <w:right w:val="nil"/>
            </w:tcBorders>
            <w:hideMark/>
          </w:tcPr>
          <w:p w14:paraId="41A013C3"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30</w:t>
            </w:r>
          </w:p>
        </w:tc>
        <w:tc>
          <w:tcPr>
            <w:tcW w:w="654" w:type="dxa"/>
            <w:tcBorders>
              <w:top w:val="nil"/>
              <w:left w:val="nil"/>
              <w:bottom w:val="nil"/>
              <w:right w:val="nil"/>
            </w:tcBorders>
            <w:hideMark/>
          </w:tcPr>
          <w:p w14:paraId="3522FB0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w:t>
            </w:r>
          </w:p>
        </w:tc>
        <w:tc>
          <w:tcPr>
            <w:tcW w:w="621" w:type="dxa"/>
            <w:tcBorders>
              <w:top w:val="nil"/>
              <w:left w:val="nil"/>
              <w:bottom w:val="nil"/>
              <w:right w:val="nil"/>
            </w:tcBorders>
            <w:hideMark/>
          </w:tcPr>
          <w:p w14:paraId="1A05178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w:t>
            </w:r>
          </w:p>
        </w:tc>
        <w:tc>
          <w:tcPr>
            <w:tcW w:w="818" w:type="dxa"/>
            <w:tcBorders>
              <w:top w:val="nil"/>
              <w:left w:val="nil"/>
              <w:bottom w:val="nil"/>
              <w:right w:val="nil"/>
            </w:tcBorders>
            <w:hideMark/>
          </w:tcPr>
          <w:p w14:paraId="50657E86"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88</w:t>
            </w:r>
          </w:p>
        </w:tc>
        <w:tc>
          <w:tcPr>
            <w:tcW w:w="712" w:type="dxa"/>
            <w:tcBorders>
              <w:top w:val="nil"/>
              <w:left w:val="nil"/>
              <w:bottom w:val="nil"/>
              <w:right w:val="nil"/>
            </w:tcBorders>
            <w:hideMark/>
          </w:tcPr>
          <w:p w14:paraId="60B3AFA6"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w:t>
            </w:r>
          </w:p>
        </w:tc>
        <w:tc>
          <w:tcPr>
            <w:tcW w:w="720" w:type="dxa"/>
            <w:tcBorders>
              <w:top w:val="nil"/>
              <w:left w:val="nil"/>
              <w:bottom w:val="nil"/>
              <w:right w:val="nil"/>
            </w:tcBorders>
            <w:hideMark/>
          </w:tcPr>
          <w:p w14:paraId="68664C6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3.59</w:t>
            </w:r>
          </w:p>
        </w:tc>
        <w:tc>
          <w:tcPr>
            <w:tcW w:w="964" w:type="dxa"/>
            <w:tcBorders>
              <w:top w:val="nil"/>
              <w:left w:val="nil"/>
              <w:bottom w:val="nil"/>
              <w:right w:val="nil"/>
            </w:tcBorders>
            <w:hideMark/>
          </w:tcPr>
          <w:p w14:paraId="378D976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0.534</w:t>
            </w:r>
          </w:p>
        </w:tc>
      </w:tr>
      <w:tr w:rsidR="00F348ED" w:rsidRPr="00F348ED" w14:paraId="45CDE15B" w14:textId="77777777" w:rsidTr="009A563E">
        <w:trPr>
          <w:trHeight w:val="807"/>
        </w:trPr>
        <w:tc>
          <w:tcPr>
            <w:tcW w:w="675" w:type="dxa"/>
            <w:tcBorders>
              <w:top w:val="nil"/>
              <w:left w:val="nil"/>
              <w:bottom w:val="nil"/>
              <w:right w:val="nil"/>
            </w:tcBorders>
            <w:hideMark/>
          </w:tcPr>
          <w:p w14:paraId="7CF5834B"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2</w:t>
            </w:r>
          </w:p>
        </w:tc>
        <w:tc>
          <w:tcPr>
            <w:tcW w:w="3615" w:type="dxa"/>
            <w:tcBorders>
              <w:top w:val="nil"/>
              <w:left w:val="nil"/>
              <w:bottom w:val="nil"/>
              <w:right w:val="nil"/>
            </w:tcBorders>
            <w:hideMark/>
          </w:tcPr>
          <w:p w14:paraId="71BAC336"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My content knowledge helps me simplify difficult topics for students.</w:t>
            </w:r>
          </w:p>
        </w:tc>
        <w:tc>
          <w:tcPr>
            <w:tcW w:w="664" w:type="dxa"/>
            <w:tcBorders>
              <w:top w:val="nil"/>
              <w:left w:val="nil"/>
              <w:bottom w:val="nil"/>
              <w:right w:val="nil"/>
            </w:tcBorders>
            <w:hideMark/>
          </w:tcPr>
          <w:p w14:paraId="24DFEF4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41</w:t>
            </w:r>
          </w:p>
        </w:tc>
        <w:tc>
          <w:tcPr>
            <w:tcW w:w="720" w:type="dxa"/>
            <w:tcBorders>
              <w:top w:val="nil"/>
              <w:left w:val="nil"/>
              <w:bottom w:val="nil"/>
              <w:right w:val="nil"/>
            </w:tcBorders>
            <w:hideMark/>
          </w:tcPr>
          <w:p w14:paraId="3DEAFF43"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43</w:t>
            </w:r>
          </w:p>
        </w:tc>
        <w:tc>
          <w:tcPr>
            <w:tcW w:w="654" w:type="dxa"/>
            <w:tcBorders>
              <w:top w:val="nil"/>
              <w:left w:val="nil"/>
              <w:bottom w:val="nil"/>
              <w:right w:val="nil"/>
            </w:tcBorders>
            <w:hideMark/>
          </w:tcPr>
          <w:p w14:paraId="7B4F74F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6</w:t>
            </w:r>
          </w:p>
        </w:tc>
        <w:tc>
          <w:tcPr>
            <w:tcW w:w="621" w:type="dxa"/>
            <w:tcBorders>
              <w:top w:val="nil"/>
              <w:left w:val="nil"/>
              <w:bottom w:val="nil"/>
              <w:right w:val="nil"/>
            </w:tcBorders>
            <w:hideMark/>
          </w:tcPr>
          <w:p w14:paraId="324740C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2</w:t>
            </w:r>
          </w:p>
        </w:tc>
        <w:tc>
          <w:tcPr>
            <w:tcW w:w="818" w:type="dxa"/>
            <w:tcBorders>
              <w:top w:val="nil"/>
              <w:left w:val="nil"/>
              <w:bottom w:val="nil"/>
              <w:right w:val="nil"/>
            </w:tcBorders>
            <w:hideMark/>
          </w:tcPr>
          <w:p w14:paraId="728E22A2"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84</w:t>
            </w:r>
          </w:p>
        </w:tc>
        <w:tc>
          <w:tcPr>
            <w:tcW w:w="712" w:type="dxa"/>
            <w:tcBorders>
              <w:top w:val="nil"/>
              <w:left w:val="nil"/>
              <w:bottom w:val="nil"/>
              <w:right w:val="nil"/>
            </w:tcBorders>
            <w:hideMark/>
          </w:tcPr>
          <w:p w14:paraId="51D38E1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w:t>
            </w:r>
          </w:p>
        </w:tc>
        <w:tc>
          <w:tcPr>
            <w:tcW w:w="720" w:type="dxa"/>
            <w:tcBorders>
              <w:top w:val="nil"/>
              <w:left w:val="nil"/>
              <w:bottom w:val="nil"/>
              <w:right w:val="nil"/>
            </w:tcBorders>
            <w:hideMark/>
          </w:tcPr>
          <w:p w14:paraId="3BFF28A1"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3.34</w:t>
            </w:r>
          </w:p>
        </w:tc>
        <w:tc>
          <w:tcPr>
            <w:tcW w:w="964" w:type="dxa"/>
            <w:tcBorders>
              <w:top w:val="nil"/>
              <w:left w:val="nil"/>
              <w:bottom w:val="nil"/>
              <w:right w:val="nil"/>
            </w:tcBorders>
            <w:hideMark/>
          </w:tcPr>
          <w:p w14:paraId="46C6704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0.626</w:t>
            </w:r>
          </w:p>
        </w:tc>
      </w:tr>
      <w:tr w:rsidR="00F348ED" w:rsidRPr="00F348ED" w14:paraId="6CA6DEAC" w14:textId="77777777" w:rsidTr="009A563E">
        <w:trPr>
          <w:trHeight w:val="719"/>
        </w:trPr>
        <w:tc>
          <w:tcPr>
            <w:tcW w:w="675" w:type="dxa"/>
            <w:tcBorders>
              <w:top w:val="nil"/>
              <w:left w:val="nil"/>
              <w:bottom w:val="nil"/>
              <w:right w:val="nil"/>
            </w:tcBorders>
            <w:hideMark/>
          </w:tcPr>
          <w:p w14:paraId="064B352E"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3</w:t>
            </w:r>
          </w:p>
        </w:tc>
        <w:tc>
          <w:tcPr>
            <w:tcW w:w="3615" w:type="dxa"/>
            <w:tcBorders>
              <w:top w:val="nil"/>
              <w:left w:val="nil"/>
              <w:bottom w:val="nil"/>
              <w:right w:val="nil"/>
            </w:tcBorders>
            <w:hideMark/>
          </w:tcPr>
          <w:p w14:paraId="0E43E661"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can confidently handle questions related to food chemistry and nutrition.</w:t>
            </w:r>
          </w:p>
        </w:tc>
        <w:tc>
          <w:tcPr>
            <w:tcW w:w="664" w:type="dxa"/>
            <w:tcBorders>
              <w:top w:val="nil"/>
              <w:left w:val="nil"/>
              <w:bottom w:val="nil"/>
              <w:right w:val="nil"/>
            </w:tcBorders>
            <w:hideMark/>
          </w:tcPr>
          <w:p w14:paraId="5DE9C15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39</w:t>
            </w:r>
          </w:p>
        </w:tc>
        <w:tc>
          <w:tcPr>
            <w:tcW w:w="720" w:type="dxa"/>
            <w:tcBorders>
              <w:top w:val="nil"/>
              <w:left w:val="nil"/>
              <w:bottom w:val="nil"/>
              <w:right w:val="nil"/>
            </w:tcBorders>
            <w:hideMark/>
          </w:tcPr>
          <w:p w14:paraId="6BAB5051"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41</w:t>
            </w:r>
          </w:p>
        </w:tc>
        <w:tc>
          <w:tcPr>
            <w:tcW w:w="654" w:type="dxa"/>
            <w:tcBorders>
              <w:top w:val="nil"/>
              <w:left w:val="nil"/>
              <w:bottom w:val="nil"/>
              <w:right w:val="nil"/>
            </w:tcBorders>
            <w:hideMark/>
          </w:tcPr>
          <w:p w14:paraId="26351D3A"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w:t>
            </w:r>
          </w:p>
        </w:tc>
        <w:tc>
          <w:tcPr>
            <w:tcW w:w="621" w:type="dxa"/>
            <w:tcBorders>
              <w:top w:val="nil"/>
              <w:left w:val="nil"/>
              <w:bottom w:val="nil"/>
              <w:right w:val="nil"/>
            </w:tcBorders>
            <w:hideMark/>
          </w:tcPr>
          <w:p w14:paraId="5EAEFFD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w:t>
            </w:r>
          </w:p>
        </w:tc>
        <w:tc>
          <w:tcPr>
            <w:tcW w:w="818" w:type="dxa"/>
            <w:tcBorders>
              <w:top w:val="nil"/>
              <w:left w:val="nil"/>
              <w:bottom w:val="nil"/>
              <w:right w:val="nil"/>
            </w:tcBorders>
            <w:hideMark/>
          </w:tcPr>
          <w:p w14:paraId="7A9945F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80</w:t>
            </w:r>
          </w:p>
        </w:tc>
        <w:tc>
          <w:tcPr>
            <w:tcW w:w="712" w:type="dxa"/>
            <w:tcBorders>
              <w:top w:val="nil"/>
              <w:left w:val="nil"/>
              <w:bottom w:val="nil"/>
              <w:right w:val="nil"/>
            </w:tcBorders>
            <w:hideMark/>
          </w:tcPr>
          <w:p w14:paraId="651E591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12</w:t>
            </w:r>
          </w:p>
        </w:tc>
        <w:tc>
          <w:tcPr>
            <w:tcW w:w="720" w:type="dxa"/>
            <w:tcBorders>
              <w:top w:val="nil"/>
              <w:left w:val="nil"/>
              <w:bottom w:val="nil"/>
              <w:right w:val="nil"/>
            </w:tcBorders>
            <w:hideMark/>
          </w:tcPr>
          <w:p w14:paraId="584DB0E2"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3.28</w:t>
            </w:r>
          </w:p>
        </w:tc>
        <w:tc>
          <w:tcPr>
            <w:tcW w:w="964" w:type="dxa"/>
            <w:tcBorders>
              <w:top w:val="nil"/>
              <w:left w:val="nil"/>
              <w:bottom w:val="nil"/>
              <w:right w:val="nil"/>
            </w:tcBorders>
            <w:hideMark/>
          </w:tcPr>
          <w:p w14:paraId="3787B7E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0.684</w:t>
            </w:r>
          </w:p>
        </w:tc>
      </w:tr>
      <w:tr w:rsidR="00F348ED" w:rsidRPr="00F348ED" w14:paraId="4F1BA750" w14:textId="77777777" w:rsidTr="009A563E">
        <w:trPr>
          <w:trHeight w:val="830"/>
        </w:trPr>
        <w:tc>
          <w:tcPr>
            <w:tcW w:w="675" w:type="dxa"/>
            <w:tcBorders>
              <w:top w:val="nil"/>
              <w:left w:val="nil"/>
              <w:bottom w:val="nil"/>
              <w:right w:val="nil"/>
            </w:tcBorders>
            <w:hideMark/>
          </w:tcPr>
          <w:p w14:paraId="58B970CE"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4</w:t>
            </w:r>
          </w:p>
        </w:tc>
        <w:tc>
          <w:tcPr>
            <w:tcW w:w="3615" w:type="dxa"/>
            <w:tcBorders>
              <w:top w:val="nil"/>
              <w:left w:val="nil"/>
              <w:bottom w:val="nil"/>
              <w:right w:val="nil"/>
            </w:tcBorders>
            <w:hideMark/>
          </w:tcPr>
          <w:p w14:paraId="5D2986A5"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link food science topics to real-life applications in teaching.</w:t>
            </w:r>
          </w:p>
        </w:tc>
        <w:tc>
          <w:tcPr>
            <w:tcW w:w="664" w:type="dxa"/>
            <w:tcBorders>
              <w:top w:val="nil"/>
              <w:left w:val="nil"/>
              <w:bottom w:val="nil"/>
              <w:right w:val="nil"/>
            </w:tcBorders>
            <w:hideMark/>
          </w:tcPr>
          <w:p w14:paraId="1D1F52C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47</w:t>
            </w:r>
          </w:p>
        </w:tc>
        <w:tc>
          <w:tcPr>
            <w:tcW w:w="720" w:type="dxa"/>
            <w:tcBorders>
              <w:top w:val="nil"/>
              <w:left w:val="nil"/>
              <w:bottom w:val="nil"/>
              <w:right w:val="nil"/>
            </w:tcBorders>
            <w:hideMark/>
          </w:tcPr>
          <w:p w14:paraId="55B7E9F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39</w:t>
            </w:r>
          </w:p>
        </w:tc>
        <w:tc>
          <w:tcPr>
            <w:tcW w:w="654" w:type="dxa"/>
            <w:tcBorders>
              <w:top w:val="nil"/>
              <w:left w:val="nil"/>
              <w:bottom w:val="nil"/>
              <w:right w:val="nil"/>
            </w:tcBorders>
            <w:hideMark/>
          </w:tcPr>
          <w:p w14:paraId="0B97C01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5</w:t>
            </w:r>
          </w:p>
        </w:tc>
        <w:tc>
          <w:tcPr>
            <w:tcW w:w="621" w:type="dxa"/>
            <w:tcBorders>
              <w:top w:val="nil"/>
              <w:left w:val="nil"/>
              <w:bottom w:val="nil"/>
              <w:right w:val="nil"/>
            </w:tcBorders>
            <w:hideMark/>
          </w:tcPr>
          <w:p w14:paraId="57B0E289"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w:t>
            </w:r>
          </w:p>
        </w:tc>
        <w:tc>
          <w:tcPr>
            <w:tcW w:w="818" w:type="dxa"/>
            <w:tcBorders>
              <w:top w:val="nil"/>
              <w:left w:val="nil"/>
              <w:bottom w:val="nil"/>
              <w:right w:val="nil"/>
            </w:tcBorders>
            <w:hideMark/>
          </w:tcPr>
          <w:p w14:paraId="37EF73B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86</w:t>
            </w:r>
          </w:p>
        </w:tc>
        <w:tc>
          <w:tcPr>
            <w:tcW w:w="712" w:type="dxa"/>
            <w:tcBorders>
              <w:top w:val="nil"/>
              <w:left w:val="nil"/>
              <w:bottom w:val="nil"/>
              <w:right w:val="nil"/>
            </w:tcBorders>
            <w:hideMark/>
          </w:tcPr>
          <w:p w14:paraId="78380EE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6</w:t>
            </w:r>
          </w:p>
        </w:tc>
        <w:tc>
          <w:tcPr>
            <w:tcW w:w="720" w:type="dxa"/>
            <w:tcBorders>
              <w:top w:val="nil"/>
              <w:left w:val="nil"/>
              <w:bottom w:val="nil"/>
              <w:right w:val="nil"/>
            </w:tcBorders>
            <w:hideMark/>
          </w:tcPr>
          <w:p w14:paraId="19A157D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3.43</w:t>
            </w:r>
          </w:p>
        </w:tc>
        <w:tc>
          <w:tcPr>
            <w:tcW w:w="964" w:type="dxa"/>
            <w:tcBorders>
              <w:top w:val="nil"/>
              <w:left w:val="nil"/>
              <w:bottom w:val="nil"/>
              <w:right w:val="nil"/>
            </w:tcBorders>
            <w:hideMark/>
          </w:tcPr>
          <w:p w14:paraId="5DB3A05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0.603</w:t>
            </w:r>
          </w:p>
        </w:tc>
      </w:tr>
      <w:tr w:rsidR="00F348ED" w:rsidRPr="00F348ED" w14:paraId="6CD569E5" w14:textId="77777777" w:rsidTr="009A563E">
        <w:trPr>
          <w:trHeight w:val="756"/>
        </w:trPr>
        <w:tc>
          <w:tcPr>
            <w:tcW w:w="675" w:type="dxa"/>
            <w:tcBorders>
              <w:top w:val="nil"/>
              <w:left w:val="nil"/>
              <w:bottom w:val="nil"/>
              <w:right w:val="nil"/>
            </w:tcBorders>
            <w:hideMark/>
          </w:tcPr>
          <w:p w14:paraId="72EE833F"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5</w:t>
            </w:r>
          </w:p>
        </w:tc>
        <w:tc>
          <w:tcPr>
            <w:tcW w:w="3615" w:type="dxa"/>
            <w:tcBorders>
              <w:top w:val="nil"/>
              <w:left w:val="nil"/>
              <w:bottom w:val="nil"/>
              <w:right w:val="nil"/>
            </w:tcBorders>
            <w:hideMark/>
          </w:tcPr>
          <w:p w14:paraId="432E0A43"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regularly update my subject knowledge through reading or research.</w:t>
            </w:r>
          </w:p>
        </w:tc>
        <w:tc>
          <w:tcPr>
            <w:tcW w:w="664" w:type="dxa"/>
            <w:tcBorders>
              <w:top w:val="nil"/>
              <w:left w:val="nil"/>
              <w:bottom w:val="nil"/>
              <w:right w:val="nil"/>
            </w:tcBorders>
            <w:hideMark/>
          </w:tcPr>
          <w:p w14:paraId="584C884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40</w:t>
            </w:r>
          </w:p>
        </w:tc>
        <w:tc>
          <w:tcPr>
            <w:tcW w:w="720" w:type="dxa"/>
            <w:tcBorders>
              <w:top w:val="nil"/>
              <w:left w:val="nil"/>
              <w:bottom w:val="nil"/>
              <w:right w:val="nil"/>
            </w:tcBorders>
            <w:hideMark/>
          </w:tcPr>
          <w:p w14:paraId="0B14E0C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42</w:t>
            </w:r>
          </w:p>
        </w:tc>
        <w:tc>
          <w:tcPr>
            <w:tcW w:w="654" w:type="dxa"/>
            <w:tcBorders>
              <w:top w:val="nil"/>
              <w:left w:val="nil"/>
              <w:bottom w:val="nil"/>
              <w:right w:val="nil"/>
            </w:tcBorders>
            <w:hideMark/>
          </w:tcPr>
          <w:p w14:paraId="3AFF71E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7</w:t>
            </w:r>
          </w:p>
        </w:tc>
        <w:tc>
          <w:tcPr>
            <w:tcW w:w="621" w:type="dxa"/>
            <w:tcBorders>
              <w:top w:val="nil"/>
              <w:left w:val="nil"/>
              <w:bottom w:val="nil"/>
              <w:right w:val="nil"/>
            </w:tcBorders>
            <w:hideMark/>
          </w:tcPr>
          <w:p w14:paraId="74C2902C"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w:t>
            </w:r>
          </w:p>
        </w:tc>
        <w:tc>
          <w:tcPr>
            <w:tcW w:w="818" w:type="dxa"/>
            <w:tcBorders>
              <w:top w:val="nil"/>
              <w:left w:val="nil"/>
              <w:bottom w:val="nil"/>
              <w:right w:val="nil"/>
            </w:tcBorders>
            <w:hideMark/>
          </w:tcPr>
          <w:p w14:paraId="6721EA9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82</w:t>
            </w:r>
          </w:p>
        </w:tc>
        <w:tc>
          <w:tcPr>
            <w:tcW w:w="712" w:type="dxa"/>
            <w:tcBorders>
              <w:top w:val="nil"/>
              <w:left w:val="nil"/>
              <w:bottom w:val="nil"/>
              <w:right w:val="nil"/>
            </w:tcBorders>
            <w:hideMark/>
          </w:tcPr>
          <w:p w14:paraId="1B31470C"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10</w:t>
            </w:r>
          </w:p>
        </w:tc>
        <w:tc>
          <w:tcPr>
            <w:tcW w:w="720" w:type="dxa"/>
            <w:tcBorders>
              <w:top w:val="nil"/>
              <w:left w:val="nil"/>
              <w:bottom w:val="nil"/>
              <w:right w:val="nil"/>
            </w:tcBorders>
            <w:hideMark/>
          </w:tcPr>
          <w:p w14:paraId="4C7F66E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3.30</w:t>
            </w:r>
          </w:p>
        </w:tc>
        <w:tc>
          <w:tcPr>
            <w:tcW w:w="964" w:type="dxa"/>
            <w:tcBorders>
              <w:top w:val="nil"/>
              <w:left w:val="nil"/>
              <w:bottom w:val="nil"/>
              <w:right w:val="nil"/>
            </w:tcBorders>
            <w:hideMark/>
          </w:tcPr>
          <w:p w14:paraId="4E9CB4E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0.653</w:t>
            </w:r>
          </w:p>
        </w:tc>
      </w:tr>
      <w:tr w:rsidR="00F348ED" w:rsidRPr="00F348ED" w14:paraId="16803BE1" w14:textId="77777777" w:rsidTr="009A563E">
        <w:trPr>
          <w:trHeight w:val="738"/>
        </w:trPr>
        <w:tc>
          <w:tcPr>
            <w:tcW w:w="675" w:type="dxa"/>
            <w:tcBorders>
              <w:top w:val="nil"/>
              <w:left w:val="nil"/>
              <w:bottom w:val="nil"/>
              <w:right w:val="nil"/>
            </w:tcBorders>
            <w:hideMark/>
          </w:tcPr>
          <w:p w14:paraId="524C5DD1"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6</w:t>
            </w:r>
          </w:p>
        </w:tc>
        <w:tc>
          <w:tcPr>
            <w:tcW w:w="3615" w:type="dxa"/>
            <w:tcBorders>
              <w:top w:val="nil"/>
              <w:left w:val="nil"/>
              <w:bottom w:val="nil"/>
              <w:right w:val="nil"/>
            </w:tcBorders>
            <w:hideMark/>
          </w:tcPr>
          <w:p w14:paraId="56B7FCDB"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My understanding of the curriculum content enhances instructional quality.</w:t>
            </w:r>
          </w:p>
        </w:tc>
        <w:tc>
          <w:tcPr>
            <w:tcW w:w="664" w:type="dxa"/>
            <w:tcBorders>
              <w:top w:val="nil"/>
              <w:left w:val="nil"/>
              <w:bottom w:val="nil"/>
              <w:right w:val="nil"/>
            </w:tcBorders>
            <w:hideMark/>
          </w:tcPr>
          <w:p w14:paraId="6B6C46E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45</w:t>
            </w:r>
          </w:p>
        </w:tc>
        <w:tc>
          <w:tcPr>
            <w:tcW w:w="720" w:type="dxa"/>
            <w:tcBorders>
              <w:top w:val="nil"/>
              <w:left w:val="nil"/>
              <w:bottom w:val="nil"/>
              <w:right w:val="nil"/>
            </w:tcBorders>
            <w:hideMark/>
          </w:tcPr>
          <w:p w14:paraId="33E91AF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39</w:t>
            </w:r>
          </w:p>
        </w:tc>
        <w:tc>
          <w:tcPr>
            <w:tcW w:w="654" w:type="dxa"/>
            <w:tcBorders>
              <w:top w:val="nil"/>
              <w:left w:val="nil"/>
              <w:bottom w:val="nil"/>
              <w:right w:val="nil"/>
            </w:tcBorders>
            <w:hideMark/>
          </w:tcPr>
          <w:p w14:paraId="10BBF968"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6</w:t>
            </w:r>
          </w:p>
        </w:tc>
        <w:tc>
          <w:tcPr>
            <w:tcW w:w="621" w:type="dxa"/>
            <w:tcBorders>
              <w:top w:val="nil"/>
              <w:left w:val="nil"/>
              <w:bottom w:val="nil"/>
              <w:right w:val="nil"/>
            </w:tcBorders>
            <w:hideMark/>
          </w:tcPr>
          <w:p w14:paraId="165BBA70"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2</w:t>
            </w:r>
          </w:p>
        </w:tc>
        <w:tc>
          <w:tcPr>
            <w:tcW w:w="818" w:type="dxa"/>
            <w:tcBorders>
              <w:top w:val="nil"/>
              <w:left w:val="nil"/>
              <w:bottom w:val="nil"/>
              <w:right w:val="nil"/>
            </w:tcBorders>
            <w:hideMark/>
          </w:tcPr>
          <w:p w14:paraId="580C223E"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84</w:t>
            </w:r>
          </w:p>
        </w:tc>
        <w:tc>
          <w:tcPr>
            <w:tcW w:w="712" w:type="dxa"/>
            <w:tcBorders>
              <w:top w:val="nil"/>
              <w:left w:val="nil"/>
              <w:bottom w:val="nil"/>
              <w:right w:val="nil"/>
            </w:tcBorders>
            <w:hideMark/>
          </w:tcPr>
          <w:p w14:paraId="648A9045"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w:t>
            </w:r>
          </w:p>
        </w:tc>
        <w:tc>
          <w:tcPr>
            <w:tcW w:w="720" w:type="dxa"/>
            <w:tcBorders>
              <w:top w:val="nil"/>
              <w:left w:val="nil"/>
              <w:bottom w:val="nil"/>
              <w:right w:val="nil"/>
            </w:tcBorders>
            <w:hideMark/>
          </w:tcPr>
          <w:p w14:paraId="32CD888D"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3.39</w:t>
            </w:r>
          </w:p>
        </w:tc>
        <w:tc>
          <w:tcPr>
            <w:tcW w:w="964" w:type="dxa"/>
            <w:tcBorders>
              <w:top w:val="nil"/>
              <w:left w:val="nil"/>
              <w:bottom w:val="nil"/>
              <w:right w:val="nil"/>
            </w:tcBorders>
            <w:hideMark/>
          </w:tcPr>
          <w:p w14:paraId="11FC48C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0.624</w:t>
            </w:r>
          </w:p>
        </w:tc>
      </w:tr>
      <w:tr w:rsidR="00F348ED" w:rsidRPr="00F348ED" w14:paraId="46F5CAC2" w14:textId="77777777" w:rsidTr="009A563E">
        <w:trPr>
          <w:trHeight w:val="820"/>
        </w:trPr>
        <w:tc>
          <w:tcPr>
            <w:tcW w:w="675" w:type="dxa"/>
            <w:tcBorders>
              <w:top w:val="nil"/>
              <w:left w:val="nil"/>
              <w:bottom w:val="nil"/>
              <w:right w:val="nil"/>
            </w:tcBorders>
            <w:hideMark/>
          </w:tcPr>
          <w:p w14:paraId="5085F4D0" w14:textId="77777777" w:rsidR="00F348ED" w:rsidRPr="00F348ED" w:rsidRDefault="00F348ED" w:rsidP="00F348ED">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7</w:t>
            </w:r>
          </w:p>
        </w:tc>
        <w:tc>
          <w:tcPr>
            <w:tcW w:w="3615" w:type="dxa"/>
            <w:tcBorders>
              <w:top w:val="nil"/>
              <w:left w:val="nil"/>
              <w:bottom w:val="nil"/>
              <w:right w:val="nil"/>
            </w:tcBorders>
            <w:hideMark/>
          </w:tcPr>
          <w:p w14:paraId="3E0DB3BE" w14:textId="77777777" w:rsidR="00F348ED" w:rsidRPr="00F348ED" w:rsidRDefault="00F348ED" w:rsidP="00F348ED">
            <w:pPr>
              <w:widowControl/>
              <w:autoSpaceDE/>
              <w:autoSpaceDN/>
              <w:spacing w:before="100" w:beforeAutospacing="1"/>
              <w:rPr>
                <w:rFonts w:eastAsia="MS Mincho"/>
                <w:color w:val="000000"/>
                <w:sz w:val="24"/>
                <w:szCs w:val="24"/>
              </w:rPr>
            </w:pPr>
            <w:r w:rsidRPr="00F348ED">
              <w:rPr>
                <w:rFonts w:eastAsia="MS Mincho"/>
                <w:color w:val="000000"/>
                <w:sz w:val="24"/>
                <w:szCs w:val="24"/>
              </w:rPr>
              <w:t>I feel well-prepared to teach any topic within the food science syllabus.</w:t>
            </w:r>
          </w:p>
        </w:tc>
        <w:tc>
          <w:tcPr>
            <w:tcW w:w="664" w:type="dxa"/>
            <w:tcBorders>
              <w:top w:val="nil"/>
              <w:left w:val="nil"/>
              <w:bottom w:val="nil"/>
              <w:right w:val="nil"/>
            </w:tcBorders>
            <w:hideMark/>
          </w:tcPr>
          <w:p w14:paraId="2EB5543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42</w:t>
            </w:r>
          </w:p>
        </w:tc>
        <w:tc>
          <w:tcPr>
            <w:tcW w:w="720" w:type="dxa"/>
            <w:tcBorders>
              <w:top w:val="nil"/>
              <w:left w:val="nil"/>
              <w:bottom w:val="nil"/>
              <w:right w:val="nil"/>
            </w:tcBorders>
            <w:hideMark/>
          </w:tcPr>
          <w:p w14:paraId="7D6DAEA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40</w:t>
            </w:r>
          </w:p>
        </w:tc>
        <w:tc>
          <w:tcPr>
            <w:tcW w:w="654" w:type="dxa"/>
            <w:tcBorders>
              <w:top w:val="nil"/>
              <w:left w:val="nil"/>
              <w:bottom w:val="nil"/>
              <w:right w:val="nil"/>
            </w:tcBorders>
            <w:hideMark/>
          </w:tcPr>
          <w:p w14:paraId="73D23E97"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7</w:t>
            </w:r>
          </w:p>
        </w:tc>
        <w:tc>
          <w:tcPr>
            <w:tcW w:w="621" w:type="dxa"/>
            <w:tcBorders>
              <w:top w:val="nil"/>
              <w:left w:val="nil"/>
              <w:bottom w:val="nil"/>
              <w:right w:val="nil"/>
            </w:tcBorders>
            <w:hideMark/>
          </w:tcPr>
          <w:p w14:paraId="63B825DB"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w:t>
            </w:r>
          </w:p>
        </w:tc>
        <w:tc>
          <w:tcPr>
            <w:tcW w:w="818" w:type="dxa"/>
            <w:tcBorders>
              <w:top w:val="nil"/>
              <w:left w:val="nil"/>
              <w:bottom w:val="nil"/>
              <w:right w:val="nil"/>
            </w:tcBorders>
            <w:hideMark/>
          </w:tcPr>
          <w:p w14:paraId="2A913E44"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82</w:t>
            </w:r>
          </w:p>
        </w:tc>
        <w:tc>
          <w:tcPr>
            <w:tcW w:w="712" w:type="dxa"/>
            <w:tcBorders>
              <w:top w:val="nil"/>
              <w:left w:val="nil"/>
              <w:bottom w:val="nil"/>
              <w:right w:val="nil"/>
            </w:tcBorders>
            <w:hideMark/>
          </w:tcPr>
          <w:p w14:paraId="210E8C46"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10</w:t>
            </w:r>
          </w:p>
        </w:tc>
        <w:tc>
          <w:tcPr>
            <w:tcW w:w="720" w:type="dxa"/>
            <w:tcBorders>
              <w:top w:val="nil"/>
              <w:left w:val="nil"/>
              <w:bottom w:val="nil"/>
              <w:right w:val="nil"/>
            </w:tcBorders>
            <w:hideMark/>
          </w:tcPr>
          <w:p w14:paraId="46281D8A"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3.33</w:t>
            </w:r>
          </w:p>
        </w:tc>
        <w:tc>
          <w:tcPr>
            <w:tcW w:w="964" w:type="dxa"/>
            <w:tcBorders>
              <w:top w:val="nil"/>
              <w:left w:val="nil"/>
              <w:bottom w:val="nil"/>
              <w:right w:val="nil"/>
            </w:tcBorders>
            <w:hideMark/>
          </w:tcPr>
          <w:p w14:paraId="0C02153F" w14:textId="77777777" w:rsidR="00F348ED" w:rsidRPr="00F348ED" w:rsidRDefault="00F348ED" w:rsidP="00F348ED">
            <w:pPr>
              <w:widowControl/>
              <w:autoSpaceDE/>
              <w:autoSpaceDN/>
              <w:spacing w:before="100" w:beforeAutospacing="1"/>
              <w:jc w:val="center"/>
              <w:rPr>
                <w:color w:val="000000"/>
                <w:sz w:val="24"/>
                <w:szCs w:val="24"/>
              </w:rPr>
            </w:pPr>
            <w:r w:rsidRPr="00F348ED">
              <w:rPr>
                <w:color w:val="000000"/>
                <w:sz w:val="24"/>
                <w:szCs w:val="24"/>
              </w:rPr>
              <w:t>0.642</w:t>
            </w:r>
          </w:p>
        </w:tc>
      </w:tr>
      <w:tr w:rsidR="00F348ED" w:rsidRPr="00F348ED" w14:paraId="60BF6D31" w14:textId="77777777" w:rsidTr="009A563E">
        <w:trPr>
          <w:trHeight w:val="623"/>
        </w:trPr>
        <w:tc>
          <w:tcPr>
            <w:tcW w:w="8475" w:type="dxa"/>
            <w:gridSpan w:val="8"/>
            <w:tcBorders>
              <w:top w:val="nil"/>
              <w:left w:val="nil"/>
              <w:bottom w:val="single" w:sz="4" w:space="0" w:color="000000"/>
              <w:right w:val="nil"/>
            </w:tcBorders>
            <w:hideMark/>
          </w:tcPr>
          <w:p w14:paraId="5E704925" w14:textId="77777777" w:rsidR="00F348ED" w:rsidRPr="00F348ED" w:rsidRDefault="00F348ED" w:rsidP="00F348ED">
            <w:pPr>
              <w:widowControl/>
              <w:autoSpaceDE/>
              <w:autoSpaceDN/>
              <w:spacing w:before="100" w:beforeAutospacing="1"/>
              <w:ind w:left="108"/>
              <w:jc w:val="center"/>
              <w:rPr>
                <w:b/>
                <w:color w:val="000000"/>
                <w:sz w:val="24"/>
                <w:szCs w:val="24"/>
              </w:rPr>
            </w:pPr>
            <w:r w:rsidRPr="00F348ED">
              <w:rPr>
                <w:b/>
                <w:bCs/>
                <w:color w:val="000000"/>
                <w:sz w:val="24"/>
                <w:szCs w:val="24"/>
              </w:rPr>
              <w:t>Overall Mean of Responses</w:t>
            </w:r>
          </w:p>
        </w:tc>
        <w:tc>
          <w:tcPr>
            <w:tcW w:w="720" w:type="dxa"/>
            <w:tcBorders>
              <w:top w:val="nil"/>
              <w:left w:val="nil"/>
              <w:bottom w:val="single" w:sz="4" w:space="0" w:color="000000"/>
              <w:right w:val="nil"/>
            </w:tcBorders>
            <w:hideMark/>
          </w:tcPr>
          <w:p w14:paraId="14B2F406" w14:textId="77777777" w:rsidR="00F348ED" w:rsidRPr="00F348ED" w:rsidRDefault="00F348ED" w:rsidP="00F348ED">
            <w:pPr>
              <w:widowControl/>
              <w:autoSpaceDE/>
              <w:autoSpaceDN/>
              <w:spacing w:before="100" w:beforeAutospacing="1"/>
              <w:jc w:val="center"/>
              <w:rPr>
                <w:color w:val="000000"/>
                <w:sz w:val="24"/>
                <w:szCs w:val="24"/>
              </w:rPr>
            </w:pPr>
            <w:r w:rsidRPr="00F348ED">
              <w:rPr>
                <w:b/>
                <w:bCs/>
                <w:color w:val="000000"/>
                <w:sz w:val="24"/>
                <w:szCs w:val="24"/>
              </w:rPr>
              <w:t>3.38</w:t>
            </w:r>
          </w:p>
        </w:tc>
        <w:tc>
          <w:tcPr>
            <w:tcW w:w="964" w:type="dxa"/>
            <w:tcBorders>
              <w:top w:val="nil"/>
              <w:left w:val="nil"/>
              <w:bottom w:val="single" w:sz="4" w:space="0" w:color="000000"/>
              <w:right w:val="nil"/>
            </w:tcBorders>
            <w:hideMark/>
          </w:tcPr>
          <w:p w14:paraId="30484D04" w14:textId="77777777" w:rsidR="00F348ED" w:rsidRPr="00F348ED" w:rsidRDefault="00F348ED" w:rsidP="00F348ED">
            <w:pPr>
              <w:widowControl/>
              <w:autoSpaceDE/>
              <w:autoSpaceDN/>
              <w:spacing w:before="100" w:beforeAutospacing="1"/>
              <w:jc w:val="center"/>
              <w:rPr>
                <w:color w:val="000000"/>
                <w:sz w:val="24"/>
                <w:szCs w:val="24"/>
              </w:rPr>
            </w:pPr>
            <w:r w:rsidRPr="00F348ED">
              <w:rPr>
                <w:b/>
                <w:bCs/>
                <w:color w:val="000000"/>
                <w:sz w:val="24"/>
                <w:szCs w:val="24"/>
              </w:rPr>
              <w:t>0.61</w:t>
            </w:r>
          </w:p>
        </w:tc>
      </w:tr>
    </w:tbl>
    <w:p w14:paraId="2ACCC95E" w14:textId="77777777" w:rsidR="00F348ED" w:rsidRPr="00F348ED" w:rsidRDefault="00F348ED" w:rsidP="00096439">
      <w:pPr>
        <w:widowControl/>
        <w:adjustRightInd w:val="0"/>
        <w:spacing w:before="100" w:beforeAutospacing="1"/>
        <w:ind w:right="60"/>
        <w:jc w:val="both"/>
        <w:rPr>
          <w:rFonts w:eastAsia="Calibri"/>
          <w:b/>
          <w:bCs/>
          <w:color w:val="010205"/>
          <w:sz w:val="24"/>
          <w:szCs w:val="24"/>
        </w:rPr>
      </w:pPr>
      <w:r w:rsidRPr="00F348ED">
        <w:rPr>
          <w:rFonts w:eastAsia="SimSun"/>
          <w:color w:val="000000"/>
          <w:sz w:val="24"/>
          <w:szCs w:val="24"/>
        </w:rPr>
        <w:t xml:space="preserve">The data presented in Table </w:t>
      </w:r>
      <w:r w:rsidR="00B279CE">
        <w:rPr>
          <w:rFonts w:eastAsia="SimSun"/>
          <w:color w:val="000000"/>
          <w:sz w:val="24"/>
          <w:szCs w:val="24"/>
        </w:rPr>
        <w:t>1</w:t>
      </w:r>
      <w:r w:rsidRPr="00F348ED">
        <w:rPr>
          <w:rFonts w:eastAsia="SimSun"/>
          <w:color w:val="000000"/>
          <w:sz w:val="24"/>
          <w:szCs w:val="24"/>
        </w:rPr>
        <w:t xml:space="preserve"> offers a descriptive overview of teachers’ content knowledge in food science and its potential impact on their teaching competencies. The findings suggest a strong link between teachers’ subject mastery and their ability to effectively facilitate student learning. Firstly, the high level of agreement on the statement “I have a strong grasp of theoretical concepts in food science” (Mean = 3.59, SD = 0.534) demonstrates that most teachers perceive themselves as possessing robust foundational knowledge in their subject. This strong theoretical grounding is vital for instructional clarity and coherence, both of which are key teaching competencies. The low standard deviation suggests that this perception is consistent among the respondents, which </w:t>
      </w:r>
      <w:r w:rsidRPr="00F348ED">
        <w:rPr>
          <w:rFonts w:eastAsia="SimSun"/>
          <w:color w:val="000000"/>
          <w:sz w:val="24"/>
          <w:szCs w:val="24"/>
        </w:rPr>
        <w:lastRenderedPageBreak/>
        <w:t>may indicate a general trend of adequate academic preparation among food science teachers in the study area.</w:t>
      </w:r>
    </w:p>
    <w:p w14:paraId="0D55E974" w14:textId="77777777" w:rsidR="00F348ED" w:rsidRPr="00F348ED" w:rsidRDefault="00F348ED" w:rsidP="00F348ED">
      <w:pPr>
        <w:widowControl/>
        <w:tabs>
          <w:tab w:val="left" w:pos="420"/>
        </w:tabs>
        <w:autoSpaceDE/>
        <w:autoSpaceDN/>
        <w:spacing w:before="120" w:after="120"/>
        <w:jc w:val="both"/>
        <w:rPr>
          <w:rFonts w:eastAsia="SimSun"/>
          <w:color w:val="000000"/>
          <w:sz w:val="24"/>
          <w:szCs w:val="24"/>
        </w:rPr>
      </w:pPr>
      <w:r w:rsidRPr="00F348ED">
        <w:rPr>
          <w:rFonts w:eastAsia="SimSun"/>
          <w:color w:val="000000"/>
          <w:sz w:val="24"/>
          <w:szCs w:val="24"/>
        </w:rPr>
        <w:t>Furthermore, the ability of teachers to simplify complex content for students, a practical indicator of pedagogical content knowledge, received high agreement (Mean = 3.34, SD = 0.626), with 84 out of 92 respondents affirming this skill. This suggests that content mastery enables teachers not only to understand concepts themselves but also to transform them into accessible learning experiences for students. Similarly, the high mean score for the statement “I link food science topics to real-life applications in teaching” (Mean = 3.43, SD = 0.603) underscores the teachers’ ability to contextualize learning, thereby enhancing student engagement and understanding, a vital teaching competency, especially in vocational and science-based subjects.</w:t>
      </w:r>
    </w:p>
    <w:p w14:paraId="33E9B380" w14:textId="77777777" w:rsidR="00F348ED" w:rsidRPr="00F348ED" w:rsidRDefault="00F348ED" w:rsidP="00F348ED">
      <w:pPr>
        <w:widowControl/>
        <w:tabs>
          <w:tab w:val="left" w:pos="420"/>
        </w:tabs>
        <w:autoSpaceDE/>
        <w:autoSpaceDN/>
        <w:spacing w:before="120" w:after="120"/>
        <w:jc w:val="both"/>
        <w:rPr>
          <w:rFonts w:eastAsia="SimSun"/>
          <w:color w:val="000000"/>
          <w:sz w:val="24"/>
          <w:szCs w:val="24"/>
        </w:rPr>
      </w:pPr>
      <w:r w:rsidRPr="00F348ED">
        <w:rPr>
          <w:rFonts w:eastAsia="SimSun"/>
          <w:color w:val="000000"/>
          <w:sz w:val="24"/>
          <w:szCs w:val="24"/>
        </w:rPr>
        <w:t>However, a closer look at the item “I can confidently handle questions related to food chemistry and nutrition” (Mean = 3.28, SD = 0.684) reveals slightly more variability in responses, with 12 respondents either disagreeing or strongly disagreeing. This could point to a relative weakness or lack of depth in certain subdomains of food science, which might hinder the teachers’ ability to deliver content comprehensively or respond to students’ inquiries with authority. This finding may warrant targeted content-specific profess</w:t>
      </w:r>
      <w:r w:rsidR="00B279CE">
        <w:rPr>
          <w:rFonts w:eastAsia="SimSun"/>
          <w:color w:val="000000"/>
          <w:sz w:val="24"/>
          <w:szCs w:val="24"/>
        </w:rPr>
        <w:t xml:space="preserve">ional development. </w:t>
      </w:r>
      <w:r w:rsidRPr="00F348ED">
        <w:rPr>
          <w:rFonts w:eastAsia="SimSun"/>
          <w:color w:val="000000"/>
          <w:sz w:val="24"/>
          <w:szCs w:val="24"/>
        </w:rPr>
        <w:t>Equally important is the statement, “I regularly update my subject knowledge through reading or research” (Mean = 3.30, SD = 0.653). While the majority of teachers reported engaging in self-directed professional learning, the slightly lower mean and higher standard deviation suggest that not all teachers consistently seek out new knowledge. In an ever-evolving field like food science, stagnation in content knowledge can negatively impact teaching quality and curriculum relevance.</w:t>
      </w:r>
    </w:p>
    <w:p w14:paraId="2797FD5C" w14:textId="77777777" w:rsidR="00F348ED" w:rsidRPr="00F348ED" w:rsidRDefault="00F348ED" w:rsidP="00084F2C">
      <w:pPr>
        <w:widowControl/>
        <w:tabs>
          <w:tab w:val="left" w:pos="420"/>
        </w:tabs>
        <w:autoSpaceDE/>
        <w:autoSpaceDN/>
        <w:spacing w:before="120" w:after="120"/>
        <w:jc w:val="both"/>
        <w:rPr>
          <w:rFonts w:eastAsia="SimSun"/>
          <w:color w:val="000000"/>
          <w:sz w:val="24"/>
          <w:szCs w:val="24"/>
        </w:rPr>
      </w:pPr>
      <w:r w:rsidRPr="00F348ED">
        <w:rPr>
          <w:rFonts w:eastAsia="SimSun"/>
          <w:color w:val="000000"/>
          <w:sz w:val="24"/>
          <w:szCs w:val="24"/>
        </w:rPr>
        <w:t>Overall, the aggregated mean score across all items (Mean = 3.38, SD = 0.61) suggests that teachers generally perceive their content knowledge as positively influencing their teaching competencies. However, the differences in standard deviations among items hint at disparities in individual confidence or expertise levels, which could translate to uneven instructional quality in practice. Therefore, the findings affirm that teachers’ content knowledge in food science plays a significant role in shaping their teaching competencies. The ability to simplify concepts, relate content to real-life applications, and maintain updated knowledge directly contributes to effective teaching. Nonetheless, the variation in responses also points to areas for improvement, particularly in deepening domain-specific expertise and fostering consistent professional growth. Thus, while the impact of content knowledge is clearly positive, strengthening these competencies through targeted training and curriculum support would further enhance teaching effectiveness.</w:t>
      </w:r>
    </w:p>
    <w:p w14:paraId="0CDF6D52" w14:textId="77777777" w:rsidR="00F348ED" w:rsidRPr="00F348ED" w:rsidRDefault="00F348ED" w:rsidP="00084F2C">
      <w:pPr>
        <w:widowControl/>
        <w:tabs>
          <w:tab w:val="left" w:pos="2119"/>
        </w:tabs>
        <w:autoSpaceDE/>
        <w:autoSpaceDN/>
        <w:spacing w:before="100" w:beforeAutospacing="1"/>
        <w:jc w:val="both"/>
        <w:rPr>
          <w:rFonts w:eastAsia="SimSun"/>
          <w:color w:val="000000"/>
          <w:sz w:val="24"/>
          <w:szCs w:val="24"/>
        </w:rPr>
      </w:pPr>
      <w:r w:rsidRPr="00F348ED">
        <w:rPr>
          <w:rFonts w:eastAsia="SimSun"/>
          <w:color w:val="000000"/>
          <w:sz w:val="24"/>
          <w:szCs w:val="24"/>
        </w:rPr>
        <w:t xml:space="preserve"> </w:t>
      </w:r>
    </w:p>
    <w:p w14:paraId="72718D6C" w14:textId="77777777" w:rsidR="00F348ED" w:rsidRPr="00F348ED" w:rsidRDefault="00F348ED" w:rsidP="00084F2C">
      <w:pPr>
        <w:widowControl/>
        <w:autoSpaceDE/>
        <w:autoSpaceDN/>
        <w:spacing w:before="100" w:beforeAutospacing="1" w:after="100" w:afterAutospacing="1"/>
        <w:ind w:left="540" w:hanging="540"/>
        <w:jc w:val="both"/>
        <w:rPr>
          <w:rFonts w:eastAsia="SimSun"/>
          <w:sz w:val="24"/>
          <w:szCs w:val="24"/>
        </w:rPr>
      </w:pPr>
      <w:r w:rsidRPr="00F348ED">
        <w:rPr>
          <w:b/>
          <w:bCs/>
          <w:sz w:val="24"/>
          <w:szCs w:val="24"/>
        </w:rPr>
        <w:t>Ho</w:t>
      </w:r>
      <w:r w:rsidRPr="00F348ED">
        <w:rPr>
          <w:b/>
          <w:bCs/>
          <w:sz w:val="24"/>
          <w:szCs w:val="24"/>
          <w:vertAlign w:val="subscript"/>
        </w:rPr>
        <w:t>1</w:t>
      </w:r>
      <w:r w:rsidRPr="00F348ED">
        <w:rPr>
          <w:b/>
          <w:bCs/>
          <w:sz w:val="24"/>
          <w:szCs w:val="24"/>
        </w:rPr>
        <w:t>:</w:t>
      </w:r>
      <w:r w:rsidRPr="00F348ED">
        <w:rPr>
          <w:sz w:val="24"/>
          <w:szCs w:val="24"/>
        </w:rPr>
        <w:t xml:space="preserve"> Teachers’ content knowledge in food science has no significant impact on their teaching competencies.</w:t>
      </w:r>
    </w:p>
    <w:p w14:paraId="094B4FA4" w14:textId="77777777" w:rsidR="00F348ED" w:rsidRPr="00F348ED" w:rsidRDefault="00F348ED" w:rsidP="00084F2C">
      <w:pPr>
        <w:widowControl/>
        <w:autoSpaceDE/>
        <w:autoSpaceDN/>
        <w:spacing w:before="100" w:beforeAutospacing="1" w:after="100" w:afterAutospacing="1"/>
        <w:ind w:left="540" w:hanging="540"/>
        <w:jc w:val="both"/>
        <w:rPr>
          <w:b/>
          <w:sz w:val="24"/>
          <w:szCs w:val="24"/>
        </w:rPr>
      </w:pPr>
      <w:r w:rsidRPr="00F348ED">
        <w:rPr>
          <w:b/>
          <w:bCs/>
          <w:sz w:val="24"/>
          <w:szCs w:val="24"/>
        </w:rPr>
        <w:t xml:space="preserve"> Ha</w:t>
      </w:r>
      <w:r w:rsidRPr="00F348ED">
        <w:rPr>
          <w:b/>
          <w:bCs/>
          <w:sz w:val="24"/>
          <w:szCs w:val="24"/>
          <w:vertAlign w:val="subscript"/>
        </w:rPr>
        <w:t>1</w:t>
      </w:r>
      <w:r w:rsidRPr="00F348ED">
        <w:rPr>
          <w:b/>
          <w:bCs/>
          <w:sz w:val="24"/>
          <w:szCs w:val="24"/>
        </w:rPr>
        <w:t>:</w:t>
      </w:r>
      <w:r w:rsidRPr="00F348ED">
        <w:rPr>
          <w:sz w:val="24"/>
          <w:szCs w:val="24"/>
        </w:rPr>
        <w:t xml:space="preserve"> Teachers’ content knowledge in food science has a significant impact on their teaching competencies.</w:t>
      </w:r>
    </w:p>
    <w:p w14:paraId="293AED2B" w14:textId="77777777" w:rsidR="00F348ED" w:rsidRPr="00F348ED" w:rsidRDefault="00F348ED" w:rsidP="00B279CE">
      <w:pPr>
        <w:widowControl/>
        <w:adjustRightInd w:val="0"/>
        <w:spacing w:before="100" w:beforeAutospacing="1" w:after="240"/>
        <w:rPr>
          <w:rFonts w:eastAsia="Calibri"/>
          <w:b/>
          <w:color w:val="000000"/>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2: </w:t>
      </w:r>
      <w:r w:rsidRPr="00F348ED">
        <w:rPr>
          <w:rFonts w:eastAsia="Calibri"/>
          <w:b/>
          <w:bCs/>
          <w:color w:val="000000"/>
          <w:sz w:val="24"/>
          <w:szCs w:val="24"/>
        </w:rPr>
        <w:t xml:space="preserve">Model Summary on </w:t>
      </w:r>
      <w:r w:rsidRPr="00F348ED">
        <w:rPr>
          <w:rFonts w:eastAsia="Calibri"/>
          <w:b/>
          <w:color w:val="000000"/>
          <w:sz w:val="24"/>
          <w:szCs w:val="24"/>
        </w:rPr>
        <w:t xml:space="preserve">Teachers’ Content Knowledge in Food Science and Their Teaching Competencies  </w:t>
      </w:r>
    </w:p>
    <w:tbl>
      <w:tblPr>
        <w:tblW w:w="934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0"/>
        <w:gridCol w:w="1639"/>
        <w:gridCol w:w="1736"/>
        <w:gridCol w:w="2348"/>
        <w:gridCol w:w="2352"/>
      </w:tblGrid>
      <w:tr w:rsidR="00F348ED" w:rsidRPr="00F348ED" w14:paraId="7D15B90B" w14:textId="77777777" w:rsidTr="00F348ED">
        <w:trPr>
          <w:cantSplit/>
          <w:trHeight w:val="673"/>
        </w:trPr>
        <w:tc>
          <w:tcPr>
            <w:tcW w:w="1270" w:type="dxa"/>
            <w:tcBorders>
              <w:top w:val="single" w:sz="4" w:space="0" w:color="auto"/>
              <w:left w:val="nil"/>
              <w:bottom w:val="single" w:sz="8" w:space="0" w:color="152935"/>
              <w:right w:val="nil"/>
            </w:tcBorders>
            <w:shd w:val="clear" w:color="auto" w:fill="FFFFFF"/>
            <w:vAlign w:val="bottom"/>
            <w:hideMark/>
          </w:tcPr>
          <w:p w14:paraId="54A95300"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639" w:type="dxa"/>
            <w:tcBorders>
              <w:top w:val="single" w:sz="4" w:space="0" w:color="auto"/>
              <w:left w:val="nil"/>
              <w:bottom w:val="single" w:sz="8" w:space="0" w:color="152935"/>
              <w:right w:val="single" w:sz="8" w:space="0" w:color="E0E0E0"/>
            </w:tcBorders>
            <w:shd w:val="clear" w:color="auto" w:fill="FFFFFF"/>
            <w:vAlign w:val="bottom"/>
            <w:hideMark/>
          </w:tcPr>
          <w:p w14:paraId="7EE212AB"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w:t>
            </w:r>
          </w:p>
        </w:tc>
        <w:tc>
          <w:tcPr>
            <w:tcW w:w="1736" w:type="dxa"/>
            <w:tcBorders>
              <w:top w:val="single" w:sz="4" w:space="0" w:color="auto"/>
              <w:left w:val="nil"/>
              <w:bottom w:val="single" w:sz="8" w:space="0" w:color="152935"/>
              <w:right w:val="single" w:sz="8" w:space="0" w:color="E0E0E0"/>
            </w:tcBorders>
            <w:shd w:val="clear" w:color="auto" w:fill="FFFFFF"/>
            <w:vAlign w:val="bottom"/>
            <w:hideMark/>
          </w:tcPr>
          <w:p w14:paraId="41F32AFF"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 Square</w:t>
            </w:r>
          </w:p>
        </w:tc>
        <w:tc>
          <w:tcPr>
            <w:tcW w:w="2348" w:type="dxa"/>
            <w:tcBorders>
              <w:top w:val="single" w:sz="4" w:space="0" w:color="auto"/>
              <w:left w:val="nil"/>
              <w:bottom w:val="single" w:sz="8" w:space="0" w:color="152935"/>
              <w:right w:val="single" w:sz="8" w:space="0" w:color="E0E0E0"/>
            </w:tcBorders>
            <w:shd w:val="clear" w:color="auto" w:fill="FFFFFF"/>
            <w:vAlign w:val="bottom"/>
            <w:hideMark/>
          </w:tcPr>
          <w:p w14:paraId="28C562A9"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Adjusted R Square</w:t>
            </w:r>
          </w:p>
        </w:tc>
        <w:tc>
          <w:tcPr>
            <w:tcW w:w="2352" w:type="dxa"/>
            <w:tcBorders>
              <w:top w:val="single" w:sz="4" w:space="0" w:color="auto"/>
              <w:left w:val="nil"/>
              <w:bottom w:val="single" w:sz="8" w:space="0" w:color="152935"/>
              <w:right w:val="nil"/>
            </w:tcBorders>
            <w:shd w:val="clear" w:color="auto" w:fill="FFFFFF"/>
            <w:vAlign w:val="bottom"/>
            <w:hideMark/>
          </w:tcPr>
          <w:p w14:paraId="3766C80F"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Std. Error of the Estimate</w:t>
            </w:r>
          </w:p>
        </w:tc>
      </w:tr>
      <w:tr w:rsidR="00F348ED" w:rsidRPr="00F348ED" w14:paraId="1086777C" w14:textId="77777777" w:rsidTr="00F348ED">
        <w:trPr>
          <w:cantSplit/>
          <w:trHeight w:val="636"/>
        </w:trPr>
        <w:tc>
          <w:tcPr>
            <w:tcW w:w="1270" w:type="dxa"/>
            <w:tcBorders>
              <w:top w:val="single" w:sz="8" w:space="0" w:color="152935"/>
              <w:left w:val="nil"/>
              <w:bottom w:val="single" w:sz="8" w:space="0" w:color="152935"/>
              <w:right w:val="nil"/>
            </w:tcBorders>
            <w:shd w:val="clear" w:color="auto" w:fill="E0E0E0"/>
            <w:hideMark/>
          </w:tcPr>
          <w:p w14:paraId="4568D3C8"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639" w:type="dxa"/>
            <w:tcBorders>
              <w:top w:val="single" w:sz="8" w:space="0" w:color="152935"/>
              <w:left w:val="nil"/>
              <w:bottom w:val="single" w:sz="8" w:space="0" w:color="152935"/>
              <w:right w:val="single" w:sz="8" w:space="0" w:color="E0E0E0"/>
            </w:tcBorders>
            <w:shd w:val="clear" w:color="auto" w:fill="FFFFFF"/>
            <w:hideMark/>
          </w:tcPr>
          <w:p w14:paraId="6191720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.601</w:t>
            </w:r>
          </w:p>
        </w:tc>
        <w:tc>
          <w:tcPr>
            <w:tcW w:w="1736" w:type="dxa"/>
            <w:tcBorders>
              <w:top w:val="single" w:sz="8" w:space="0" w:color="152935"/>
              <w:left w:val="nil"/>
              <w:bottom w:val="single" w:sz="8" w:space="0" w:color="152935"/>
              <w:right w:val="single" w:sz="8" w:space="0" w:color="E0E0E0"/>
            </w:tcBorders>
            <w:shd w:val="clear" w:color="auto" w:fill="FFFFFF"/>
            <w:hideMark/>
          </w:tcPr>
          <w:p w14:paraId="23CF5BB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.360</w:t>
            </w:r>
          </w:p>
        </w:tc>
        <w:tc>
          <w:tcPr>
            <w:tcW w:w="2348" w:type="dxa"/>
            <w:tcBorders>
              <w:top w:val="single" w:sz="8" w:space="0" w:color="152935"/>
              <w:left w:val="nil"/>
              <w:bottom w:val="single" w:sz="8" w:space="0" w:color="152935"/>
              <w:right w:val="single" w:sz="8" w:space="0" w:color="E0E0E0"/>
            </w:tcBorders>
            <w:shd w:val="clear" w:color="auto" w:fill="FFFFFF"/>
            <w:hideMark/>
          </w:tcPr>
          <w:p w14:paraId="64FF578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.353</w:t>
            </w:r>
          </w:p>
        </w:tc>
        <w:tc>
          <w:tcPr>
            <w:tcW w:w="2352" w:type="dxa"/>
            <w:tcBorders>
              <w:top w:val="single" w:sz="8" w:space="0" w:color="152935"/>
              <w:left w:val="nil"/>
              <w:bottom w:val="single" w:sz="8" w:space="0" w:color="152935"/>
              <w:right w:val="nil"/>
            </w:tcBorders>
            <w:shd w:val="clear" w:color="auto" w:fill="FFFFFF"/>
            <w:hideMark/>
          </w:tcPr>
          <w:p w14:paraId="32CD7EC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2.458</w:t>
            </w:r>
          </w:p>
        </w:tc>
      </w:tr>
      <w:tr w:rsidR="00F348ED" w:rsidRPr="00F348ED" w14:paraId="249F0634" w14:textId="77777777" w:rsidTr="00F348ED">
        <w:trPr>
          <w:cantSplit/>
          <w:trHeight w:val="607"/>
        </w:trPr>
        <w:tc>
          <w:tcPr>
            <w:tcW w:w="9345" w:type="dxa"/>
            <w:gridSpan w:val="5"/>
            <w:tcBorders>
              <w:top w:val="nil"/>
              <w:left w:val="nil"/>
              <w:bottom w:val="nil"/>
              <w:right w:val="nil"/>
            </w:tcBorders>
            <w:shd w:val="clear" w:color="auto" w:fill="FFFFFF"/>
            <w:hideMark/>
          </w:tcPr>
          <w:p w14:paraId="11A290F0"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Predictors: (Constant), Teachers’ Content Knowledge in Food Science</w:t>
            </w:r>
          </w:p>
        </w:tc>
      </w:tr>
    </w:tbl>
    <w:p w14:paraId="03BDC984"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lastRenderedPageBreak/>
        <w:t xml:space="preserve">Table </w:t>
      </w:r>
      <w:r w:rsidR="00B279CE">
        <w:rPr>
          <w:rFonts w:eastAsia="Calibri"/>
          <w:color w:val="000000"/>
          <w:sz w:val="24"/>
          <w:szCs w:val="24"/>
        </w:rPr>
        <w:t>2</w:t>
      </w:r>
      <w:r w:rsidRPr="00F348ED">
        <w:rPr>
          <w:rFonts w:eastAsia="Calibri"/>
          <w:color w:val="000000"/>
          <w:sz w:val="24"/>
          <w:szCs w:val="24"/>
        </w:rPr>
        <w:t xml:space="preserve"> reveals a correlation coefficient (R) of 0.601, indicating a moderately strong positive relationship between teachers’ subject knowledge and their teaching competencies. The R Square value of 0.360 suggests that approximately 36% of the variation in teaching competencies can be explained by differences in teachers’ content knowledge. This level of explained variance is considerable in educational research, where many factors influence instructional effectiveness. The adjusted R Square of 0.353 accounts for sample size and number of predictors, reinforcing the strength of the model.</w:t>
      </w:r>
    </w:p>
    <w:p w14:paraId="22E89184" w14:textId="77777777" w:rsidR="00F348ED" w:rsidRPr="00F348ED" w:rsidRDefault="00F348ED" w:rsidP="00B279CE">
      <w:pPr>
        <w:widowControl/>
        <w:adjustRightInd w:val="0"/>
        <w:spacing w:before="100" w:beforeAutospacing="1" w:after="240"/>
        <w:rPr>
          <w:rFonts w:eastAsia="Calibri"/>
          <w:b/>
          <w:color w:val="000000"/>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3: </w:t>
      </w:r>
      <w:r w:rsidRPr="00F348ED">
        <w:rPr>
          <w:rFonts w:eastAsia="Calibri"/>
          <w:b/>
          <w:bCs/>
          <w:color w:val="000000"/>
          <w:sz w:val="24"/>
          <w:szCs w:val="24"/>
        </w:rPr>
        <w:t xml:space="preserve">ANOVA on </w:t>
      </w:r>
      <w:r w:rsidRPr="00F348ED">
        <w:rPr>
          <w:rFonts w:eastAsia="Calibri"/>
          <w:b/>
          <w:color w:val="000000"/>
          <w:sz w:val="24"/>
          <w:szCs w:val="24"/>
        </w:rPr>
        <w:t xml:space="preserve">Teachers’ Content Knowledge in Food Science and Their Teaching Competencies </w:t>
      </w:r>
    </w:p>
    <w:tbl>
      <w:tblPr>
        <w:tblW w:w="931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9"/>
        <w:gridCol w:w="1501"/>
        <w:gridCol w:w="1717"/>
        <w:gridCol w:w="1197"/>
        <w:gridCol w:w="1645"/>
        <w:gridCol w:w="1197"/>
        <w:gridCol w:w="1199"/>
      </w:tblGrid>
      <w:tr w:rsidR="00F348ED" w:rsidRPr="00F348ED" w14:paraId="259AAAE6" w14:textId="77777777" w:rsidTr="00F348ED">
        <w:trPr>
          <w:cantSplit/>
          <w:trHeight w:val="403"/>
        </w:trPr>
        <w:tc>
          <w:tcPr>
            <w:tcW w:w="2360" w:type="dxa"/>
            <w:gridSpan w:val="2"/>
            <w:tcBorders>
              <w:top w:val="single" w:sz="4" w:space="0" w:color="auto"/>
              <w:left w:val="nil"/>
              <w:bottom w:val="single" w:sz="8" w:space="0" w:color="152935"/>
              <w:right w:val="nil"/>
            </w:tcBorders>
            <w:shd w:val="clear" w:color="auto" w:fill="FFFFFF"/>
            <w:vAlign w:val="bottom"/>
            <w:hideMark/>
          </w:tcPr>
          <w:p w14:paraId="4F233025"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717" w:type="dxa"/>
            <w:tcBorders>
              <w:top w:val="single" w:sz="4" w:space="0" w:color="auto"/>
              <w:left w:val="nil"/>
              <w:bottom w:val="single" w:sz="8" w:space="0" w:color="152935"/>
              <w:right w:val="single" w:sz="8" w:space="0" w:color="E0E0E0"/>
            </w:tcBorders>
            <w:shd w:val="clear" w:color="auto" w:fill="FFFFFF"/>
            <w:vAlign w:val="bottom"/>
            <w:hideMark/>
          </w:tcPr>
          <w:p w14:paraId="13FAE851"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Sum of Squares</w:t>
            </w:r>
          </w:p>
        </w:tc>
        <w:tc>
          <w:tcPr>
            <w:tcW w:w="1197" w:type="dxa"/>
            <w:tcBorders>
              <w:top w:val="single" w:sz="4" w:space="0" w:color="auto"/>
              <w:left w:val="nil"/>
              <w:bottom w:val="single" w:sz="8" w:space="0" w:color="152935"/>
              <w:right w:val="single" w:sz="8" w:space="0" w:color="E0E0E0"/>
            </w:tcBorders>
            <w:shd w:val="clear" w:color="auto" w:fill="FFFFFF"/>
            <w:vAlign w:val="bottom"/>
            <w:hideMark/>
          </w:tcPr>
          <w:p w14:paraId="1BAF1BFB"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df</w:t>
            </w:r>
          </w:p>
        </w:tc>
        <w:tc>
          <w:tcPr>
            <w:tcW w:w="1645" w:type="dxa"/>
            <w:tcBorders>
              <w:top w:val="single" w:sz="4" w:space="0" w:color="auto"/>
              <w:left w:val="nil"/>
              <w:bottom w:val="single" w:sz="8" w:space="0" w:color="152935"/>
              <w:right w:val="single" w:sz="8" w:space="0" w:color="E0E0E0"/>
            </w:tcBorders>
            <w:shd w:val="clear" w:color="auto" w:fill="FFFFFF"/>
            <w:vAlign w:val="bottom"/>
            <w:hideMark/>
          </w:tcPr>
          <w:p w14:paraId="27D13AA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Mean Square</w:t>
            </w:r>
          </w:p>
        </w:tc>
        <w:tc>
          <w:tcPr>
            <w:tcW w:w="1197" w:type="dxa"/>
            <w:tcBorders>
              <w:top w:val="single" w:sz="4" w:space="0" w:color="auto"/>
              <w:left w:val="nil"/>
              <w:bottom w:val="single" w:sz="8" w:space="0" w:color="152935"/>
              <w:right w:val="single" w:sz="8" w:space="0" w:color="E0E0E0"/>
            </w:tcBorders>
            <w:shd w:val="clear" w:color="auto" w:fill="FFFFFF"/>
            <w:vAlign w:val="bottom"/>
            <w:hideMark/>
          </w:tcPr>
          <w:p w14:paraId="20C3398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F</w:t>
            </w:r>
          </w:p>
        </w:tc>
        <w:tc>
          <w:tcPr>
            <w:tcW w:w="1199" w:type="dxa"/>
            <w:tcBorders>
              <w:top w:val="single" w:sz="4" w:space="0" w:color="auto"/>
              <w:left w:val="nil"/>
              <w:bottom w:val="single" w:sz="8" w:space="0" w:color="152935"/>
              <w:right w:val="nil"/>
            </w:tcBorders>
            <w:shd w:val="clear" w:color="auto" w:fill="FFFFFF"/>
            <w:vAlign w:val="bottom"/>
            <w:hideMark/>
          </w:tcPr>
          <w:p w14:paraId="7C82163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Sig.</w:t>
            </w:r>
          </w:p>
        </w:tc>
      </w:tr>
      <w:tr w:rsidR="00F348ED" w:rsidRPr="00F348ED" w14:paraId="2529BC12" w14:textId="77777777" w:rsidTr="00F348ED">
        <w:trPr>
          <w:cantSplit/>
          <w:trHeight w:val="488"/>
        </w:trPr>
        <w:tc>
          <w:tcPr>
            <w:tcW w:w="859" w:type="dxa"/>
            <w:vMerge w:val="restart"/>
            <w:tcBorders>
              <w:top w:val="nil"/>
              <w:left w:val="nil"/>
              <w:bottom w:val="single" w:sz="8" w:space="0" w:color="152935"/>
              <w:right w:val="nil"/>
            </w:tcBorders>
            <w:shd w:val="clear" w:color="auto" w:fill="E0E0E0"/>
            <w:hideMark/>
          </w:tcPr>
          <w:p w14:paraId="399B0382"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501" w:type="dxa"/>
            <w:tcBorders>
              <w:top w:val="single" w:sz="8" w:space="0" w:color="152935"/>
              <w:left w:val="nil"/>
              <w:bottom w:val="single" w:sz="8" w:space="0" w:color="AEAEAE"/>
              <w:right w:val="nil"/>
            </w:tcBorders>
            <w:shd w:val="clear" w:color="auto" w:fill="E0E0E0"/>
            <w:hideMark/>
          </w:tcPr>
          <w:p w14:paraId="0AE276C9"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Regression</w:t>
            </w:r>
          </w:p>
        </w:tc>
        <w:tc>
          <w:tcPr>
            <w:tcW w:w="1717" w:type="dxa"/>
            <w:tcBorders>
              <w:top w:val="single" w:sz="8" w:space="0" w:color="152935"/>
              <w:left w:val="nil"/>
              <w:bottom w:val="single" w:sz="8" w:space="0" w:color="AEAEAE"/>
              <w:right w:val="single" w:sz="8" w:space="0" w:color="E0E0E0"/>
            </w:tcBorders>
            <w:shd w:val="clear" w:color="auto" w:fill="FFFFFF"/>
            <w:hideMark/>
          </w:tcPr>
          <w:p w14:paraId="2CF3A75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325.748</w:t>
            </w:r>
          </w:p>
        </w:tc>
        <w:tc>
          <w:tcPr>
            <w:tcW w:w="1197" w:type="dxa"/>
            <w:tcBorders>
              <w:top w:val="single" w:sz="8" w:space="0" w:color="152935"/>
              <w:left w:val="nil"/>
              <w:bottom w:val="single" w:sz="8" w:space="0" w:color="AEAEAE"/>
              <w:right w:val="single" w:sz="8" w:space="0" w:color="E0E0E0"/>
            </w:tcBorders>
            <w:shd w:val="clear" w:color="auto" w:fill="FFFFFF"/>
            <w:hideMark/>
          </w:tcPr>
          <w:p w14:paraId="1A68199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w:t>
            </w:r>
          </w:p>
        </w:tc>
        <w:tc>
          <w:tcPr>
            <w:tcW w:w="1645" w:type="dxa"/>
            <w:tcBorders>
              <w:top w:val="single" w:sz="8" w:space="0" w:color="152935"/>
              <w:left w:val="nil"/>
              <w:bottom w:val="single" w:sz="8" w:space="0" w:color="AEAEAE"/>
              <w:right w:val="single" w:sz="8" w:space="0" w:color="E0E0E0"/>
            </w:tcBorders>
            <w:shd w:val="clear" w:color="auto" w:fill="FFFFFF"/>
            <w:hideMark/>
          </w:tcPr>
          <w:p w14:paraId="26AA6CE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325.748</w:t>
            </w:r>
          </w:p>
        </w:tc>
        <w:tc>
          <w:tcPr>
            <w:tcW w:w="1197" w:type="dxa"/>
            <w:tcBorders>
              <w:top w:val="single" w:sz="8" w:space="0" w:color="152935"/>
              <w:left w:val="nil"/>
              <w:bottom w:val="single" w:sz="8" w:space="0" w:color="AEAEAE"/>
              <w:right w:val="single" w:sz="8" w:space="0" w:color="E0E0E0"/>
            </w:tcBorders>
            <w:shd w:val="clear" w:color="auto" w:fill="FFFFFF"/>
            <w:hideMark/>
          </w:tcPr>
          <w:p w14:paraId="7321AD5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53.944</w:t>
            </w:r>
          </w:p>
        </w:tc>
        <w:tc>
          <w:tcPr>
            <w:tcW w:w="1199" w:type="dxa"/>
            <w:tcBorders>
              <w:top w:val="single" w:sz="8" w:space="0" w:color="152935"/>
              <w:left w:val="nil"/>
              <w:bottom w:val="single" w:sz="8" w:space="0" w:color="AEAEAE"/>
              <w:right w:val="nil"/>
            </w:tcBorders>
            <w:shd w:val="clear" w:color="auto" w:fill="FFFFFF"/>
            <w:hideMark/>
          </w:tcPr>
          <w:p w14:paraId="6E03DC5D" w14:textId="77777777" w:rsidR="00F348ED" w:rsidRPr="00F348ED" w:rsidRDefault="00F348ED" w:rsidP="00084F2C">
            <w:pPr>
              <w:widowControl/>
              <w:autoSpaceDE/>
              <w:autoSpaceDN/>
              <w:spacing w:before="100" w:beforeAutospacing="1"/>
              <w:jc w:val="center"/>
              <w:rPr>
                <w:color w:val="000000"/>
                <w:sz w:val="24"/>
                <w:szCs w:val="24"/>
              </w:rPr>
            </w:pPr>
            <w:r w:rsidRPr="00F348ED">
              <w:rPr>
                <w:bCs/>
                <w:color w:val="000000"/>
                <w:sz w:val="24"/>
                <w:szCs w:val="24"/>
              </w:rPr>
              <w:t>.000</w:t>
            </w:r>
          </w:p>
        </w:tc>
      </w:tr>
      <w:tr w:rsidR="00F348ED" w:rsidRPr="00F348ED" w14:paraId="05C2812C" w14:textId="77777777" w:rsidTr="00F348ED">
        <w:trPr>
          <w:cantSplit/>
          <w:trHeight w:val="536"/>
        </w:trPr>
        <w:tc>
          <w:tcPr>
            <w:tcW w:w="9315" w:type="dxa"/>
            <w:vMerge/>
            <w:tcBorders>
              <w:top w:val="nil"/>
              <w:left w:val="nil"/>
              <w:bottom w:val="single" w:sz="8" w:space="0" w:color="152935"/>
              <w:right w:val="nil"/>
            </w:tcBorders>
            <w:vAlign w:val="center"/>
            <w:hideMark/>
          </w:tcPr>
          <w:p w14:paraId="4D20C1C0" w14:textId="77777777" w:rsidR="00F348ED" w:rsidRPr="00F348ED" w:rsidRDefault="00F348ED" w:rsidP="00084F2C">
            <w:pPr>
              <w:widowControl/>
              <w:autoSpaceDE/>
              <w:autoSpaceDN/>
              <w:rPr>
                <w:rFonts w:eastAsia="Calibri"/>
                <w:color w:val="264A60"/>
                <w:sz w:val="24"/>
                <w:szCs w:val="24"/>
              </w:rPr>
            </w:pPr>
          </w:p>
        </w:tc>
        <w:tc>
          <w:tcPr>
            <w:tcW w:w="1501" w:type="dxa"/>
            <w:tcBorders>
              <w:top w:val="single" w:sz="8" w:space="0" w:color="AEAEAE"/>
              <w:left w:val="nil"/>
              <w:bottom w:val="single" w:sz="8" w:space="0" w:color="AEAEAE"/>
              <w:right w:val="nil"/>
            </w:tcBorders>
            <w:shd w:val="clear" w:color="auto" w:fill="E0E0E0"/>
            <w:hideMark/>
          </w:tcPr>
          <w:p w14:paraId="7CB5B9F7"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Residual</w:t>
            </w:r>
          </w:p>
        </w:tc>
        <w:tc>
          <w:tcPr>
            <w:tcW w:w="1717" w:type="dxa"/>
            <w:tcBorders>
              <w:top w:val="single" w:sz="8" w:space="0" w:color="AEAEAE"/>
              <w:left w:val="nil"/>
              <w:bottom w:val="single" w:sz="8" w:space="0" w:color="AEAEAE"/>
              <w:right w:val="single" w:sz="8" w:space="0" w:color="E0E0E0"/>
            </w:tcBorders>
            <w:shd w:val="clear" w:color="auto" w:fill="FFFFFF"/>
            <w:hideMark/>
          </w:tcPr>
          <w:p w14:paraId="62AC230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548.082</w:t>
            </w:r>
          </w:p>
        </w:tc>
        <w:tc>
          <w:tcPr>
            <w:tcW w:w="1197" w:type="dxa"/>
            <w:tcBorders>
              <w:top w:val="single" w:sz="8" w:space="0" w:color="AEAEAE"/>
              <w:left w:val="nil"/>
              <w:bottom w:val="single" w:sz="8" w:space="0" w:color="AEAEAE"/>
              <w:right w:val="single" w:sz="8" w:space="0" w:color="E0E0E0"/>
            </w:tcBorders>
            <w:shd w:val="clear" w:color="auto" w:fill="FFFFFF"/>
            <w:hideMark/>
          </w:tcPr>
          <w:p w14:paraId="00C9A05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90</w:t>
            </w:r>
          </w:p>
        </w:tc>
        <w:tc>
          <w:tcPr>
            <w:tcW w:w="1645" w:type="dxa"/>
            <w:tcBorders>
              <w:top w:val="single" w:sz="8" w:space="0" w:color="AEAEAE"/>
              <w:left w:val="nil"/>
              <w:bottom w:val="single" w:sz="8" w:space="0" w:color="AEAEAE"/>
              <w:right w:val="single" w:sz="8" w:space="0" w:color="E0E0E0"/>
            </w:tcBorders>
            <w:shd w:val="clear" w:color="auto" w:fill="FFFFFF"/>
            <w:hideMark/>
          </w:tcPr>
          <w:p w14:paraId="5218CB5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6.089</w:t>
            </w:r>
          </w:p>
        </w:tc>
        <w:tc>
          <w:tcPr>
            <w:tcW w:w="1197" w:type="dxa"/>
            <w:tcBorders>
              <w:top w:val="single" w:sz="8" w:space="0" w:color="AEAEAE"/>
              <w:left w:val="nil"/>
              <w:bottom w:val="single" w:sz="8" w:space="0" w:color="AEAEAE"/>
              <w:right w:val="single" w:sz="8" w:space="0" w:color="E0E0E0"/>
            </w:tcBorders>
            <w:shd w:val="clear" w:color="auto" w:fill="FFFFFF"/>
          </w:tcPr>
          <w:p w14:paraId="1C3CFEF4"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99" w:type="dxa"/>
            <w:tcBorders>
              <w:top w:val="single" w:sz="8" w:space="0" w:color="AEAEAE"/>
              <w:left w:val="nil"/>
              <w:bottom w:val="single" w:sz="8" w:space="0" w:color="AEAEAE"/>
              <w:right w:val="nil"/>
            </w:tcBorders>
            <w:shd w:val="clear" w:color="auto" w:fill="FFFFFF"/>
          </w:tcPr>
          <w:p w14:paraId="6B0DA6BD"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21CAFCB2" w14:textId="77777777" w:rsidTr="00F348ED">
        <w:trPr>
          <w:cantSplit/>
          <w:trHeight w:val="511"/>
        </w:trPr>
        <w:tc>
          <w:tcPr>
            <w:tcW w:w="9315" w:type="dxa"/>
            <w:vMerge/>
            <w:tcBorders>
              <w:top w:val="nil"/>
              <w:left w:val="nil"/>
              <w:bottom w:val="single" w:sz="8" w:space="0" w:color="152935"/>
              <w:right w:val="nil"/>
            </w:tcBorders>
            <w:vAlign w:val="center"/>
            <w:hideMark/>
          </w:tcPr>
          <w:p w14:paraId="11E226AA" w14:textId="77777777" w:rsidR="00F348ED" w:rsidRPr="00F348ED" w:rsidRDefault="00F348ED" w:rsidP="00084F2C">
            <w:pPr>
              <w:widowControl/>
              <w:autoSpaceDE/>
              <w:autoSpaceDN/>
              <w:rPr>
                <w:rFonts w:eastAsia="Calibri"/>
                <w:color w:val="264A60"/>
                <w:sz w:val="24"/>
                <w:szCs w:val="24"/>
              </w:rPr>
            </w:pPr>
          </w:p>
        </w:tc>
        <w:tc>
          <w:tcPr>
            <w:tcW w:w="1501" w:type="dxa"/>
            <w:tcBorders>
              <w:top w:val="single" w:sz="8" w:space="0" w:color="AEAEAE"/>
              <w:left w:val="nil"/>
              <w:bottom w:val="single" w:sz="8" w:space="0" w:color="152935"/>
              <w:right w:val="nil"/>
            </w:tcBorders>
            <w:shd w:val="clear" w:color="auto" w:fill="E0E0E0"/>
            <w:hideMark/>
          </w:tcPr>
          <w:p w14:paraId="2BF20BA5"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Total</w:t>
            </w:r>
          </w:p>
        </w:tc>
        <w:tc>
          <w:tcPr>
            <w:tcW w:w="1717" w:type="dxa"/>
            <w:tcBorders>
              <w:top w:val="single" w:sz="8" w:space="0" w:color="AEAEAE"/>
              <w:left w:val="nil"/>
              <w:bottom w:val="single" w:sz="8" w:space="0" w:color="152935"/>
              <w:right w:val="single" w:sz="8" w:space="0" w:color="E0E0E0"/>
            </w:tcBorders>
            <w:shd w:val="clear" w:color="auto" w:fill="FFFFFF"/>
            <w:hideMark/>
          </w:tcPr>
          <w:p w14:paraId="7FB5822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873.830</w:t>
            </w:r>
          </w:p>
        </w:tc>
        <w:tc>
          <w:tcPr>
            <w:tcW w:w="1197" w:type="dxa"/>
            <w:tcBorders>
              <w:top w:val="single" w:sz="8" w:space="0" w:color="AEAEAE"/>
              <w:left w:val="nil"/>
              <w:bottom w:val="single" w:sz="8" w:space="0" w:color="152935"/>
              <w:right w:val="single" w:sz="8" w:space="0" w:color="E0E0E0"/>
            </w:tcBorders>
            <w:shd w:val="clear" w:color="auto" w:fill="FFFFFF"/>
            <w:hideMark/>
          </w:tcPr>
          <w:p w14:paraId="714EB10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91</w:t>
            </w:r>
          </w:p>
        </w:tc>
        <w:tc>
          <w:tcPr>
            <w:tcW w:w="1645" w:type="dxa"/>
            <w:tcBorders>
              <w:top w:val="single" w:sz="8" w:space="0" w:color="AEAEAE"/>
              <w:left w:val="nil"/>
              <w:bottom w:val="single" w:sz="8" w:space="0" w:color="152935"/>
              <w:right w:val="single" w:sz="8" w:space="0" w:color="E0E0E0"/>
            </w:tcBorders>
            <w:shd w:val="clear" w:color="auto" w:fill="FFFFFF"/>
          </w:tcPr>
          <w:p w14:paraId="72EAA02D"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97" w:type="dxa"/>
            <w:tcBorders>
              <w:top w:val="single" w:sz="8" w:space="0" w:color="AEAEAE"/>
              <w:left w:val="nil"/>
              <w:bottom w:val="single" w:sz="8" w:space="0" w:color="152935"/>
              <w:right w:val="single" w:sz="8" w:space="0" w:color="E0E0E0"/>
            </w:tcBorders>
            <w:shd w:val="clear" w:color="auto" w:fill="FFFFFF"/>
          </w:tcPr>
          <w:p w14:paraId="2E0FCC92" w14:textId="77777777" w:rsidR="00F348ED" w:rsidRPr="00F348ED" w:rsidRDefault="00F348ED" w:rsidP="00084F2C">
            <w:pPr>
              <w:widowControl/>
              <w:autoSpaceDE/>
              <w:autoSpaceDN/>
              <w:spacing w:before="100" w:beforeAutospacing="1"/>
              <w:jc w:val="center"/>
              <w:rPr>
                <w:rFonts w:eastAsia="Calibri"/>
                <w:color w:val="000000"/>
                <w:sz w:val="20"/>
                <w:szCs w:val="20"/>
              </w:rPr>
            </w:pPr>
          </w:p>
        </w:tc>
        <w:tc>
          <w:tcPr>
            <w:tcW w:w="1199" w:type="dxa"/>
            <w:tcBorders>
              <w:top w:val="single" w:sz="8" w:space="0" w:color="AEAEAE"/>
              <w:left w:val="nil"/>
              <w:bottom w:val="single" w:sz="8" w:space="0" w:color="152935"/>
              <w:right w:val="nil"/>
            </w:tcBorders>
            <w:shd w:val="clear" w:color="auto" w:fill="FFFFFF"/>
          </w:tcPr>
          <w:p w14:paraId="2F27B802"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3A762275" w14:textId="77777777" w:rsidTr="00F348ED">
        <w:trPr>
          <w:cantSplit/>
          <w:trHeight w:val="101"/>
        </w:trPr>
        <w:tc>
          <w:tcPr>
            <w:tcW w:w="9315" w:type="dxa"/>
            <w:gridSpan w:val="7"/>
            <w:tcBorders>
              <w:top w:val="nil"/>
              <w:left w:val="nil"/>
              <w:bottom w:val="nil"/>
              <w:right w:val="nil"/>
            </w:tcBorders>
            <w:shd w:val="clear" w:color="auto" w:fill="FFFFFF"/>
            <w:hideMark/>
          </w:tcPr>
          <w:p w14:paraId="034CF596"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Dependent Variable: Teaching Competencies</w:t>
            </w:r>
          </w:p>
        </w:tc>
      </w:tr>
      <w:tr w:rsidR="00F348ED" w:rsidRPr="00F348ED" w14:paraId="706588DA" w14:textId="77777777" w:rsidTr="00F348ED">
        <w:trPr>
          <w:cantSplit/>
          <w:trHeight w:val="511"/>
        </w:trPr>
        <w:tc>
          <w:tcPr>
            <w:tcW w:w="9315" w:type="dxa"/>
            <w:gridSpan w:val="7"/>
            <w:tcBorders>
              <w:top w:val="nil"/>
              <w:left w:val="nil"/>
              <w:bottom w:val="nil"/>
              <w:right w:val="nil"/>
            </w:tcBorders>
            <w:shd w:val="clear" w:color="auto" w:fill="FFFFFF"/>
            <w:hideMark/>
          </w:tcPr>
          <w:p w14:paraId="6114A75D"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b. Predictors: (Constant), Teachers’ Content Knowledge in Food Science</w:t>
            </w:r>
          </w:p>
        </w:tc>
      </w:tr>
    </w:tbl>
    <w:p w14:paraId="02400CE2"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 xml:space="preserve">Table </w:t>
      </w:r>
      <w:r w:rsidR="00B279CE">
        <w:rPr>
          <w:rFonts w:eastAsia="Calibri"/>
          <w:color w:val="000000"/>
          <w:sz w:val="24"/>
          <w:szCs w:val="24"/>
        </w:rPr>
        <w:t>3</w:t>
      </w:r>
      <w:r w:rsidRPr="00F348ED">
        <w:rPr>
          <w:rFonts w:eastAsia="Calibri"/>
          <w:color w:val="000000"/>
          <w:sz w:val="24"/>
          <w:szCs w:val="24"/>
        </w:rPr>
        <w:t>, which provides the results of the ANOVA test, shows that the regression model is statistically significant. The F-value of 53.944 and the associated significance level (p = .000) clearly indicate that the model as a whole reliably predicts teaching competencies based on teachers’ content knowledge. This result provides strong justification for rejecting the null hypothesis that there is no relationship between the two variables. The significant F-statistic confirms that the relationship observed is unlikely to be due to chance and that the model explains a meaningful portion of the variance in the dependent variable.</w:t>
      </w:r>
    </w:p>
    <w:p w14:paraId="6E3AECFA" w14:textId="77777777" w:rsidR="00F348ED" w:rsidRPr="00F348ED" w:rsidRDefault="00B279CE" w:rsidP="00B279CE">
      <w:pPr>
        <w:widowControl/>
        <w:adjustRightInd w:val="0"/>
        <w:spacing w:before="100" w:beforeAutospacing="1" w:after="240"/>
        <w:rPr>
          <w:rFonts w:eastAsia="Calibri"/>
          <w:b/>
          <w:color w:val="000000"/>
          <w:sz w:val="24"/>
          <w:szCs w:val="24"/>
        </w:rPr>
      </w:pPr>
      <w:r>
        <w:rPr>
          <w:rFonts w:eastAsia="Calibri"/>
          <w:b/>
          <w:color w:val="000000"/>
          <w:sz w:val="24"/>
          <w:szCs w:val="24"/>
        </w:rPr>
        <w:t xml:space="preserve"> Table 4: </w:t>
      </w:r>
      <w:r w:rsidR="00F348ED" w:rsidRPr="00F348ED">
        <w:rPr>
          <w:rFonts w:eastAsia="Calibri"/>
          <w:b/>
          <w:bCs/>
          <w:color w:val="000000"/>
          <w:sz w:val="24"/>
          <w:szCs w:val="24"/>
        </w:rPr>
        <w:t xml:space="preserve">Regression Coefficients on </w:t>
      </w:r>
      <w:r w:rsidR="00F348ED" w:rsidRPr="00F348ED">
        <w:rPr>
          <w:rFonts w:eastAsia="Calibri"/>
          <w:b/>
          <w:color w:val="000000"/>
          <w:sz w:val="24"/>
          <w:szCs w:val="24"/>
        </w:rPr>
        <w:t xml:space="preserve">Teachers’ Content Knowledge in Food Science and Their Teaching Competencies  </w:t>
      </w:r>
    </w:p>
    <w:tbl>
      <w:tblPr>
        <w:tblW w:w="9576"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3"/>
        <w:gridCol w:w="1898"/>
        <w:gridCol w:w="932"/>
        <w:gridCol w:w="1048"/>
        <w:gridCol w:w="1460"/>
        <w:gridCol w:w="805"/>
        <w:gridCol w:w="805"/>
        <w:gridCol w:w="1143"/>
        <w:gridCol w:w="1148"/>
        <w:gridCol w:w="24"/>
      </w:tblGrid>
      <w:tr w:rsidR="00F348ED" w:rsidRPr="00F348ED" w14:paraId="54A16E6B" w14:textId="77777777" w:rsidTr="009A563E">
        <w:trPr>
          <w:gridAfter w:val="1"/>
          <w:wAfter w:w="23" w:type="dxa"/>
          <w:cantSplit/>
          <w:trHeight w:val="666"/>
        </w:trPr>
        <w:tc>
          <w:tcPr>
            <w:tcW w:w="2214" w:type="dxa"/>
            <w:gridSpan w:val="2"/>
            <w:vMerge w:val="restart"/>
            <w:tcBorders>
              <w:top w:val="single" w:sz="4" w:space="0" w:color="auto"/>
              <w:left w:val="nil"/>
              <w:bottom w:val="nil"/>
              <w:right w:val="nil"/>
            </w:tcBorders>
            <w:shd w:val="clear" w:color="auto" w:fill="FFFFFF"/>
            <w:vAlign w:val="bottom"/>
            <w:hideMark/>
          </w:tcPr>
          <w:p w14:paraId="65A21979"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980" w:type="dxa"/>
            <w:gridSpan w:val="2"/>
            <w:tcBorders>
              <w:top w:val="single" w:sz="4" w:space="0" w:color="auto"/>
              <w:left w:val="nil"/>
              <w:bottom w:val="nil"/>
              <w:right w:val="single" w:sz="8" w:space="0" w:color="E0E0E0"/>
            </w:tcBorders>
            <w:shd w:val="clear" w:color="auto" w:fill="FFFFFF"/>
            <w:vAlign w:val="bottom"/>
            <w:hideMark/>
          </w:tcPr>
          <w:p w14:paraId="16B82208"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Unstandardized Coefficients</w:t>
            </w:r>
          </w:p>
        </w:tc>
        <w:tc>
          <w:tcPr>
            <w:tcW w:w="1458" w:type="dxa"/>
            <w:tcBorders>
              <w:top w:val="single" w:sz="4" w:space="0" w:color="auto"/>
              <w:left w:val="nil"/>
              <w:bottom w:val="nil"/>
              <w:right w:val="single" w:sz="8" w:space="0" w:color="E0E0E0"/>
            </w:tcBorders>
            <w:shd w:val="clear" w:color="auto" w:fill="FFFFFF"/>
            <w:vAlign w:val="bottom"/>
            <w:hideMark/>
          </w:tcPr>
          <w:p w14:paraId="30FE560A"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Standardized Coefficients</w:t>
            </w:r>
          </w:p>
        </w:tc>
        <w:tc>
          <w:tcPr>
            <w:tcW w:w="805" w:type="dxa"/>
            <w:vMerge w:val="restart"/>
            <w:tcBorders>
              <w:top w:val="single" w:sz="4" w:space="0" w:color="auto"/>
              <w:left w:val="nil"/>
              <w:bottom w:val="nil"/>
              <w:right w:val="single" w:sz="8" w:space="0" w:color="E0E0E0"/>
            </w:tcBorders>
            <w:shd w:val="clear" w:color="auto" w:fill="FFFFFF"/>
            <w:vAlign w:val="bottom"/>
            <w:hideMark/>
          </w:tcPr>
          <w:p w14:paraId="28377BE6"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t</w:t>
            </w:r>
          </w:p>
        </w:tc>
        <w:tc>
          <w:tcPr>
            <w:tcW w:w="805" w:type="dxa"/>
            <w:vMerge w:val="restart"/>
            <w:tcBorders>
              <w:top w:val="single" w:sz="4" w:space="0" w:color="auto"/>
              <w:left w:val="nil"/>
              <w:bottom w:val="nil"/>
              <w:right w:val="single" w:sz="8" w:space="0" w:color="E0E0E0"/>
            </w:tcBorders>
            <w:shd w:val="clear" w:color="auto" w:fill="FFFFFF"/>
            <w:vAlign w:val="bottom"/>
            <w:hideMark/>
          </w:tcPr>
          <w:p w14:paraId="7398FE38"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Sig.</w:t>
            </w:r>
          </w:p>
        </w:tc>
        <w:tc>
          <w:tcPr>
            <w:tcW w:w="2291" w:type="dxa"/>
            <w:gridSpan w:val="2"/>
            <w:tcBorders>
              <w:top w:val="single" w:sz="4" w:space="0" w:color="auto"/>
              <w:left w:val="nil"/>
              <w:bottom w:val="nil"/>
              <w:right w:val="nil"/>
            </w:tcBorders>
            <w:shd w:val="clear" w:color="auto" w:fill="FFFFFF"/>
            <w:vAlign w:val="bottom"/>
            <w:hideMark/>
          </w:tcPr>
          <w:p w14:paraId="4F5D981D"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95.0% Confidence Interval for B</w:t>
            </w:r>
          </w:p>
        </w:tc>
      </w:tr>
      <w:tr w:rsidR="00F348ED" w:rsidRPr="00F348ED" w14:paraId="3A02C468" w14:textId="77777777" w:rsidTr="009A563E">
        <w:trPr>
          <w:gridAfter w:val="1"/>
          <w:wAfter w:w="24" w:type="dxa"/>
          <w:cantSplit/>
          <w:trHeight w:val="666"/>
        </w:trPr>
        <w:tc>
          <w:tcPr>
            <w:tcW w:w="2214" w:type="dxa"/>
            <w:gridSpan w:val="2"/>
            <w:vMerge/>
            <w:tcBorders>
              <w:top w:val="single" w:sz="4" w:space="0" w:color="auto"/>
              <w:left w:val="nil"/>
              <w:bottom w:val="nil"/>
              <w:right w:val="nil"/>
            </w:tcBorders>
            <w:vAlign w:val="center"/>
            <w:hideMark/>
          </w:tcPr>
          <w:p w14:paraId="5015EF90" w14:textId="77777777" w:rsidR="00F348ED" w:rsidRPr="00F348ED" w:rsidRDefault="00F348ED" w:rsidP="00084F2C">
            <w:pPr>
              <w:widowControl/>
              <w:autoSpaceDE/>
              <w:autoSpaceDN/>
              <w:rPr>
                <w:rFonts w:eastAsia="Calibri"/>
                <w:color w:val="264A60"/>
                <w:sz w:val="24"/>
                <w:szCs w:val="24"/>
              </w:rPr>
            </w:pPr>
          </w:p>
        </w:tc>
        <w:tc>
          <w:tcPr>
            <w:tcW w:w="932" w:type="dxa"/>
            <w:tcBorders>
              <w:top w:val="nil"/>
              <w:left w:val="nil"/>
              <w:bottom w:val="single" w:sz="8" w:space="0" w:color="152935"/>
              <w:right w:val="single" w:sz="8" w:space="0" w:color="E0E0E0"/>
            </w:tcBorders>
            <w:shd w:val="clear" w:color="auto" w:fill="FFFFFF"/>
            <w:vAlign w:val="bottom"/>
            <w:hideMark/>
          </w:tcPr>
          <w:p w14:paraId="7494485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B</w:t>
            </w:r>
          </w:p>
        </w:tc>
        <w:tc>
          <w:tcPr>
            <w:tcW w:w="1047" w:type="dxa"/>
            <w:tcBorders>
              <w:top w:val="nil"/>
              <w:left w:val="nil"/>
              <w:bottom w:val="single" w:sz="8" w:space="0" w:color="152935"/>
              <w:right w:val="single" w:sz="8" w:space="0" w:color="E0E0E0"/>
            </w:tcBorders>
            <w:shd w:val="clear" w:color="auto" w:fill="FFFFFF"/>
            <w:vAlign w:val="bottom"/>
            <w:hideMark/>
          </w:tcPr>
          <w:p w14:paraId="77A83A6C"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Std. Error</w:t>
            </w:r>
          </w:p>
        </w:tc>
        <w:tc>
          <w:tcPr>
            <w:tcW w:w="1459" w:type="dxa"/>
            <w:tcBorders>
              <w:top w:val="nil"/>
              <w:left w:val="nil"/>
              <w:bottom w:val="single" w:sz="8" w:space="0" w:color="152935"/>
              <w:right w:val="single" w:sz="8" w:space="0" w:color="E0E0E0"/>
            </w:tcBorders>
            <w:shd w:val="clear" w:color="auto" w:fill="FFFFFF"/>
            <w:vAlign w:val="bottom"/>
            <w:hideMark/>
          </w:tcPr>
          <w:p w14:paraId="0BD6352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Beta</w:t>
            </w:r>
          </w:p>
        </w:tc>
        <w:tc>
          <w:tcPr>
            <w:tcW w:w="805" w:type="dxa"/>
            <w:vMerge/>
            <w:tcBorders>
              <w:top w:val="single" w:sz="4" w:space="0" w:color="auto"/>
              <w:left w:val="nil"/>
              <w:bottom w:val="nil"/>
              <w:right w:val="single" w:sz="8" w:space="0" w:color="E0E0E0"/>
            </w:tcBorders>
            <w:vAlign w:val="center"/>
            <w:hideMark/>
          </w:tcPr>
          <w:p w14:paraId="33C1CCA5" w14:textId="77777777" w:rsidR="00F348ED" w:rsidRPr="00F348ED" w:rsidRDefault="00F348ED" w:rsidP="00084F2C">
            <w:pPr>
              <w:widowControl/>
              <w:autoSpaceDE/>
              <w:autoSpaceDN/>
              <w:rPr>
                <w:rFonts w:eastAsia="Calibri"/>
                <w:color w:val="264A60"/>
                <w:sz w:val="24"/>
                <w:szCs w:val="24"/>
              </w:rPr>
            </w:pPr>
          </w:p>
        </w:tc>
        <w:tc>
          <w:tcPr>
            <w:tcW w:w="805" w:type="dxa"/>
            <w:vMerge/>
            <w:tcBorders>
              <w:top w:val="single" w:sz="4" w:space="0" w:color="auto"/>
              <w:left w:val="nil"/>
              <w:bottom w:val="nil"/>
              <w:right w:val="single" w:sz="8" w:space="0" w:color="E0E0E0"/>
            </w:tcBorders>
            <w:vAlign w:val="center"/>
            <w:hideMark/>
          </w:tcPr>
          <w:p w14:paraId="2CD4A79D" w14:textId="77777777" w:rsidR="00F348ED" w:rsidRPr="00F348ED" w:rsidRDefault="00F348ED" w:rsidP="00084F2C">
            <w:pPr>
              <w:widowControl/>
              <w:autoSpaceDE/>
              <w:autoSpaceDN/>
              <w:rPr>
                <w:rFonts w:eastAsia="Calibri"/>
                <w:color w:val="264A60"/>
                <w:sz w:val="24"/>
                <w:szCs w:val="24"/>
              </w:rPr>
            </w:pPr>
          </w:p>
        </w:tc>
        <w:tc>
          <w:tcPr>
            <w:tcW w:w="1143" w:type="dxa"/>
            <w:tcBorders>
              <w:top w:val="nil"/>
              <w:left w:val="nil"/>
              <w:bottom w:val="single" w:sz="8" w:space="0" w:color="152935"/>
              <w:right w:val="single" w:sz="8" w:space="0" w:color="E0E0E0"/>
            </w:tcBorders>
            <w:shd w:val="clear" w:color="auto" w:fill="FFFFFF"/>
            <w:vAlign w:val="bottom"/>
            <w:hideMark/>
          </w:tcPr>
          <w:p w14:paraId="752F0B6C"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Lower Bound</w:t>
            </w:r>
          </w:p>
        </w:tc>
        <w:tc>
          <w:tcPr>
            <w:tcW w:w="1147" w:type="dxa"/>
            <w:tcBorders>
              <w:top w:val="nil"/>
              <w:left w:val="nil"/>
              <w:bottom w:val="single" w:sz="8" w:space="0" w:color="152935"/>
              <w:right w:val="nil"/>
            </w:tcBorders>
            <w:shd w:val="clear" w:color="auto" w:fill="FFFFFF"/>
            <w:vAlign w:val="bottom"/>
            <w:hideMark/>
          </w:tcPr>
          <w:p w14:paraId="28D622D3"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Upper Bound</w:t>
            </w:r>
          </w:p>
        </w:tc>
      </w:tr>
      <w:tr w:rsidR="00F348ED" w:rsidRPr="00F348ED" w14:paraId="1A6BA994" w14:textId="77777777" w:rsidTr="009A563E">
        <w:trPr>
          <w:gridAfter w:val="1"/>
          <w:wAfter w:w="24" w:type="dxa"/>
          <w:cantSplit/>
          <w:trHeight w:val="343"/>
        </w:trPr>
        <w:tc>
          <w:tcPr>
            <w:tcW w:w="314" w:type="dxa"/>
            <w:vMerge w:val="restart"/>
            <w:tcBorders>
              <w:top w:val="single" w:sz="8" w:space="0" w:color="152935"/>
              <w:left w:val="nil"/>
              <w:bottom w:val="single" w:sz="8" w:space="0" w:color="152935"/>
              <w:right w:val="nil"/>
            </w:tcBorders>
            <w:shd w:val="clear" w:color="auto" w:fill="E0E0E0"/>
            <w:hideMark/>
          </w:tcPr>
          <w:p w14:paraId="173595C3"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1</w:t>
            </w:r>
          </w:p>
        </w:tc>
        <w:tc>
          <w:tcPr>
            <w:tcW w:w="1899" w:type="dxa"/>
            <w:tcBorders>
              <w:top w:val="single" w:sz="8" w:space="0" w:color="152935"/>
              <w:left w:val="nil"/>
              <w:bottom w:val="single" w:sz="8" w:space="0" w:color="AEAEAE"/>
              <w:right w:val="nil"/>
            </w:tcBorders>
            <w:shd w:val="clear" w:color="auto" w:fill="E0E0E0"/>
            <w:hideMark/>
          </w:tcPr>
          <w:p w14:paraId="7DBF145B"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(Constant)</w:t>
            </w:r>
          </w:p>
        </w:tc>
        <w:tc>
          <w:tcPr>
            <w:tcW w:w="932" w:type="dxa"/>
            <w:tcBorders>
              <w:top w:val="single" w:sz="8" w:space="0" w:color="152935"/>
              <w:left w:val="nil"/>
              <w:bottom w:val="single" w:sz="8" w:space="0" w:color="AEAEAE"/>
              <w:right w:val="single" w:sz="8" w:space="0" w:color="E0E0E0"/>
            </w:tcBorders>
            <w:shd w:val="clear" w:color="auto" w:fill="FFFFFF"/>
            <w:hideMark/>
          </w:tcPr>
          <w:p w14:paraId="267CE1F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5.880</w:t>
            </w:r>
          </w:p>
        </w:tc>
        <w:tc>
          <w:tcPr>
            <w:tcW w:w="1047" w:type="dxa"/>
            <w:tcBorders>
              <w:top w:val="single" w:sz="8" w:space="0" w:color="152935"/>
              <w:left w:val="nil"/>
              <w:bottom w:val="single" w:sz="8" w:space="0" w:color="AEAEAE"/>
              <w:right w:val="single" w:sz="8" w:space="0" w:color="E0E0E0"/>
            </w:tcBorders>
            <w:shd w:val="clear" w:color="auto" w:fill="FFFFFF"/>
            <w:hideMark/>
          </w:tcPr>
          <w:p w14:paraId="1FF4B03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1.250</w:t>
            </w:r>
          </w:p>
        </w:tc>
        <w:tc>
          <w:tcPr>
            <w:tcW w:w="1460" w:type="dxa"/>
            <w:tcBorders>
              <w:top w:val="single" w:sz="8" w:space="0" w:color="152935"/>
              <w:left w:val="nil"/>
              <w:bottom w:val="single" w:sz="8" w:space="0" w:color="AEAEAE"/>
              <w:right w:val="single" w:sz="8" w:space="0" w:color="E0E0E0"/>
            </w:tcBorders>
            <w:shd w:val="clear" w:color="auto" w:fill="FFFFFF"/>
          </w:tcPr>
          <w:p w14:paraId="0918393F" w14:textId="77777777" w:rsidR="00F348ED" w:rsidRPr="00F348ED" w:rsidRDefault="00F348ED" w:rsidP="00084F2C">
            <w:pPr>
              <w:widowControl/>
              <w:autoSpaceDE/>
              <w:autoSpaceDN/>
              <w:spacing w:before="100" w:beforeAutospacing="1"/>
              <w:jc w:val="center"/>
              <w:rPr>
                <w:color w:val="000000"/>
                <w:sz w:val="24"/>
                <w:szCs w:val="24"/>
              </w:rPr>
            </w:pPr>
          </w:p>
        </w:tc>
        <w:tc>
          <w:tcPr>
            <w:tcW w:w="805" w:type="dxa"/>
            <w:tcBorders>
              <w:top w:val="single" w:sz="8" w:space="0" w:color="152935"/>
              <w:left w:val="nil"/>
              <w:bottom w:val="single" w:sz="8" w:space="0" w:color="AEAEAE"/>
              <w:right w:val="single" w:sz="8" w:space="0" w:color="E0E0E0"/>
            </w:tcBorders>
            <w:shd w:val="clear" w:color="auto" w:fill="FFFFFF"/>
            <w:hideMark/>
          </w:tcPr>
          <w:p w14:paraId="0158D98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4.704</w:t>
            </w:r>
          </w:p>
        </w:tc>
        <w:tc>
          <w:tcPr>
            <w:tcW w:w="805" w:type="dxa"/>
            <w:tcBorders>
              <w:top w:val="single" w:sz="8" w:space="0" w:color="152935"/>
              <w:left w:val="nil"/>
              <w:bottom w:val="single" w:sz="8" w:space="0" w:color="AEAEAE"/>
              <w:right w:val="single" w:sz="8" w:space="0" w:color="E0E0E0"/>
            </w:tcBorders>
            <w:shd w:val="clear" w:color="auto" w:fill="FFFFFF"/>
            <w:hideMark/>
          </w:tcPr>
          <w:p w14:paraId="489D563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.000</w:t>
            </w:r>
          </w:p>
        </w:tc>
        <w:tc>
          <w:tcPr>
            <w:tcW w:w="1143" w:type="dxa"/>
            <w:tcBorders>
              <w:top w:val="single" w:sz="8" w:space="0" w:color="152935"/>
              <w:left w:val="nil"/>
              <w:bottom w:val="single" w:sz="8" w:space="0" w:color="AEAEAE"/>
              <w:right w:val="single" w:sz="8" w:space="0" w:color="E0E0E0"/>
            </w:tcBorders>
            <w:shd w:val="clear" w:color="auto" w:fill="FFFFFF"/>
            <w:hideMark/>
          </w:tcPr>
          <w:p w14:paraId="5700B3A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3.398</w:t>
            </w:r>
          </w:p>
        </w:tc>
        <w:tc>
          <w:tcPr>
            <w:tcW w:w="1147" w:type="dxa"/>
            <w:tcBorders>
              <w:top w:val="single" w:sz="8" w:space="0" w:color="152935"/>
              <w:left w:val="nil"/>
              <w:bottom w:val="single" w:sz="8" w:space="0" w:color="AEAEAE"/>
              <w:right w:val="nil"/>
            </w:tcBorders>
            <w:shd w:val="clear" w:color="auto" w:fill="FFFFFF"/>
            <w:hideMark/>
          </w:tcPr>
          <w:p w14:paraId="50F9CE4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8.362</w:t>
            </w:r>
          </w:p>
        </w:tc>
      </w:tr>
      <w:tr w:rsidR="00F348ED" w:rsidRPr="00F348ED" w14:paraId="400989D7" w14:textId="77777777" w:rsidTr="009A563E">
        <w:trPr>
          <w:gridAfter w:val="1"/>
          <w:wAfter w:w="24" w:type="dxa"/>
          <w:cantSplit/>
          <w:trHeight w:val="343"/>
        </w:trPr>
        <w:tc>
          <w:tcPr>
            <w:tcW w:w="314" w:type="dxa"/>
            <w:vMerge/>
            <w:tcBorders>
              <w:top w:val="single" w:sz="8" w:space="0" w:color="152935"/>
              <w:left w:val="nil"/>
              <w:bottom w:val="single" w:sz="8" w:space="0" w:color="152935"/>
              <w:right w:val="nil"/>
            </w:tcBorders>
            <w:vAlign w:val="center"/>
            <w:hideMark/>
          </w:tcPr>
          <w:p w14:paraId="2F554B30" w14:textId="77777777" w:rsidR="00F348ED" w:rsidRPr="00F348ED" w:rsidRDefault="00F348ED" w:rsidP="00084F2C">
            <w:pPr>
              <w:widowControl/>
              <w:autoSpaceDE/>
              <w:autoSpaceDN/>
              <w:rPr>
                <w:rFonts w:eastAsia="Calibri"/>
                <w:color w:val="264A60"/>
                <w:sz w:val="24"/>
                <w:szCs w:val="24"/>
              </w:rPr>
            </w:pPr>
          </w:p>
        </w:tc>
        <w:tc>
          <w:tcPr>
            <w:tcW w:w="1899" w:type="dxa"/>
            <w:tcBorders>
              <w:top w:val="single" w:sz="8" w:space="0" w:color="AEAEAE"/>
              <w:left w:val="nil"/>
              <w:bottom w:val="single" w:sz="8" w:space="0" w:color="152935"/>
              <w:right w:val="nil"/>
            </w:tcBorders>
            <w:shd w:val="clear" w:color="auto" w:fill="E0E0E0"/>
            <w:hideMark/>
          </w:tcPr>
          <w:p w14:paraId="763241A8"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b/>
                <w:color w:val="000000"/>
                <w:sz w:val="24"/>
                <w:szCs w:val="24"/>
              </w:rPr>
              <w:t>Teachers’ Content Knowledge in Food Science</w:t>
            </w:r>
          </w:p>
        </w:tc>
        <w:tc>
          <w:tcPr>
            <w:tcW w:w="932" w:type="dxa"/>
            <w:tcBorders>
              <w:top w:val="single" w:sz="8" w:space="0" w:color="AEAEAE"/>
              <w:left w:val="nil"/>
              <w:bottom w:val="single" w:sz="8" w:space="0" w:color="152935"/>
              <w:right w:val="single" w:sz="8" w:space="0" w:color="E0E0E0"/>
            </w:tcBorders>
            <w:shd w:val="clear" w:color="auto" w:fill="FFFFFF"/>
            <w:hideMark/>
          </w:tcPr>
          <w:p w14:paraId="010DC65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0.630</w:t>
            </w:r>
          </w:p>
        </w:tc>
        <w:tc>
          <w:tcPr>
            <w:tcW w:w="1047" w:type="dxa"/>
            <w:tcBorders>
              <w:top w:val="single" w:sz="8" w:space="0" w:color="AEAEAE"/>
              <w:left w:val="nil"/>
              <w:bottom w:val="single" w:sz="8" w:space="0" w:color="152935"/>
              <w:right w:val="single" w:sz="8" w:space="0" w:color="E0E0E0"/>
            </w:tcBorders>
            <w:shd w:val="clear" w:color="auto" w:fill="FFFFFF"/>
            <w:hideMark/>
          </w:tcPr>
          <w:p w14:paraId="087EB84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0.086</w:t>
            </w:r>
          </w:p>
        </w:tc>
        <w:tc>
          <w:tcPr>
            <w:tcW w:w="1460" w:type="dxa"/>
            <w:tcBorders>
              <w:top w:val="single" w:sz="8" w:space="0" w:color="AEAEAE"/>
              <w:left w:val="nil"/>
              <w:bottom w:val="single" w:sz="8" w:space="0" w:color="152935"/>
              <w:right w:val="single" w:sz="8" w:space="0" w:color="E0E0E0"/>
            </w:tcBorders>
            <w:shd w:val="clear" w:color="auto" w:fill="FFFFFF"/>
            <w:hideMark/>
          </w:tcPr>
          <w:p w14:paraId="006FFF8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.601</w:t>
            </w:r>
          </w:p>
        </w:tc>
        <w:tc>
          <w:tcPr>
            <w:tcW w:w="805" w:type="dxa"/>
            <w:tcBorders>
              <w:top w:val="single" w:sz="8" w:space="0" w:color="AEAEAE"/>
              <w:left w:val="nil"/>
              <w:bottom w:val="single" w:sz="8" w:space="0" w:color="152935"/>
              <w:right w:val="single" w:sz="8" w:space="0" w:color="E0E0E0"/>
            </w:tcBorders>
            <w:shd w:val="clear" w:color="auto" w:fill="FFFFFF"/>
            <w:hideMark/>
          </w:tcPr>
          <w:p w14:paraId="63AB399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7.343</w:t>
            </w:r>
          </w:p>
        </w:tc>
        <w:tc>
          <w:tcPr>
            <w:tcW w:w="805" w:type="dxa"/>
            <w:tcBorders>
              <w:top w:val="single" w:sz="8" w:space="0" w:color="AEAEAE"/>
              <w:left w:val="nil"/>
              <w:bottom w:val="single" w:sz="8" w:space="0" w:color="152935"/>
              <w:right w:val="single" w:sz="8" w:space="0" w:color="E0E0E0"/>
            </w:tcBorders>
            <w:shd w:val="clear" w:color="auto" w:fill="FFFFFF"/>
            <w:hideMark/>
          </w:tcPr>
          <w:p w14:paraId="3ACE5AD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.000</w:t>
            </w:r>
          </w:p>
        </w:tc>
        <w:tc>
          <w:tcPr>
            <w:tcW w:w="1143" w:type="dxa"/>
            <w:tcBorders>
              <w:top w:val="single" w:sz="8" w:space="0" w:color="AEAEAE"/>
              <w:left w:val="nil"/>
              <w:bottom w:val="single" w:sz="8" w:space="0" w:color="152935"/>
              <w:right w:val="single" w:sz="8" w:space="0" w:color="E0E0E0"/>
            </w:tcBorders>
            <w:shd w:val="clear" w:color="auto" w:fill="FFFFFF"/>
            <w:hideMark/>
          </w:tcPr>
          <w:p w14:paraId="1980088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0.459</w:t>
            </w:r>
          </w:p>
        </w:tc>
        <w:tc>
          <w:tcPr>
            <w:tcW w:w="1147" w:type="dxa"/>
            <w:tcBorders>
              <w:top w:val="single" w:sz="8" w:space="0" w:color="AEAEAE"/>
              <w:left w:val="nil"/>
              <w:bottom w:val="single" w:sz="8" w:space="0" w:color="152935"/>
              <w:right w:val="nil"/>
            </w:tcBorders>
            <w:shd w:val="clear" w:color="auto" w:fill="FFFFFF"/>
            <w:hideMark/>
          </w:tcPr>
          <w:p w14:paraId="5FD3164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0.801</w:t>
            </w:r>
          </w:p>
        </w:tc>
      </w:tr>
      <w:tr w:rsidR="00F348ED" w:rsidRPr="00F348ED" w14:paraId="319B6BE6" w14:textId="77777777" w:rsidTr="009A563E">
        <w:trPr>
          <w:cantSplit/>
          <w:trHeight w:val="343"/>
        </w:trPr>
        <w:tc>
          <w:tcPr>
            <w:tcW w:w="9576" w:type="dxa"/>
            <w:gridSpan w:val="10"/>
            <w:tcBorders>
              <w:top w:val="nil"/>
              <w:left w:val="nil"/>
              <w:bottom w:val="nil"/>
              <w:right w:val="nil"/>
            </w:tcBorders>
            <w:shd w:val="clear" w:color="auto" w:fill="FFFFFF"/>
            <w:hideMark/>
          </w:tcPr>
          <w:p w14:paraId="48F9C8DC"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Dependent Variable: Teaching Competencies</w:t>
            </w:r>
          </w:p>
        </w:tc>
      </w:tr>
    </w:tbl>
    <w:p w14:paraId="32873770"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 xml:space="preserve">Further evidence is found in Table </w:t>
      </w:r>
      <w:r w:rsidR="00B279CE">
        <w:rPr>
          <w:rFonts w:eastAsia="Calibri"/>
          <w:color w:val="000000"/>
          <w:sz w:val="24"/>
          <w:szCs w:val="24"/>
        </w:rPr>
        <w:t>4</w:t>
      </w:r>
      <w:r w:rsidRPr="00F348ED">
        <w:rPr>
          <w:rFonts w:eastAsia="Calibri"/>
          <w:color w:val="000000"/>
          <w:sz w:val="24"/>
          <w:szCs w:val="24"/>
        </w:rPr>
        <w:t xml:space="preserve">, which details the regression coefficients. The unstandardized coefficient (B = 0.630) suggests that for each unit increase in teachers’ content knowledge, their teaching competency is expected to increase by 0.630 units. The standardized beta coefficient of 0.601 reinforces the strength of this effect, indicating a strong influence of content knowledge relative to other possible factors. The t-value of 7.343 is notably high, and the associated p-value of .000 confirms that the predictor variable is statistically significant at a level well below the conventional 0.05 threshold. Moreover, the 95% confidence interval for the regression coefficient </w:t>
      </w:r>
      <w:r w:rsidRPr="00F348ED">
        <w:rPr>
          <w:rFonts w:eastAsia="Calibri"/>
          <w:color w:val="000000"/>
          <w:sz w:val="24"/>
          <w:szCs w:val="24"/>
        </w:rPr>
        <w:lastRenderedPageBreak/>
        <w:t>(0.459 to 0.801) does not include zero, providing further evidence that the relationship is both statistically and practically significant.</w:t>
      </w:r>
    </w:p>
    <w:p w14:paraId="08669836" w14:textId="77777777" w:rsid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In light of these findings, the null hypothesis (Ho</w:t>
      </w:r>
      <w:r w:rsidRPr="00F348ED">
        <w:rPr>
          <w:rFonts w:eastAsia="Calibri"/>
          <w:color w:val="000000"/>
          <w:sz w:val="24"/>
          <w:szCs w:val="24"/>
          <w:vertAlign w:val="subscript"/>
        </w:rPr>
        <w:t>1</w:t>
      </w:r>
      <w:r w:rsidRPr="00F348ED">
        <w:rPr>
          <w:rFonts w:eastAsia="Calibri"/>
          <w:color w:val="000000"/>
          <w:sz w:val="24"/>
          <w:szCs w:val="24"/>
        </w:rPr>
        <w:t>), which states that teachers’ content knowledge in food science has no significant impact on their teaching competencies, is rejected. The alternative hypothesis (Ha</w:t>
      </w:r>
      <w:r w:rsidRPr="00F348ED">
        <w:rPr>
          <w:rFonts w:eastAsia="Calibri"/>
          <w:color w:val="000000"/>
          <w:sz w:val="24"/>
          <w:szCs w:val="24"/>
          <w:vertAlign w:val="subscript"/>
        </w:rPr>
        <w:t>1</w:t>
      </w:r>
      <w:r w:rsidRPr="00F348ED">
        <w:rPr>
          <w:rFonts w:eastAsia="Calibri"/>
          <w:color w:val="000000"/>
          <w:sz w:val="24"/>
          <w:szCs w:val="24"/>
        </w:rPr>
        <w:t>) is accepted, confirming that there is a statistically significant and positive relationship between the two variables. These results underscore the importance of strong content knowledge in fostering effective teaching, suggesting that professional development efforts aimed at deepening subject mastery can yield substantial benefits for instructional quality and student learning outcomes in food science education.</w:t>
      </w:r>
    </w:p>
    <w:p w14:paraId="62E9FEE5" w14:textId="77777777" w:rsidR="00B24650" w:rsidRDefault="00B24650" w:rsidP="00084F2C">
      <w:pPr>
        <w:adjustRightInd w:val="0"/>
        <w:rPr>
          <w:rFonts w:eastAsia="Calibri"/>
          <w:b/>
          <w:sz w:val="24"/>
          <w:szCs w:val="24"/>
        </w:rPr>
      </w:pPr>
    </w:p>
    <w:p w14:paraId="45E488A2" w14:textId="77777777" w:rsidR="00B24650" w:rsidRPr="00B24650" w:rsidRDefault="00B24650" w:rsidP="00B279CE">
      <w:pPr>
        <w:adjustRightInd w:val="0"/>
        <w:spacing w:after="240"/>
        <w:rPr>
          <w:rFonts w:eastAsia="Calibri"/>
          <w:b/>
          <w:sz w:val="24"/>
          <w:szCs w:val="24"/>
        </w:rPr>
      </w:pPr>
      <w:r>
        <w:rPr>
          <w:rFonts w:eastAsia="Calibri"/>
          <w:b/>
          <w:sz w:val="24"/>
          <w:szCs w:val="24"/>
        </w:rPr>
        <w:t xml:space="preserve">Table </w:t>
      </w:r>
      <w:r w:rsidR="00B279CE">
        <w:rPr>
          <w:rFonts w:eastAsia="Calibri"/>
          <w:b/>
          <w:sz w:val="24"/>
          <w:szCs w:val="24"/>
        </w:rPr>
        <w:t>5</w:t>
      </w:r>
      <w:r>
        <w:rPr>
          <w:rFonts w:eastAsia="Calibri"/>
          <w:b/>
          <w:sz w:val="24"/>
          <w:szCs w:val="24"/>
        </w:rPr>
        <w:t xml:space="preserve">: </w:t>
      </w:r>
      <w:r>
        <w:rPr>
          <w:b/>
          <w:bCs/>
          <w:sz w:val="24"/>
          <w:szCs w:val="24"/>
        </w:rPr>
        <w:t>Qualitative Findings on Teachers’ Content Knowledge in Food Science and Their Teaching Competencies</w:t>
      </w:r>
    </w:p>
    <w:tbl>
      <w:tblPr>
        <w:tblW w:w="0" w:type="auto"/>
        <w:tblCellSpacing w:w="15" w:type="dxa"/>
        <w:tblInd w:w="63" w:type="dxa"/>
        <w:tblLook w:val="04A0" w:firstRow="1" w:lastRow="0" w:firstColumn="1" w:lastColumn="0" w:noHBand="0" w:noVBand="1"/>
      </w:tblPr>
      <w:tblGrid>
        <w:gridCol w:w="2300"/>
        <w:gridCol w:w="2263"/>
        <w:gridCol w:w="2185"/>
        <w:gridCol w:w="2549"/>
      </w:tblGrid>
      <w:tr w:rsidR="00B24650" w14:paraId="461ECCF1"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B5A88D7" w14:textId="77777777" w:rsidR="00B24650" w:rsidRDefault="00B24650" w:rsidP="00084F2C">
            <w:pPr>
              <w:rPr>
                <w:b/>
                <w:bCs/>
              </w:rPr>
            </w:pPr>
            <w:r>
              <w:rPr>
                <w:b/>
                <w:bCs/>
              </w:rPr>
              <w:t>Category of Variable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B407FB8" w14:textId="77777777" w:rsidR="00B24650" w:rsidRDefault="00B24650" w:rsidP="00084F2C">
            <w:pPr>
              <w:rPr>
                <w:b/>
                <w:bCs/>
              </w:rPr>
            </w:pPr>
            <w:r>
              <w:rPr>
                <w:b/>
                <w:bCs/>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47060A1" w14:textId="77777777" w:rsidR="00B24650" w:rsidRDefault="00B24650" w:rsidP="00084F2C">
            <w:pPr>
              <w:rPr>
                <w:b/>
                <w:bCs/>
              </w:rPr>
            </w:pPr>
            <w:r>
              <w:rPr>
                <w:b/>
                <w:bCs/>
              </w:rPr>
              <w:t>Response Theme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637CF77" w14:textId="77777777" w:rsidR="00B24650" w:rsidRDefault="00B24650" w:rsidP="00084F2C">
            <w:pPr>
              <w:rPr>
                <w:b/>
                <w:bCs/>
              </w:rPr>
            </w:pPr>
            <w:r>
              <w:rPr>
                <w:b/>
                <w:bCs/>
              </w:rPr>
              <w:t>Key Statements from Inspectors</w:t>
            </w:r>
          </w:p>
        </w:tc>
      </w:tr>
      <w:tr w:rsidR="00B24650" w14:paraId="6F8EC40D"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6A902AF" w14:textId="77777777" w:rsidR="00B24650" w:rsidRDefault="00B24650" w:rsidP="00084F2C">
            <w:r>
              <w:t>Teachers’ Content Knowledge in Food Science and Their Teaching Competencies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CD8B1D7" w14:textId="77777777" w:rsidR="00B24650" w:rsidRDefault="00B24650" w:rsidP="00084F2C">
            <w:r>
              <w:t>How do you assess the level of content mastery among food science teachers?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02B5CC5" w14:textId="77777777" w:rsidR="00B24650" w:rsidRDefault="00B24650" w:rsidP="00084F2C">
            <w:r>
              <w:t>Content knowledge varies but is generally weak in recent graduates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A92DF55" w14:textId="77777777" w:rsidR="00B24650" w:rsidRDefault="00B24650" w:rsidP="00084F2C">
            <w:r>
              <w:t>“Some teachers, especially the new ones, lack deep knowledge of food preservation and processing.” (PI1)</w:t>
            </w:r>
          </w:p>
        </w:tc>
      </w:tr>
      <w:tr w:rsidR="00B24650" w14:paraId="5D515EB0" w14:textId="77777777" w:rsidTr="00B24650">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53041072" w14:textId="77777777" w:rsidR="00B24650" w:rsidRDefault="00B24650" w:rsidP="00084F2C">
            <w:pPr>
              <w:rPr>
                <w:rFonts w:eastAsia="Calibri"/>
              </w:rPr>
            </w:pPr>
          </w:p>
        </w:tc>
        <w:tc>
          <w:tcPr>
            <w:tcW w:w="0" w:type="auto"/>
            <w:tcBorders>
              <w:top w:val="nil"/>
              <w:left w:val="nil"/>
              <w:bottom w:val="nil"/>
              <w:right w:val="nil"/>
            </w:tcBorders>
            <w:tcMar>
              <w:top w:w="15" w:type="dxa"/>
              <w:left w:w="15" w:type="dxa"/>
              <w:bottom w:w="15" w:type="dxa"/>
              <w:right w:w="15" w:type="dxa"/>
            </w:tcMar>
            <w:vAlign w:val="center"/>
            <w:hideMark/>
          </w:tcPr>
          <w:p w14:paraId="5DF7CAA4" w14:textId="77777777" w:rsidR="00B24650" w:rsidRDefault="00B24650" w:rsidP="00084F2C">
            <w:r>
              <w:t>How does inadequate content knowledge affect teaching competencies?</w:t>
            </w:r>
          </w:p>
        </w:tc>
        <w:tc>
          <w:tcPr>
            <w:tcW w:w="0" w:type="auto"/>
            <w:tcBorders>
              <w:top w:val="nil"/>
              <w:left w:val="nil"/>
              <w:bottom w:val="nil"/>
              <w:right w:val="nil"/>
            </w:tcBorders>
            <w:tcMar>
              <w:top w:w="15" w:type="dxa"/>
              <w:left w:w="15" w:type="dxa"/>
              <w:bottom w:w="15" w:type="dxa"/>
              <w:right w:w="15" w:type="dxa"/>
            </w:tcMar>
            <w:vAlign w:val="center"/>
            <w:hideMark/>
          </w:tcPr>
          <w:p w14:paraId="0625DEA2" w14:textId="77777777" w:rsidR="00B24650" w:rsidRDefault="00B24650" w:rsidP="00084F2C">
            <w:r>
              <w:t>Poor content mastery hinders effective curriculum implementation</w:t>
            </w:r>
          </w:p>
        </w:tc>
        <w:tc>
          <w:tcPr>
            <w:tcW w:w="0" w:type="auto"/>
            <w:tcBorders>
              <w:top w:val="nil"/>
              <w:left w:val="nil"/>
              <w:bottom w:val="nil"/>
              <w:right w:val="nil"/>
            </w:tcBorders>
            <w:tcMar>
              <w:top w:w="15" w:type="dxa"/>
              <w:left w:w="15" w:type="dxa"/>
              <w:bottom w:w="15" w:type="dxa"/>
              <w:right w:w="15" w:type="dxa"/>
            </w:tcMar>
            <w:vAlign w:val="center"/>
            <w:hideMark/>
          </w:tcPr>
          <w:p w14:paraId="75DA9349" w14:textId="77777777" w:rsidR="00B24650" w:rsidRDefault="00B24650" w:rsidP="00084F2C">
            <w:r>
              <w:t>“When teachers are not grounded, they misrepresent core concepts to students.” (PI2)</w:t>
            </w:r>
          </w:p>
        </w:tc>
      </w:tr>
      <w:tr w:rsidR="00B24650" w14:paraId="63FA5592" w14:textId="77777777" w:rsidTr="00B24650">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15AA79DB" w14:textId="77777777" w:rsidR="00B24650" w:rsidRDefault="00B24650" w:rsidP="00084F2C">
            <w:pPr>
              <w:rPr>
                <w:rFonts w:eastAsia="Calibri"/>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81179F6" w14:textId="77777777" w:rsidR="00B24650" w:rsidRDefault="00B24650" w:rsidP="00084F2C">
            <w:r>
              <w:t>What strategies can improve teachers’ content knowledge?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1809D12" w14:textId="77777777" w:rsidR="00B24650" w:rsidRDefault="00B24650" w:rsidP="00084F2C">
            <w:r>
              <w:t>Continuous subject-based training is essential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E16990D" w14:textId="77777777" w:rsidR="00B24650" w:rsidRDefault="00B24650" w:rsidP="00084F2C">
            <w:r>
              <w:t>“Regular in-service training is needed to boost teachers’ knowledge.” (PI4)</w:t>
            </w:r>
          </w:p>
        </w:tc>
      </w:tr>
    </w:tbl>
    <w:p w14:paraId="15B1B7AE" w14:textId="77777777" w:rsidR="00B24650" w:rsidRDefault="00B24650" w:rsidP="00B279CE">
      <w:pPr>
        <w:tabs>
          <w:tab w:val="left" w:pos="2119"/>
        </w:tabs>
        <w:spacing w:before="240" w:after="240"/>
        <w:jc w:val="both"/>
        <w:rPr>
          <w:rFonts w:eastAsia="Calibri"/>
          <w:color w:val="000000"/>
          <w:sz w:val="24"/>
          <w:szCs w:val="24"/>
        </w:rPr>
      </w:pPr>
      <w:r>
        <w:rPr>
          <w:rFonts w:eastAsia="Calibri"/>
          <w:sz w:val="24"/>
          <w:szCs w:val="24"/>
        </w:rPr>
        <w:t xml:space="preserve">The interview findings from Table </w:t>
      </w:r>
      <w:r w:rsidR="00B279CE">
        <w:rPr>
          <w:rFonts w:eastAsia="Calibri"/>
          <w:sz w:val="24"/>
          <w:szCs w:val="24"/>
        </w:rPr>
        <w:t>5</w:t>
      </w:r>
      <w:r>
        <w:rPr>
          <w:rFonts w:eastAsia="Calibri"/>
          <w:sz w:val="24"/>
          <w:szCs w:val="24"/>
        </w:rPr>
        <w:t xml:space="preserve"> reveal key insights into the connection between food science teachers' content knowledge and their overall teaching competencies. According to the pedagogic inspectors (PI1- PI4), there is a noticeable variation in the level of content mastery among teachers, with a particularly concerning gap observed in recent graduates. PI1 noted that many of these newer teachers lack deep understanding in essential areas such as food preservation and processing. This insufficient subject matter knowledge hampers their ability to deliver lessons effectively and to engage students in meaningful learning experiences.</w:t>
      </w:r>
    </w:p>
    <w:p w14:paraId="5DE0486E" w14:textId="77777777" w:rsidR="00B24650" w:rsidRPr="00B279CE" w:rsidRDefault="00B24650" w:rsidP="00084F2C">
      <w:pPr>
        <w:tabs>
          <w:tab w:val="left" w:pos="2119"/>
        </w:tabs>
        <w:jc w:val="both"/>
        <w:rPr>
          <w:rFonts w:eastAsia="Calibri"/>
          <w:sz w:val="24"/>
          <w:szCs w:val="24"/>
        </w:rPr>
      </w:pPr>
      <w:r>
        <w:rPr>
          <w:rFonts w:eastAsia="Calibri"/>
          <w:sz w:val="24"/>
          <w:szCs w:val="24"/>
        </w:rPr>
        <w:t>The impact of this inadequate content knowledge is significant. PI2 emphasized that when teachers are not firmly grounded in their subject, they tend to misrepresent core concepts during instruction. Such misrepresentation not only affects students' understanding of the subject matter but also undermines the integrity of the curriculum implementation process. This finding supports the argument that sound content knowledge is a foundational component of teacher competence</w:t>
      </w:r>
      <w:r w:rsidR="00B279CE">
        <w:rPr>
          <w:rFonts w:eastAsia="Calibri"/>
          <w:sz w:val="24"/>
          <w:szCs w:val="24"/>
        </w:rPr>
        <w:t xml:space="preserve"> and educational effectiveness. </w:t>
      </w:r>
      <w:r>
        <w:rPr>
          <w:rFonts w:eastAsia="Calibri"/>
          <w:sz w:val="24"/>
          <w:szCs w:val="24"/>
        </w:rPr>
        <w:t>To address these shortcomings, the inspectors highlighted the need for continuous subject-based professional development. PI4 stressed that regular in-service training programs are necessary to help teachers update and deepen their knowledge base. Such initiatives are vital for reinforcing theoretical understanding and keeping teachers abreast of current developments in the field of food science. Ultimately, the inspectors' perspectives underscore that enhancing teachers’ content knowledge through sustained professional learning is essential for improving teaching quality and student learning outcomes in food science education.</w:t>
      </w:r>
    </w:p>
    <w:p w14:paraId="004782F9" w14:textId="77777777" w:rsidR="00084F2C" w:rsidRDefault="00084F2C" w:rsidP="00084F2C">
      <w:pPr>
        <w:adjustRightInd w:val="0"/>
        <w:jc w:val="both"/>
        <w:rPr>
          <w:rFonts w:eastAsia="Calibri"/>
          <w:sz w:val="24"/>
          <w:szCs w:val="24"/>
        </w:rPr>
      </w:pPr>
    </w:p>
    <w:p w14:paraId="52784A38" w14:textId="77777777" w:rsidR="00B24650" w:rsidRPr="00F348ED" w:rsidRDefault="00084F2C" w:rsidP="00084F2C">
      <w:pPr>
        <w:adjustRightInd w:val="0"/>
        <w:jc w:val="both"/>
        <w:rPr>
          <w:rFonts w:eastAsia="Calibri"/>
          <w:sz w:val="24"/>
          <w:szCs w:val="24"/>
        </w:rPr>
      </w:pPr>
      <w:r>
        <w:rPr>
          <w:rFonts w:eastAsia="Calibri"/>
          <w:sz w:val="24"/>
          <w:szCs w:val="24"/>
        </w:rPr>
        <w:t xml:space="preserve">The triangulation of findings across methods reveals alignment between teachers’ self-assessed content knowledge and the inspectors’ evaluations. Quantitatively, the data showed a moderately strong, statistically significant relationship (R = 0.601, p &lt; .05) between content knowledge and </w:t>
      </w:r>
      <w:r>
        <w:rPr>
          <w:rFonts w:eastAsia="Calibri"/>
          <w:sz w:val="24"/>
          <w:szCs w:val="24"/>
        </w:rPr>
        <w:lastRenderedPageBreak/>
        <w:t>teaching competency, with teachers generally rating their theoretical understanding as high (Mean = 3.38). This perception was validated through qualitative insights, where inspectors acknowledged variability in teachers’ content knowledge, particularly highlighting weaker mastery among newer teachers. While teachers rated themselves confidently, PI1 and PI2 noted specific content gaps, especially in areas like food preservation and processing, that led to misrepresentation of key concepts. Inspectors stressed that without solid grounding in food science, curriculum implementation is compromised. Both data strands converge to emphasize that strong subject knowledge is central to effective teaching and that continuous, content-specific training (PI4) is essential for maintaining instructional quality.</w:t>
      </w:r>
    </w:p>
    <w:p w14:paraId="6BC43649" w14:textId="77777777" w:rsidR="00F348ED" w:rsidRPr="00F348ED" w:rsidRDefault="00F348ED" w:rsidP="00084F2C">
      <w:pPr>
        <w:widowControl/>
        <w:autoSpaceDE/>
        <w:autoSpaceDN/>
        <w:spacing w:before="100" w:beforeAutospacing="1" w:after="100" w:afterAutospacing="1"/>
        <w:jc w:val="both"/>
        <w:rPr>
          <w:rFonts w:eastAsia="Calibri"/>
          <w:b/>
          <w:sz w:val="24"/>
          <w:szCs w:val="24"/>
        </w:rPr>
      </w:pPr>
      <w:r w:rsidRPr="00F348ED">
        <w:rPr>
          <w:rFonts w:eastAsia="Calibri"/>
          <w:b/>
          <w:sz w:val="24"/>
          <w:szCs w:val="24"/>
        </w:rPr>
        <w:t xml:space="preserve">Teachers’ Practical and Laboratory Skills in Food Science and Their Teaching Competencies </w:t>
      </w:r>
    </w:p>
    <w:p w14:paraId="616384FB" w14:textId="77777777" w:rsidR="00F348ED" w:rsidRPr="00F348ED" w:rsidRDefault="00F348ED" w:rsidP="00084F2C">
      <w:pPr>
        <w:widowControl/>
        <w:autoSpaceDE/>
        <w:autoSpaceDN/>
        <w:spacing w:before="100" w:beforeAutospacing="1" w:after="100" w:afterAutospacing="1"/>
        <w:jc w:val="both"/>
        <w:rPr>
          <w:rFonts w:eastAsia="SimSun"/>
          <w:sz w:val="24"/>
          <w:szCs w:val="24"/>
        </w:rPr>
      </w:pPr>
      <w:r w:rsidRPr="00F348ED">
        <w:rPr>
          <w:rFonts w:eastAsia="SimSun"/>
          <w:b/>
          <w:sz w:val="24"/>
          <w:szCs w:val="24"/>
        </w:rPr>
        <w:t xml:space="preserve">Research Question Two: </w:t>
      </w:r>
      <w:r w:rsidRPr="00F348ED">
        <w:rPr>
          <w:rFonts w:eastAsia="SimSun"/>
          <w:sz w:val="24"/>
          <w:szCs w:val="24"/>
        </w:rPr>
        <w:t xml:space="preserve">What is the influence of teachers’ </w:t>
      </w:r>
      <w:r w:rsidRPr="00F348ED">
        <w:rPr>
          <w:rFonts w:eastAsia="SimSun"/>
          <w:bCs/>
          <w:sz w:val="24"/>
          <w:szCs w:val="24"/>
        </w:rPr>
        <w:t>practical and laboratory skills in food science on their teaching competencies?</w:t>
      </w:r>
      <w:r w:rsidRPr="00F348ED">
        <w:rPr>
          <w:rFonts w:eastAsia="Calibri"/>
          <w:b/>
          <w:color w:val="000000"/>
          <w:sz w:val="24"/>
          <w:szCs w:val="24"/>
        </w:rPr>
        <w:t xml:space="preserve"> </w:t>
      </w:r>
    </w:p>
    <w:p w14:paraId="41F171C4" w14:textId="77777777" w:rsidR="00F348ED" w:rsidRPr="00B279CE" w:rsidRDefault="00B279CE" w:rsidP="00B279CE">
      <w:pPr>
        <w:widowControl/>
        <w:autoSpaceDE/>
        <w:autoSpaceDN/>
        <w:spacing w:before="100" w:beforeAutospacing="1" w:after="200"/>
        <w:jc w:val="both"/>
        <w:rPr>
          <w:rFonts w:eastAsia="Calibri"/>
          <w:b/>
          <w:color w:val="000000"/>
          <w:sz w:val="24"/>
          <w:szCs w:val="24"/>
        </w:rPr>
      </w:pPr>
      <w:r>
        <w:rPr>
          <w:rFonts w:eastAsia="Calibri"/>
          <w:b/>
          <w:color w:val="000000"/>
          <w:sz w:val="24"/>
          <w:szCs w:val="24"/>
        </w:rPr>
        <w:t xml:space="preserve">Table 6: </w:t>
      </w:r>
      <w:r w:rsidR="00F348ED" w:rsidRPr="00F348ED">
        <w:rPr>
          <w:rFonts w:eastAsia="Calibri"/>
          <w:b/>
          <w:color w:val="000000"/>
          <w:sz w:val="24"/>
          <w:szCs w:val="24"/>
        </w:rPr>
        <w:t xml:space="preserve">Descriptive Statistics on Teachers’ Practical and Laboratory Skills in Food Science  </w:t>
      </w:r>
    </w:p>
    <w:tbl>
      <w:tblPr>
        <w:tblStyle w:val="TableGrid1"/>
        <w:tblW w:w="9945"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3642"/>
        <w:gridCol w:w="628"/>
        <w:gridCol w:w="586"/>
        <w:gridCol w:w="726"/>
        <w:gridCol w:w="620"/>
        <w:gridCol w:w="759"/>
        <w:gridCol w:w="720"/>
        <w:gridCol w:w="775"/>
        <w:gridCol w:w="800"/>
        <w:gridCol w:w="15"/>
      </w:tblGrid>
      <w:tr w:rsidR="00F348ED" w:rsidRPr="00F348ED" w14:paraId="599E9B6B" w14:textId="77777777" w:rsidTr="00B279CE">
        <w:trPr>
          <w:trHeight w:val="466"/>
        </w:trPr>
        <w:tc>
          <w:tcPr>
            <w:tcW w:w="675" w:type="dxa"/>
            <w:tcBorders>
              <w:top w:val="single" w:sz="4" w:space="0" w:color="000000"/>
              <w:left w:val="nil"/>
              <w:bottom w:val="single" w:sz="4" w:space="0" w:color="000000"/>
              <w:right w:val="nil"/>
            </w:tcBorders>
            <w:vAlign w:val="center"/>
            <w:hideMark/>
          </w:tcPr>
          <w:p w14:paraId="66A64B36" w14:textId="77777777" w:rsidR="00F348ED" w:rsidRPr="00B279CE" w:rsidRDefault="00F348ED" w:rsidP="00084F2C">
            <w:pPr>
              <w:widowControl/>
              <w:autoSpaceDE/>
              <w:autoSpaceDN/>
              <w:spacing w:before="100" w:beforeAutospacing="1"/>
              <w:jc w:val="center"/>
              <w:rPr>
                <w:b/>
                <w:color w:val="000000"/>
                <w:sz w:val="20"/>
                <w:szCs w:val="20"/>
              </w:rPr>
            </w:pPr>
            <w:r w:rsidRPr="00B279CE">
              <w:rPr>
                <w:b/>
                <w:color w:val="000000"/>
                <w:sz w:val="20"/>
                <w:szCs w:val="20"/>
              </w:rPr>
              <w:t>S/N</w:t>
            </w:r>
          </w:p>
        </w:tc>
        <w:tc>
          <w:tcPr>
            <w:tcW w:w="3645" w:type="dxa"/>
            <w:tcBorders>
              <w:top w:val="single" w:sz="4" w:space="0" w:color="000000"/>
              <w:left w:val="nil"/>
              <w:bottom w:val="single" w:sz="4" w:space="0" w:color="000000"/>
              <w:right w:val="nil"/>
            </w:tcBorders>
            <w:vAlign w:val="center"/>
            <w:hideMark/>
          </w:tcPr>
          <w:p w14:paraId="14A03CBF" w14:textId="77777777" w:rsidR="00F348ED" w:rsidRPr="00F348ED" w:rsidRDefault="00F348ED" w:rsidP="00084F2C">
            <w:pPr>
              <w:widowControl/>
              <w:autoSpaceDE/>
              <w:autoSpaceDN/>
              <w:spacing w:before="100" w:beforeAutospacing="1"/>
              <w:ind w:left="108"/>
              <w:jc w:val="center"/>
              <w:rPr>
                <w:b/>
                <w:color w:val="000000"/>
                <w:sz w:val="24"/>
                <w:szCs w:val="24"/>
              </w:rPr>
            </w:pPr>
            <w:r w:rsidRPr="00F348ED">
              <w:rPr>
                <w:b/>
                <w:color w:val="000000"/>
                <w:sz w:val="24"/>
                <w:szCs w:val="24"/>
              </w:rPr>
              <w:t>Statement</w:t>
            </w:r>
          </w:p>
        </w:tc>
        <w:tc>
          <w:tcPr>
            <w:tcW w:w="628" w:type="dxa"/>
            <w:tcBorders>
              <w:top w:val="single" w:sz="4" w:space="0" w:color="000000"/>
              <w:left w:val="nil"/>
              <w:bottom w:val="single" w:sz="4" w:space="0" w:color="000000"/>
              <w:right w:val="nil"/>
            </w:tcBorders>
            <w:vAlign w:val="center"/>
            <w:hideMark/>
          </w:tcPr>
          <w:p w14:paraId="624734F7"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SA</w:t>
            </w:r>
          </w:p>
        </w:tc>
        <w:tc>
          <w:tcPr>
            <w:tcW w:w="586" w:type="dxa"/>
            <w:tcBorders>
              <w:top w:val="single" w:sz="4" w:space="0" w:color="000000"/>
              <w:left w:val="nil"/>
              <w:bottom w:val="single" w:sz="4" w:space="0" w:color="000000"/>
              <w:right w:val="nil"/>
            </w:tcBorders>
            <w:vAlign w:val="center"/>
            <w:hideMark/>
          </w:tcPr>
          <w:p w14:paraId="60C7CFCE"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A</w:t>
            </w:r>
          </w:p>
        </w:tc>
        <w:tc>
          <w:tcPr>
            <w:tcW w:w="726" w:type="dxa"/>
            <w:tcBorders>
              <w:top w:val="single" w:sz="4" w:space="0" w:color="000000"/>
              <w:left w:val="nil"/>
              <w:bottom w:val="single" w:sz="4" w:space="0" w:color="000000"/>
              <w:right w:val="nil"/>
            </w:tcBorders>
            <w:vAlign w:val="center"/>
            <w:hideMark/>
          </w:tcPr>
          <w:p w14:paraId="6C7BF723"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D</w:t>
            </w:r>
          </w:p>
        </w:tc>
        <w:tc>
          <w:tcPr>
            <w:tcW w:w="620" w:type="dxa"/>
            <w:tcBorders>
              <w:top w:val="single" w:sz="4" w:space="0" w:color="000000"/>
              <w:left w:val="nil"/>
              <w:bottom w:val="single" w:sz="4" w:space="0" w:color="000000"/>
              <w:right w:val="nil"/>
            </w:tcBorders>
            <w:vAlign w:val="center"/>
            <w:hideMark/>
          </w:tcPr>
          <w:p w14:paraId="6AC4E9BB" w14:textId="77777777" w:rsidR="00F348ED" w:rsidRPr="00F348ED" w:rsidRDefault="00F348ED" w:rsidP="00084F2C">
            <w:pPr>
              <w:widowControl/>
              <w:autoSpaceDE/>
              <w:autoSpaceDN/>
              <w:spacing w:before="100" w:beforeAutospacing="1"/>
              <w:ind w:left="108"/>
              <w:jc w:val="center"/>
              <w:rPr>
                <w:b/>
                <w:color w:val="000000"/>
                <w:sz w:val="20"/>
                <w:szCs w:val="20"/>
              </w:rPr>
            </w:pPr>
            <w:r w:rsidRPr="00F348ED">
              <w:rPr>
                <w:b/>
                <w:color w:val="000000"/>
                <w:sz w:val="20"/>
                <w:szCs w:val="20"/>
              </w:rPr>
              <w:t>SD</w:t>
            </w:r>
          </w:p>
        </w:tc>
        <w:tc>
          <w:tcPr>
            <w:tcW w:w="759" w:type="dxa"/>
            <w:tcBorders>
              <w:top w:val="single" w:sz="4" w:space="0" w:color="000000"/>
              <w:left w:val="nil"/>
              <w:bottom w:val="single" w:sz="4" w:space="0" w:color="000000"/>
              <w:right w:val="nil"/>
            </w:tcBorders>
            <w:vAlign w:val="center"/>
            <w:hideMark/>
          </w:tcPr>
          <w:p w14:paraId="1F479A0E"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SA/A</w:t>
            </w:r>
          </w:p>
        </w:tc>
        <w:tc>
          <w:tcPr>
            <w:tcW w:w="720" w:type="dxa"/>
            <w:tcBorders>
              <w:top w:val="single" w:sz="4" w:space="0" w:color="000000"/>
              <w:left w:val="nil"/>
              <w:bottom w:val="single" w:sz="4" w:space="0" w:color="000000"/>
              <w:right w:val="nil"/>
            </w:tcBorders>
            <w:vAlign w:val="center"/>
            <w:hideMark/>
          </w:tcPr>
          <w:p w14:paraId="18EDCCF3"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SD/D</w:t>
            </w:r>
          </w:p>
        </w:tc>
        <w:tc>
          <w:tcPr>
            <w:tcW w:w="775" w:type="dxa"/>
            <w:tcBorders>
              <w:top w:val="single" w:sz="4" w:space="0" w:color="000000"/>
              <w:left w:val="nil"/>
              <w:bottom w:val="single" w:sz="4" w:space="0" w:color="000000"/>
              <w:right w:val="nil"/>
            </w:tcBorders>
            <w:vAlign w:val="center"/>
            <w:hideMark/>
          </w:tcPr>
          <w:p w14:paraId="75DC5327"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Mean</w:t>
            </w:r>
          </w:p>
        </w:tc>
        <w:tc>
          <w:tcPr>
            <w:tcW w:w="811" w:type="dxa"/>
            <w:gridSpan w:val="2"/>
            <w:tcBorders>
              <w:top w:val="single" w:sz="4" w:space="0" w:color="000000"/>
              <w:left w:val="nil"/>
              <w:bottom w:val="single" w:sz="4" w:space="0" w:color="000000"/>
              <w:right w:val="nil"/>
            </w:tcBorders>
            <w:vAlign w:val="center"/>
            <w:hideMark/>
          </w:tcPr>
          <w:p w14:paraId="206EE6F2" w14:textId="77777777" w:rsidR="00F348ED" w:rsidRPr="00F348ED" w:rsidRDefault="00F348ED" w:rsidP="00084F2C">
            <w:pPr>
              <w:widowControl/>
              <w:autoSpaceDE/>
              <w:autoSpaceDN/>
              <w:spacing w:before="100" w:beforeAutospacing="1"/>
              <w:jc w:val="center"/>
              <w:rPr>
                <w:b/>
                <w:color w:val="000000"/>
                <w:sz w:val="20"/>
                <w:szCs w:val="20"/>
              </w:rPr>
            </w:pPr>
            <w:r w:rsidRPr="00F348ED">
              <w:rPr>
                <w:b/>
                <w:color w:val="000000"/>
                <w:sz w:val="20"/>
                <w:szCs w:val="20"/>
              </w:rPr>
              <w:t>Std Dev</w:t>
            </w:r>
          </w:p>
        </w:tc>
      </w:tr>
      <w:tr w:rsidR="00F348ED" w:rsidRPr="00F348ED" w14:paraId="13921875" w14:textId="77777777" w:rsidTr="00B279CE">
        <w:trPr>
          <w:trHeight w:val="680"/>
        </w:trPr>
        <w:tc>
          <w:tcPr>
            <w:tcW w:w="675" w:type="dxa"/>
            <w:tcBorders>
              <w:top w:val="single" w:sz="4" w:space="0" w:color="000000"/>
              <w:left w:val="nil"/>
              <w:bottom w:val="nil"/>
              <w:right w:val="nil"/>
            </w:tcBorders>
            <w:hideMark/>
          </w:tcPr>
          <w:p w14:paraId="34BD38FB"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8</w:t>
            </w:r>
          </w:p>
        </w:tc>
        <w:tc>
          <w:tcPr>
            <w:tcW w:w="3645" w:type="dxa"/>
            <w:tcBorders>
              <w:top w:val="single" w:sz="4" w:space="0" w:color="000000"/>
              <w:left w:val="nil"/>
              <w:bottom w:val="nil"/>
              <w:right w:val="nil"/>
            </w:tcBorders>
            <w:hideMark/>
          </w:tcPr>
          <w:p w14:paraId="5A3FB83E"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 xml:space="preserve">I conduct food science </w:t>
            </w:r>
            <w:proofErr w:type="spellStart"/>
            <w:r w:rsidRPr="00F348ED">
              <w:rPr>
                <w:rFonts w:eastAsia="MS Mincho"/>
                <w:color w:val="000000"/>
                <w:sz w:val="24"/>
                <w:szCs w:val="24"/>
              </w:rPr>
              <w:t>practicals</w:t>
            </w:r>
            <w:proofErr w:type="spellEnd"/>
            <w:r w:rsidRPr="00F348ED">
              <w:rPr>
                <w:rFonts w:eastAsia="MS Mincho"/>
                <w:color w:val="000000"/>
                <w:sz w:val="24"/>
                <w:szCs w:val="24"/>
              </w:rPr>
              <w:t xml:space="preserve"> regularly.</w:t>
            </w:r>
          </w:p>
        </w:tc>
        <w:tc>
          <w:tcPr>
            <w:tcW w:w="628" w:type="dxa"/>
            <w:tcBorders>
              <w:top w:val="nil"/>
              <w:left w:val="nil"/>
              <w:bottom w:val="nil"/>
              <w:right w:val="nil"/>
            </w:tcBorders>
            <w:hideMark/>
          </w:tcPr>
          <w:p w14:paraId="598C122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52</w:t>
            </w:r>
          </w:p>
        </w:tc>
        <w:tc>
          <w:tcPr>
            <w:tcW w:w="586" w:type="dxa"/>
            <w:tcBorders>
              <w:top w:val="nil"/>
              <w:left w:val="nil"/>
              <w:bottom w:val="nil"/>
              <w:right w:val="nil"/>
            </w:tcBorders>
            <w:hideMark/>
          </w:tcPr>
          <w:p w14:paraId="6DA1C7D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34</w:t>
            </w:r>
          </w:p>
        </w:tc>
        <w:tc>
          <w:tcPr>
            <w:tcW w:w="726" w:type="dxa"/>
            <w:tcBorders>
              <w:top w:val="nil"/>
              <w:left w:val="nil"/>
              <w:bottom w:val="nil"/>
              <w:right w:val="nil"/>
            </w:tcBorders>
            <w:hideMark/>
          </w:tcPr>
          <w:p w14:paraId="727BB91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w:t>
            </w:r>
          </w:p>
        </w:tc>
        <w:tc>
          <w:tcPr>
            <w:tcW w:w="620" w:type="dxa"/>
            <w:tcBorders>
              <w:top w:val="nil"/>
              <w:left w:val="nil"/>
              <w:bottom w:val="nil"/>
              <w:right w:val="nil"/>
            </w:tcBorders>
            <w:hideMark/>
          </w:tcPr>
          <w:p w14:paraId="0F77FC6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w:t>
            </w:r>
          </w:p>
        </w:tc>
        <w:tc>
          <w:tcPr>
            <w:tcW w:w="759" w:type="dxa"/>
            <w:tcBorders>
              <w:top w:val="nil"/>
              <w:left w:val="nil"/>
              <w:bottom w:val="nil"/>
              <w:right w:val="nil"/>
            </w:tcBorders>
            <w:hideMark/>
          </w:tcPr>
          <w:p w14:paraId="091B921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86</w:t>
            </w:r>
          </w:p>
        </w:tc>
        <w:tc>
          <w:tcPr>
            <w:tcW w:w="720" w:type="dxa"/>
            <w:tcBorders>
              <w:top w:val="nil"/>
              <w:left w:val="nil"/>
              <w:bottom w:val="nil"/>
              <w:right w:val="nil"/>
            </w:tcBorders>
            <w:hideMark/>
          </w:tcPr>
          <w:p w14:paraId="01BFD0C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w:t>
            </w:r>
          </w:p>
        </w:tc>
        <w:tc>
          <w:tcPr>
            <w:tcW w:w="775" w:type="dxa"/>
            <w:tcBorders>
              <w:top w:val="nil"/>
              <w:left w:val="nil"/>
              <w:bottom w:val="nil"/>
              <w:right w:val="nil"/>
            </w:tcBorders>
            <w:hideMark/>
          </w:tcPr>
          <w:p w14:paraId="36B8142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3.50</w:t>
            </w:r>
          </w:p>
        </w:tc>
        <w:tc>
          <w:tcPr>
            <w:tcW w:w="811" w:type="dxa"/>
            <w:gridSpan w:val="2"/>
            <w:tcBorders>
              <w:top w:val="nil"/>
              <w:left w:val="nil"/>
              <w:bottom w:val="nil"/>
              <w:right w:val="nil"/>
            </w:tcBorders>
            <w:hideMark/>
          </w:tcPr>
          <w:p w14:paraId="4EEA74D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.623</w:t>
            </w:r>
          </w:p>
        </w:tc>
      </w:tr>
      <w:tr w:rsidR="00F348ED" w:rsidRPr="00F348ED" w14:paraId="07EDF3BE" w14:textId="77777777" w:rsidTr="00B279CE">
        <w:trPr>
          <w:trHeight w:val="675"/>
        </w:trPr>
        <w:tc>
          <w:tcPr>
            <w:tcW w:w="675" w:type="dxa"/>
            <w:tcBorders>
              <w:top w:val="nil"/>
              <w:left w:val="nil"/>
              <w:bottom w:val="nil"/>
              <w:right w:val="nil"/>
            </w:tcBorders>
            <w:hideMark/>
          </w:tcPr>
          <w:p w14:paraId="66C0EFA2"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9</w:t>
            </w:r>
          </w:p>
        </w:tc>
        <w:tc>
          <w:tcPr>
            <w:tcW w:w="3645" w:type="dxa"/>
            <w:tcBorders>
              <w:top w:val="nil"/>
              <w:left w:val="nil"/>
              <w:bottom w:val="nil"/>
              <w:right w:val="nil"/>
            </w:tcBorders>
            <w:hideMark/>
          </w:tcPr>
          <w:p w14:paraId="12B5FD5C"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I effectively demonstrate laboratory procedures to students.</w:t>
            </w:r>
          </w:p>
        </w:tc>
        <w:tc>
          <w:tcPr>
            <w:tcW w:w="628" w:type="dxa"/>
            <w:tcBorders>
              <w:top w:val="nil"/>
              <w:left w:val="nil"/>
              <w:bottom w:val="nil"/>
              <w:right w:val="nil"/>
            </w:tcBorders>
            <w:hideMark/>
          </w:tcPr>
          <w:p w14:paraId="6AC56E4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586" w:type="dxa"/>
            <w:tcBorders>
              <w:top w:val="nil"/>
              <w:left w:val="nil"/>
              <w:bottom w:val="nil"/>
              <w:right w:val="nil"/>
            </w:tcBorders>
            <w:hideMark/>
          </w:tcPr>
          <w:p w14:paraId="3324EBB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42</w:t>
            </w:r>
          </w:p>
        </w:tc>
        <w:tc>
          <w:tcPr>
            <w:tcW w:w="726" w:type="dxa"/>
            <w:tcBorders>
              <w:top w:val="nil"/>
              <w:left w:val="nil"/>
              <w:bottom w:val="nil"/>
              <w:right w:val="nil"/>
            </w:tcBorders>
            <w:hideMark/>
          </w:tcPr>
          <w:p w14:paraId="2A74B05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w:t>
            </w:r>
          </w:p>
        </w:tc>
        <w:tc>
          <w:tcPr>
            <w:tcW w:w="620" w:type="dxa"/>
            <w:tcBorders>
              <w:top w:val="nil"/>
              <w:left w:val="nil"/>
              <w:bottom w:val="nil"/>
              <w:right w:val="nil"/>
            </w:tcBorders>
            <w:hideMark/>
          </w:tcPr>
          <w:p w14:paraId="599EBF8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w:t>
            </w:r>
          </w:p>
        </w:tc>
        <w:tc>
          <w:tcPr>
            <w:tcW w:w="759" w:type="dxa"/>
            <w:tcBorders>
              <w:top w:val="nil"/>
              <w:left w:val="nil"/>
              <w:bottom w:val="nil"/>
              <w:right w:val="nil"/>
            </w:tcBorders>
            <w:hideMark/>
          </w:tcPr>
          <w:p w14:paraId="3A27169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82</w:t>
            </w:r>
          </w:p>
        </w:tc>
        <w:tc>
          <w:tcPr>
            <w:tcW w:w="720" w:type="dxa"/>
            <w:tcBorders>
              <w:top w:val="nil"/>
              <w:left w:val="nil"/>
              <w:bottom w:val="nil"/>
              <w:right w:val="nil"/>
            </w:tcBorders>
            <w:hideMark/>
          </w:tcPr>
          <w:p w14:paraId="089A18D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10</w:t>
            </w:r>
          </w:p>
        </w:tc>
        <w:tc>
          <w:tcPr>
            <w:tcW w:w="775" w:type="dxa"/>
            <w:tcBorders>
              <w:top w:val="nil"/>
              <w:left w:val="nil"/>
              <w:bottom w:val="nil"/>
              <w:right w:val="nil"/>
            </w:tcBorders>
            <w:hideMark/>
          </w:tcPr>
          <w:p w14:paraId="1AB89BB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3.29</w:t>
            </w:r>
          </w:p>
        </w:tc>
        <w:tc>
          <w:tcPr>
            <w:tcW w:w="811" w:type="dxa"/>
            <w:gridSpan w:val="2"/>
            <w:tcBorders>
              <w:top w:val="nil"/>
              <w:left w:val="nil"/>
              <w:bottom w:val="nil"/>
              <w:right w:val="nil"/>
            </w:tcBorders>
            <w:hideMark/>
          </w:tcPr>
          <w:p w14:paraId="373BB07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.682</w:t>
            </w:r>
          </w:p>
        </w:tc>
      </w:tr>
      <w:tr w:rsidR="00F348ED" w:rsidRPr="00F348ED" w14:paraId="24DB2EC8" w14:textId="77777777" w:rsidTr="00B279CE">
        <w:trPr>
          <w:trHeight w:val="621"/>
        </w:trPr>
        <w:tc>
          <w:tcPr>
            <w:tcW w:w="675" w:type="dxa"/>
            <w:tcBorders>
              <w:top w:val="nil"/>
              <w:left w:val="nil"/>
              <w:bottom w:val="nil"/>
              <w:right w:val="nil"/>
            </w:tcBorders>
            <w:hideMark/>
          </w:tcPr>
          <w:p w14:paraId="4EAC7512"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10</w:t>
            </w:r>
          </w:p>
        </w:tc>
        <w:tc>
          <w:tcPr>
            <w:tcW w:w="3645" w:type="dxa"/>
            <w:tcBorders>
              <w:top w:val="nil"/>
              <w:left w:val="nil"/>
              <w:bottom w:val="nil"/>
              <w:right w:val="nil"/>
            </w:tcBorders>
            <w:hideMark/>
          </w:tcPr>
          <w:p w14:paraId="49142475"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I follow proper safety procedures during experiments.</w:t>
            </w:r>
          </w:p>
        </w:tc>
        <w:tc>
          <w:tcPr>
            <w:tcW w:w="628" w:type="dxa"/>
            <w:tcBorders>
              <w:top w:val="nil"/>
              <w:left w:val="nil"/>
              <w:bottom w:val="nil"/>
              <w:right w:val="nil"/>
            </w:tcBorders>
            <w:hideMark/>
          </w:tcPr>
          <w:p w14:paraId="24C76C1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38</w:t>
            </w:r>
          </w:p>
        </w:tc>
        <w:tc>
          <w:tcPr>
            <w:tcW w:w="586" w:type="dxa"/>
            <w:tcBorders>
              <w:top w:val="nil"/>
              <w:left w:val="nil"/>
              <w:bottom w:val="nil"/>
              <w:right w:val="nil"/>
            </w:tcBorders>
            <w:hideMark/>
          </w:tcPr>
          <w:p w14:paraId="118A115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726" w:type="dxa"/>
            <w:tcBorders>
              <w:top w:val="nil"/>
              <w:left w:val="nil"/>
              <w:bottom w:val="nil"/>
              <w:right w:val="nil"/>
            </w:tcBorders>
            <w:hideMark/>
          </w:tcPr>
          <w:p w14:paraId="78C8C4F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10</w:t>
            </w:r>
          </w:p>
        </w:tc>
        <w:tc>
          <w:tcPr>
            <w:tcW w:w="620" w:type="dxa"/>
            <w:tcBorders>
              <w:top w:val="nil"/>
              <w:left w:val="nil"/>
              <w:bottom w:val="nil"/>
              <w:right w:val="nil"/>
            </w:tcBorders>
            <w:hideMark/>
          </w:tcPr>
          <w:p w14:paraId="49385F8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w:t>
            </w:r>
          </w:p>
        </w:tc>
        <w:tc>
          <w:tcPr>
            <w:tcW w:w="759" w:type="dxa"/>
            <w:tcBorders>
              <w:top w:val="nil"/>
              <w:left w:val="nil"/>
              <w:bottom w:val="nil"/>
              <w:right w:val="nil"/>
            </w:tcBorders>
            <w:hideMark/>
          </w:tcPr>
          <w:p w14:paraId="12B6131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78</w:t>
            </w:r>
          </w:p>
        </w:tc>
        <w:tc>
          <w:tcPr>
            <w:tcW w:w="720" w:type="dxa"/>
            <w:tcBorders>
              <w:top w:val="nil"/>
              <w:left w:val="nil"/>
              <w:bottom w:val="nil"/>
              <w:right w:val="nil"/>
            </w:tcBorders>
            <w:hideMark/>
          </w:tcPr>
          <w:p w14:paraId="6E06362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14</w:t>
            </w:r>
          </w:p>
        </w:tc>
        <w:tc>
          <w:tcPr>
            <w:tcW w:w="775" w:type="dxa"/>
            <w:tcBorders>
              <w:top w:val="nil"/>
              <w:left w:val="nil"/>
              <w:bottom w:val="nil"/>
              <w:right w:val="nil"/>
            </w:tcBorders>
            <w:hideMark/>
          </w:tcPr>
          <w:p w14:paraId="7F58AB9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3.22</w:t>
            </w:r>
          </w:p>
        </w:tc>
        <w:tc>
          <w:tcPr>
            <w:tcW w:w="811" w:type="dxa"/>
            <w:gridSpan w:val="2"/>
            <w:tcBorders>
              <w:top w:val="nil"/>
              <w:left w:val="nil"/>
              <w:bottom w:val="nil"/>
              <w:right w:val="nil"/>
            </w:tcBorders>
            <w:hideMark/>
          </w:tcPr>
          <w:p w14:paraId="07BAD07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.720</w:t>
            </w:r>
          </w:p>
        </w:tc>
      </w:tr>
      <w:tr w:rsidR="00F348ED" w:rsidRPr="00F348ED" w14:paraId="33F92B5E" w14:textId="77777777" w:rsidTr="00B279CE">
        <w:trPr>
          <w:trHeight w:val="645"/>
        </w:trPr>
        <w:tc>
          <w:tcPr>
            <w:tcW w:w="675" w:type="dxa"/>
            <w:tcBorders>
              <w:top w:val="nil"/>
              <w:left w:val="nil"/>
              <w:bottom w:val="nil"/>
              <w:right w:val="nil"/>
            </w:tcBorders>
            <w:hideMark/>
          </w:tcPr>
          <w:p w14:paraId="079E7D2F"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11</w:t>
            </w:r>
          </w:p>
        </w:tc>
        <w:tc>
          <w:tcPr>
            <w:tcW w:w="3645" w:type="dxa"/>
            <w:tcBorders>
              <w:top w:val="nil"/>
              <w:left w:val="nil"/>
              <w:bottom w:val="nil"/>
              <w:right w:val="nil"/>
            </w:tcBorders>
            <w:hideMark/>
          </w:tcPr>
          <w:p w14:paraId="66353556"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 xml:space="preserve">I use </w:t>
            </w:r>
            <w:proofErr w:type="spellStart"/>
            <w:r w:rsidRPr="00F348ED">
              <w:rPr>
                <w:rFonts w:eastAsia="MS Mincho"/>
                <w:color w:val="000000"/>
                <w:sz w:val="24"/>
                <w:szCs w:val="24"/>
              </w:rPr>
              <w:t>practicals</w:t>
            </w:r>
            <w:proofErr w:type="spellEnd"/>
            <w:r w:rsidRPr="00F348ED">
              <w:rPr>
                <w:rFonts w:eastAsia="MS Mincho"/>
                <w:color w:val="000000"/>
                <w:sz w:val="24"/>
                <w:szCs w:val="24"/>
              </w:rPr>
              <w:t xml:space="preserve"> to reinforce theoretical lessons.</w:t>
            </w:r>
          </w:p>
        </w:tc>
        <w:tc>
          <w:tcPr>
            <w:tcW w:w="628" w:type="dxa"/>
            <w:tcBorders>
              <w:top w:val="nil"/>
              <w:left w:val="nil"/>
              <w:bottom w:val="nil"/>
              <w:right w:val="nil"/>
            </w:tcBorders>
            <w:hideMark/>
          </w:tcPr>
          <w:p w14:paraId="224C061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45</w:t>
            </w:r>
          </w:p>
        </w:tc>
        <w:tc>
          <w:tcPr>
            <w:tcW w:w="586" w:type="dxa"/>
            <w:tcBorders>
              <w:top w:val="nil"/>
              <w:left w:val="nil"/>
              <w:bottom w:val="nil"/>
              <w:right w:val="nil"/>
            </w:tcBorders>
            <w:hideMark/>
          </w:tcPr>
          <w:p w14:paraId="5992CF7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726" w:type="dxa"/>
            <w:tcBorders>
              <w:top w:val="nil"/>
              <w:left w:val="nil"/>
              <w:bottom w:val="nil"/>
              <w:right w:val="nil"/>
            </w:tcBorders>
            <w:hideMark/>
          </w:tcPr>
          <w:p w14:paraId="702DCEA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w:t>
            </w:r>
          </w:p>
        </w:tc>
        <w:tc>
          <w:tcPr>
            <w:tcW w:w="620" w:type="dxa"/>
            <w:tcBorders>
              <w:top w:val="nil"/>
              <w:left w:val="nil"/>
              <w:bottom w:val="nil"/>
              <w:right w:val="nil"/>
            </w:tcBorders>
            <w:hideMark/>
          </w:tcPr>
          <w:p w14:paraId="285E1FB5"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w:t>
            </w:r>
          </w:p>
        </w:tc>
        <w:tc>
          <w:tcPr>
            <w:tcW w:w="759" w:type="dxa"/>
            <w:tcBorders>
              <w:top w:val="nil"/>
              <w:left w:val="nil"/>
              <w:bottom w:val="nil"/>
              <w:right w:val="nil"/>
            </w:tcBorders>
            <w:hideMark/>
          </w:tcPr>
          <w:p w14:paraId="3DF3356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85</w:t>
            </w:r>
          </w:p>
        </w:tc>
        <w:tc>
          <w:tcPr>
            <w:tcW w:w="720" w:type="dxa"/>
            <w:tcBorders>
              <w:top w:val="nil"/>
              <w:left w:val="nil"/>
              <w:bottom w:val="nil"/>
              <w:right w:val="nil"/>
            </w:tcBorders>
            <w:hideMark/>
          </w:tcPr>
          <w:p w14:paraId="3654714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w:t>
            </w:r>
          </w:p>
        </w:tc>
        <w:tc>
          <w:tcPr>
            <w:tcW w:w="775" w:type="dxa"/>
            <w:tcBorders>
              <w:top w:val="nil"/>
              <w:left w:val="nil"/>
              <w:bottom w:val="nil"/>
              <w:right w:val="nil"/>
            </w:tcBorders>
            <w:hideMark/>
          </w:tcPr>
          <w:p w14:paraId="608BA2B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3.41</w:t>
            </w:r>
          </w:p>
        </w:tc>
        <w:tc>
          <w:tcPr>
            <w:tcW w:w="811" w:type="dxa"/>
            <w:gridSpan w:val="2"/>
            <w:tcBorders>
              <w:top w:val="nil"/>
              <w:left w:val="nil"/>
              <w:bottom w:val="nil"/>
              <w:right w:val="nil"/>
            </w:tcBorders>
            <w:hideMark/>
          </w:tcPr>
          <w:p w14:paraId="67EE171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.627</w:t>
            </w:r>
          </w:p>
        </w:tc>
      </w:tr>
      <w:tr w:rsidR="00F348ED" w:rsidRPr="00F348ED" w14:paraId="60A51004" w14:textId="77777777" w:rsidTr="00B279CE">
        <w:trPr>
          <w:trHeight w:val="686"/>
        </w:trPr>
        <w:tc>
          <w:tcPr>
            <w:tcW w:w="675" w:type="dxa"/>
            <w:tcBorders>
              <w:top w:val="nil"/>
              <w:left w:val="nil"/>
              <w:bottom w:val="nil"/>
              <w:right w:val="nil"/>
            </w:tcBorders>
            <w:hideMark/>
          </w:tcPr>
          <w:p w14:paraId="790196B4"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12</w:t>
            </w:r>
          </w:p>
        </w:tc>
        <w:tc>
          <w:tcPr>
            <w:tcW w:w="3645" w:type="dxa"/>
            <w:tcBorders>
              <w:top w:val="nil"/>
              <w:left w:val="nil"/>
              <w:bottom w:val="nil"/>
              <w:right w:val="nil"/>
            </w:tcBorders>
            <w:hideMark/>
          </w:tcPr>
          <w:p w14:paraId="4CFF6443"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I can manage laboratory equipment and resources competently.</w:t>
            </w:r>
          </w:p>
        </w:tc>
        <w:tc>
          <w:tcPr>
            <w:tcW w:w="628" w:type="dxa"/>
            <w:tcBorders>
              <w:top w:val="nil"/>
              <w:left w:val="nil"/>
              <w:bottom w:val="nil"/>
              <w:right w:val="nil"/>
            </w:tcBorders>
            <w:hideMark/>
          </w:tcPr>
          <w:p w14:paraId="7CB6355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39</w:t>
            </w:r>
          </w:p>
        </w:tc>
        <w:tc>
          <w:tcPr>
            <w:tcW w:w="586" w:type="dxa"/>
            <w:tcBorders>
              <w:top w:val="nil"/>
              <w:left w:val="nil"/>
              <w:bottom w:val="nil"/>
              <w:right w:val="nil"/>
            </w:tcBorders>
            <w:hideMark/>
          </w:tcPr>
          <w:p w14:paraId="7528D34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41</w:t>
            </w:r>
          </w:p>
        </w:tc>
        <w:tc>
          <w:tcPr>
            <w:tcW w:w="726" w:type="dxa"/>
            <w:tcBorders>
              <w:top w:val="nil"/>
              <w:left w:val="nil"/>
              <w:bottom w:val="nil"/>
              <w:right w:val="nil"/>
            </w:tcBorders>
            <w:hideMark/>
          </w:tcPr>
          <w:p w14:paraId="3A3EE72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w:t>
            </w:r>
          </w:p>
        </w:tc>
        <w:tc>
          <w:tcPr>
            <w:tcW w:w="620" w:type="dxa"/>
            <w:tcBorders>
              <w:top w:val="nil"/>
              <w:left w:val="nil"/>
              <w:bottom w:val="nil"/>
              <w:right w:val="nil"/>
            </w:tcBorders>
            <w:hideMark/>
          </w:tcPr>
          <w:p w14:paraId="1A365CD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w:t>
            </w:r>
          </w:p>
        </w:tc>
        <w:tc>
          <w:tcPr>
            <w:tcW w:w="759" w:type="dxa"/>
            <w:tcBorders>
              <w:top w:val="nil"/>
              <w:left w:val="nil"/>
              <w:bottom w:val="nil"/>
              <w:right w:val="nil"/>
            </w:tcBorders>
            <w:hideMark/>
          </w:tcPr>
          <w:p w14:paraId="3295961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80</w:t>
            </w:r>
          </w:p>
        </w:tc>
        <w:tc>
          <w:tcPr>
            <w:tcW w:w="720" w:type="dxa"/>
            <w:tcBorders>
              <w:top w:val="nil"/>
              <w:left w:val="nil"/>
              <w:bottom w:val="nil"/>
              <w:right w:val="nil"/>
            </w:tcBorders>
            <w:hideMark/>
          </w:tcPr>
          <w:p w14:paraId="2FAC3B0A"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12</w:t>
            </w:r>
          </w:p>
        </w:tc>
        <w:tc>
          <w:tcPr>
            <w:tcW w:w="775" w:type="dxa"/>
            <w:tcBorders>
              <w:top w:val="nil"/>
              <w:left w:val="nil"/>
              <w:bottom w:val="nil"/>
              <w:right w:val="nil"/>
            </w:tcBorders>
            <w:hideMark/>
          </w:tcPr>
          <w:p w14:paraId="7D61AF1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3.25</w:t>
            </w:r>
          </w:p>
        </w:tc>
        <w:tc>
          <w:tcPr>
            <w:tcW w:w="811" w:type="dxa"/>
            <w:gridSpan w:val="2"/>
            <w:tcBorders>
              <w:top w:val="nil"/>
              <w:left w:val="nil"/>
              <w:bottom w:val="nil"/>
              <w:right w:val="nil"/>
            </w:tcBorders>
            <w:hideMark/>
          </w:tcPr>
          <w:p w14:paraId="2786277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.701</w:t>
            </w:r>
          </w:p>
        </w:tc>
      </w:tr>
      <w:tr w:rsidR="00F348ED" w:rsidRPr="00F348ED" w14:paraId="7255C832" w14:textId="77777777" w:rsidTr="00B279CE">
        <w:trPr>
          <w:trHeight w:val="686"/>
        </w:trPr>
        <w:tc>
          <w:tcPr>
            <w:tcW w:w="675" w:type="dxa"/>
            <w:tcBorders>
              <w:top w:val="nil"/>
              <w:left w:val="nil"/>
              <w:bottom w:val="nil"/>
              <w:right w:val="nil"/>
            </w:tcBorders>
            <w:hideMark/>
          </w:tcPr>
          <w:p w14:paraId="37645919"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13</w:t>
            </w:r>
          </w:p>
        </w:tc>
        <w:tc>
          <w:tcPr>
            <w:tcW w:w="3645" w:type="dxa"/>
            <w:tcBorders>
              <w:top w:val="nil"/>
              <w:left w:val="nil"/>
              <w:bottom w:val="nil"/>
              <w:right w:val="nil"/>
            </w:tcBorders>
            <w:hideMark/>
          </w:tcPr>
          <w:p w14:paraId="1FBAE049"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Students actively participate in lab-based learning activities.</w:t>
            </w:r>
          </w:p>
        </w:tc>
        <w:tc>
          <w:tcPr>
            <w:tcW w:w="628" w:type="dxa"/>
            <w:tcBorders>
              <w:top w:val="nil"/>
              <w:left w:val="nil"/>
              <w:bottom w:val="nil"/>
              <w:right w:val="nil"/>
            </w:tcBorders>
            <w:hideMark/>
          </w:tcPr>
          <w:p w14:paraId="5F3B1FF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44</w:t>
            </w:r>
          </w:p>
        </w:tc>
        <w:tc>
          <w:tcPr>
            <w:tcW w:w="586" w:type="dxa"/>
            <w:tcBorders>
              <w:top w:val="nil"/>
              <w:left w:val="nil"/>
              <w:bottom w:val="nil"/>
              <w:right w:val="nil"/>
            </w:tcBorders>
            <w:hideMark/>
          </w:tcPr>
          <w:p w14:paraId="7A454F11"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39</w:t>
            </w:r>
          </w:p>
        </w:tc>
        <w:tc>
          <w:tcPr>
            <w:tcW w:w="726" w:type="dxa"/>
            <w:tcBorders>
              <w:top w:val="nil"/>
              <w:left w:val="nil"/>
              <w:bottom w:val="nil"/>
              <w:right w:val="nil"/>
            </w:tcBorders>
            <w:hideMark/>
          </w:tcPr>
          <w:p w14:paraId="4FF73C4E"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w:t>
            </w:r>
          </w:p>
        </w:tc>
        <w:tc>
          <w:tcPr>
            <w:tcW w:w="620" w:type="dxa"/>
            <w:tcBorders>
              <w:top w:val="nil"/>
              <w:left w:val="nil"/>
              <w:bottom w:val="nil"/>
              <w:right w:val="nil"/>
            </w:tcBorders>
            <w:hideMark/>
          </w:tcPr>
          <w:p w14:paraId="5AD1635C"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w:t>
            </w:r>
          </w:p>
        </w:tc>
        <w:tc>
          <w:tcPr>
            <w:tcW w:w="759" w:type="dxa"/>
            <w:tcBorders>
              <w:top w:val="nil"/>
              <w:left w:val="nil"/>
              <w:bottom w:val="nil"/>
              <w:right w:val="nil"/>
            </w:tcBorders>
            <w:hideMark/>
          </w:tcPr>
          <w:p w14:paraId="2DDDB74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83</w:t>
            </w:r>
          </w:p>
        </w:tc>
        <w:tc>
          <w:tcPr>
            <w:tcW w:w="720" w:type="dxa"/>
            <w:tcBorders>
              <w:top w:val="nil"/>
              <w:left w:val="nil"/>
              <w:bottom w:val="nil"/>
              <w:right w:val="nil"/>
            </w:tcBorders>
            <w:hideMark/>
          </w:tcPr>
          <w:p w14:paraId="2DCC3BF7"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w:t>
            </w:r>
          </w:p>
        </w:tc>
        <w:tc>
          <w:tcPr>
            <w:tcW w:w="775" w:type="dxa"/>
            <w:tcBorders>
              <w:top w:val="nil"/>
              <w:left w:val="nil"/>
              <w:bottom w:val="nil"/>
              <w:right w:val="nil"/>
            </w:tcBorders>
            <w:hideMark/>
          </w:tcPr>
          <w:p w14:paraId="0F25362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3.36</w:t>
            </w:r>
          </w:p>
        </w:tc>
        <w:tc>
          <w:tcPr>
            <w:tcW w:w="811" w:type="dxa"/>
            <w:gridSpan w:val="2"/>
            <w:tcBorders>
              <w:top w:val="nil"/>
              <w:left w:val="nil"/>
              <w:bottom w:val="nil"/>
              <w:right w:val="nil"/>
            </w:tcBorders>
            <w:hideMark/>
          </w:tcPr>
          <w:p w14:paraId="219BD562"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.660</w:t>
            </w:r>
          </w:p>
        </w:tc>
      </w:tr>
      <w:tr w:rsidR="00F348ED" w:rsidRPr="00F348ED" w14:paraId="6C8A76A1" w14:textId="77777777" w:rsidTr="00B279CE">
        <w:trPr>
          <w:trHeight w:val="686"/>
        </w:trPr>
        <w:tc>
          <w:tcPr>
            <w:tcW w:w="675" w:type="dxa"/>
            <w:tcBorders>
              <w:top w:val="nil"/>
              <w:left w:val="nil"/>
              <w:bottom w:val="nil"/>
              <w:right w:val="nil"/>
            </w:tcBorders>
            <w:hideMark/>
          </w:tcPr>
          <w:p w14:paraId="5FEE1DD3" w14:textId="77777777" w:rsidR="00F348ED" w:rsidRPr="00F348ED" w:rsidRDefault="00F348ED" w:rsidP="00084F2C">
            <w:pPr>
              <w:widowControl/>
              <w:autoSpaceDE/>
              <w:autoSpaceDN/>
              <w:spacing w:before="100" w:beforeAutospacing="1"/>
              <w:jc w:val="center"/>
              <w:rPr>
                <w:rFonts w:eastAsia="MS Mincho"/>
                <w:color w:val="000000"/>
                <w:sz w:val="24"/>
                <w:szCs w:val="24"/>
              </w:rPr>
            </w:pPr>
            <w:r w:rsidRPr="00F348ED">
              <w:rPr>
                <w:rFonts w:eastAsia="MS Mincho"/>
                <w:color w:val="000000"/>
                <w:sz w:val="24"/>
                <w:szCs w:val="24"/>
              </w:rPr>
              <w:t>14</w:t>
            </w:r>
          </w:p>
        </w:tc>
        <w:tc>
          <w:tcPr>
            <w:tcW w:w="3645" w:type="dxa"/>
            <w:tcBorders>
              <w:top w:val="nil"/>
              <w:left w:val="nil"/>
              <w:bottom w:val="nil"/>
              <w:right w:val="nil"/>
            </w:tcBorders>
            <w:hideMark/>
          </w:tcPr>
          <w:p w14:paraId="4CFB04A3" w14:textId="77777777" w:rsidR="00F348ED" w:rsidRPr="00F348ED" w:rsidRDefault="00F348ED" w:rsidP="00084F2C">
            <w:pPr>
              <w:widowControl/>
              <w:autoSpaceDE/>
              <w:autoSpaceDN/>
              <w:spacing w:before="100" w:beforeAutospacing="1"/>
              <w:rPr>
                <w:rFonts w:eastAsia="MS Mincho"/>
                <w:color w:val="000000"/>
                <w:sz w:val="24"/>
                <w:szCs w:val="24"/>
              </w:rPr>
            </w:pPr>
            <w:r w:rsidRPr="00F348ED">
              <w:rPr>
                <w:rFonts w:eastAsia="MS Mincho"/>
                <w:color w:val="000000"/>
                <w:sz w:val="24"/>
                <w:szCs w:val="24"/>
              </w:rPr>
              <w:t>My practical skills make my lessons more engaging and interactive.</w:t>
            </w:r>
          </w:p>
        </w:tc>
        <w:tc>
          <w:tcPr>
            <w:tcW w:w="628" w:type="dxa"/>
            <w:tcBorders>
              <w:top w:val="nil"/>
              <w:left w:val="nil"/>
              <w:bottom w:val="nil"/>
              <w:right w:val="nil"/>
            </w:tcBorders>
            <w:hideMark/>
          </w:tcPr>
          <w:p w14:paraId="54EDCB0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41</w:t>
            </w:r>
          </w:p>
        </w:tc>
        <w:tc>
          <w:tcPr>
            <w:tcW w:w="586" w:type="dxa"/>
            <w:tcBorders>
              <w:top w:val="nil"/>
              <w:left w:val="nil"/>
              <w:bottom w:val="nil"/>
              <w:right w:val="nil"/>
            </w:tcBorders>
            <w:hideMark/>
          </w:tcPr>
          <w:p w14:paraId="41921E36"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40</w:t>
            </w:r>
          </w:p>
        </w:tc>
        <w:tc>
          <w:tcPr>
            <w:tcW w:w="726" w:type="dxa"/>
            <w:tcBorders>
              <w:top w:val="nil"/>
              <w:left w:val="nil"/>
              <w:bottom w:val="nil"/>
              <w:right w:val="nil"/>
            </w:tcBorders>
            <w:hideMark/>
          </w:tcPr>
          <w:p w14:paraId="1D9DDB9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w:t>
            </w:r>
          </w:p>
        </w:tc>
        <w:tc>
          <w:tcPr>
            <w:tcW w:w="620" w:type="dxa"/>
            <w:tcBorders>
              <w:top w:val="nil"/>
              <w:left w:val="nil"/>
              <w:bottom w:val="nil"/>
              <w:right w:val="nil"/>
            </w:tcBorders>
            <w:hideMark/>
          </w:tcPr>
          <w:p w14:paraId="4BFD8E10"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w:t>
            </w:r>
          </w:p>
        </w:tc>
        <w:tc>
          <w:tcPr>
            <w:tcW w:w="759" w:type="dxa"/>
            <w:tcBorders>
              <w:top w:val="nil"/>
              <w:left w:val="nil"/>
              <w:bottom w:val="nil"/>
              <w:right w:val="nil"/>
            </w:tcBorders>
            <w:hideMark/>
          </w:tcPr>
          <w:p w14:paraId="593FD8B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81</w:t>
            </w:r>
          </w:p>
        </w:tc>
        <w:tc>
          <w:tcPr>
            <w:tcW w:w="720" w:type="dxa"/>
            <w:tcBorders>
              <w:top w:val="nil"/>
              <w:left w:val="nil"/>
              <w:bottom w:val="nil"/>
              <w:right w:val="nil"/>
            </w:tcBorders>
            <w:hideMark/>
          </w:tcPr>
          <w:p w14:paraId="016A140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11</w:t>
            </w:r>
          </w:p>
        </w:tc>
        <w:tc>
          <w:tcPr>
            <w:tcW w:w="775" w:type="dxa"/>
            <w:tcBorders>
              <w:top w:val="nil"/>
              <w:left w:val="nil"/>
              <w:bottom w:val="nil"/>
              <w:right w:val="nil"/>
            </w:tcBorders>
            <w:hideMark/>
          </w:tcPr>
          <w:p w14:paraId="5D8F8D83"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3.30</w:t>
            </w:r>
          </w:p>
        </w:tc>
        <w:tc>
          <w:tcPr>
            <w:tcW w:w="811" w:type="dxa"/>
            <w:gridSpan w:val="2"/>
            <w:tcBorders>
              <w:top w:val="nil"/>
              <w:left w:val="nil"/>
              <w:bottom w:val="nil"/>
              <w:right w:val="nil"/>
            </w:tcBorders>
            <w:hideMark/>
          </w:tcPr>
          <w:p w14:paraId="6734B82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.686</w:t>
            </w:r>
          </w:p>
        </w:tc>
      </w:tr>
      <w:tr w:rsidR="00F348ED" w:rsidRPr="00F348ED" w14:paraId="48858FC5" w14:textId="77777777" w:rsidTr="00B279CE">
        <w:trPr>
          <w:gridAfter w:val="1"/>
          <w:wAfter w:w="15" w:type="dxa"/>
          <w:trHeight w:val="521"/>
        </w:trPr>
        <w:tc>
          <w:tcPr>
            <w:tcW w:w="8355" w:type="dxa"/>
            <w:gridSpan w:val="8"/>
            <w:tcBorders>
              <w:top w:val="nil"/>
              <w:left w:val="nil"/>
              <w:bottom w:val="single" w:sz="4" w:space="0" w:color="000000"/>
              <w:right w:val="nil"/>
            </w:tcBorders>
            <w:hideMark/>
          </w:tcPr>
          <w:p w14:paraId="16F5E7FD" w14:textId="77777777" w:rsidR="00F348ED" w:rsidRPr="00F348ED" w:rsidRDefault="00F348ED" w:rsidP="00084F2C">
            <w:pPr>
              <w:widowControl/>
              <w:autoSpaceDE/>
              <w:autoSpaceDN/>
              <w:spacing w:before="100" w:beforeAutospacing="1"/>
              <w:ind w:left="108"/>
              <w:jc w:val="center"/>
              <w:rPr>
                <w:b/>
                <w:color w:val="000000"/>
                <w:sz w:val="24"/>
                <w:szCs w:val="24"/>
              </w:rPr>
            </w:pPr>
            <w:r w:rsidRPr="00F348ED">
              <w:rPr>
                <w:b/>
                <w:bCs/>
                <w:color w:val="000000"/>
                <w:sz w:val="24"/>
                <w:szCs w:val="24"/>
              </w:rPr>
              <w:t xml:space="preserve">Overall Mean of Responses </w:t>
            </w:r>
          </w:p>
        </w:tc>
        <w:tc>
          <w:tcPr>
            <w:tcW w:w="775" w:type="dxa"/>
            <w:tcBorders>
              <w:top w:val="nil"/>
              <w:left w:val="nil"/>
              <w:bottom w:val="single" w:sz="4" w:space="0" w:color="000000"/>
              <w:right w:val="nil"/>
            </w:tcBorders>
            <w:hideMark/>
          </w:tcPr>
          <w:p w14:paraId="72D1A528" w14:textId="77777777" w:rsidR="00F348ED" w:rsidRPr="00F348ED" w:rsidRDefault="00F348ED" w:rsidP="00084F2C">
            <w:pPr>
              <w:widowControl/>
              <w:autoSpaceDE/>
              <w:autoSpaceDN/>
              <w:spacing w:before="100" w:beforeAutospacing="1"/>
              <w:jc w:val="center"/>
              <w:rPr>
                <w:color w:val="000000"/>
                <w:sz w:val="24"/>
                <w:szCs w:val="24"/>
              </w:rPr>
            </w:pPr>
            <w:r w:rsidRPr="00F348ED">
              <w:rPr>
                <w:b/>
                <w:bCs/>
                <w:color w:val="000000"/>
                <w:sz w:val="24"/>
                <w:szCs w:val="24"/>
              </w:rPr>
              <w:t>3.33</w:t>
            </w:r>
          </w:p>
        </w:tc>
        <w:tc>
          <w:tcPr>
            <w:tcW w:w="800" w:type="dxa"/>
            <w:tcBorders>
              <w:top w:val="nil"/>
              <w:left w:val="nil"/>
              <w:bottom w:val="single" w:sz="4" w:space="0" w:color="000000"/>
              <w:right w:val="nil"/>
            </w:tcBorders>
            <w:hideMark/>
          </w:tcPr>
          <w:p w14:paraId="6FB9DDF9" w14:textId="77777777" w:rsidR="00F348ED" w:rsidRPr="00F348ED" w:rsidRDefault="00F348ED" w:rsidP="00084F2C">
            <w:pPr>
              <w:widowControl/>
              <w:autoSpaceDE/>
              <w:autoSpaceDN/>
              <w:spacing w:before="100" w:beforeAutospacing="1"/>
              <w:jc w:val="center"/>
              <w:rPr>
                <w:color w:val="000000"/>
                <w:sz w:val="24"/>
                <w:szCs w:val="24"/>
              </w:rPr>
            </w:pPr>
            <w:r w:rsidRPr="00F348ED">
              <w:rPr>
                <w:b/>
                <w:bCs/>
                <w:color w:val="000000"/>
                <w:sz w:val="24"/>
                <w:szCs w:val="24"/>
              </w:rPr>
              <w:t>.671</w:t>
            </w:r>
          </w:p>
        </w:tc>
      </w:tr>
    </w:tbl>
    <w:p w14:paraId="46E94B36"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 xml:space="preserve">The Table </w:t>
      </w:r>
      <w:r w:rsidR="00B279CE">
        <w:rPr>
          <w:rFonts w:eastAsia="Calibri"/>
          <w:color w:val="000000"/>
          <w:sz w:val="24"/>
          <w:szCs w:val="24"/>
        </w:rPr>
        <w:t>6</w:t>
      </w:r>
      <w:r w:rsidRPr="00F348ED">
        <w:rPr>
          <w:rFonts w:eastAsia="Calibri"/>
          <w:color w:val="000000"/>
          <w:sz w:val="24"/>
          <w:szCs w:val="24"/>
        </w:rPr>
        <w:t xml:space="preserve"> suggests that overall, the responses reveal a generally positive perception of practical competency among teachers, although the degree of confidence and consistency in specific areas varies. The highest-rated item, “I conduct food science </w:t>
      </w:r>
      <w:proofErr w:type="spellStart"/>
      <w:r w:rsidRPr="00F348ED">
        <w:rPr>
          <w:rFonts w:eastAsia="Calibri"/>
          <w:color w:val="000000"/>
          <w:sz w:val="24"/>
          <w:szCs w:val="24"/>
        </w:rPr>
        <w:t>practicals</w:t>
      </w:r>
      <w:proofErr w:type="spellEnd"/>
      <w:r w:rsidRPr="00F348ED">
        <w:rPr>
          <w:rFonts w:eastAsia="Calibri"/>
          <w:color w:val="000000"/>
          <w:sz w:val="24"/>
          <w:szCs w:val="24"/>
        </w:rPr>
        <w:t xml:space="preserve"> regularly” (Mean = 3.50, SD = .623), indicates that the majority of teachers (86 out of 92) integrate hands-on experiences into their instructional practice. This is a critical teaching competency in food science education, where experiential learning enhances student comprehension and skill acquisition. The low standard deviation also suggests that this practice is common and relatively uniform across the sample. Practical regularity can directly contribute to students' ability to apply theoretical knowledge, a key goal of competency-based education.</w:t>
      </w:r>
    </w:p>
    <w:p w14:paraId="7EF73DDD"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 xml:space="preserve">Similarly, a high level of agreement was recorded for the statement, “I use </w:t>
      </w:r>
      <w:proofErr w:type="spellStart"/>
      <w:r w:rsidRPr="00F348ED">
        <w:rPr>
          <w:rFonts w:eastAsia="Calibri"/>
          <w:color w:val="000000"/>
          <w:sz w:val="24"/>
          <w:szCs w:val="24"/>
        </w:rPr>
        <w:t>practicals</w:t>
      </w:r>
      <w:proofErr w:type="spellEnd"/>
      <w:r w:rsidRPr="00F348ED">
        <w:rPr>
          <w:rFonts w:eastAsia="Calibri"/>
          <w:color w:val="000000"/>
          <w:sz w:val="24"/>
          <w:szCs w:val="24"/>
        </w:rPr>
        <w:t xml:space="preserve"> to reinforce theoretical lessons” (Mean = 3.41, SD = .627), showing that most teachers view laboratory work as an essential pedagogical tool rather than a separate activity. This alignment of theory and </w:t>
      </w:r>
      <w:r w:rsidRPr="00F348ED">
        <w:rPr>
          <w:rFonts w:eastAsia="Calibri"/>
          <w:color w:val="000000"/>
          <w:sz w:val="24"/>
          <w:szCs w:val="24"/>
        </w:rPr>
        <w:lastRenderedPageBreak/>
        <w:t>practice is vital in science education, reinforcing the principle that effective teaching in food science requires an integrated approach. Moreover, “Students actively participate in lab-based learning activities” (Mean = 3.36, SD = .660) reflects the active engagement dimension of competency-based teaching. Student participation suggests not only adequate teacher preparation but also successful classroom management and student motivation during practical sessions. However, several items reveal areas of concern. For instance, “I follow proper safety procedures during experiments” has a lower mean (Mean = 3.22, SD = .720) and the highest standard deviation in the table, indicating a broader range of responses and suggesting inconsistencies in safety practices. This could stem from differences in training, availability of safety equipment, or institutional support. In a subject that involves potentially hazardous materials and procedures, lapses or variations in safety standards can undermine both student safety and instructional effectiveness.</w:t>
      </w:r>
    </w:p>
    <w:p w14:paraId="6E0D5306"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Likewise, the statement “I can manage laboratory equipment and resources competently” (Mean = 3.25, SD = .701) suggests that while many teachers feel capable in managing lab infrastructure, a notable minority still experience challenges. Resource constraints, lack of up-to-date equipment, or insufficient training may explain the observed variation. Since effective use and maintenance of laboratory resources are key components of teaching competency in practical subjects, these limitations must be addressed through better institutional support and professional development. The mean score for “I effectively demonstrate laboratory procedures to students” (Mean = 3.29, SD = .682) reinforces the notion that most teachers feel confident in guiding students through hands-on activities. However, the presence of disagreement among a small number of respondents indicates room for capacity building, especially in precision-oriented or technical demonstrations.</w:t>
      </w:r>
    </w:p>
    <w:p w14:paraId="1037043E" w14:textId="77777777" w:rsidR="00F348ED" w:rsidRPr="00F348ED" w:rsidRDefault="00F348ED" w:rsidP="00084F2C">
      <w:pPr>
        <w:widowControl/>
        <w:tabs>
          <w:tab w:val="left" w:pos="2119"/>
        </w:tabs>
        <w:autoSpaceDE/>
        <w:autoSpaceDN/>
        <w:spacing w:before="240"/>
        <w:jc w:val="both"/>
        <w:rPr>
          <w:rFonts w:eastAsia="Calibri"/>
          <w:color w:val="000000"/>
          <w:sz w:val="24"/>
          <w:szCs w:val="24"/>
        </w:rPr>
      </w:pPr>
      <w:r w:rsidRPr="00F348ED">
        <w:rPr>
          <w:rFonts w:eastAsia="Calibri"/>
          <w:color w:val="000000"/>
          <w:sz w:val="24"/>
          <w:szCs w:val="24"/>
        </w:rPr>
        <w:t xml:space="preserve">Overall, the </w:t>
      </w:r>
      <w:r w:rsidRPr="00F348ED">
        <w:rPr>
          <w:rFonts w:eastAsia="Calibri"/>
          <w:bCs/>
          <w:color w:val="000000"/>
          <w:sz w:val="24"/>
          <w:szCs w:val="24"/>
        </w:rPr>
        <w:t>mean of all responses is 3.33 with a standard deviation of 0.671</w:t>
      </w:r>
      <w:r w:rsidRPr="00F348ED">
        <w:rPr>
          <w:rFonts w:eastAsia="Calibri"/>
          <w:color w:val="000000"/>
          <w:sz w:val="24"/>
          <w:szCs w:val="24"/>
        </w:rPr>
        <w:t xml:space="preserve">, signifying a generally positive but moderately varied perception of practical and laboratory competencies among teachers. This variation highlights both strengths and potential weaknesses in the implementation of practical instruction in food science classrooms. Hence, the findings suggest that </w:t>
      </w:r>
      <w:r w:rsidRPr="00F348ED">
        <w:rPr>
          <w:rFonts w:eastAsia="Calibri"/>
          <w:bCs/>
          <w:color w:val="000000"/>
          <w:sz w:val="24"/>
          <w:szCs w:val="24"/>
        </w:rPr>
        <w:t>teachers’ practical and laboratory skills positively influence their teaching competencies</w:t>
      </w:r>
      <w:r w:rsidRPr="00F348ED">
        <w:rPr>
          <w:rFonts w:eastAsia="Calibri"/>
          <w:color w:val="000000"/>
          <w:sz w:val="24"/>
          <w:szCs w:val="24"/>
        </w:rPr>
        <w:t xml:space="preserve">, particularly in enhancing student engagement, linking theory to practice, and managing lab-based instruction. However, inconsistencies in areas such as safety practices and equipment handling signal the need for </w:t>
      </w:r>
      <w:r w:rsidRPr="00F348ED">
        <w:rPr>
          <w:rFonts w:eastAsia="Calibri"/>
          <w:bCs/>
          <w:color w:val="000000"/>
          <w:sz w:val="24"/>
          <w:szCs w:val="24"/>
        </w:rPr>
        <w:t>targeted professional development</w:t>
      </w:r>
      <w:r w:rsidRPr="00F348ED">
        <w:rPr>
          <w:rFonts w:eastAsia="Calibri"/>
          <w:color w:val="000000"/>
          <w:sz w:val="24"/>
          <w:szCs w:val="24"/>
        </w:rPr>
        <w:t xml:space="preserve"> and </w:t>
      </w:r>
      <w:r w:rsidRPr="00F348ED">
        <w:rPr>
          <w:rFonts w:eastAsia="Calibri"/>
          <w:bCs/>
          <w:color w:val="000000"/>
          <w:sz w:val="24"/>
          <w:szCs w:val="24"/>
        </w:rPr>
        <w:t>resource support</w:t>
      </w:r>
      <w:r w:rsidRPr="00F348ED">
        <w:rPr>
          <w:rFonts w:eastAsia="Calibri"/>
          <w:color w:val="000000"/>
          <w:sz w:val="24"/>
          <w:szCs w:val="24"/>
        </w:rPr>
        <w:t xml:space="preserve"> to ensure uniform competency across the teaching force. Thus, while practical skills enhance teaching effectiveness in food science, strengthening these skills systematically can further improve outcomes for both teachers and learners.</w:t>
      </w:r>
    </w:p>
    <w:p w14:paraId="29AA8A21" w14:textId="77777777" w:rsidR="00F348ED" w:rsidRPr="00F348ED" w:rsidRDefault="00F348ED" w:rsidP="00084F2C">
      <w:pPr>
        <w:widowControl/>
        <w:tabs>
          <w:tab w:val="left" w:pos="2119"/>
        </w:tabs>
        <w:autoSpaceDE/>
        <w:autoSpaceDN/>
        <w:spacing w:before="100" w:beforeAutospacing="1"/>
        <w:jc w:val="both"/>
        <w:rPr>
          <w:rFonts w:eastAsia="Calibri"/>
          <w:b/>
          <w:bCs/>
          <w:color w:val="000000"/>
          <w:sz w:val="24"/>
          <w:szCs w:val="24"/>
        </w:rPr>
      </w:pPr>
      <w:r w:rsidRPr="00F348ED">
        <w:rPr>
          <w:rFonts w:eastAsia="Calibri"/>
          <w:color w:val="000000"/>
          <w:sz w:val="24"/>
          <w:szCs w:val="24"/>
        </w:rPr>
        <w:t xml:space="preserve"> </w:t>
      </w:r>
    </w:p>
    <w:p w14:paraId="0E81D208" w14:textId="77777777" w:rsidR="00F348ED" w:rsidRPr="00F348ED" w:rsidRDefault="00F348ED" w:rsidP="00084F2C">
      <w:pPr>
        <w:widowControl/>
        <w:autoSpaceDE/>
        <w:autoSpaceDN/>
        <w:spacing w:before="100" w:beforeAutospacing="1"/>
        <w:ind w:left="540" w:hanging="540"/>
        <w:jc w:val="both"/>
        <w:rPr>
          <w:color w:val="000000"/>
          <w:sz w:val="24"/>
          <w:szCs w:val="24"/>
        </w:rPr>
      </w:pPr>
      <w:r w:rsidRPr="00F348ED">
        <w:rPr>
          <w:rFonts w:eastAsia="Calibri"/>
          <w:b/>
          <w:bCs/>
          <w:color w:val="000000"/>
          <w:sz w:val="24"/>
          <w:szCs w:val="24"/>
        </w:rPr>
        <w:t>Ho</w:t>
      </w:r>
      <w:r w:rsidRPr="00F348ED">
        <w:rPr>
          <w:rFonts w:eastAsia="Calibri"/>
          <w:b/>
          <w:bCs/>
          <w:color w:val="000000"/>
          <w:sz w:val="24"/>
          <w:szCs w:val="24"/>
          <w:vertAlign w:val="subscript"/>
        </w:rPr>
        <w:t>2</w:t>
      </w:r>
      <w:r w:rsidRPr="00F348ED">
        <w:rPr>
          <w:rFonts w:eastAsia="Calibri"/>
          <w:b/>
          <w:bCs/>
          <w:color w:val="000000"/>
          <w:sz w:val="24"/>
          <w:szCs w:val="24"/>
        </w:rPr>
        <w:t xml:space="preserve">: </w:t>
      </w:r>
      <w:r w:rsidRPr="00F348ED">
        <w:rPr>
          <w:rFonts w:eastAsia="Calibri"/>
          <w:color w:val="000000"/>
          <w:sz w:val="24"/>
          <w:szCs w:val="24"/>
        </w:rPr>
        <w:t>Teachers’ practical and laboratory skills in food science have no significant influence on their teaching competencies.</w:t>
      </w:r>
    </w:p>
    <w:p w14:paraId="25633FAB" w14:textId="77777777" w:rsidR="00F348ED" w:rsidRPr="00F348ED" w:rsidRDefault="00F348ED" w:rsidP="00084F2C">
      <w:pPr>
        <w:widowControl/>
        <w:autoSpaceDE/>
        <w:autoSpaceDN/>
        <w:spacing w:before="100" w:beforeAutospacing="1"/>
        <w:ind w:left="540" w:hanging="540"/>
        <w:jc w:val="both"/>
        <w:rPr>
          <w:rFonts w:eastAsia="Calibri"/>
          <w:color w:val="000000"/>
          <w:sz w:val="24"/>
          <w:szCs w:val="24"/>
        </w:rPr>
      </w:pPr>
      <w:r w:rsidRPr="00F348ED">
        <w:rPr>
          <w:rFonts w:eastAsia="Calibri"/>
          <w:b/>
          <w:bCs/>
          <w:color w:val="000000"/>
          <w:sz w:val="24"/>
          <w:szCs w:val="24"/>
        </w:rPr>
        <w:t>Ha</w:t>
      </w:r>
      <w:r w:rsidRPr="00F348ED">
        <w:rPr>
          <w:rFonts w:eastAsia="Calibri"/>
          <w:b/>
          <w:bCs/>
          <w:color w:val="000000"/>
          <w:sz w:val="24"/>
          <w:szCs w:val="24"/>
          <w:vertAlign w:val="subscript"/>
        </w:rPr>
        <w:t>2</w:t>
      </w:r>
      <w:r w:rsidRPr="00F348ED">
        <w:rPr>
          <w:rFonts w:eastAsia="Calibri"/>
          <w:b/>
          <w:bCs/>
          <w:color w:val="000000"/>
          <w:sz w:val="24"/>
          <w:szCs w:val="24"/>
        </w:rPr>
        <w:t>:</w:t>
      </w:r>
      <w:r w:rsidRPr="00F348ED">
        <w:rPr>
          <w:rFonts w:eastAsia="Calibri"/>
          <w:color w:val="000000"/>
          <w:sz w:val="24"/>
          <w:szCs w:val="24"/>
        </w:rPr>
        <w:t xml:space="preserve"> Teachers’ practical and laboratory skills in food science have a significant influence on their teaching competencies.</w:t>
      </w:r>
    </w:p>
    <w:p w14:paraId="6B8E56E3" w14:textId="77777777" w:rsidR="00F348ED" w:rsidRPr="00F348ED" w:rsidRDefault="00F348ED" w:rsidP="00B279CE">
      <w:pPr>
        <w:widowControl/>
        <w:adjustRightInd w:val="0"/>
        <w:spacing w:before="100" w:beforeAutospacing="1"/>
        <w:rPr>
          <w:rFonts w:eastAsia="Calibri"/>
          <w:b/>
          <w:color w:val="000000"/>
          <w:sz w:val="24"/>
          <w:szCs w:val="24"/>
        </w:rPr>
      </w:pPr>
      <w:r w:rsidRPr="00F348ED">
        <w:rPr>
          <w:rFonts w:eastAsia="Calibri"/>
          <w:b/>
          <w:color w:val="000000"/>
          <w:sz w:val="24"/>
          <w:szCs w:val="24"/>
        </w:rPr>
        <w:t xml:space="preserve">Table </w:t>
      </w:r>
      <w:r w:rsidR="00B279CE">
        <w:rPr>
          <w:rFonts w:eastAsia="Calibri"/>
          <w:b/>
          <w:color w:val="000000"/>
          <w:sz w:val="24"/>
          <w:szCs w:val="24"/>
        </w:rPr>
        <w:t xml:space="preserve">7: </w:t>
      </w:r>
      <w:r w:rsidRPr="00F348ED">
        <w:rPr>
          <w:rFonts w:eastAsia="Calibri"/>
          <w:b/>
          <w:bCs/>
          <w:color w:val="000000"/>
          <w:sz w:val="24"/>
          <w:szCs w:val="24"/>
        </w:rPr>
        <w:t xml:space="preserve">Model Summary on </w:t>
      </w:r>
      <w:r w:rsidRPr="00F348ED">
        <w:rPr>
          <w:rFonts w:eastAsia="Calibri"/>
          <w:b/>
          <w:color w:val="000000"/>
          <w:sz w:val="24"/>
          <w:szCs w:val="24"/>
        </w:rPr>
        <w:t xml:space="preserve">Teachers’ Practical and Laboratory Skills in Food Science and Their Teaching Competencies </w:t>
      </w:r>
    </w:p>
    <w:tbl>
      <w:tblPr>
        <w:tblW w:w="8879"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06"/>
        <w:gridCol w:w="1557"/>
        <w:gridCol w:w="1649"/>
        <w:gridCol w:w="2230"/>
        <w:gridCol w:w="2237"/>
      </w:tblGrid>
      <w:tr w:rsidR="00F348ED" w:rsidRPr="00F348ED" w14:paraId="41200721" w14:textId="77777777" w:rsidTr="009A563E">
        <w:trPr>
          <w:cantSplit/>
          <w:trHeight w:val="633"/>
        </w:trPr>
        <w:tc>
          <w:tcPr>
            <w:tcW w:w="1206" w:type="dxa"/>
            <w:tcBorders>
              <w:top w:val="single" w:sz="4" w:space="0" w:color="auto"/>
              <w:left w:val="nil"/>
              <w:bottom w:val="single" w:sz="8" w:space="0" w:color="152935"/>
              <w:right w:val="nil"/>
            </w:tcBorders>
            <w:shd w:val="clear" w:color="auto" w:fill="FFFFFF"/>
            <w:vAlign w:val="bottom"/>
            <w:hideMark/>
          </w:tcPr>
          <w:p w14:paraId="4EA84584"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557" w:type="dxa"/>
            <w:tcBorders>
              <w:top w:val="single" w:sz="4" w:space="0" w:color="auto"/>
              <w:left w:val="nil"/>
              <w:bottom w:val="single" w:sz="8" w:space="0" w:color="152935"/>
              <w:right w:val="single" w:sz="8" w:space="0" w:color="E0E0E0"/>
            </w:tcBorders>
            <w:shd w:val="clear" w:color="auto" w:fill="FFFFFF"/>
            <w:vAlign w:val="bottom"/>
            <w:hideMark/>
          </w:tcPr>
          <w:p w14:paraId="287FA6F5"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w:t>
            </w:r>
          </w:p>
        </w:tc>
        <w:tc>
          <w:tcPr>
            <w:tcW w:w="1649" w:type="dxa"/>
            <w:tcBorders>
              <w:top w:val="single" w:sz="4" w:space="0" w:color="auto"/>
              <w:left w:val="nil"/>
              <w:bottom w:val="single" w:sz="8" w:space="0" w:color="152935"/>
              <w:right w:val="single" w:sz="8" w:space="0" w:color="E0E0E0"/>
            </w:tcBorders>
            <w:shd w:val="clear" w:color="auto" w:fill="FFFFFF"/>
            <w:vAlign w:val="bottom"/>
            <w:hideMark/>
          </w:tcPr>
          <w:p w14:paraId="4434BBDA"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R Square</w:t>
            </w:r>
          </w:p>
        </w:tc>
        <w:tc>
          <w:tcPr>
            <w:tcW w:w="2230" w:type="dxa"/>
            <w:tcBorders>
              <w:top w:val="single" w:sz="4" w:space="0" w:color="auto"/>
              <w:left w:val="nil"/>
              <w:bottom w:val="single" w:sz="8" w:space="0" w:color="152935"/>
              <w:right w:val="single" w:sz="8" w:space="0" w:color="E0E0E0"/>
            </w:tcBorders>
            <w:shd w:val="clear" w:color="auto" w:fill="FFFFFF"/>
            <w:vAlign w:val="bottom"/>
            <w:hideMark/>
          </w:tcPr>
          <w:p w14:paraId="36177289"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Adjusted R Square</w:t>
            </w:r>
          </w:p>
        </w:tc>
        <w:tc>
          <w:tcPr>
            <w:tcW w:w="2234" w:type="dxa"/>
            <w:tcBorders>
              <w:top w:val="single" w:sz="4" w:space="0" w:color="auto"/>
              <w:left w:val="nil"/>
              <w:bottom w:val="single" w:sz="8" w:space="0" w:color="152935"/>
              <w:right w:val="nil"/>
            </w:tcBorders>
            <w:shd w:val="clear" w:color="auto" w:fill="FFFFFF"/>
            <w:vAlign w:val="bottom"/>
            <w:hideMark/>
          </w:tcPr>
          <w:p w14:paraId="3C91D18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Std. Error of the Estimate</w:t>
            </w:r>
          </w:p>
        </w:tc>
      </w:tr>
      <w:tr w:rsidR="00F348ED" w:rsidRPr="00F348ED" w14:paraId="43916221" w14:textId="77777777" w:rsidTr="009A563E">
        <w:trPr>
          <w:cantSplit/>
          <w:trHeight w:val="641"/>
        </w:trPr>
        <w:tc>
          <w:tcPr>
            <w:tcW w:w="1206" w:type="dxa"/>
            <w:tcBorders>
              <w:top w:val="single" w:sz="8" w:space="0" w:color="152935"/>
              <w:left w:val="nil"/>
              <w:bottom w:val="single" w:sz="8" w:space="0" w:color="152935"/>
              <w:right w:val="nil"/>
            </w:tcBorders>
            <w:shd w:val="clear" w:color="auto" w:fill="E0E0E0"/>
            <w:hideMark/>
          </w:tcPr>
          <w:p w14:paraId="04BE43B9"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557" w:type="dxa"/>
            <w:tcBorders>
              <w:top w:val="single" w:sz="8" w:space="0" w:color="152935"/>
              <w:left w:val="nil"/>
              <w:bottom w:val="single" w:sz="8" w:space="0" w:color="152935"/>
              <w:right w:val="single" w:sz="8" w:space="0" w:color="E0E0E0"/>
            </w:tcBorders>
            <w:shd w:val="clear" w:color="auto" w:fill="FFFFFF"/>
            <w:hideMark/>
          </w:tcPr>
          <w:p w14:paraId="1238D5AB"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.411</w:t>
            </w:r>
            <w:r w:rsidRPr="00F348ED">
              <w:rPr>
                <w:rFonts w:eastAsia="Calibri"/>
                <w:color w:val="000000"/>
                <w:sz w:val="24"/>
                <w:szCs w:val="24"/>
                <w:vertAlign w:val="superscript"/>
              </w:rPr>
              <w:t>a</w:t>
            </w:r>
          </w:p>
        </w:tc>
        <w:tc>
          <w:tcPr>
            <w:tcW w:w="1649" w:type="dxa"/>
            <w:tcBorders>
              <w:top w:val="single" w:sz="8" w:space="0" w:color="152935"/>
              <w:left w:val="nil"/>
              <w:bottom w:val="single" w:sz="8" w:space="0" w:color="152935"/>
              <w:right w:val="single" w:sz="8" w:space="0" w:color="E0E0E0"/>
            </w:tcBorders>
            <w:shd w:val="clear" w:color="auto" w:fill="FFFFFF"/>
            <w:hideMark/>
          </w:tcPr>
          <w:p w14:paraId="2969C336"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.169</w:t>
            </w:r>
          </w:p>
        </w:tc>
        <w:tc>
          <w:tcPr>
            <w:tcW w:w="2230" w:type="dxa"/>
            <w:tcBorders>
              <w:top w:val="single" w:sz="8" w:space="0" w:color="152935"/>
              <w:left w:val="nil"/>
              <w:bottom w:val="single" w:sz="8" w:space="0" w:color="152935"/>
              <w:right w:val="single" w:sz="8" w:space="0" w:color="E0E0E0"/>
            </w:tcBorders>
            <w:shd w:val="clear" w:color="auto" w:fill="FFFFFF"/>
            <w:hideMark/>
          </w:tcPr>
          <w:p w14:paraId="5972AA09"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.167</w:t>
            </w:r>
          </w:p>
        </w:tc>
        <w:tc>
          <w:tcPr>
            <w:tcW w:w="2234" w:type="dxa"/>
            <w:tcBorders>
              <w:top w:val="single" w:sz="8" w:space="0" w:color="152935"/>
              <w:left w:val="nil"/>
              <w:bottom w:val="single" w:sz="8" w:space="0" w:color="152935"/>
              <w:right w:val="nil"/>
            </w:tcBorders>
            <w:shd w:val="clear" w:color="auto" w:fill="FFFFFF"/>
            <w:hideMark/>
          </w:tcPr>
          <w:p w14:paraId="1EF1F6AF" w14:textId="77777777" w:rsidR="00F348ED" w:rsidRPr="00F348ED" w:rsidRDefault="00F348ED" w:rsidP="00084F2C">
            <w:pPr>
              <w:widowControl/>
              <w:adjustRightInd w:val="0"/>
              <w:spacing w:before="100" w:beforeAutospacing="1"/>
              <w:ind w:left="60" w:right="60"/>
              <w:jc w:val="center"/>
              <w:rPr>
                <w:rFonts w:eastAsia="Calibri"/>
                <w:color w:val="010205"/>
                <w:sz w:val="24"/>
                <w:szCs w:val="24"/>
              </w:rPr>
            </w:pPr>
            <w:r w:rsidRPr="00F348ED">
              <w:rPr>
                <w:rFonts w:eastAsia="Calibri"/>
                <w:color w:val="000000"/>
                <w:sz w:val="24"/>
                <w:szCs w:val="24"/>
              </w:rPr>
              <w:t>2.834</w:t>
            </w:r>
          </w:p>
        </w:tc>
      </w:tr>
      <w:tr w:rsidR="00F348ED" w:rsidRPr="00F348ED" w14:paraId="13BB7968" w14:textId="77777777" w:rsidTr="009A563E">
        <w:trPr>
          <w:cantSplit/>
          <w:trHeight w:val="315"/>
        </w:trPr>
        <w:tc>
          <w:tcPr>
            <w:tcW w:w="8879" w:type="dxa"/>
            <w:gridSpan w:val="5"/>
            <w:tcBorders>
              <w:top w:val="nil"/>
              <w:left w:val="nil"/>
              <w:bottom w:val="nil"/>
              <w:right w:val="nil"/>
            </w:tcBorders>
            <w:shd w:val="clear" w:color="auto" w:fill="FFFFFF"/>
            <w:hideMark/>
          </w:tcPr>
          <w:p w14:paraId="3B6E5B90"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Predictors: (Constant), Teachers’ Practical and Laboratory Skills in Food Science</w:t>
            </w:r>
          </w:p>
        </w:tc>
      </w:tr>
    </w:tbl>
    <w:p w14:paraId="1A2D594F"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lastRenderedPageBreak/>
        <w:t xml:space="preserve">Table </w:t>
      </w:r>
      <w:r w:rsidR="00B279CE">
        <w:rPr>
          <w:rFonts w:eastAsia="Calibri"/>
          <w:color w:val="000000"/>
          <w:sz w:val="24"/>
          <w:szCs w:val="24"/>
        </w:rPr>
        <w:t>7</w:t>
      </w:r>
      <w:r w:rsidRPr="00F348ED">
        <w:rPr>
          <w:rFonts w:eastAsia="Calibri"/>
          <w:color w:val="000000"/>
          <w:sz w:val="24"/>
          <w:szCs w:val="24"/>
        </w:rPr>
        <w:t xml:space="preserve"> shows a correlation coefficient (R) of 0.411, which indicates a moderate positive relationship between teachers’ practical and laboratory skills and their teaching competencies. The R Square value of 0.169 suggests that about 16.9% of the variance in teaching competencies is explained by these practical skills. Although this percentage is smaller than what might be seen with content knowledge, it still represents a meaningful contribution to understanding what influences teaching effectiveness. The adjusted R Square of 0.167 confirms the model's explanatory power when accounting for the number of predictors and sample size, and the standard error of estimate (2.834) suggests a reasonable level of accuracy in predictions.</w:t>
      </w:r>
    </w:p>
    <w:p w14:paraId="58C7ECF6" w14:textId="77777777" w:rsidR="00F348ED" w:rsidRPr="00B279CE" w:rsidRDefault="00B279CE" w:rsidP="00B279CE">
      <w:pPr>
        <w:widowControl/>
        <w:adjustRightInd w:val="0"/>
        <w:spacing w:before="100" w:beforeAutospacing="1"/>
        <w:jc w:val="both"/>
        <w:rPr>
          <w:rFonts w:eastAsia="Calibri"/>
          <w:color w:val="000000"/>
          <w:sz w:val="24"/>
          <w:szCs w:val="24"/>
        </w:rPr>
      </w:pPr>
      <w:r>
        <w:rPr>
          <w:rFonts w:eastAsia="Calibri"/>
          <w:b/>
          <w:color w:val="000000"/>
          <w:sz w:val="24"/>
          <w:szCs w:val="24"/>
        </w:rPr>
        <w:t xml:space="preserve">Table 8: </w:t>
      </w:r>
      <w:r w:rsidR="00F348ED" w:rsidRPr="00F348ED">
        <w:rPr>
          <w:rFonts w:eastAsia="Calibri"/>
          <w:b/>
          <w:bCs/>
          <w:color w:val="000000"/>
          <w:sz w:val="24"/>
          <w:szCs w:val="24"/>
        </w:rPr>
        <w:t xml:space="preserve">ANOVA on </w:t>
      </w:r>
      <w:r w:rsidR="00F348ED" w:rsidRPr="00F348ED">
        <w:rPr>
          <w:rFonts w:eastAsia="Calibri"/>
          <w:b/>
          <w:color w:val="000000"/>
          <w:sz w:val="24"/>
          <w:szCs w:val="24"/>
        </w:rPr>
        <w:t xml:space="preserve">Teachers’ Practical and Laboratory Skills in Food Science and Their Teaching Competencies  </w:t>
      </w:r>
    </w:p>
    <w:tbl>
      <w:tblPr>
        <w:tblW w:w="874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409"/>
        <w:gridCol w:w="1612"/>
        <w:gridCol w:w="1124"/>
        <w:gridCol w:w="1544"/>
        <w:gridCol w:w="1124"/>
        <w:gridCol w:w="1125"/>
      </w:tblGrid>
      <w:tr w:rsidR="00F348ED" w:rsidRPr="00F348ED" w14:paraId="0EFE68C5" w14:textId="77777777" w:rsidTr="00B24650">
        <w:trPr>
          <w:cantSplit/>
          <w:trHeight w:val="601"/>
        </w:trPr>
        <w:tc>
          <w:tcPr>
            <w:tcW w:w="2216" w:type="dxa"/>
            <w:gridSpan w:val="2"/>
            <w:tcBorders>
              <w:top w:val="single" w:sz="4" w:space="0" w:color="auto"/>
              <w:left w:val="nil"/>
              <w:bottom w:val="single" w:sz="8" w:space="0" w:color="152935"/>
              <w:right w:val="nil"/>
            </w:tcBorders>
            <w:shd w:val="clear" w:color="auto" w:fill="FFFFFF"/>
            <w:vAlign w:val="bottom"/>
            <w:hideMark/>
          </w:tcPr>
          <w:p w14:paraId="08DA7B3A"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Model</w:t>
            </w:r>
          </w:p>
        </w:tc>
        <w:tc>
          <w:tcPr>
            <w:tcW w:w="1612" w:type="dxa"/>
            <w:tcBorders>
              <w:top w:val="single" w:sz="4" w:space="0" w:color="auto"/>
              <w:left w:val="nil"/>
              <w:bottom w:val="single" w:sz="8" w:space="0" w:color="152935"/>
              <w:right w:val="single" w:sz="8" w:space="0" w:color="E0E0E0"/>
            </w:tcBorders>
            <w:shd w:val="clear" w:color="auto" w:fill="FFFFFF"/>
            <w:vAlign w:val="bottom"/>
            <w:hideMark/>
          </w:tcPr>
          <w:p w14:paraId="40B61C1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Sum of Squares</w:t>
            </w:r>
          </w:p>
        </w:tc>
        <w:tc>
          <w:tcPr>
            <w:tcW w:w="1124" w:type="dxa"/>
            <w:tcBorders>
              <w:top w:val="single" w:sz="4" w:space="0" w:color="auto"/>
              <w:left w:val="nil"/>
              <w:bottom w:val="single" w:sz="8" w:space="0" w:color="152935"/>
              <w:right w:val="single" w:sz="8" w:space="0" w:color="E0E0E0"/>
            </w:tcBorders>
            <w:shd w:val="clear" w:color="auto" w:fill="FFFFFF"/>
            <w:vAlign w:val="bottom"/>
            <w:hideMark/>
          </w:tcPr>
          <w:p w14:paraId="256064CA"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df</w:t>
            </w:r>
          </w:p>
        </w:tc>
        <w:tc>
          <w:tcPr>
            <w:tcW w:w="1544" w:type="dxa"/>
            <w:tcBorders>
              <w:top w:val="single" w:sz="4" w:space="0" w:color="auto"/>
              <w:left w:val="nil"/>
              <w:bottom w:val="single" w:sz="8" w:space="0" w:color="152935"/>
              <w:right w:val="single" w:sz="8" w:space="0" w:color="E0E0E0"/>
            </w:tcBorders>
            <w:shd w:val="clear" w:color="auto" w:fill="FFFFFF"/>
            <w:vAlign w:val="bottom"/>
            <w:hideMark/>
          </w:tcPr>
          <w:p w14:paraId="7E076954"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Mean Square</w:t>
            </w:r>
          </w:p>
        </w:tc>
        <w:tc>
          <w:tcPr>
            <w:tcW w:w="1124" w:type="dxa"/>
            <w:tcBorders>
              <w:top w:val="single" w:sz="4" w:space="0" w:color="auto"/>
              <w:left w:val="nil"/>
              <w:bottom w:val="single" w:sz="8" w:space="0" w:color="152935"/>
              <w:right w:val="single" w:sz="8" w:space="0" w:color="E0E0E0"/>
            </w:tcBorders>
            <w:shd w:val="clear" w:color="auto" w:fill="FFFFFF"/>
            <w:vAlign w:val="bottom"/>
            <w:hideMark/>
          </w:tcPr>
          <w:p w14:paraId="7D60B472"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F</w:t>
            </w:r>
          </w:p>
        </w:tc>
        <w:tc>
          <w:tcPr>
            <w:tcW w:w="1125" w:type="dxa"/>
            <w:tcBorders>
              <w:top w:val="single" w:sz="4" w:space="0" w:color="auto"/>
              <w:left w:val="nil"/>
              <w:bottom w:val="single" w:sz="8" w:space="0" w:color="152935"/>
              <w:right w:val="nil"/>
            </w:tcBorders>
            <w:shd w:val="clear" w:color="auto" w:fill="FFFFFF"/>
            <w:vAlign w:val="bottom"/>
            <w:hideMark/>
          </w:tcPr>
          <w:p w14:paraId="01F78037"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Sig.</w:t>
            </w:r>
          </w:p>
        </w:tc>
      </w:tr>
      <w:tr w:rsidR="00F348ED" w:rsidRPr="00F348ED" w14:paraId="422F4D73" w14:textId="77777777" w:rsidTr="00F348ED">
        <w:trPr>
          <w:cantSplit/>
          <w:trHeight w:val="475"/>
        </w:trPr>
        <w:tc>
          <w:tcPr>
            <w:tcW w:w="807" w:type="dxa"/>
            <w:vMerge w:val="restart"/>
            <w:tcBorders>
              <w:top w:val="nil"/>
              <w:left w:val="nil"/>
              <w:bottom w:val="single" w:sz="8" w:space="0" w:color="152935"/>
              <w:right w:val="nil"/>
            </w:tcBorders>
            <w:shd w:val="clear" w:color="auto" w:fill="E0E0E0"/>
            <w:hideMark/>
          </w:tcPr>
          <w:p w14:paraId="5105F62E" w14:textId="77777777" w:rsidR="00F348ED" w:rsidRPr="00F348ED" w:rsidRDefault="00F348ED" w:rsidP="00084F2C">
            <w:pPr>
              <w:widowControl/>
              <w:adjustRightInd w:val="0"/>
              <w:spacing w:before="100" w:beforeAutospacing="1"/>
              <w:ind w:left="60" w:right="60"/>
              <w:jc w:val="center"/>
              <w:rPr>
                <w:rFonts w:eastAsia="Calibri"/>
                <w:color w:val="264A60"/>
                <w:sz w:val="24"/>
                <w:szCs w:val="24"/>
              </w:rPr>
            </w:pPr>
            <w:r w:rsidRPr="00F348ED">
              <w:rPr>
                <w:rFonts w:eastAsia="Calibri"/>
                <w:color w:val="000000"/>
                <w:sz w:val="24"/>
                <w:szCs w:val="24"/>
              </w:rPr>
              <w:t>1</w:t>
            </w:r>
          </w:p>
        </w:tc>
        <w:tc>
          <w:tcPr>
            <w:tcW w:w="1409" w:type="dxa"/>
            <w:tcBorders>
              <w:top w:val="single" w:sz="8" w:space="0" w:color="152935"/>
              <w:left w:val="nil"/>
              <w:bottom w:val="single" w:sz="8" w:space="0" w:color="AEAEAE"/>
              <w:right w:val="nil"/>
            </w:tcBorders>
            <w:shd w:val="clear" w:color="auto" w:fill="E0E0E0"/>
            <w:hideMark/>
          </w:tcPr>
          <w:p w14:paraId="6CC21E6C"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Regression</w:t>
            </w:r>
          </w:p>
        </w:tc>
        <w:tc>
          <w:tcPr>
            <w:tcW w:w="1612" w:type="dxa"/>
            <w:tcBorders>
              <w:top w:val="single" w:sz="8" w:space="0" w:color="152935"/>
              <w:left w:val="nil"/>
              <w:bottom w:val="single" w:sz="8" w:space="0" w:color="AEAEAE"/>
              <w:right w:val="single" w:sz="8" w:space="0" w:color="E0E0E0"/>
            </w:tcBorders>
            <w:shd w:val="clear" w:color="auto" w:fill="FFFFFF"/>
            <w:hideMark/>
          </w:tcPr>
          <w:p w14:paraId="6E15FBA9"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264.317</w:t>
            </w:r>
          </w:p>
        </w:tc>
        <w:tc>
          <w:tcPr>
            <w:tcW w:w="1124" w:type="dxa"/>
            <w:tcBorders>
              <w:top w:val="single" w:sz="8" w:space="0" w:color="152935"/>
              <w:left w:val="nil"/>
              <w:bottom w:val="single" w:sz="8" w:space="0" w:color="AEAEAE"/>
              <w:right w:val="single" w:sz="8" w:space="0" w:color="E0E0E0"/>
            </w:tcBorders>
            <w:shd w:val="clear" w:color="auto" w:fill="FFFFFF"/>
            <w:hideMark/>
          </w:tcPr>
          <w:p w14:paraId="5C6467EC"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w:t>
            </w:r>
          </w:p>
        </w:tc>
        <w:tc>
          <w:tcPr>
            <w:tcW w:w="1544" w:type="dxa"/>
            <w:tcBorders>
              <w:top w:val="single" w:sz="8" w:space="0" w:color="152935"/>
              <w:left w:val="nil"/>
              <w:bottom w:val="single" w:sz="8" w:space="0" w:color="AEAEAE"/>
              <w:right w:val="single" w:sz="8" w:space="0" w:color="E0E0E0"/>
            </w:tcBorders>
            <w:shd w:val="clear" w:color="auto" w:fill="FFFFFF"/>
            <w:hideMark/>
          </w:tcPr>
          <w:p w14:paraId="12F3A75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264.317</w:t>
            </w:r>
          </w:p>
        </w:tc>
        <w:tc>
          <w:tcPr>
            <w:tcW w:w="1124" w:type="dxa"/>
            <w:tcBorders>
              <w:top w:val="single" w:sz="8" w:space="0" w:color="152935"/>
              <w:left w:val="nil"/>
              <w:bottom w:val="single" w:sz="8" w:space="0" w:color="AEAEAE"/>
              <w:right w:val="single" w:sz="8" w:space="0" w:color="E0E0E0"/>
            </w:tcBorders>
            <w:shd w:val="clear" w:color="auto" w:fill="FFFFFF"/>
            <w:hideMark/>
          </w:tcPr>
          <w:p w14:paraId="2868AACD"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31.044</w:t>
            </w:r>
          </w:p>
        </w:tc>
        <w:tc>
          <w:tcPr>
            <w:tcW w:w="1125" w:type="dxa"/>
            <w:tcBorders>
              <w:top w:val="single" w:sz="8" w:space="0" w:color="152935"/>
              <w:left w:val="nil"/>
              <w:bottom w:val="single" w:sz="8" w:space="0" w:color="AEAEAE"/>
              <w:right w:val="nil"/>
            </w:tcBorders>
            <w:shd w:val="clear" w:color="auto" w:fill="FFFFFF"/>
            <w:hideMark/>
          </w:tcPr>
          <w:p w14:paraId="526D324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.000</w:t>
            </w:r>
            <w:r w:rsidRPr="00F348ED">
              <w:rPr>
                <w:color w:val="000000"/>
                <w:sz w:val="24"/>
                <w:szCs w:val="24"/>
                <w:vertAlign w:val="superscript"/>
              </w:rPr>
              <w:t>b</w:t>
            </w:r>
          </w:p>
        </w:tc>
      </w:tr>
      <w:tr w:rsidR="00F348ED" w:rsidRPr="00F348ED" w14:paraId="6B335FE6" w14:textId="77777777" w:rsidTr="00F348ED">
        <w:trPr>
          <w:cantSplit/>
          <w:trHeight w:val="521"/>
        </w:trPr>
        <w:tc>
          <w:tcPr>
            <w:tcW w:w="8745" w:type="dxa"/>
            <w:vMerge/>
            <w:tcBorders>
              <w:top w:val="nil"/>
              <w:left w:val="nil"/>
              <w:bottom w:val="single" w:sz="8" w:space="0" w:color="152935"/>
              <w:right w:val="nil"/>
            </w:tcBorders>
            <w:vAlign w:val="center"/>
            <w:hideMark/>
          </w:tcPr>
          <w:p w14:paraId="2BBB0554" w14:textId="77777777" w:rsidR="00F348ED" w:rsidRPr="00F348ED" w:rsidRDefault="00F348ED" w:rsidP="00084F2C">
            <w:pPr>
              <w:widowControl/>
              <w:autoSpaceDE/>
              <w:autoSpaceDN/>
              <w:rPr>
                <w:rFonts w:eastAsia="Calibri"/>
                <w:color w:val="264A60"/>
                <w:sz w:val="24"/>
                <w:szCs w:val="24"/>
              </w:rPr>
            </w:pPr>
          </w:p>
        </w:tc>
        <w:tc>
          <w:tcPr>
            <w:tcW w:w="1409" w:type="dxa"/>
            <w:tcBorders>
              <w:top w:val="single" w:sz="8" w:space="0" w:color="AEAEAE"/>
              <w:left w:val="nil"/>
              <w:bottom w:val="single" w:sz="8" w:space="0" w:color="AEAEAE"/>
              <w:right w:val="nil"/>
            </w:tcBorders>
            <w:shd w:val="clear" w:color="auto" w:fill="E0E0E0"/>
            <w:hideMark/>
          </w:tcPr>
          <w:p w14:paraId="40C8251B"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Residual</w:t>
            </w:r>
          </w:p>
        </w:tc>
        <w:tc>
          <w:tcPr>
            <w:tcW w:w="1612" w:type="dxa"/>
            <w:tcBorders>
              <w:top w:val="single" w:sz="8" w:space="0" w:color="AEAEAE"/>
              <w:left w:val="nil"/>
              <w:bottom w:val="single" w:sz="8" w:space="0" w:color="AEAEAE"/>
              <w:right w:val="single" w:sz="8" w:space="0" w:color="E0E0E0"/>
            </w:tcBorders>
            <w:shd w:val="clear" w:color="auto" w:fill="FFFFFF"/>
            <w:hideMark/>
          </w:tcPr>
          <w:p w14:paraId="5944627C"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767.040</w:t>
            </w:r>
          </w:p>
        </w:tc>
        <w:tc>
          <w:tcPr>
            <w:tcW w:w="1124" w:type="dxa"/>
            <w:tcBorders>
              <w:top w:val="single" w:sz="8" w:space="0" w:color="AEAEAE"/>
              <w:left w:val="nil"/>
              <w:bottom w:val="single" w:sz="8" w:space="0" w:color="AEAEAE"/>
              <w:right w:val="single" w:sz="8" w:space="0" w:color="E0E0E0"/>
            </w:tcBorders>
            <w:shd w:val="clear" w:color="auto" w:fill="FFFFFF"/>
            <w:hideMark/>
          </w:tcPr>
          <w:p w14:paraId="2F831B8B"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90</w:t>
            </w:r>
          </w:p>
        </w:tc>
        <w:tc>
          <w:tcPr>
            <w:tcW w:w="1544" w:type="dxa"/>
            <w:tcBorders>
              <w:top w:val="single" w:sz="8" w:space="0" w:color="AEAEAE"/>
              <w:left w:val="nil"/>
              <w:bottom w:val="single" w:sz="8" w:space="0" w:color="AEAEAE"/>
              <w:right w:val="single" w:sz="8" w:space="0" w:color="E0E0E0"/>
            </w:tcBorders>
            <w:shd w:val="clear" w:color="auto" w:fill="FFFFFF"/>
            <w:hideMark/>
          </w:tcPr>
          <w:p w14:paraId="53C47DE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8.523</w:t>
            </w:r>
          </w:p>
        </w:tc>
        <w:tc>
          <w:tcPr>
            <w:tcW w:w="1124" w:type="dxa"/>
            <w:tcBorders>
              <w:top w:val="single" w:sz="8" w:space="0" w:color="AEAEAE"/>
              <w:left w:val="nil"/>
              <w:bottom w:val="single" w:sz="8" w:space="0" w:color="AEAEAE"/>
              <w:right w:val="single" w:sz="8" w:space="0" w:color="E0E0E0"/>
            </w:tcBorders>
            <w:shd w:val="clear" w:color="auto" w:fill="FFFFFF"/>
          </w:tcPr>
          <w:p w14:paraId="34201CE1"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25" w:type="dxa"/>
            <w:tcBorders>
              <w:top w:val="single" w:sz="8" w:space="0" w:color="AEAEAE"/>
              <w:left w:val="nil"/>
              <w:bottom w:val="single" w:sz="8" w:space="0" w:color="AEAEAE"/>
              <w:right w:val="nil"/>
            </w:tcBorders>
            <w:shd w:val="clear" w:color="auto" w:fill="FFFFFF"/>
          </w:tcPr>
          <w:p w14:paraId="4F00C286"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44B43C6A" w14:textId="77777777" w:rsidTr="00F348ED">
        <w:trPr>
          <w:cantSplit/>
          <w:trHeight w:val="497"/>
        </w:trPr>
        <w:tc>
          <w:tcPr>
            <w:tcW w:w="8745" w:type="dxa"/>
            <w:vMerge/>
            <w:tcBorders>
              <w:top w:val="nil"/>
              <w:left w:val="nil"/>
              <w:bottom w:val="single" w:sz="8" w:space="0" w:color="152935"/>
              <w:right w:val="nil"/>
            </w:tcBorders>
            <w:vAlign w:val="center"/>
            <w:hideMark/>
          </w:tcPr>
          <w:p w14:paraId="2CF2F6DD" w14:textId="77777777" w:rsidR="00F348ED" w:rsidRPr="00F348ED" w:rsidRDefault="00F348ED" w:rsidP="00084F2C">
            <w:pPr>
              <w:widowControl/>
              <w:autoSpaceDE/>
              <w:autoSpaceDN/>
              <w:rPr>
                <w:rFonts w:eastAsia="Calibri"/>
                <w:color w:val="264A60"/>
                <w:sz w:val="24"/>
                <w:szCs w:val="24"/>
              </w:rPr>
            </w:pPr>
          </w:p>
        </w:tc>
        <w:tc>
          <w:tcPr>
            <w:tcW w:w="1409" w:type="dxa"/>
            <w:tcBorders>
              <w:top w:val="single" w:sz="8" w:space="0" w:color="AEAEAE"/>
              <w:left w:val="nil"/>
              <w:bottom w:val="single" w:sz="8" w:space="0" w:color="152935"/>
              <w:right w:val="nil"/>
            </w:tcBorders>
            <w:shd w:val="clear" w:color="auto" w:fill="E0E0E0"/>
            <w:hideMark/>
          </w:tcPr>
          <w:p w14:paraId="7FF53CF2" w14:textId="77777777" w:rsidR="00F348ED" w:rsidRPr="00F348ED" w:rsidRDefault="00F348ED" w:rsidP="00084F2C">
            <w:pPr>
              <w:widowControl/>
              <w:adjustRightInd w:val="0"/>
              <w:spacing w:before="100" w:beforeAutospacing="1"/>
              <w:ind w:left="60" w:right="60"/>
              <w:rPr>
                <w:rFonts w:eastAsia="Calibri"/>
                <w:color w:val="264A60"/>
                <w:sz w:val="24"/>
                <w:szCs w:val="24"/>
              </w:rPr>
            </w:pPr>
            <w:r w:rsidRPr="00F348ED">
              <w:rPr>
                <w:rFonts w:eastAsia="Calibri"/>
                <w:color w:val="000000"/>
                <w:sz w:val="24"/>
                <w:szCs w:val="24"/>
              </w:rPr>
              <w:t>Total</w:t>
            </w:r>
          </w:p>
        </w:tc>
        <w:tc>
          <w:tcPr>
            <w:tcW w:w="1612" w:type="dxa"/>
            <w:tcBorders>
              <w:top w:val="single" w:sz="8" w:space="0" w:color="AEAEAE"/>
              <w:left w:val="nil"/>
              <w:bottom w:val="single" w:sz="8" w:space="0" w:color="152935"/>
              <w:right w:val="single" w:sz="8" w:space="0" w:color="E0E0E0"/>
            </w:tcBorders>
            <w:shd w:val="clear" w:color="auto" w:fill="FFFFFF"/>
            <w:hideMark/>
          </w:tcPr>
          <w:p w14:paraId="7E3006BF"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1031.357</w:t>
            </w:r>
          </w:p>
        </w:tc>
        <w:tc>
          <w:tcPr>
            <w:tcW w:w="1124" w:type="dxa"/>
            <w:tcBorders>
              <w:top w:val="single" w:sz="8" w:space="0" w:color="AEAEAE"/>
              <w:left w:val="nil"/>
              <w:bottom w:val="single" w:sz="8" w:space="0" w:color="152935"/>
              <w:right w:val="single" w:sz="8" w:space="0" w:color="E0E0E0"/>
            </w:tcBorders>
            <w:shd w:val="clear" w:color="auto" w:fill="FFFFFF"/>
            <w:hideMark/>
          </w:tcPr>
          <w:p w14:paraId="137FD0E4" w14:textId="77777777" w:rsidR="00F348ED" w:rsidRPr="00F348ED" w:rsidRDefault="00F348ED" w:rsidP="00084F2C">
            <w:pPr>
              <w:widowControl/>
              <w:autoSpaceDE/>
              <w:autoSpaceDN/>
              <w:spacing w:before="100" w:beforeAutospacing="1"/>
              <w:jc w:val="center"/>
              <w:rPr>
                <w:color w:val="000000"/>
                <w:sz w:val="24"/>
                <w:szCs w:val="24"/>
              </w:rPr>
            </w:pPr>
            <w:r w:rsidRPr="00F348ED">
              <w:rPr>
                <w:color w:val="000000"/>
                <w:sz w:val="24"/>
                <w:szCs w:val="24"/>
              </w:rPr>
              <w:t>91</w:t>
            </w:r>
          </w:p>
        </w:tc>
        <w:tc>
          <w:tcPr>
            <w:tcW w:w="1544" w:type="dxa"/>
            <w:tcBorders>
              <w:top w:val="single" w:sz="8" w:space="0" w:color="AEAEAE"/>
              <w:left w:val="nil"/>
              <w:bottom w:val="single" w:sz="8" w:space="0" w:color="152935"/>
              <w:right w:val="single" w:sz="8" w:space="0" w:color="E0E0E0"/>
            </w:tcBorders>
            <w:shd w:val="clear" w:color="auto" w:fill="FFFFFF"/>
          </w:tcPr>
          <w:p w14:paraId="297D65EA" w14:textId="77777777" w:rsidR="00F348ED" w:rsidRPr="00F348ED" w:rsidRDefault="00F348ED" w:rsidP="00084F2C">
            <w:pPr>
              <w:widowControl/>
              <w:autoSpaceDE/>
              <w:autoSpaceDN/>
              <w:spacing w:before="100" w:beforeAutospacing="1" w:after="160"/>
              <w:jc w:val="center"/>
              <w:rPr>
                <w:color w:val="000000"/>
                <w:sz w:val="24"/>
                <w:szCs w:val="24"/>
              </w:rPr>
            </w:pPr>
          </w:p>
        </w:tc>
        <w:tc>
          <w:tcPr>
            <w:tcW w:w="1124" w:type="dxa"/>
            <w:tcBorders>
              <w:top w:val="single" w:sz="8" w:space="0" w:color="AEAEAE"/>
              <w:left w:val="nil"/>
              <w:bottom w:val="single" w:sz="8" w:space="0" w:color="152935"/>
              <w:right w:val="single" w:sz="8" w:space="0" w:color="E0E0E0"/>
            </w:tcBorders>
            <w:shd w:val="clear" w:color="auto" w:fill="FFFFFF"/>
          </w:tcPr>
          <w:p w14:paraId="4ABB867E" w14:textId="77777777" w:rsidR="00F348ED" w:rsidRPr="00F348ED" w:rsidRDefault="00F348ED" w:rsidP="00084F2C">
            <w:pPr>
              <w:widowControl/>
              <w:autoSpaceDE/>
              <w:autoSpaceDN/>
              <w:spacing w:before="100" w:beforeAutospacing="1"/>
              <w:jc w:val="center"/>
              <w:rPr>
                <w:rFonts w:eastAsia="Calibri"/>
                <w:color w:val="000000"/>
                <w:sz w:val="20"/>
                <w:szCs w:val="20"/>
              </w:rPr>
            </w:pPr>
          </w:p>
        </w:tc>
        <w:tc>
          <w:tcPr>
            <w:tcW w:w="1125" w:type="dxa"/>
            <w:tcBorders>
              <w:top w:val="single" w:sz="8" w:space="0" w:color="AEAEAE"/>
              <w:left w:val="nil"/>
              <w:bottom w:val="single" w:sz="8" w:space="0" w:color="152935"/>
              <w:right w:val="nil"/>
            </w:tcBorders>
            <w:shd w:val="clear" w:color="auto" w:fill="FFFFFF"/>
          </w:tcPr>
          <w:p w14:paraId="17236A5D" w14:textId="77777777" w:rsidR="00F348ED" w:rsidRPr="00F348ED" w:rsidRDefault="00F348ED" w:rsidP="00084F2C">
            <w:pPr>
              <w:widowControl/>
              <w:autoSpaceDE/>
              <w:autoSpaceDN/>
              <w:spacing w:before="100" w:beforeAutospacing="1"/>
              <w:jc w:val="center"/>
              <w:rPr>
                <w:rFonts w:eastAsia="Calibri"/>
                <w:color w:val="000000"/>
                <w:sz w:val="20"/>
                <w:szCs w:val="20"/>
              </w:rPr>
            </w:pPr>
          </w:p>
        </w:tc>
      </w:tr>
      <w:tr w:rsidR="00F348ED" w:rsidRPr="00F348ED" w14:paraId="7DC315B1" w14:textId="77777777" w:rsidTr="00F348ED">
        <w:trPr>
          <w:cantSplit/>
          <w:trHeight w:val="99"/>
        </w:trPr>
        <w:tc>
          <w:tcPr>
            <w:tcW w:w="8745" w:type="dxa"/>
            <w:gridSpan w:val="7"/>
            <w:tcBorders>
              <w:top w:val="nil"/>
              <w:left w:val="nil"/>
              <w:bottom w:val="nil"/>
              <w:right w:val="nil"/>
            </w:tcBorders>
            <w:shd w:val="clear" w:color="auto" w:fill="FFFFFF"/>
            <w:hideMark/>
          </w:tcPr>
          <w:p w14:paraId="517E850D"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a. Dependent Variable: Teaching Competencies</w:t>
            </w:r>
          </w:p>
        </w:tc>
      </w:tr>
      <w:tr w:rsidR="00F348ED" w:rsidRPr="00F348ED" w14:paraId="4468A47E" w14:textId="77777777" w:rsidTr="00F348ED">
        <w:trPr>
          <w:cantSplit/>
          <w:trHeight w:val="97"/>
        </w:trPr>
        <w:tc>
          <w:tcPr>
            <w:tcW w:w="8745" w:type="dxa"/>
            <w:gridSpan w:val="7"/>
            <w:tcBorders>
              <w:top w:val="nil"/>
              <w:left w:val="nil"/>
              <w:bottom w:val="nil"/>
              <w:right w:val="nil"/>
            </w:tcBorders>
            <w:shd w:val="clear" w:color="auto" w:fill="FFFFFF"/>
            <w:hideMark/>
          </w:tcPr>
          <w:p w14:paraId="40241C90" w14:textId="77777777" w:rsidR="00F348ED" w:rsidRPr="00F348ED" w:rsidRDefault="00F348ED" w:rsidP="00084F2C">
            <w:pPr>
              <w:widowControl/>
              <w:adjustRightInd w:val="0"/>
              <w:spacing w:before="100" w:beforeAutospacing="1"/>
              <w:ind w:left="60" w:right="60"/>
              <w:rPr>
                <w:rFonts w:eastAsia="Calibri"/>
                <w:color w:val="010205"/>
                <w:sz w:val="24"/>
                <w:szCs w:val="24"/>
              </w:rPr>
            </w:pPr>
            <w:r w:rsidRPr="00F348ED">
              <w:rPr>
                <w:rFonts w:eastAsia="Calibri"/>
                <w:color w:val="000000"/>
                <w:sz w:val="24"/>
                <w:szCs w:val="24"/>
              </w:rPr>
              <w:t>b. Predictors: (Constant), Teachers’ Practical and Laboratory Skills in Food Science</w:t>
            </w:r>
          </w:p>
        </w:tc>
      </w:tr>
    </w:tbl>
    <w:p w14:paraId="7D7B49FD" w14:textId="77777777" w:rsidR="00F348ED" w:rsidRPr="00F348ED" w:rsidRDefault="00D87460" w:rsidP="00084F2C">
      <w:pPr>
        <w:widowControl/>
        <w:adjustRightInd w:val="0"/>
        <w:spacing w:before="100" w:beforeAutospacing="1"/>
        <w:jc w:val="both"/>
        <w:rPr>
          <w:rFonts w:eastAsia="Calibri"/>
          <w:color w:val="000000"/>
          <w:sz w:val="24"/>
          <w:szCs w:val="24"/>
        </w:rPr>
      </w:pPr>
      <w:r>
        <w:rPr>
          <w:rFonts w:eastAsia="Calibri"/>
          <w:color w:val="000000"/>
          <w:sz w:val="24"/>
          <w:szCs w:val="24"/>
        </w:rPr>
        <w:t>Table 8</w:t>
      </w:r>
      <w:r w:rsidR="00F348ED" w:rsidRPr="00F348ED">
        <w:rPr>
          <w:rFonts w:eastAsia="Calibri"/>
          <w:color w:val="000000"/>
          <w:sz w:val="24"/>
          <w:szCs w:val="24"/>
        </w:rPr>
        <w:t>’s ANOVA results further support the significance of the model. The F-value of 31.044 is statistically significant at the p = .000 level, indicating that the regression model reliably predicts teaching competencies based on practical and laboratory skills. This strong F-statistic allows us to reject the null hypothesis that there is no relationship between these skills and teaching competencies. The significance value confirms that the observed relationship is highly unlikely to be due to random chance.</w:t>
      </w:r>
    </w:p>
    <w:p w14:paraId="7DD27567" w14:textId="77777777" w:rsidR="00F348ED" w:rsidRPr="00F348ED" w:rsidRDefault="00D87460" w:rsidP="00D87460">
      <w:pPr>
        <w:widowControl/>
        <w:adjustRightInd w:val="0"/>
        <w:spacing w:before="100" w:beforeAutospacing="1" w:after="240"/>
        <w:rPr>
          <w:rFonts w:eastAsia="Calibri"/>
          <w:b/>
          <w:color w:val="000000"/>
          <w:sz w:val="24"/>
          <w:szCs w:val="24"/>
        </w:rPr>
      </w:pPr>
      <w:r>
        <w:rPr>
          <w:rFonts w:eastAsia="Calibri"/>
          <w:b/>
          <w:color w:val="000000"/>
          <w:sz w:val="24"/>
          <w:szCs w:val="24"/>
        </w:rPr>
        <w:t xml:space="preserve">Table 9: </w:t>
      </w:r>
      <w:r w:rsidR="00F348ED" w:rsidRPr="00F348ED">
        <w:rPr>
          <w:rFonts w:eastAsia="Calibri"/>
          <w:b/>
          <w:bCs/>
          <w:color w:val="000000"/>
          <w:sz w:val="24"/>
          <w:szCs w:val="24"/>
        </w:rPr>
        <w:t xml:space="preserve">Regression Coefficients on </w:t>
      </w:r>
      <w:r w:rsidR="00F348ED" w:rsidRPr="00F348ED">
        <w:rPr>
          <w:rFonts w:eastAsia="Calibri"/>
          <w:b/>
          <w:color w:val="000000"/>
          <w:sz w:val="24"/>
          <w:szCs w:val="24"/>
        </w:rPr>
        <w:t xml:space="preserve">Teachers’ Practical and Laboratory Skills in Food Science and Their Teaching Competencies  </w:t>
      </w:r>
    </w:p>
    <w:tbl>
      <w:tblPr>
        <w:tblW w:w="9388"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81"/>
        <w:gridCol w:w="1658"/>
        <w:gridCol w:w="936"/>
        <w:gridCol w:w="1052"/>
        <w:gridCol w:w="1324"/>
        <w:gridCol w:w="808"/>
        <w:gridCol w:w="808"/>
        <w:gridCol w:w="1148"/>
        <w:gridCol w:w="1152"/>
        <w:gridCol w:w="21"/>
      </w:tblGrid>
      <w:tr w:rsidR="00F348ED" w:rsidRPr="00F348ED" w14:paraId="349CFE63" w14:textId="77777777" w:rsidTr="009A563E">
        <w:trPr>
          <w:gridAfter w:val="1"/>
          <w:wAfter w:w="20" w:type="dxa"/>
          <w:cantSplit/>
          <w:trHeight w:val="695"/>
        </w:trPr>
        <w:tc>
          <w:tcPr>
            <w:tcW w:w="2140" w:type="dxa"/>
            <w:gridSpan w:val="2"/>
            <w:vMerge w:val="restart"/>
            <w:tcBorders>
              <w:top w:val="single" w:sz="4" w:space="0" w:color="auto"/>
              <w:left w:val="nil"/>
              <w:bottom w:val="nil"/>
              <w:right w:val="nil"/>
            </w:tcBorders>
            <w:shd w:val="clear" w:color="auto" w:fill="FFFFFF"/>
            <w:vAlign w:val="bottom"/>
            <w:hideMark/>
          </w:tcPr>
          <w:p w14:paraId="0DEEF26C"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color w:val="000000"/>
              </w:rPr>
              <w:t>Model</w:t>
            </w:r>
          </w:p>
        </w:tc>
        <w:tc>
          <w:tcPr>
            <w:tcW w:w="1988" w:type="dxa"/>
            <w:gridSpan w:val="2"/>
            <w:tcBorders>
              <w:top w:val="single" w:sz="4" w:space="0" w:color="auto"/>
              <w:left w:val="nil"/>
              <w:bottom w:val="nil"/>
              <w:right w:val="single" w:sz="8" w:space="0" w:color="E0E0E0"/>
            </w:tcBorders>
            <w:shd w:val="clear" w:color="auto" w:fill="FFFFFF"/>
            <w:vAlign w:val="bottom"/>
            <w:hideMark/>
          </w:tcPr>
          <w:p w14:paraId="22D6D268"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Unstandardized Coefficients</w:t>
            </w:r>
          </w:p>
        </w:tc>
        <w:tc>
          <w:tcPr>
            <w:tcW w:w="1324" w:type="dxa"/>
            <w:tcBorders>
              <w:top w:val="single" w:sz="4" w:space="0" w:color="auto"/>
              <w:left w:val="nil"/>
              <w:bottom w:val="nil"/>
              <w:right w:val="single" w:sz="8" w:space="0" w:color="E0E0E0"/>
            </w:tcBorders>
            <w:shd w:val="clear" w:color="auto" w:fill="FFFFFF"/>
            <w:vAlign w:val="bottom"/>
            <w:hideMark/>
          </w:tcPr>
          <w:p w14:paraId="2652A9F6"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Standardized Coefficients</w:t>
            </w:r>
          </w:p>
        </w:tc>
        <w:tc>
          <w:tcPr>
            <w:tcW w:w="808" w:type="dxa"/>
            <w:vMerge w:val="restart"/>
            <w:tcBorders>
              <w:top w:val="single" w:sz="4" w:space="0" w:color="auto"/>
              <w:left w:val="nil"/>
              <w:bottom w:val="nil"/>
              <w:right w:val="single" w:sz="8" w:space="0" w:color="E0E0E0"/>
            </w:tcBorders>
            <w:shd w:val="clear" w:color="auto" w:fill="FFFFFF"/>
            <w:vAlign w:val="bottom"/>
            <w:hideMark/>
          </w:tcPr>
          <w:p w14:paraId="4C4F1576"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t</w:t>
            </w:r>
          </w:p>
        </w:tc>
        <w:tc>
          <w:tcPr>
            <w:tcW w:w="808" w:type="dxa"/>
            <w:vMerge w:val="restart"/>
            <w:tcBorders>
              <w:top w:val="single" w:sz="4" w:space="0" w:color="auto"/>
              <w:left w:val="nil"/>
              <w:bottom w:val="nil"/>
              <w:right w:val="single" w:sz="8" w:space="0" w:color="E0E0E0"/>
            </w:tcBorders>
            <w:shd w:val="clear" w:color="auto" w:fill="FFFFFF"/>
            <w:vAlign w:val="bottom"/>
            <w:hideMark/>
          </w:tcPr>
          <w:p w14:paraId="10F73A91"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Sig.</w:t>
            </w:r>
          </w:p>
        </w:tc>
        <w:tc>
          <w:tcPr>
            <w:tcW w:w="2300" w:type="dxa"/>
            <w:gridSpan w:val="2"/>
            <w:tcBorders>
              <w:top w:val="single" w:sz="4" w:space="0" w:color="auto"/>
              <w:left w:val="nil"/>
              <w:bottom w:val="nil"/>
              <w:right w:val="nil"/>
            </w:tcBorders>
            <w:shd w:val="clear" w:color="auto" w:fill="FFFFFF"/>
            <w:vAlign w:val="bottom"/>
            <w:hideMark/>
          </w:tcPr>
          <w:p w14:paraId="778E9953"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95.0% Confidence Interval for B</w:t>
            </w:r>
          </w:p>
        </w:tc>
      </w:tr>
      <w:tr w:rsidR="00F348ED" w:rsidRPr="00F348ED" w14:paraId="46017D7E" w14:textId="77777777" w:rsidTr="009A563E">
        <w:trPr>
          <w:gridAfter w:val="1"/>
          <w:wAfter w:w="21" w:type="dxa"/>
          <w:cantSplit/>
          <w:trHeight w:val="695"/>
        </w:trPr>
        <w:tc>
          <w:tcPr>
            <w:tcW w:w="2140" w:type="dxa"/>
            <w:gridSpan w:val="2"/>
            <w:vMerge/>
            <w:tcBorders>
              <w:top w:val="single" w:sz="4" w:space="0" w:color="auto"/>
              <w:left w:val="nil"/>
              <w:bottom w:val="nil"/>
              <w:right w:val="nil"/>
            </w:tcBorders>
            <w:vAlign w:val="center"/>
            <w:hideMark/>
          </w:tcPr>
          <w:p w14:paraId="05D7F1E9" w14:textId="77777777" w:rsidR="00F348ED" w:rsidRPr="00F348ED" w:rsidRDefault="00F348ED" w:rsidP="00084F2C">
            <w:pPr>
              <w:widowControl/>
              <w:autoSpaceDE/>
              <w:autoSpaceDN/>
              <w:rPr>
                <w:rFonts w:eastAsia="Calibri"/>
                <w:color w:val="264A60"/>
              </w:rPr>
            </w:pPr>
          </w:p>
        </w:tc>
        <w:tc>
          <w:tcPr>
            <w:tcW w:w="936" w:type="dxa"/>
            <w:tcBorders>
              <w:top w:val="nil"/>
              <w:left w:val="nil"/>
              <w:bottom w:val="single" w:sz="8" w:space="0" w:color="152935"/>
              <w:right w:val="single" w:sz="8" w:space="0" w:color="E0E0E0"/>
            </w:tcBorders>
            <w:shd w:val="clear" w:color="auto" w:fill="FFFFFF"/>
            <w:vAlign w:val="bottom"/>
            <w:hideMark/>
          </w:tcPr>
          <w:p w14:paraId="4868383C"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B</w:t>
            </w:r>
          </w:p>
        </w:tc>
        <w:tc>
          <w:tcPr>
            <w:tcW w:w="1051" w:type="dxa"/>
            <w:tcBorders>
              <w:top w:val="nil"/>
              <w:left w:val="nil"/>
              <w:bottom w:val="single" w:sz="8" w:space="0" w:color="152935"/>
              <w:right w:val="single" w:sz="8" w:space="0" w:color="E0E0E0"/>
            </w:tcBorders>
            <w:shd w:val="clear" w:color="auto" w:fill="FFFFFF"/>
            <w:vAlign w:val="bottom"/>
            <w:hideMark/>
          </w:tcPr>
          <w:p w14:paraId="61421F4D"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Std. Error</w:t>
            </w:r>
          </w:p>
        </w:tc>
        <w:tc>
          <w:tcPr>
            <w:tcW w:w="1324" w:type="dxa"/>
            <w:tcBorders>
              <w:top w:val="nil"/>
              <w:left w:val="nil"/>
              <w:bottom w:val="single" w:sz="8" w:space="0" w:color="152935"/>
              <w:right w:val="single" w:sz="8" w:space="0" w:color="E0E0E0"/>
            </w:tcBorders>
            <w:shd w:val="clear" w:color="auto" w:fill="FFFFFF"/>
            <w:vAlign w:val="bottom"/>
            <w:hideMark/>
          </w:tcPr>
          <w:p w14:paraId="40B7AE14"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Beta</w:t>
            </w:r>
          </w:p>
        </w:tc>
        <w:tc>
          <w:tcPr>
            <w:tcW w:w="808" w:type="dxa"/>
            <w:vMerge/>
            <w:tcBorders>
              <w:top w:val="single" w:sz="4" w:space="0" w:color="auto"/>
              <w:left w:val="nil"/>
              <w:bottom w:val="nil"/>
              <w:right w:val="single" w:sz="8" w:space="0" w:color="E0E0E0"/>
            </w:tcBorders>
            <w:vAlign w:val="center"/>
            <w:hideMark/>
          </w:tcPr>
          <w:p w14:paraId="619E1EB0" w14:textId="77777777" w:rsidR="00F348ED" w:rsidRPr="00F348ED" w:rsidRDefault="00F348ED" w:rsidP="00084F2C">
            <w:pPr>
              <w:widowControl/>
              <w:autoSpaceDE/>
              <w:autoSpaceDN/>
              <w:rPr>
                <w:rFonts w:eastAsia="Calibri"/>
                <w:color w:val="264A60"/>
              </w:rPr>
            </w:pPr>
          </w:p>
        </w:tc>
        <w:tc>
          <w:tcPr>
            <w:tcW w:w="808" w:type="dxa"/>
            <w:vMerge/>
            <w:tcBorders>
              <w:top w:val="single" w:sz="4" w:space="0" w:color="auto"/>
              <w:left w:val="nil"/>
              <w:bottom w:val="nil"/>
              <w:right w:val="single" w:sz="8" w:space="0" w:color="E0E0E0"/>
            </w:tcBorders>
            <w:vAlign w:val="center"/>
            <w:hideMark/>
          </w:tcPr>
          <w:p w14:paraId="0A0C3596" w14:textId="77777777" w:rsidR="00F348ED" w:rsidRPr="00F348ED" w:rsidRDefault="00F348ED" w:rsidP="00084F2C">
            <w:pPr>
              <w:widowControl/>
              <w:autoSpaceDE/>
              <w:autoSpaceDN/>
              <w:rPr>
                <w:rFonts w:eastAsia="Calibri"/>
                <w:color w:val="264A60"/>
              </w:rPr>
            </w:pPr>
          </w:p>
        </w:tc>
        <w:tc>
          <w:tcPr>
            <w:tcW w:w="1148" w:type="dxa"/>
            <w:tcBorders>
              <w:top w:val="nil"/>
              <w:left w:val="nil"/>
              <w:bottom w:val="single" w:sz="8" w:space="0" w:color="152935"/>
              <w:right w:val="single" w:sz="8" w:space="0" w:color="E0E0E0"/>
            </w:tcBorders>
            <w:shd w:val="clear" w:color="auto" w:fill="FFFFFF"/>
            <w:vAlign w:val="bottom"/>
            <w:hideMark/>
          </w:tcPr>
          <w:p w14:paraId="11706156"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Lower Bound</w:t>
            </w:r>
          </w:p>
        </w:tc>
        <w:tc>
          <w:tcPr>
            <w:tcW w:w="1152" w:type="dxa"/>
            <w:tcBorders>
              <w:top w:val="nil"/>
              <w:left w:val="nil"/>
              <w:bottom w:val="single" w:sz="8" w:space="0" w:color="152935"/>
              <w:right w:val="nil"/>
            </w:tcBorders>
            <w:shd w:val="clear" w:color="auto" w:fill="FFFFFF"/>
            <w:vAlign w:val="bottom"/>
            <w:hideMark/>
          </w:tcPr>
          <w:p w14:paraId="1F52C94E" w14:textId="77777777" w:rsidR="00F348ED" w:rsidRPr="00F348ED" w:rsidRDefault="00F348ED" w:rsidP="00084F2C">
            <w:pPr>
              <w:widowControl/>
              <w:adjustRightInd w:val="0"/>
              <w:spacing w:before="100" w:beforeAutospacing="1"/>
              <w:ind w:left="60" w:right="60"/>
              <w:jc w:val="center"/>
              <w:rPr>
                <w:rFonts w:eastAsia="Calibri"/>
                <w:color w:val="264A60"/>
              </w:rPr>
            </w:pPr>
            <w:r w:rsidRPr="00F348ED">
              <w:rPr>
                <w:rFonts w:eastAsia="Calibri"/>
                <w:color w:val="000000"/>
              </w:rPr>
              <w:t>Upper Bound</w:t>
            </w:r>
          </w:p>
        </w:tc>
      </w:tr>
      <w:tr w:rsidR="00F348ED" w:rsidRPr="00F348ED" w14:paraId="3937F5A8" w14:textId="77777777" w:rsidTr="009A563E">
        <w:trPr>
          <w:gridAfter w:val="1"/>
          <w:wAfter w:w="21" w:type="dxa"/>
          <w:cantSplit/>
          <w:trHeight w:val="358"/>
        </w:trPr>
        <w:tc>
          <w:tcPr>
            <w:tcW w:w="482" w:type="dxa"/>
            <w:vMerge w:val="restart"/>
            <w:tcBorders>
              <w:top w:val="single" w:sz="8" w:space="0" w:color="152935"/>
              <w:left w:val="nil"/>
              <w:bottom w:val="single" w:sz="8" w:space="0" w:color="152935"/>
              <w:right w:val="nil"/>
            </w:tcBorders>
            <w:shd w:val="clear" w:color="auto" w:fill="E0E0E0"/>
            <w:hideMark/>
          </w:tcPr>
          <w:p w14:paraId="4238218A"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color w:val="000000"/>
              </w:rPr>
              <w:t>1</w:t>
            </w:r>
          </w:p>
        </w:tc>
        <w:tc>
          <w:tcPr>
            <w:tcW w:w="1658" w:type="dxa"/>
            <w:tcBorders>
              <w:top w:val="single" w:sz="8" w:space="0" w:color="152935"/>
              <w:left w:val="nil"/>
              <w:bottom w:val="single" w:sz="8" w:space="0" w:color="AEAEAE"/>
              <w:right w:val="nil"/>
            </w:tcBorders>
            <w:shd w:val="clear" w:color="auto" w:fill="E0E0E0"/>
            <w:hideMark/>
          </w:tcPr>
          <w:p w14:paraId="7E6B9202"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color w:val="000000"/>
              </w:rPr>
              <w:t>(Constant)</w:t>
            </w:r>
          </w:p>
        </w:tc>
        <w:tc>
          <w:tcPr>
            <w:tcW w:w="936" w:type="dxa"/>
            <w:tcBorders>
              <w:top w:val="single" w:sz="8" w:space="0" w:color="152935"/>
              <w:left w:val="nil"/>
              <w:bottom w:val="single" w:sz="8" w:space="0" w:color="AEAEAE"/>
              <w:right w:val="single" w:sz="8" w:space="0" w:color="E0E0E0"/>
            </w:tcBorders>
            <w:shd w:val="clear" w:color="auto" w:fill="FFFFFF"/>
            <w:hideMark/>
          </w:tcPr>
          <w:p w14:paraId="7FCD3F9F"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6.483</w:t>
            </w:r>
          </w:p>
        </w:tc>
        <w:tc>
          <w:tcPr>
            <w:tcW w:w="1051" w:type="dxa"/>
            <w:tcBorders>
              <w:top w:val="single" w:sz="8" w:space="0" w:color="152935"/>
              <w:left w:val="nil"/>
              <w:bottom w:val="single" w:sz="8" w:space="0" w:color="AEAEAE"/>
              <w:right w:val="single" w:sz="8" w:space="0" w:color="E0E0E0"/>
            </w:tcBorders>
            <w:shd w:val="clear" w:color="auto" w:fill="FFFFFF"/>
            <w:hideMark/>
          </w:tcPr>
          <w:p w14:paraId="000EC25B"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1.751</w:t>
            </w:r>
          </w:p>
        </w:tc>
        <w:tc>
          <w:tcPr>
            <w:tcW w:w="1324" w:type="dxa"/>
            <w:tcBorders>
              <w:top w:val="single" w:sz="8" w:space="0" w:color="152935"/>
              <w:left w:val="nil"/>
              <w:bottom w:val="single" w:sz="8" w:space="0" w:color="AEAEAE"/>
              <w:right w:val="single" w:sz="8" w:space="0" w:color="E0E0E0"/>
            </w:tcBorders>
            <w:shd w:val="clear" w:color="auto" w:fill="FFFFFF"/>
            <w:vAlign w:val="center"/>
          </w:tcPr>
          <w:p w14:paraId="5142DFD2" w14:textId="77777777" w:rsidR="00F348ED" w:rsidRPr="00F348ED" w:rsidRDefault="00F348ED" w:rsidP="00084F2C">
            <w:pPr>
              <w:widowControl/>
              <w:adjustRightInd w:val="0"/>
              <w:spacing w:before="100" w:beforeAutospacing="1"/>
              <w:jc w:val="center"/>
              <w:rPr>
                <w:rFonts w:eastAsia="Calibri"/>
                <w:color w:val="000000"/>
              </w:rPr>
            </w:pPr>
          </w:p>
        </w:tc>
        <w:tc>
          <w:tcPr>
            <w:tcW w:w="808" w:type="dxa"/>
            <w:tcBorders>
              <w:top w:val="single" w:sz="8" w:space="0" w:color="152935"/>
              <w:left w:val="nil"/>
              <w:bottom w:val="single" w:sz="8" w:space="0" w:color="AEAEAE"/>
              <w:right w:val="single" w:sz="8" w:space="0" w:color="E0E0E0"/>
            </w:tcBorders>
            <w:shd w:val="clear" w:color="auto" w:fill="FFFFFF"/>
            <w:hideMark/>
          </w:tcPr>
          <w:p w14:paraId="0D914F10"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3.703</w:t>
            </w:r>
          </w:p>
        </w:tc>
        <w:tc>
          <w:tcPr>
            <w:tcW w:w="808" w:type="dxa"/>
            <w:tcBorders>
              <w:top w:val="single" w:sz="8" w:space="0" w:color="152935"/>
              <w:left w:val="nil"/>
              <w:bottom w:val="single" w:sz="8" w:space="0" w:color="AEAEAE"/>
              <w:right w:val="single" w:sz="8" w:space="0" w:color="E0E0E0"/>
            </w:tcBorders>
            <w:shd w:val="clear" w:color="auto" w:fill="FFFFFF"/>
            <w:hideMark/>
          </w:tcPr>
          <w:p w14:paraId="1A92DCC6"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.000</w:t>
            </w:r>
          </w:p>
        </w:tc>
        <w:tc>
          <w:tcPr>
            <w:tcW w:w="1148" w:type="dxa"/>
            <w:tcBorders>
              <w:top w:val="single" w:sz="8" w:space="0" w:color="152935"/>
              <w:left w:val="nil"/>
              <w:bottom w:val="single" w:sz="8" w:space="0" w:color="AEAEAE"/>
              <w:right w:val="single" w:sz="8" w:space="0" w:color="E0E0E0"/>
            </w:tcBorders>
            <w:shd w:val="clear" w:color="auto" w:fill="FFFFFF"/>
            <w:hideMark/>
          </w:tcPr>
          <w:p w14:paraId="0F2C681B"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3.039</w:t>
            </w:r>
          </w:p>
        </w:tc>
        <w:tc>
          <w:tcPr>
            <w:tcW w:w="1152" w:type="dxa"/>
            <w:tcBorders>
              <w:top w:val="single" w:sz="8" w:space="0" w:color="152935"/>
              <w:left w:val="nil"/>
              <w:bottom w:val="single" w:sz="8" w:space="0" w:color="AEAEAE"/>
              <w:right w:val="nil"/>
            </w:tcBorders>
            <w:shd w:val="clear" w:color="auto" w:fill="FFFFFF"/>
            <w:hideMark/>
          </w:tcPr>
          <w:p w14:paraId="35A294EC"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9.927</w:t>
            </w:r>
          </w:p>
        </w:tc>
      </w:tr>
      <w:tr w:rsidR="00F348ED" w:rsidRPr="00F348ED" w14:paraId="5A73EBCA" w14:textId="77777777" w:rsidTr="009A563E">
        <w:trPr>
          <w:gridAfter w:val="1"/>
          <w:wAfter w:w="21" w:type="dxa"/>
          <w:cantSplit/>
          <w:trHeight w:val="358"/>
        </w:trPr>
        <w:tc>
          <w:tcPr>
            <w:tcW w:w="482" w:type="dxa"/>
            <w:vMerge/>
            <w:tcBorders>
              <w:top w:val="single" w:sz="8" w:space="0" w:color="152935"/>
              <w:left w:val="nil"/>
              <w:bottom w:val="single" w:sz="8" w:space="0" w:color="152935"/>
              <w:right w:val="nil"/>
            </w:tcBorders>
            <w:vAlign w:val="center"/>
            <w:hideMark/>
          </w:tcPr>
          <w:p w14:paraId="32D7F24B" w14:textId="77777777" w:rsidR="00F348ED" w:rsidRPr="00F348ED" w:rsidRDefault="00F348ED" w:rsidP="00084F2C">
            <w:pPr>
              <w:widowControl/>
              <w:autoSpaceDE/>
              <w:autoSpaceDN/>
              <w:rPr>
                <w:rFonts w:eastAsia="Calibri"/>
                <w:color w:val="264A60"/>
              </w:rPr>
            </w:pPr>
          </w:p>
        </w:tc>
        <w:tc>
          <w:tcPr>
            <w:tcW w:w="1658" w:type="dxa"/>
            <w:tcBorders>
              <w:top w:val="single" w:sz="8" w:space="0" w:color="AEAEAE"/>
              <w:left w:val="nil"/>
              <w:bottom w:val="single" w:sz="8" w:space="0" w:color="152935"/>
              <w:right w:val="nil"/>
            </w:tcBorders>
            <w:shd w:val="clear" w:color="auto" w:fill="E0E0E0"/>
            <w:hideMark/>
          </w:tcPr>
          <w:p w14:paraId="2176ECEE" w14:textId="77777777" w:rsidR="00F348ED" w:rsidRPr="00F348ED" w:rsidRDefault="00F348ED" w:rsidP="00084F2C">
            <w:pPr>
              <w:widowControl/>
              <w:adjustRightInd w:val="0"/>
              <w:spacing w:before="100" w:beforeAutospacing="1"/>
              <w:ind w:left="60" w:right="60"/>
              <w:rPr>
                <w:rFonts w:eastAsia="Calibri"/>
                <w:color w:val="264A60"/>
              </w:rPr>
            </w:pPr>
            <w:r w:rsidRPr="00F348ED">
              <w:rPr>
                <w:rFonts w:eastAsia="Calibri"/>
                <w:b/>
                <w:color w:val="000000"/>
              </w:rPr>
              <w:t>Teachers’ Practical and Laboratory Skills in Food Science</w:t>
            </w:r>
          </w:p>
        </w:tc>
        <w:tc>
          <w:tcPr>
            <w:tcW w:w="936" w:type="dxa"/>
            <w:tcBorders>
              <w:top w:val="single" w:sz="8" w:space="0" w:color="AEAEAE"/>
              <w:left w:val="nil"/>
              <w:bottom w:val="single" w:sz="8" w:space="0" w:color="152935"/>
              <w:right w:val="single" w:sz="8" w:space="0" w:color="E0E0E0"/>
            </w:tcBorders>
            <w:shd w:val="clear" w:color="auto" w:fill="FFFFFF"/>
            <w:hideMark/>
          </w:tcPr>
          <w:p w14:paraId="6A6C3D73"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.642</w:t>
            </w:r>
          </w:p>
        </w:tc>
        <w:tc>
          <w:tcPr>
            <w:tcW w:w="1051" w:type="dxa"/>
            <w:tcBorders>
              <w:top w:val="single" w:sz="8" w:space="0" w:color="AEAEAE"/>
              <w:left w:val="nil"/>
              <w:bottom w:val="single" w:sz="8" w:space="0" w:color="152935"/>
              <w:right w:val="single" w:sz="8" w:space="0" w:color="E0E0E0"/>
            </w:tcBorders>
            <w:shd w:val="clear" w:color="auto" w:fill="FFFFFF"/>
            <w:hideMark/>
          </w:tcPr>
          <w:p w14:paraId="557E608F"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.071</w:t>
            </w:r>
          </w:p>
        </w:tc>
        <w:tc>
          <w:tcPr>
            <w:tcW w:w="1324" w:type="dxa"/>
            <w:tcBorders>
              <w:top w:val="single" w:sz="8" w:space="0" w:color="AEAEAE"/>
              <w:left w:val="nil"/>
              <w:bottom w:val="single" w:sz="8" w:space="0" w:color="152935"/>
              <w:right w:val="single" w:sz="8" w:space="0" w:color="E0E0E0"/>
            </w:tcBorders>
            <w:shd w:val="clear" w:color="auto" w:fill="FFFFFF"/>
            <w:hideMark/>
          </w:tcPr>
          <w:p w14:paraId="6C4B2A7C"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.411</w:t>
            </w:r>
          </w:p>
        </w:tc>
        <w:tc>
          <w:tcPr>
            <w:tcW w:w="808" w:type="dxa"/>
            <w:tcBorders>
              <w:top w:val="single" w:sz="8" w:space="0" w:color="AEAEAE"/>
              <w:left w:val="nil"/>
              <w:bottom w:val="single" w:sz="8" w:space="0" w:color="152935"/>
              <w:right w:val="single" w:sz="8" w:space="0" w:color="E0E0E0"/>
            </w:tcBorders>
            <w:shd w:val="clear" w:color="auto" w:fill="FFFFFF"/>
            <w:hideMark/>
          </w:tcPr>
          <w:p w14:paraId="1AA9BD67"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8.986</w:t>
            </w:r>
          </w:p>
        </w:tc>
        <w:tc>
          <w:tcPr>
            <w:tcW w:w="808" w:type="dxa"/>
            <w:tcBorders>
              <w:top w:val="single" w:sz="8" w:space="0" w:color="AEAEAE"/>
              <w:left w:val="nil"/>
              <w:bottom w:val="single" w:sz="8" w:space="0" w:color="152935"/>
              <w:right w:val="single" w:sz="8" w:space="0" w:color="E0E0E0"/>
            </w:tcBorders>
            <w:shd w:val="clear" w:color="auto" w:fill="FFFFFF"/>
            <w:hideMark/>
          </w:tcPr>
          <w:p w14:paraId="7CD3D0B0"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.000</w:t>
            </w:r>
          </w:p>
        </w:tc>
        <w:tc>
          <w:tcPr>
            <w:tcW w:w="1148" w:type="dxa"/>
            <w:tcBorders>
              <w:top w:val="single" w:sz="8" w:space="0" w:color="AEAEAE"/>
              <w:left w:val="nil"/>
              <w:bottom w:val="single" w:sz="8" w:space="0" w:color="152935"/>
              <w:right w:val="single" w:sz="8" w:space="0" w:color="E0E0E0"/>
            </w:tcBorders>
            <w:shd w:val="clear" w:color="auto" w:fill="FFFFFF"/>
            <w:hideMark/>
          </w:tcPr>
          <w:p w14:paraId="64F9D996"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.501</w:t>
            </w:r>
          </w:p>
        </w:tc>
        <w:tc>
          <w:tcPr>
            <w:tcW w:w="1152" w:type="dxa"/>
            <w:tcBorders>
              <w:top w:val="single" w:sz="8" w:space="0" w:color="AEAEAE"/>
              <w:left w:val="nil"/>
              <w:bottom w:val="single" w:sz="8" w:space="0" w:color="152935"/>
              <w:right w:val="nil"/>
            </w:tcBorders>
            <w:shd w:val="clear" w:color="auto" w:fill="FFFFFF"/>
            <w:hideMark/>
          </w:tcPr>
          <w:p w14:paraId="601D2DD3" w14:textId="77777777" w:rsidR="00F348ED" w:rsidRPr="00F348ED" w:rsidRDefault="00F348ED" w:rsidP="00084F2C">
            <w:pPr>
              <w:widowControl/>
              <w:adjustRightInd w:val="0"/>
              <w:spacing w:before="100" w:beforeAutospacing="1"/>
              <w:ind w:left="60" w:right="60"/>
              <w:jc w:val="center"/>
              <w:rPr>
                <w:rFonts w:eastAsia="Calibri"/>
                <w:color w:val="010205"/>
              </w:rPr>
            </w:pPr>
            <w:r w:rsidRPr="00F348ED">
              <w:rPr>
                <w:rFonts w:eastAsia="Calibri"/>
                <w:color w:val="000000"/>
              </w:rPr>
              <w:t>.783</w:t>
            </w:r>
          </w:p>
        </w:tc>
      </w:tr>
      <w:tr w:rsidR="00F348ED" w:rsidRPr="00F348ED" w14:paraId="51FB3E6D" w14:textId="77777777" w:rsidTr="009A563E">
        <w:trPr>
          <w:cantSplit/>
          <w:trHeight w:val="358"/>
        </w:trPr>
        <w:tc>
          <w:tcPr>
            <w:tcW w:w="9388" w:type="dxa"/>
            <w:gridSpan w:val="10"/>
            <w:tcBorders>
              <w:top w:val="nil"/>
              <w:left w:val="nil"/>
              <w:bottom w:val="nil"/>
              <w:right w:val="nil"/>
            </w:tcBorders>
            <w:shd w:val="clear" w:color="auto" w:fill="FFFFFF"/>
            <w:hideMark/>
          </w:tcPr>
          <w:p w14:paraId="2C29930E" w14:textId="77777777" w:rsidR="00F348ED" w:rsidRPr="00F348ED" w:rsidRDefault="00F348ED" w:rsidP="00084F2C">
            <w:pPr>
              <w:widowControl/>
              <w:adjustRightInd w:val="0"/>
              <w:spacing w:before="100" w:beforeAutospacing="1"/>
              <w:ind w:left="60" w:right="60"/>
              <w:rPr>
                <w:rFonts w:eastAsia="Calibri"/>
                <w:color w:val="010205"/>
              </w:rPr>
            </w:pPr>
            <w:r w:rsidRPr="00F348ED">
              <w:rPr>
                <w:rFonts w:eastAsia="Calibri"/>
                <w:color w:val="000000"/>
              </w:rPr>
              <w:t>a. Dependent Variable: Teaching Competencies</w:t>
            </w:r>
          </w:p>
        </w:tc>
      </w:tr>
    </w:tbl>
    <w:p w14:paraId="2E96BA3C"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 xml:space="preserve">Table </w:t>
      </w:r>
      <w:r w:rsidR="00D87460">
        <w:rPr>
          <w:rFonts w:eastAsia="Calibri"/>
          <w:color w:val="000000"/>
          <w:sz w:val="24"/>
          <w:szCs w:val="24"/>
        </w:rPr>
        <w:t>9</w:t>
      </w:r>
      <w:r w:rsidRPr="00F348ED">
        <w:rPr>
          <w:rFonts w:eastAsia="Calibri"/>
          <w:color w:val="000000"/>
          <w:sz w:val="24"/>
          <w:szCs w:val="24"/>
        </w:rPr>
        <w:t xml:space="preserve"> provides details on the specific impact of teachers’ practical and laboratory skills on teaching competencies. The unstandardized coefficient of 0.642 indicates that each unit increase in practical skills corresponds to an increase of 0.642 units in teaching competency, holding other factors constant. The standardized coefficient (Beta = 0.411) points to a moderate effect size, showing practical skills as a meaningful predictor within this model. The t-value of 8.986 and the p-value of .000 emphasize that this effect is statistically significant. Furthermore, the 95% </w:t>
      </w:r>
      <w:r w:rsidRPr="00F348ED">
        <w:rPr>
          <w:rFonts w:eastAsia="Calibri"/>
          <w:color w:val="000000"/>
          <w:sz w:val="24"/>
          <w:szCs w:val="24"/>
        </w:rPr>
        <w:lastRenderedPageBreak/>
        <w:t>confidence interval (0.501 to 0.783) does not include zero, reinforcing the reliability of the estimate.</w:t>
      </w:r>
    </w:p>
    <w:p w14:paraId="67735315" w14:textId="77777777" w:rsidR="00F348ED" w:rsidRPr="00F348ED" w:rsidRDefault="00F348ED" w:rsidP="00084F2C">
      <w:pPr>
        <w:widowControl/>
        <w:adjustRightInd w:val="0"/>
        <w:spacing w:before="100" w:beforeAutospacing="1"/>
        <w:jc w:val="both"/>
        <w:rPr>
          <w:rFonts w:eastAsia="Calibri"/>
          <w:color w:val="000000"/>
          <w:sz w:val="24"/>
          <w:szCs w:val="24"/>
        </w:rPr>
      </w:pPr>
      <w:r w:rsidRPr="00F348ED">
        <w:rPr>
          <w:rFonts w:eastAsia="Calibri"/>
          <w:color w:val="000000"/>
          <w:sz w:val="24"/>
          <w:szCs w:val="24"/>
        </w:rPr>
        <w:t>Based on this evidence, the null hypothesis (Ho2) that teachers’ practical and laboratory skills have no significant influence on their teaching competencies is rejected. Instead, the alternative hypothesis (Ha2) is accepted, confirming a statistically significant and positive influence of practical and laboratory skills on teaching competencies. While the strength of this relationship is moderate compared to content knowledge, it highlights the important role that hands-on skills and laboratory proficiency play in enhancing teachers’ overall effectiveness in food science education. This finding underscores the need to support teachers in developing and maintaining practical skills as part of comprehensive professional development efforts.</w:t>
      </w:r>
    </w:p>
    <w:p w14:paraId="4E472AD0" w14:textId="77777777" w:rsidR="00B24650" w:rsidRDefault="00B24650" w:rsidP="00084F2C">
      <w:pPr>
        <w:spacing w:after="100" w:afterAutospacing="1"/>
        <w:outlineLvl w:val="2"/>
        <w:rPr>
          <w:b/>
          <w:bCs/>
          <w:sz w:val="24"/>
          <w:szCs w:val="24"/>
        </w:rPr>
      </w:pPr>
    </w:p>
    <w:p w14:paraId="1B4253C4" w14:textId="77777777" w:rsidR="00B24650" w:rsidRDefault="00B24650" w:rsidP="00084F2C">
      <w:pPr>
        <w:spacing w:after="100" w:afterAutospacing="1"/>
        <w:outlineLvl w:val="2"/>
        <w:rPr>
          <w:b/>
          <w:bCs/>
          <w:sz w:val="24"/>
          <w:szCs w:val="24"/>
        </w:rPr>
      </w:pPr>
      <w:r>
        <w:rPr>
          <w:b/>
          <w:bCs/>
          <w:sz w:val="24"/>
          <w:szCs w:val="24"/>
        </w:rPr>
        <w:t xml:space="preserve">Table </w:t>
      </w:r>
      <w:r w:rsidR="00D87460">
        <w:rPr>
          <w:b/>
          <w:bCs/>
          <w:sz w:val="24"/>
          <w:szCs w:val="24"/>
        </w:rPr>
        <w:t>10</w:t>
      </w:r>
      <w:r>
        <w:rPr>
          <w:b/>
          <w:bCs/>
          <w:sz w:val="24"/>
          <w:szCs w:val="24"/>
        </w:rPr>
        <w:t>: Qualitative Findings on Teachers’ Practical and Laboratory Skills in Food Science and Their Teaching Competencies</w:t>
      </w:r>
    </w:p>
    <w:tbl>
      <w:tblPr>
        <w:tblW w:w="0" w:type="auto"/>
        <w:tblCellSpacing w:w="15" w:type="dxa"/>
        <w:tblInd w:w="63" w:type="dxa"/>
        <w:tblLook w:val="04A0" w:firstRow="1" w:lastRow="0" w:firstColumn="1" w:lastColumn="0" w:noHBand="0" w:noVBand="1"/>
      </w:tblPr>
      <w:tblGrid>
        <w:gridCol w:w="2609"/>
        <w:gridCol w:w="2201"/>
        <w:gridCol w:w="1948"/>
        <w:gridCol w:w="2539"/>
      </w:tblGrid>
      <w:tr w:rsidR="00B24650" w14:paraId="1F12D2ED"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A9456C0" w14:textId="77777777" w:rsidR="00B24650" w:rsidRDefault="00B24650" w:rsidP="00084F2C">
            <w:pPr>
              <w:rPr>
                <w:b/>
                <w:bCs/>
              </w:rPr>
            </w:pPr>
            <w:r>
              <w:rPr>
                <w:b/>
                <w:bCs/>
              </w:rPr>
              <w:t>Category of Variable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7D0E7B5" w14:textId="77777777" w:rsidR="00B24650" w:rsidRDefault="00B24650" w:rsidP="00084F2C">
            <w:pPr>
              <w:rPr>
                <w:b/>
                <w:bCs/>
              </w:rPr>
            </w:pPr>
            <w:r>
              <w:rPr>
                <w:b/>
                <w:bCs/>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455CA11" w14:textId="77777777" w:rsidR="00B24650" w:rsidRDefault="00B24650" w:rsidP="00084F2C">
            <w:pPr>
              <w:rPr>
                <w:b/>
                <w:bCs/>
              </w:rPr>
            </w:pPr>
            <w:r>
              <w:rPr>
                <w:b/>
                <w:bCs/>
              </w:rPr>
              <w:t>Response Theme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A35DAAD" w14:textId="77777777" w:rsidR="00B24650" w:rsidRDefault="00B24650" w:rsidP="00084F2C">
            <w:pPr>
              <w:rPr>
                <w:b/>
                <w:bCs/>
              </w:rPr>
            </w:pPr>
            <w:r>
              <w:rPr>
                <w:b/>
                <w:bCs/>
              </w:rPr>
              <w:t>Key Statements from Inspectors</w:t>
            </w:r>
          </w:p>
        </w:tc>
      </w:tr>
      <w:tr w:rsidR="00B24650" w14:paraId="3ED9B72C" w14:textId="77777777" w:rsidTr="00B24650">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0328ACA" w14:textId="77777777" w:rsidR="00B24650" w:rsidRDefault="00B24650" w:rsidP="00084F2C">
            <w:r>
              <w:t>Teachers’ Practical and Laboratory Skills in Food Science and Their Teaching Competencies</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1E03462B" w14:textId="77777777" w:rsidR="00B24650" w:rsidRDefault="00B24650" w:rsidP="00084F2C">
            <w:r>
              <w:t>How would you describe teachers’ practical skills in food science?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EA7B0D7" w14:textId="77777777" w:rsidR="00B24650" w:rsidRDefault="00B24650" w:rsidP="00084F2C">
            <w:r>
              <w:t>Many lack hands-on experience</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238246A" w14:textId="77777777" w:rsidR="00B24650" w:rsidRDefault="00B24650" w:rsidP="00084F2C">
            <w:r>
              <w:t>“Most teachers have theoretical knowledge but limited practical exposure.” (PI3)</w:t>
            </w:r>
          </w:p>
        </w:tc>
      </w:tr>
      <w:tr w:rsidR="00B24650" w14:paraId="25D070F5" w14:textId="77777777" w:rsidTr="00B24650">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4154E376" w14:textId="77777777" w:rsidR="00B24650" w:rsidRDefault="00B24650" w:rsidP="00084F2C">
            <w:pPr>
              <w:rPr>
                <w:rFonts w:eastAsia="Calibri"/>
              </w:rPr>
            </w:pPr>
          </w:p>
        </w:tc>
        <w:tc>
          <w:tcPr>
            <w:tcW w:w="0" w:type="auto"/>
            <w:tcBorders>
              <w:top w:val="nil"/>
              <w:left w:val="nil"/>
              <w:bottom w:val="nil"/>
              <w:right w:val="nil"/>
            </w:tcBorders>
            <w:tcMar>
              <w:top w:w="15" w:type="dxa"/>
              <w:left w:w="15" w:type="dxa"/>
              <w:bottom w:w="15" w:type="dxa"/>
              <w:right w:w="15" w:type="dxa"/>
            </w:tcMar>
            <w:vAlign w:val="center"/>
            <w:hideMark/>
          </w:tcPr>
          <w:p w14:paraId="70A6F37E" w14:textId="77777777" w:rsidR="00B24650" w:rsidRDefault="00B24650" w:rsidP="00084F2C">
            <w:r>
              <w:t xml:space="preserve">What are the challenges to implementing </w:t>
            </w:r>
            <w:proofErr w:type="spellStart"/>
            <w:r>
              <w:t>practicals</w:t>
            </w:r>
            <w:proofErr w:type="spellEnd"/>
            <w:r>
              <w:t xml:space="preserve"> in schools?</w:t>
            </w:r>
          </w:p>
        </w:tc>
        <w:tc>
          <w:tcPr>
            <w:tcW w:w="0" w:type="auto"/>
            <w:tcBorders>
              <w:top w:val="nil"/>
              <w:left w:val="nil"/>
              <w:bottom w:val="nil"/>
              <w:right w:val="nil"/>
            </w:tcBorders>
            <w:tcMar>
              <w:top w:w="15" w:type="dxa"/>
              <w:left w:w="15" w:type="dxa"/>
              <w:bottom w:w="15" w:type="dxa"/>
              <w:right w:w="15" w:type="dxa"/>
            </w:tcMar>
            <w:vAlign w:val="center"/>
            <w:hideMark/>
          </w:tcPr>
          <w:p w14:paraId="4FD80981" w14:textId="77777777" w:rsidR="00B24650" w:rsidRDefault="00B24650" w:rsidP="00084F2C">
            <w:r>
              <w:t>Infrastructure and equipment are lacking</w:t>
            </w:r>
          </w:p>
        </w:tc>
        <w:tc>
          <w:tcPr>
            <w:tcW w:w="0" w:type="auto"/>
            <w:tcBorders>
              <w:top w:val="nil"/>
              <w:left w:val="nil"/>
              <w:bottom w:val="nil"/>
              <w:right w:val="nil"/>
            </w:tcBorders>
            <w:tcMar>
              <w:top w:w="15" w:type="dxa"/>
              <w:left w:w="15" w:type="dxa"/>
              <w:bottom w:w="15" w:type="dxa"/>
              <w:right w:w="15" w:type="dxa"/>
            </w:tcMar>
            <w:vAlign w:val="center"/>
            <w:hideMark/>
          </w:tcPr>
          <w:p w14:paraId="2DF186E3" w14:textId="77777777" w:rsidR="00B24650" w:rsidRDefault="00B24650" w:rsidP="00084F2C">
            <w:r>
              <w:t>“Many schools don’t have functional laboratories or basic food science tools.” (PI2)</w:t>
            </w:r>
          </w:p>
        </w:tc>
      </w:tr>
      <w:tr w:rsidR="00B24650" w14:paraId="77B09C3B" w14:textId="77777777" w:rsidTr="00B24650">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488A2D36" w14:textId="77777777" w:rsidR="00B24650" w:rsidRDefault="00B24650" w:rsidP="00084F2C">
            <w:pPr>
              <w:rPr>
                <w:rFonts w:eastAsia="Calibri"/>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7F55205" w14:textId="77777777" w:rsidR="00B24650" w:rsidRDefault="00B24650" w:rsidP="00084F2C">
            <w:r>
              <w:t>How do practical skills influence teaching competencies?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9588F1E" w14:textId="77777777" w:rsidR="00B24650" w:rsidRDefault="00B24650" w:rsidP="00084F2C">
            <w:r>
              <w:t>They enhance student engagement and understanding</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5772AC4" w14:textId="77777777" w:rsidR="00B24650" w:rsidRDefault="00B24650" w:rsidP="00084F2C">
            <w:r>
              <w:t>“Teachers who demonstrate concepts practically tend to produce better learning outcomes.” (PI4)</w:t>
            </w:r>
          </w:p>
        </w:tc>
      </w:tr>
    </w:tbl>
    <w:p w14:paraId="4D668D87" w14:textId="77777777" w:rsidR="00B24650" w:rsidRPr="009A563E" w:rsidRDefault="00B24650" w:rsidP="009A563E">
      <w:pPr>
        <w:tabs>
          <w:tab w:val="left" w:pos="2119"/>
        </w:tabs>
        <w:spacing w:before="240" w:after="240"/>
        <w:jc w:val="both"/>
        <w:rPr>
          <w:rFonts w:eastAsia="Calibri"/>
          <w:color w:val="000000"/>
          <w:sz w:val="24"/>
          <w:szCs w:val="24"/>
        </w:rPr>
      </w:pPr>
      <w:r>
        <w:rPr>
          <w:rFonts w:eastAsia="Calibri"/>
          <w:sz w:val="24"/>
          <w:szCs w:val="24"/>
        </w:rPr>
        <w:t xml:space="preserve">The interview findings presented in Table </w:t>
      </w:r>
      <w:r w:rsidR="00D87460">
        <w:rPr>
          <w:rFonts w:eastAsia="Calibri"/>
          <w:sz w:val="24"/>
          <w:szCs w:val="24"/>
        </w:rPr>
        <w:t>10</w:t>
      </w:r>
      <w:r>
        <w:rPr>
          <w:rFonts w:eastAsia="Calibri"/>
          <w:sz w:val="24"/>
          <w:szCs w:val="24"/>
        </w:rPr>
        <w:t xml:space="preserve"> highlight significant concerns regarding food science teachers’ practical and laboratory skills and how these affect their overall teaching competencies. According to the inspectors, many teachers possess sufficient theoretical knowledge but fall short when it comes to practical, hands-on experience. PI3 pointed out that most teachers have not had adequate exposure to real-life food science applications, which limits their ability to effectively conduct experiments or demonstrate key concepts in the classroom.</w:t>
      </w:r>
      <w:r w:rsidR="009A563E">
        <w:rPr>
          <w:rFonts w:eastAsia="Calibri"/>
          <w:color w:val="000000"/>
          <w:sz w:val="24"/>
          <w:szCs w:val="24"/>
        </w:rPr>
        <w:t xml:space="preserve"> </w:t>
      </w:r>
      <w:r>
        <w:rPr>
          <w:rFonts w:eastAsia="Calibri"/>
          <w:sz w:val="24"/>
          <w:szCs w:val="24"/>
        </w:rPr>
        <w:t>A major barrier to practical instruction identified by the inspectors is the lack of infrastructure and equipment in many schools. PI2 noted that numerous institutions do not have functional laboratories or even the basic tools required for conducting simple food science experiments. This lack of facilities restricts teachers from engaging students in hands-on learning, which is critical in a subject that requires experimentation and observation. As a result, even teachers who are willing and trained may be unable to fully implement practical components of the curriculum due to systemic limitations.</w:t>
      </w:r>
    </w:p>
    <w:p w14:paraId="0C6FB84C" w14:textId="43FCC397" w:rsidR="00B24650" w:rsidRPr="003A3D32" w:rsidRDefault="00B24650" w:rsidP="003A3D32">
      <w:pPr>
        <w:tabs>
          <w:tab w:val="left" w:pos="2119"/>
        </w:tabs>
        <w:spacing w:after="240"/>
        <w:jc w:val="both"/>
        <w:rPr>
          <w:rFonts w:eastAsia="Calibri"/>
          <w:sz w:val="24"/>
          <w:szCs w:val="24"/>
        </w:rPr>
      </w:pPr>
      <w:r>
        <w:rPr>
          <w:rFonts w:eastAsia="Calibri"/>
          <w:sz w:val="24"/>
          <w:szCs w:val="24"/>
        </w:rPr>
        <w:t>Despite these challenges, the inspectors emphasized the importance of practical skills in enhancing teaching effectiveness. PI4 observed that teachers who are able to practically demonstrate scientific principles tend to achieve better student outcomes in terms of engagement and conceptual understanding. This suggests that equipping teachers with practical skills and ensuring access to laboratory facilities is essential for bridging the gap between theory and application. Overall, the findings underscore the need for targeted investments in both teacher training and school infrastructure to strengthen the practical dimensions of food science education.</w:t>
      </w:r>
    </w:p>
    <w:p w14:paraId="34FDEA97" w14:textId="77777777" w:rsidR="00084F2C" w:rsidRDefault="00084F2C" w:rsidP="00084F2C">
      <w:pPr>
        <w:jc w:val="both"/>
        <w:rPr>
          <w:rFonts w:eastAsia="Calibri"/>
          <w:sz w:val="24"/>
          <w:szCs w:val="24"/>
        </w:rPr>
      </w:pPr>
      <w:r>
        <w:rPr>
          <w:rFonts w:eastAsia="Calibri"/>
          <w:sz w:val="24"/>
          <w:szCs w:val="24"/>
        </w:rPr>
        <w:t xml:space="preserve">Quantitative results established a statistically significant relationship (R = 0.411, p &lt; .05) between </w:t>
      </w:r>
      <w:r>
        <w:rPr>
          <w:rFonts w:eastAsia="Calibri"/>
          <w:sz w:val="24"/>
          <w:szCs w:val="24"/>
        </w:rPr>
        <w:lastRenderedPageBreak/>
        <w:t>practical skills and teaching competencies, with an overall mean of 3.33, suggesting moderate confidence in this area. However, the qualitative findings brought to light serious deficiencies in hands-on competencies, aligning with the lower ratings for items like lab safety and equipment use. Inspectors (notably PI3) observed that many teachers possess theoretical understanding but have little real-world laboratory experience. This discrepancy was compounded by infrastructural challenges (PI2), as many schools lack functional labs or the necessary tools for experimentation. Despite these barriers, both datasets agreed that practical skills substantially enhance teaching effectiveness, demonstrated in the strong regression coefficient (B = 0.642) and PI4’s emphasis on how hands-on demonstrations improve student outcomes. Thus, the triangulated data suggest that improving practical competencies requires not only teacher training but also investment in laboratory infrastructure.</w:t>
      </w:r>
    </w:p>
    <w:p w14:paraId="0C1D786D" w14:textId="77777777" w:rsidR="00B24650" w:rsidRDefault="00B24650" w:rsidP="00B24650">
      <w:pPr>
        <w:rPr>
          <w:rFonts w:eastAsia="Calibri"/>
          <w:sz w:val="24"/>
          <w:szCs w:val="24"/>
        </w:rPr>
      </w:pPr>
    </w:p>
    <w:p w14:paraId="61A1B1B5" w14:textId="77777777" w:rsidR="00B24650" w:rsidRDefault="00B24650" w:rsidP="00B24650">
      <w:pPr>
        <w:rPr>
          <w:rFonts w:eastAsia="Calibri"/>
          <w:sz w:val="24"/>
          <w:szCs w:val="24"/>
        </w:rPr>
      </w:pPr>
      <w:r>
        <w:rPr>
          <w:rFonts w:eastAsia="Calibri"/>
          <w:sz w:val="24"/>
          <w:szCs w:val="24"/>
        </w:rPr>
        <w:t xml:space="preserve"> </w:t>
      </w:r>
    </w:p>
    <w:p w14:paraId="132B4ADE" w14:textId="77777777" w:rsidR="00B24650" w:rsidRDefault="00B24650" w:rsidP="00B24650">
      <w:pPr>
        <w:rPr>
          <w:rFonts w:eastAsia="Calibri"/>
          <w:sz w:val="24"/>
          <w:szCs w:val="24"/>
        </w:rPr>
      </w:pPr>
      <w:r>
        <w:rPr>
          <w:rFonts w:eastAsia="Calibri"/>
          <w:sz w:val="24"/>
          <w:szCs w:val="24"/>
        </w:rPr>
        <w:t xml:space="preserve"> </w:t>
      </w:r>
    </w:p>
    <w:p w14:paraId="7EE3DF84" w14:textId="77777777" w:rsidR="00B24650" w:rsidRPr="00084F2C" w:rsidRDefault="00084F2C" w:rsidP="00084F2C">
      <w:pPr>
        <w:rPr>
          <w:rFonts w:eastAsia="Calibri"/>
          <w:b/>
          <w:sz w:val="24"/>
          <w:szCs w:val="24"/>
        </w:rPr>
      </w:pPr>
      <w:r w:rsidRPr="00084F2C">
        <w:rPr>
          <w:rFonts w:eastAsia="Calibri"/>
          <w:b/>
          <w:sz w:val="24"/>
          <w:szCs w:val="24"/>
        </w:rPr>
        <w:t>DISCUSSION OF FINDINGS</w:t>
      </w:r>
    </w:p>
    <w:p w14:paraId="5C1C5DCD" w14:textId="77777777" w:rsidR="00116F17" w:rsidRDefault="000E1297" w:rsidP="00116F17">
      <w:pPr>
        <w:widowControl/>
        <w:autoSpaceDE/>
        <w:autoSpaceDN/>
        <w:spacing w:before="240" w:after="100" w:afterAutospacing="1"/>
        <w:jc w:val="both"/>
        <w:rPr>
          <w:sz w:val="24"/>
          <w:szCs w:val="24"/>
        </w:rPr>
      </w:pPr>
      <w:r w:rsidRPr="000E1297">
        <w:rPr>
          <w:b/>
          <w:bCs/>
          <w:sz w:val="24"/>
          <w:szCs w:val="24"/>
        </w:rPr>
        <w:t>Teachers’ Content Knowledge in Food Science and Their Teaching Competencies</w:t>
      </w:r>
    </w:p>
    <w:p w14:paraId="0702C5FD" w14:textId="4ADB5A19" w:rsidR="000E1297" w:rsidRPr="00116F17" w:rsidRDefault="000E1297" w:rsidP="00116F17">
      <w:pPr>
        <w:widowControl/>
        <w:autoSpaceDE/>
        <w:autoSpaceDN/>
        <w:spacing w:before="240" w:after="100" w:afterAutospacing="1"/>
        <w:jc w:val="both"/>
        <w:rPr>
          <w:b/>
          <w:bCs/>
          <w:sz w:val="24"/>
          <w:szCs w:val="24"/>
        </w:rPr>
      </w:pPr>
      <w:r w:rsidRPr="000E1297">
        <w:rPr>
          <w:sz w:val="24"/>
          <w:szCs w:val="24"/>
        </w:rPr>
        <w:t xml:space="preserve">The triangulated findings from this study affirm that teachers’ content knowledge in food science plays a pivotal role in shaping their teaching competencies. Quantitative results showed a moderately strong and statistically significant correlation (R = 0.601, p &lt; .05), suggesting that teachers who possess a solid understanding of food science content tend to demonstrate higher levels of teaching competence. This aligns with Shulman’s (1987) concept of pedagogical content knowledge (PCK), which highlights the interplay between subject mastery and instructional skill. However, while the mean score of 3.38 reflects teachers’ high self-assessment of content knowledge, qualitative interviews with pedagogic inspectors revealed inconsistencies, especially among novice teachers. Inspectors pointed out gaps in teachers’ understanding of essential topics such as food preservation, nutrition science, and food safety, which often led to misinformation and incomplete instruction during lessons. These findings correspond with McPherson-Geyser, de Villiers, and </w:t>
      </w:r>
      <w:proofErr w:type="spellStart"/>
      <w:r w:rsidRPr="000E1297">
        <w:rPr>
          <w:sz w:val="24"/>
          <w:szCs w:val="24"/>
        </w:rPr>
        <w:t>Kavai</w:t>
      </w:r>
      <w:proofErr w:type="spellEnd"/>
      <w:r w:rsidRPr="000E1297">
        <w:rPr>
          <w:sz w:val="24"/>
          <w:szCs w:val="24"/>
        </w:rPr>
        <w:t xml:space="preserve"> (2020), who found that while teachers often report using experiential learning strategies, many still struggle to connect theoretical and practical aspects of their subject matter. Furthermore, research by Loughran (2013) emphasizes that deep subject knowledge is indispensable for effective curriculum implementation, scaffolding student understanding, and promoting meaningful learning. Thus, the converging data underscore that although teachers may perceive themselves as knowledgeable, institutional mechanisms such as peer observation, mentoring, and targeted subject-specific training are essential for verifying and improving actual content knowledge. These measures help ensure that curricula are not merely delivered but internalized by learners in scientifically accurate and pedagogically sound ways.</w:t>
      </w:r>
    </w:p>
    <w:p w14:paraId="7F57F3A5" w14:textId="77777777" w:rsidR="00116F17" w:rsidRDefault="000E1297" w:rsidP="00116F17">
      <w:pPr>
        <w:widowControl/>
        <w:autoSpaceDE/>
        <w:autoSpaceDN/>
        <w:spacing w:before="100" w:beforeAutospacing="1" w:after="100" w:afterAutospacing="1"/>
        <w:jc w:val="both"/>
        <w:rPr>
          <w:sz w:val="24"/>
          <w:szCs w:val="24"/>
        </w:rPr>
      </w:pPr>
      <w:r w:rsidRPr="000E1297">
        <w:rPr>
          <w:b/>
          <w:bCs/>
          <w:sz w:val="24"/>
          <w:szCs w:val="24"/>
        </w:rPr>
        <w:t>Teachers’ Practical and Laboratory Skills in Food Science and Their Teaching Competencies</w:t>
      </w:r>
    </w:p>
    <w:p w14:paraId="10723848" w14:textId="5F1337FE" w:rsidR="000E1297" w:rsidRPr="000E1297" w:rsidRDefault="000E1297" w:rsidP="00116F17">
      <w:pPr>
        <w:widowControl/>
        <w:autoSpaceDE/>
        <w:autoSpaceDN/>
        <w:spacing w:after="100" w:afterAutospacing="1"/>
        <w:jc w:val="both"/>
        <w:rPr>
          <w:sz w:val="24"/>
          <w:szCs w:val="24"/>
        </w:rPr>
      </w:pPr>
      <w:r w:rsidRPr="000E1297">
        <w:rPr>
          <w:sz w:val="24"/>
          <w:szCs w:val="24"/>
        </w:rPr>
        <w:t xml:space="preserve">Practical and laboratory skills are equally crucial in the context of food science teaching, and their contribution to instructional quality was evident in both quantitative and qualitative strands of data. Quantitatively, the study revealed a statistically significant relationship (R = 0.411, p &lt; .05) between teachers’ hands-on skills and their teaching competencies, with a mean score of 3.33 indicating moderate confidence. However, this moderate score and weaker correlation compared to content knowledge suggest a notable gap between conceptual understanding and actual laboratory practice. Qualitative responses from inspectors were more critical, highlighting deficiencies in basic laboratory operations such as safety procedures, equipment handling, and the execution of experiments. This aligns with Ramnarain (2020), who documented how many African secondary schools face major practical-work constraints, including inadequate lab facilities and </w:t>
      </w:r>
      <w:r w:rsidRPr="000E1297">
        <w:rPr>
          <w:sz w:val="24"/>
          <w:szCs w:val="24"/>
        </w:rPr>
        <w:lastRenderedPageBreak/>
        <w:t xml:space="preserve">limited teacher preparation in hands-on science. Further, Boateng and </w:t>
      </w:r>
      <w:proofErr w:type="spellStart"/>
      <w:r w:rsidRPr="000E1297">
        <w:rPr>
          <w:sz w:val="24"/>
          <w:szCs w:val="24"/>
        </w:rPr>
        <w:t>Maroloma</w:t>
      </w:r>
      <w:proofErr w:type="spellEnd"/>
      <w:r w:rsidRPr="000E1297">
        <w:rPr>
          <w:sz w:val="24"/>
          <w:szCs w:val="24"/>
        </w:rPr>
        <w:t xml:space="preserve"> (2024) found that teachers recognize the value of practical work yet face systemic obstacles such as limited resources, time constraints, and insufficient training. Structural challenges also emerged in the current study, with inspectors noting that many schools lack adequately equipped food-science laboratories, limiting opportunities for student engagement in hands-on learning. Despite these obstacles, both quantitative and qualitative data confirmed the positive role of practical competence in enhancing student outcomes. To bridge the practical-skills gap, teacher-training programs must integrate intensive laboratory modules with supervised teaching practice, and local educational authorities should prioritize investmen</w:t>
      </w:r>
      <w:r>
        <w:rPr>
          <w:sz w:val="24"/>
          <w:szCs w:val="24"/>
        </w:rPr>
        <w:t xml:space="preserve">ts in laboratory infrastructure, </w:t>
      </w:r>
      <w:r w:rsidRPr="000E1297">
        <w:rPr>
          <w:sz w:val="24"/>
          <w:szCs w:val="24"/>
        </w:rPr>
        <w:t>even at a basic level. As the evidence shows, fostering strong practical skills in teachers is not a luxury but a necessity for effective food-science teaching in 21st-century classrooms.</w:t>
      </w:r>
    </w:p>
    <w:p w14:paraId="08E5CC92" w14:textId="77777777" w:rsidR="00084F2C" w:rsidRDefault="00084F2C" w:rsidP="000E1297">
      <w:pPr>
        <w:pStyle w:val="Heading1"/>
        <w:ind w:left="0" w:right="0"/>
        <w:jc w:val="both"/>
        <w:rPr>
          <w:b w:val="0"/>
        </w:rPr>
      </w:pPr>
    </w:p>
    <w:p w14:paraId="72E5A92B" w14:textId="77777777" w:rsidR="00084F2C" w:rsidRDefault="00084F2C" w:rsidP="000E1297">
      <w:pPr>
        <w:tabs>
          <w:tab w:val="left" w:pos="2119"/>
        </w:tabs>
        <w:spacing w:after="240"/>
        <w:jc w:val="both"/>
        <w:rPr>
          <w:rFonts w:eastAsia="Calibri"/>
          <w:b/>
          <w:bCs/>
          <w:sz w:val="24"/>
          <w:szCs w:val="24"/>
        </w:rPr>
      </w:pPr>
      <w:r>
        <w:rPr>
          <w:rFonts w:eastAsia="Calibri"/>
          <w:b/>
          <w:bCs/>
          <w:sz w:val="24"/>
          <w:szCs w:val="24"/>
        </w:rPr>
        <w:t>CONCLUSION</w:t>
      </w:r>
    </w:p>
    <w:p w14:paraId="6F97D64C" w14:textId="77777777" w:rsidR="00A2635D" w:rsidRDefault="00A2635D" w:rsidP="000E1297">
      <w:pPr>
        <w:pStyle w:val="NormalWeb"/>
        <w:jc w:val="both"/>
      </w:pPr>
      <w:r>
        <w:t xml:space="preserve">The findings of this study clearly demonstrate that specialized food science pedagogical training significantly enhances teachers’ teaching competencies in secondary schools within Mezam Division. The quantitative results revealed that teachers’ mastery of content knowledge and their practical and laboratory skills both have positive and statistically significant impacts on instructional effectiveness. Teachers with higher content mastery were better able to simplify complex concepts, link theory to real-life applications, and foster student understanding, while those with strong laboratory skills conducted regular </w:t>
      </w:r>
      <w:proofErr w:type="spellStart"/>
      <w:r>
        <w:t>practicals</w:t>
      </w:r>
      <w:proofErr w:type="spellEnd"/>
      <w:r>
        <w:t>, reinforced theory through experimentation, and actively engaged learners. However, gaps were noted in safety practices, equipment handling, and depth of content knowledge among some teachers, particularly recent graduates. The qualitative insights from inspectors confirmed these patterns, emphasizing that continuous subject-based training and resource provision are essential for consistent improvement in teaching quality.</w:t>
      </w:r>
    </w:p>
    <w:p w14:paraId="2F050F3B" w14:textId="77777777" w:rsidR="00A2635D" w:rsidRPr="00A2635D" w:rsidRDefault="00A2635D" w:rsidP="000E1297">
      <w:pPr>
        <w:pStyle w:val="NormalWeb"/>
        <w:jc w:val="both"/>
      </w:pPr>
      <w:r>
        <w:t>In conclusion, the study establishes that specialized pedagogical training in food science is a critical factor in improving the professional competencies of secondary school teachers in Mezam Division. Teachers’ content knowledge and practical expertise collectively determine their ability to deliver effective, engaging, and skill-oriented instruction. Therefore, sustained investment in professional development, regular in-service workshops, and improved laboratory infrastructure are strongly recommended. Strengthening these areas will not only enhance teaching performance but also ensure that students acquire the scientific and technical skills needed to contribute meaningfully to food security, nutrition, and sustainable development in Cameroon.</w:t>
      </w:r>
    </w:p>
    <w:p w14:paraId="70261A61" w14:textId="77777777" w:rsidR="00084F2C" w:rsidRDefault="00A2635D" w:rsidP="00084F2C">
      <w:pPr>
        <w:tabs>
          <w:tab w:val="left" w:pos="2119"/>
        </w:tabs>
        <w:spacing w:after="240"/>
        <w:jc w:val="both"/>
        <w:rPr>
          <w:rFonts w:eastAsia="Calibri"/>
          <w:b/>
          <w:bCs/>
          <w:sz w:val="24"/>
          <w:szCs w:val="24"/>
        </w:rPr>
      </w:pPr>
      <w:r>
        <w:rPr>
          <w:rFonts w:eastAsia="Calibri"/>
          <w:b/>
          <w:bCs/>
          <w:sz w:val="24"/>
          <w:szCs w:val="24"/>
        </w:rPr>
        <w:t>IMPLICATIONS OF THE FINDINGS</w:t>
      </w:r>
    </w:p>
    <w:p w14:paraId="00CEF42D" w14:textId="77777777" w:rsidR="00084F2C" w:rsidRDefault="00084F2C" w:rsidP="00084F2C">
      <w:pPr>
        <w:tabs>
          <w:tab w:val="left" w:pos="2119"/>
        </w:tabs>
        <w:spacing w:after="240"/>
        <w:jc w:val="both"/>
        <w:rPr>
          <w:rFonts w:eastAsia="Calibri"/>
          <w:sz w:val="24"/>
          <w:szCs w:val="24"/>
        </w:rPr>
      </w:pPr>
      <w:r>
        <w:rPr>
          <w:rFonts w:eastAsia="Calibri"/>
          <w:sz w:val="24"/>
          <w:szCs w:val="24"/>
        </w:rPr>
        <w:t>The findings suggest that a teacher’s mastery of subject matter in food science is foundational to effective instruction. The significant correlation between content knowledge and teaching competence implies that weak understanding of food science concepts directly hampers pedagogical clarity and delivery. This is particularly critical for complex or technical content areas such as nutrition, food chemistry, and preservation techniques. If teachers lack confidence or accuracy in their subject knowledge, students may develop misconceptions that hinder both academic achievement and practical application.</w:t>
      </w:r>
    </w:p>
    <w:p w14:paraId="1E7A1C6B" w14:textId="77777777" w:rsidR="00084F2C" w:rsidRDefault="00084F2C" w:rsidP="00084F2C">
      <w:pPr>
        <w:tabs>
          <w:tab w:val="left" w:pos="2119"/>
        </w:tabs>
        <w:jc w:val="both"/>
        <w:rPr>
          <w:rFonts w:eastAsia="Calibri"/>
          <w:sz w:val="24"/>
          <w:szCs w:val="24"/>
        </w:rPr>
      </w:pPr>
      <w:r>
        <w:rPr>
          <w:rFonts w:eastAsia="Calibri"/>
          <w:sz w:val="24"/>
          <w:szCs w:val="24"/>
        </w:rPr>
        <w:t xml:space="preserve">The moderate relationship between practical competence and teaching effectiveness underscores the role of experiential learning in food science education. This suggests that students benefit significantly when teachers can demonstrate food processing techniques or engage them in hands-on experimentation. However, inadequate lab infrastructure and insufficient teacher training diminish this benefit. As a result, theoretical learning often dominates the curriculum, depriving students of essential practical competencies needed for careers in agriculture, nutrition, or food </w:t>
      </w:r>
      <w:r>
        <w:rPr>
          <w:rFonts w:eastAsia="Calibri"/>
          <w:sz w:val="24"/>
          <w:szCs w:val="24"/>
        </w:rPr>
        <w:lastRenderedPageBreak/>
        <w:t>technology.</w:t>
      </w:r>
    </w:p>
    <w:p w14:paraId="4DA105F2" w14:textId="77777777" w:rsidR="00084F2C" w:rsidRDefault="00A2635D" w:rsidP="00084F2C">
      <w:pPr>
        <w:tabs>
          <w:tab w:val="left" w:pos="2119"/>
        </w:tabs>
        <w:spacing w:before="240" w:after="240"/>
        <w:jc w:val="both"/>
        <w:rPr>
          <w:rFonts w:eastAsia="Calibri"/>
          <w:b/>
          <w:bCs/>
          <w:sz w:val="24"/>
          <w:szCs w:val="24"/>
        </w:rPr>
      </w:pPr>
      <w:r>
        <w:rPr>
          <w:rFonts w:eastAsia="Calibri"/>
          <w:b/>
          <w:bCs/>
          <w:sz w:val="24"/>
          <w:szCs w:val="24"/>
        </w:rPr>
        <w:t>RECOMMENDATIONS OF THE STUDY</w:t>
      </w:r>
    </w:p>
    <w:p w14:paraId="356DE86C" w14:textId="77777777" w:rsidR="00084F2C" w:rsidRDefault="00084F2C" w:rsidP="00084F2C">
      <w:pPr>
        <w:tabs>
          <w:tab w:val="left" w:pos="2119"/>
        </w:tabs>
        <w:spacing w:after="240"/>
        <w:jc w:val="both"/>
        <w:rPr>
          <w:rFonts w:eastAsia="Calibri"/>
          <w:sz w:val="24"/>
          <w:szCs w:val="24"/>
        </w:rPr>
      </w:pPr>
      <w:r>
        <w:rPr>
          <w:rFonts w:eastAsia="Calibri"/>
          <w:sz w:val="24"/>
          <w:szCs w:val="24"/>
        </w:rPr>
        <w:t>Teacher training colleges and in-service programs should place a renewed emphasis on deepening food science content mastery, particularly in newer and more technical topics. Curriculum developers must ensure that teacher education programs are aligned with the evolving secondary school syllabus. Furthermore, mentorship programs pairing novice teachers with experienced food science educators should be introduced to promote continuous content reinforcement and curriculum familiarity.</w:t>
      </w:r>
    </w:p>
    <w:p w14:paraId="547A4EC0" w14:textId="77777777" w:rsidR="00084F2C" w:rsidRDefault="00084F2C" w:rsidP="00084F2C">
      <w:pPr>
        <w:tabs>
          <w:tab w:val="left" w:pos="2119"/>
        </w:tabs>
        <w:spacing w:after="240"/>
        <w:jc w:val="both"/>
        <w:rPr>
          <w:rFonts w:eastAsia="Calibri"/>
          <w:sz w:val="24"/>
          <w:szCs w:val="24"/>
        </w:rPr>
      </w:pPr>
      <w:r>
        <w:rPr>
          <w:rFonts w:eastAsia="Calibri"/>
          <w:sz w:val="24"/>
          <w:szCs w:val="24"/>
        </w:rPr>
        <w:t>Educational stakeholders should invest in equipping secondary schools with functional food science laboratories and promote the development of mobile or improvised labs where resources are limited. Teacher training should include structured, hands-on sessions to build teachers' confidence in delivering practical lessons. Encouraging a culture of experiential learning will bridge the gap between theory and application, improving both teacher competence and student skill acquisition.</w:t>
      </w:r>
    </w:p>
    <w:p w14:paraId="5776A4D9" w14:textId="12DF332A" w:rsidR="005A4C81" w:rsidRDefault="005A4C81" w:rsidP="00116F17">
      <w:pPr>
        <w:spacing w:after="240"/>
        <w:rPr>
          <w:rFonts w:eastAsia="Calibri"/>
          <w:b/>
          <w:kern w:val="2"/>
          <w:sz w:val="24"/>
          <w:szCs w:val="24"/>
        </w:rPr>
      </w:pPr>
      <w:bookmarkStart w:id="0" w:name="_Hlk197682619"/>
      <w:bookmarkStart w:id="1" w:name="_Hlk180402183"/>
      <w:bookmarkStart w:id="2" w:name="_Hlk183680988"/>
      <w:bookmarkStart w:id="3" w:name="_Hlk197351200"/>
      <w:r>
        <w:rPr>
          <w:rFonts w:eastAsia="Calibri"/>
          <w:b/>
          <w:kern w:val="2"/>
          <w:sz w:val="24"/>
          <w:szCs w:val="24"/>
        </w:rPr>
        <w:t xml:space="preserve">Ethical approval and consent: </w:t>
      </w:r>
    </w:p>
    <w:p w14:paraId="17BA7CE5" w14:textId="33986016" w:rsidR="005A4C81" w:rsidRPr="005A4C81" w:rsidRDefault="005A4C81" w:rsidP="00116F17">
      <w:pPr>
        <w:spacing w:after="240"/>
        <w:rPr>
          <w:rFonts w:eastAsia="Calibri"/>
          <w:kern w:val="2"/>
          <w:sz w:val="24"/>
          <w:szCs w:val="24"/>
        </w:rPr>
      </w:pPr>
      <w:r w:rsidRPr="005A4C81">
        <w:rPr>
          <w:rFonts w:eastAsia="Calibri"/>
          <w:kern w:val="2"/>
          <w:sz w:val="24"/>
          <w:szCs w:val="24"/>
        </w:rPr>
        <w:t>Ethical approval was obtained, and participants gave informed consent. Confidentiality and anonymity were upheld throughout the study.</w:t>
      </w:r>
    </w:p>
    <w:p w14:paraId="54C80E0E" w14:textId="77777777" w:rsidR="005A4C81" w:rsidRDefault="005A4C81" w:rsidP="00116F17">
      <w:pPr>
        <w:spacing w:after="240"/>
        <w:rPr>
          <w:rFonts w:eastAsia="Calibri"/>
          <w:b/>
          <w:kern w:val="2"/>
          <w:sz w:val="24"/>
          <w:szCs w:val="24"/>
        </w:rPr>
      </w:pPr>
    </w:p>
    <w:p w14:paraId="008032A9" w14:textId="7D9EEBC6" w:rsidR="00E92DCD" w:rsidRPr="00116F17" w:rsidRDefault="00116F17" w:rsidP="00116F17">
      <w:pPr>
        <w:spacing w:after="240"/>
        <w:rPr>
          <w:rFonts w:eastAsia="Calibri"/>
          <w:b/>
          <w:kern w:val="2"/>
          <w:sz w:val="24"/>
          <w:szCs w:val="24"/>
        </w:rPr>
      </w:pPr>
      <w:r w:rsidRPr="00116F17">
        <w:rPr>
          <w:rFonts w:eastAsia="Calibri"/>
          <w:b/>
          <w:kern w:val="2"/>
          <w:sz w:val="24"/>
          <w:szCs w:val="24"/>
        </w:rPr>
        <w:t>DISCLAIMER (ARTIFICIAL INTELLIGENCE)</w:t>
      </w:r>
    </w:p>
    <w:p w14:paraId="768774C2" w14:textId="77777777" w:rsidR="00E92DCD" w:rsidRPr="00116F17" w:rsidRDefault="00E92DCD" w:rsidP="00E92DCD">
      <w:pPr>
        <w:rPr>
          <w:rFonts w:eastAsia="Calibri"/>
          <w:kern w:val="2"/>
          <w:sz w:val="24"/>
          <w:szCs w:val="24"/>
        </w:rPr>
      </w:pPr>
      <w:r w:rsidRPr="00116F17">
        <w:rPr>
          <w:rFonts w:eastAsia="Calibri"/>
          <w:kern w:val="2"/>
          <w:sz w:val="24"/>
          <w:szCs w:val="24"/>
        </w:rPr>
        <w:t>Author(s) hereby declare that NO generative AI technologies such as Large Language Models (</w:t>
      </w:r>
      <w:proofErr w:type="spellStart"/>
      <w:r w:rsidRPr="00116F17">
        <w:rPr>
          <w:rFonts w:eastAsia="Calibri"/>
          <w:kern w:val="2"/>
          <w:sz w:val="24"/>
          <w:szCs w:val="24"/>
        </w:rPr>
        <w:t>ChatGPT</w:t>
      </w:r>
      <w:proofErr w:type="spellEnd"/>
      <w:r w:rsidRPr="00116F17">
        <w:rPr>
          <w:rFonts w:eastAsia="Calibri"/>
          <w:kern w:val="2"/>
          <w:sz w:val="24"/>
          <w:szCs w:val="24"/>
        </w:rPr>
        <w:t xml:space="preserve">, COPILOT, etc.) and text-to-image generators have been used during the writing or editing of this manuscript. </w:t>
      </w:r>
    </w:p>
    <w:bookmarkEnd w:id="0"/>
    <w:bookmarkEnd w:id="1"/>
    <w:bookmarkEnd w:id="2"/>
    <w:bookmarkEnd w:id="3"/>
    <w:p w14:paraId="435B172F" w14:textId="2420BDE9" w:rsidR="00ED23EE" w:rsidRDefault="00ED23EE" w:rsidP="00084F2C">
      <w:pPr>
        <w:pStyle w:val="Heading1"/>
        <w:spacing w:after="240"/>
        <w:ind w:left="0" w:right="0"/>
        <w:jc w:val="both"/>
      </w:pPr>
    </w:p>
    <w:p w14:paraId="795F692E" w14:textId="77777777" w:rsidR="00084F2C" w:rsidRDefault="00A2635D" w:rsidP="00084F2C">
      <w:pPr>
        <w:pStyle w:val="Heading1"/>
        <w:spacing w:after="240"/>
        <w:ind w:left="0" w:right="0"/>
        <w:jc w:val="both"/>
      </w:pPr>
      <w:r w:rsidRPr="00A2635D">
        <w:t>REFERENCES</w:t>
      </w:r>
    </w:p>
    <w:p w14:paraId="5C52F2D5" w14:textId="77777777" w:rsidR="009A563E" w:rsidRPr="009A563E" w:rsidRDefault="009A563E" w:rsidP="009A563E">
      <w:pPr>
        <w:pStyle w:val="Heading1"/>
        <w:spacing w:after="240"/>
        <w:ind w:left="720" w:right="0" w:hanging="720"/>
        <w:jc w:val="both"/>
        <w:rPr>
          <w:b w:val="0"/>
        </w:rPr>
      </w:pPr>
      <w:r w:rsidRPr="009A563E">
        <w:rPr>
          <w:b w:val="0"/>
        </w:rPr>
        <w:t xml:space="preserve">Adewale, S. (2022). School administrators’ and teachers’ perceptions on policy-change implementation strategies adoption in technical colleges in South-west Nigeria. </w:t>
      </w:r>
      <w:r w:rsidRPr="009A563E">
        <w:rPr>
          <w:rStyle w:val="Emphasis"/>
          <w:b w:val="0"/>
        </w:rPr>
        <w:t>E-</w:t>
      </w:r>
      <w:proofErr w:type="spellStart"/>
      <w:r w:rsidRPr="009A563E">
        <w:rPr>
          <w:rStyle w:val="Emphasis"/>
          <w:b w:val="0"/>
        </w:rPr>
        <w:t>Kafkas</w:t>
      </w:r>
      <w:proofErr w:type="spellEnd"/>
      <w:r w:rsidRPr="009A563E">
        <w:rPr>
          <w:rStyle w:val="Emphasis"/>
          <w:b w:val="0"/>
        </w:rPr>
        <w:t xml:space="preserve"> Journal of Educational Research, 9</w:t>
      </w:r>
      <w:r w:rsidRPr="009A563E">
        <w:rPr>
          <w:b w:val="0"/>
        </w:rPr>
        <w:t xml:space="preserve">(2), 735-750. </w:t>
      </w:r>
      <w:hyperlink r:id="rId9" w:history="1">
        <w:r w:rsidRPr="009A563E">
          <w:rPr>
            <w:rStyle w:val="Hyperlink"/>
            <w:b w:val="0"/>
            <w:color w:val="auto"/>
            <w:u w:val="none"/>
          </w:rPr>
          <w:t>https://doi.org/10.30900/kafkasegt.996019</w:t>
        </w:r>
      </w:hyperlink>
    </w:p>
    <w:p w14:paraId="6C3A9125" w14:textId="77777777" w:rsidR="004C4BB6" w:rsidRPr="009A563E" w:rsidRDefault="004C4BB6" w:rsidP="009A563E">
      <w:pPr>
        <w:pStyle w:val="Heading1"/>
        <w:spacing w:after="240"/>
        <w:ind w:left="720" w:right="0" w:hanging="720"/>
        <w:jc w:val="both"/>
        <w:rPr>
          <w:b w:val="0"/>
        </w:rPr>
      </w:pPr>
      <w:r w:rsidRPr="004C4BB6">
        <w:rPr>
          <w:b w:val="0"/>
        </w:rPr>
        <w:t>Bandura, A. (1977). Social learning theory. Prentice-Hall.</w:t>
      </w:r>
    </w:p>
    <w:p w14:paraId="1DDF28C3" w14:textId="77777777" w:rsidR="009A563E" w:rsidRPr="009A563E" w:rsidRDefault="009A563E" w:rsidP="009A563E">
      <w:pPr>
        <w:pStyle w:val="Heading1"/>
        <w:spacing w:after="240"/>
        <w:ind w:left="720" w:right="0" w:hanging="720"/>
        <w:jc w:val="both"/>
        <w:rPr>
          <w:b w:val="0"/>
        </w:rPr>
      </w:pPr>
      <w:r w:rsidRPr="009A563E">
        <w:rPr>
          <w:b w:val="0"/>
        </w:rPr>
        <w:t xml:space="preserve">Boateng, S., &amp; </w:t>
      </w:r>
      <w:proofErr w:type="spellStart"/>
      <w:r w:rsidRPr="009A563E">
        <w:rPr>
          <w:b w:val="0"/>
        </w:rPr>
        <w:t>Maroloma</w:t>
      </w:r>
      <w:proofErr w:type="spellEnd"/>
      <w:r w:rsidRPr="009A563E">
        <w:rPr>
          <w:b w:val="0"/>
        </w:rPr>
        <w:t xml:space="preserve">, S. (2024). Teachers’ perceptions towards practical work in chemistry teaching: A case of selected high schools in South Africa. </w:t>
      </w:r>
      <w:r w:rsidRPr="009A563E">
        <w:rPr>
          <w:rStyle w:val="Emphasis"/>
          <w:b w:val="0"/>
        </w:rPr>
        <w:t>Interdisciplinary Journal of Education Research, 6</w:t>
      </w:r>
      <w:r w:rsidRPr="009A563E">
        <w:rPr>
          <w:b w:val="0"/>
        </w:rPr>
        <w:t xml:space="preserve">(22). </w:t>
      </w:r>
      <w:hyperlink r:id="rId10" w:history="1">
        <w:r w:rsidRPr="009A563E">
          <w:rPr>
            <w:rStyle w:val="Hyperlink"/>
            <w:b w:val="0"/>
            <w:color w:val="auto"/>
            <w:u w:val="none"/>
          </w:rPr>
          <w:t>https://doi.org/10.38140/ijer-2024.vol6.22</w:t>
        </w:r>
      </w:hyperlink>
    </w:p>
    <w:p w14:paraId="152B7F1C" w14:textId="77777777" w:rsidR="009A563E" w:rsidRPr="009A563E" w:rsidRDefault="009A563E" w:rsidP="009A563E">
      <w:pPr>
        <w:pStyle w:val="Heading1"/>
        <w:spacing w:after="240"/>
        <w:ind w:left="720" w:right="0" w:hanging="720"/>
        <w:jc w:val="both"/>
        <w:rPr>
          <w:b w:val="0"/>
        </w:rPr>
      </w:pPr>
      <w:r w:rsidRPr="006C496C">
        <w:rPr>
          <w:b w:val="0"/>
          <w:highlight w:val="yellow"/>
        </w:rPr>
        <w:t xml:space="preserve">Darling-Hammond, L., Hyler, M. E., &amp; Gardner, M. (2020). </w:t>
      </w:r>
      <w:r w:rsidRPr="006C496C">
        <w:rPr>
          <w:rStyle w:val="Emphasis"/>
          <w:b w:val="0"/>
          <w:highlight w:val="yellow"/>
        </w:rPr>
        <w:t>Effective teacher professional development</w:t>
      </w:r>
      <w:r w:rsidRPr="006C496C">
        <w:rPr>
          <w:b w:val="0"/>
          <w:highlight w:val="yellow"/>
        </w:rPr>
        <w:t xml:space="preserve">. Learning Policy Institute. </w:t>
      </w:r>
      <w:hyperlink r:id="rId11" w:tgtFrame="_new" w:history="1">
        <w:r w:rsidRPr="006C496C">
          <w:rPr>
            <w:rStyle w:val="Hyperlink"/>
            <w:b w:val="0"/>
            <w:color w:val="auto"/>
            <w:highlight w:val="yellow"/>
            <w:u w:val="none"/>
          </w:rPr>
          <w:t>https://learningpolicyinstitute.org/product/effective-teacher-professional-development-report</w:t>
        </w:r>
      </w:hyperlink>
    </w:p>
    <w:p w14:paraId="40B8067A" w14:textId="77777777" w:rsidR="009A563E" w:rsidRPr="009A563E" w:rsidRDefault="009A563E" w:rsidP="009A563E">
      <w:pPr>
        <w:pStyle w:val="Heading1"/>
        <w:spacing w:after="240"/>
        <w:ind w:left="720" w:right="0" w:hanging="720"/>
        <w:jc w:val="both"/>
        <w:rPr>
          <w:b w:val="0"/>
        </w:rPr>
      </w:pPr>
      <w:proofErr w:type="spellStart"/>
      <w:r w:rsidRPr="009A563E">
        <w:rPr>
          <w:b w:val="0"/>
        </w:rPr>
        <w:t>Krejcie</w:t>
      </w:r>
      <w:proofErr w:type="spellEnd"/>
      <w:r w:rsidRPr="009A563E">
        <w:rPr>
          <w:b w:val="0"/>
        </w:rPr>
        <w:t xml:space="preserve">, R. V., &amp; Morgan, D. W. (1970). </w:t>
      </w:r>
      <w:r w:rsidRPr="009A563E">
        <w:rPr>
          <w:b w:val="0"/>
          <w:iCs/>
        </w:rPr>
        <w:t>Determining sample size for research activities.</w:t>
      </w:r>
      <w:r w:rsidRPr="009A563E">
        <w:rPr>
          <w:b w:val="0"/>
        </w:rPr>
        <w:t xml:space="preserve"> </w:t>
      </w:r>
      <w:r w:rsidRPr="009A563E">
        <w:rPr>
          <w:b w:val="0"/>
          <w:i/>
          <w:iCs/>
        </w:rPr>
        <w:t>Educational and Psychological Measurement, 30</w:t>
      </w:r>
      <w:r w:rsidRPr="009A563E">
        <w:rPr>
          <w:b w:val="0"/>
        </w:rPr>
        <w:t xml:space="preserve">(3), 607–610. </w:t>
      </w:r>
      <w:hyperlink r:id="rId12" w:tgtFrame="_new" w:history="1">
        <w:r w:rsidRPr="009A563E">
          <w:rPr>
            <w:rStyle w:val="Hyperlink"/>
            <w:b w:val="0"/>
            <w:color w:val="auto"/>
            <w:u w:val="none"/>
          </w:rPr>
          <w:t>https://doi.org/10.1177/001316447003000308</w:t>
        </w:r>
      </w:hyperlink>
    </w:p>
    <w:p w14:paraId="6EDD3DB9" w14:textId="77777777" w:rsidR="009A563E" w:rsidRPr="009A563E" w:rsidRDefault="009A563E" w:rsidP="009A563E">
      <w:pPr>
        <w:pStyle w:val="Heading1"/>
        <w:spacing w:after="240"/>
        <w:ind w:left="720" w:right="0" w:hanging="720"/>
        <w:jc w:val="both"/>
        <w:rPr>
          <w:b w:val="0"/>
        </w:rPr>
      </w:pPr>
      <w:r w:rsidRPr="009A563E">
        <w:rPr>
          <w:b w:val="0"/>
        </w:rPr>
        <w:lastRenderedPageBreak/>
        <w:t xml:space="preserve">Kumari, P., </w:t>
      </w:r>
      <w:proofErr w:type="spellStart"/>
      <w:r w:rsidRPr="009A563E">
        <w:rPr>
          <w:b w:val="0"/>
        </w:rPr>
        <w:t>Balimuttajjo</w:t>
      </w:r>
      <w:proofErr w:type="spellEnd"/>
      <w:r w:rsidRPr="009A563E">
        <w:rPr>
          <w:b w:val="0"/>
        </w:rPr>
        <w:t xml:space="preserve">, S., &amp; </w:t>
      </w:r>
      <w:proofErr w:type="spellStart"/>
      <w:r w:rsidRPr="009A563E">
        <w:rPr>
          <w:b w:val="0"/>
        </w:rPr>
        <w:t>Aheisibwe</w:t>
      </w:r>
      <w:proofErr w:type="spellEnd"/>
      <w:r w:rsidRPr="009A563E">
        <w:rPr>
          <w:b w:val="0"/>
        </w:rPr>
        <w:t xml:space="preserve">, I. (2025). </w:t>
      </w:r>
      <w:r w:rsidRPr="009A563E">
        <w:rPr>
          <w:rStyle w:val="Emphasis"/>
          <w:b w:val="0"/>
          <w:i w:val="0"/>
        </w:rPr>
        <w:t>Science laboratory availability and functionality in secondary schools of Mbarara City, Uganda: A qualitative investigation.</w:t>
      </w:r>
      <w:r w:rsidRPr="009A563E">
        <w:rPr>
          <w:b w:val="0"/>
        </w:rPr>
        <w:t xml:space="preserve"> </w:t>
      </w:r>
      <w:r w:rsidRPr="009A563E">
        <w:rPr>
          <w:rStyle w:val="Emphasis"/>
          <w:b w:val="0"/>
        </w:rPr>
        <w:t>East African Journal of Education Studies, 8</w:t>
      </w:r>
      <w:r w:rsidRPr="009A563E">
        <w:rPr>
          <w:b w:val="0"/>
        </w:rPr>
        <w:t xml:space="preserve">(2). </w:t>
      </w:r>
      <w:hyperlink r:id="rId13" w:history="1">
        <w:r w:rsidRPr="009A563E">
          <w:rPr>
            <w:rStyle w:val="Hyperlink"/>
            <w:b w:val="0"/>
            <w:color w:val="auto"/>
            <w:u w:val="none"/>
          </w:rPr>
          <w:t>https://doi.org/10.37284/eajes.8.2.3170</w:t>
        </w:r>
      </w:hyperlink>
    </w:p>
    <w:p w14:paraId="3895E662" w14:textId="77777777" w:rsidR="009A563E" w:rsidRPr="009A563E" w:rsidRDefault="009A563E" w:rsidP="009A563E">
      <w:pPr>
        <w:pStyle w:val="NormalWeb"/>
        <w:ind w:left="720" w:hanging="720"/>
      </w:pPr>
      <w:r w:rsidRPr="009A563E">
        <w:t>Loughran, J. (2013</w:t>
      </w:r>
      <w:r w:rsidRPr="009A563E">
        <w:rPr>
          <w:i/>
        </w:rPr>
        <w:t xml:space="preserve">). </w:t>
      </w:r>
      <w:proofErr w:type="spellStart"/>
      <w:r w:rsidRPr="009A563E">
        <w:rPr>
          <w:i/>
        </w:rPr>
        <w:t>Recognising</w:t>
      </w:r>
      <w:proofErr w:type="spellEnd"/>
      <w:r w:rsidRPr="009A563E">
        <w:rPr>
          <w:i/>
        </w:rPr>
        <w:t xml:space="preserve"> and valuing teachers’ professional knowledge of practice. In J. Loughran, M. L. Hamilton, &amp; J. C. Richards (Eds.), </w:t>
      </w:r>
      <w:r w:rsidRPr="009A563E">
        <w:rPr>
          <w:rStyle w:val="Emphasis"/>
        </w:rPr>
        <w:t>Exploring teacher professional learning</w:t>
      </w:r>
      <w:r w:rsidRPr="009A563E">
        <w:t xml:space="preserve"> (pp. 216–232). Routledge.</w:t>
      </w:r>
    </w:p>
    <w:p w14:paraId="69B400F6" w14:textId="77777777" w:rsidR="009A563E" w:rsidRPr="009A563E" w:rsidRDefault="009A563E" w:rsidP="009A563E">
      <w:pPr>
        <w:pStyle w:val="NormalWeb"/>
        <w:ind w:left="720" w:hanging="720"/>
      </w:pPr>
      <w:r w:rsidRPr="009A563E">
        <w:t xml:space="preserve">McPherson-Geyser, G., de Villiers, J. J. R., &amp; </w:t>
      </w:r>
      <w:proofErr w:type="spellStart"/>
      <w:r w:rsidRPr="009A563E">
        <w:t>Kavai</w:t>
      </w:r>
      <w:proofErr w:type="spellEnd"/>
      <w:r w:rsidRPr="009A563E">
        <w:t xml:space="preserve">, P. (2020). The use of experiential learning as a teaching strategy in life sciences. </w:t>
      </w:r>
      <w:r w:rsidRPr="009A563E">
        <w:rPr>
          <w:rStyle w:val="Emphasis"/>
        </w:rPr>
        <w:t>International Journal of Instruction, 13</w:t>
      </w:r>
      <w:r w:rsidRPr="009A563E">
        <w:t>(3), 877–894. https://hdl.handle.net/2263/76686</w:t>
      </w:r>
    </w:p>
    <w:p w14:paraId="3995C285" w14:textId="77777777" w:rsidR="009A563E" w:rsidRPr="009A563E" w:rsidRDefault="009A563E" w:rsidP="009A563E">
      <w:pPr>
        <w:pStyle w:val="Heading1"/>
        <w:spacing w:after="240"/>
        <w:ind w:left="720" w:right="0" w:hanging="720"/>
        <w:jc w:val="both"/>
        <w:rPr>
          <w:b w:val="0"/>
        </w:rPr>
      </w:pPr>
      <w:r w:rsidRPr="009A563E">
        <w:rPr>
          <w:b w:val="0"/>
        </w:rPr>
        <w:t xml:space="preserve">National Research Council. (2006). </w:t>
      </w:r>
      <w:r w:rsidRPr="009A563E">
        <w:rPr>
          <w:rStyle w:val="Emphasis"/>
          <w:b w:val="0"/>
        </w:rPr>
        <w:t>America’s lab report: Investigations in high school science</w:t>
      </w:r>
      <w:r w:rsidRPr="009A563E">
        <w:rPr>
          <w:b w:val="0"/>
        </w:rPr>
        <w:t xml:space="preserve">. The National Academies Press. </w:t>
      </w:r>
      <w:hyperlink r:id="rId14" w:history="1">
        <w:r w:rsidRPr="009A563E">
          <w:rPr>
            <w:rStyle w:val="Hyperlink"/>
            <w:b w:val="0"/>
            <w:color w:val="auto"/>
            <w:u w:val="none"/>
          </w:rPr>
          <w:t>https://doi.org/10.17226/11311</w:t>
        </w:r>
      </w:hyperlink>
    </w:p>
    <w:p w14:paraId="41544A66" w14:textId="77777777" w:rsidR="009A563E" w:rsidRPr="009A563E" w:rsidRDefault="009A563E" w:rsidP="009A563E">
      <w:pPr>
        <w:pStyle w:val="Heading1"/>
        <w:spacing w:after="240"/>
        <w:ind w:left="720" w:right="0" w:hanging="720"/>
        <w:jc w:val="both"/>
        <w:rPr>
          <w:b w:val="0"/>
        </w:rPr>
      </w:pPr>
      <w:proofErr w:type="spellStart"/>
      <w:r w:rsidRPr="009A563E">
        <w:rPr>
          <w:b w:val="0"/>
        </w:rPr>
        <w:t>Nguru</w:t>
      </w:r>
      <w:proofErr w:type="spellEnd"/>
      <w:r w:rsidRPr="009A563E">
        <w:rPr>
          <w:b w:val="0"/>
        </w:rPr>
        <w:t xml:space="preserve">, F. (2021). </w:t>
      </w:r>
      <w:r w:rsidRPr="009A563E">
        <w:rPr>
          <w:rStyle w:val="Emphasis"/>
          <w:b w:val="0"/>
          <w:i w:val="0"/>
        </w:rPr>
        <w:t>Maximizing science learning through practical work in secondary schools in Tanzania: Student‐teachers’ adaptation to language supportive pedagogy.</w:t>
      </w:r>
      <w:r w:rsidRPr="009A563E">
        <w:rPr>
          <w:b w:val="0"/>
        </w:rPr>
        <w:t xml:space="preserve"> </w:t>
      </w:r>
      <w:r w:rsidRPr="009A563E">
        <w:rPr>
          <w:rStyle w:val="Emphasis"/>
          <w:b w:val="0"/>
        </w:rPr>
        <w:t>African Journal of Teacher Education</w:t>
      </w:r>
      <w:r w:rsidRPr="009A563E">
        <w:rPr>
          <w:b w:val="0"/>
        </w:rPr>
        <w:t xml:space="preserve">, </w:t>
      </w:r>
      <w:r w:rsidRPr="009A563E">
        <w:rPr>
          <w:b w:val="0"/>
          <w:i/>
        </w:rPr>
        <w:t>10</w:t>
      </w:r>
      <w:r w:rsidRPr="009A563E">
        <w:rPr>
          <w:b w:val="0"/>
        </w:rPr>
        <w:t xml:space="preserve">(1), 195–221. </w:t>
      </w:r>
      <w:hyperlink r:id="rId15" w:history="1">
        <w:r w:rsidRPr="009A563E">
          <w:rPr>
            <w:rStyle w:val="Hyperlink"/>
            <w:b w:val="0"/>
            <w:color w:val="auto"/>
            <w:u w:val="none"/>
          </w:rPr>
          <w:t>https://doi.org/10.21083/ajote.v10i1.6356</w:t>
        </w:r>
      </w:hyperlink>
    </w:p>
    <w:p w14:paraId="5BED8640" w14:textId="77777777" w:rsidR="009A563E" w:rsidRPr="009A563E" w:rsidRDefault="009A563E" w:rsidP="009A563E">
      <w:pPr>
        <w:pStyle w:val="NormalWeb"/>
        <w:ind w:left="720" w:hanging="720"/>
      </w:pPr>
      <w:proofErr w:type="spellStart"/>
      <w:r w:rsidRPr="009A563E">
        <w:t>Ramnarain</w:t>
      </w:r>
      <w:proofErr w:type="spellEnd"/>
      <w:r w:rsidRPr="009A563E">
        <w:t xml:space="preserve">, U. (Ed.). (2020). </w:t>
      </w:r>
      <w:r w:rsidRPr="009A563E">
        <w:rPr>
          <w:rStyle w:val="Emphasis"/>
        </w:rPr>
        <w:t>School science practical work in Africa: Experiences and challenges.</w:t>
      </w:r>
      <w:r w:rsidRPr="009A563E">
        <w:t xml:space="preserve"> Routledge.</w:t>
      </w:r>
    </w:p>
    <w:p w14:paraId="42443CB0" w14:textId="77777777" w:rsidR="009A563E" w:rsidRDefault="009A563E" w:rsidP="009A563E">
      <w:pPr>
        <w:pStyle w:val="NormalWeb"/>
        <w:ind w:left="720" w:hanging="720"/>
      </w:pPr>
      <w:r w:rsidRPr="009A563E">
        <w:t xml:space="preserve">Shulman, L. S. (1987). Knowledge and teaching: Foundations of the new reform. </w:t>
      </w:r>
      <w:r w:rsidRPr="009A563E">
        <w:rPr>
          <w:rStyle w:val="Emphasis"/>
        </w:rPr>
        <w:t>Harvard Educational Review, 57</w:t>
      </w:r>
      <w:r w:rsidRPr="009A563E">
        <w:t xml:space="preserve">(1), 1–22. </w:t>
      </w:r>
      <w:hyperlink r:id="rId16" w:tgtFrame="_new" w:history="1">
        <w:r w:rsidRPr="009A563E">
          <w:rPr>
            <w:rStyle w:val="Hyperlink"/>
            <w:color w:val="auto"/>
            <w:u w:val="none"/>
          </w:rPr>
          <w:t>https://doi.org/10.17763/haer.57.1.j463w79r56455411</w:t>
        </w:r>
      </w:hyperlink>
    </w:p>
    <w:p w14:paraId="4ED8F3F1" w14:textId="77777777" w:rsidR="00CB4DAA" w:rsidRPr="009A563E" w:rsidRDefault="00CB4DAA" w:rsidP="009A563E">
      <w:pPr>
        <w:pStyle w:val="NormalWeb"/>
        <w:ind w:left="720" w:hanging="720"/>
      </w:pPr>
      <w:r w:rsidRPr="00EA19E5">
        <w:rPr>
          <w:highlight w:val="yellow"/>
        </w:rPr>
        <w:t>Smith, A. B., &amp; Jones, C. D. (2021). Teachers’ laboratory and practical competencies: Their impact on students’ scientific thinking, observation and experimentation skills. Journal of Science Education Research, 15(2), 123‑138.</w:t>
      </w:r>
    </w:p>
    <w:p w14:paraId="741353BE" w14:textId="77777777" w:rsidR="009A563E" w:rsidRPr="009A563E" w:rsidRDefault="009A563E" w:rsidP="009A563E">
      <w:pPr>
        <w:pStyle w:val="Heading1"/>
        <w:spacing w:after="240"/>
        <w:ind w:left="720" w:right="0" w:hanging="720"/>
        <w:jc w:val="both"/>
        <w:rPr>
          <w:b w:val="0"/>
        </w:rPr>
      </w:pPr>
      <w:r w:rsidRPr="009A563E">
        <w:rPr>
          <w:b w:val="0"/>
        </w:rPr>
        <w:t xml:space="preserve">UNESCO. (2024). </w:t>
      </w:r>
      <w:r w:rsidRPr="009A563E">
        <w:rPr>
          <w:rStyle w:val="Emphasis"/>
          <w:b w:val="0"/>
        </w:rPr>
        <w:t>Building human capacities in least</w:t>
      </w:r>
      <w:r w:rsidRPr="009A563E">
        <w:rPr>
          <w:rStyle w:val="Emphasis"/>
          <w:b w:val="0"/>
        </w:rPr>
        <w:noBreakHyphen/>
        <w:t>developed countries to promote poverty eradication and sustainable development</w:t>
      </w:r>
      <w:r w:rsidRPr="009A563E">
        <w:rPr>
          <w:b w:val="0"/>
        </w:rPr>
        <w:t>. UNESCO Institute for Statistics.</w:t>
      </w:r>
    </w:p>
    <w:p w14:paraId="24808F25" w14:textId="77777777" w:rsidR="009A563E" w:rsidRPr="009A563E" w:rsidRDefault="009A563E" w:rsidP="009A563E">
      <w:pPr>
        <w:pStyle w:val="Heading1"/>
        <w:spacing w:after="240"/>
        <w:ind w:left="720" w:right="0" w:hanging="720"/>
        <w:jc w:val="both"/>
        <w:rPr>
          <w:b w:val="0"/>
        </w:rPr>
      </w:pPr>
      <w:r w:rsidRPr="00EA19E5">
        <w:rPr>
          <w:b w:val="0"/>
          <w:highlight w:val="yellow"/>
        </w:rPr>
        <w:t>United Nations</w:t>
      </w:r>
      <w:bookmarkStart w:id="4" w:name="_GoBack"/>
      <w:bookmarkEnd w:id="4"/>
      <w:r w:rsidRPr="00EA19E5">
        <w:rPr>
          <w:b w:val="0"/>
          <w:highlight w:val="yellow"/>
        </w:rPr>
        <w:t xml:space="preserve"> Children’s Fund, &amp; World Health Organization. (2018). </w:t>
      </w:r>
      <w:r w:rsidRPr="00EA19E5">
        <w:rPr>
          <w:rStyle w:val="Emphasis"/>
          <w:b w:val="0"/>
          <w:highlight w:val="yellow"/>
        </w:rPr>
        <w:t>The state of the world’s children 2018: Children, food and nutrition - Growing well in a changing world</w:t>
      </w:r>
      <w:r w:rsidRPr="00EA19E5">
        <w:rPr>
          <w:b w:val="0"/>
          <w:highlight w:val="yellow"/>
        </w:rPr>
        <w:t xml:space="preserve">. UNICEF. </w:t>
      </w:r>
      <w:hyperlink r:id="rId17" w:history="1">
        <w:r w:rsidRPr="00EA19E5">
          <w:rPr>
            <w:rStyle w:val="Hyperlink"/>
            <w:b w:val="0"/>
            <w:color w:val="auto"/>
            <w:highlight w:val="yellow"/>
            <w:u w:val="none"/>
          </w:rPr>
          <w:t>https://www.unicef.org/media/50626/file/SOWC-2018.pdf</w:t>
        </w:r>
      </w:hyperlink>
    </w:p>
    <w:p w14:paraId="29BD9BE6" w14:textId="137C56F5" w:rsidR="00880FE7" w:rsidRPr="009A563E" w:rsidRDefault="009A563E" w:rsidP="00116F17">
      <w:pPr>
        <w:pStyle w:val="Heading1"/>
        <w:spacing w:after="240"/>
        <w:ind w:left="720" w:right="0" w:hanging="720"/>
        <w:jc w:val="both"/>
        <w:rPr>
          <w:b w:val="0"/>
        </w:rPr>
      </w:pPr>
      <w:r w:rsidRPr="009A563E">
        <w:rPr>
          <w:b w:val="0"/>
        </w:rPr>
        <w:t xml:space="preserve">Zohar, A. (2023). </w:t>
      </w:r>
      <w:r w:rsidRPr="009A563E">
        <w:rPr>
          <w:rStyle w:val="Emphasis"/>
          <w:b w:val="0"/>
        </w:rPr>
        <w:t>Teachers’ knowledge: The most central link in substantive pedagogy change processes</w:t>
      </w:r>
      <w:r w:rsidRPr="009A563E">
        <w:rPr>
          <w:b w:val="0"/>
        </w:rPr>
        <w:t xml:space="preserve">. In </w:t>
      </w:r>
      <w:r w:rsidRPr="009A563E">
        <w:rPr>
          <w:rStyle w:val="Emphasis"/>
          <w:b w:val="0"/>
        </w:rPr>
        <w:t>Scaling</w:t>
      </w:r>
      <w:r w:rsidRPr="009A563E">
        <w:rPr>
          <w:rStyle w:val="Emphasis"/>
          <w:b w:val="0"/>
        </w:rPr>
        <w:noBreakHyphen/>
        <w:t>up higher order thinking</w:t>
      </w:r>
      <w:r w:rsidRPr="009A563E">
        <w:rPr>
          <w:b w:val="0"/>
        </w:rPr>
        <w:t xml:space="preserve"> (pp. 65</w:t>
      </w:r>
      <w:r w:rsidRPr="009A563E">
        <w:rPr>
          <w:b w:val="0"/>
        </w:rPr>
        <w:noBreakHyphen/>
        <w:t xml:space="preserve">89). Springer. </w:t>
      </w:r>
      <w:hyperlink r:id="rId18" w:history="1">
        <w:r w:rsidRPr="009A563E">
          <w:rPr>
            <w:rStyle w:val="Hyperlink"/>
            <w:b w:val="0"/>
            <w:color w:val="auto"/>
            <w:u w:val="none"/>
          </w:rPr>
          <w:t>https://doi.org/10.1007/978</w:t>
        </w:r>
        <w:r w:rsidRPr="009A563E">
          <w:rPr>
            <w:rStyle w:val="Hyperlink"/>
            <w:b w:val="0"/>
            <w:color w:val="auto"/>
            <w:u w:val="none"/>
          </w:rPr>
          <w:noBreakHyphen/>
          <w:t>3</w:t>
        </w:r>
        <w:r w:rsidRPr="009A563E">
          <w:rPr>
            <w:rStyle w:val="Hyperlink"/>
            <w:b w:val="0"/>
            <w:color w:val="auto"/>
            <w:u w:val="none"/>
          </w:rPr>
          <w:noBreakHyphen/>
          <w:t>031</w:t>
        </w:r>
        <w:r w:rsidRPr="009A563E">
          <w:rPr>
            <w:rStyle w:val="Hyperlink"/>
            <w:b w:val="0"/>
            <w:color w:val="auto"/>
            <w:u w:val="none"/>
          </w:rPr>
          <w:noBreakHyphen/>
          <w:t>15967</w:t>
        </w:r>
        <w:r w:rsidRPr="009A563E">
          <w:rPr>
            <w:rStyle w:val="Hyperlink"/>
            <w:b w:val="0"/>
            <w:color w:val="auto"/>
            <w:u w:val="none"/>
          </w:rPr>
          <w:noBreakHyphen/>
          <w:t>1_4</w:t>
        </w:r>
      </w:hyperlink>
    </w:p>
    <w:sectPr w:rsidR="00880FE7" w:rsidRPr="009A563E" w:rsidSect="000C13E7">
      <w:headerReference w:type="even" r:id="rId19"/>
      <w:headerReference w:type="default" r:id="rId20"/>
      <w:footerReference w:type="even" r:id="rId21"/>
      <w:footerReference w:type="default" r:id="rId22"/>
      <w:headerReference w:type="first" r:id="rId23"/>
      <w:footerReference w:type="first" r:id="rId24"/>
      <w:pgSz w:w="11910" w:h="16840"/>
      <w:pgMar w:top="1180" w:right="1290" w:bottom="1080" w:left="1260" w:header="996" w:footer="0" w:gutter="0"/>
      <w:pgNumType w:fmt="lowerRoman"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0CE82" w14:textId="77777777" w:rsidR="00C8555F" w:rsidRDefault="00C8555F">
      <w:r>
        <w:separator/>
      </w:r>
    </w:p>
  </w:endnote>
  <w:endnote w:type="continuationSeparator" w:id="0">
    <w:p w14:paraId="7B93CD15" w14:textId="77777777" w:rsidR="00C8555F" w:rsidRDefault="00C8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7038" w14:textId="77777777" w:rsidR="00E65257" w:rsidRDefault="00E6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51A7" w14:textId="77777777" w:rsidR="00E65257" w:rsidRDefault="00E65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57A9" w14:textId="77777777" w:rsidR="00E65257" w:rsidRDefault="00E6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BDCE" w14:textId="77777777" w:rsidR="00C8555F" w:rsidRDefault="00C8555F">
      <w:r>
        <w:separator/>
      </w:r>
    </w:p>
  </w:footnote>
  <w:footnote w:type="continuationSeparator" w:id="0">
    <w:p w14:paraId="1FB9E6E3" w14:textId="77777777" w:rsidR="00C8555F" w:rsidRDefault="00C8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29CC" w14:textId="483B5556" w:rsidR="00E65257" w:rsidRDefault="00EA19E5">
    <w:pPr>
      <w:pStyle w:val="Header"/>
    </w:pPr>
    <w:r>
      <w:rPr>
        <w:noProof/>
      </w:rPr>
      <w:pict w14:anchorId="0BC60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9051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0EEC" w14:textId="3C4231FA" w:rsidR="00084F2C" w:rsidRDefault="00EA19E5">
    <w:pPr>
      <w:pStyle w:val="BodyText"/>
      <w:spacing w:line="14" w:lineRule="auto"/>
      <w:rPr>
        <w:sz w:val="20"/>
      </w:rPr>
    </w:pPr>
    <w:r>
      <w:rPr>
        <w:noProof/>
      </w:rPr>
      <w:pict w14:anchorId="25154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9051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BA34" w14:textId="2DE15A81" w:rsidR="00E65257" w:rsidRDefault="00EA19E5">
    <w:pPr>
      <w:pStyle w:val="Header"/>
    </w:pPr>
    <w:r>
      <w:rPr>
        <w:noProof/>
      </w:rPr>
      <w:pict w14:anchorId="3883A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29051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54359"/>
    <w:multiLevelType w:val="multilevel"/>
    <w:tmpl w:val="E0469050"/>
    <w:lvl w:ilvl="0">
      <w:start w:val="1"/>
      <w:numFmt w:val="bullet"/>
      <w:lvlText w:val=""/>
      <w:lvlJc w:val="left"/>
      <w:pPr>
        <w:ind w:left="450" w:hanging="360"/>
      </w:pPr>
      <w:rPr>
        <w:rFonts w:ascii="Symbol" w:hAnsi="Symbol" w:hint="default"/>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szS1NDMzNzIwMjZR0lEKTi0uzszPAykwrAUA3kQkeiwAAAA="/>
  </w:docVars>
  <w:rsids>
    <w:rsidRoot w:val="00A620F9"/>
    <w:rsid w:val="00014900"/>
    <w:rsid w:val="000156EE"/>
    <w:rsid w:val="000230BD"/>
    <w:rsid w:val="00037D91"/>
    <w:rsid w:val="00043F31"/>
    <w:rsid w:val="00045564"/>
    <w:rsid w:val="00056BF0"/>
    <w:rsid w:val="00057BC3"/>
    <w:rsid w:val="000665B7"/>
    <w:rsid w:val="00083375"/>
    <w:rsid w:val="00084F2C"/>
    <w:rsid w:val="00096439"/>
    <w:rsid w:val="00096CC1"/>
    <w:rsid w:val="000A4AEC"/>
    <w:rsid w:val="000B2414"/>
    <w:rsid w:val="000B29FA"/>
    <w:rsid w:val="000B41FE"/>
    <w:rsid w:val="000B4320"/>
    <w:rsid w:val="000B7567"/>
    <w:rsid w:val="000C13E7"/>
    <w:rsid w:val="000C3F34"/>
    <w:rsid w:val="000C4587"/>
    <w:rsid w:val="000C5618"/>
    <w:rsid w:val="000E1297"/>
    <w:rsid w:val="000E7776"/>
    <w:rsid w:val="000F09E7"/>
    <w:rsid w:val="000F11AB"/>
    <w:rsid w:val="000F1298"/>
    <w:rsid w:val="00102E3B"/>
    <w:rsid w:val="0010399B"/>
    <w:rsid w:val="0010472E"/>
    <w:rsid w:val="00107E38"/>
    <w:rsid w:val="00113BFB"/>
    <w:rsid w:val="001145DF"/>
    <w:rsid w:val="00116F17"/>
    <w:rsid w:val="00131C3A"/>
    <w:rsid w:val="00137B75"/>
    <w:rsid w:val="00177271"/>
    <w:rsid w:val="001818CF"/>
    <w:rsid w:val="00182E8B"/>
    <w:rsid w:val="00190258"/>
    <w:rsid w:val="00192834"/>
    <w:rsid w:val="00192F9E"/>
    <w:rsid w:val="001965EF"/>
    <w:rsid w:val="001A5E14"/>
    <w:rsid w:val="001B1C31"/>
    <w:rsid w:val="001B5EDE"/>
    <w:rsid w:val="001C5F77"/>
    <w:rsid w:val="001C7C9D"/>
    <w:rsid w:val="001D01EA"/>
    <w:rsid w:val="001D1875"/>
    <w:rsid w:val="001E2CFB"/>
    <w:rsid w:val="001E2DF8"/>
    <w:rsid w:val="001E4B81"/>
    <w:rsid w:val="001F0459"/>
    <w:rsid w:val="001F33D0"/>
    <w:rsid w:val="002004B8"/>
    <w:rsid w:val="00204ED1"/>
    <w:rsid w:val="00216D5D"/>
    <w:rsid w:val="002230BE"/>
    <w:rsid w:val="00227C3B"/>
    <w:rsid w:val="00233163"/>
    <w:rsid w:val="00236FC4"/>
    <w:rsid w:val="002400E6"/>
    <w:rsid w:val="00246CAB"/>
    <w:rsid w:val="00247D9B"/>
    <w:rsid w:val="00247ECA"/>
    <w:rsid w:val="00252BD8"/>
    <w:rsid w:val="002536AD"/>
    <w:rsid w:val="002550C1"/>
    <w:rsid w:val="00256CAD"/>
    <w:rsid w:val="00256EDE"/>
    <w:rsid w:val="00266839"/>
    <w:rsid w:val="00273C9F"/>
    <w:rsid w:val="002942B7"/>
    <w:rsid w:val="002A62FD"/>
    <w:rsid w:val="002B573F"/>
    <w:rsid w:val="002C4304"/>
    <w:rsid w:val="002C781B"/>
    <w:rsid w:val="002D0C28"/>
    <w:rsid w:val="002D30A4"/>
    <w:rsid w:val="002E35BD"/>
    <w:rsid w:val="002E5F17"/>
    <w:rsid w:val="002F5847"/>
    <w:rsid w:val="002F7802"/>
    <w:rsid w:val="00313D5D"/>
    <w:rsid w:val="00321C79"/>
    <w:rsid w:val="00330E21"/>
    <w:rsid w:val="003319F9"/>
    <w:rsid w:val="003335A4"/>
    <w:rsid w:val="00347717"/>
    <w:rsid w:val="0035236D"/>
    <w:rsid w:val="00364ADA"/>
    <w:rsid w:val="003719E8"/>
    <w:rsid w:val="00377D23"/>
    <w:rsid w:val="00382A66"/>
    <w:rsid w:val="0039011E"/>
    <w:rsid w:val="003A3D32"/>
    <w:rsid w:val="003C379E"/>
    <w:rsid w:val="003E1A42"/>
    <w:rsid w:val="003E26FA"/>
    <w:rsid w:val="003E3E32"/>
    <w:rsid w:val="003F2E5A"/>
    <w:rsid w:val="00402A9D"/>
    <w:rsid w:val="004069B9"/>
    <w:rsid w:val="00411089"/>
    <w:rsid w:val="00417022"/>
    <w:rsid w:val="0041778D"/>
    <w:rsid w:val="004235B7"/>
    <w:rsid w:val="00423EB7"/>
    <w:rsid w:val="00424F69"/>
    <w:rsid w:val="0043015D"/>
    <w:rsid w:val="00435BEC"/>
    <w:rsid w:val="00437920"/>
    <w:rsid w:val="00443029"/>
    <w:rsid w:val="00451D4B"/>
    <w:rsid w:val="00454CB5"/>
    <w:rsid w:val="00455014"/>
    <w:rsid w:val="004571E1"/>
    <w:rsid w:val="00463D96"/>
    <w:rsid w:val="00464166"/>
    <w:rsid w:val="004646FA"/>
    <w:rsid w:val="004754E6"/>
    <w:rsid w:val="004951B3"/>
    <w:rsid w:val="00495A0E"/>
    <w:rsid w:val="004B45AE"/>
    <w:rsid w:val="004C31B1"/>
    <w:rsid w:val="004C4BB6"/>
    <w:rsid w:val="004F3DFB"/>
    <w:rsid w:val="004F7AB2"/>
    <w:rsid w:val="005055A3"/>
    <w:rsid w:val="005131A4"/>
    <w:rsid w:val="00515A21"/>
    <w:rsid w:val="00520ACA"/>
    <w:rsid w:val="00526778"/>
    <w:rsid w:val="00527731"/>
    <w:rsid w:val="00543F57"/>
    <w:rsid w:val="005527D0"/>
    <w:rsid w:val="00557E95"/>
    <w:rsid w:val="005619A5"/>
    <w:rsid w:val="0056637C"/>
    <w:rsid w:val="00570377"/>
    <w:rsid w:val="0057357B"/>
    <w:rsid w:val="00576886"/>
    <w:rsid w:val="005779C8"/>
    <w:rsid w:val="00581F61"/>
    <w:rsid w:val="005A1868"/>
    <w:rsid w:val="005A4C81"/>
    <w:rsid w:val="005A65D0"/>
    <w:rsid w:val="005B2639"/>
    <w:rsid w:val="005B2FB2"/>
    <w:rsid w:val="005B3238"/>
    <w:rsid w:val="005B4202"/>
    <w:rsid w:val="005C4C03"/>
    <w:rsid w:val="005D30E0"/>
    <w:rsid w:val="005F0E45"/>
    <w:rsid w:val="005F3040"/>
    <w:rsid w:val="005F453F"/>
    <w:rsid w:val="005F6023"/>
    <w:rsid w:val="00621BBC"/>
    <w:rsid w:val="00651DD6"/>
    <w:rsid w:val="00654D0E"/>
    <w:rsid w:val="006623BF"/>
    <w:rsid w:val="006650F7"/>
    <w:rsid w:val="00671CFE"/>
    <w:rsid w:val="00685BED"/>
    <w:rsid w:val="00692A09"/>
    <w:rsid w:val="006A64F4"/>
    <w:rsid w:val="006A74AC"/>
    <w:rsid w:val="006C108F"/>
    <w:rsid w:val="006C3CD4"/>
    <w:rsid w:val="006C496C"/>
    <w:rsid w:val="006D3709"/>
    <w:rsid w:val="006E6252"/>
    <w:rsid w:val="006F0ADF"/>
    <w:rsid w:val="006F2A3C"/>
    <w:rsid w:val="006F3133"/>
    <w:rsid w:val="006F4F34"/>
    <w:rsid w:val="006F68AE"/>
    <w:rsid w:val="007137CB"/>
    <w:rsid w:val="007166A9"/>
    <w:rsid w:val="00725233"/>
    <w:rsid w:val="00726100"/>
    <w:rsid w:val="007354C5"/>
    <w:rsid w:val="00742C7B"/>
    <w:rsid w:val="00744A4F"/>
    <w:rsid w:val="00744AFF"/>
    <w:rsid w:val="007543FB"/>
    <w:rsid w:val="00764FD9"/>
    <w:rsid w:val="007656C5"/>
    <w:rsid w:val="00767B61"/>
    <w:rsid w:val="007801AE"/>
    <w:rsid w:val="00786883"/>
    <w:rsid w:val="00791A41"/>
    <w:rsid w:val="00791B19"/>
    <w:rsid w:val="00791B41"/>
    <w:rsid w:val="00792FC9"/>
    <w:rsid w:val="007936BB"/>
    <w:rsid w:val="00794132"/>
    <w:rsid w:val="00796D61"/>
    <w:rsid w:val="007A1B5B"/>
    <w:rsid w:val="007A446F"/>
    <w:rsid w:val="007B557F"/>
    <w:rsid w:val="007B6B48"/>
    <w:rsid w:val="007D44F9"/>
    <w:rsid w:val="007D6A5E"/>
    <w:rsid w:val="007E4F97"/>
    <w:rsid w:val="007F5DA0"/>
    <w:rsid w:val="007F713C"/>
    <w:rsid w:val="007F7E86"/>
    <w:rsid w:val="00806622"/>
    <w:rsid w:val="008073D9"/>
    <w:rsid w:val="008075DE"/>
    <w:rsid w:val="00814786"/>
    <w:rsid w:val="00823A2B"/>
    <w:rsid w:val="008267A7"/>
    <w:rsid w:val="00830361"/>
    <w:rsid w:val="00842151"/>
    <w:rsid w:val="00844218"/>
    <w:rsid w:val="008462D2"/>
    <w:rsid w:val="00864BD5"/>
    <w:rsid w:val="00871881"/>
    <w:rsid w:val="00880733"/>
    <w:rsid w:val="00880FE7"/>
    <w:rsid w:val="00886C17"/>
    <w:rsid w:val="00887013"/>
    <w:rsid w:val="008B00C1"/>
    <w:rsid w:val="008B2467"/>
    <w:rsid w:val="008C0A5A"/>
    <w:rsid w:val="008D1149"/>
    <w:rsid w:val="008F11EA"/>
    <w:rsid w:val="00903B44"/>
    <w:rsid w:val="009170C8"/>
    <w:rsid w:val="00930A6F"/>
    <w:rsid w:val="009413A7"/>
    <w:rsid w:val="00953BDF"/>
    <w:rsid w:val="00954CEA"/>
    <w:rsid w:val="009551A3"/>
    <w:rsid w:val="00956630"/>
    <w:rsid w:val="00961804"/>
    <w:rsid w:val="00965727"/>
    <w:rsid w:val="00967425"/>
    <w:rsid w:val="00985EEB"/>
    <w:rsid w:val="009919F7"/>
    <w:rsid w:val="009A2415"/>
    <w:rsid w:val="009A4BC9"/>
    <w:rsid w:val="009A563E"/>
    <w:rsid w:val="009C0B11"/>
    <w:rsid w:val="009C3657"/>
    <w:rsid w:val="009C7FBE"/>
    <w:rsid w:val="009D6712"/>
    <w:rsid w:val="009D7446"/>
    <w:rsid w:val="009D7B2E"/>
    <w:rsid w:val="00A07975"/>
    <w:rsid w:val="00A165D4"/>
    <w:rsid w:val="00A17227"/>
    <w:rsid w:val="00A22397"/>
    <w:rsid w:val="00A25409"/>
    <w:rsid w:val="00A2635D"/>
    <w:rsid w:val="00A27F1E"/>
    <w:rsid w:val="00A32CCA"/>
    <w:rsid w:val="00A334E9"/>
    <w:rsid w:val="00A3413D"/>
    <w:rsid w:val="00A4779F"/>
    <w:rsid w:val="00A556B9"/>
    <w:rsid w:val="00A60457"/>
    <w:rsid w:val="00A620F9"/>
    <w:rsid w:val="00A72675"/>
    <w:rsid w:val="00A94DFF"/>
    <w:rsid w:val="00A97004"/>
    <w:rsid w:val="00AB2570"/>
    <w:rsid w:val="00AE5F89"/>
    <w:rsid w:val="00B00A3C"/>
    <w:rsid w:val="00B14F0F"/>
    <w:rsid w:val="00B201C3"/>
    <w:rsid w:val="00B24650"/>
    <w:rsid w:val="00B279CE"/>
    <w:rsid w:val="00B3726A"/>
    <w:rsid w:val="00B41E53"/>
    <w:rsid w:val="00B467BE"/>
    <w:rsid w:val="00B56C83"/>
    <w:rsid w:val="00B646EB"/>
    <w:rsid w:val="00B64BCC"/>
    <w:rsid w:val="00B83B68"/>
    <w:rsid w:val="00B865CB"/>
    <w:rsid w:val="00B930F1"/>
    <w:rsid w:val="00BA7207"/>
    <w:rsid w:val="00BB24C5"/>
    <w:rsid w:val="00BB31E4"/>
    <w:rsid w:val="00BB5275"/>
    <w:rsid w:val="00BC659E"/>
    <w:rsid w:val="00BD1D34"/>
    <w:rsid w:val="00BD35C1"/>
    <w:rsid w:val="00C07FB6"/>
    <w:rsid w:val="00C11F0D"/>
    <w:rsid w:val="00C20FC6"/>
    <w:rsid w:val="00C303A2"/>
    <w:rsid w:val="00C33CA8"/>
    <w:rsid w:val="00C44660"/>
    <w:rsid w:val="00C4727D"/>
    <w:rsid w:val="00C509DC"/>
    <w:rsid w:val="00C60CE7"/>
    <w:rsid w:val="00C74284"/>
    <w:rsid w:val="00C74FEA"/>
    <w:rsid w:val="00C81E2E"/>
    <w:rsid w:val="00C8555F"/>
    <w:rsid w:val="00CA2E66"/>
    <w:rsid w:val="00CA7F2C"/>
    <w:rsid w:val="00CB149A"/>
    <w:rsid w:val="00CB4B09"/>
    <w:rsid w:val="00CB4DAA"/>
    <w:rsid w:val="00CC0B75"/>
    <w:rsid w:val="00CC7846"/>
    <w:rsid w:val="00CD64CE"/>
    <w:rsid w:val="00CD68FC"/>
    <w:rsid w:val="00CE4F02"/>
    <w:rsid w:val="00CE5B58"/>
    <w:rsid w:val="00CF2FE3"/>
    <w:rsid w:val="00CF32E4"/>
    <w:rsid w:val="00D0106B"/>
    <w:rsid w:val="00D02C36"/>
    <w:rsid w:val="00D06F5F"/>
    <w:rsid w:val="00D22A54"/>
    <w:rsid w:val="00D35C7D"/>
    <w:rsid w:val="00D434AC"/>
    <w:rsid w:val="00D60E7F"/>
    <w:rsid w:val="00D6554F"/>
    <w:rsid w:val="00D7323D"/>
    <w:rsid w:val="00D77214"/>
    <w:rsid w:val="00D82C0B"/>
    <w:rsid w:val="00D87460"/>
    <w:rsid w:val="00D92390"/>
    <w:rsid w:val="00D926D7"/>
    <w:rsid w:val="00D9277A"/>
    <w:rsid w:val="00DB782F"/>
    <w:rsid w:val="00DC21C6"/>
    <w:rsid w:val="00DF520A"/>
    <w:rsid w:val="00E02BE6"/>
    <w:rsid w:val="00E06995"/>
    <w:rsid w:val="00E11A35"/>
    <w:rsid w:val="00E21988"/>
    <w:rsid w:val="00E3159C"/>
    <w:rsid w:val="00E4376E"/>
    <w:rsid w:val="00E44931"/>
    <w:rsid w:val="00E54168"/>
    <w:rsid w:val="00E65257"/>
    <w:rsid w:val="00E75476"/>
    <w:rsid w:val="00E76CF3"/>
    <w:rsid w:val="00E90D13"/>
    <w:rsid w:val="00E92DCD"/>
    <w:rsid w:val="00EA19E5"/>
    <w:rsid w:val="00EA256A"/>
    <w:rsid w:val="00EA27A9"/>
    <w:rsid w:val="00EA2D09"/>
    <w:rsid w:val="00EA5981"/>
    <w:rsid w:val="00EA64E1"/>
    <w:rsid w:val="00EA6CCA"/>
    <w:rsid w:val="00EB4BE8"/>
    <w:rsid w:val="00ED0579"/>
    <w:rsid w:val="00ED23EE"/>
    <w:rsid w:val="00ED3D77"/>
    <w:rsid w:val="00EE1B49"/>
    <w:rsid w:val="00EE4E4F"/>
    <w:rsid w:val="00EE7973"/>
    <w:rsid w:val="00EF3B19"/>
    <w:rsid w:val="00F0092D"/>
    <w:rsid w:val="00F02AC7"/>
    <w:rsid w:val="00F11693"/>
    <w:rsid w:val="00F23200"/>
    <w:rsid w:val="00F25162"/>
    <w:rsid w:val="00F348ED"/>
    <w:rsid w:val="00F34CE2"/>
    <w:rsid w:val="00F370AE"/>
    <w:rsid w:val="00F50E63"/>
    <w:rsid w:val="00F511CF"/>
    <w:rsid w:val="00F51984"/>
    <w:rsid w:val="00F735BC"/>
    <w:rsid w:val="00F8257B"/>
    <w:rsid w:val="00F827B5"/>
    <w:rsid w:val="00F9263D"/>
    <w:rsid w:val="00F935E3"/>
    <w:rsid w:val="00F95C17"/>
    <w:rsid w:val="00FA07C0"/>
    <w:rsid w:val="00FA49C3"/>
    <w:rsid w:val="00FA63EC"/>
    <w:rsid w:val="00FD34D4"/>
    <w:rsid w:val="00FD5624"/>
    <w:rsid w:val="00FE0F81"/>
    <w:rsid w:val="00FF7C2B"/>
    <w:rsid w:val="0185498B"/>
    <w:rsid w:val="03E2226C"/>
    <w:rsid w:val="06B47B0B"/>
    <w:rsid w:val="13D9661F"/>
    <w:rsid w:val="224772C9"/>
    <w:rsid w:val="33356193"/>
    <w:rsid w:val="3C172C68"/>
    <w:rsid w:val="42253261"/>
    <w:rsid w:val="54E013C2"/>
    <w:rsid w:val="63F97611"/>
    <w:rsid w:val="6D6C7479"/>
    <w:rsid w:val="7D8A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C77C55E"/>
  <w15:docId w15:val="{14D00693-75C6-4D7A-9583-E80D5D44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link w:val="Heading1Char"/>
    <w:uiPriority w:val="9"/>
    <w:qFormat/>
    <w:pPr>
      <w:ind w:left="3210" w:right="3210"/>
      <w:jc w:val="center"/>
      <w:outlineLvl w:val="0"/>
    </w:pPr>
    <w:rPr>
      <w:b/>
      <w:bCs/>
      <w:sz w:val="24"/>
      <w:szCs w:val="24"/>
    </w:rPr>
  </w:style>
  <w:style w:type="paragraph" w:styleId="Heading2">
    <w:name w:val="heading 2"/>
    <w:basedOn w:val="Normal"/>
    <w:uiPriority w:val="9"/>
    <w:unhideWhenUsed/>
    <w:qFormat/>
    <w:pPr>
      <w:ind w:left="960"/>
      <w:jc w:val="both"/>
      <w:outlineLvl w:val="1"/>
    </w:pPr>
    <w:rPr>
      <w:b/>
      <w:bCs/>
      <w:sz w:val="24"/>
      <w:szCs w:val="24"/>
    </w:rPr>
  </w:style>
  <w:style w:type="paragraph" w:styleId="Heading3">
    <w:name w:val="heading 3"/>
    <w:basedOn w:val="Normal"/>
    <w:next w:val="Normal"/>
    <w:link w:val="Heading3Char"/>
    <w:uiPriority w:val="9"/>
    <w:semiHidden/>
    <w:unhideWhenUsed/>
    <w:qFormat/>
    <w:rsid w:val="002B57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pPr>
      <w:spacing w:before="375"/>
      <w:ind w:left="960"/>
    </w:pPr>
    <w:rPr>
      <w:b/>
      <w:bCs/>
      <w:sz w:val="24"/>
      <w:szCs w:val="24"/>
    </w:rPr>
  </w:style>
  <w:style w:type="paragraph" w:styleId="TOC2">
    <w:name w:val="toc 2"/>
    <w:basedOn w:val="Normal"/>
    <w:uiPriority w:val="1"/>
    <w:qFormat/>
    <w:pPr>
      <w:spacing w:before="377"/>
      <w:ind w:left="960"/>
    </w:pPr>
    <w:rPr>
      <w:b/>
      <w:bCs/>
      <w:sz w:val="24"/>
      <w:szCs w:val="24"/>
    </w:rPr>
  </w:style>
  <w:style w:type="paragraph" w:styleId="TOC3">
    <w:name w:val="toc 3"/>
    <w:basedOn w:val="Normal"/>
    <w:uiPriority w:val="1"/>
    <w:qFormat/>
    <w:pPr>
      <w:spacing w:before="377"/>
      <w:ind w:left="960"/>
    </w:pPr>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rPr>
      <w:rFonts w:eastAsia="Times New Roman"/>
      <w:sz w:val="22"/>
      <w:szCs w:val="22"/>
    </w:rPr>
  </w:style>
  <w:style w:type="character" w:customStyle="1" w:styleId="FooterChar">
    <w:name w:val="Footer Char"/>
    <w:basedOn w:val="DefaultParagraphFont"/>
    <w:link w:val="Footer"/>
    <w:uiPriority w:val="99"/>
    <w:rPr>
      <w:rFonts w:eastAsia="Times New Roman"/>
      <w:sz w:val="22"/>
      <w:szCs w:val="22"/>
    </w:rPr>
  </w:style>
  <w:style w:type="character" w:customStyle="1" w:styleId="Heading1Char">
    <w:name w:val="Heading 1 Char"/>
    <w:basedOn w:val="DefaultParagraphFont"/>
    <w:link w:val="Heading1"/>
    <w:uiPriority w:val="9"/>
    <w:rsid w:val="005C4C03"/>
    <w:rPr>
      <w:rFonts w:eastAsia="Times New Roman"/>
      <w:b/>
      <w:bCs/>
      <w:sz w:val="24"/>
      <w:szCs w:val="24"/>
    </w:rPr>
  </w:style>
  <w:style w:type="character" w:customStyle="1" w:styleId="Heading3Char">
    <w:name w:val="Heading 3 Char"/>
    <w:basedOn w:val="DefaultParagraphFont"/>
    <w:link w:val="Heading3"/>
    <w:uiPriority w:val="9"/>
    <w:semiHidden/>
    <w:rsid w:val="002B573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7357B"/>
    <w:rPr>
      <w:b/>
      <w:bCs/>
    </w:rPr>
  </w:style>
  <w:style w:type="table" w:customStyle="1" w:styleId="TableGrid1">
    <w:name w:val="Table Grid1"/>
    <w:basedOn w:val="TableNormal"/>
    <w:next w:val="TableGrid"/>
    <w:uiPriority w:val="99"/>
    <w:unhideWhenUsed/>
    <w:rsid w:val="00F348E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1297"/>
    <w:rPr>
      <w:i/>
      <w:iCs/>
    </w:rPr>
  </w:style>
  <w:style w:type="character" w:styleId="Hyperlink">
    <w:name w:val="Hyperlink"/>
    <w:basedOn w:val="DefaultParagraphFont"/>
    <w:uiPriority w:val="99"/>
    <w:unhideWhenUsed/>
    <w:rsid w:val="000E1297"/>
    <w:rPr>
      <w:color w:val="0000FF" w:themeColor="hyperlink"/>
      <w:u w:val="single"/>
    </w:rPr>
  </w:style>
  <w:style w:type="character" w:customStyle="1" w:styleId="UnresolvedMention1">
    <w:name w:val="Unresolved Mention1"/>
    <w:basedOn w:val="DefaultParagraphFont"/>
    <w:uiPriority w:val="99"/>
    <w:semiHidden/>
    <w:unhideWhenUsed/>
    <w:rsid w:val="0041778D"/>
    <w:rPr>
      <w:color w:val="605E5C"/>
      <w:shd w:val="clear" w:color="auto" w:fill="E1DFDD"/>
    </w:rPr>
  </w:style>
  <w:style w:type="character" w:styleId="FollowedHyperlink">
    <w:name w:val="FollowedHyperlink"/>
    <w:basedOn w:val="DefaultParagraphFont"/>
    <w:uiPriority w:val="99"/>
    <w:semiHidden/>
    <w:unhideWhenUsed/>
    <w:rsid w:val="006C49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453">
      <w:bodyDiv w:val="1"/>
      <w:marLeft w:val="0"/>
      <w:marRight w:val="0"/>
      <w:marTop w:val="0"/>
      <w:marBottom w:val="0"/>
      <w:divBdr>
        <w:top w:val="none" w:sz="0" w:space="0" w:color="auto"/>
        <w:left w:val="none" w:sz="0" w:space="0" w:color="auto"/>
        <w:bottom w:val="none" w:sz="0" w:space="0" w:color="auto"/>
        <w:right w:val="none" w:sz="0" w:space="0" w:color="auto"/>
      </w:divBdr>
    </w:div>
    <w:div w:id="147402270">
      <w:bodyDiv w:val="1"/>
      <w:marLeft w:val="0"/>
      <w:marRight w:val="0"/>
      <w:marTop w:val="0"/>
      <w:marBottom w:val="0"/>
      <w:divBdr>
        <w:top w:val="none" w:sz="0" w:space="0" w:color="auto"/>
        <w:left w:val="none" w:sz="0" w:space="0" w:color="auto"/>
        <w:bottom w:val="none" w:sz="0" w:space="0" w:color="auto"/>
        <w:right w:val="none" w:sz="0" w:space="0" w:color="auto"/>
      </w:divBdr>
    </w:div>
    <w:div w:id="181214900">
      <w:bodyDiv w:val="1"/>
      <w:marLeft w:val="0"/>
      <w:marRight w:val="0"/>
      <w:marTop w:val="0"/>
      <w:marBottom w:val="0"/>
      <w:divBdr>
        <w:top w:val="none" w:sz="0" w:space="0" w:color="auto"/>
        <w:left w:val="none" w:sz="0" w:space="0" w:color="auto"/>
        <w:bottom w:val="none" w:sz="0" w:space="0" w:color="auto"/>
        <w:right w:val="none" w:sz="0" w:space="0" w:color="auto"/>
      </w:divBdr>
    </w:div>
    <w:div w:id="275411218">
      <w:bodyDiv w:val="1"/>
      <w:marLeft w:val="0"/>
      <w:marRight w:val="0"/>
      <w:marTop w:val="0"/>
      <w:marBottom w:val="0"/>
      <w:divBdr>
        <w:top w:val="none" w:sz="0" w:space="0" w:color="auto"/>
        <w:left w:val="none" w:sz="0" w:space="0" w:color="auto"/>
        <w:bottom w:val="none" w:sz="0" w:space="0" w:color="auto"/>
        <w:right w:val="none" w:sz="0" w:space="0" w:color="auto"/>
      </w:divBdr>
    </w:div>
    <w:div w:id="285432483">
      <w:bodyDiv w:val="1"/>
      <w:marLeft w:val="0"/>
      <w:marRight w:val="0"/>
      <w:marTop w:val="0"/>
      <w:marBottom w:val="0"/>
      <w:divBdr>
        <w:top w:val="none" w:sz="0" w:space="0" w:color="auto"/>
        <w:left w:val="none" w:sz="0" w:space="0" w:color="auto"/>
        <w:bottom w:val="none" w:sz="0" w:space="0" w:color="auto"/>
        <w:right w:val="none" w:sz="0" w:space="0" w:color="auto"/>
      </w:divBdr>
    </w:div>
    <w:div w:id="363141359">
      <w:bodyDiv w:val="1"/>
      <w:marLeft w:val="0"/>
      <w:marRight w:val="0"/>
      <w:marTop w:val="0"/>
      <w:marBottom w:val="0"/>
      <w:divBdr>
        <w:top w:val="none" w:sz="0" w:space="0" w:color="auto"/>
        <w:left w:val="none" w:sz="0" w:space="0" w:color="auto"/>
        <w:bottom w:val="none" w:sz="0" w:space="0" w:color="auto"/>
        <w:right w:val="none" w:sz="0" w:space="0" w:color="auto"/>
      </w:divBdr>
    </w:div>
    <w:div w:id="556672178">
      <w:bodyDiv w:val="1"/>
      <w:marLeft w:val="0"/>
      <w:marRight w:val="0"/>
      <w:marTop w:val="0"/>
      <w:marBottom w:val="0"/>
      <w:divBdr>
        <w:top w:val="none" w:sz="0" w:space="0" w:color="auto"/>
        <w:left w:val="none" w:sz="0" w:space="0" w:color="auto"/>
        <w:bottom w:val="none" w:sz="0" w:space="0" w:color="auto"/>
        <w:right w:val="none" w:sz="0" w:space="0" w:color="auto"/>
      </w:divBdr>
    </w:div>
    <w:div w:id="573124050">
      <w:bodyDiv w:val="1"/>
      <w:marLeft w:val="0"/>
      <w:marRight w:val="0"/>
      <w:marTop w:val="0"/>
      <w:marBottom w:val="0"/>
      <w:divBdr>
        <w:top w:val="none" w:sz="0" w:space="0" w:color="auto"/>
        <w:left w:val="none" w:sz="0" w:space="0" w:color="auto"/>
        <w:bottom w:val="none" w:sz="0" w:space="0" w:color="auto"/>
        <w:right w:val="none" w:sz="0" w:space="0" w:color="auto"/>
      </w:divBdr>
    </w:div>
    <w:div w:id="579602887">
      <w:bodyDiv w:val="1"/>
      <w:marLeft w:val="0"/>
      <w:marRight w:val="0"/>
      <w:marTop w:val="0"/>
      <w:marBottom w:val="0"/>
      <w:divBdr>
        <w:top w:val="none" w:sz="0" w:space="0" w:color="auto"/>
        <w:left w:val="none" w:sz="0" w:space="0" w:color="auto"/>
        <w:bottom w:val="none" w:sz="0" w:space="0" w:color="auto"/>
        <w:right w:val="none" w:sz="0" w:space="0" w:color="auto"/>
      </w:divBdr>
    </w:div>
    <w:div w:id="658967920">
      <w:bodyDiv w:val="1"/>
      <w:marLeft w:val="0"/>
      <w:marRight w:val="0"/>
      <w:marTop w:val="0"/>
      <w:marBottom w:val="0"/>
      <w:divBdr>
        <w:top w:val="none" w:sz="0" w:space="0" w:color="auto"/>
        <w:left w:val="none" w:sz="0" w:space="0" w:color="auto"/>
        <w:bottom w:val="none" w:sz="0" w:space="0" w:color="auto"/>
        <w:right w:val="none" w:sz="0" w:space="0" w:color="auto"/>
      </w:divBdr>
    </w:div>
    <w:div w:id="676687262">
      <w:bodyDiv w:val="1"/>
      <w:marLeft w:val="0"/>
      <w:marRight w:val="0"/>
      <w:marTop w:val="0"/>
      <w:marBottom w:val="0"/>
      <w:divBdr>
        <w:top w:val="none" w:sz="0" w:space="0" w:color="auto"/>
        <w:left w:val="none" w:sz="0" w:space="0" w:color="auto"/>
        <w:bottom w:val="none" w:sz="0" w:space="0" w:color="auto"/>
        <w:right w:val="none" w:sz="0" w:space="0" w:color="auto"/>
      </w:divBdr>
    </w:div>
    <w:div w:id="724453770">
      <w:bodyDiv w:val="1"/>
      <w:marLeft w:val="0"/>
      <w:marRight w:val="0"/>
      <w:marTop w:val="0"/>
      <w:marBottom w:val="0"/>
      <w:divBdr>
        <w:top w:val="none" w:sz="0" w:space="0" w:color="auto"/>
        <w:left w:val="none" w:sz="0" w:space="0" w:color="auto"/>
        <w:bottom w:val="none" w:sz="0" w:space="0" w:color="auto"/>
        <w:right w:val="none" w:sz="0" w:space="0" w:color="auto"/>
      </w:divBdr>
    </w:div>
    <w:div w:id="726489974">
      <w:bodyDiv w:val="1"/>
      <w:marLeft w:val="0"/>
      <w:marRight w:val="0"/>
      <w:marTop w:val="0"/>
      <w:marBottom w:val="0"/>
      <w:divBdr>
        <w:top w:val="none" w:sz="0" w:space="0" w:color="auto"/>
        <w:left w:val="none" w:sz="0" w:space="0" w:color="auto"/>
        <w:bottom w:val="none" w:sz="0" w:space="0" w:color="auto"/>
        <w:right w:val="none" w:sz="0" w:space="0" w:color="auto"/>
      </w:divBdr>
    </w:div>
    <w:div w:id="739668293">
      <w:bodyDiv w:val="1"/>
      <w:marLeft w:val="0"/>
      <w:marRight w:val="0"/>
      <w:marTop w:val="0"/>
      <w:marBottom w:val="0"/>
      <w:divBdr>
        <w:top w:val="none" w:sz="0" w:space="0" w:color="auto"/>
        <w:left w:val="none" w:sz="0" w:space="0" w:color="auto"/>
        <w:bottom w:val="none" w:sz="0" w:space="0" w:color="auto"/>
        <w:right w:val="none" w:sz="0" w:space="0" w:color="auto"/>
      </w:divBdr>
    </w:div>
    <w:div w:id="925114881">
      <w:bodyDiv w:val="1"/>
      <w:marLeft w:val="0"/>
      <w:marRight w:val="0"/>
      <w:marTop w:val="0"/>
      <w:marBottom w:val="0"/>
      <w:divBdr>
        <w:top w:val="none" w:sz="0" w:space="0" w:color="auto"/>
        <w:left w:val="none" w:sz="0" w:space="0" w:color="auto"/>
        <w:bottom w:val="none" w:sz="0" w:space="0" w:color="auto"/>
        <w:right w:val="none" w:sz="0" w:space="0" w:color="auto"/>
      </w:divBdr>
    </w:div>
    <w:div w:id="958684791">
      <w:bodyDiv w:val="1"/>
      <w:marLeft w:val="0"/>
      <w:marRight w:val="0"/>
      <w:marTop w:val="0"/>
      <w:marBottom w:val="0"/>
      <w:divBdr>
        <w:top w:val="none" w:sz="0" w:space="0" w:color="auto"/>
        <w:left w:val="none" w:sz="0" w:space="0" w:color="auto"/>
        <w:bottom w:val="none" w:sz="0" w:space="0" w:color="auto"/>
        <w:right w:val="none" w:sz="0" w:space="0" w:color="auto"/>
      </w:divBdr>
    </w:div>
    <w:div w:id="982007892">
      <w:bodyDiv w:val="1"/>
      <w:marLeft w:val="0"/>
      <w:marRight w:val="0"/>
      <w:marTop w:val="0"/>
      <w:marBottom w:val="0"/>
      <w:divBdr>
        <w:top w:val="none" w:sz="0" w:space="0" w:color="auto"/>
        <w:left w:val="none" w:sz="0" w:space="0" w:color="auto"/>
        <w:bottom w:val="none" w:sz="0" w:space="0" w:color="auto"/>
        <w:right w:val="none" w:sz="0" w:space="0" w:color="auto"/>
      </w:divBdr>
    </w:div>
    <w:div w:id="1547251523">
      <w:bodyDiv w:val="1"/>
      <w:marLeft w:val="0"/>
      <w:marRight w:val="0"/>
      <w:marTop w:val="0"/>
      <w:marBottom w:val="0"/>
      <w:divBdr>
        <w:top w:val="none" w:sz="0" w:space="0" w:color="auto"/>
        <w:left w:val="none" w:sz="0" w:space="0" w:color="auto"/>
        <w:bottom w:val="none" w:sz="0" w:space="0" w:color="auto"/>
        <w:right w:val="none" w:sz="0" w:space="0" w:color="auto"/>
      </w:divBdr>
    </w:div>
    <w:div w:id="1661275279">
      <w:bodyDiv w:val="1"/>
      <w:marLeft w:val="0"/>
      <w:marRight w:val="0"/>
      <w:marTop w:val="0"/>
      <w:marBottom w:val="0"/>
      <w:divBdr>
        <w:top w:val="none" w:sz="0" w:space="0" w:color="auto"/>
        <w:left w:val="none" w:sz="0" w:space="0" w:color="auto"/>
        <w:bottom w:val="none" w:sz="0" w:space="0" w:color="auto"/>
        <w:right w:val="none" w:sz="0" w:space="0" w:color="auto"/>
      </w:divBdr>
    </w:div>
    <w:div w:id="1687049986">
      <w:bodyDiv w:val="1"/>
      <w:marLeft w:val="0"/>
      <w:marRight w:val="0"/>
      <w:marTop w:val="0"/>
      <w:marBottom w:val="0"/>
      <w:divBdr>
        <w:top w:val="none" w:sz="0" w:space="0" w:color="auto"/>
        <w:left w:val="none" w:sz="0" w:space="0" w:color="auto"/>
        <w:bottom w:val="none" w:sz="0" w:space="0" w:color="auto"/>
        <w:right w:val="none" w:sz="0" w:space="0" w:color="auto"/>
      </w:divBdr>
    </w:div>
    <w:div w:id="1774400434">
      <w:bodyDiv w:val="1"/>
      <w:marLeft w:val="0"/>
      <w:marRight w:val="0"/>
      <w:marTop w:val="0"/>
      <w:marBottom w:val="0"/>
      <w:divBdr>
        <w:top w:val="none" w:sz="0" w:space="0" w:color="auto"/>
        <w:left w:val="none" w:sz="0" w:space="0" w:color="auto"/>
        <w:bottom w:val="none" w:sz="0" w:space="0" w:color="auto"/>
        <w:right w:val="none" w:sz="0" w:space="0" w:color="auto"/>
      </w:divBdr>
    </w:div>
    <w:div w:id="1782649406">
      <w:bodyDiv w:val="1"/>
      <w:marLeft w:val="0"/>
      <w:marRight w:val="0"/>
      <w:marTop w:val="0"/>
      <w:marBottom w:val="0"/>
      <w:divBdr>
        <w:top w:val="none" w:sz="0" w:space="0" w:color="auto"/>
        <w:left w:val="none" w:sz="0" w:space="0" w:color="auto"/>
        <w:bottom w:val="none" w:sz="0" w:space="0" w:color="auto"/>
        <w:right w:val="none" w:sz="0" w:space="0" w:color="auto"/>
      </w:divBdr>
    </w:div>
    <w:div w:id="1825076877">
      <w:bodyDiv w:val="1"/>
      <w:marLeft w:val="0"/>
      <w:marRight w:val="0"/>
      <w:marTop w:val="0"/>
      <w:marBottom w:val="0"/>
      <w:divBdr>
        <w:top w:val="none" w:sz="0" w:space="0" w:color="auto"/>
        <w:left w:val="none" w:sz="0" w:space="0" w:color="auto"/>
        <w:bottom w:val="none" w:sz="0" w:space="0" w:color="auto"/>
        <w:right w:val="none" w:sz="0" w:space="0" w:color="auto"/>
      </w:divBdr>
    </w:div>
    <w:div w:id="1890411464">
      <w:bodyDiv w:val="1"/>
      <w:marLeft w:val="0"/>
      <w:marRight w:val="0"/>
      <w:marTop w:val="0"/>
      <w:marBottom w:val="0"/>
      <w:divBdr>
        <w:top w:val="none" w:sz="0" w:space="0" w:color="auto"/>
        <w:left w:val="none" w:sz="0" w:space="0" w:color="auto"/>
        <w:bottom w:val="none" w:sz="0" w:space="0" w:color="auto"/>
        <w:right w:val="none" w:sz="0" w:space="0" w:color="auto"/>
      </w:divBdr>
    </w:div>
    <w:div w:id="1904443273">
      <w:bodyDiv w:val="1"/>
      <w:marLeft w:val="0"/>
      <w:marRight w:val="0"/>
      <w:marTop w:val="0"/>
      <w:marBottom w:val="0"/>
      <w:divBdr>
        <w:top w:val="none" w:sz="0" w:space="0" w:color="auto"/>
        <w:left w:val="none" w:sz="0" w:space="0" w:color="auto"/>
        <w:bottom w:val="none" w:sz="0" w:space="0" w:color="auto"/>
        <w:right w:val="none" w:sz="0" w:space="0" w:color="auto"/>
      </w:divBdr>
    </w:div>
    <w:div w:id="1969968931">
      <w:bodyDiv w:val="1"/>
      <w:marLeft w:val="0"/>
      <w:marRight w:val="0"/>
      <w:marTop w:val="0"/>
      <w:marBottom w:val="0"/>
      <w:divBdr>
        <w:top w:val="none" w:sz="0" w:space="0" w:color="auto"/>
        <w:left w:val="none" w:sz="0" w:space="0" w:color="auto"/>
        <w:bottom w:val="none" w:sz="0" w:space="0" w:color="auto"/>
        <w:right w:val="none" w:sz="0" w:space="0" w:color="auto"/>
      </w:divBdr>
    </w:div>
    <w:div w:id="2035034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7284/eajes.8.2.3170" TargetMode="External"/><Relationship Id="rId18" Type="http://schemas.openxmlformats.org/officeDocument/2006/relationships/hyperlink" Target="https://doi.org/10.1007/9783031159671_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77/001316447003000308" TargetMode="External"/><Relationship Id="rId17" Type="http://schemas.openxmlformats.org/officeDocument/2006/relationships/hyperlink" Target="https://www.unicef.org/media/50626/file/SOWC-2018.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7763/haer.57.1.j463w79r5645541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ingpolicyinstitute.org/product/effective-teacher-professional-development-repor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21083/ajote.v10i1.6356" TargetMode="External"/><Relationship Id="rId23" Type="http://schemas.openxmlformats.org/officeDocument/2006/relationships/header" Target="header3.xml"/><Relationship Id="rId10" Type="http://schemas.openxmlformats.org/officeDocument/2006/relationships/hyperlink" Target="https://doi.org/10.38140/ijer-2024.vol6.2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30900/kafkasegt.996019" TargetMode="External"/><Relationship Id="rId14" Type="http://schemas.openxmlformats.org/officeDocument/2006/relationships/hyperlink" Target="https://doi.org/10.17226/113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9"/>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C0933-0315-42FF-B576-E99566D8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16</Pages>
  <Words>8047</Words>
  <Characters>45871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28</cp:revision>
  <dcterms:created xsi:type="dcterms:W3CDTF">2024-07-26T20:21:00Z</dcterms:created>
  <dcterms:modified xsi:type="dcterms:W3CDTF">2025-11-15T08:43:00Z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2010</vt:lpwstr>
  </property>
  <property fmtid="{D5CDD505-2E9C-101B-9397-08002B2CF9AE}" pid="4" name="LastSaved">
    <vt:filetime>2024-07-26T00:00:00Z</vt:filetime>
  </property>
  <property fmtid="{D5CDD505-2E9C-101B-9397-08002B2CF9AE}" pid="5" name="Producer">
    <vt:lpwstr>Microsoft® Word 2010</vt:lpwstr>
  </property>
  <property fmtid="{D5CDD505-2E9C-101B-9397-08002B2CF9AE}" pid="6" name="KSOProductBuildVer">
    <vt:lpwstr>1033-12.2.0.21546</vt:lpwstr>
  </property>
  <property fmtid="{D5CDD505-2E9C-101B-9397-08002B2CF9AE}" pid="7" name="ICV">
    <vt:lpwstr>A74E8AECCF614E6D9EE3A44DCF633BF9_12</vt:lpwstr>
  </property>
</Properties>
</file>