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D4FFB" w14:textId="77777777" w:rsidR="00754C9A" w:rsidRDefault="00754C9A" w:rsidP="00441B6F">
      <w:pPr>
        <w:pStyle w:val="Title"/>
        <w:spacing w:after="0"/>
        <w:jc w:val="both"/>
        <w:rPr>
          <w:rFonts w:ascii="Arial" w:hAnsi="Arial" w:cs="Arial"/>
        </w:rPr>
      </w:pPr>
    </w:p>
    <w:p w14:paraId="3D2214D2" w14:textId="0B7DC05E" w:rsidR="00163BC4" w:rsidRPr="00163BC4" w:rsidRDefault="007F7E04" w:rsidP="00441B6F">
      <w:pPr>
        <w:pStyle w:val="Author"/>
        <w:spacing w:line="240" w:lineRule="auto"/>
        <w:rPr>
          <w:rFonts w:ascii="Arial" w:hAnsi="Arial" w:cs="Arial"/>
          <w:bCs/>
          <w:iCs/>
          <w:kern w:val="28"/>
          <w:sz w:val="36"/>
        </w:rPr>
      </w:pPr>
      <w:r>
        <w:rPr>
          <w:rFonts w:ascii="Arial" w:hAnsi="Arial" w:cs="Arial"/>
          <w:bCs/>
          <w:iCs/>
          <w:kern w:val="28"/>
          <w:sz w:val="36"/>
        </w:rPr>
        <w:t>The Mid-Career Peak</w:t>
      </w:r>
      <w:r w:rsidR="000705EC">
        <w:rPr>
          <w:rFonts w:ascii="Arial" w:hAnsi="Arial" w:cs="Arial"/>
          <w:bCs/>
          <w:iCs/>
          <w:kern w:val="28"/>
          <w:sz w:val="36"/>
        </w:rPr>
        <w:t xml:space="preserve">: </w:t>
      </w:r>
      <w:r w:rsidR="005F148C" w:rsidRPr="005F148C">
        <w:rPr>
          <w:rFonts w:ascii="Arial" w:hAnsi="Arial" w:cs="Arial"/>
          <w:bCs/>
          <w:iCs/>
          <w:kern w:val="28"/>
          <w:sz w:val="36"/>
        </w:rPr>
        <w:t>Demographic Determinants of Knowledge Generation in Philippine Higher Education Institutions</w:t>
      </w:r>
      <w:r w:rsidR="00231920">
        <w:rPr>
          <w:rFonts w:ascii="Arial" w:hAnsi="Arial" w:cs="Arial"/>
          <w:bCs/>
          <w:iCs/>
          <w:kern w:val="28"/>
          <w:sz w:val="36"/>
        </w:rPr>
        <w:t xml:space="preserve"> </w:t>
      </w:r>
    </w:p>
    <w:p w14:paraId="1FC3489C" w14:textId="77777777" w:rsidR="00EA39D5" w:rsidRDefault="00EA39D5" w:rsidP="00441B6F">
      <w:pPr>
        <w:pStyle w:val="AbstHead"/>
        <w:spacing w:after="0"/>
        <w:jc w:val="both"/>
        <w:rPr>
          <w:rFonts w:ascii="Arial" w:hAnsi="Arial" w:cs="Arial"/>
        </w:rPr>
      </w:pPr>
    </w:p>
    <w:p w14:paraId="1B60397D" w14:textId="6919D9B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58A3E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4F30545" w14:textId="77777777" w:rsidTr="001147E7">
        <w:tc>
          <w:tcPr>
            <w:tcW w:w="8424" w:type="dxa"/>
            <w:shd w:val="clear" w:color="auto" w:fill="F2F2F2"/>
          </w:tcPr>
          <w:p w14:paraId="339D3E7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D6502" w:rsidRPr="007D6502">
              <w:rPr>
                <w:rFonts w:ascii="Arial" w:eastAsia="Calibri" w:hAnsi="Arial" w:cs="Arial"/>
                <w:szCs w:val="22"/>
              </w:rPr>
              <w:t>The study examined the demographic profiles of teaching and non-teaching personnel and their connection to knowledge management practices, specifically knowledge generation, in one Philippine state university.</w:t>
            </w:r>
          </w:p>
          <w:p w14:paraId="3271A3A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60047" w:rsidRPr="00060047">
              <w:rPr>
                <w:rFonts w:ascii="Arial" w:eastAsia="Calibri" w:hAnsi="Arial" w:cs="Arial"/>
                <w:szCs w:val="22"/>
              </w:rPr>
              <w:t>To determine the level of knowledge generation among employees regarding their demographics, a cross-sectional survey was conducted. The differences in demographics and knowledge-generation practices were determined using nonparametric statistical analysis.</w:t>
            </w:r>
          </w:p>
          <w:p w14:paraId="4C9F603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823C4" w:rsidRPr="009823C4">
              <w:rPr>
                <w:rFonts w:ascii="Arial" w:eastAsia="Calibri" w:hAnsi="Arial" w:cs="Arial"/>
                <w:szCs w:val="22"/>
              </w:rPr>
              <w:t>The study was conducted in June 2022 at Central Bicol State University of Agriculture (CBSUA) in the Philippines.</w:t>
            </w:r>
          </w:p>
          <w:p w14:paraId="193BA43B" w14:textId="77777777" w:rsidR="009A1BA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85788" w:rsidRPr="00E85788">
              <w:rPr>
                <w:rFonts w:ascii="Arial" w:eastAsia="Calibri" w:hAnsi="Arial" w:cs="Arial"/>
                <w:szCs w:val="22"/>
              </w:rPr>
              <w:t xml:space="preserve">Through a stratified sampling technique, the study identified and selected 123 employees (71 teaching and 52 non-teaching). Demographic information, including gender, age group, level of education, and years of work experience, was collected. A validated survey </w:t>
            </w:r>
            <w:bookmarkStart w:id="0" w:name="_Hlk214377586"/>
            <w:bookmarkStart w:id="1" w:name="_GoBack"/>
            <w:r w:rsidR="00E85788" w:rsidRPr="00E85788">
              <w:rPr>
                <w:rFonts w:ascii="Arial" w:eastAsia="Calibri" w:hAnsi="Arial" w:cs="Arial"/>
                <w:szCs w:val="22"/>
              </w:rPr>
              <w:t xml:space="preserve">questionnaire </w:t>
            </w:r>
            <w:bookmarkEnd w:id="0"/>
            <w:bookmarkEnd w:id="1"/>
            <w:r w:rsidR="00E85788" w:rsidRPr="00E85788">
              <w:rPr>
                <w:rFonts w:ascii="Arial" w:eastAsia="Calibri" w:hAnsi="Arial" w:cs="Arial"/>
                <w:szCs w:val="22"/>
              </w:rPr>
              <w:t xml:space="preserve">was used to </w:t>
            </w:r>
            <w:proofErr w:type="spellStart"/>
            <w:r w:rsidR="00E85788" w:rsidRPr="00E85788">
              <w:rPr>
                <w:rFonts w:ascii="Arial" w:eastAsia="Calibri" w:hAnsi="Arial" w:cs="Arial"/>
                <w:szCs w:val="22"/>
              </w:rPr>
              <w:t>analyse</w:t>
            </w:r>
            <w:proofErr w:type="spellEnd"/>
            <w:r w:rsidR="00E85788" w:rsidRPr="00E85788">
              <w:rPr>
                <w:rFonts w:ascii="Arial" w:eastAsia="Calibri" w:hAnsi="Arial" w:cs="Arial"/>
                <w:szCs w:val="22"/>
              </w:rPr>
              <w:t xml:space="preserve"> the knowledge management practices under knowledge generation. Mann-Whitney U test (comparing the teaching and non-teaching groups) and the Kruskal-Wallis test (comparing differences among demographic categories) were used as statistical tests. A significance level of P = 0.05, median values, and average ranks were also calculated.</w:t>
            </w:r>
          </w:p>
          <w:p w14:paraId="20183B62" w14:textId="35DC9D51"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70F85" w:rsidRPr="00F70F85">
              <w:rPr>
                <w:rFonts w:ascii="Arial" w:eastAsia="Calibri" w:hAnsi="Arial" w:cs="Arial"/>
                <w:szCs w:val="22"/>
              </w:rPr>
              <w:t>The findings indicated that women made up the majority of both teaching and non-teaching staff. Faculty members were most frequently between the ages of 36 and 46, whereas non-teaching staff members were between the ages of 47 and 57. In terms of educational background, the majority of teaching staff members had master's degrees, while the majority of non-teaching staff members had bachelor's degrees. Teaching staff had more than 21 years of work experience, while non-teaching staff had a higher percentage of 11–20 years.</w:t>
            </w:r>
            <w:r w:rsidR="00417FA7" w:rsidRPr="00417FA7">
              <w:rPr>
                <w:rFonts w:ascii="Arial" w:eastAsia="Calibri" w:hAnsi="Arial" w:cs="Arial"/>
                <w:szCs w:val="22"/>
              </w:rPr>
              <w:t xml:space="preserve"> No significant difference was found in knowledge generation between teaching employees (Median = 4. 00) and non- teaching employees (Median = 4. 25), as indicated by the Mann- Whitney test (P = 0. 77). The Kruskal- Wallis test approached significance regarding age (P = 0. 07), with younger employees (aged 25-35 years) demonstrating higher scores in knowledge generation. Additionally, no significant difference was observed based on education level (P = .51) or years of experience (P = .015) between the groups with 3-5 and 6-10 years of experience; both groups showed notably higher knowledge levels.</w:t>
            </w:r>
          </w:p>
          <w:p w14:paraId="5CAAF12C" w14:textId="6CC505F9" w:rsidR="00EC1B3F" w:rsidRPr="00BA1B01" w:rsidRDefault="00BA1B01" w:rsidP="0044178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17FA7" w:rsidRPr="00417FA7">
              <w:rPr>
                <w:rFonts w:ascii="Arial" w:eastAsia="Calibri" w:hAnsi="Arial" w:cs="Arial"/>
                <w:szCs w:val="22"/>
              </w:rPr>
              <w:t>The years of work experience significantly influence knowledge management practices in higher education institutions, especially in generating new knowledge. Middle-aged employees, with 6 to 10 years of work experience, produce more knowledge than their more senior colleagues. HEIS needs to develop specific strategies to enhance employee knowledge generation. Organizations can establish KM frameworks to improve knowledge generation, organizational effectiveness, and sustainability across a diverse workforce.</w:t>
            </w:r>
            <w:r w:rsidR="006A3AFB">
              <w:rPr>
                <w:rFonts w:ascii="Arial" w:eastAsia="Calibri" w:hAnsi="Arial" w:cs="Arial"/>
                <w:szCs w:val="22"/>
              </w:rPr>
              <w:t xml:space="preserve"> </w:t>
            </w:r>
            <w:r w:rsidR="0044178E" w:rsidRPr="0044178E">
              <w:rPr>
                <w:rFonts w:ascii="Arial" w:eastAsia="Calibri" w:hAnsi="Arial" w:cs="Arial"/>
                <w:szCs w:val="22"/>
              </w:rPr>
              <w:t xml:space="preserve">The </w:t>
            </w:r>
            <w:r w:rsidR="0044178E">
              <w:rPr>
                <w:rFonts w:ascii="Arial" w:eastAsia="Calibri" w:hAnsi="Arial" w:cs="Arial"/>
                <w:szCs w:val="22"/>
              </w:rPr>
              <w:t>findings</w:t>
            </w:r>
            <w:r w:rsidR="0044178E" w:rsidRPr="0044178E">
              <w:rPr>
                <w:rFonts w:ascii="Arial" w:eastAsia="Calibri" w:hAnsi="Arial" w:cs="Arial"/>
                <w:szCs w:val="22"/>
              </w:rPr>
              <w:t xml:space="preserve"> give HEIs practical proof to create experience-differentiated knowledge management strategies that improve institutional sustainability and efficacy. Cross-institutional comparisons and longitudinal patterns should be investigated in future studies.</w:t>
            </w:r>
          </w:p>
        </w:tc>
      </w:tr>
    </w:tbl>
    <w:p w14:paraId="1A1DEB34" w14:textId="77777777" w:rsidR="001147E7" w:rsidRDefault="001147E7" w:rsidP="00441B6F">
      <w:pPr>
        <w:pStyle w:val="Body"/>
        <w:spacing w:after="0"/>
        <w:rPr>
          <w:rFonts w:ascii="Arial" w:hAnsi="Arial" w:cs="Arial"/>
          <w:i/>
        </w:rPr>
      </w:pPr>
    </w:p>
    <w:p w14:paraId="08D4FA24" w14:textId="6F1046EE" w:rsidR="00A24E7E" w:rsidRDefault="00A24E7E" w:rsidP="00441B6F">
      <w:pPr>
        <w:pStyle w:val="Body"/>
        <w:spacing w:after="0"/>
        <w:rPr>
          <w:rFonts w:ascii="Arial" w:hAnsi="Arial" w:cs="Arial"/>
          <w:i/>
        </w:rPr>
      </w:pPr>
      <w:r>
        <w:rPr>
          <w:rFonts w:ascii="Arial" w:hAnsi="Arial" w:cs="Arial"/>
          <w:i/>
        </w:rPr>
        <w:t xml:space="preserve">Keywords: </w:t>
      </w:r>
      <w:r w:rsidR="00527A63" w:rsidRPr="00527A63">
        <w:rPr>
          <w:rFonts w:ascii="Arial" w:hAnsi="Arial" w:cs="Arial"/>
          <w:i/>
        </w:rPr>
        <w:t>knowledge management, higher education institutions, knowledge generation, teaching employees, non-teaching employees</w:t>
      </w:r>
    </w:p>
    <w:p w14:paraId="6D8CFF28" w14:textId="77777777" w:rsidR="0024282C" w:rsidRDefault="0024282C" w:rsidP="00441B6F">
      <w:pPr>
        <w:pStyle w:val="Body"/>
        <w:spacing w:after="0"/>
        <w:rPr>
          <w:rFonts w:ascii="Arial" w:hAnsi="Arial" w:cs="Arial"/>
          <w:i/>
          <w:sz w:val="18"/>
        </w:rPr>
      </w:pPr>
    </w:p>
    <w:p w14:paraId="552597B1" w14:textId="77777777" w:rsidR="00505F06" w:rsidRPr="00A24E7E" w:rsidRDefault="00505F06" w:rsidP="00441B6F">
      <w:pPr>
        <w:pStyle w:val="Body"/>
        <w:spacing w:after="0"/>
        <w:rPr>
          <w:rFonts w:ascii="Arial" w:hAnsi="Arial" w:cs="Arial"/>
          <w:i/>
        </w:rPr>
      </w:pPr>
    </w:p>
    <w:p w14:paraId="1E394C6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33C802" w14:textId="77777777" w:rsidR="00790ADA" w:rsidRPr="00FB3A86" w:rsidRDefault="00790ADA" w:rsidP="00441B6F">
      <w:pPr>
        <w:pStyle w:val="AbstHead"/>
        <w:spacing w:after="0"/>
        <w:jc w:val="both"/>
        <w:rPr>
          <w:rFonts w:ascii="Arial" w:hAnsi="Arial" w:cs="Arial"/>
        </w:rPr>
      </w:pPr>
    </w:p>
    <w:p w14:paraId="388CB2FE" w14:textId="77777777" w:rsidR="003121F8" w:rsidRPr="00E55B63" w:rsidRDefault="003121F8" w:rsidP="003121F8">
      <w:pPr>
        <w:pStyle w:val="Body"/>
        <w:spacing w:after="0"/>
        <w:rPr>
          <w:rFonts w:ascii="Arial" w:hAnsi="Arial" w:cs="Arial"/>
        </w:rPr>
      </w:pPr>
      <w:r w:rsidRPr="00E55B63">
        <w:rPr>
          <w:rFonts w:ascii="Arial" w:hAnsi="Arial" w:cs="Arial"/>
        </w:rPr>
        <w:t>The study argues that employee demographics—such as gender, age, experience, and role—directly impact knowledge management (KM) effectiveness in higher education institutions (HEIs). These factors influence processes like knowledge creation and integration. In higher education, institutional performance and continuous improvement depend on recognizing that demographic diversity can impact the implementation of knowledge management, as the study highlights.</w:t>
      </w:r>
    </w:p>
    <w:p w14:paraId="08BB91F1" w14:textId="77777777" w:rsidR="003121F8" w:rsidRPr="00E55B63" w:rsidRDefault="003121F8" w:rsidP="003121F8">
      <w:pPr>
        <w:pStyle w:val="Body"/>
        <w:spacing w:after="0"/>
        <w:rPr>
          <w:rFonts w:ascii="Arial" w:hAnsi="Arial" w:cs="Arial"/>
        </w:rPr>
      </w:pPr>
    </w:p>
    <w:p w14:paraId="1EDA91F6" w14:textId="390D8F4F" w:rsidR="003121F8" w:rsidRDefault="003121F8" w:rsidP="003121F8">
      <w:pPr>
        <w:pStyle w:val="Body"/>
        <w:spacing w:after="0"/>
        <w:rPr>
          <w:rFonts w:ascii="Arial" w:hAnsi="Arial" w:cs="Arial"/>
        </w:rPr>
      </w:pPr>
      <w:r w:rsidRPr="00E55B63">
        <w:rPr>
          <w:rFonts w:ascii="Arial" w:hAnsi="Arial" w:cs="Arial"/>
        </w:rPr>
        <w:t>Recent research highlights KM's growing importance in academia, especially after the pandemic. Digital transformation and resilience are now top priorities (Ahmad et al., 2023). Adaptive strategies are strongly encouraged in higher education to keep up with changes in the digital landscape for both academic and administrative support services. Employee demographics have a significant effect on the outcomes of knowledge management (KM) (</w:t>
      </w:r>
      <w:proofErr w:type="spellStart"/>
      <w:r w:rsidRPr="00E55B63">
        <w:rPr>
          <w:rFonts w:ascii="Arial" w:hAnsi="Arial" w:cs="Arial"/>
        </w:rPr>
        <w:t>Galgotia</w:t>
      </w:r>
      <w:proofErr w:type="spellEnd"/>
      <w:r w:rsidRPr="00E55B63">
        <w:rPr>
          <w:rFonts w:ascii="Arial" w:hAnsi="Arial" w:cs="Arial"/>
        </w:rPr>
        <w:t xml:space="preserve"> &amp; Lakshmi, 2022). Demographics can influence leadership and organizational culture, which, in turn, can affect the adoption of knowledge management practices and learning initiatives (Santos et al., 2024; Sahibzada et al., 2023). </w:t>
      </w:r>
      <w:r w:rsidR="00AE3258" w:rsidRPr="00AE3258">
        <w:rPr>
          <w:rFonts w:ascii="Arial" w:hAnsi="Arial" w:cs="Arial"/>
        </w:rPr>
        <w:t xml:space="preserve">Building on the claim made by Nonaka and Takeuchi (1995) that explicit organizational systems and people's tacit knowledge interact to produce organizational knowledge, this study looks at how demographic traits, especially work experience, either support or impede the creation of knowledge in higher education settings. </w:t>
      </w:r>
      <w:r w:rsidRPr="00E55B63">
        <w:rPr>
          <w:rFonts w:ascii="Arial" w:hAnsi="Arial" w:cs="Arial"/>
        </w:rPr>
        <w:t xml:space="preserve">In developing countries, there is limited evidence directly linking demographics to knowledge management (KM). The literature highlights the need to focus more on demographic factors that influence knowledge sharing (Fan &amp; </w:t>
      </w:r>
      <w:proofErr w:type="spellStart"/>
      <w:r w:rsidRPr="00E55B63">
        <w:rPr>
          <w:rFonts w:ascii="Arial" w:hAnsi="Arial" w:cs="Arial"/>
        </w:rPr>
        <w:t>Beh</w:t>
      </w:r>
      <w:proofErr w:type="spellEnd"/>
      <w:r w:rsidRPr="00E55B63">
        <w:rPr>
          <w:rFonts w:ascii="Arial" w:hAnsi="Arial" w:cs="Arial"/>
        </w:rPr>
        <w:t xml:space="preserve">, 2024; </w:t>
      </w:r>
      <w:proofErr w:type="spellStart"/>
      <w:r w:rsidRPr="00E55B63">
        <w:rPr>
          <w:rFonts w:ascii="Arial" w:hAnsi="Arial" w:cs="Arial"/>
        </w:rPr>
        <w:t>Ndiege</w:t>
      </w:r>
      <w:proofErr w:type="spellEnd"/>
      <w:r w:rsidRPr="00E55B63">
        <w:rPr>
          <w:rFonts w:ascii="Arial" w:hAnsi="Arial" w:cs="Arial"/>
        </w:rPr>
        <w:t xml:space="preserve"> &amp; Backhouse, 2023).</w:t>
      </w:r>
    </w:p>
    <w:p w14:paraId="7066DDBD" w14:textId="355597F8" w:rsidR="00C83150" w:rsidRDefault="00C83150" w:rsidP="003121F8">
      <w:pPr>
        <w:pStyle w:val="Body"/>
        <w:spacing w:after="0"/>
        <w:rPr>
          <w:rFonts w:ascii="Arial" w:hAnsi="Arial" w:cs="Arial"/>
        </w:rPr>
      </w:pPr>
    </w:p>
    <w:p w14:paraId="2FB3C5C2" w14:textId="7F00AD33" w:rsidR="00C83150" w:rsidRPr="00E55B63" w:rsidRDefault="00AE7B23" w:rsidP="003121F8">
      <w:pPr>
        <w:pStyle w:val="Body"/>
        <w:spacing w:after="0"/>
        <w:rPr>
          <w:rFonts w:ascii="Arial" w:hAnsi="Arial" w:cs="Arial"/>
        </w:rPr>
      </w:pPr>
      <w:r w:rsidRPr="00AE7B23">
        <w:rPr>
          <w:rFonts w:ascii="Arial" w:hAnsi="Arial" w:cs="Arial"/>
        </w:rPr>
        <w:t xml:space="preserve">Seminal works that continue to influence current research have significantly influenced the theoretical underpinnings of knowledge management in organizational contexts. The SECI (Socialization, Externalization, Combination, Internalization) model was presented by Nonaka and Takeuchi in 1995. It views knowledge creation as an ongoing spiral process that involves the transformation of implicit knowledge into explicit knowledge. In higher education institutions, where both teaching and non-teaching staff contribute various forms of knowledge, this model highlights that organizational knowledge is created through dynamic interactions among individuals, groups, and organizational contexts. In a similar vein, Davenport and </w:t>
      </w:r>
      <w:proofErr w:type="spellStart"/>
      <w:r w:rsidRPr="00AE7B23">
        <w:rPr>
          <w:rFonts w:ascii="Arial" w:hAnsi="Arial" w:cs="Arial"/>
        </w:rPr>
        <w:t>Prusak</w:t>
      </w:r>
      <w:proofErr w:type="spellEnd"/>
      <w:r w:rsidRPr="00AE7B23">
        <w:rPr>
          <w:rFonts w:ascii="Arial" w:hAnsi="Arial" w:cs="Arial"/>
        </w:rPr>
        <w:t xml:space="preserve"> (1998) described knowledge management as a methodical approach to locating, comprehending, and applying knowledge to generate value, emphasizing that successful knowledge management necessitates an awareness of both the organizational context and the human </w:t>
      </w:r>
      <w:r w:rsidR="003D7C77">
        <w:rPr>
          <w:rFonts w:ascii="Arial" w:hAnsi="Arial" w:cs="Arial"/>
        </w:rPr>
        <w:t>dimension</w:t>
      </w:r>
      <w:r w:rsidRPr="00AE7B23">
        <w:rPr>
          <w:rFonts w:ascii="Arial" w:hAnsi="Arial" w:cs="Arial"/>
        </w:rPr>
        <w:t>.</w:t>
      </w:r>
    </w:p>
    <w:p w14:paraId="421E41D0" w14:textId="77777777" w:rsidR="003121F8" w:rsidRPr="00E55B63" w:rsidRDefault="003121F8" w:rsidP="003121F8">
      <w:pPr>
        <w:pStyle w:val="Body"/>
        <w:spacing w:after="0"/>
        <w:rPr>
          <w:rFonts w:ascii="Arial" w:hAnsi="Arial" w:cs="Arial"/>
        </w:rPr>
      </w:pPr>
    </w:p>
    <w:p w14:paraId="1DCFB24A" w14:textId="77777777" w:rsidR="003121F8" w:rsidRPr="00E55B63" w:rsidRDefault="003121F8" w:rsidP="003121F8">
      <w:pPr>
        <w:pStyle w:val="Body"/>
        <w:spacing w:after="0"/>
        <w:rPr>
          <w:rFonts w:ascii="Arial" w:hAnsi="Arial" w:cs="Arial"/>
        </w:rPr>
      </w:pPr>
      <w:r w:rsidRPr="00E55B63">
        <w:rPr>
          <w:rFonts w:ascii="Arial" w:hAnsi="Arial" w:cs="Arial"/>
        </w:rPr>
        <w:t>This study states that, alongside well-known factors affecting KM effectiveness such as technological, cost, and cultural elements, demographic traits—especially work experience—are equally important in higher education. Research indicates that organizational culture significantly influences how demographic factors impact knowledge management. Open cultures promote knowledge sharing among younger employees, while traditional cultures tend to depend more on the expertise of experienced staff. Ultimately, the interaction between age, experience, and culture is a crucial factor in driving the success of institutional knowledge management.</w:t>
      </w:r>
    </w:p>
    <w:p w14:paraId="43F77FAC" w14:textId="77777777" w:rsidR="003121F8" w:rsidRPr="00E55B63" w:rsidRDefault="003121F8" w:rsidP="003121F8">
      <w:pPr>
        <w:pStyle w:val="Body"/>
        <w:spacing w:after="0"/>
        <w:rPr>
          <w:rFonts w:ascii="Arial" w:hAnsi="Arial" w:cs="Arial"/>
        </w:rPr>
      </w:pPr>
    </w:p>
    <w:p w14:paraId="08E9CB92" w14:textId="77777777" w:rsidR="003121F8" w:rsidRPr="00E55B63" w:rsidRDefault="003121F8" w:rsidP="003121F8">
      <w:pPr>
        <w:pStyle w:val="Body"/>
        <w:spacing w:after="0"/>
        <w:rPr>
          <w:rFonts w:ascii="Arial" w:hAnsi="Arial" w:cs="Arial"/>
        </w:rPr>
      </w:pPr>
      <w:r w:rsidRPr="00E55B63">
        <w:rPr>
          <w:rFonts w:ascii="Arial" w:hAnsi="Arial" w:cs="Arial"/>
        </w:rPr>
        <w:t xml:space="preserve">Within CBSUA's dynamic environment, this study demonstrates that demographic makeup—defined here as employee age, self-identified gender, highest educational level, and total years at the institution—is crucial for KM effectiveness in state universities. Implementing a digital administrative system increased efficiency by 30%. The research states that diversity </w:t>
      </w:r>
      <w:r w:rsidRPr="00E55B63">
        <w:rPr>
          <w:rFonts w:ascii="Arial" w:hAnsi="Arial" w:cs="Arial"/>
        </w:rPr>
        <w:lastRenderedPageBreak/>
        <w:t>in these demographic factors directly supports technology adoption and institutional performance. The results provide important evidence for more than two-thirds of Philippine HEIs. They confirm that demographic diversity influences KM outcomes across the region.</w:t>
      </w:r>
    </w:p>
    <w:p w14:paraId="0C334A9A" w14:textId="77777777" w:rsidR="003121F8" w:rsidRPr="00E55B63" w:rsidRDefault="003121F8" w:rsidP="003121F8">
      <w:pPr>
        <w:pStyle w:val="Body"/>
        <w:spacing w:after="0"/>
        <w:rPr>
          <w:rFonts w:ascii="Arial" w:hAnsi="Arial" w:cs="Arial"/>
        </w:rPr>
      </w:pPr>
    </w:p>
    <w:p w14:paraId="26C1B004" w14:textId="77777777" w:rsidR="00B01FCD" w:rsidRPr="00273340" w:rsidRDefault="003121F8" w:rsidP="003121F8">
      <w:pPr>
        <w:pStyle w:val="Body"/>
        <w:spacing w:after="0"/>
        <w:rPr>
          <w:rFonts w:ascii="Arial" w:hAnsi="Arial" w:cs="Arial"/>
          <w:color w:val="1F497D" w:themeColor="text2"/>
        </w:rPr>
      </w:pPr>
      <w:r w:rsidRPr="00E55B63">
        <w:rPr>
          <w:rFonts w:ascii="Arial" w:hAnsi="Arial" w:cs="Arial"/>
        </w:rPr>
        <w:t>This study has three goals regarding how demographics influence KM. First, it investigates how CBSUA employees' demographics—such as gender, age, education, and experience—affect KM development. Second, it evaluates whether KM practices differ significantly across these demographic groups. Third, it compares KM development practices between teaching and non-teaching staff. By clearly defining these groups, the study provides insights into their essential role in KM effectiveness and informs research and leadership priorities.</w:t>
      </w:r>
    </w:p>
    <w:p w14:paraId="6F8A5A86" w14:textId="77777777" w:rsidR="00790ADA" w:rsidRPr="00FB3A86" w:rsidRDefault="00790ADA" w:rsidP="00441B6F">
      <w:pPr>
        <w:pStyle w:val="Body"/>
        <w:spacing w:after="0"/>
        <w:rPr>
          <w:rFonts w:ascii="Arial" w:hAnsi="Arial" w:cs="Arial"/>
        </w:rPr>
      </w:pPr>
    </w:p>
    <w:p w14:paraId="29BFB50D" w14:textId="77777777" w:rsidR="007F7B32" w:rsidRDefault="00902823" w:rsidP="00441B6F">
      <w:pPr>
        <w:pStyle w:val="AbstHead"/>
        <w:spacing w:after="0"/>
        <w:jc w:val="both"/>
        <w:rPr>
          <w:rFonts w:ascii="Arial" w:hAnsi="Arial" w:cs="Arial"/>
        </w:rPr>
      </w:pPr>
      <w:r>
        <w:rPr>
          <w:rFonts w:ascii="Arial" w:hAnsi="Arial" w:cs="Arial"/>
        </w:rPr>
        <w:t xml:space="preserve">2. </w:t>
      </w:r>
      <w:r w:rsidR="00680CB1">
        <w:rPr>
          <w:rFonts w:ascii="Arial" w:hAnsi="Arial" w:cs="Arial"/>
        </w:rPr>
        <w:t>Materials</w:t>
      </w:r>
      <w:r>
        <w:rPr>
          <w:rFonts w:ascii="Arial" w:hAnsi="Arial" w:cs="Arial"/>
        </w:rPr>
        <w:t xml:space="preserve"> and method</w:t>
      </w:r>
      <w:r w:rsidR="00000F8F">
        <w:rPr>
          <w:rFonts w:ascii="Arial" w:hAnsi="Arial" w:cs="Arial"/>
        </w:rPr>
        <w:t xml:space="preserve">s </w:t>
      </w:r>
    </w:p>
    <w:p w14:paraId="3A917CA1" w14:textId="77777777" w:rsidR="00790ADA" w:rsidRPr="00FB3A86" w:rsidRDefault="00790ADA" w:rsidP="00441B6F">
      <w:pPr>
        <w:pStyle w:val="Body"/>
        <w:spacing w:after="0"/>
        <w:rPr>
          <w:rFonts w:ascii="Arial" w:hAnsi="Arial" w:cs="Arial"/>
        </w:rPr>
      </w:pPr>
    </w:p>
    <w:p w14:paraId="7A66FC35" w14:textId="77777777" w:rsidR="00AA74E0" w:rsidRDefault="00AA74E0" w:rsidP="00441B6F">
      <w:pPr>
        <w:pStyle w:val="Body"/>
        <w:spacing w:after="0"/>
        <w:rPr>
          <w:rFonts w:ascii="Arial" w:hAnsi="Arial" w:cs="Arial"/>
        </w:rPr>
      </w:pPr>
      <w:r w:rsidRPr="00C30A0F">
        <w:rPr>
          <w:rFonts w:ascii="Arial" w:hAnsi="Arial" w:cs="Arial"/>
          <w:b/>
          <w:caps/>
          <w:sz w:val="22"/>
        </w:rPr>
        <w:t xml:space="preserve">2.1 </w:t>
      </w:r>
      <w:r w:rsidR="00FD2BD0" w:rsidRPr="00FD2BD0">
        <w:rPr>
          <w:rFonts w:ascii="Arial" w:hAnsi="Arial" w:cs="Arial"/>
          <w:b/>
          <w:sz w:val="22"/>
        </w:rPr>
        <w:t>Research Design</w:t>
      </w:r>
      <w:r w:rsidRPr="00FB3A86">
        <w:rPr>
          <w:rFonts w:ascii="Arial" w:hAnsi="Arial" w:cs="Arial"/>
        </w:rPr>
        <w:t xml:space="preserve">  </w:t>
      </w:r>
    </w:p>
    <w:p w14:paraId="5BE687A5" w14:textId="77777777" w:rsidR="00505F06" w:rsidRDefault="00505F06" w:rsidP="00441B6F">
      <w:pPr>
        <w:pStyle w:val="Body"/>
        <w:spacing w:after="0"/>
        <w:rPr>
          <w:rFonts w:ascii="Arial" w:hAnsi="Arial" w:cs="Arial"/>
        </w:rPr>
      </w:pPr>
    </w:p>
    <w:p w14:paraId="35EEB1AA" w14:textId="77777777" w:rsidR="00F935C1" w:rsidRPr="00E55B63" w:rsidRDefault="00F935C1" w:rsidP="00F935C1">
      <w:pPr>
        <w:pStyle w:val="Body"/>
        <w:spacing w:after="0"/>
        <w:rPr>
          <w:rFonts w:ascii="Arial" w:hAnsi="Arial" w:cs="Arial"/>
        </w:rPr>
      </w:pPr>
      <w:r w:rsidRPr="00E55B63">
        <w:rPr>
          <w:rFonts w:ascii="Arial" w:hAnsi="Arial" w:cs="Arial"/>
        </w:rPr>
        <w:t>A cross-sectional survey method was used to examine the influence of gender, age, educational attainment, and years of work experience on employee engagement in knowledge generation. Through this strategy, the study captures knowledge, behaviors, and adaptations of teaching and non-teaching employees in knowledge generation. The study sought to provide significant results on employee engagement in knowledge generation and the influence of demographic factors on knowledge generation.</w:t>
      </w:r>
    </w:p>
    <w:p w14:paraId="21228FBD" w14:textId="77777777" w:rsidR="00F935C1" w:rsidRPr="00E55B63" w:rsidRDefault="00F935C1" w:rsidP="00F935C1">
      <w:pPr>
        <w:pStyle w:val="Body"/>
        <w:spacing w:after="0"/>
        <w:rPr>
          <w:rFonts w:ascii="Arial" w:hAnsi="Arial" w:cs="Arial"/>
        </w:rPr>
      </w:pPr>
    </w:p>
    <w:p w14:paraId="45F11C5A" w14:textId="77777777" w:rsidR="00BF5160" w:rsidRPr="00E55B63" w:rsidRDefault="00F935C1" w:rsidP="00F935C1">
      <w:pPr>
        <w:pStyle w:val="Body"/>
        <w:spacing w:after="0"/>
        <w:rPr>
          <w:rFonts w:ascii="Arial" w:hAnsi="Arial" w:cs="Arial"/>
        </w:rPr>
      </w:pPr>
      <w:r w:rsidRPr="00E55B63">
        <w:rPr>
          <w:rFonts w:ascii="Arial" w:hAnsi="Arial" w:cs="Arial"/>
        </w:rPr>
        <w:t>The cross-sectional method efficiently collects broad data within a limited timeframe, making it suitable for ongoing organizational changes. The researchers collected structured quantitative data on demographics and knowledge practices, using nonparametric statistical methods because of resource limitations and institutional changes.</w:t>
      </w:r>
    </w:p>
    <w:p w14:paraId="4DD9889A" w14:textId="77777777" w:rsidR="00774258" w:rsidRDefault="00774258" w:rsidP="00441B6F">
      <w:pPr>
        <w:pStyle w:val="Body"/>
        <w:spacing w:after="0"/>
        <w:rPr>
          <w:rFonts w:ascii="Arial" w:hAnsi="Arial" w:cs="Arial"/>
        </w:rPr>
      </w:pPr>
    </w:p>
    <w:p w14:paraId="2D5A68F8" w14:textId="77777777" w:rsidR="00774258" w:rsidRDefault="00774258" w:rsidP="00774258">
      <w:pPr>
        <w:pStyle w:val="Body"/>
        <w:spacing w:after="0"/>
        <w:rPr>
          <w:rFonts w:ascii="Arial" w:hAnsi="Arial" w:cs="Arial"/>
        </w:rPr>
      </w:pPr>
      <w:r>
        <w:rPr>
          <w:rFonts w:ascii="Arial" w:hAnsi="Arial" w:cs="Arial"/>
          <w:b/>
          <w:caps/>
          <w:sz w:val="22"/>
        </w:rPr>
        <w:t>2.2</w:t>
      </w:r>
      <w:r w:rsidRPr="00C30A0F">
        <w:rPr>
          <w:rFonts w:ascii="Arial" w:hAnsi="Arial" w:cs="Arial"/>
          <w:b/>
          <w:caps/>
          <w:sz w:val="22"/>
        </w:rPr>
        <w:t xml:space="preserve"> </w:t>
      </w:r>
      <w:r w:rsidRPr="00774258">
        <w:rPr>
          <w:rFonts w:ascii="Arial" w:hAnsi="Arial" w:cs="Arial"/>
          <w:b/>
          <w:sz w:val="22"/>
        </w:rPr>
        <w:t>Study Setting and Population</w:t>
      </w:r>
      <w:r w:rsidRPr="00FB3A86">
        <w:rPr>
          <w:rFonts w:ascii="Arial" w:hAnsi="Arial" w:cs="Arial"/>
        </w:rPr>
        <w:t xml:space="preserve">  </w:t>
      </w:r>
    </w:p>
    <w:p w14:paraId="0079B097" w14:textId="77777777" w:rsidR="00774258" w:rsidRDefault="00774258" w:rsidP="00774258">
      <w:pPr>
        <w:pStyle w:val="Body"/>
        <w:spacing w:after="0"/>
        <w:rPr>
          <w:rFonts w:ascii="Arial" w:hAnsi="Arial" w:cs="Arial"/>
        </w:rPr>
      </w:pPr>
    </w:p>
    <w:p w14:paraId="577830B3" w14:textId="77777777" w:rsidR="00790ADA" w:rsidRPr="00E55B63" w:rsidRDefault="00F935C1" w:rsidP="00774258">
      <w:pPr>
        <w:pStyle w:val="Body"/>
        <w:spacing w:after="0"/>
        <w:rPr>
          <w:rFonts w:ascii="Arial" w:hAnsi="Arial" w:cs="Arial"/>
        </w:rPr>
      </w:pPr>
      <w:r w:rsidRPr="00E55B63">
        <w:rPr>
          <w:rFonts w:ascii="Arial" w:hAnsi="Arial" w:cs="Arial"/>
        </w:rPr>
        <w:t>The study was conducted at the Central Bicol State University of Agriculture (CBSUA), an agricultural state university in the Philippines. The university offers a diverse academic program, especially in agriculture, and has a diverse non-teaching staffing personnel, creating an environment that fosters collaboration among offices. The non-teaching staff provide various administrative and technical support services, whereas the faculty play important roles across instruction, research, and extension. Such clearly defined roles can be analyzed through a thorough analysis of knowledge sharing within this particular group.</w:t>
      </w:r>
    </w:p>
    <w:p w14:paraId="38F12470" w14:textId="77777777" w:rsidR="00375474" w:rsidRPr="00E55B63" w:rsidRDefault="00375474" w:rsidP="00774258">
      <w:pPr>
        <w:pStyle w:val="Body"/>
        <w:spacing w:after="0"/>
        <w:rPr>
          <w:rFonts w:ascii="Arial" w:hAnsi="Arial" w:cs="Arial"/>
        </w:rPr>
      </w:pPr>
    </w:p>
    <w:p w14:paraId="160FA0BA" w14:textId="77777777" w:rsidR="005B421B" w:rsidRPr="00E55B63" w:rsidRDefault="005B421B" w:rsidP="005B421B">
      <w:pPr>
        <w:pStyle w:val="Body"/>
        <w:spacing w:after="0"/>
        <w:rPr>
          <w:rFonts w:ascii="Arial" w:hAnsi="Arial" w:cs="Arial"/>
        </w:rPr>
      </w:pPr>
      <w:r w:rsidRPr="00E55B63">
        <w:rPr>
          <w:rFonts w:ascii="Arial" w:hAnsi="Arial" w:cs="Arial"/>
          <w:b/>
          <w:caps/>
          <w:sz w:val="22"/>
        </w:rPr>
        <w:t xml:space="preserve">2.3 </w:t>
      </w:r>
      <w:r w:rsidRPr="00E55B63">
        <w:rPr>
          <w:rFonts w:ascii="Arial" w:hAnsi="Arial" w:cs="Arial"/>
          <w:b/>
          <w:sz w:val="22"/>
        </w:rPr>
        <w:t>Sampling and Participants</w:t>
      </w:r>
    </w:p>
    <w:p w14:paraId="7095B059" w14:textId="77777777" w:rsidR="005B421B" w:rsidRPr="00E55B63" w:rsidRDefault="005B421B" w:rsidP="005B421B">
      <w:pPr>
        <w:pStyle w:val="Body"/>
        <w:spacing w:after="0"/>
        <w:rPr>
          <w:rFonts w:ascii="Arial" w:hAnsi="Arial" w:cs="Arial"/>
        </w:rPr>
      </w:pPr>
    </w:p>
    <w:p w14:paraId="399B29B0" w14:textId="77777777" w:rsidR="00B07D6B" w:rsidRPr="00E55B63" w:rsidRDefault="00B07D6B" w:rsidP="00B07D6B">
      <w:pPr>
        <w:pStyle w:val="Body"/>
        <w:spacing w:after="0"/>
        <w:rPr>
          <w:rFonts w:ascii="Arial" w:hAnsi="Arial" w:cs="Arial"/>
        </w:rPr>
      </w:pPr>
      <w:r w:rsidRPr="00E55B63">
        <w:rPr>
          <w:rFonts w:ascii="Arial" w:hAnsi="Arial" w:cs="Arial"/>
        </w:rPr>
        <w:t xml:space="preserve">Stratified sampling was employed to select a total of 123 employees, which included 71 faculty members and 52 non-teaching staff. This method was chosen to ensure that both groups were adequately represented. The sample was designed to facilitate meaningful comparisons between the faculty and non-teaching staff while meeting the parametric assumptions required for the nonparametric tests typically used in organizational research. </w:t>
      </w:r>
    </w:p>
    <w:p w14:paraId="109B1963" w14:textId="77777777" w:rsidR="00B07D6B" w:rsidRPr="00E55B63" w:rsidRDefault="00B07D6B" w:rsidP="00B07D6B">
      <w:pPr>
        <w:pStyle w:val="Body"/>
        <w:spacing w:after="0"/>
        <w:rPr>
          <w:rFonts w:ascii="Arial" w:hAnsi="Arial" w:cs="Arial"/>
        </w:rPr>
      </w:pPr>
    </w:p>
    <w:p w14:paraId="29299347" w14:textId="77777777" w:rsidR="00375474" w:rsidRPr="00E55B63" w:rsidRDefault="00B07D6B" w:rsidP="00B07D6B">
      <w:pPr>
        <w:pStyle w:val="Body"/>
        <w:spacing w:after="0"/>
        <w:rPr>
          <w:rFonts w:ascii="Arial" w:hAnsi="Arial" w:cs="Arial"/>
        </w:rPr>
      </w:pPr>
      <w:r w:rsidRPr="00E55B63">
        <w:rPr>
          <w:rFonts w:ascii="Arial" w:hAnsi="Arial" w:cs="Arial"/>
        </w:rPr>
        <w:t>In finalizing the selection of participants, several factors were considered, including statistical power, available resources, and ethical issues related to participation. All participants volunteered and adhered to the ethical guidelines associated with stratification in the analysis.</w:t>
      </w:r>
    </w:p>
    <w:p w14:paraId="3B03D9FE" w14:textId="77777777" w:rsidR="009013C5" w:rsidRPr="00E55B63" w:rsidRDefault="009013C5" w:rsidP="005B421B">
      <w:pPr>
        <w:pStyle w:val="Body"/>
        <w:spacing w:after="0"/>
        <w:rPr>
          <w:rFonts w:ascii="Arial" w:hAnsi="Arial" w:cs="Arial"/>
        </w:rPr>
      </w:pPr>
    </w:p>
    <w:p w14:paraId="1DCEBEE4" w14:textId="77777777" w:rsidR="006F72CB" w:rsidRPr="00E55B63" w:rsidRDefault="006F72CB" w:rsidP="006F72CB">
      <w:pPr>
        <w:pStyle w:val="Body"/>
        <w:spacing w:after="0"/>
        <w:rPr>
          <w:rFonts w:ascii="Arial" w:hAnsi="Arial" w:cs="Arial"/>
        </w:rPr>
      </w:pPr>
      <w:r w:rsidRPr="00E55B63">
        <w:rPr>
          <w:rFonts w:ascii="Arial" w:hAnsi="Arial" w:cs="Arial"/>
          <w:b/>
          <w:caps/>
          <w:sz w:val="22"/>
        </w:rPr>
        <w:t xml:space="preserve">2.4 </w:t>
      </w:r>
      <w:r w:rsidR="00ED4C73" w:rsidRPr="00E55B63">
        <w:rPr>
          <w:rFonts w:ascii="Arial" w:hAnsi="Arial" w:cs="Arial"/>
          <w:b/>
          <w:sz w:val="22"/>
        </w:rPr>
        <w:t>Data Collection Instruments</w:t>
      </w:r>
    </w:p>
    <w:p w14:paraId="1F7DED99" w14:textId="77777777" w:rsidR="006F72CB" w:rsidRPr="00E55B63" w:rsidRDefault="006F72CB" w:rsidP="006F72CB">
      <w:pPr>
        <w:pStyle w:val="Body"/>
        <w:spacing w:after="0"/>
        <w:rPr>
          <w:rFonts w:ascii="Arial" w:hAnsi="Arial" w:cs="Arial"/>
        </w:rPr>
      </w:pPr>
    </w:p>
    <w:p w14:paraId="3D10C5F9" w14:textId="1A83F33F" w:rsidR="00C90396" w:rsidRPr="00E55B63" w:rsidRDefault="00596713" w:rsidP="004120FE">
      <w:pPr>
        <w:pStyle w:val="Body"/>
        <w:spacing w:after="0"/>
        <w:rPr>
          <w:rFonts w:ascii="Arial" w:hAnsi="Arial" w:cs="Arial"/>
        </w:rPr>
      </w:pPr>
      <w:r w:rsidRPr="00E55B63">
        <w:rPr>
          <w:rFonts w:ascii="Arial" w:hAnsi="Arial" w:cs="Arial"/>
        </w:rPr>
        <w:t xml:space="preserve">Data collection utilized structured questionnaires to gather demographic details and assess KM behaviors related to knowledge generation. The demographic information consisted of </w:t>
      </w:r>
      <w:r w:rsidRPr="00E55B63">
        <w:rPr>
          <w:rFonts w:ascii="Arial" w:hAnsi="Arial" w:cs="Arial"/>
        </w:rPr>
        <w:lastRenderedPageBreak/>
        <w:t>gender, age, educational background, and years of service.</w:t>
      </w:r>
      <w:r w:rsidR="002140A5" w:rsidRPr="00E55B63">
        <w:rPr>
          <w:rFonts w:ascii="Arial" w:hAnsi="Arial" w:cs="Arial"/>
        </w:rPr>
        <w:t xml:space="preserve"> </w:t>
      </w:r>
      <w:r w:rsidRPr="00E55B63">
        <w:rPr>
          <w:rFonts w:ascii="Arial" w:hAnsi="Arial" w:cs="Arial"/>
        </w:rPr>
        <w:t>Validated tools assessed knowledge generation with a Likert scale.</w:t>
      </w:r>
      <w:r w:rsidR="00EC4523" w:rsidRPr="00E55B63">
        <w:rPr>
          <w:rFonts w:ascii="Arial" w:hAnsi="Arial" w:cs="Arial"/>
        </w:rPr>
        <w:t xml:space="preserve"> </w:t>
      </w:r>
      <w:r w:rsidR="00BA1B0A" w:rsidRPr="00BA1B0A">
        <w:rPr>
          <w:rFonts w:ascii="Arial" w:hAnsi="Arial" w:cs="Arial"/>
        </w:rPr>
        <w:t>The instrument demonstrated high internal consistency (α = 0.87), which supports the reliability of our measurements.</w:t>
      </w:r>
    </w:p>
    <w:p w14:paraId="4787AE8F" w14:textId="77777777" w:rsidR="0076679F" w:rsidRPr="00E55B63" w:rsidRDefault="0076679F" w:rsidP="004120FE">
      <w:pPr>
        <w:pStyle w:val="Body"/>
        <w:spacing w:after="0"/>
        <w:rPr>
          <w:rFonts w:ascii="Arial" w:hAnsi="Arial" w:cs="Arial"/>
        </w:rPr>
      </w:pPr>
    </w:p>
    <w:p w14:paraId="3B407A44" w14:textId="77777777" w:rsidR="00395D94" w:rsidRPr="00E55B63" w:rsidRDefault="00A01EF0" w:rsidP="00395D94">
      <w:pPr>
        <w:pStyle w:val="Body"/>
        <w:spacing w:after="0"/>
        <w:rPr>
          <w:rFonts w:ascii="Arial" w:hAnsi="Arial" w:cs="Arial"/>
        </w:rPr>
      </w:pPr>
      <w:r w:rsidRPr="00E55B63">
        <w:rPr>
          <w:rFonts w:ascii="Arial" w:hAnsi="Arial" w:cs="Arial"/>
          <w:b/>
          <w:caps/>
          <w:sz w:val="22"/>
        </w:rPr>
        <w:t>2.5</w:t>
      </w:r>
      <w:r w:rsidR="00395D94" w:rsidRPr="00E55B63">
        <w:rPr>
          <w:rFonts w:ascii="Arial" w:hAnsi="Arial" w:cs="Arial"/>
          <w:b/>
          <w:caps/>
          <w:sz w:val="22"/>
        </w:rPr>
        <w:t xml:space="preserve"> </w:t>
      </w:r>
      <w:r w:rsidR="00395D94" w:rsidRPr="00E55B63">
        <w:rPr>
          <w:rFonts w:ascii="Arial" w:hAnsi="Arial" w:cs="Arial"/>
          <w:b/>
          <w:sz w:val="22"/>
        </w:rPr>
        <w:t>Statistical Analysis</w:t>
      </w:r>
    </w:p>
    <w:p w14:paraId="339F6622" w14:textId="77777777" w:rsidR="00395D94" w:rsidRPr="00E55B63" w:rsidRDefault="00395D94" w:rsidP="00395D94">
      <w:pPr>
        <w:pStyle w:val="Body"/>
        <w:spacing w:after="0"/>
        <w:rPr>
          <w:rFonts w:ascii="Arial" w:hAnsi="Arial" w:cs="Arial"/>
        </w:rPr>
      </w:pPr>
    </w:p>
    <w:p w14:paraId="051E019E" w14:textId="77777777" w:rsidR="00F42F35" w:rsidRPr="00E55B63" w:rsidRDefault="00F42F35" w:rsidP="00AF39F3">
      <w:pPr>
        <w:pStyle w:val="Body"/>
        <w:spacing w:after="0"/>
        <w:rPr>
          <w:rFonts w:ascii="Arial" w:hAnsi="Arial" w:cs="Arial"/>
        </w:rPr>
      </w:pPr>
      <w:r w:rsidRPr="00E55B63">
        <w:rPr>
          <w:rFonts w:ascii="Arial" w:hAnsi="Arial" w:cs="Arial"/>
        </w:rPr>
        <w:t>The researchers employed methods suitable for ordinal variables and non-normal distributions. Independent demographic variables—age, gender, job category, education, and years of service—were analyzed with respect to the dependent knowledge management practices. Nonparametric tests conducted in Minitab 17 used a Likert-type format and maintained analytical rigor. Throughout the analyses, significance was set at 0.05. Average ranks and Z-scores revealed differences between groups.</w:t>
      </w:r>
    </w:p>
    <w:p w14:paraId="6B30C703" w14:textId="77777777" w:rsidR="00F42F35" w:rsidRPr="00E55B63" w:rsidRDefault="00F42F35" w:rsidP="00AF39F3">
      <w:pPr>
        <w:pStyle w:val="Body"/>
        <w:spacing w:after="0"/>
        <w:rPr>
          <w:rFonts w:ascii="Arial" w:hAnsi="Arial" w:cs="Arial"/>
        </w:rPr>
      </w:pPr>
    </w:p>
    <w:p w14:paraId="494FBC45" w14:textId="77777777" w:rsidR="00F42F35" w:rsidRPr="00E55B63" w:rsidRDefault="00F42F35" w:rsidP="00AF39F3">
      <w:pPr>
        <w:pStyle w:val="Body"/>
        <w:spacing w:after="0"/>
        <w:rPr>
          <w:rFonts w:ascii="Arial" w:hAnsi="Arial" w:cs="Arial"/>
        </w:rPr>
      </w:pPr>
      <w:r w:rsidRPr="00E55B63">
        <w:rPr>
          <w:rFonts w:ascii="Arial" w:hAnsi="Arial" w:cs="Arial"/>
        </w:rPr>
        <w:t>The Mann-Whitney U Test compared knowledge management scores among staff groups. The researchers presented W statistics, medians, and 95% confidence intervals to highlight differences between groups. Larger W values indicated bigger differences in median scores. These clarified variations for subgroup analysis.</w:t>
      </w:r>
    </w:p>
    <w:p w14:paraId="12F6786A" w14:textId="77777777" w:rsidR="00F42F35" w:rsidRPr="00E55B63" w:rsidRDefault="00F42F35" w:rsidP="00AF39F3">
      <w:pPr>
        <w:pStyle w:val="Body"/>
        <w:spacing w:after="0"/>
        <w:rPr>
          <w:rFonts w:ascii="Arial" w:hAnsi="Arial" w:cs="Arial"/>
        </w:rPr>
      </w:pPr>
    </w:p>
    <w:p w14:paraId="147629B7" w14:textId="77777777" w:rsidR="00250895" w:rsidRPr="00E55B63" w:rsidRDefault="00F42F35" w:rsidP="00F42F35">
      <w:pPr>
        <w:pStyle w:val="Body"/>
        <w:spacing w:after="0"/>
        <w:rPr>
          <w:rFonts w:ascii="Arial" w:hAnsi="Arial" w:cs="Arial"/>
        </w:rPr>
      </w:pPr>
      <w:r w:rsidRPr="00E55B63">
        <w:rPr>
          <w:rFonts w:ascii="Arial" w:hAnsi="Arial" w:cs="Arial"/>
        </w:rPr>
        <w:t>The Kruskal-Wallis H Test assessed knowledge generation based on gender, age, education, and years of employment. The researchers presented H statistics, degrees of freedom, and adjusted p-values to clarify group differences. These findings enhanced the understanding of demographic effects.</w:t>
      </w:r>
    </w:p>
    <w:p w14:paraId="142B1598" w14:textId="77777777" w:rsidR="00974130" w:rsidRPr="00E55B63" w:rsidRDefault="00974130" w:rsidP="00B93F12">
      <w:pPr>
        <w:pStyle w:val="Body"/>
        <w:spacing w:after="0"/>
        <w:rPr>
          <w:rFonts w:ascii="Arial" w:hAnsi="Arial" w:cs="Arial"/>
        </w:rPr>
      </w:pPr>
    </w:p>
    <w:p w14:paraId="53E81FF7" w14:textId="77777777" w:rsidR="00B93F12" w:rsidRPr="00E55B63" w:rsidRDefault="00B93F12" w:rsidP="00B93F12">
      <w:pPr>
        <w:pStyle w:val="Body"/>
        <w:spacing w:after="0"/>
        <w:rPr>
          <w:rFonts w:ascii="Arial" w:hAnsi="Arial" w:cs="Arial"/>
        </w:rPr>
      </w:pPr>
      <w:r w:rsidRPr="00E55B63">
        <w:rPr>
          <w:rFonts w:ascii="Arial" w:hAnsi="Arial" w:cs="Arial"/>
          <w:b/>
          <w:caps/>
          <w:sz w:val="22"/>
        </w:rPr>
        <w:t>2.</w:t>
      </w:r>
      <w:r w:rsidR="001E697F" w:rsidRPr="00E55B63">
        <w:rPr>
          <w:rFonts w:ascii="Arial" w:hAnsi="Arial" w:cs="Arial"/>
          <w:b/>
          <w:caps/>
          <w:sz w:val="22"/>
        </w:rPr>
        <w:t>6</w:t>
      </w:r>
      <w:r w:rsidRPr="00E55B63">
        <w:rPr>
          <w:rFonts w:ascii="Arial" w:hAnsi="Arial" w:cs="Arial"/>
          <w:b/>
          <w:caps/>
          <w:sz w:val="22"/>
        </w:rPr>
        <w:t xml:space="preserve"> </w:t>
      </w:r>
      <w:r w:rsidRPr="00E55B63">
        <w:rPr>
          <w:rFonts w:ascii="Arial" w:hAnsi="Arial" w:cs="Arial"/>
          <w:b/>
          <w:sz w:val="22"/>
        </w:rPr>
        <w:t>Ethical Considerations</w:t>
      </w:r>
    </w:p>
    <w:p w14:paraId="0B1F25F8" w14:textId="77777777" w:rsidR="00B93F12" w:rsidRPr="00E55B63" w:rsidRDefault="00B93F12" w:rsidP="00B93F12">
      <w:pPr>
        <w:pStyle w:val="Body"/>
        <w:spacing w:after="0"/>
        <w:rPr>
          <w:rFonts w:ascii="Arial" w:hAnsi="Arial" w:cs="Arial"/>
        </w:rPr>
      </w:pPr>
    </w:p>
    <w:p w14:paraId="45004966" w14:textId="77777777" w:rsidR="00466B6C" w:rsidRPr="00E55B63" w:rsidRDefault="00533E2E" w:rsidP="00B93F12">
      <w:pPr>
        <w:pStyle w:val="Body"/>
        <w:spacing w:after="0"/>
        <w:rPr>
          <w:rFonts w:ascii="Arial" w:hAnsi="Arial" w:cs="Arial"/>
        </w:rPr>
      </w:pPr>
      <w:r w:rsidRPr="00E55B63">
        <w:rPr>
          <w:rFonts w:ascii="Arial" w:hAnsi="Arial" w:cs="Arial"/>
        </w:rPr>
        <w:t>The study adhered to all ethical guidelines. Participants provided informed consent, and their confidentiality was secured by removing personal identifiers. The researchers complied with the protocols of the local Institutional Review Board.</w:t>
      </w:r>
    </w:p>
    <w:p w14:paraId="370CB1A3" w14:textId="77777777" w:rsidR="00375474" w:rsidRPr="00E55B63" w:rsidRDefault="00375474" w:rsidP="00774258">
      <w:pPr>
        <w:pStyle w:val="Body"/>
        <w:spacing w:after="0"/>
        <w:rPr>
          <w:rFonts w:ascii="Arial" w:hAnsi="Arial" w:cs="Arial"/>
        </w:rPr>
      </w:pPr>
    </w:p>
    <w:p w14:paraId="7D077D0C" w14:textId="77777777" w:rsidR="00902823" w:rsidRPr="00E55B63" w:rsidRDefault="00000F8F" w:rsidP="00441B6F">
      <w:pPr>
        <w:pStyle w:val="Head1"/>
        <w:spacing w:after="0"/>
        <w:jc w:val="both"/>
        <w:rPr>
          <w:rFonts w:ascii="Arial" w:hAnsi="Arial" w:cs="Arial"/>
        </w:rPr>
      </w:pPr>
      <w:r w:rsidRPr="00E55B63">
        <w:rPr>
          <w:rFonts w:ascii="Arial" w:hAnsi="Arial" w:cs="Arial"/>
        </w:rPr>
        <w:t>3</w:t>
      </w:r>
      <w:r w:rsidR="00902823" w:rsidRPr="00E55B63">
        <w:rPr>
          <w:rFonts w:ascii="Arial" w:hAnsi="Arial" w:cs="Arial"/>
        </w:rPr>
        <w:t xml:space="preserve">. </w:t>
      </w:r>
      <w:r w:rsidRPr="00E55B63">
        <w:rPr>
          <w:rFonts w:ascii="Arial" w:hAnsi="Arial" w:cs="Arial"/>
        </w:rPr>
        <w:t>results and discussion</w:t>
      </w:r>
    </w:p>
    <w:p w14:paraId="23553677" w14:textId="77777777" w:rsidR="00790ADA" w:rsidRPr="00E55B63" w:rsidRDefault="00790ADA" w:rsidP="00441B6F">
      <w:pPr>
        <w:pStyle w:val="Head1"/>
        <w:spacing w:after="0"/>
        <w:jc w:val="both"/>
        <w:rPr>
          <w:rFonts w:ascii="Arial" w:hAnsi="Arial" w:cs="Arial"/>
        </w:rPr>
      </w:pPr>
    </w:p>
    <w:p w14:paraId="17172583" w14:textId="77777777" w:rsidR="005676EB" w:rsidRPr="00E55B63" w:rsidRDefault="005676EB" w:rsidP="005676EB">
      <w:pPr>
        <w:pStyle w:val="Body"/>
        <w:spacing w:after="0"/>
        <w:rPr>
          <w:rFonts w:ascii="Arial" w:hAnsi="Arial" w:cs="Arial"/>
        </w:rPr>
      </w:pPr>
      <w:r w:rsidRPr="00E55B63">
        <w:rPr>
          <w:rFonts w:ascii="Arial" w:hAnsi="Arial" w:cs="Arial"/>
          <w:b/>
          <w:caps/>
          <w:sz w:val="22"/>
        </w:rPr>
        <w:t xml:space="preserve">3.1 </w:t>
      </w:r>
      <w:r w:rsidR="00AE1BB4" w:rsidRPr="00E55B63">
        <w:rPr>
          <w:rFonts w:ascii="Arial" w:hAnsi="Arial" w:cs="Arial"/>
          <w:b/>
          <w:sz w:val="22"/>
        </w:rPr>
        <w:t>Demographic Profile of CBSUA Employees</w:t>
      </w:r>
    </w:p>
    <w:p w14:paraId="6E06C17E" w14:textId="77777777" w:rsidR="005676EB" w:rsidRPr="00E55B63" w:rsidRDefault="005676EB" w:rsidP="005676EB">
      <w:pPr>
        <w:pStyle w:val="Body"/>
        <w:spacing w:after="0"/>
        <w:rPr>
          <w:rFonts w:ascii="Arial" w:hAnsi="Arial" w:cs="Arial"/>
        </w:rPr>
      </w:pPr>
    </w:p>
    <w:p w14:paraId="1439F3BD" w14:textId="77777777" w:rsidR="00AE1BB4" w:rsidRPr="00E55B63" w:rsidRDefault="00B1595E" w:rsidP="005676EB">
      <w:pPr>
        <w:pStyle w:val="Body"/>
        <w:spacing w:after="0"/>
        <w:rPr>
          <w:rFonts w:ascii="Arial" w:hAnsi="Arial" w:cs="Arial"/>
        </w:rPr>
      </w:pPr>
      <w:r w:rsidRPr="00E55B63">
        <w:rPr>
          <w:rFonts w:ascii="Arial" w:hAnsi="Arial" w:cs="Arial"/>
        </w:rPr>
        <w:t>Demographic analysis offers key insights into CBSUA's workforce composition, highlighting trends that may impact knowledge management and organizational growth.</w:t>
      </w:r>
    </w:p>
    <w:p w14:paraId="0E4861F8" w14:textId="77777777" w:rsidR="00AE1BB4" w:rsidRPr="00E55B63" w:rsidRDefault="00AE1BB4" w:rsidP="005676EB">
      <w:pPr>
        <w:pStyle w:val="Body"/>
        <w:spacing w:after="0"/>
        <w:rPr>
          <w:rFonts w:ascii="Arial" w:hAnsi="Arial" w:cs="Arial"/>
        </w:rPr>
      </w:pPr>
    </w:p>
    <w:p w14:paraId="09E32570" w14:textId="77777777" w:rsidR="00263002" w:rsidRPr="00E55B63" w:rsidRDefault="00263002" w:rsidP="00263002">
      <w:pPr>
        <w:pStyle w:val="Body"/>
        <w:spacing w:after="0"/>
        <w:rPr>
          <w:rFonts w:ascii="Arial" w:hAnsi="Arial" w:cs="Arial"/>
        </w:rPr>
      </w:pPr>
      <w:r w:rsidRPr="00E55B63">
        <w:rPr>
          <w:rFonts w:ascii="Arial" w:hAnsi="Arial" w:cs="Arial"/>
          <w:b/>
          <w:u w:val="single"/>
        </w:rPr>
        <w:t xml:space="preserve">3.1.1 </w:t>
      </w:r>
      <w:r w:rsidR="00483EFA" w:rsidRPr="00E55B63">
        <w:rPr>
          <w:rFonts w:ascii="Arial" w:hAnsi="Arial" w:cs="Arial"/>
          <w:b/>
          <w:u w:val="single"/>
        </w:rPr>
        <w:t>Gender Distribution</w:t>
      </w:r>
      <w:r w:rsidRPr="00E55B63">
        <w:rPr>
          <w:rFonts w:ascii="Arial" w:hAnsi="Arial" w:cs="Arial"/>
        </w:rPr>
        <w:t xml:space="preserve">  </w:t>
      </w:r>
    </w:p>
    <w:p w14:paraId="6A1FF1F5" w14:textId="77777777" w:rsidR="004A1A5A" w:rsidRPr="00E55B63" w:rsidRDefault="004A1A5A" w:rsidP="005676EB">
      <w:pPr>
        <w:pStyle w:val="Body"/>
        <w:spacing w:after="0"/>
        <w:rPr>
          <w:rFonts w:ascii="Arial" w:hAnsi="Arial" w:cs="Arial"/>
        </w:rPr>
      </w:pPr>
    </w:p>
    <w:p w14:paraId="66922DA7" w14:textId="77777777" w:rsidR="000A1816" w:rsidRPr="00E55B63" w:rsidRDefault="000A1816" w:rsidP="000A1816">
      <w:pPr>
        <w:pStyle w:val="Body"/>
        <w:spacing w:after="0"/>
        <w:rPr>
          <w:rFonts w:ascii="Arial" w:hAnsi="Arial" w:cs="Arial"/>
        </w:rPr>
      </w:pPr>
      <w:r w:rsidRPr="00E55B63">
        <w:rPr>
          <w:rFonts w:ascii="Arial" w:hAnsi="Arial" w:cs="Arial"/>
        </w:rPr>
        <w:t>The female employee has shown a higher percentage among faculty and non-teaching personnel. Among the seventy-one faculty members, 69.01% were females, while males represented 30.99%. For the fifty-two non-teaching staff, females have a higher percentage (67.31%) than males (32.69%). This higher prevalence of women mirrors broader trends in higher education in the Philippines and is consistent with recent global research.</w:t>
      </w:r>
    </w:p>
    <w:p w14:paraId="10EE3DDB" w14:textId="77777777" w:rsidR="000A1816" w:rsidRPr="00E55B63" w:rsidRDefault="000A1816" w:rsidP="000A1816">
      <w:pPr>
        <w:pStyle w:val="Body"/>
        <w:spacing w:after="0"/>
        <w:rPr>
          <w:rFonts w:ascii="Arial" w:hAnsi="Arial" w:cs="Arial"/>
        </w:rPr>
      </w:pPr>
    </w:p>
    <w:p w14:paraId="1EC7BA66" w14:textId="77777777" w:rsidR="000A1816" w:rsidRPr="00E55B63" w:rsidRDefault="000A1816" w:rsidP="000A1816">
      <w:pPr>
        <w:pStyle w:val="Body"/>
        <w:spacing w:after="0"/>
        <w:rPr>
          <w:rFonts w:ascii="Arial" w:hAnsi="Arial" w:cs="Arial"/>
        </w:rPr>
      </w:pPr>
      <w:r w:rsidRPr="00E55B63">
        <w:rPr>
          <w:rFonts w:ascii="Arial" w:hAnsi="Arial" w:cs="Arial"/>
        </w:rPr>
        <w:t>The 2024 UNESCO Global Education Monitoring Report highlights that women constitute the majority of the teaching workforce in primary and secondary education. Jones-Esan (2024) noted that female representation in organizational leadership roles decreases as educational levels advance. Despite this, the data indicate a strong presence of women among faculty members, which might be influenced by a discipline-specific trend in agricultural sciences and colleges focused on education.</w:t>
      </w:r>
    </w:p>
    <w:p w14:paraId="6F46AB9A" w14:textId="77777777" w:rsidR="000A1816" w:rsidRPr="00E55B63" w:rsidRDefault="000A1816" w:rsidP="000A1816">
      <w:pPr>
        <w:pStyle w:val="Body"/>
        <w:spacing w:after="0"/>
        <w:rPr>
          <w:rFonts w:ascii="Arial" w:hAnsi="Arial" w:cs="Arial"/>
        </w:rPr>
      </w:pPr>
    </w:p>
    <w:p w14:paraId="053216E7" w14:textId="77777777" w:rsidR="00483EFA" w:rsidRPr="00E55B63" w:rsidRDefault="000A1816" w:rsidP="000A1816">
      <w:pPr>
        <w:pStyle w:val="Body"/>
        <w:spacing w:after="0"/>
        <w:rPr>
          <w:rFonts w:ascii="Arial" w:hAnsi="Arial" w:cs="Arial"/>
        </w:rPr>
      </w:pPr>
      <w:r w:rsidRPr="00E55B63">
        <w:rPr>
          <w:rFonts w:ascii="Arial" w:hAnsi="Arial" w:cs="Arial"/>
        </w:rPr>
        <w:t xml:space="preserve">Gender composition has significant implications for knowledge management. Several studies indicate that gender diversity can influence knowledge sharing within organizations. Evidence </w:t>
      </w:r>
      <w:r w:rsidRPr="00E55B63">
        <w:rPr>
          <w:rFonts w:ascii="Arial" w:hAnsi="Arial" w:cs="Arial"/>
        </w:rPr>
        <w:lastRenderedPageBreak/>
        <w:t>suggests that women often collaborate more when sharing knowledge, whereas men tend to focus on individual knowledge creation (Ndiege &amp; Backhouse, 2023). Nonetheless, for inclusive knowledge management systems, it is crucial to surpass gender stereotypes and value contributions from every employee.</w:t>
      </w:r>
    </w:p>
    <w:p w14:paraId="6DA55B61" w14:textId="77777777" w:rsidR="00AB1D23" w:rsidRPr="00E55B63" w:rsidRDefault="00AB1D23" w:rsidP="005676EB">
      <w:pPr>
        <w:pStyle w:val="Body"/>
        <w:spacing w:after="0"/>
        <w:rPr>
          <w:rFonts w:ascii="Arial" w:hAnsi="Arial" w:cs="Arial"/>
        </w:rPr>
      </w:pPr>
    </w:p>
    <w:p w14:paraId="7BAF92AB" w14:textId="77777777" w:rsidR="00407C09" w:rsidRPr="00E55B63" w:rsidRDefault="00407C09" w:rsidP="00407C09">
      <w:pPr>
        <w:pStyle w:val="Body"/>
        <w:spacing w:after="0"/>
        <w:rPr>
          <w:rFonts w:ascii="Arial" w:hAnsi="Arial" w:cs="Arial"/>
        </w:rPr>
      </w:pPr>
      <w:r w:rsidRPr="00E55B63">
        <w:rPr>
          <w:rFonts w:ascii="Arial" w:hAnsi="Arial" w:cs="Arial"/>
          <w:b/>
          <w:u w:val="single"/>
        </w:rPr>
        <w:t>3</w:t>
      </w:r>
      <w:r w:rsidR="00BE7908" w:rsidRPr="00E55B63">
        <w:rPr>
          <w:rFonts w:ascii="Arial" w:hAnsi="Arial" w:cs="Arial"/>
          <w:b/>
          <w:u w:val="single"/>
        </w:rPr>
        <w:t>.1.2</w:t>
      </w:r>
      <w:r w:rsidRPr="00E55B63">
        <w:rPr>
          <w:rFonts w:ascii="Arial" w:hAnsi="Arial" w:cs="Arial"/>
          <w:b/>
          <w:u w:val="single"/>
        </w:rPr>
        <w:t xml:space="preserve"> </w:t>
      </w:r>
      <w:r w:rsidR="00BE7908" w:rsidRPr="00E55B63">
        <w:rPr>
          <w:rFonts w:ascii="Arial" w:hAnsi="Arial" w:cs="Arial"/>
          <w:b/>
          <w:u w:val="single"/>
        </w:rPr>
        <w:t>Age Bracket Distribution</w:t>
      </w:r>
      <w:r w:rsidRPr="00E55B63">
        <w:rPr>
          <w:rFonts w:ascii="Arial" w:hAnsi="Arial" w:cs="Arial"/>
        </w:rPr>
        <w:t xml:space="preserve">  </w:t>
      </w:r>
    </w:p>
    <w:p w14:paraId="199AA2D5" w14:textId="77777777" w:rsidR="00407C09" w:rsidRPr="00E55B63" w:rsidRDefault="00407C09" w:rsidP="00407C09">
      <w:pPr>
        <w:pStyle w:val="Body"/>
        <w:spacing w:after="0"/>
        <w:rPr>
          <w:rFonts w:ascii="Arial" w:hAnsi="Arial" w:cs="Arial"/>
        </w:rPr>
      </w:pPr>
    </w:p>
    <w:p w14:paraId="5C6590D5" w14:textId="77777777" w:rsidR="00AC53F7" w:rsidRPr="00E55B63" w:rsidRDefault="00AC53F7" w:rsidP="00AC53F7">
      <w:pPr>
        <w:pStyle w:val="Body"/>
        <w:spacing w:after="0"/>
        <w:rPr>
          <w:rFonts w:ascii="Arial" w:hAnsi="Arial" w:cs="Arial"/>
        </w:rPr>
      </w:pPr>
      <w:r w:rsidRPr="00E55B63">
        <w:rPr>
          <w:rFonts w:ascii="Arial" w:hAnsi="Arial" w:cs="Arial"/>
        </w:rPr>
        <w:t>The age distribution in the teaching and non-teaching staff was analyzed, and the findings showed mixed outcomes. The age group 36-46 years (36.62) had the highest percentage among faculty members, while the 25-35 years age group had the second-highest percentage at 24.65. Such results show that the faculty is comparatively young. In contrast, the age group of 58 to 67 years represented 29.58%, while those aged 58 and above made up only 9.15%.</w:t>
      </w:r>
    </w:p>
    <w:p w14:paraId="3F7211D9" w14:textId="77777777" w:rsidR="00AC53F7" w:rsidRPr="00E55B63" w:rsidRDefault="00AC53F7" w:rsidP="00AC53F7">
      <w:pPr>
        <w:pStyle w:val="Body"/>
        <w:spacing w:after="0"/>
        <w:rPr>
          <w:rFonts w:ascii="Arial" w:hAnsi="Arial" w:cs="Arial"/>
        </w:rPr>
      </w:pPr>
    </w:p>
    <w:p w14:paraId="16237CD7" w14:textId="77777777" w:rsidR="00AC53F7" w:rsidRPr="00E55B63" w:rsidRDefault="00AC53F7" w:rsidP="00AC53F7">
      <w:pPr>
        <w:pStyle w:val="Body"/>
        <w:spacing w:after="0"/>
        <w:rPr>
          <w:rFonts w:ascii="Arial" w:hAnsi="Arial" w:cs="Arial"/>
        </w:rPr>
      </w:pPr>
      <w:r w:rsidRPr="00E55B63">
        <w:rPr>
          <w:rFonts w:ascii="Arial" w:hAnsi="Arial" w:cs="Arial"/>
        </w:rPr>
        <w:t>In contrast, non-teaching staff had a more balanced age distribution, with the 47-57-year age group being the largest (30.77%). The 36-46-year-old group accounted for 26.92%, the 25-35-year-olds for 19.23%, and those aged 58 and above for 23.08%.</w:t>
      </w:r>
    </w:p>
    <w:p w14:paraId="6A78F0C3" w14:textId="77777777" w:rsidR="00AC53F7" w:rsidRPr="00E55B63" w:rsidRDefault="00AC53F7" w:rsidP="00AC53F7">
      <w:pPr>
        <w:pStyle w:val="Body"/>
        <w:spacing w:after="0"/>
        <w:rPr>
          <w:rFonts w:ascii="Arial" w:hAnsi="Arial" w:cs="Arial"/>
        </w:rPr>
      </w:pPr>
    </w:p>
    <w:p w14:paraId="3CB94C92" w14:textId="77777777" w:rsidR="00AC53F7" w:rsidRPr="00E55B63" w:rsidRDefault="00AC53F7" w:rsidP="00AC53F7">
      <w:pPr>
        <w:pStyle w:val="Body"/>
        <w:spacing w:after="0"/>
        <w:rPr>
          <w:rFonts w:ascii="Arial" w:hAnsi="Arial" w:cs="Arial"/>
        </w:rPr>
      </w:pPr>
      <w:r w:rsidRPr="00E55B63">
        <w:rPr>
          <w:rFonts w:ascii="Arial" w:hAnsi="Arial" w:cs="Arial"/>
        </w:rPr>
        <w:t>The demographics of the faculty greatly influence the knowledge management. Faculty members aged 25-35 are primarily young and bring new ideas, technological skills, and the latest research. Age-mid career faculty are aged 36-46; these faculty members are experienced and innovative. The senior faculty, on the other hand, report that the institution is well equipped to create and disseminate knowledge.</w:t>
      </w:r>
    </w:p>
    <w:p w14:paraId="2BBB4DD0" w14:textId="77777777" w:rsidR="00AC53F7" w:rsidRPr="00E55B63" w:rsidRDefault="00AC53F7" w:rsidP="00AC53F7">
      <w:pPr>
        <w:pStyle w:val="Body"/>
        <w:spacing w:after="0"/>
        <w:rPr>
          <w:rFonts w:ascii="Arial" w:hAnsi="Arial" w:cs="Arial"/>
        </w:rPr>
      </w:pPr>
    </w:p>
    <w:p w14:paraId="4BA4F70F" w14:textId="77777777" w:rsidR="00AC53F7" w:rsidRPr="00E55B63" w:rsidRDefault="00AC53F7" w:rsidP="00AC53F7">
      <w:pPr>
        <w:pStyle w:val="Body"/>
        <w:spacing w:after="0"/>
        <w:rPr>
          <w:rFonts w:ascii="Arial" w:hAnsi="Arial" w:cs="Arial"/>
        </w:rPr>
      </w:pPr>
      <w:r w:rsidRPr="00E55B63">
        <w:rPr>
          <w:rFonts w:ascii="Arial" w:hAnsi="Arial" w:cs="Arial"/>
        </w:rPr>
        <w:t>The profile of non-teaching staff tends to be older, suggesting greater institutional memory and better procedural skills. However, this also poses a challenge for succession planning. Hoque and Zheng (2024) observe that the loss of knowledge is likely to be substantial when a transition to new leadership occurs in higher education, unless proper succession planning and knowledge transfer are implemented. Moreover, Villien (2023) found that although higher education administrators' attitudes toward succession planning are usually positive, most institutions lack structured approaches to knowledge transfer when a new leader is appointed. This highlights the need for proactive efforts to preserve knowledge before retirement.</w:t>
      </w:r>
    </w:p>
    <w:p w14:paraId="12A6D3C4" w14:textId="77777777" w:rsidR="00AC53F7" w:rsidRPr="00E55B63" w:rsidRDefault="00AC53F7" w:rsidP="00AC53F7">
      <w:pPr>
        <w:pStyle w:val="Body"/>
        <w:spacing w:after="0"/>
        <w:rPr>
          <w:rFonts w:ascii="Arial" w:hAnsi="Arial" w:cs="Arial"/>
        </w:rPr>
      </w:pPr>
    </w:p>
    <w:p w14:paraId="2516CD76" w14:textId="77777777" w:rsidR="00F520E9" w:rsidRPr="00E55B63" w:rsidRDefault="00AC53F7" w:rsidP="00AC53F7">
      <w:pPr>
        <w:pStyle w:val="Body"/>
        <w:spacing w:after="0"/>
        <w:rPr>
          <w:rFonts w:ascii="Arial" w:hAnsi="Arial" w:cs="Arial"/>
        </w:rPr>
      </w:pPr>
      <w:r w:rsidRPr="00E55B63">
        <w:rPr>
          <w:rFonts w:ascii="Arial" w:hAnsi="Arial" w:cs="Arial"/>
        </w:rPr>
        <w:t>A recent study on generational diversity in the workplace found that a team with diverse age groups can enhance innovation at the organizational level, provided effective knowledge-sharing practices are in place (Sahibzada et al., 2023). The presence of various generational groups at CBSUA offers learning opportunities, with younger employees bringing their technological skills and older employees sharing their wisdom.</w:t>
      </w:r>
    </w:p>
    <w:p w14:paraId="76D4F7BD" w14:textId="77777777" w:rsidR="001815C6" w:rsidRPr="00E55B63" w:rsidRDefault="001815C6" w:rsidP="00920E72">
      <w:pPr>
        <w:pStyle w:val="Body"/>
        <w:spacing w:after="0"/>
        <w:rPr>
          <w:rFonts w:ascii="Arial" w:hAnsi="Arial" w:cs="Arial"/>
        </w:rPr>
      </w:pPr>
    </w:p>
    <w:p w14:paraId="6330FFA0" w14:textId="77777777" w:rsidR="00002045" w:rsidRPr="00E55B63" w:rsidRDefault="00002045" w:rsidP="00002045">
      <w:pPr>
        <w:pStyle w:val="Body"/>
        <w:spacing w:after="0"/>
        <w:rPr>
          <w:rFonts w:ascii="Arial" w:hAnsi="Arial" w:cs="Arial"/>
        </w:rPr>
      </w:pPr>
      <w:r w:rsidRPr="00E55B63">
        <w:rPr>
          <w:rFonts w:ascii="Arial" w:hAnsi="Arial" w:cs="Arial"/>
          <w:b/>
          <w:u w:val="single"/>
        </w:rPr>
        <w:t>3.1.</w:t>
      </w:r>
      <w:r w:rsidR="008978F8" w:rsidRPr="00E55B63">
        <w:rPr>
          <w:rFonts w:ascii="Arial" w:hAnsi="Arial" w:cs="Arial"/>
          <w:b/>
          <w:u w:val="single"/>
        </w:rPr>
        <w:t>3</w:t>
      </w:r>
      <w:r w:rsidRPr="00E55B63">
        <w:rPr>
          <w:rFonts w:ascii="Arial" w:hAnsi="Arial" w:cs="Arial"/>
          <w:b/>
          <w:u w:val="single"/>
        </w:rPr>
        <w:t xml:space="preserve"> </w:t>
      </w:r>
      <w:r w:rsidR="008978F8" w:rsidRPr="00E55B63">
        <w:rPr>
          <w:rFonts w:ascii="Arial" w:hAnsi="Arial" w:cs="Arial"/>
          <w:b/>
          <w:u w:val="single"/>
        </w:rPr>
        <w:t>Educational Attainment</w:t>
      </w:r>
      <w:r w:rsidRPr="00E55B63">
        <w:rPr>
          <w:rFonts w:ascii="Arial" w:hAnsi="Arial" w:cs="Arial"/>
        </w:rPr>
        <w:t xml:space="preserve">  </w:t>
      </w:r>
    </w:p>
    <w:p w14:paraId="69CB819A" w14:textId="77777777" w:rsidR="00002045" w:rsidRPr="00E55B63" w:rsidRDefault="00002045" w:rsidP="00002045">
      <w:pPr>
        <w:pStyle w:val="Body"/>
        <w:spacing w:after="0"/>
        <w:rPr>
          <w:rFonts w:ascii="Arial" w:hAnsi="Arial" w:cs="Arial"/>
        </w:rPr>
      </w:pPr>
    </w:p>
    <w:p w14:paraId="3F37E10A" w14:textId="77777777" w:rsidR="0071546E" w:rsidRPr="00E55B63" w:rsidRDefault="0071546E" w:rsidP="0071546E">
      <w:pPr>
        <w:pStyle w:val="Body"/>
        <w:spacing w:after="0"/>
        <w:rPr>
          <w:rFonts w:ascii="Arial" w:hAnsi="Arial" w:cs="Arial"/>
        </w:rPr>
      </w:pPr>
      <w:r w:rsidRPr="00E55B63">
        <w:rPr>
          <w:rFonts w:ascii="Arial" w:hAnsi="Arial" w:cs="Arial"/>
        </w:rPr>
        <w:t>The teaching staff had good educational qualifications that matched their job requirements. Interestingly, the highest population of 52.11 percent had Master's degrees. PhD holders constituted 35.21% and those with a Bachelor's degree qualified 12.68%. It is also necessary to add that no teaching staff claimed to possess a diploma only.</w:t>
      </w:r>
    </w:p>
    <w:p w14:paraId="5DC10C48" w14:textId="77777777" w:rsidR="0071546E" w:rsidRPr="00E55B63" w:rsidRDefault="0071546E" w:rsidP="0071546E">
      <w:pPr>
        <w:pStyle w:val="Body"/>
        <w:spacing w:after="0"/>
        <w:rPr>
          <w:rFonts w:ascii="Arial" w:hAnsi="Arial" w:cs="Arial"/>
        </w:rPr>
      </w:pPr>
    </w:p>
    <w:p w14:paraId="52010337" w14:textId="77777777" w:rsidR="0071546E" w:rsidRPr="00E55B63" w:rsidRDefault="0071546E" w:rsidP="0071546E">
      <w:pPr>
        <w:pStyle w:val="Body"/>
        <w:spacing w:after="0"/>
        <w:rPr>
          <w:rFonts w:ascii="Arial" w:hAnsi="Arial" w:cs="Arial"/>
        </w:rPr>
      </w:pPr>
      <w:r w:rsidRPr="00E55B63">
        <w:rPr>
          <w:rFonts w:ascii="Arial" w:hAnsi="Arial" w:cs="Arial"/>
        </w:rPr>
        <w:t>The percentage of faculty members with Master's and PhD degrees is high, which proves the relevance of the accreditation requirements and the professional development intent in the Philippine higher education. The Commission on Higher Education (CHED) mandates that faculty members possess at least a Master's degree in their field of specialization, and obtaining a PhD is becoming increasingly important for advancement in academic positions.</w:t>
      </w:r>
    </w:p>
    <w:p w14:paraId="0BE545C0" w14:textId="77777777" w:rsidR="0071546E" w:rsidRPr="00E55B63" w:rsidRDefault="0071546E" w:rsidP="0071546E">
      <w:pPr>
        <w:pStyle w:val="Body"/>
        <w:spacing w:after="0"/>
        <w:rPr>
          <w:rFonts w:ascii="Arial" w:hAnsi="Arial" w:cs="Arial"/>
        </w:rPr>
      </w:pPr>
    </w:p>
    <w:p w14:paraId="75B19862" w14:textId="77777777" w:rsidR="0071546E" w:rsidRPr="00E55B63" w:rsidRDefault="0071546E" w:rsidP="0071546E">
      <w:pPr>
        <w:pStyle w:val="Body"/>
        <w:spacing w:after="0"/>
        <w:rPr>
          <w:rFonts w:ascii="Arial" w:hAnsi="Arial" w:cs="Arial"/>
        </w:rPr>
      </w:pPr>
      <w:r w:rsidRPr="00E55B63">
        <w:rPr>
          <w:rFonts w:ascii="Arial" w:hAnsi="Arial" w:cs="Arial"/>
        </w:rPr>
        <w:t xml:space="preserve">The largest group of non-teaching staff holds a Bachelor's degree at 67.31%, followed by those with Master's degrees at 25.00%. The percentage with diplomas is only 1.92%, with </w:t>
      </w:r>
      <w:r w:rsidRPr="00E55B63">
        <w:rPr>
          <w:rFonts w:ascii="Arial" w:hAnsi="Arial" w:cs="Arial"/>
        </w:rPr>
        <w:lastRenderedPageBreak/>
        <w:t>5.77% being with PHD. The profile of the education indicates that the non-teaching staff are highly qualified in their area of education (not basic education), so they can make better contributions to the body of knowledge in the institution.</w:t>
      </w:r>
    </w:p>
    <w:p w14:paraId="392FEC4D" w14:textId="77777777" w:rsidR="0071546E" w:rsidRPr="00E55B63" w:rsidRDefault="0071546E" w:rsidP="0071546E">
      <w:pPr>
        <w:pStyle w:val="Body"/>
        <w:spacing w:after="0"/>
        <w:rPr>
          <w:rFonts w:ascii="Arial" w:hAnsi="Arial" w:cs="Arial"/>
        </w:rPr>
      </w:pPr>
    </w:p>
    <w:p w14:paraId="7E8913D2" w14:textId="77777777" w:rsidR="001815C6" w:rsidRPr="00E55B63" w:rsidRDefault="0071546E" w:rsidP="0071546E">
      <w:pPr>
        <w:pStyle w:val="Body"/>
        <w:spacing w:after="0"/>
        <w:rPr>
          <w:rFonts w:ascii="Arial" w:hAnsi="Arial" w:cs="Arial"/>
        </w:rPr>
      </w:pPr>
      <w:r w:rsidRPr="00E55B63">
        <w:rPr>
          <w:rFonts w:ascii="Arial" w:hAnsi="Arial" w:cs="Arial"/>
        </w:rPr>
        <w:t xml:space="preserve">A study by </w:t>
      </w:r>
      <w:proofErr w:type="spellStart"/>
      <w:r w:rsidRPr="00E55B63">
        <w:rPr>
          <w:rFonts w:ascii="Arial" w:hAnsi="Arial" w:cs="Arial"/>
        </w:rPr>
        <w:t>Galgotia</w:t>
      </w:r>
      <w:proofErr w:type="spellEnd"/>
      <w:r w:rsidRPr="00E55B63">
        <w:rPr>
          <w:rFonts w:ascii="Arial" w:hAnsi="Arial" w:cs="Arial"/>
        </w:rPr>
        <w:t xml:space="preserve"> and Lakshmi (2022) indicates that educational qualifications affect engagement in knowledge management, with higher levels of education associated with greater involvement in knowledge creation and sharing. They warn, however, that relying too heavily on formal credentials may overlook the tacit knowledge and experience many long-term employees possess, regardless of their degrees.</w:t>
      </w:r>
    </w:p>
    <w:p w14:paraId="6BCA54ED" w14:textId="77777777" w:rsidR="00DD64DA" w:rsidRPr="00E55B63" w:rsidRDefault="00DD64DA" w:rsidP="00DD64DA">
      <w:pPr>
        <w:pStyle w:val="Body"/>
        <w:spacing w:after="0"/>
        <w:rPr>
          <w:rFonts w:ascii="Arial" w:hAnsi="Arial" w:cs="Arial"/>
        </w:rPr>
      </w:pPr>
    </w:p>
    <w:p w14:paraId="4C28E8D4" w14:textId="77777777" w:rsidR="00F83AF4" w:rsidRPr="00E55B63" w:rsidRDefault="00F83AF4" w:rsidP="00F83AF4">
      <w:pPr>
        <w:pStyle w:val="Body"/>
        <w:spacing w:after="0"/>
        <w:rPr>
          <w:rFonts w:ascii="Arial" w:hAnsi="Arial" w:cs="Arial"/>
        </w:rPr>
      </w:pPr>
      <w:r w:rsidRPr="00E55B63">
        <w:rPr>
          <w:rFonts w:ascii="Arial" w:hAnsi="Arial" w:cs="Arial"/>
          <w:b/>
          <w:u w:val="single"/>
        </w:rPr>
        <w:t>3.1.</w:t>
      </w:r>
      <w:r w:rsidR="00C67C49" w:rsidRPr="00E55B63">
        <w:rPr>
          <w:rFonts w:ascii="Arial" w:hAnsi="Arial" w:cs="Arial"/>
          <w:b/>
          <w:u w:val="single"/>
        </w:rPr>
        <w:t>4</w:t>
      </w:r>
      <w:r w:rsidRPr="00E55B63">
        <w:rPr>
          <w:rFonts w:ascii="Arial" w:hAnsi="Arial" w:cs="Arial"/>
          <w:b/>
          <w:u w:val="single"/>
        </w:rPr>
        <w:t xml:space="preserve"> </w:t>
      </w:r>
      <w:r w:rsidR="00525A05" w:rsidRPr="00E55B63">
        <w:rPr>
          <w:rFonts w:ascii="Arial" w:hAnsi="Arial" w:cs="Arial"/>
          <w:b/>
          <w:u w:val="single"/>
        </w:rPr>
        <w:t>Years of Work Experience</w:t>
      </w:r>
      <w:r w:rsidRPr="00E55B63">
        <w:rPr>
          <w:rFonts w:ascii="Arial" w:hAnsi="Arial" w:cs="Arial"/>
        </w:rPr>
        <w:t xml:space="preserve"> </w:t>
      </w:r>
    </w:p>
    <w:p w14:paraId="5878FA09" w14:textId="77777777" w:rsidR="00F83AF4" w:rsidRPr="00E55B63" w:rsidRDefault="00F83AF4" w:rsidP="00F83AF4">
      <w:pPr>
        <w:pStyle w:val="Body"/>
        <w:spacing w:after="0"/>
        <w:rPr>
          <w:rFonts w:ascii="Arial" w:hAnsi="Arial" w:cs="Arial"/>
        </w:rPr>
      </w:pPr>
    </w:p>
    <w:p w14:paraId="341D1020" w14:textId="77777777" w:rsidR="00610DB7" w:rsidRPr="00E55B63" w:rsidRDefault="00610DB7" w:rsidP="00610DB7">
      <w:pPr>
        <w:pStyle w:val="Body"/>
        <w:spacing w:after="0"/>
        <w:rPr>
          <w:rFonts w:ascii="Arial" w:hAnsi="Arial" w:cs="Arial"/>
        </w:rPr>
      </w:pPr>
      <w:r w:rsidRPr="00E55B63">
        <w:rPr>
          <w:rFonts w:ascii="Arial" w:hAnsi="Arial" w:cs="Arial"/>
        </w:rPr>
        <w:t>Patterns of work experience indicated that there were significant workplace group variations. The highest number of teaching staff fell within the 21-30 years (30.99) and 11-20 years (29.58) categories, with 6-10 years (21.13), 3-5 years (14.08), and above 30 years (4.23) ranking third to fifth place, respectively. This dispersion implies a mature workforce and one that is well-experienced in the institution.</w:t>
      </w:r>
    </w:p>
    <w:p w14:paraId="5A0061D5" w14:textId="77777777" w:rsidR="00610DB7" w:rsidRPr="00E55B63" w:rsidRDefault="00610DB7" w:rsidP="00610DB7">
      <w:pPr>
        <w:pStyle w:val="Body"/>
        <w:spacing w:after="0"/>
        <w:rPr>
          <w:rFonts w:ascii="Arial" w:hAnsi="Arial" w:cs="Arial"/>
        </w:rPr>
      </w:pPr>
    </w:p>
    <w:p w14:paraId="5BB609C9" w14:textId="77777777" w:rsidR="00610DB7" w:rsidRPr="00E55B63" w:rsidRDefault="00610DB7" w:rsidP="00610DB7">
      <w:pPr>
        <w:pStyle w:val="Body"/>
        <w:spacing w:after="0"/>
        <w:rPr>
          <w:rFonts w:ascii="Arial" w:hAnsi="Arial" w:cs="Arial"/>
        </w:rPr>
      </w:pPr>
      <w:r w:rsidRPr="00E55B63">
        <w:rPr>
          <w:rFonts w:ascii="Arial" w:hAnsi="Arial" w:cs="Arial"/>
        </w:rPr>
        <w:t>The pattern among the non-teaching employees was different in that the majority of the employees were in the category of 11-20 years of experience (28.85%), 6-10 years (26.92%), 21-30 years (23.08%), over 30 years (11.54%), and 3-5 years (9.62%). The fact that the number of senior non-teaching staff (more than 30 years) exceeds the number of teaching staff indicates that tenure in administrative positions is longer.</w:t>
      </w:r>
    </w:p>
    <w:p w14:paraId="71A242F3" w14:textId="77777777" w:rsidR="00610DB7" w:rsidRPr="00E55B63" w:rsidRDefault="00610DB7" w:rsidP="00610DB7">
      <w:pPr>
        <w:pStyle w:val="Body"/>
        <w:spacing w:after="0"/>
        <w:rPr>
          <w:rFonts w:ascii="Arial" w:hAnsi="Arial" w:cs="Arial"/>
        </w:rPr>
      </w:pPr>
    </w:p>
    <w:p w14:paraId="78EF69CC" w14:textId="77777777" w:rsidR="00DD64DA" w:rsidRPr="00E55B63" w:rsidRDefault="00610DB7" w:rsidP="00610DB7">
      <w:pPr>
        <w:pStyle w:val="Body"/>
        <w:spacing w:after="0"/>
        <w:rPr>
          <w:rFonts w:ascii="Arial" w:hAnsi="Arial" w:cs="Arial"/>
        </w:rPr>
      </w:pPr>
      <w:r w:rsidRPr="00E55B63">
        <w:rPr>
          <w:rFonts w:ascii="Arial" w:hAnsi="Arial" w:cs="Arial"/>
        </w:rPr>
        <w:t>The extensive work experience of the two types of employees acts as a valuable source of knowledge for CBSUA. The majority of employees with 10 to 30 years of experience at the university are familiar with the university, have good professional contacts, and have accumulated their competencies in their respective fields. Nevertheless, Jones-Esan (2023) argues that such institutions ought to put formal mechanisms for knowledge collection and transfer to sustain it as retirees leave the university.</w:t>
      </w:r>
    </w:p>
    <w:p w14:paraId="13BAAB54" w14:textId="77777777" w:rsidR="00F83AF4" w:rsidRPr="00E55B63" w:rsidRDefault="00F83AF4" w:rsidP="00F83AF4">
      <w:pPr>
        <w:pStyle w:val="Body"/>
        <w:spacing w:after="0"/>
        <w:rPr>
          <w:rFonts w:ascii="Arial" w:hAnsi="Arial" w:cs="Arial"/>
        </w:rPr>
      </w:pPr>
    </w:p>
    <w:p w14:paraId="7B4B5E80" w14:textId="77777777" w:rsidR="00BE3042" w:rsidRPr="00E55B63" w:rsidRDefault="00E87CBD" w:rsidP="00BE3042">
      <w:pPr>
        <w:pStyle w:val="Body"/>
        <w:spacing w:after="0"/>
        <w:rPr>
          <w:rFonts w:ascii="Arial" w:hAnsi="Arial" w:cs="Arial"/>
        </w:rPr>
      </w:pPr>
      <w:r w:rsidRPr="00E55B63">
        <w:rPr>
          <w:rFonts w:ascii="Arial" w:hAnsi="Arial" w:cs="Arial"/>
          <w:b/>
          <w:caps/>
          <w:sz w:val="22"/>
        </w:rPr>
        <w:t>3.2</w:t>
      </w:r>
      <w:r w:rsidR="00BE3042" w:rsidRPr="00E55B63">
        <w:rPr>
          <w:rFonts w:ascii="Arial" w:hAnsi="Arial" w:cs="Arial"/>
          <w:b/>
          <w:caps/>
          <w:sz w:val="22"/>
        </w:rPr>
        <w:t xml:space="preserve"> </w:t>
      </w:r>
      <w:r w:rsidR="00564383" w:rsidRPr="00E55B63">
        <w:rPr>
          <w:rFonts w:ascii="Arial" w:hAnsi="Arial" w:cs="Arial"/>
          <w:b/>
          <w:sz w:val="22"/>
        </w:rPr>
        <w:t>Knowledge Generation</w:t>
      </w:r>
    </w:p>
    <w:p w14:paraId="15753C0E" w14:textId="77777777" w:rsidR="00BE3042" w:rsidRPr="00E55B63" w:rsidRDefault="00BE3042" w:rsidP="00BE3042">
      <w:pPr>
        <w:pStyle w:val="Body"/>
        <w:spacing w:after="0"/>
        <w:rPr>
          <w:rFonts w:ascii="Arial" w:hAnsi="Arial" w:cs="Arial"/>
        </w:rPr>
      </w:pPr>
    </w:p>
    <w:p w14:paraId="4D8D99C3" w14:textId="77777777" w:rsidR="00944046" w:rsidRPr="00E55B63" w:rsidRDefault="00944046" w:rsidP="00944046">
      <w:pPr>
        <w:pStyle w:val="Body"/>
        <w:spacing w:after="0"/>
        <w:rPr>
          <w:rFonts w:ascii="Arial" w:hAnsi="Arial" w:cs="Arial"/>
        </w:rPr>
      </w:pPr>
      <w:r w:rsidRPr="00E55B63">
        <w:rPr>
          <w:rFonts w:ascii="Arial" w:hAnsi="Arial" w:cs="Arial"/>
          <w:b/>
          <w:u w:val="single"/>
        </w:rPr>
        <w:t xml:space="preserve">3.2.1 </w:t>
      </w:r>
      <w:r w:rsidR="00120A5F" w:rsidRPr="00E55B63">
        <w:rPr>
          <w:rFonts w:ascii="Arial" w:hAnsi="Arial" w:cs="Arial"/>
          <w:b/>
          <w:u w:val="single"/>
        </w:rPr>
        <w:t>Comparison Between Teaching and Non-Teaching Employees</w:t>
      </w:r>
      <w:r w:rsidRPr="00E55B63">
        <w:rPr>
          <w:rFonts w:ascii="Arial" w:hAnsi="Arial" w:cs="Arial"/>
        </w:rPr>
        <w:t xml:space="preserve"> </w:t>
      </w:r>
    </w:p>
    <w:p w14:paraId="4C509BEA" w14:textId="77777777" w:rsidR="00944046" w:rsidRPr="00E55B63" w:rsidRDefault="00944046" w:rsidP="00944046">
      <w:pPr>
        <w:pStyle w:val="Body"/>
        <w:spacing w:after="0"/>
        <w:rPr>
          <w:rFonts w:ascii="Arial" w:hAnsi="Arial" w:cs="Arial"/>
        </w:rPr>
      </w:pPr>
    </w:p>
    <w:p w14:paraId="4B7A4430" w14:textId="77777777" w:rsidR="004F52E3" w:rsidRPr="00E55B63" w:rsidRDefault="00D4058E" w:rsidP="004F52E3">
      <w:pPr>
        <w:pStyle w:val="Body"/>
        <w:spacing w:after="0"/>
        <w:rPr>
          <w:rFonts w:ascii="Arial" w:hAnsi="Arial" w:cs="Arial"/>
        </w:rPr>
      </w:pPr>
      <w:r w:rsidRPr="00E55B63">
        <w:rPr>
          <w:rFonts w:ascii="Arial" w:hAnsi="Arial" w:cs="Arial"/>
        </w:rPr>
        <w:t>The median scores of knowledge creation (4.00 and 4.25) of teaching and non-teaching staff are almost identical and established using the Mann-Whitney U test as 4.00 and 4.25, respectively. It was found that there was no significant difference in the two groups (n1-n2 = -0.000</w:t>
      </w:r>
      <w:r w:rsidR="00CD39A5" w:rsidRPr="00E55B63">
        <w:rPr>
          <w:rFonts w:ascii="Arial" w:hAnsi="Arial" w:cs="Arial"/>
        </w:rPr>
        <w:t xml:space="preserve">0, 95% CI: 0.0001, 0.0001; P = </w:t>
      </w:r>
      <w:r w:rsidRPr="00E55B63">
        <w:rPr>
          <w:rFonts w:ascii="Arial" w:hAnsi="Arial" w:cs="Arial"/>
        </w:rPr>
        <w:t>.7682). In this way, both groups produce the knowledge on equal levels. Since there is a comparable nature in the creation of knowledge, there is a need to explore further whether standardized initiatives would be efficient in facilitating processes and improving efficiency. However, perceptions and practices regarding knowledge generation may still differ between teaching and non-teaching staff.</w:t>
      </w:r>
    </w:p>
    <w:p w14:paraId="2C96B9A9" w14:textId="77777777" w:rsidR="004F52E3" w:rsidRPr="00E55B63" w:rsidRDefault="004F52E3" w:rsidP="004F52E3">
      <w:pPr>
        <w:pStyle w:val="Body"/>
        <w:spacing w:after="0"/>
        <w:rPr>
          <w:rFonts w:ascii="Arial" w:hAnsi="Arial" w:cs="Arial"/>
        </w:rPr>
      </w:pPr>
    </w:p>
    <w:p w14:paraId="2D5D422A" w14:textId="77777777" w:rsidR="004F52E3" w:rsidRPr="00E55B63" w:rsidRDefault="00983302" w:rsidP="00983302">
      <w:pPr>
        <w:pStyle w:val="Body"/>
        <w:spacing w:after="0"/>
        <w:jc w:val="center"/>
        <w:rPr>
          <w:rFonts w:ascii="Arial" w:hAnsi="Arial" w:cs="Arial"/>
          <w:b/>
        </w:rPr>
      </w:pPr>
      <w:r w:rsidRPr="00E55B63">
        <w:rPr>
          <w:rFonts w:ascii="Arial" w:hAnsi="Arial" w:cs="Arial"/>
          <w:b/>
        </w:rPr>
        <w:t>Table 1. Knowledge Generation among Teaching and Non-Teaching Employees</w:t>
      </w:r>
    </w:p>
    <w:tbl>
      <w:tblPr>
        <w:tblW w:w="9165" w:type="dxa"/>
        <w:jc w:val="center"/>
        <w:tblCellSpacing w:w="15" w:type="dxa"/>
        <w:tblCellMar>
          <w:top w:w="15" w:type="dxa"/>
          <w:left w:w="15" w:type="dxa"/>
          <w:bottom w:w="15" w:type="dxa"/>
          <w:right w:w="15" w:type="dxa"/>
        </w:tblCellMar>
        <w:tblLook w:val="04A0" w:firstRow="1" w:lastRow="0" w:firstColumn="1" w:lastColumn="0" w:noHBand="0" w:noVBand="1"/>
      </w:tblPr>
      <w:tblGrid>
        <w:gridCol w:w="1020"/>
        <w:gridCol w:w="1081"/>
        <w:gridCol w:w="1065"/>
        <w:gridCol w:w="1107"/>
        <w:gridCol w:w="960"/>
        <w:gridCol w:w="864"/>
        <w:gridCol w:w="672"/>
        <w:gridCol w:w="1036"/>
        <w:gridCol w:w="1360"/>
      </w:tblGrid>
      <w:tr w:rsidR="00E55B63" w:rsidRPr="00E55B63" w14:paraId="46C7D4B1" w14:textId="77777777" w:rsidTr="00C41F60">
        <w:trPr>
          <w:tblCellSpacing w:w="15" w:type="dxa"/>
          <w:jc w:val="center"/>
        </w:trPr>
        <w:tc>
          <w:tcPr>
            <w:tcW w:w="960" w:type="dxa"/>
            <w:tcBorders>
              <w:top w:val="single" w:sz="4" w:space="0" w:color="auto"/>
            </w:tcBorders>
            <w:vAlign w:val="center"/>
            <w:hideMark/>
          </w:tcPr>
          <w:p w14:paraId="6DC020D1" w14:textId="77777777" w:rsidR="0064344F" w:rsidRPr="00E55B63" w:rsidRDefault="0064344F" w:rsidP="00C41F60">
            <w:pPr>
              <w:jc w:val="center"/>
              <w:rPr>
                <w:rFonts w:ascii="Arial" w:hAnsi="Arial" w:cs="Arial"/>
                <w:b/>
                <w:bCs/>
              </w:rPr>
            </w:pPr>
            <w:r w:rsidRPr="00E55B63">
              <w:rPr>
                <w:rFonts w:ascii="Arial" w:hAnsi="Arial" w:cs="Arial"/>
                <w:b/>
                <w:bCs/>
              </w:rPr>
              <w:t>N (Non-Teaching)</w:t>
            </w:r>
          </w:p>
        </w:tc>
        <w:tc>
          <w:tcPr>
            <w:tcW w:w="0" w:type="auto"/>
            <w:tcBorders>
              <w:top w:val="single" w:sz="4" w:space="0" w:color="auto"/>
            </w:tcBorders>
            <w:vAlign w:val="center"/>
            <w:hideMark/>
          </w:tcPr>
          <w:p w14:paraId="7EB7F0C7" w14:textId="77777777" w:rsidR="0064344F" w:rsidRPr="00E55B63" w:rsidRDefault="0064344F" w:rsidP="00C41F60">
            <w:pPr>
              <w:jc w:val="center"/>
              <w:rPr>
                <w:rFonts w:ascii="Arial" w:hAnsi="Arial" w:cs="Arial"/>
                <w:b/>
                <w:bCs/>
              </w:rPr>
            </w:pPr>
            <w:r w:rsidRPr="00E55B63">
              <w:rPr>
                <w:rFonts w:ascii="Arial" w:hAnsi="Arial" w:cs="Arial"/>
                <w:b/>
                <w:bCs/>
              </w:rPr>
              <w:t>N (Teaching)</w:t>
            </w:r>
          </w:p>
        </w:tc>
        <w:tc>
          <w:tcPr>
            <w:tcW w:w="0" w:type="auto"/>
            <w:tcBorders>
              <w:top w:val="single" w:sz="4" w:space="0" w:color="auto"/>
            </w:tcBorders>
            <w:vAlign w:val="center"/>
            <w:hideMark/>
          </w:tcPr>
          <w:p w14:paraId="719CF00F" w14:textId="77777777" w:rsidR="0064344F" w:rsidRPr="00E55B63" w:rsidRDefault="0064344F" w:rsidP="00C41F60">
            <w:pPr>
              <w:jc w:val="center"/>
              <w:rPr>
                <w:rFonts w:ascii="Arial" w:hAnsi="Arial" w:cs="Arial"/>
                <w:b/>
                <w:bCs/>
              </w:rPr>
            </w:pPr>
            <w:r w:rsidRPr="00E55B63">
              <w:rPr>
                <w:rFonts w:ascii="Arial" w:hAnsi="Arial" w:cs="Arial"/>
                <w:b/>
                <w:bCs/>
              </w:rPr>
              <w:t>Median (Non-Teaching)</w:t>
            </w:r>
          </w:p>
        </w:tc>
        <w:tc>
          <w:tcPr>
            <w:tcW w:w="0" w:type="auto"/>
            <w:tcBorders>
              <w:top w:val="single" w:sz="4" w:space="0" w:color="auto"/>
            </w:tcBorders>
            <w:vAlign w:val="center"/>
            <w:hideMark/>
          </w:tcPr>
          <w:p w14:paraId="2CB273B3" w14:textId="77777777" w:rsidR="0064344F" w:rsidRPr="00E55B63" w:rsidRDefault="0064344F" w:rsidP="00C41F60">
            <w:pPr>
              <w:jc w:val="center"/>
              <w:rPr>
                <w:rFonts w:ascii="Arial" w:hAnsi="Arial" w:cs="Arial"/>
                <w:b/>
                <w:bCs/>
              </w:rPr>
            </w:pPr>
            <w:r w:rsidRPr="00E55B63">
              <w:rPr>
                <w:rFonts w:ascii="Arial" w:hAnsi="Arial" w:cs="Arial"/>
                <w:b/>
                <w:bCs/>
              </w:rPr>
              <w:t>Median (Teaching)</w:t>
            </w:r>
          </w:p>
        </w:tc>
        <w:tc>
          <w:tcPr>
            <w:tcW w:w="0" w:type="auto"/>
            <w:tcBorders>
              <w:top w:val="single" w:sz="4" w:space="0" w:color="auto"/>
            </w:tcBorders>
            <w:vAlign w:val="center"/>
            <w:hideMark/>
          </w:tcPr>
          <w:p w14:paraId="550D646E" w14:textId="77777777" w:rsidR="0064344F" w:rsidRPr="00E55B63" w:rsidRDefault="0064344F" w:rsidP="00C41F60">
            <w:pPr>
              <w:jc w:val="center"/>
              <w:rPr>
                <w:rFonts w:ascii="Arial" w:hAnsi="Arial" w:cs="Arial"/>
                <w:b/>
                <w:bCs/>
              </w:rPr>
            </w:pPr>
            <w:r w:rsidRPr="00E55B63">
              <w:rPr>
                <w:rFonts w:ascii="Arial" w:hAnsi="Arial" w:cs="Arial"/>
                <w:b/>
                <w:bCs/>
              </w:rPr>
              <w:t>Point Estimate for n</w:t>
            </w:r>
            <w:r w:rsidRPr="00E55B63">
              <w:rPr>
                <w:rFonts w:ascii="Arial" w:hAnsi="Arial" w:cs="Arial"/>
                <w:b/>
                <w:bCs/>
                <w:vertAlign w:val="subscript"/>
              </w:rPr>
              <w:t>1</w:t>
            </w:r>
            <w:r w:rsidR="009062FD" w:rsidRPr="00E55B63">
              <w:rPr>
                <w:rFonts w:ascii="Arial" w:hAnsi="Arial" w:cs="Arial"/>
                <w:b/>
                <w:bCs/>
              </w:rPr>
              <w:t>-</w:t>
            </w:r>
            <w:r w:rsidRPr="00E55B63">
              <w:rPr>
                <w:rFonts w:ascii="Arial" w:hAnsi="Arial" w:cs="Arial"/>
                <w:b/>
                <w:bCs/>
              </w:rPr>
              <w:t>n</w:t>
            </w:r>
            <w:r w:rsidRPr="00E55B63">
              <w:rPr>
                <w:rFonts w:ascii="Arial" w:hAnsi="Arial" w:cs="Arial"/>
                <w:b/>
                <w:bCs/>
                <w:vertAlign w:val="subscript"/>
              </w:rPr>
              <w:t>2</w:t>
            </w:r>
          </w:p>
        </w:tc>
        <w:tc>
          <w:tcPr>
            <w:tcW w:w="834" w:type="dxa"/>
            <w:tcBorders>
              <w:top w:val="single" w:sz="4" w:space="0" w:color="auto"/>
            </w:tcBorders>
            <w:vAlign w:val="center"/>
            <w:hideMark/>
          </w:tcPr>
          <w:p w14:paraId="7DD2B7F5" w14:textId="77777777" w:rsidR="0064344F" w:rsidRPr="00E55B63" w:rsidRDefault="0064344F" w:rsidP="00C41F60">
            <w:pPr>
              <w:jc w:val="center"/>
              <w:rPr>
                <w:rFonts w:ascii="Arial" w:hAnsi="Arial" w:cs="Arial"/>
                <w:b/>
                <w:bCs/>
              </w:rPr>
            </w:pPr>
            <w:r w:rsidRPr="00E55B63">
              <w:rPr>
                <w:rFonts w:ascii="Arial" w:hAnsi="Arial" w:cs="Arial"/>
                <w:b/>
                <w:bCs/>
              </w:rPr>
              <w:t>95.0% CI for n</w:t>
            </w:r>
            <w:r w:rsidRPr="00E55B63">
              <w:rPr>
                <w:rFonts w:ascii="Arial" w:hAnsi="Arial" w:cs="Arial"/>
                <w:b/>
                <w:bCs/>
                <w:vertAlign w:val="subscript"/>
              </w:rPr>
              <w:t>1</w:t>
            </w:r>
            <w:r w:rsidR="009062FD" w:rsidRPr="00E55B63">
              <w:rPr>
                <w:rFonts w:ascii="Arial" w:hAnsi="Arial" w:cs="Arial"/>
                <w:b/>
                <w:bCs/>
              </w:rPr>
              <w:t>-</w:t>
            </w:r>
            <w:r w:rsidRPr="00E55B63">
              <w:rPr>
                <w:rFonts w:ascii="Arial" w:hAnsi="Arial" w:cs="Arial"/>
                <w:b/>
                <w:bCs/>
              </w:rPr>
              <w:t>n</w:t>
            </w:r>
            <w:r w:rsidRPr="00E55B63">
              <w:rPr>
                <w:rFonts w:ascii="Arial" w:hAnsi="Arial" w:cs="Arial"/>
                <w:b/>
                <w:bCs/>
                <w:vertAlign w:val="subscript"/>
              </w:rPr>
              <w:t>2</w:t>
            </w:r>
          </w:p>
        </w:tc>
        <w:tc>
          <w:tcPr>
            <w:tcW w:w="0" w:type="auto"/>
            <w:tcBorders>
              <w:top w:val="single" w:sz="4" w:space="0" w:color="auto"/>
            </w:tcBorders>
            <w:vAlign w:val="center"/>
            <w:hideMark/>
          </w:tcPr>
          <w:p w14:paraId="17E836B4" w14:textId="77777777" w:rsidR="0064344F" w:rsidRPr="00E55B63" w:rsidRDefault="0064344F" w:rsidP="00C41F60">
            <w:pPr>
              <w:jc w:val="center"/>
              <w:rPr>
                <w:rFonts w:ascii="Arial" w:hAnsi="Arial" w:cs="Arial"/>
                <w:b/>
                <w:bCs/>
              </w:rPr>
            </w:pPr>
            <w:r w:rsidRPr="00E55B63">
              <w:rPr>
                <w:rFonts w:ascii="Arial" w:hAnsi="Arial" w:cs="Arial"/>
                <w:b/>
                <w:bCs/>
              </w:rPr>
              <w:t>W</w:t>
            </w:r>
          </w:p>
        </w:tc>
        <w:tc>
          <w:tcPr>
            <w:tcW w:w="0" w:type="auto"/>
            <w:tcBorders>
              <w:top w:val="single" w:sz="4" w:space="0" w:color="auto"/>
            </w:tcBorders>
            <w:vAlign w:val="center"/>
            <w:hideMark/>
          </w:tcPr>
          <w:p w14:paraId="4287653E" w14:textId="77777777" w:rsidR="0064344F" w:rsidRPr="00E55B63" w:rsidRDefault="0064344F" w:rsidP="00C41F60">
            <w:pPr>
              <w:jc w:val="center"/>
              <w:rPr>
                <w:rFonts w:ascii="Arial" w:hAnsi="Arial" w:cs="Arial"/>
                <w:b/>
                <w:bCs/>
              </w:rPr>
            </w:pPr>
            <w:r w:rsidRPr="00E55B63">
              <w:rPr>
                <w:rFonts w:ascii="Arial" w:hAnsi="Arial" w:cs="Arial"/>
                <w:b/>
                <w:bCs/>
              </w:rPr>
              <w:t>Test of n</w:t>
            </w:r>
            <w:r w:rsidRPr="00E55B63">
              <w:rPr>
                <w:rFonts w:ascii="Arial" w:hAnsi="Arial" w:cs="Arial"/>
                <w:b/>
                <w:bCs/>
                <w:vertAlign w:val="subscript"/>
              </w:rPr>
              <w:t>1</w:t>
            </w:r>
            <w:r w:rsidR="00215693" w:rsidRPr="00E55B63">
              <w:rPr>
                <w:rFonts w:ascii="Arial" w:hAnsi="Arial" w:cs="Arial"/>
                <w:b/>
                <w:bCs/>
              </w:rPr>
              <w:t>=</w:t>
            </w:r>
            <w:r w:rsidRPr="00E55B63">
              <w:rPr>
                <w:rFonts w:ascii="Arial" w:hAnsi="Arial" w:cs="Arial"/>
                <w:b/>
                <w:bCs/>
              </w:rPr>
              <w:t>n</w:t>
            </w:r>
            <w:r w:rsidRPr="00E55B63">
              <w:rPr>
                <w:rFonts w:ascii="Arial" w:hAnsi="Arial" w:cs="Arial"/>
                <w:b/>
                <w:bCs/>
                <w:vertAlign w:val="subscript"/>
              </w:rPr>
              <w:t>2</w:t>
            </w:r>
            <w:r w:rsidRPr="00E55B63">
              <w:rPr>
                <w:rFonts w:ascii="Arial" w:hAnsi="Arial" w:cs="Arial"/>
                <w:b/>
                <w:bCs/>
              </w:rPr>
              <w:t xml:space="preserve"> vs n</w:t>
            </w:r>
            <w:r w:rsidRPr="00E55B63">
              <w:rPr>
                <w:rFonts w:ascii="Arial" w:hAnsi="Arial" w:cs="Arial"/>
                <w:b/>
                <w:bCs/>
                <w:vertAlign w:val="subscript"/>
              </w:rPr>
              <w:t>1</w:t>
            </w:r>
            <w:r w:rsidR="00215693" w:rsidRPr="00E55B63">
              <w:rPr>
                <w:rFonts w:ascii="Arial" w:hAnsi="Arial" w:cs="Arial"/>
                <w:b/>
                <w:bCs/>
              </w:rPr>
              <w:t>≠</w:t>
            </w:r>
            <w:r w:rsidRPr="00E55B63">
              <w:rPr>
                <w:rFonts w:ascii="Arial" w:hAnsi="Arial" w:cs="Arial"/>
                <w:b/>
                <w:bCs/>
              </w:rPr>
              <w:t>n</w:t>
            </w:r>
            <w:r w:rsidRPr="00E55B63">
              <w:rPr>
                <w:rFonts w:ascii="Arial" w:hAnsi="Arial" w:cs="Arial"/>
                <w:b/>
                <w:bCs/>
                <w:vertAlign w:val="subscript"/>
              </w:rPr>
              <w:t>2</w:t>
            </w:r>
          </w:p>
        </w:tc>
        <w:tc>
          <w:tcPr>
            <w:tcW w:w="0" w:type="auto"/>
            <w:tcBorders>
              <w:top w:val="single" w:sz="4" w:space="0" w:color="auto"/>
            </w:tcBorders>
            <w:vAlign w:val="center"/>
            <w:hideMark/>
          </w:tcPr>
          <w:p w14:paraId="5F43CACC" w14:textId="77777777" w:rsidR="0064344F" w:rsidRPr="00E55B63" w:rsidRDefault="0064344F" w:rsidP="00C41F60">
            <w:pPr>
              <w:jc w:val="center"/>
              <w:rPr>
                <w:rFonts w:ascii="Arial" w:hAnsi="Arial" w:cs="Arial"/>
                <w:b/>
                <w:bCs/>
              </w:rPr>
            </w:pPr>
            <w:r w:rsidRPr="00E55B63">
              <w:rPr>
                <w:rFonts w:ascii="Arial" w:hAnsi="Arial" w:cs="Arial"/>
                <w:b/>
                <w:bCs/>
              </w:rPr>
              <w:t>Significance</w:t>
            </w:r>
          </w:p>
        </w:tc>
      </w:tr>
      <w:tr w:rsidR="0064344F" w:rsidRPr="00E55B63" w14:paraId="1D7963FC" w14:textId="77777777" w:rsidTr="00C41F60">
        <w:trPr>
          <w:tblCellSpacing w:w="15" w:type="dxa"/>
          <w:jc w:val="center"/>
        </w:trPr>
        <w:tc>
          <w:tcPr>
            <w:tcW w:w="960" w:type="dxa"/>
            <w:tcBorders>
              <w:top w:val="single" w:sz="4" w:space="0" w:color="auto"/>
              <w:bottom w:val="single" w:sz="4" w:space="0" w:color="auto"/>
            </w:tcBorders>
            <w:vAlign w:val="center"/>
            <w:hideMark/>
          </w:tcPr>
          <w:p w14:paraId="7B37694E" w14:textId="77777777" w:rsidR="0064344F" w:rsidRPr="00E55B63" w:rsidRDefault="0064344F" w:rsidP="00C41F60">
            <w:pPr>
              <w:jc w:val="center"/>
              <w:rPr>
                <w:rFonts w:ascii="Arial" w:hAnsi="Arial" w:cs="Arial"/>
              </w:rPr>
            </w:pPr>
            <w:r w:rsidRPr="00E55B63">
              <w:rPr>
                <w:rFonts w:ascii="Arial" w:hAnsi="Arial" w:cs="Arial"/>
              </w:rPr>
              <w:t>52</w:t>
            </w:r>
          </w:p>
        </w:tc>
        <w:tc>
          <w:tcPr>
            <w:tcW w:w="0" w:type="auto"/>
            <w:tcBorders>
              <w:top w:val="single" w:sz="4" w:space="0" w:color="auto"/>
              <w:bottom w:val="single" w:sz="4" w:space="0" w:color="auto"/>
            </w:tcBorders>
            <w:vAlign w:val="center"/>
            <w:hideMark/>
          </w:tcPr>
          <w:p w14:paraId="17CFE1D4" w14:textId="77777777" w:rsidR="0064344F" w:rsidRPr="00E55B63" w:rsidRDefault="0064344F" w:rsidP="00C41F60">
            <w:pPr>
              <w:jc w:val="center"/>
              <w:rPr>
                <w:rFonts w:ascii="Arial" w:hAnsi="Arial" w:cs="Arial"/>
              </w:rPr>
            </w:pPr>
            <w:r w:rsidRPr="00E55B63">
              <w:rPr>
                <w:rFonts w:ascii="Arial" w:hAnsi="Arial" w:cs="Arial"/>
              </w:rPr>
              <w:t>71</w:t>
            </w:r>
          </w:p>
        </w:tc>
        <w:tc>
          <w:tcPr>
            <w:tcW w:w="0" w:type="auto"/>
            <w:tcBorders>
              <w:top w:val="single" w:sz="4" w:space="0" w:color="auto"/>
              <w:bottom w:val="single" w:sz="4" w:space="0" w:color="auto"/>
            </w:tcBorders>
            <w:vAlign w:val="center"/>
            <w:hideMark/>
          </w:tcPr>
          <w:p w14:paraId="1D174BAC" w14:textId="77777777" w:rsidR="0064344F" w:rsidRPr="00E55B63" w:rsidRDefault="0064344F" w:rsidP="00C41F60">
            <w:pPr>
              <w:jc w:val="center"/>
              <w:rPr>
                <w:rFonts w:ascii="Arial" w:hAnsi="Arial" w:cs="Arial"/>
              </w:rPr>
            </w:pPr>
            <w:r w:rsidRPr="00E55B63">
              <w:rPr>
                <w:rFonts w:ascii="Arial" w:hAnsi="Arial" w:cs="Arial"/>
              </w:rPr>
              <w:t>4.2500</w:t>
            </w:r>
          </w:p>
        </w:tc>
        <w:tc>
          <w:tcPr>
            <w:tcW w:w="0" w:type="auto"/>
            <w:tcBorders>
              <w:top w:val="single" w:sz="4" w:space="0" w:color="auto"/>
              <w:bottom w:val="single" w:sz="4" w:space="0" w:color="auto"/>
            </w:tcBorders>
            <w:vAlign w:val="center"/>
            <w:hideMark/>
          </w:tcPr>
          <w:p w14:paraId="21BECE2B" w14:textId="77777777" w:rsidR="0064344F" w:rsidRPr="00E55B63" w:rsidRDefault="0064344F" w:rsidP="00C41F60">
            <w:pPr>
              <w:jc w:val="center"/>
              <w:rPr>
                <w:rFonts w:ascii="Arial" w:hAnsi="Arial" w:cs="Arial"/>
              </w:rPr>
            </w:pPr>
            <w:r w:rsidRPr="00E55B63">
              <w:rPr>
                <w:rFonts w:ascii="Arial" w:hAnsi="Arial" w:cs="Arial"/>
              </w:rPr>
              <w:t>4.0000</w:t>
            </w:r>
          </w:p>
        </w:tc>
        <w:tc>
          <w:tcPr>
            <w:tcW w:w="0" w:type="auto"/>
            <w:tcBorders>
              <w:top w:val="single" w:sz="4" w:space="0" w:color="auto"/>
              <w:bottom w:val="single" w:sz="4" w:space="0" w:color="auto"/>
            </w:tcBorders>
            <w:vAlign w:val="center"/>
            <w:hideMark/>
          </w:tcPr>
          <w:p w14:paraId="2FF80271" w14:textId="77777777" w:rsidR="0064344F" w:rsidRPr="00E55B63" w:rsidRDefault="0064344F" w:rsidP="00C41F60">
            <w:pPr>
              <w:jc w:val="center"/>
              <w:rPr>
                <w:rFonts w:ascii="Arial" w:hAnsi="Arial" w:cs="Arial"/>
              </w:rPr>
            </w:pPr>
            <w:r w:rsidRPr="00E55B63">
              <w:rPr>
                <w:rFonts w:ascii="Arial" w:hAnsi="Arial" w:cs="Arial"/>
              </w:rPr>
              <w:t>-0.0000</w:t>
            </w:r>
          </w:p>
        </w:tc>
        <w:tc>
          <w:tcPr>
            <w:tcW w:w="834" w:type="dxa"/>
            <w:tcBorders>
              <w:top w:val="single" w:sz="4" w:space="0" w:color="auto"/>
              <w:bottom w:val="single" w:sz="4" w:space="0" w:color="auto"/>
            </w:tcBorders>
            <w:vAlign w:val="center"/>
            <w:hideMark/>
          </w:tcPr>
          <w:p w14:paraId="58827314" w14:textId="77777777" w:rsidR="0064344F" w:rsidRPr="00E55B63" w:rsidRDefault="0064344F" w:rsidP="00C41F60">
            <w:pPr>
              <w:jc w:val="center"/>
              <w:rPr>
                <w:rFonts w:ascii="Arial" w:hAnsi="Arial" w:cs="Arial"/>
              </w:rPr>
            </w:pPr>
            <w:r w:rsidRPr="00E55B63">
              <w:rPr>
                <w:rFonts w:ascii="Arial" w:hAnsi="Arial" w:cs="Arial"/>
              </w:rPr>
              <w:t>(0.0001, 0.0001)</w:t>
            </w:r>
          </w:p>
        </w:tc>
        <w:tc>
          <w:tcPr>
            <w:tcW w:w="0" w:type="auto"/>
            <w:tcBorders>
              <w:top w:val="single" w:sz="4" w:space="0" w:color="auto"/>
              <w:bottom w:val="single" w:sz="4" w:space="0" w:color="auto"/>
            </w:tcBorders>
            <w:vAlign w:val="center"/>
            <w:hideMark/>
          </w:tcPr>
          <w:p w14:paraId="1F85B1CA" w14:textId="77777777" w:rsidR="0064344F" w:rsidRPr="00E55B63" w:rsidRDefault="0064344F" w:rsidP="00C41F60">
            <w:pPr>
              <w:jc w:val="both"/>
              <w:rPr>
                <w:rFonts w:ascii="Arial" w:hAnsi="Arial" w:cs="Arial"/>
              </w:rPr>
            </w:pPr>
            <w:r w:rsidRPr="00E55B63">
              <w:rPr>
                <w:rFonts w:ascii="Arial" w:hAnsi="Arial" w:cs="Arial"/>
              </w:rPr>
              <w:t>3278.5</w:t>
            </w:r>
          </w:p>
        </w:tc>
        <w:tc>
          <w:tcPr>
            <w:tcW w:w="0" w:type="auto"/>
            <w:tcBorders>
              <w:top w:val="single" w:sz="4" w:space="0" w:color="auto"/>
              <w:bottom w:val="single" w:sz="4" w:space="0" w:color="auto"/>
            </w:tcBorders>
            <w:vAlign w:val="center"/>
            <w:hideMark/>
          </w:tcPr>
          <w:p w14:paraId="67025EF5" w14:textId="77777777" w:rsidR="0064344F" w:rsidRPr="00E55B63" w:rsidRDefault="0064344F" w:rsidP="00C41F60">
            <w:pPr>
              <w:jc w:val="center"/>
              <w:rPr>
                <w:rFonts w:ascii="Arial" w:hAnsi="Arial" w:cs="Arial"/>
              </w:rPr>
            </w:pPr>
            <w:r w:rsidRPr="00E55B63">
              <w:rPr>
                <w:rFonts w:ascii="Arial" w:hAnsi="Arial" w:cs="Arial"/>
              </w:rPr>
              <w:t>Significant at 0.7822</w:t>
            </w:r>
          </w:p>
        </w:tc>
        <w:tc>
          <w:tcPr>
            <w:tcW w:w="0" w:type="auto"/>
            <w:tcBorders>
              <w:top w:val="single" w:sz="4" w:space="0" w:color="auto"/>
              <w:bottom w:val="single" w:sz="4" w:space="0" w:color="auto"/>
            </w:tcBorders>
            <w:vAlign w:val="center"/>
            <w:hideMark/>
          </w:tcPr>
          <w:p w14:paraId="6101CF45" w14:textId="77777777" w:rsidR="0064344F" w:rsidRPr="00E55B63" w:rsidRDefault="0064344F" w:rsidP="00C41F60">
            <w:pPr>
              <w:jc w:val="center"/>
              <w:rPr>
                <w:rFonts w:ascii="Arial" w:hAnsi="Arial" w:cs="Arial"/>
              </w:rPr>
            </w:pPr>
            <w:r w:rsidRPr="00E55B63">
              <w:rPr>
                <w:rFonts w:ascii="Arial" w:hAnsi="Arial" w:cs="Arial"/>
              </w:rPr>
              <w:t>Significant at 0.7682 (adjusted for ties)</w:t>
            </w:r>
          </w:p>
        </w:tc>
      </w:tr>
    </w:tbl>
    <w:p w14:paraId="54FD6CD3" w14:textId="77777777" w:rsidR="004F52E3" w:rsidRPr="00E55B63" w:rsidRDefault="004F52E3" w:rsidP="004F52E3">
      <w:pPr>
        <w:pStyle w:val="Body"/>
        <w:spacing w:after="0"/>
        <w:rPr>
          <w:rFonts w:ascii="Arial" w:hAnsi="Arial" w:cs="Arial"/>
        </w:rPr>
      </w:pPr>
    </w:p>
    <w:p w14:paraId="7E4FC376" w14:textId="563CE8EE" w:rsidR="00F62EFF" w:rsidRDefault="00E55E06" w:rsidP="00E55E06">
      <w:pPr>
        <w:pStyle w:val="Body"/>
        <w:spacing w:after="0"/>
        <w:rPr>
          <w:rFonts w:ascii="Arial" w:hAnsi="Arial" w:cs="Arial"/>
        </w:rPr>
      </w:pPr>
      <w:r w:rsidRPr="00E55B63">
        <w:rPr>
          <w:rFonts w:ascii="Arial" w:hAnsi="Arial" w:cs="Arial"/>
        </w:rPr>
        <w:t xml:space="preserve">The fact that knowledge is created in a similar way by both the academic staff and the administrative staff refutes the notion that faculty members create more knowledge than non-teaching staff. The administrative and technical staff have an important role to play in offering valuable input in the form of support roles. </w:t>
      </w:r>
      <w:proofErr w:type="spellStart"/>
      <w:r w:rsidRPr="00E55B63">
        <w:rPr>
          <w:rFonts w:ascii="Arial" w:hAnsi="Arial" w:cs="Arial"/>
        </w:rPr>
        <w:t>Hatamleh</w:t>
      </w:r>
      <w:proofErr w:type="spellEnd"/>
      <w:r w:rsidRPr="00E55B63">
        <w:rPr>
          <w:rFonts w:ascii="Arial" w:hAnsi="Arial" w:cs="Arial"/>
        </w:rPr>
        <w:t xml:space="preserve"> (2023) highlights that intrinsic factors, namely, a sense of achievement and more effective supervision, are more effective in terms of knowledge sharing than extrinsic rewards are. Because of this, the reward systems must be centered on intrinsic rewards. Moreover, the relationship between these factors and the SECI cycle shows the influence these factors have on knowledge sharing and creation</w:t>
      </w:r>
      <w:r w:rsidR="00F62EFF">
        <w:rPr>
          <w:rFonts w:ascii="Arial" w:hAnsi="Arial" w:cs="Arial"/>
        </w:rPr>
        <w:t>.</w:t>
      </w:r>
    </w:p>
    <w:p w14:paraId="79C0CFF8" w14:textId="74F7514E" w:rsidR="00F62EFF" w:rsidRDefault="00F62EFF" w:rsidP="00E55E06">
      <w:pPr>
        <w:pStyle w:val="Body"/>
        <w:spacing w:after="0"/>
        <w:rPr>
          <w:rFonts w:ascii="Arial" w:hAnsi="Arial" w:cs="Arial"/>
        </w:rPr>
      </w:pPr>
    </w:p>
    <w:p w14:paraId="4EF7130C" w14:textId="1F88D54D" w:rsidR="00F62EFF" w:rsidRPr="00E55B63" w:rsidRDefault="005C4E91" w:rsidP="00E55E06">
      <w:pPr>
        <w:pStyle w:val="Body"/>
        <w:spacing w:after="0"/>
        <w:rPr>
          <w:rFonts w:ascii="Arial" w:hAnsi="Arial" w:cs="Arial"/>
        </w:rPr>
      </w:pPr>
      <w:r w:rsidRPr="005C4E91">
        <w:rPr>
          <w:rFonts w:ascii="Arial" w:hAnsi="Arial" w:cs="Arial"/>
        </w:rPr>
        <w:t>These intrinsic rewards align</w:t>
      </w:r>
      <w:r w:rsidR="009934A2">
        <w:rPr>
          <w:rFonts w:ascii="Arial" w:hAnsi="Arial" w:cs="Arial"/>
        </w:rPr>
        <w:t xml:space="preserve"> with the SECI model (Nonaka &amp;</w:t>
      </w:r>
      <w:r w:rsidRPr="005C4E91">
        <w:rPr>
          <w:rFonts w:ascii="Arial" w:hAnsi="Arial" w:cs="Arial"/>
        </w:rPr>
        <w:t xml:space="preserve"> Takeuchi, 1995), which suggests that knowledge is created through four interrelated processes: internalization (embodying explicit knowledge into tacit knowledge through practice), externalization (articulating tacit knowledge into explicit concepts), combination (synthesizing explicit knowledge into new knowledge systems), and socialization (sharing tacit knowledge through experience). By supporting every stage of this cycle of knowledge conversion, the application of intrinsic motivation has the potential to improve current reward systems. Employees that are intrinsically motivated share knowledge more authentically (socialization), communicate their ideas more voluntarily (externalization), work together more successfully to combine knowledge (combination), and absorb new practices more thoroughly (internalization). Further research confirms these findings and highlights the significant role that instruction plays.</w:t>
      </w:r>
    </w:p>
    <w:p w14:paraId="7B1DBF55" w14:textId="77777777" w:rsidR="00E55E06" w:rsidRPr="00E55B63" w:rsidRDefault="00E55E06" w:rsidP="00E55E06">
      <w:pPr>
        <w:pStyle w:val="Body"/>
        <w:spacing w:after="0"/>
        <w:rPr>
          <w:rFonts w:ascii="Arial" w:hAnsi="Arial" w:cs="Arial"/>
        </w:rPr>
      </w:pPr>
    </w:p>
    <w:p w14:paraId="3F420E79" w14:textId="77777777" w:rsidR="00E55E06" w:rsidRPr="00E55B63" w:rsidRDefault="00E55E06" w:rsidP="00E55E06">
      <w:pPr>
        <w:pStyle w:val="Body"/>
        <w:spacing w:after="0"/>
        <w:rPr>
          <w:rFonts w:ascii="Arial" w:hAnsi="Arial" w:cs="Arial"/>
        </w:rPr>
      </w:pPr>
      <w:proofErr w:type="spellStart"/>
      <w:r w:rsidRPr="00E55B63">
        <w:rPr>
          <w:rFonts w:ascii="Arial" w:hAnsi="Arial" w:cs="Arial"/>
        </w:rPr>
        <w:t>Faldesiani</w:t>
      </w:r>
      <w:proofErr w:type="spellEnd"/>
      <w:r w:rsidRPr="00E55B63">
        <w:rPr>
          <w:rFonts w:ascii="Arial" w:hAnsi="Arial" w:cs="Arial"/>
        </w:rPr>
        <w:t xml:space="preserve"> and </w:t>
      </w:r>
      <w:proofErr w:type="spellStart"/>
      <w:r w:rsidRPr="00E55B63">
        <w:rPr>
          <w:rFonts w:ascii="Arial" w:hAnsi="Arial" w:cs="Arial"/>
        </w:rPr>
        <w:t>Senen</w:t>
      </w:r>
      <w:proofErr w:type="spellEnd"/>
      <w:r w:rsidRPr="00E55B63">
        <w:rPr>
          <w:rFonts w:ascii="Arial" w:hAnsi="Arial" w:cs="Arial"/>
        </w:rPr>
        <w:t xml:space="preserve"> (2024) also argue in favor of the notion that teaching and non-teaching personnel also play an important role in knowledge production within higher education institutions. The administrators will give procedural, technical, and institutional information, and academic staff will contribute scholarly information. The interdependence and knowledge management are encouraged as the feedback is provided and received across these spheres. Administrative competencies are used to enhance academic activities, whereas educational understanding promotes administrative creativity. This collaboration results in improved learning outcomes. Since no significant difference is found in the creation of knowledge between the groups, in this case, this study proposes the inclusion of both groups in knowledge management to maximize the institutional benefits. The results highlight that the current knowledge management appreciates the input of every employee. </w:t>
      </w:r>
    </w:p>
    <w:p w14:paraId="643215B1" w14:textId="77777777" w:rsidR="00E55E06" w:rsidRPr="00E55B63" w:rsidRDefault="00E55E06" w:rsidP="00E55E06">
      <w:pPr>
        <w:pStyle w:val="Body"/>
        <w:spacing w:after="0"/>
        <w:rPr>
          <w:rFonts w:ascii="Arial" w:hAnsi="Arial" w:cs="Arial"/>
        </w:rPr>
      </w:pPr>
    </w:p>
    <w:p w14:paraId="70770A0E" w14:textId="77777777" w:rsidR="00944046" w:rsidRPr="00E55B63" w:rsidRDefault="00E55E06" w:rsidP="00E55E06">
      <w:pPr>
        <w:pStyle w:val="Body"/>
        <w:spacing w:after="0"/>
        <w:rPr>
          <w:rFonts w:ascii="Arial" w:hAnsi="Arial" w:cs="Arial"/>
          <w:b/>
          <w:u w:val="single"/>
        </w:rPr>
      </w:pPr>
      <w:r w:rsidRPr="00E55B63">
        <w:rPr>
          <w:rFonts w:ascii="Arial" w:hAnsi="Arial" w:cs="Arial"/>
        </w:rPr>
        <w:t>Overall, it can be stated that the evidence supports the significance of appreciating both teaching and non-teaching expertise in contemporary knowledge management since both of these groups play a vital part in creating and innovating the knowledge. Paudel (2023) notes that the development of higher education relies on the working relationship of academic and administrative team members, which eventually advances operations and services to the students. Both academic and administrative staff make contributions, as a result of which innovations, including the incorporation of new technologies, appear. Another key point that the authors make is that to implement the entrepreneurial culture, it is essential to have effective leadership and involve the middle managers (Santos et al., 2024). As an example, the Registrar may introduce AI-advising systems at the same time as faculty members remodel the curriculum. Collaboration is necessary in the process. Furthermore, fostering psychological safety encourages open communication, the sharing of insights, and joint innovation.</w:t>
      </w:r>
    </w:p>
    <w:p w14:paraId="21C9A45D" w14:textId="77777777" w:rsidR="00944046" w:rsidRPr="00E55B63" w:rsidRDefault="00944046" w:rsidP="00BE3042">
      <w:pPr>
        <w:pStyle w:val="Body"/>
        <w:spacing w:after="0"/>
        <w:rPr>
          <w:rFonts w:ascii="Arial" w:hAnsi="Arial" w:cs="Arial"/>
          <w:b/>
          <w:u w:val="single"/>
        </w:rPr>
      </w:pPr>
    </w:p>
    <w:p w14:paraId="4FB33F34" w14:textId="77777777" w:rsidR="00244943" w:rsidRPr="00E55B63" w:rsidRDefault="00244943" w:rsidP="00BE3042">
      <w:pPr>
        <w:pStyle w:val="Body"/>
        <w:spacing w:after="0"/>
        <w:rPr>
          <w:rFonts w:ascii="Arial" w:hAnsi="Arial" w:cs="Arial"/>
        </w:rPr>
      </w:pPr>
      <w:r w:rsidRPr="00E55B63">
        <w:rPr>
          <w:rFonts w:ascii="Arial" w:hAnsi="Arial" w:cs="Arial"/>
          <w:b/>
          <w:u w:val="single"/>
        </w:rPr>
        <w:t>3.2.</w:t>
      </w:r>
      <w:r w:rsidR="00A43818" w:rsidRPr="00E55B63">
        <w:rPr>
          <w:rFonts w:ascii="Arial" w:hAnsi="Arial" w:cs="Arial"/>
          <w:b/>
          <w:u w:val="single"/>
        </w:rPr>
        <w:t>2</w:t>
      </w:r>
      <w:r w:rsidRPr="00E55B63">
        <w:rPr>
          <w:rFonts w:ascii="Arial" w:hAnsi="Arial" w:cs="Arial"/>
          <w:b/>
          <w:u w:val="single"/>
        </w:rPr>
        <w:t xml:space="preserve"> </w:t>
      </w:r>
      <w:r w:rsidR="00A63CCD" w:rsidRPr="00E55B63">
        <w:rPr>
          <w:rFonts w:ascii="Arial" w:hAnsi="Arial" w:cs="Arial"/>
          <w:b/>
          <w:u w:val="single"/>
        </w:rPr>
        <w:t>Knowledge Generation by Gender</w:t>
      </w:r>
      <w:r w:rsidRPr="00E55B63">
        <w:rPr>
          <w:rFonts w:ascii="Arial" w:hAnsi="Arial" w:cs="Arial"/>
        </w:rPr>
        <w:t xml:space="preserve"> </w:t>
      </w:r>
    </w:p>
    <w:p w14:paraId="2A8C894E" w14:textId="77777777" w:rsidR="00244943" w:rsidRPr="00E55B63" w:rsidRDefault="00244943" w:rsidP="00BE3042">
      <w:pPr>
        <w:pStyle w:val="Body"/>
        <w:spacing w:after="0"/>
        <w:rPr>
          <w:rFonts w:ascii="Arial" w:hAnsi="Arial" w:cs="Arial"/>
        </w:rPr>
      </w:pPr>
    </w:p>
    <w:p w14:paraId="6C7C3FE3" w14:textId="77777777" w:rsidR="0056033F" w:rsidRPr="00E55B63" w:rsidRDefault="004C77E8" w:rsidP="0056033F">
      <w:pPr>
        <w:pStyle w:val="Body"/>
        <w:spacing w:after="0"/>
        <w:rPr>
          <w:rFonts w:ascii="Arial" w:hAnsi="Arial" w:cs="Arial"/>
        </w:rPr>
      </w:pPr>
      <w:r w:rsidRPr="00E55B63">
        <w:rPr>
          <w:rFonts w:ascii="Arial" w:hAnsi="Arial" w:cs="Arial"/>
        </w:rPr>
        <w:t xml:space="preserve">The Mann-Whitney U test indicates no significant difference in knowledge generation between men and women at CBSUA (Table 2). Median scores were 4.5 for males and 4.0 for females, but this difference was not statistically significant (median difference 0, 95.1% CI: 0, 0.5001; </w:t>
      </w:r>
      <w:r w:rsidRPr="00E55B63">
        <w:rPr>
          <w:rFonts w:ascii="Arial" w:hAnsi="Arial" w:cs="Arial"/>
        </w:rPr>
        <w:lastRenderedPageBreak/>
        <w:t>W = 2605.0, P = .2284, adjusted for ties). Knowledge generation involves producing, sharing, and utilizing new insights within CBSUA.</w:t>
      </w:r>
    </w:p>
    <w:p w14:paraId="75ABDD66" w14:textId="77777777" w:rsidR="0056033F" w:rsidRPr="00E55B63" w:rsidRDefault="0056033F" w:rsidP="0056033F">
      <w:pPr>
        <w:pStyle w:val="Body"/>
        <w:spacing w:after="0"/>
        <w:rPr>
          <w:rFonts w:ascii="Arial" w:hAnsi="Arial" w:cs="Arial"/>
        </w:rPr>
      </w:pPr>
    </w:p>
    <w:p w14:paraId="5D598EA9" w14:textId="77777777" w:rsidR="0056033F" w:rsidRPr="00E55B63" w:rsidRDefault="00476173" w:rsidP="0056033F">
      <w:pPr>
        <w:pStyle w:val="Body"/>
        <w:spacing w:after="0"/>
        <w:rPr>
          <w:rFonts w:ascii="Arial" w:hAnsi="Arial" w:cs="Arial"/>
          <w:b/>
        </w:rPr>
      </w:pPr>
      <w:r w:rsidRPr="00E55B63">
        <w:rPr>
          <w:rFonts w:ascii="Arial" w:hAnsi="Arial" w:cs="Arial"/>
          <w:b/>
        </w:rPr>
        <w:t>Table 2</w:t>
      </w:r>
      <w:r w:rsidR="0056033F" w:rsidRPr="00E55B63">
        <w:rPr>
          <w:rFonts w:ascii="Arial" w:hAnsi="Arial" w:cs="Arial"/>
          <w:b/>
        </w:rPr>
        <w:t xml:space="preserve">. </w:t>
      </w:r>
      <w:r w:rsidR="006F652E" w:rsidRPr="00E55B63">
        <w:rPr>
          <w:rFonts w:ascii="Arial" w:hAnsi="Arial" w:cs="Arial"/>
          <w:b/>
        </w:rPr>
        <w:t>Knowledge Generation among Teaching and Non-Teaching in Terms of Gender</w:t>
      </w:r>
    </w:p>
    <w:tbl>
      <w:tblPr>
        <w:tblStyle w:val="TableGrid"/>
        <w:tblW w:w="8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1109"/>
        <w:gridCol w:w="2286"/>
      </w:tblGrid>
      <w:tr w:rsidR="00E55B63" w:rsidRPr="00E55B63" w14:paraId="3EB13326" w14:textId="77777777" w:rsidTr="00E55B63">
        <w:trPr>
          <w:trHeight w:val="259"/>
        </w:trPr>
        <w:tc>
          <w:tcPr>
            <w:tcW w:w="0" w:type="auto"/>
            <w:tcBorders>
              <w:top w:val="single" w:sz="4" w:space="0" w:color="auto"/>
              <w:bottom w:val="single" w:sz="4" w:space="0" w:color="auto"/>
            </w:tcBorders>
            <w:hideMark/>
          </w:tcPr>
          <w:p w14:paraId="4FC2C5EE" w14:textId="77777777" w:rsidR="004B1CD0" w:rsidRPr="00E55B63" w:rsidRDefault="004B1CD0" w:rsidP="004B1CD0">
            <w:pPr>
              <w:jc w:val="center"/>
              <w:rPr>
                <w:rFonts w:ascii="Arial" w:eastAsia="Times New Roman" w:hAnsi="Arial" w:cs="Arial"/>
                <w:b/>
                <w:bCs/>
                <w:sz w:val="20"/>
                <w:szCs w:val="20"/>
              </w:rPr>
            </w:pPr>
            <w:r w:rsidRPr="00E55B63">
              <w:rPr>
                <w:rFonts w:ascii="Arial" w:eastAsia="Times New Roman" w:hAnsi="Arial" w:cs="Arial"/>
                <w:b/>
                <w:bCs/>
                <w:sz w:val="20"/>
                <w:szCs w:val="20"/>
              </w:rPr>
              <w:t>Group</w:t>
            </w:r>
          </w:p>
        </w:tc>
        <w:tc>
          <w:tcPr>
            <w:tcW w:w="0" w:type="auto"/>
            <w:tcBorders>
              <w:top w:val="single" w:sz="4" w:space="0" w:color="auto"/>
              <w:bottom w:val="single" w:sz="4" w:space="0" w:color="auto"/>
            </w:tcBorders>
            <w:hideMark/>
          </w:tcPr>
          <w:p w14:paraId="7E3021CF" w14:textId="77777777" w:rsidR="004B1CD0" w:rsidRPr="00E55B63" w:rsidRDefault="004B1CD0" w:rsidP="004B1CD0">
            <w:pPr>
              <w:jc w:val="center"/>
              <w:rPr>
                <w:rFonts w:ascii="Arial" w:eastAsia="Times New Roman" w:hAnsi="Arial" w:cs="Arial"/>
                <w:b/>
                <w:bCs/>
                <w:sz w:val="20"/>
                <w:szCs w:val="20"/>
              </w:rPr>
            </w:pPr>
            <w:r w:rsidRPr="00E55B63">
              <w:rPr>
                <w:rFonts w:ascii="Arial" w:eastAsia="Times New Roman" w:hAnsi="Arial" w:cs="Arial"/>
                <w:b/>
                <w:bCs/>
                <w:sz w:val="20"/>
                <w:szCs w:val="20"/>
              </w:rPr>
              <w:t>N</w:t>
            </w:r>
          </w:p>
        </w:tc>
        <w:tc>
          <w:tcPr>
            <w:tcW w:w="0" w:type="auto"/>
            <w:tcBorders>
              <w:top w:val="single" w:sz="4" w:space="0" w:color="auto"/>
              <w:bottom w:val="single" w:sz="4" w:space="0" w:color="auto"/>
            </w:tcBorders>
            <w:hideMark/>
          </w:tcPr>
          <w:p w14:paraId="178E070D" w14:textId="77777777" w:rsidR="004B1CD0" w:rsidRPr="00E55B63" w:rsidRDefault="004B1CD0" w:rsidP="004B1CD0">
            <w:pPr>
              <w:jc w:val="center"/>
              <w:rPr>
                <w:rFonts w:ascii="Arial" w:eastAsia="Times New Roman" w:hAnsi="Arial" w:cs="Arial"/>
                <w:b/>
                <w:bCs/>
                <w:sz w:val="20"/>
                <w:szCs w:val="20"/>
              </w:rPr>
            </w:pPr>
            <w:r w:rsidRPr="00E55B63">
              <w:rPr>
                <w:rFonts w:ascii="Arial" w:eastAsia="Times New Roman" w:hAnsi="Arial" w:cs="Arial"/>
                <w:b/>
                <w:bCs/>
                <w:sz w:val="20"/>
                <w:szCs w:val="20"/>
              </w:rPr>
              <w:t>Median</w:t>
            </w:r>
          </w:p>
        </w:tc>
      </w:tr>
      <w:tr w:rsidR="00E55B63" w:rsidRPr="00E55B63" w14:paraId="4DFEDDEE" w14:textId="77777777" w:rsidTr="00E55B63">
        <w:trPr>
          <w:trHeight w:val="259"/>
        </w:trPr>
        <w:tc>
          <w:tcPr>
            <w:tcW w:w="0" w:type="auto"/>
            <w:tcBorders>
              <w:top w:val="single" w:sz="4" w:space="0" w:color="auto"/>
            </w:tcBorders>
            <w:hideMark/>
          </w:tcPr>
          <w:p w14:paraId="2F03FFD7" w14:textId="77777777" w:rsidR="004B1CD0" w:rsidRPr="00E55B63" w:rsidRDefault="004B1CD0" w:rsidP="004B1CD0">
            <w:pPr>
              <w:jc w:val="center"/>
              <w:rPr>
                <w:rFonts w:ascii="Arial" w:eastAsia="Times New Roman" w:hAnsi="Arial" w:cs="Arial"/>
                <w:sz w:val="20"/>
                <w:szCs w:val="20"/>
              </w:rPr>
            </w:pPr>
            <w:r w:rsidRPr="00E55B63">
              <w:rPr>
                <w:rFonts w:ascii="Arial" w:eastAsia="Times New Roman" w:hAnsi="Arial" w:cs="Arial"/>
                <w:sz w:val="20"/>
                <w:szCs w:val="20"/>
              </w:rPr>
              <w:t>Male Generation</w:t>
            </w:r>
          </w:p>
        </w:tc>
        <w:tc>
          <w:tcPr>
            <w:tcW w:w="0" w:type="auto"/>
            <w:tcBorders>
              <w:top w:val="single" w:sz="4" w:space="0" w:color="auto"/>
            </w:tcBorders>
            <w:hideMark/>
          </w:tcPr>
          <w:p w14:paraId="477A9613" w14:textId="77777777" w:rsidR="004B1CD0" w:rsidRPr="00E55B63" w:rsidRDefault="004B1CD0" w:rsidP="004B1CD0">
            <w:pPr>
              <w:jc w:val="center"/>
              <w:rPr>
                <w:rFonts w:ascii="Arial" w:eastAsia="Times New Roman" w:hAnsi="Arial" w:cs="Arial"/>
                <w:sz w:val="20"/>
                <w:szCs w:val="20"/>
              </w:rPr>
            </w:pPr>
            <w:r w:rsidRPr="00E55B63">
              <w:rPr>
                <w:rFonts w:ascii="Arial" w:eastAsia="Times New Roman" w:hAnsi="Arial" w:cs="Arial"/>
                <w:sz w:val="20"/>
                <w:szCs w:val="20"/>
              </w:rPr>
              <w:t>39</w:t>
            </w:r>
          </w:p>
        </w:tc>
        <w:tc>
          <w:tcPr>
            <w:tcW w:w="0" w:type="auto"/>
            <w:tcBorders>
              <w:top w:val="single" w:sz="4" w:space="0" w:color="auto"/>
            </w:tcBorders>
            <w:hideMark/>
          </w:tcPr>
          <w:p w14:paraId="44DC2EDE" w14:textId="77777777" w:rsidR="004B1CD0" w:rsidRPr="00E55B63" w:rsidRDefault="004B1CD0" w:rsidP="004B1CD0">
            <w:pPr>
              <w:jc w:val="center"/>
              <w:rPr>
                <w:rFonts w:ascii="Arial" w:eastAsia="Times New Roman" w:hAnsi="Arial" w:cs="Arial"/>
                <w:sz w:val="20"/>
                <w:szCs w:val="20"/>
              </w:rPr>
            </w:pPr>
            <w:r w:rsidRPr="00E55B63">
              <w:rPr>
                <w:rFonts w:ascii="Arial" w:eastAsia="Times New Roman" w:hAnsi="Arial" w:cs="Arial"/>
                <w:sz w:val="20"/>
                <w:szCs w:val="20"/>
              </w:rPr>
              <w:t>4.5000</w:t>
            </w:r>
          </w:p>
        </w:tc>
      </w:tr>
      <w:tr w:rsidR="00E55B63" w:rsidRPr="00E55B63" w14:paraId="1E281465" w14:textId="77777777" w:rsidTr="00E55B63">
        <w:trPr>
          <w:trHeight w:val="248"/>
        </w:trPr>
        <w:tc>
          <w:tcPr>
            <w:tcW w:w="0" w:type="auto"/>
            <w:tcBorders>
              <w:bottom w:val="single" w:sz="4" w:space="0" w:color="auto"/>
            </w:tcBorders>
            <w:hideMark/>
          </w:tcPr>
          <w:p w14:paraId="4594C0C9" w14:textId="77777777" w:rsidR="004B1CD0" w:rsidRPr="00E55B63" w:rsidRDefault="004B1CD0" w:rsidP="004B1CD0">
            <w:pPr>
              <w:jc w:val="center"/>
              <w:rPr>
                <w:rFonts w:ascii="Arial" w:eastAsia="Times New Roman" w:hAnsi="Arial" w:cs="Arial"/>
                <w:sz w:val="20"/>
                <w:szCs w:val="20"/>
              </w:rPr>
            </w:pPr>
            <w:r w:rsidRPr="00E55B63">
              <w:rPr>
                <w:rFonts w:ascii="Arial" w:eastAsia="Times New Roman" w:hAnsi="Arial" w:cs="Arial"/>
                <w:sz w:val="20"/>
                <w:szCs w:val="20"/>
              </w:rPr>
              <w:t>Female Generation</w:t>
            </w:r>
          </w:p>
        </w:tc>
        <w:tc>
          <w:tcPr>
            <w:tcW w:w="0" w:type="auto"/>
            <w:tcBorders>
              <w:bottom w:val="single" w:sz="4" w:space="0" w:color="auto"/>
            </w:tcBorders>
            <w:hideMark/>
          </w:tcPr>
          <w:p w14:paraId="76B4CA3D" w14:textId="77777777" w:rsidR="004B1CD0" w:rsidRPr="00E55B63" w:rsidRDefault="004B1CD0" w:rsidP="004B1CD0">
            <w:pPr>
              <w:jc w:val="center"/>
              <w:rPr>
                <w:rFonts w:ascii="Arial" w:eastAsia="Times New Roman" w:hAnsi="Arial" w:cs="Arial"/>
                <w:sz w:val="20"/>
                <w:szCs w:val="20"/>
              </w:rPr>
            </w:pPr>
            <w:r w:rsidRPr="00E55B63">
              <w:rPr>
                <w:rFonts w:ascii="Arial" w:eastAsia="Times New Roman" w:hAnsi="Arial" w:cs="Arial"/>
                <w:sz w:val="20"/>
                <w:szCs w:val="20"/>
              </w:rPr>
              <w:t>83</w:t>
            </w:r>
          </w:p>
        </w:tc>
        <w:tc>
          <w:tcPr>
            <w:tcW w:w="0" w:type="auto"/>
            <w:tcBorders>
              <w:bottom w:val="single" w:sz="4" w:space="0" w:color="auto"/>
            </w:tcBorders>
            <w:hideMark/>
          </w:tcPr>
          <w:p w14:paraId="10BF8398" w14:textId="77777777" w:rsidR="004B1CD0" w:rsidRPr="00E55B63" w:rsidRDefault="004B1CD0" w:rsidP="004B1CD0">
            <w:pPr>
              <w:jc w:val="center"/>
              <w:rPr>
                <w:rFonts w:ascii="Arial" w:eastAsia="Times New Roman" w:hAnsi="Arial" w:cs="Arial"/>
                <w:sz w:val="20"/>
                <w:szCs w:val="20"/>
              </w:rPr>
            </w:pPr>
            <w:r w:rsidRPr="00E55B63">
              <w:rPr>
                <w:rFonts w:ascii="Arial" w:eastAsia="Times New Roman" w:hAnsi="Arial" w:cs="Arial"/>
                <w:sz w:val="20"/>
                <w:szCs w:val="20"/>
              </w:rPr>
              <w:t>4.0000</w:t>
            </w:r>
          </w:p>
        </w:tc>
      </w:tr>
    </w:tbl>
    <w:p w14:paraId="02A326AF" w14:textId="77777777" w:rsidR="004B1CD0" w:rsidRPr="00E55B63" w:rsidRDefault="004B1CD0" w:rsidP="004B1CD0">
      <w:pPr>
        <w:rPr>
          <w:rFonts w:ascii="Arial" w:hAnsi="Arial" w:cs="Arial"/>
          <w:i/>
        </w:rPr>
      </w:pPr>
      <w:r w:rsidRPr="00E55B63">
        <w:rPr>
          <w:rFonts w:ascii="Arial" w:hAnsi="Arial" w:cs="Arial"/>
          <w:i/>
        </w:rPr>
        <w:t>Point estimate for η1 - η2 is -0.0000</w:t>
      </w:r>
    </w:p>
    <w:p w14:paraId="480FBFB2" w14:textId="77777777" w:rsidR="004B1CD0" w:rsidRPr="00E55B63" w:rsidRDefault="004B1CD0" w:rsidP="004B1CD0">
      <w:pPr>
        <w:rPr>
          <w:rFonts w:ascii="Arial" w:hAnsi="Arial" w:cs="Arial"/>
          <w:i/>
        </w:rPr>
      </w:pPr>
      <w:r w:rsidRPr="00E55B63">
        <w:rPr>
          <w:rFonts w:ascii="Arial" w:hAnsi="Arial" w:cs="Arial"/>
          <w:i/>
        </w:rPr>
        <w:t>95.1 Percent CI for η1 - η2 is (-0.0000,0.5001)</w:t>
      </w:r>
    </w:p>
    <w:p w14:paraId="1F39EB62" w14:textId="77777777" w:rsidR="004B1CD0" w:rsidRPr="00E55B63" w:rsidRDefault="004B1CD0" w:rsidP="004B1CD0">
      <w:pPr>
        <w:rPr>
          <w:rFonts w:ascii="Arial" w:hAnsi="Arial" w:cs="Arial"/>
          <w:i/>
        </w:rPr>
      </w:pPr>
      <w:r w:rsidRPr="00E55B63">
        <w:rPr>
          <w:rFonts w:ascii="Arial" w:hAnsi="Arial" w:cs="Arial"/>
          <w:i/>
        </w:rPr>
        <w:t>W = 2605.0</w:t>
      </w:r>
    </w:p>
    <w:p w14:paraId="0C07BF4F" w14:textId="77777777" w:rsidR="004B1CD0" w:rsidRPr="00E55B63" w:rsidRDefault="004B1CD0" w:rsidP="004B1CD0">
      <w:pPr>
        <w:rPr>
          <w:rFonts w:ascii="Arial" w:hAnsi="Arial" w:cs="Arial"/>
          <w:i/>
        </w:rPr>
      </w:pPr>
      <w:r w:rsidRPr="00E55B63">
        <w:rPr>
          <w:rFonts w:ascii="Arial" w:hAnsi="Arial" w:cs="Arial"/>
          <w:i/>
        </w:rPr>
        <w:t>Test of η1 = η2 vs η1 ≠ η2 is significant at 0.2581</w:t>
      </w:r>
    </w:p>
    <w:p w14:paraId="2042EFBA" w14:textId="77777777" w:rsidR="004B1CD0" w:rsidRPr="00E55B63" w:rsidRDefault="004B1CD0" w:rsidP="004B1CD0">
      <w:pPr>
        <w:rPr>
          <w:rFonts w:ascii="Arial" w:hAnsi="Arial" w:cs="Arial"/>
          <w:i/>
        </w:rPr>
      </w:pPr>
      <w:r w:rsidRPr="00E55B63">
        <w:rPr>
          <w:rFonts w:ascii="Arial" w:hAnsi="Arial" w:cs="Arial"/>
          <w:i/>
        </w:rPr>
        <w:t>The test is significant at 0.2284 (adjusted for ties)</w:t>
      </w:r>
    </w:p>
    <w:p w14:paraId="42F3649F" w14:textId="77777777" w:rsidR="0056033F" w:rsidRPr="00E55B63" w:rsidRDefault="0056033F" w:rsidP="0056033F">
      <w:pPr>
        <w:pStyle w:val="Body"/>
        <w:spacing w:after="0"/>
        <w:rPr>
          <w:rFonts w:ascii="Arial" w:hAnsi="Arial" w:cs="Arial"/>
        </w:rPr>
      </w:pPr>
    </w:p>
    <w:p w14:paraId="0E680E7E" w14:textId="77777777" w:rsidR="00B84107" w:rsidRPr="00E55B63" w:rsidRDefault="00B84107" w:rsidP="00B84107">
      <w:pPr>
        <w:pStyle w:val="Body"/>
        <w:spacing w:after="0"/>
        <w:rPr>
          <w:rFonts w:ascii="Arial" w:hAnsi="Arial" w:cs="Arial"/>
        </w:rPr>
      </w:pPr>
      <w:r w:rsidRPr="00E55B63">
        <w:rPr>
          <w:rFonts w:ascii="Arial" w:hAnsi="Arial" w:cs="Arial"/>
        </w:rPr>
        <w:t>Although male median scores are higher, this difference is not statistically significant. Both organizational structures and societal expectations shape gender differences in knowledge creation. Power dynamics need careful examination. Structures that promote participation also create barriers. Think about whether gender differences exist in decision-making authority, not just in collaboration. Ndiege and Backhouse (2023) show mixed results regarding gender and knowledge management. Men sometimes make formal knowledge contributions, while women often excel at collaborative sharing.</w:t>
      </w:r>
    </w:p>
    <w:p w14:paraId="4900AC5F" w14:textId="77777777" w:rsidR="00B84107" w:rsidRPr="00E55B63" w:rsidRDefault="00B84107" w:rsidP="00B84107">
      <w:pPr>
        <w:pStyle w:val="Body"/>
        <w:spacing w:after="0"/>
        <w:rPr>
          <w:rFonts w:ascii="Arial" w:hAnsi="Arial" w:cs="Arial"/>
        </w:rPr>
      </w:pPr>
    </w:p>
    <w:p w14:paraId="39E1A5FC" w14:textId="77777777" w:rsidR="00B84107" w:rsidRPr="00E55B63" w:rsidRDefault="00B84107" w:rsidP="00B84107">
      <w:pPr>
        <w:pStyle w:val="Body"/>
        <w:spacing w:after="0"/>
        <w:rPr>
          <w:rFonts w:ascii="Arial" w:hAnsi="Arial" w:cs="Arial"/>
        </w:rPr>
      </w:pPr>
      <w:r w:rsidRPr="00E55B63">
        <w:rPr>
          <w:rFonts w:ascii="Arial" w:hAnsi="Arial" w:cs="Arial"/>
        </w:rPr>
        <w:t xml:space="preserve">Minor gender differences may affect opportunities, such as the slightly higher male median score. At the same time, despite gender parity in CBSUA, global data shows that there are still problems, such as women accounting for a higher percentage of research and assuming a larger share of caregiving responsibilities during COVID-19 (Jones-Esan, 2024). </w:t>
      </w:r>
    </w:p>
    <w:p w14:paraId="20A9767C" w14:textId="77777777" w:rsidR="00B84107" w:rsidRPr="00E55B63" w:rsidRDefault="00B84107" w:rsidP="00B84107">
      <w:pPr>
        <w:pStyle w:val="Body"/>
        <w:spacing w:after="0"/>
        <w:rPr>
          <w:rFonts w:ascii="Arial" w:hAnsi="Arial" w:cs="Arial"/>
        </w:rPr>
      </w:pPr>
    </w:p>
    <w:p w14:paraId="203346E5" w14:textId="77777777" w:rsidR="00EA0EFB" w:rsidRPr="00E55B63" w:rsidRDefault="00B84107" w:rsidP="00B84107">
      <w:pPr>
        <w:pStyle w:val="Body"/>
        <w:spacing w:after="0"/>
        <w:rPr>
          <w:rFonts w:ascii="Arial" w:hAnsi="Arial" w:cs="Arial"/>
        </w:rPr>
      </w:pPr>
      <w:r w:rsidRPr="00E55B63">
        <w:rPr>
          <w:rFonts w:ascii="Arial" w:hAnsi="Arial" w:cs="Arial"/>
        </w:rPr>
        <w:t xml:space="preserve">The policies of the institution should encourage gender equity in knowledge creation, address all forms of inequality, unlock the potential of every employee, provide flexible working hours and family support, regularly review workloads, and encourage leaders to set the example. Always recognize any contribution. Make the knowledge sharing fair. Engage in constant examinations and implementation. According to </w:t>
      </w:r>
      <w:proofErr w:type="spellStart"/>
      <w:r w:rsidRPr="00E55B63">
        <w:rPr>
          <w:rFonts w:ascii="Arial" w:hAnsi="Arial" w:cs="Arial"/>
        </w:rPr>
        <w:t>Galgotia</w:t>
      </w:r>
      <w:proofErr w:type="spellEnd"/>
      <w:r w:rsidRPr="00E55B63">
        <w:rPr>
          <w:rFonts w:ascii="Arial" w:hAnsi="Arial" w:cs="Arial"/>
        </w:rPr>
        <w:t xml:space="preserve"> and Lakshmi (2022), various views should be taken seriously. The work of a group can transform CBSUA into an example, and everyone can influence our future research, regardless of gender.</w:t>
      </w:r>
    </w:p>
    <w:p w14:paraId="6A337C7B" w14:textId="77777777" w:rsidR="00EA0EFB" w:rsidRPr="00E55B63" w:rsidRDefault="00EA0EFB" w:rsidP="003D4C29">
      <w:pPr>
        <w:pStyle w:val="Body"/>
        <w:spacing w:after="0"/>
        <w:rPr>
          <w:rFonts w:ascii="Arial" w:hAnsi="Arial" w:cs="Arial"/>
        </w:rPr>
      </w:pPr>
    </w:p>
    <w:p w14:paraId="543B6ADA" w14:textId="77777777" w:rsidR="00736DCD" w:rsidRPr="00E55B63" w:rsidRDefault="00736DCD" w:rsidP="00736DCD">
      <w:pPr>
        <w:pStyle w:val="Body"/>
        <w:spacing w:after="0"/>
        <w:rPr>
          <w:rFonts w:ascii="Arial" w:hAnsi="Arial" w:cs="Arial"/>
        </w:rPr>
      </w:pPr>
      <w:r w:rsidRPr="00E55B63">
        <w:rPr>
          <w:rFonts w:ascii="Arial" w:hAnsi="Arial" w:cs="Arial"/>
          <w:b/>
          <w:u w:val="single"/>
        </w:rPr>
        <w:t>3.2.</w:t>
      </w:r>
      <w:r w:rsidR="007F7B87" w:rsidRPr="00E55B63">
        <w:rPr>
          <w:rFonts w:ascii="Arial" w:hAnsi="Arial" w:cs="Arial"/>
          <w:b/>
          <w:u w:val="single"/>
        </w:rPr>
        <w:t>3</w:t>
      </w:r>
      <w:r w:rsidRPr="00E55B63">
        <w:rPr>
          <w:rFonts w:ascii="Arial" w:hAnsi="Arial" w:cs="Arial"/>
          <w:b/>
          <w:u w:val="single"/>
        </w:rPr>
        <w:t xml:space="preserve"> </w:t>
      </w:r>
      <w:r w:rsidR="00212864" w:rsidRPr="00E55B63">
        <w:rPr>
          <w:rFonts w:ascii="Arial" w:hAnsi="Arial" w:cs="Arial"/>
          <w:b/>
          <w:u w:val="single"/>
        </w:rPr>
        <w:t>Knowledge Generation Across Age Brackets</w:t>
      </w:r>
      <w:r w:rsidRPr="00E55B63">
        <w:rPr>
          <w:rFonts w:ascii="Arial" w:hAnsi="Arial" w:cs="Arial"/>
        </w:rPr>
        <w:t xml:space="preserve"> </w:t>
      </w:r>
    </w:p>
    <w:p w14:paraId="067F03D1" w14:textId="77777777" w:rsidR="008520A5" w:rsidRPr="00E55B63" w:rsidRDefault="008520A5" w:rsidP="00B70170">
      <w:pPr>
        <w:pStyle w:val="Body"/>
        <w:spacing w:after="0"/>
        <w:rPr>
          <w:rFonts w:ascii="Arial" w:hAnsi="Arial" w:cs="Arial"/>
        </w:rPr>
      </w:pPr>
    </w:p>
    <w:p w14:paraId="51C21B80" w14:textId="77777777" w:rsidR="00B70170" w:rsidRPr="00E55B63" w:rsidRDefault="00970E61" w:rsidP="00B70170">
      <w:pPr>
        <w:pStyle w:val="Body"/>
        <w:spacing w:after="0"/>
        <w:rPr>
          <w:rFonts w:ascii="Arial" w:hAnsi="Arial" w:cs="Arial"/>
        </w:rPr>
      </w:pPr>
      <w:r w:rsidRPr="00E55B63">
        <w:rPr>
          <w:rFonts w:ascii="Arial" w:hAnsi="Arial" w:cs="Arial"/>
        </w:rPr>
        <w:t>The Kruskal-Wallis test was conducted to evaluate differences in knowledge generation across age groups, revealing insignificant results (see Table 3). The youngest group (ages 25-35) had the highest median score of 5.000 and an average rank of 74.5 (Z = 2.32), while these values decreased gradually in the older adult groups. Knowledge scores gradually reduced in the older age groups. Ages 36-46 had a median of 4.000, a rank of 61.0, and Z = -0.10. The 47-57 group also had a median of 4.000, a rank of 55.2, and a Z score of -1.35. The 58+ group had a median of 4.000, a rank of 51.8, and a Z score of -1.04. The overall H statistic was 7.11 (DF = 3, P = .068, adjusted for ties). Although the p-value was only marginally significant and the effect size was small (0.03), this suggests limited practical importance. Even minor statistical differences could encourage organizations to promote knowledge sharing among different age groups.</w:t>
      </w:r>
    </w:p>
    <w:p w14:paraId="1EA5EEA5" w14:textId="77777777" w:rsidR="00B70170" w:rsidRPr="00E55B63" w:rsidRDefault="00B70170" w:rsidP="00B70170">
      <w:pPr>
        <w:pStyle w:val="Body"/>
        <w:spacing w:after="0"/>
        <w:rPr>
          <w:rFonts w:ascii="Arial" w:hAnsi="Arial" w:cs="Arial"/>
        </w:rPr>
      </w:pPr>
    </w:p>
    <w:p w14:paraId="5EC0EE0E" w14:textId="77777777" w:rsidR="00B70170" w:rsidRPr="00E55B63" w:rsidRDefault="00C55C8D" w:rsidP="00B70170">
      <w:pPr>
        <w:pStyle w:val="Body"/>
        <w:spacing w:after="0"/>
        <w:rPr>
          <w:rFonts w:ascii="Arial" w:hAnsi="Arial" w:cs="Arial"/>
          <w:b/>
        </w:rPr>
      </w:pPr>
      <w:r w:rsidRPr="00E55B63">
        <w:rPr>
          <w:rFonts w:ascii="Arial" w:hAnsi="Arial" w:cs="Arial"/>
          <w:b/>
        </w:rPr>
        <w:t>Table 3</w:t>
      </w:r>
      <w:r w:rsidR="00A1572B" w:rsidRPr="00E55B63">
        <w:rPr>
          <w:rFonts w:ascii="Arial" w:hAnsi="Arial" w:cs="Arial"/>
          <w:b/>
        </w:rPr>
        <w:t>. Knowledge Generation among Teaching and Non-Teaching in Terms of Age Bracket</w:t>
      </w:r>
    </w:p>
    <w:tbl>
      <w:tblPr>
        <w:tblStyle w:val="TableGrid"/>
        <w:tblW w:w="8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1653"/>
        <w:gridCol w:w="1653"/>
        <w:gridCol w:w="1653"/>
        <w:gridCol w:w="1653"/>
      </w:tblGrid>
      <w:tr w:rsidR="00E55B63" w:rsidRPr="00E55B63" w14:paraId="5589C3A0" w14:textId="77777777" w:rsidTr="00E55B63">
        <w:trPr>
          <w:trHeight w:val="20"/>
          <w:jc w:val="center"/>
        </w:trPr>
        <w:tc>
          <w:tcPr>
            <w:tcW w:w="1653" w:type="dxa"/>
            <w:tcBorders>
              <w:top w:val="single" w:sz="4" w:space="0" w:color="auto"/>
              <w:bottom w:val="single" w:sz="4" w:space="0" w:color="auto"/>
            </w:tcBorders>
            <w:vAlign w:val="center"/>
            <w:hideMark/>
          </w:tcPr>
          <w:p w14:paraId="2A797F2E" w14:textId="77777777" w:rsidR="00B83FBA" w:rsidRPr="00E55B63" w:rsidRDefault="00B83FBA" w:rsidP="00743776">
            <w:pPr>
              <w:jc w:val="center"/>
              <w:rPr>
                <w:rFonts w:ascii="Arial" w:eastAsia="Times New Roman" w:hAnsi="Arial" w:cs="Arial"/>
                <w:b/>
                <w:bCs/>
                <w:sz w:val="20"/>
                <w:szCs w:val="20"/>
              </w:rPr>
            </w:pPr>
            <w:r w:rsidRPr="00E55B63">
              <w:rPr>
                <w:rFonts w:ascii="Arial" w:eastAsia="Times New Roman" w:hAnsi="Arial" w:cs="Arial"/>
                <w:b/>
                <w:bCs/>
                <w:sz w:val="20"/>
                <w:szCs w:val="20"/>
              </w:rPr>
              <w:t>Age Bracket</w:t>
            </w:r>
          </w:p>
        </w:tc>
        <w:tc>
          <w:tcPr>
            <w:tcW w:w="1653" w:type="dxa"/>
            <w:tcBorders>
              <w:top w:val="single" w:sz="4" w:space="0" w:color="auto"/>
              <w:bottom w:val="single" w:sz="4" w:space="0" w:color="auto"/>
            </w:tcBorders>
            <w:vAlign w:val="center"/>
            <w:hideMark/>
          </w:tcPr>
          <w:p w14:paraId="1210D75D" w14:textId="77777777" w:rsidR="00B83FBA" w:rsidRPr="00E55B63" w:rsidRDefault="00B83FBA" w:rsidP="00743776">
            <w:pPr>
              <w:jc w:val="center"/>
              <w:rPr>
                <w:rFonts w:ascii="Arial" w:eastAsia="Times New Roman" w:hAnsi="Arial" w:cs="Arial"/>
                <w:b/>
                <w:bCs/>
                <w:sz w:val="20"/>
                <w:szCs w:val="20"/>
              </w:rPr>
            </w:pPr>
            <w:r w:rsidRPr="00E55B63">
              <w:rPr>
                <w:rFonts w:ascii="Arial" w:eastAsia="Times New Roman" w:hAnsi="Arial" w:cs="Arial"/>
                <w:b/>
                <w:bCs/>
                <w:sz w:val="20"/>
                <w:szCs w:val="20"/>
              </w:rPr>
              <w:t>N</w:t>
            </w:r>
          </w:p>
        </w:tc>
        <w:tc>
          <w:tcPr>
            <w:tcW w:w="1653" w:type="dxa"/>
            <w:tcBorders>
              <w:top w:val="single" w:sz="4" w:space="0" w:color="auto"/>
              <w:bottom w:val="single" w:sz="4" w:space="0" w:color="auto"/>
            </w:tcBorders>
            <w:vAlign w:val="center"/>
            <w:hideMark/>
          </w:tcPr>
          <w:p w14:paraId="2B22C17C" w14:textId="77777777" w:rsidR="00B83FBA" w:rsidRPr="00E55B63" w:rsidRDefault="00B83FBA" w:rsidP="00743776">
            <w:pPr>
              <w:jc w:val="center"/>
              <w:rPr>
                <w:rFonts w:ascii="Arial" w:eastAsia="Times New Roman" w:hAnsi="Arial" w:cs="Arial"/>
                <w:b/>
                <w:bCs/>
                <w:sz w:val="20"/>
                <w:szCs w:val="20"/>
              </w:rPr>
            </w:pPr>
            <w:r w:rsidRPr="00E55B63">
              <w:rPr>
                <w:rFonts w:ascii="Arial" w:eastAsia="Times New Roman" w:hAnsi="Arial" w:cs="Arial"/>
                <w:b/>
                <w:bCs/>
                <w:sz w:val="20"/>
                <w:szCs w:val="20"/>
              </w:rPr>
              <w:t>Median</w:t>
            </w:r>
          </w:p>
        </w:tc>
        <w:tc>
          <w:tcPr>
            <w:tcW w:w="1653" w:type="dxa"/>
            <w:tcBorders>
              <w:top w:val="single" w:sz="4" w:space="0" w:color="auto"/>
              <w:bottom w:val="single" w:sz="4" w:space="0" w:color="auto"/>
            </w:tcBorders>
            <w:vAlign w:val="center"/>
            <w:hideMark/>
          </w:tcPr>
          <w:p w14:paraId="6F657C73" w14:textId="77777777" w:rsidR="00B83FBA" w:rsidRPr="00E55B63" w:rsidRDefault="00B83FBA" w:rsidP="00743776">
            <w:pPr>
              <w:jc w:val="center"/>
              <w:rPr>
                <w:rFonts w:ascii="Arial" w:eastAsia="Times New Roman" w:hAnsi="Arial" w:cs="Arial"/>
                <w:b/>
                <w:bCs/>
                <w:sz w:val="20"/>
                <w:szCs w:val="20"/>
              </w:rPr>
            </w:pPr>
            <w:r w:rsidRPr="00E55B63">
              <w:rPr>
                <w:rFonts w:ascii="Arial" w:eastAsia="Times New Roman" w:hAnsi="Arial" w:cs="Arial"/>
                <w:b/>
                <w:bCs/>
                <w:sz w:val="20"/>
                <w:szCs w:val="20"/>
              </w:rPr>
              <w:t>Ave Rank</w:t>
            </w:r>
          </w:p>
        </w:tc>
        <w:tc>
          <w:tcPr>
            <w:tcW w:w="1653" w:type="dxa"/>
            <w:tcBorders>
              <w:top w:val="single" w:sz="4" w:space="0" w:color="auto"/>
              <w:bottom w:val="single" w:sz="4" w:space="0" w:color="auto"/>
            </w:tcBorders>
            <w:vAlign w:val="center"/>
            <w:hideMark/>
          </w:tcPr>
          <w:p w14:paraId="23642FC8" w14:textId="77777777" w:rsidR="00B83FBA" w:rsidRPr="00E55B63" w:rsidRDefault="00B83FBA" w:rsidP="00743776">
            <w:pPr>
              <w:jc w:val="center"/>
              <w:rPr>
                <w:rFonts w:ascii="Arial" w:eastAsia="Times New Roman" w:hAnsi="Arial" w:cs="Arial"/>
                <w:b/>
                <w:bCs/>
                <w:sz w:val="20"/>
                <w:szCs w:val="20"/>
              </w:rPr>
            </w:pPr>
            <w:r w:rsidRPr="00E55B63">
              <w:rPr>
                <w:rFonts w:ascii="Arial" w:eastAsia="Times New Roman" w:hAnsi="Arial" w:cs="Arial"/>
                <w:b/>
                <w:bCs/>
                <w:sz w:val="20"/>
                <w:szCs w:val="20"/>
              </w:rPr>
              <w:t>Z</w:t>
            </w:r>
          </w:p>
        </w:tc>
      </w:tr>
      <w:tr w:rsidR="00E55B63" w:rsidRPr="00E55B63" w14:paraId="2F195BD6" w14:textId="77777777" w:rsidTr="00E55B63">
        <w:trPr>
          <w:trHeight w:val="20"/>
          <w:jc w:val="center"/>
        </w:trPr>
        <w:tc>
          <w:tcPr>
            <w:tcW w:w="1653" w:type="dxa"/>
            <w:tcBorders>
              <w:top w:val="single" w:sz="4" w:space="0" w:color="auto"/>
            </w:tcBorders>
            <w:vAlign w:val="center"/>
            <w:hideMark/>
          </w:tcPr>
          <w:p w14:paraId="2122C544"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1</w:t>
            </w:r>
          </w:p>
        </w:tc>
        <w:tc>
          <w:tcPr>
            <w:tcW w:w="1653" w:type="dxa"/>
            <w:tcBorders>
              <w:top w:val="single" w:sz="4" w:space="0" w:color="auto"/>
            </w:tcBorders>
            <w:vAlign w:val="center"/>
            <w:hideMark/>
          </w:tcPr>
          <w:p w14:paraId="4DF68A02"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30</w:t>
            </w:r>
          </w:p>
        </w:tc>
        <w:tc>
          <w:tcPr>
            <w:tcW w:w="1653" w:type="dxa"/>
            <w:tcBorders>
              <w:top w:val="single" w:sz="4" w:space="0" w:color="auto"/>
            </w:tcBorders>
            <w:vAlign w:val="center"/>
            <w:hideMark/>
          </w:tcPr>
          <w:p w14:paraId="0619536F"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5.000</w:t>
            </w:r>
          </w:p>
        </w:tc>
        <w:tc>
          <w:tcPr>
            <w:tcW w:w="1653" w:type="dxa"/>
            <w:tcBorders>
              <w:top w:val="single" w:sz="4" w:space="0" w:color="auto"/>
            </w:tcBorders>
            <w:vAlign w:val="center"/>
            <w:hideMark/>
          </w:tcPr>
          <w:p w14:paraId="14A28199"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74.5</w:t>
            </w:r>
          </w:p>
        </w:tc>
        <w:tc>
          <w:tcPr>
            <w:tcW w:w="1653" w:type="dxa"/>
            <w:tcBorders>
              <w:top w:val="single" w:sz="4" w:space="0" w:color="auto"/>
            </w:tcBorders>
            <w:vAlign w:val="center"/>
            <w:hideMark/>
          </w:tcPr>
          <w:p w14:paraId="39528DDE"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2.32</w:t>
            </w:r>
          </w:p>
        </w:tc>
      </w:tr>
      <w:tr w:rsidR="00E55B63" w:rsidRPr="00E55B63" w14:paraId="5252FC9D" w14:textId="77777777" w:rsidTr="00E55B63">
        <w:trPr>
          <w:trHeight w:val="20"/>
          <w:jc w:val="center"/>
        </w:trPr>
        <w:tc>
          <w:tcPr>
            <w:tcW w:w="1653" w:type="dxa"/>
            <w:vAlign w:val="center"/>
            <w:hideMark/>
          </w:tcPr>
          <w:p w14:paraId="7AE4E094"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2</w:t>
            </w:r>
          </w:p>
        </w:tc>
        <w:tc>
          <w:tcPr>
            <w:tcW w:w="1653" w:type="dxa"/>
            <w:vAlign w:val="center"/>
            <w:hideMark/>
          </w:tcPr>
          <w:p w14:paraId="398884AD"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40</w:t>
            </w:r>
          </w:p>
        </w:tc>
        <w:tc>
          <w:tcPr>
            <w:tcW w:w="1653" w:type="dxa"/>
            <w:vAlign w:val="center"/>
            <w:hideMark/>
          </w:tcPr>
          <w:p w14:paraId="4556C4E0"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4.000</w:t>
            </w:r>
          </w:p>
        </w:tc>
        <w:tc>
          <w:tcPr>
            <w:tcW w:w="1653" w:type="dxa"/>
            <w:vAlign w:val="center"/>
            <w:hideMark/>
          </w:tcPr>
          <w:p w14:paraId="2CCBB206"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61.0</w:t>
            </w:r>
          </w:p>
        </w:tc>
        <w:tc>
          <w:tcPr>
            <w:tcW w:w="1653" w:type="dxa"/>
            <w:vAlign w:val="center"/>
            <w:hideMark/>
          </w:tcPr>
          <w:p w14:paraId="1D795232"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-0.10</w:t>
            </w:r>
          </w:p>
        </w:tc>
      </w:tr>
      <w:tr w:rsidR="00E55B63" w:rsidRPr="00E55B63" w14:paraId="4EA49D45" w14:textId="77777777" w:rsidTr="00E55B63">
        <w:trPr>
          <w:trHeight w:val="20"/>
          <w:jc w:val="center"/>
        </w:trPr>
        <w:tc>
          <w:tcPr>
            <w:tcW w:w="1653" w:type="dxa"/>
            <w:vAlign w:val="center"/>
            <w:hideMark/>
          </w:tcPr>
          <w:p w14:paraId="54B1F291"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lastRenderedPageBreak/>
              <w:t>3</w:t>
            </w:r>
          </w:p>
        </w:tc>
        <w:tc>
          <w:tcPr>
            <w:tcW w:w="1653" w:type="dxa"/>
            <w:vAlign w:val="center"/>
            <w:hideMark/>
          </w:tcPr>
          <w:p w14:paraId="49B39538"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39</w:t>
            </w:r>
          </w:p>
        </w:tc>
        <w:tc>
          <w:tcPr>
            <w:tcW w:w="1653" w:type="dxa"/>
            <w:vAlign w:val="center"/>
            <w:hideMark/>
          </w:tcPr>
          <w:p w14:paraId="09705871"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4.000</w:t>
            </w:r>
          </w:p>
        </w:tc>
        <w:tc>
          <w:tcPr>
            <w:tcW w:w="1653" w:type="dxa"/>
            <w:vAlign w:val="center"/>
            <w:hideMark/>
          </w:tcPr>
          <w:p w14:paraId="35FDAB63"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55.2</w:t>
            </w:r>
          </w:p>
        </w:tc>
        <w:tc>
          <w:tcPr>
            <w:tcW w:w="1653" w:type="dxa"/>
            <w:vAlign w:val="center"/>
            <w:hideMark/>
          </w:tcPr>
          <w:p w14:paraId="5FA4C19D"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-1.35</w:t>
            </w:r>
          </w:p>
        </w:tc>
      </w:tr>
      <w:tr w:rsidR="00E55B63" w:rsidRPr="00E55B63" w14:paraId="587FD3D6" w14:textId="77777777" w:rsidTr="00E55B63">
        <w:trPr>
          <w:trHeight w:val="20"/>
          <w:jc w:val="center"/>
        </w:trPr>
        <w:tc>
          <w:tcPr>
            <w:tcW w:w="1653" w:type="dxa"/>
            <w:vAlign w:val="center"/>
            <w:hideMark/>
          </w:tcPr>
          <w:p w14:paraId="1C3235DD"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4</w:t>
            </w:r>
          </w:p>
        </w:tc>
        <w:tc>
          <w:tcPr>
            <w:tcW w:w="1653" w:type="dxa"/>
            <w:vAlign w:val="center"/>
            <w:hideMark/>
          </w:tcPr>
          <w:p w14:paraId="4D4911F0"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13</w:t>
            </w:r>
          </w:p>
        </w:tc>
        <w:tc>
          <w:tcPr>
            <w:tcW w:w="1653" w:type="dxa"/>
            <w:vAlign w:val="center"/>
            <w:hideMark/>
          </w:tcPr>
          <w:p w14:paraId="0741F5F0"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4.000</w:t>
            </w:r>
          </w:p>
        </w:tc>
        <w:tc>
          <w:tcPr>
            <w:tcW w:w="1653" w:type="dxa"/>
            <w:vAlign w:val="center"/>
            <w:hideMark/>
          </w:tcPr>
          <w:p w14:paraId="0884B230"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51.8</w:t>
            </w:r>
          </w:p>
        </w:tc>
        <w:tc>
          <w:tcPr>
            <w:tcW w:w="1653" w:type="dxa"/>
            <w:vAlign w:val="center"/>
            <w:hideMark/>
          </w:tcPr>
          <w:p w14:paraId="65B47F2D"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-1.04</w:t>
            </w:r>
          </w:p>
        </w:tc>
      </w:tr>
      <w:tr w:rsidR="00E55B63" w:rsidRPr="00E55B63" w14:paraId="3444ACA4" w14:textId="77777777" w:rsidTr="00E55B63">
        <w:trPr>
          <w:trHeight w:val="20"/>
          <w:jc w:val="center"/>
        </w:trPr>
        <w:tc>
          <w:tcPr>
            <w:tcW w:w="1653" w:type="dxa"/>
            <w:tcBorders>
              <w:bottom w:val="single" w:sz="4" w:space="0" w:color="auto"/>
            </w:tcBorders>
            <w:vAlign w:val="center"/>
            <w:hideMark/>
          </w:tcPr>
          <w:p w14:paraId="3AEEA790"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b/>
                <w:bCs/>
                <w:sz w:val="20"/>
                <w:szCs w:val="20"/>
              </w:rPr>
              <w:t>Overall</w:t>
            </w:r>
          </w:p>
        </w:tc>
        <w:tc>
          <w:tcPr>
            <w:tcW w:w="1653" w:type="dxa"/>
            <w:tcBorders>
              <w:bottom w:val="single" w:sz="4" w:space="0" w:color="auto"/>
            </w:tcBorders>
            <w:vAlign w:val="center"/>
            <w:hideMark/>
          </w:tcPr>
          <w:p w14:paraId="709F0B96"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b/>
                <w:bCs/>
                <w:sz w:val="20"/>
                <w:szCs w:val="20"/>
              </w:rPr>
              <w:t>122</w:t>
            </w:r>
          </w:p>
        </w:tc>
        <w:tc>
          <w:tcPr>
            <w:tcW w:w="1653" w:type="dxa"/>
            <w:tcBorders>
              <w:bottom w:val="single" w:sz="4" w:space="0" w:color="auto"/>
            </w:tcBorders>
            <w:vAlign w:val="center"/>
            <w:hideMark/>
          </w:tcPr>
          <w:p w14:paraId="208C7640" w14:textId="77777777" w:rsidR="00B83FBA" w:rsidRPr="00E55B63" w:rsidRDefault="00B83FBA" w:rsidP="00743776">
            <w:pPr>
              <w:jc w:val="center"/>
              <w:rPr>
                <w:rFonts w:ascii="Arial" w:eastAsia="Times New Roman" w:hAnsi="Arial" w:cs="Arial"/>
                <w:sz w:val="20"/>
                <w:szCs w:val="20"/>
              </w:rPr>
            </w:pPr>
          </w:p>
        </w:tc>
        <w:tc>
          <w:tcPr>
            <w:tcW w:w="1653" w:type="dxa"/>
            <w:tcBorders>
              <w:bottom w:val="single" w:sz="4" w:space="0" w:color="auto"/>
            </w:tcBorders>
            <w:vAlign w:val="center"/>
            <w:hideMark/>
          </w:tcPr>
          <w:p w14:paraId="47A1395C"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b/>
                <w:bCs/>
                <w:sz w:val="20"/>
                <w:szCs w:val="20"/>
              </w:rPr>
              <w:t>61.5</w:t>
            </w:r>
          </w:p>
        </w:tc>
        <w:tc>
          <w:tcPr>
            <w:tcW w:w="1653" w:type="dxa"/>
            <w:tcBorders>
              <w:bottom w:val="single" w:sz="4" w:space="0" w:color="auto"/>
            </w:tcBorders>
            <w:vAlign w:val="center"/>
            <w:hideMark/>
          </w:tcPr>
          <w:p w14:paraId="0F225C89" w14:textId="77777777" w:rsidR="00B83FBA" w:rsidRPr="00E55B63" w:rsidRDefault="00B83FBA" w:rsidP="00743776">
            <w:pPr>
              <w:jc w:val="center"/>
              <w:rPr>
                <w:rFonts w:ascii="Arial" w:eastAsia="Times New Roman" w:hAnsi="Arial" w:cs="Arial"/>
                <w:sz w:val="20"/>
                <w:szCs w:val="20"/>
              </w:rPr>
            </w:pPr>
          </w:p>
        </w:tc>
      </w:tr>
    </w:tbl>
    <w:p w14:paraId="499FE43F" w14:textId="77777777" w:rsidR="00B83FBA" w:rsidRPr="00E55B63" w:rsidRDefault="00B83FBA" w:rsidP="00B83FBA">
      <w:pPr>
        <w:rPr>
          <w:rFonts w:ascii="Arial" w:hAnsi="Arial" w:cs="Arial"/>
          <w:i/>
        </w:rPr>
      </w:pPr>
      <w:r w:rsidRPr="00E55B63">
        <w:rPr>
          <w:rFonts w:ascii="Arial" w:hAnsi="Arial" w:cs="Arial"/>
          <w:i/>
        </w:rPr>
        <w:t>H = 6.27, DF = 3, P = 0.099</w:t>
      </w:r>
    </w:p>
    <w:p w14:paraId="16042878" w14:textId="77777777" w:rsidR="00B83FBA" w:rsidRPr="00E55B63" w:rsidRDefault="00B83FBA" w:rsidP="00B83FBA">
      <w:pPr>
        <w:rPr>
          <w:rFonts w:ascii="Arial" w:hAnsi="Arial" w:cs="Arial"/>
          <w:i/>
        </w:rPr>
      </w:pPr>
      <w:r w:rsidRPr="00E55B63">
        <w:rPr>
          <w:rFonts w:ascii="Arial" w:hAnsi="Arial" w:cs="Arial"/>
          <w:i/>
        </w:rPr>
        <w:t>H = 7.11, DF = 3, P = 0.068 (adjusted for ties)</w:t>
      </w:r>
    </w:p>
    <w:p w14:paraId="3891466E" w14:textId="77777777" w:rsidR="00B70170" w:rsidRPr="00E55B63" w:rsidRDefault="00B70170" w:rsidP="00B70170">
      <w:pPr>
        <w:pStyle w:val="Body"/>
        <w:spacing w:after="0"/>
        <w:rPr>
          <w:rFonts w:ascii="Arial" w:hAnsi="Arial" w:cs="Arial"/>
        </w:rPr>
      </w:pPr>
    </w:p>
    <w:p w14:paraId="3847C4B3" w14:textId="77777777" w:rsidR="00B96F29" w:rsidRPr="00E55B63" w:rsidRDefault="00B96F29" w:rsidP="00B96F29">
      <w:pPr>
        <w:pStyle w:val="Body"/>
        <w:spacing w:after="0"/>
        <w:rPr>
          <w:rFonts w:ascii="Arial" w:hAnsi="Arial" w:cs="Arial"/>
        </w:rPr>
      </w:pPr>
      <w:r w:rsidRPr="00E55B63">
        <w:rPr>
          <w:rFonts w:ascii="Arial" w:hAnsi="Arial" w:cs="Arial"/>
        </w:rPr>
        <w:t>Although not statistically significant, the trend suggests that younger employees might produce more knowledge. They may be more familiar with current methods from their recent education and feel pressure to demonstrate their skills with visible results.</w:t>
      </w:r>
    </w:p>
    <w:p w14:paraId="3451DF98" w14:textId="77777777" w:rsidR="00B96F29" w:rsidRPr="00E55B63" w:rsidRDefault="00B96F29" w:rsidP="00B96F29">
      <w:pPr>
        <w:pStyle w:val="Body"/>
        <w:spacing w:after="0"/>
        <w:rPr>
          <w:rFonts w:ascii="Arial" w:hAnsi="Arial" w:cs="Arial"/>
        </w:rPr>
      </w:pPr>
    </w:p>
    <w:p w14:paraId="43FB9885" w14:textId="77777777" w:rsidR="00B96F29" w:rsidRPr="00E55B63" w:rsidRDefault="00B96F29" w:rsidP="00B96F29">
      <w:pPr>
        <w:pStyle w:val="Body"/>
        <w:spacing w:after="0"/>
        <w:rPr>
          <w:rFonts w:ascii="Arial" w:hAnsi="Arial" w:cs="Arial"/>
        </w:rPr>
      </w:pPr>
      <w:r w:rsidRPr="00E55B63">
        <w:rPr>
          <w:rFonts w:ascii="Arial" w:hAnsi="Arial" w:cs="Arial"/>
        </w:rPr>
        <w:t>Research on generational workplace differences offers context for the observed age-related knowledge trends. Chan and Zhou (2023) discovered that younger professionals (Millennials and Gen Z) are more comfortable with digital tools and collaborative platforms and excel at innovative problem-solving. Technological fluency does not necessarily ensure greater knowledge or wisdom; these qualities often develop through experience.</w:t>
      </w:r>
    </w:p>
    <w:p w14:paraId="2616F90A" w14:textId="77777777" w:rsidR="00B96F29" w:rsidRPr="00E55B63" w:rsidRDefault="00B96F29" w:rsidP="00B96F29">
      <w:pPr>
        <w:pStyle w:val="Body"/>
        <w:spacing w:after="0"/>
        <w:rPr>
          <w:rFonts w:ascii="Arial" w:hAnsi="Arial" w:cs="Arial"/>
        </w:rPr>
      </w:pPr>
    </w:p>
    <w:p w14:paraId="5A5CBC7D" w14:textId="77777777" w:rsidR="00B96F29" w:rsidRPr="00E55B63" w:rsidRDefault="00B96F29" w:rsidP="00B96F29">
      <w:pPr>
        <w:pStyle w:val="Body"/>
        <w:spacing w:after="0"/>
        <w:rPr>
          <w:rFonts w:ascii="Arial" w:hAnsi="Arial" w:cs="Arial"/>
        </w:rPr>
      </w:pPr>
      <w:r w:rsidRPr="00E55B63">
        <w:rPr>
          <w:rFonts w:ascii="Arial" w:hAnsi="Arial" w:cs="Arial"/>
        </w:rPr>
        <w:t>Lower marks for older employees may be due to their different knowledge-sharing styles and more extensive engagement patterns. Mentoring, consulting, and informal guidance are among the ways senior professionals can share tacit knowledge that formal metrics may fail to measure. They are more selective in their contributions; that is, they do not make small but vital contributions. Through shadowing and storytelling, senior employees will be able to transform personal knowledge into organizational learning. To illustrate, mentoring discussions have a way of transforming personal experience into common sense and assist in charting invisible routes in passing the knowledge. Kaba et al. (2025) found that non-academic staff aged 50+ were more likely to share knowledge than their younger peers. A longer tenure was associated with greater knowledge sharing, underscoring the importance of experience.</w:t>
      </w:r>
    </w:p>
    <w:p w14:paraId="32B7E8AB" w14:textId="77777777" w:rsidR="00B96F29" w:rsidRPr="00E55B63" w:rsidRDefault="00B96F29" w:rsidP="00B96F29">
      <w:pPr>
        <w:pStyle w:val="Body"/>
        <w:spacing w:after="0"/>
        <w:rPr>
          <w:rFonts w:ascii="Arial" w:hAnsi="Arial" w:cs="Arial"/>
        </w:rPr>
      </w:pPr>
    </w:p>
    <w:p w14:paraId="5465B91E" w14:textId="77777777" w:rsidR="0056033F" w:rsidRPr="00E55B63" w:rsidRDefault="00B96F29" w:rsidP="00B96F29">
      <w:pPr>
        <w:pStyle w:val="Body"/>
        <w:spacing w:after="0"/>
        <w:rPr>
          <w:rFonts w:ascii="Arial" w:hAnsi="Arial" w:cs="Arial"/>
        </w:rPr>
      </w:pPr>
      <w:r w:rsidRPr="00E55B63">
        <w:rPr>
          <w:rFonts w:ascii="Arial" w:hAnsi="Arial" w:cs="Arial"/>
        </w:rPr>
        <w:t>The marginally significant finding (P = .068) emphasizes the importance of intergenerational knowledge sharing. This can be fostered in institutions by the use of communities of practice, mentoring, and collaborative projects. These are meant to encourage communication contact between the various age groups, and they can involve problems being solved together to encourage task dependence (</w:t>
      </w:r>
      <w:proofErr w:type="spellStart"/>
      <w:r w:rsidRPr="00E55B63">
        <w:rPr>
          <w:rFonts w:ascii="Arial" w:hAnsi="Arial" w:cs="Arial"/>
        </w:rPr>
        <w:t>Fasbender</w:t>
      </w:r>
      <w:proofErr w:type="spellEnd"/>
      <w:r w:rsidRPr="00E55B63">
        <w:rPr>
          <w:rFonts w:ascii="Arial" w:hAnsi="Arial" w:cs="Arial"/>
        </w:rPr>
        <w:t xml:space="preserve"> &amp; </w:t>
      </w:r>
      <w:proofErr w:type="spellStart"/>
      <w:r w:rsidRPr="00E55B63">
        <w:rPr>
          <w:rFonts w:ascii="Arial" w:hAnsi="Arial" w:cs="Arial"/>
        </w:rPr>
        <w:t>Gerpott</w:t>
      </w:r>
      <w:proofErr w:type="spellEnd"/>
      <w:r w:rsidRPr="00E55B63">
        <w:rPr>
          <w:rFonts w:ascii="Arial" w:hAnsi="Arial" w:cs="Arial"/>
        </w:rPr>
        <w:t>, 2021). Through such programs, the technological competencies of early-career employees are bridged with the experience of top executives, enhancing organizational performance. To measure program success, organizations are advised to monitor the participation and cross-age co-authored publications. Some of the goals include a 20% growth of collaborations over two years, which leaders should establish. Clearly defined objectives and ongoing monitoring help ensure investments yield measurable improvements and allow timely adjustments.</w:t>
      </w:r>
    </w:p>
    <w:p w14:paraId="5D7B9B4C" w14:textId="77777777" w:rsidR="00245B79" w:rsidRPr="00E55B63" w:rsidRDefault="00245B79" w:rsidP="00B70170">
      <w:pPr>
        <w:pStyle w:val="Body"/>
        <w:spacing w:after="0"/>
        <w:rPr>
          <w:rFonts w:ascii="Arial" w:hAnsi="Arial" w:cs="Arial"/>
        </w:rPr>
      </w:pPr>
    </w:p>
    <w:p w14:paraId="6A01A5EC" w14:textId="77777777" w:rsidR="006641FC" w:rsidRPr="00E55B63" w:rsidRDefault="006641FC" w:rsidP="006641FC">
      <w:pPr>
        <w:pStyle w:val="Body"/>
        <w:spacing w:after="0"/>
        <w:rPr>
          <w:rFonts w:ascii="Arial" w:hAnsi="Arial" w:cs="Arial"/>
        </w:rPr>
      </w:pPr>
      <w:r w:rsidRPr="00E55B63">
        <w:rPr>
          <w:rFonts w:ascii="Arial" w:hAnsi="Arial" w:cs="Arial"/>
          <w:b/>
          <w:u w:val="single"/>
        </w:rPr>
        <w:t>3.2.</w:t>
      </w:r>
      <w:r w:rsidR="00343B84" w:rsidRPr="00E55B63">
        <w:rPr>
          <w:rFonts w:ascii="Arial" w:hAnsi="Arial" w:cs="Arial"/>
          <w:b/>
          <w:u w:val="single"/>
        </w:rPr>
        <w:t>4</w:t>
      </w:r>
      <w:r w:rsidRPr="00E55B63">
        <w:rPr>
          <w:rFonts w:ascii="Arial" w:hAnsi="Arial" w:cs="Arial"/>
          <w:b/>
          <w:u w:val="single"/>
        </w:rPr>
        <w:t xml:space="preserve"> </w:t>
      </w:r>
      <w:r w:rsidR="00900737" w:rsidRPr="00E55B63">
        <w:rPr>
          <w:rFonts w:ascii="Arial" w:hAnsi="Arial" w:cs="Arial"/>
          <w:b/>
          <w:u w:val="single"/>
        </w:rPr>
        <w:t>Knowledge Generation Across Educational Levels</w:t>
      </w:r>
      <w:r w:rsidRPr="00E55B63">
        <w:rPr>
          <w:rFonts w:ascii="Arial" w:hAnsi="Arial" w:cs="Arial"/>
        </w:rPr>
        <w:t xml:space="preserve"> </w:t>
      </w:r>
    </w:p>
    <w:p w14:paraId="5C473D7A" w14:textId="77777777" w:rsidR="006641FC" w:rsidRPr="00E55B63" w:rsidRDefault="006641FC" w:rsidP="006641FC">
      <w:pPr>
        <w:pStyle w:val="Body"/>
        <w:spacing w:after="0"/>
        <w:rPr>
          <w:rFonts w:ascii="Arial" w:hAnsi="Arial" w:cs="Arial"/>
        </w:rPr>
      </w:pPr>
    </w:p>
    <w:p w14:paraId="340E5CFE" w14:textId="77777777" w:rsidR="00B038AC" w:rsidRPr="00E55B63" w:rsidRDefault="004A0046" w:rsidP="004460DC">
      <w:pPr>
        <w:pStyle w:val="Body"/>
        <w:spacing w:after="0"/>
        <w:rPr>
          <w:rFonts w:ascii="Arial" w:hAnsi="Arial" w:cs="Arial"/>
        </w:rPr>
      </w:pPr>
      <w:r w:rsidRPr="00E55B63">
        <w:rPr>
          <w:rFonts w:ascii="Arial" w:hAnsi="Arial" w:cs="Arial"/>
        </w:rPr>
        <w:t>The Kruskal-Wallis test revealed that levels of education did not significantly influence knowledge generation (H = 2.33, DF = 3, P = .507, ties adjusted). The median scores were consistent across the different educational levels: Baccalaureate (4.000), Master's (4.000), PhD (4.000), and Diploma (5.000). Additionally, the average ranks showed only slight variation: Bachelor's (62.2), Master's (63.7), PhD (56.8), and Diploma (101.0).</w:t>
      </w:r>
    </w:p>
    <w:p w14:paraId="261256CA" w14:textId="77777777" w:rsidR="00C151E5" w:rsidRPr="00E55B63" w:rsidRDefault="00C151E5" w:rsidP="004460DC">
      <w:pPr>
        <w:pStyle w:val="Body"/>
        <w:spacing w:after="0"/>
        <w:rPr>
          <w:rFonts w:ascii="Arial" w:hAnsi="Arial" w:cs="Arial"/>
        </w:rPr>
      </w:pPr>
    </w:p>
    <w:p w14:paraId="2898470B" w14:textId="77777777" w:rsidR="00C151E5" w:rsidRPr="00E55B63" w:rsidRDefault="00BB11C6" w:rsidP="004460DC">
      <w:pPr>
        <w:pStyle w:val="Body"/>
        <w:spacing w:after="0"/>
        <w:rPr>
          <w:rFonts w:ascii="Arial" w:hAnsi="Arial" w:cs="Arial"/>
        </w:rPr>
      </w:pPr>
      <w:r w:rsidRPr="00E55B63">
        <w:rPr>
          <w:rFonts w:ascii="Arial" w:hAnsi="Arial" w:cs="Arial"/>
          <w:b/>
        </w:rPr>
        <w:t xml:space="preserve">Table 4. Knowledge Generation among Teaching and Non-Teaching in Terms of </w:t>
      </w:r>
      <w:r w:rsidR="00EF64DA" w:rsidRPr="00E55B63">
        <w:rPr>
          <w:rFonts w:ascii="Arial" w:hAnsi="Arial" w:cs="Arial"/>
          <w:b/>
        </w:rPr>
        <w:t>Educational Levels</w:t>
      </w:r>
    </w:p>
    <w:tbl>
      <w:tblPr>
        <w:tblStyle w:val="TableGrid"/>
        <w:tblW w:w="8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1030"/>
        <w:gridCol w:w="1695"/>
        <w:gridCol w:w="2113"/>
        <w:gridCol w:w="1259"/>
      </w:tblGrid>
      <w:tr w:rsidR="00E55B63" w:rsidRPr="00E55B63" w14:paraId="7C5D954B" w14:textId="77777777" w:rsidTr="004A7A3B">
        <w:trPr>
          <w:trHeight w:val="255"/>
        </w:trPr>
        <w:tc>
          <w:tcPr>
            <w:tcW w:w="0" w:type="auto"/>
            <w:tcBorders>
              <w:top w:val="single" w:sz="4" w:space="0" w:color="auto"/>
              <w:bottom w:val="single" w:sz="4" w:space="0" w:color="auto"/>
            </w:tcBorders>
            <w:hideMark/>
          </w:tcPr>
          <w:p w14:paraId="74EA4BA8" w14:textId="77777777" w:rsidR="002D61C2" w:rsidRPr="00E55B63" w:rsidRDefault="002D61C2" w:rsidP="00B46A95">
            <w:pPr>
              <w:jc w:val="center"/>
              <w:rPr>
                <w:rFonts w:ascii="Arial" w:eastAsia="Times New Roman" w:hAnsi="Arial" w:cs="Arial"/>
                <w:b/>
                <w:bCs/>
                <w:sz w:val="20"/>
                <w:szCs w:val="20"/>
              </w:rPr>
            </w:pPr>
            <w:r w:rsidRPr="00E55B63">
              <w:rPr>
                <w:rFonts w:ascii="Arial" w:eastAsia="Times New Roman" w:hAnsi="Arial" w:cs="Arial"/>
                <w:b/>
                <w:bCs/>
                <w:sz w:val="20"/>
                <w:szCs w:val="20"/>
              </w:rPr>
              <w:t>Education</w:t>
            </w:r>
          </w:p>
        </w:tc>
        <w:tc>
          <w:tcPr>
            <w:tcW w:w="0" w:type="auto"/>
            <w:tcBorders>
              <w:top w:val="single" w:sz="4" w:space="0" w:color="auto"/>
              <w:bottom w:val="single" w:sz="4" w:space="0" w:color="auto"/>
            </w:tcBorders>
            <w:hideMark/>
          </w:tcPr>
          <w:p w14:paraId="5B6563FD" w14:textId="77777777" w:rsidR="002D61C2" w:rsidRPr="00E55B63" w:rsidRDefault="002D61C2" w:rsidP="00B46A95">
            <w:pPr>
              <w:jc w:val="center"/>
              <w:rPr>
                <w:rFonts w:ascii="Arial" w:eastAsia="Times New Roman" w:hAnsi="Arial" w:cs="Arial"/>
                <w:b/>
                <w:bCs/>
                <w:sz w:val="20"/>
                <w:szCs w:val="20"/>
              </w:rPr>
            </w:pPr>
            <w:r w:rsidRPr="00E55B63">
              <w:rPr>
                <w:rFonts w:ascii="Arial" w:eastAsia="Times New Roman" w:hAnsi="Arial" w:cs="Arial"/>
                <w:b/>
                <w:bCs/>
                <w:sz w:val="20"/>
                <w:szCs w:val="20"/>
              </w:rPr>
              <w:t>N</w:t>
            </w:r>
          </w:p>
        </w:tc>
        <w:tc>
          <w:tcPr>
            <w:tcW w:w="0" w:type="auto"/>
            <w:tcBorders>
              <w:top w:val="single" w:sz="4" w:space="0" w:color="auto"/>
              <w:bottom w:val="single" w:sz="4" w:space="0" w:color="auto"/>
            </w:tcBorders>
            <w:hideMark/>
          </w:tcPr>
          <w:p w14:paraId="5BB9D9C5" w14:textId="77777777" w:rsidR="002D61C2" w:rsidRPr="00E55B63" w:rsidRDefault="002D61C2" w:rsidP="00B46A95">
            <w:pPr>
              <w:jc w:val="center"/>
              <w:rPr>
                <w:rFonts w:ascii="Arial" w:eastAsia="Times New Roman" w:hAnsi="Arial" w:cs="Arial"/>
                <w:b/>
                <w:bCs/>
                <w:sz w:val="20"/>
                <w:szCs w:val="20"/>
              </w:rPr>
            </w:pPr>
            <w:r w:rsidRPr="00E55B63">
              <w:rPr>
                <w:rFonts w:ascii="Arial" w:eastAsia="Times New Roman" w:hAnsi="Arial" w:cs="Arial"/>
                <w:b/>
                <w:bCs/>
                <w:sz w:val="20"/>
                <w:szCs w:val="20"/>
              </w:rPr>
              <w:t>Median</w:t>
            </w:r>
          </w:p>
        </w:tc>
        <w:tc>
          <w:tcPr>
            <w:tcW w:w="0" w:type="auto"/>
            <w:tcBorders>
              <w:top w:val="single" w:sz="4" w:space="0" w:color="auto"/>
              <w:bottom w:val="single" w:sz="4" w:space="0" w:color="auto"/>
            </w:tcBorders>
            <w:hideMark/>
          </w:tcPr>
          <w:p w14:paraId="03E433E3" w14:textId="77777777" w:rsidR="002D61C2" w:rsidRPr="00E55B63" w:rsidRDefault="002D61C2" w:rsidP="00B46A95">
            <w:pPr>
              <w:jc w:val="center"/>
              <w:rPr>
                <w:rFonts w:ascii="Arial" w:eastAsia="Times New Roman" w:hAnsi="Arial" w:cs="Arial"/>
                <w:b/>
                <w:bCs/>
                <w:sz w:val="20"/>
                <w:szCs w:val="20"/>
              </w:rPr>
            </w:pPr>
            <w:r w:rsidRPr="00E55B63">
              <w:rPr>
                <w:rFonts w:ascii="Arial" w:eastAsia="Times New Roman" w:hAnsi="Arial" w:cs="Arial"/>
                <w:b/>
                <w:bCs/>
                <w:sz w:val="20"/>
                <w:szCs w:val="20"/>
              </w:rPr>
              <w:t>Ave Rank</w:t>
            </w:r>
          </w:p>
        </w:tc>
        <w:tc>
          <w:tcPr>
            <w:tcW w:w="0" w:type="auto"/>
            <w:tcBorders>
              <w:top w:val="single" w:sz="4" w:space="0" w:color="auto"/>
              <w:bottom w:val="single" w:sz="4" w:space="0" w:color="auto"/>
            </w:tcBorders>
            <w:hideMark/>
          </w:tcPr>
          <w:p w14:paraId="64A72C5B" w14:textId="77777777" w:rsidR="002D61C2" w:rsidRPr="00E55B63" w:rsidRDefault="002D61C2" w:rsidP="00B46A95">
            <w:pPr>
              <w:jc w:val="center"/>
              <w:rPr>
                <w:rFonts w:ascii="Arial" w:eastAsia="Times New Roman" w:hAnsi="Arial" w:cs="Arial"/>
                <w:b/>
                <w:bCs/>
                <w:sz w:val="20"/>
                <w:szCs w:val="20"/>
              </w:rPr>
            </w:pPr>
            <w:r w:rsidRPr="00E55B63">
              <w:rPr>
                <w:rFonts w:ascii="Arial" w:eastAsia="Times New Roman" w:hAnsi="Arial" w:cs="Arial"/>
                <w:b/>
                <w:bCs/>
                <w:sz w:val="20"/>
                <w:szCs w:val="20"/>
              </w:rPr>
              <w:t>Z</w:t>
            </w:r>
          </w:p>
        </w:tc>
      </w:tr>
      <w:tr w:rsidR="00E55B63" w:rsidRPr="00E55B63" w14:paraId="1906089E" w14:textId="77777777" w:rsidTr="004A7A3B">
        <w:trPr>
          <w:trHeight w:val="255"/>
        </w:trPr>
        <w:tc>
          <w:tcPr>
            <w:tcW w:w="0" w:type="auto"/>
            <w:tcBorders>
              <w:top w:val="single" w:sz="4" w:space="0" w:color="auto"/>
            </w:tcBorders>
            <w:hideMark/>
          </w:tcPr>
          <w:p w14:paraId="2D355037"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Bachelors</w:t>
            </w:r>
          </w:p>
        </w:tc>
        <w:tc>
          <w:tcPr>
            <w:tcW w:w="0" w:type="auto"/>
            <w:tcBorders>
              <w:top w:val="single" w:sz="4" w:space="0" w:color="auto"/>
            </w:tcBorders>
            <w:hideMark/>
          </w:tcPr>
          <w:p w14:paraId="71530C18"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43</w:t>
            </w:r>
          </w:p>
        </w:tc>
        <w:tc>
          <w:tcPr>
            <w:tcW w:w="0" w:type="auto"/>
            <w:tcBorders>
              <w:top w:val="single" w:sz="4" w:space="0" w:color="auto"/>
            </w:tcBorders>
            <w:hideMark/>
          </w:tcPr>
          <w:p w14:paraId="1A03E4D0"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4.000</w:t>
            </w:r>
          </w:p>
        </w:tc>
        <w:tc>
          <w:tcPr>
            <w:tcW w:w="0" w:type="auto"/>
            <w:tcBorders>
              <w:top w:val="single" w:sz="4" w:space="0" w:color="auto"/>
            </w:tcBorders>
            <w:hideMark/>
          </w:tcPr>
          <w:p w14:paraId="226DCF37"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62.2</w:t>
            </w:r>
          </w:p>
        </w:tc>
        <w:tc>
          <w:tcPr>
            <w:tcW w:w="0" w:type="auto"/>
            <w:tcBorders>
              <w:top w:val="single" w:sz="4" w:space="0" w:color="auto"/>
            </w:tcBorders>
            <w:hideMark/>
          </w:tcPr>
          <w:p w14:paraId="69B327AD"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0.16</w:t>
            </w:r>
          </w:p>
        </w:tc>
      </w:tr>
      <w:tr w:rsidR="00E55B63" w:rsidRPr="00E55B63" w14:paraId="3D9125A1" w14:textId="77777777" w:rsidTr="004A7A3B">
        <w:trPr>
          <w:trHeight w:val="244"/>
        </w:trPr>
        <w:tc>
          <w:tcPr>
            <w:tcW w:w="0" w:type="auto"/>
            <w:hideMark/>
          </w:tcPr>
          <w:p w14:paraId="1785570A"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Diploma</w:t>
            </w:r>
          </w:p>
        </w:tc>
        <w:tc>
          <w:tcPr>
            <w:tcW w:w="0" w:type="auto"/>
            <w:hideMark/>
          </w:tcPr>
          <w:p w14:paraId="7168D29A"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1</w:t>
            </w:r>
          </w:p>
        </w:tc>
        <w:tc>
          <w:tcPr>
            <w:tcW w:w="0" w:type="auto"/>
            <w:hideMark/>
          </w:tcPr>
          <w:p w14:paraId="5D645215"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5.000</w:t>
            </w:r>
          </w:p>
        </w:tc>
        <w:tc>
          <w:tcPr>
            <w:tcW w:w="0" w:type="auto"/>
            <w:hideMark/>
          </w:tcPr>
          <w:p w14:paraId="6CADDE72"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101.0</w:t>
            </w:r>
          </w:p>
        </w:tc>
        <w:tc>
          <w:tcPr>
            <w:tcW w:w="0" w:type="auto"/>
            <w:hideMark/>
          </w:tcPr>
          <w:p w14:paraId="653BAE0D"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1.12</w:t>
            </w:r>
          </w:p>
        </w:tc>
      </w:tr>
      <w:tr w:rsidR="00E55B63" w:rsidRPr="00E55B63" w14:paraId="17D090BF" w14:textId="77777777" w:rsidTr="004A7A3B">
        <w:trPr>
          <w:trHeight w:val="255"/>
        </w:trPr>
        <w:tc>
          <w:tcPr>
            <w:tcW w:w="0" w:type="auto"/>
            <w:hideMark/>
          </w:tcPr>
          <w:p w14:paraId="045D6377"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lastRenderedPageBreak/>
              <w:t>Masters</w:t>
            </w:r>
          </w:p>
        </w:tc>
        <w:tc>
          <w:tcPr>
            <w:tcW w:w="0" w:type="auto"/>
            <w:hideMark/>
          </w:tcPr>
          <w:p w14:paraId="0DBD74C5"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43</w:t>
            </w:r>
          </w:p>
        </w:tc>
        <w:tc>
          <w:tcPr>
            <w:tcW w:w="0" w:type="auto"/>
            <w:hideMark/>
          </w:tcPr>
          <w:p w14:paraId="3835674F"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4.000</w:t>
            </w:r>
          </w:p>
        </w:tc>
        <w:tc>
          <w:tcPr>
            <w:tcW w:w="0" w:type="auto"/>
            <w:hideMark/>
          </w:tcPr>
          <w:p w14:paraId="73C90EF3"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63.7</w:t>
            </w:r>
          </w:p>
        </w:tc>
        <w:tc>
          <w:tcPr>
            <w:tcW w:w="0" w:type="auto"/>
            <w:hideMark/>
          </w:tcPr>
          <w:p w14:paraId="034F6489"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0.51</w:t>
            </w:r>
          </w:p>
        </w:tc>
      </w:tr>
      <w:tr w:rsidR="00E55B63" w:rsidRPr="00E55B63" w14:paraId="23D07EC5" w14:textId="77777777" w:rsidTr="004A7A3B">
        <w:trPr>
          <w:trHeight w:val="255"/>
        </w:trPr>
        <w:tc>
          <w:tcPr>
            <w:tcW w:w="0" w:type="auto"/>
            <w:hideMark/>
          </w:tcPr>
          <w:p w14:paraId="374DB2FA"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PhD</w:t>
            </w:r>
          </w:p>
        </w:tc>
        <w:tc>
          <w:tcPr>
            <w:tcW w:w="0" w:type="auto"/>
            <w:hideMark/>
          </w:tcPr>
          <w:p w14:paraId="3AD7E528"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35</w:t>
            </w:r>
          </w:p>
        </w:tc>
        <w:tc>
          <w:tcPr>
            <w:tcW w:w="0" w:type="auto"/>
            <w:hideMark/>
          </w:tcPr>
          <w:p w14:paraId="077EFC30"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4.000</w:t>
            </w:r>
          </w:p>
        </w:tc>
        <w:tc>
          <w:tcPr>
            <w:tcW w:w="0" w:type="auto"/>
            <w:hideMark/>
          </w:tcPr>
          <w:p w14:paraId="2D9D69F2"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56.8</w:t>
            </w:r>
          </w:p>
        </w:tc>
        <w:tc>
          <w:tcPr>
            <w:tcW w:w="0" w:type="auto"/>
            <w:hideMark/>
          </w:tcPr>
          <w:p w14:paraId="0AF63EB6"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-0.93</w:t>
            </w:r>
          </w:p>
        </w:tc>
      </w:tr>
      <w:tr w:rsidR="00E55B63" w:rsidRPr="00E55B63" w14:paraId="32EEBC77" w14:textId="77777777" w:rsidTr="004A7A3B">
        <w:trPr>
          <w:trHeight w:val="255"/>
        </w:trPr>
        <w:tc>
          <w:tcPr>
            <w:tcW w:w="0" w:type="auto"/>
            <w:tcBorders>
              <w:bottom w:val="single" w:sz="4" w:space="0" w:color="auto"/>
            </w:tcBorders>
            <w:hideMark/>
          </w:tcPr>
          <w:p w14:paraId="109C1D51"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b/>
                <w:bCs/>
                <w:sz w:val="20"/>
                <w:szCs w:val="20"/>
              </w:rPr>
              <w:t>Overall</w:t>
            </w:r>
          </w:p>
        </w:tc>
        <w:tc>
          <w:tcPr>
            <w:tcW w:w="0" w:type="auto"/>
            <w:tcBorders>
              <w:bottom w:val="single" w:sz="4" w:space="0" w:color="auto"/>
            </w:tcBorders>
            <w:hideMark/>
          </w:tcPr>
          <w:p w14:paraId="501D666B"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b/>
                <w:bCs/>
                <w:sz w:val="20"/>
                <w:szCs w:val="20"/>
              </w:rPr>
              <w:t>122</w:t>
            </w:r>
          </w:p>
        </w:tc>
        <w:tc>
          <w:tcPr>
            <w:tcW w:w="0" w:type="auto"/>
            <w:tcBorders>
              <w:bottom w:val="single" w:sz="4" w:space="0" w:color="auto"/>
            </w:tcBorders>
            <w:hideMark/>
          </w:tcPr>
          <w:p w14:paraId="12EF0757" w14:textId="77777777" w:rsidR="002D61C2" w:rsidRPr="00E55B63" w:rsidRDefault="002D61C2" w:rsidP="00B46A95">
            <w:pPr>
              <w:jc w:val="center"/>
              <w:rPr>
                <w:rFonts w:ascii="Arial" w:eastAsia="Times New Roman" w:hAnsi="Arial" w:cs="Arial"/>
                <w:sz w:val="20"/>
                <w:szCs w:val="20"/>
              </w:rPr>
            </w:pPr>
          </w:p>
        </w:tc>
        <w:tc>
          <w:tcPr>
            <w:tcW w:w="0" w:type="auto"/>
            <w:tcBorders>
              <w:bottom w:val="single" w:sz="4" w:space="0" w:color="auto"/>
            </w:tcBorders>
            <w:hideMark/>
          </w:tcPr>
          <w:p w14:paraId="76F960BB"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b/>
                <w:bCs/>
                <w:sz w:val="20"/>
                <w:szCs w:val="20"/>
              </w:rPr>
              <w:t>61.5</w:t>
            </w:r>
          </w:p>
        </w:tc>
        <w:tc>
          <w:tcPr>
            <w:tcW w:w="0" w:type="auto"/>
            <w:tcBorders>
              <w:bottom w:val="single" w:sz="4" w:space="0" w:color="auto"/>
            </w:tcBorders>
            <w:hideMark/>
          </w:tcPr>
          <w:p w14:paraId="5800D4C0" w14:textId="77777777" w:rsidR="002D61C2" w:rsidRPr="00E55B63" w:rsidRDefault="002D61C2" w:rsidP="00B46A95">
            <w:pPr>
              <w:jc w:val="center"/>
              <w:rPr>
                <w:rFonts w:ascii="Arial" w:eastAsia="Times New Roman" w:hAnsi="Arial" w:cs="Arial"/>
                <w:sz w:val="20"/>
                <w:szCs w:val="20"/>
              </w:rPr>
            </w:pPr>
          </w:p>
        </w:tc>
      </w:tr>
    </w:tbl>
    <w:p w14:paraId="0BC0FE98" w14:textId="77777777" w:rsidR="002D61C2" w:rsidRPr="00E55B63" w:rsidRDefault="002D61C2" w:rsidP="002D61C2">
      <w:pPr>
        <w:rPr>
          <w:rFonts w:ascii="Arial" w:hAnsi="Arial" w:cs="Arial"/>
          <w:i/>
          <w:szCs w:val="24"/>
        </w:rPr>
      </w:pPr>
      <w:r w:rsidRPr="00E55B63">
        <w:rPr>
          <w:rFonts w:ascii="Arial" w:hAnsi="Arial" w:cs="Arial"/>
          <w:i/>
          <w:szCs w:val="24"/>
        </w:rPr>
        <w:t>H = 2.05, DF = 3, P = 0.562</w:t>
      </w:r>
    </w:p>
    <w:p w14:paraId="05F3CD23" w14:textId="77777777" w:rsidR="002D61C2" w:rsidRPr="00E55B63" w:rsidRDefault="002D61C2" w:rsidP="002D61C2">
      <w:pPr>
        <w:rPr>
          <w:rFonts w:ascii="Arial" w:hAnsi="Arial" w:cs="Arial"/>
          <w:i/>
          <w:szCs w:val="24"/>
        </w:rPr>
      </w:pPr>
      <w:r w:rsidRPr="00E55B63">
        <w:rPr>
          <w:rFonts w:ascii="Arial" w:hAnsi="Arial" w:cs="Arial"/>
          <w:i/>
          <w:szCs w:val="24"/>
        </w:rPr>
        <w:t>H = 2.33, DF = 3, P = 0.507 (adjusted for ties)</w:t>
      </w:r>
    </w:p>
    <w:p w14:paraId="751168DD" w14:textId="77777777" w:rsidR="00524FBD" w:rsidRPr="00E55B63" w:rsidRDefault="00524FBD" w:rsidP="004460DC">
      <w:pPr>
        <w:pStyle w:val="Body"/>
        <w:spacing w:after="0"/>
        <w:rPr>
          <w:rFonts w:ascii="Arial" w:hAnsi="Arial" w:cs="Arial"/>
        </w:rPr>
      </w:pPr>
    </w:p>
    <w:p w14:paraId="37F0EC7C" w14:textId="77777777" w:rsidR="002D5D60" w:rsidRPr="00E55B63" w:rsidRDefault="002D5D60" w:rsidP="002D5D60">
      <w:pPr>
        <w:pStyle w:val="Body"/>
        <w:spacing w:after="0"/>
        <w:rPr>
          <w:rFonts w:ascii="Arial" w:hAnsi="Arial" w:cs="Arial"/>
        </w:rPr>
      </w:pPr>
      <w:r w:rsidRPr="00E55B63">
        <w:rPr>
          <w:rFonts w:ascii="Arial" w:hAnsi="Arial" w:cs="Arial"/>
        </w:rPr>
        <w:t>The interpretation of a diploma holder's high score should be approached with caution, given the small sample size (n=1). Without a defined variance, this outlier cannot be generalized, which highlights a methodological limitation. For other groups, the lack of significant differences suggests that formal education is not the primary driver of knowledge development.</w:t>
      </w:r>
    </w:p>
    <w:p w14:paraId="30AD10D0" w14:textId="77777777" w:rsidR="002D5D60" w:rsidRPr="00E55B63" w:rsidRDefault="002D5D60" w:rsidP="002D5D60">
      <w:pPr>
        <w:pStyle w:val="Body"/>
        <w:spacing w:after="0"/>
        <w:rPr>
          <w:rFonts w:ascii="Arial" w:hAnsi="Arial" w:cs="Arial"/>
        </w:rPr>
      </w:pPr>
    </w:p>
    <w:p w14:paraId="7A6AC524" w14:textId="33C12BCD" w:rsidR="002D5D60" w:rsidRPr="00E55B63" w:rsidRDefault="002D5D60" w:rsidP="002D5D60">
      <w:pPr>
        <w:pStyle w:val="Body"/>
        <w:spacing w:after="0"/>
        <w:rPr>
          <w:rFonts w:ascii="Arial" w:hAnsi="Arial" w:cs="Arial"/>
        </w:rPr>
      </w:pPr>
      <w:r w:rsidRPr="00E55B63">
        <w:rPr>
          <w:rFonts w:ascii="Arial" w:hAnsi="Arial" w:cs="Arial"/>
        </w:rPr>
        <w:t xml:space="preserve">While educational qualifications may shape a person's domain, they do not determine knowledge-creation practices. This demonstrates that expertise should be recognized beyond credentials and emphasizes the need for knowledge management systems that value both formal and informal knowledge. </w:t>
      </w:r>
      <w:r w:rsidR="00850D29" w:rsidRPr="00850D29">
        <w:rPr>
          <w:rFonts w:ascii="Arial" w:hAnsi="Arial" w:cs="Arial"/>
        </w:rPr>
        <w:t>Nonaka and Takeuchi (1995) claim that the SECI model shows that participation in the knowledge conversion process determines knowledge creation rather than formal credentials. Employees at all educational levels participate in socialization by sharing experiences with coworkers, externalization by recording processes and insights, combination by combining data from various sources, and internalization by putting newly acquired knowledge into practice. Because experiential learning and organizational participation can activate the SECI spiral regardless of formal educational attainment, this theoretical framework supports our empirical finding that holders of bachelor's, master's, and doctoral degrees exhibit comparable levels of knowledge generation.</w:t>
      </w:r>
    </w:p>
    <w:p w14:paraId="6D19DE27" w14:textId="77777777" w:rsidR="002D5D60" w:rsidRPr="00E55B63" w:rsidRDefault="002D5D60" w:rsidP="002D5D60">
      <w:pPr>
        <w:pStyle w:val="Body"/>
        <w:spacing w:after="0"/>
        <w:rPr>
          <w:rFonts w:ascii="Arial" w:hAnsi="Arial" w:cs="Arial"/>
        </w:rPr>
      </w:pPr>
    </w:p>
    <w:p w14:paraId="146C638D" w14:textId="77777777" w:rsidR="002D5D60" w:rsidRPr="00E55B63" w:rsidRDefault="002D5D60" w:rsidP="002D5D60">
      <w:pPr>
        <w:pStyle w:val="Body"/>
        <w:spacing w:after="0"/>
        <w:rPr>
          <w:rFonts w:ascii="Arial" w:hAnsi="Arial" w:cs="Arial"/>
        </w:rPr>
      </w:pPr>
      <w:r w:rsidRPr="00E55B63">
        <w:rPr>
          <w:rFonts w:ascii="Arial" w:hAnsi="Arial" w:cs="Arial"/>
        </w:rPr>
        <w:t>This finding challenges the idea that advanced degrees always result in greater knowledge creation. PhD holders possess more extensive research training; however, individuals with Bachelor's or Master's degrees frequently make significant contributions to applied knowledge, innovation, and practical problem-solving.</w:t>
      </w:r>
    </w:p>
    <w:p w14:paraId="1D33C28F" w14:textId="77777777" w:rsidR="002D5D60" w:rsidRPr="00E55B63" w:rsidRDefault="002D5D60" w:rsidP="002D5D60">
      <w:pPr>
        <w:pStyle w:val="Body"/>
        <w:spacing w:after="0"/>
        <w:rPr>
          <w:rFonts w:ascii="Arial" w:hAnsi="Arial" w:cs="Arial"/>
        </w:rPr>
      </w:pPr>
    </w:p>
    <w:p w14:paraId="65BBB37A" w14:textId="77777777" w:rsidR="002D5D60" w:rsidRPr="00E55B63" w:rsidRDefault="002D5D60" w:rsidP="002D5D60">
      <w:pPr>
        <w:pStyle w:val="Body"/>
        <w:spacing w:after="0"/>
        <w:rPr>
          <w:rFonts w:ascii="Arial" w:hAnsi="Arial" w:cs="Arial"/>
        </w:rPr>
      </w:pPr>
      <w:r w:rsidRPr="00E55B63">
        <w:rPr>
          <w:rFonts w:ascii="Arial" w:hAnsi="Arial" w:cs="Arial"/>
        </w:rPr>
        <w:t>Jones-Esan (2023) highlighted that KM in HEIs encompasses various types of knowledge, including pedagogical innovation, administrative efficiency, student-support strategies, and community engagement. In these areas, experience, innovation, and organizational loyalty may be prioritized over formal educational qualifications. To help readers visualize specific KM characteristics, we assume the following areas are practice-based design components: micro-repositories with pedagogical tips, workflow automation tools to simplify processes, virtual advisory platforms to provide individual guidance, and online collaboration platforms to implement community projects. The identification of these areas helps institutions develop systems that embrace diverse knowledge practices and foster a more inclusive recognition of expertise.</w:t>
      </w:r>
    </w:p>
    <w:p w14:paraId="6CE12CC1" w14:textId="77777777" w:rsidR="002D5D60" w:rsidRPr="00E55B63" w:rsidRDefault="002D5D60" w:rsidP="002D5D60">
      <w:pPr>
        <w:pStyle w:val="Body"/>
        <w:spacing w:after="0"/>
        <w:rPr>
          <w:rFonts w:ascii="Arial" w:hAnsi="Arial" w:cs="Arial"/>
        </w:rPr>
      </w:pPr>
    </w:p>
    <w:p w14:paraId="157ED55D" w14:textId="77777777" w:rsidR="00245B79" w:rsidRPr="00E55B63" w:rsidRDefault="002D5D60" w:rsidP="002D5D60">
      <w:pPr>
        <w:pStyle w:val="Body"/>
        <w:spacing w:after="0"/>
        <w:rPr>
          <w:rFonts w:ascii="Arial" w:hAnsi="Arial" w:cs="Arial"/>
        </w:rPr>
      </w:pPr>
      <w:r w:rsidRPr="00E55B63">
        <w:rPr>
          <w:rFonts w:ascii="Arial" w:hAnsi="Arial" w:cs="Arial"/>
        </w:rPr>
        <w:t>The results support knowledge systems that value diverse expertise, not just credentials. Paudel (2023) argues that effective organizations value both theoretical knowledge gained from higher education and practical wisdom acquired through experience. Interdisciplinary and cross-functional platforms enable institutions to leverage the full range of employee expertise, regardless of educational background. For example, an institution could establish a monthly interdisciplinary clinic where employees from different departments share insights, strategies, and lessons learned. This initiative promotes collaboration, fosters a learning culture, and maximizes employee potential.</w:t>
      </w:r>
    </w:p>
    <w:p w14:paraId="3DCBFDF8" w14:textId="77777777" w:rsidR="00790ADA" w:rsidRPr="00E55B63" w:rsidRDefault="00790ADA" w:rsidP="00441B6F">
      <w:pPr>
        <w:pStyle w:val="Body"/>
        <w:spacing w:after="0"/>
        <w:rPr>
          <w:rFonts w:ascii="Arial" w:hAnsi="Arial" w:cs="Arial"/>
        </w:rPr>
      </w:pPr>
    </w:p>
    <w:p w14:paraId="55DADAE0" w14:textId="77777777" w:rsidR="00A84CDB" w:rsidRPr="00E55B63" w:rsidRDefault="00A84CDB" w:rsidP="00A84CDB">
      <w:pPr>
        <w:pStyle w:val="Body"/>
        <w:spacing w:after="0"/>
        <w:rPr>
          <w:rFonts w:ascii="Arial" w:hAnsi="Arial" w:cs="Arial"/>
        </w:rPr>
      </w:pPr>
      <w:r w:rsidRPr="00E55B63">
        <w:rPr>
          <w:rFonts w:ascii="Arial" w:hAnsi="Arial" w:cs="Arial"/>
          <w:b/>
          <w:u w:val="single"/>
        </w:rPr>
        <w:t>3.2.</w:t>
      </w:r>
      <w:r w:rsidR="00525019" w:rsidRPr="00E55B63">
        <w:rPr>
          <w:rFonts w:ascii="Arial" w:hAnsi="Arial" w:cs="Arial"/>
          <w:b/>
          <w:u w:val="single"/>
        </w:rPr>
        <w:t>5</w:t>
      </w:r>
      <w:r w:rsidRPr="00E55B63">
        <w:rPr>
          <w:rFonts w:ascii="Arial" w:hAnsi="Arial" w:cs="Arial"/>
          <w:b/>
          <w:u w:val="single"/>
        </w:rPr>
        <w:t xml:space="preserve"> Knowledge Generation Across </w:t>
      </w:r>
      <w:r w:rsidR="00D92F12" w:rsidRPr="00E55B63">
        <w:rPr>
          <w:rFonts w:ascii="Arial" w:hAnsi="Arial" w:cs="Arial"/>
          <w:b/>
          <w:u w:val="single"/>
        </w:rPr>
        <w:t>Years of Experience</w:t>
      </w:r>
      <w:r w:rsidRPr="00E55B63">
        <w:rPr>
          <w:rFonts w:ascii="Arial" w:hAnsi="Arial" w:cs="Arial"/>
        </w:rPr>
        <w:t xml:space="preserve"> </w:t>
      </w:r>
    </w:p>
    <w:p w14:paraId="480B9DAA" w14:textId="77777777" w:rsidR="00A84CDB" w:rsidRPr="00E55B63" w:rsidRDefault="00A84CDB" w:rsidP="00A84CDB">
      <w:pPr>
        <w:pStyle w:val="Body"/>
        <w:spacing w:after="0"/>
        <w:rPr>
          <w:rFonts w:ascii="Arial" w:hAnsi="Arial" w:cs="Arial"/>
        </w:rPr>
      </w:pPr>
    </w:p>
    <w:p w14:paraId="00AC57E1" w14:textId="77777777" w:rsidR="005764E0" w:rsidRPr="00E55B63" w:rsidRDefault="005764E0" w:rsidP="005764E0">
      <w:pPr>
        <w:pStyle w:val="Body"/>
        <w:spacing w:after="0"/>
        <w:rPr>
          <w:rFonts w:ascii="Arial" w:hAnsi="Arial" w:cs="Arial"/>
        </w:rPr>
      </w:pPr>
      <w:r w:rsidRPr="00E55B63">
        <w:rPr>
          <w:rFonts w:ascii="Arial" w:hAnsi="Arial" w:cs="Arial"/>
        </w:rPr>
        <w:lastRenderedPageBreak/>
        <w:t xml:space="preserve">Significant differences were found in the Kruskal-Wallis test assessing knowledge generation among various work experience groups (H = 12.40, DF = 4, P = .015 after adjusting for ties). The only demographic component that had a major impact on knowledge-generation processes was this one. </w:t>
      </w:r>
    </w:p>
    <w:p w14:paraId="6EB41366" w14:textId="77777777" w:rsidR="005764E0" w:rsidRPr="00E55B63" w:rsidRDefault="005764E0" w:rsidP="005764E0">
      <w:pPr>
        <w:pStyle w:val="Body"/>
        <w:spacing w:after="0"/>
        <w:rPr>
          <w:rFonts w:ascii="Arial" w:hAnsi="Arial" w:cs="Arial"/>
        </w:rPr>
      </w:pPr>
    </w:p>
    <w:p w14:paraId="0D5926E5" w14:textId="77777777" w:rsidR="005764E0" w:rsidRPr="00E55B63" w:rsidRDefault="005764E0" w:rsidP="005764E0">
      <w:pPr>
        <w:pStyle w:val="Body"/>
        <w:spacing w:after="0"/>
        <w:rPr>
          <w:rFonts w:ascii="Arial" w:hAnsi="Arial" w:cs="Arial"/>
        </w:rPr>
      </w:pPr>
      <w:r w:rsidRPr="00E55B63">
        <w:rPr>
          <w:rFonts w:ascii="Arial" w:hAnsi="Arial" w:cs="Arial"/>
        </w:rPr>
        <w:t xml:space="preserve">With a median score of 5.000, an average rank of 76.0, and a Z-score of 2.47, personnel with 6 to 10 years of experience demonstrated the highest level of engagement in knowledge generation. Employees with three to five years of experience came next, with a median score of 4.750, an average rank of 72.8, and a Z-score of 1.37. </w:t>
      </w:r>
    </w:p>
    <w:p w14:paraId="3035E15B" w14:textId="77777777" w:rsidR="005764E0" w:rsidRPr="00E55B63" w:rsidRDefault="005764E0" w:rsidP="005764E0">
      <w:pPr>
        <w:pStyle w:val="Body"/>
        <w:spacing w:after="0"/>
        <w:rPr>
          <w:rFonts w:ascii="Arial" w:hAnsi="Arial" w:cs="Arial"/>
        </w:rPr>
      </w:pPr>
    </w:p>
    <w:p w14:paraId="1E132273" w14:textId="77777777" w:rsidR="005764E0" w:rsidRPr="00E55B63" w:rsidRDefault="005764E0" w:rsidP="005764E0">
      <w:pPr>
        <w:pStyle w:val="Body"/>
        <w:spacing w:after="0"/>
        <w:rPr>
          <w:rFonts w:ascii="Arial" w:hAnsi="Arial" w:cs="Arial"/>
        </w:rPr>
      </w:pPr>
      <w:r w:rsidRPr="00E55B63">
        <w:rPr>
          <w:rFonts w:ascii="Arial" w:hAnsi="Arial" w:cs="Arial"/>
        </w:rPr>
        <w:t xml:space="preserve">Individuals in the middle experience groups showed moderate engagement levels: those with 11 to 20 years of experience had a median score of 4.000, an average rank of 56.8, and a Z-score of -0.94, while those with 21 to 30 years of experience also had a median score of 4.000, an average rank of 54.0, and a Z-score of -1.40. </w:t>
      </w:r>
    </w:p>
    <w:p w14:paraId="5F1D46B4" w14:textId="77777777" w:rsidR="005764E0" w:rsidRPr="00E55B63" w:rsidRDefault="005764E0" w:rsidP="005764E0">
      <w:pPr>
        <w:pStyle w:val="Body"/>
        <w:spacing w:after="0"/>
        <w:rPr>
          <w:rFonts w:ascii="Arial" w:hAnsi="Arial" w:cs="Arial"/>
        </w:rPr>
      </w:pPr>
    </w:p>
    <w:p w14:paraId="012E58B0" w14:textId="77777777" w:rsidR="00B925A1" w:rsidRPr="00E55B63" w:rsidRDefault="005764E0" w:rsidP="005764E0">
      <w:pPr>
        <w:pStyle w:val="Body"/>
        <w:spacing w:after="0"/>
        <w:rPr>
          <w:rFonts w:ascii="Arial" w:hAnsi="Arial" w:cs="Arial"/>
        </w:rPr>
      </w:pPr>
      <w:r w:rsidRPr="00E55B63">
        <w:rPr>
          <w:rFonts w:ascii="Arial" w:hAnsi="Arial" w:cs="Arial"/>
        </w:rPr>
        <w:t>The most senior group, consisting of individuals aged 30 and over, scored the lowest with a median score of 4.000, an average rank of 43.8, and a Z-score of -1.66.</w:t>
      </w:r>
    </w:p>
    <w:p w14:paraId="6A0CFDA0" w14:textId="77777777" w:rsidR="00B925A1" w:rsidRPr="00E55B63" w:rsidRDefault="00B925A1" w:rsidP="00B925A1">
      <w:pPr>
        <w:pStyle w:val="Body"/>
        <w:spacing w:after="0"/>
        <w:rPr>
          <w:rFonts w:ascii="Arial" w:hAnsi="Arial" w:cs="Arial"/>
        </w:rPr>
      </w:pPr>
    </w:p>
    <w:p w14:paraId="0F6ACAFB" w14:textId="77777777" w:rsidR="00B925A1" w:rsidRPr="00E55B63" w:rsidRDefault="00D92F12" w:rsidP="00B925A1">
      <w:pPr>
        <w:pStyle w:val="Body"/>
        <w:spacing w:after="0"/>
        <w:rPr>
          <w:rFonts w:ascii="Arial" w:hAnsi="Arial" w:cs="Arial"/>
        </w:rPr>
      </w:pPr>
      <w:r w:rsidRPr="00E55B63">
        <w:rPr>
          <w:rFonts w:ascii="Arial" w:hAnsi="Arial" w:cs="Arial"/>
          <w:b/>
        </w:rPr>
        <w:t xml:space="preserve">Table 5. Knowledge Generation among Teaching and Non-Teaching in Terms of </w:t>
      </w:r>
      <w:r w:rsidR="0063492E" w:rsidRPr="00E55B63">
        <w:rPr>
          <w:rFonts w:ascii="Arial" w:hAnsi="Arial" w:cs="Arial"/>
          <w:b/>
        </w:rPr>
        <w:t>Years of Experience</w:t>
      </w:r>
    </w:p>
    <w:tbl>
      <w:tblPr>
        <w:tblW w:w="8352"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3168"/>
        <w:gridCol w:w="1152"/>
        <w:gridCol w:w="1440"/>
        <w:gridCol w:w="1440"/>
        <w:gridCol w:w="1152"/>
      </w:tblGrid>
      <w:tr w:rsidR="00E55B63" w:rsidRPr="00E55B63" w14:paraId="146185F0" w14:textId="77777777" w:rsidTr="004A7A3B">
        <w:trPr>
          <w:trHeight w:val="230"/>
          <w:tblCellSpacing w:w="15" w:type="dxa"/>
          <w:jc w:val="center"/>
        </w:trPr>
        <w:tc>
          <w:tcPr>
            <w:tcW w:w="3123" w:type="dxa"/>
            <w:tcBorders>
              <w:top w:val="single" w:sz="4" w:space="0" w:color="auto"/>
              <w:bottom w:val="single" w:sz="4" w:space="0" w:color="auto"/>
            </w:tcBorders>
            <w:vAlign w:val="center"/>
            <w:hideMark/>
          </w:tcPr>
          <w:p w14:paraId="0EF9B4B0" w14:textId="77777777" w:rsidR="00D564AC" w:rsidRPr="00E55B63" w:rsidRDefault="00D564AC" w:rsidP="00C41F60">
            <w:pPr>
              <w:jc w:val="both"/>
              <w:rPr>
                <w:rFonts w:ascii="Arial" w:hAnsi="Arial" w:cs="Arial"/>
                <w:b/>
                <w:bCs/>
              </w:rPr>
            </w:pPr>
            <w:r w:rsidRPr="00E55B63">
              <w:rPr>
                <w:rFonts w:ascii="Arial" w:hAnsi="Arial" w:cs="Arial"/>
                <w:b/>
                <w:bCs/>
              </w:rPr>
              <w:t>Years of Experience</w:t>
            </w:r>
          </w:p>
        </w:tc>
        <w:tc>
          <w:tcPr>
            <w:tcW w:w="1122" w:type="dxa"/>
            <w:tcBorders>
              <w:top w:val="single" w:sz="4" w:space="0" w:color="auto"/>
              <w:bottom w:val="single" w:sz="4" w:space="0" w:color="auto"/>
            </w:tcBorders>
            <w:vAlign w:val="center"/>
            <w:hideMark/>
          </w:tcPr>
          <w:p w14:paraId="1C956B94" w14:textId="77777777" w:rsidR="00D564AC" w:rsidRPr="00E55B63" w:rsidRDefault="00D564AC" w:rsidP="00C41F60">
            <w:pPr>
              <w:jc w:val="center"/>
              <w:rPr>
                <w:rFonts w:ascii="Arial" w:hAnsi="Arial" w:cs="Arial"/>
                <w:b/>
                <w:bCs/>
              </w:rPr>
            </w:pPr>
            <w:r w:rsidRPr="00E55B63">
              <w:rPr>
                <w:rFonts w:ascii="Arial" w:hAnsi="Arial" w:cs="Arial"/>
                <w:b/>
                <w:bCs/>
              </w:rPr>
              <w:t>N</w:t>
            </w:r>
          </w:p>
        </w:tc>
        <w:tc>
          <w:tcPr>
            <w:tcW w:w="1410" w:type="dxa"/>
            <w:tcBorders>
              <w:top w:val="single" w:sz="4" w:space="0" w:color="auto"/>
              <w:bottom w:val="single" w:sz="4" w:space="0" w:color="auto"/>
            </w:tcBorders>
            <w:vAlign w:val="center"/>
            <w:hideMark/>
          </w:tcPr>
          <w:p w14:paraId="2B4CC39D" w14:textId="77777777" w:rsidR="00D564AC" w:rsidRPr="00E55B63" w:rsidRDefault="00D564AC" w:rsidP="00C41F60">
            <w:pPr>
              <w:jc w:val="center"/>
              <w:rPr>
                <w:rFonts w:ascii="Arial" w:hAnsi="Arial" w:cs="Arial"/>
                <w:b/>
                <w:bCs/>
              </w:rPr>
            </w:pPr>
            <w:r w:rsidRPr="00E55B63">
              <w:rPr>
                <w:rFonts w:ascii="Arial" w:hAnsi="Arial" w:cs="Arial"/>
                <w:b/>
                <w:bCs/>
              </w:rPr>
              <w:t>Median</w:t>
            </w:r>
          </w:p>
        </w:tc>
        <w:tc>
          <w:tcPr>
            <w:tcW w:w="1410" w:type="dxa"/>
            <w:tcBorders>
              <w:top w:val="single" w:sz="4" w:space="0" w:color="auto"/>
              <w:bottom w:val="single" w:sz="4" w:space="0" w:color="auto"/>
            </w:tcBorders>
            <w:vAlign w:val="center"/>
            <w:hideMark/>
          </w:tcPr>
          <w:p w14:paraId="3AF93660" w14:textId="77777777" w:rsidR="00D564AC" w:rsidRPr="00E55B63" w:rsidRDefault="00D564AC" w:rsidP="00C41F60">
            <w:pPr>
              <w:jc w:val="center"/>
              <w:rPr>
                <w:rFonts w:ascii="Arial" w:hAnsi="Arial" w:cs="Arial"/>
                <w:b/>
                <w:bCs/>
              </w:rPr>
            </w:pPr>
            <w:r w:rsidRPr="00E55B63">
              <w:rPr>
                <w:rFonts w:ascii="Arial" w:hAnsi="Arial" w:cs="Arial"/>
                <w:b/>
                <w:bCs/>
              </w:rPr>
              <w:t>Ave Rank</w:t>
            </w:r>
          </w:p>
        </w:tc>
        <w:tc>
          <w:tcPr>
            <w:tcW w:w="1107" w:type="dxa"/>
            <w:tcBorders>
              <w:top w:val="single" w:sz="4" w:space="0" w:color="auto"/>
              <w:bottom w:val="single" w:sz="4" w:space="0" w:color="auto"/>
            </w:tcBorders>
            <w:vAlign w:val="center"/>
            <w:hideMark/>
          </w:tcPr>
          <w:p w14:paraId="05A7E0A3" w14:textId="77777777" w:rsidR="00D564AC" w:rsidRPr="00E55B63" w:rsidRDefault="00D564AC" w:rsidP="00C41F60">
            <w:pPr>
              <w:jc w:val="center"/>
              <w:rPr>
                <w:rFonts w:ascii="Arial" w:hAnsi="Arial" w:cs="Arial"/>
                <w:b/>
                <w:bCs/>
              </w:rPr>
            </w:pPr>
            <w:r w:rsidRPr="00E55B63">
              <w:rPr>
                <w:rFonts w:ascii="Arial" w:hAnsi="Arial" w:cs="Arial"/>
                <w:b/>
                <w:bCs/>
              </w:rPr>
              <w:t>Z</w:t>
            </w:r>
          </w:p>
        </w:tc>
      </w:tr>
      <w:tr w:rsidR="00E55B63" w:rsidRPr="00E55B63" w14:paraId="631CAE6F" w14:textId="77777777" w:rsidTr="004A7A3B">
        <w:trPr>
          <w:trHeight w:val="230"/>
          <w:tblCellSpacing w:w="15" w:type="dxa"/>
          <w:jc w:val="center"/>
        </w:trPr>
        <w:tc>
          <w:tcPr>
            <w:tcW w:w="3123" w:type="dxa"/>
            <w:vAlign w:val="center"/>
            <w:hideMark/>
          </w:tcPr>
          <w:p w14:paraId="7C5C0EEB" w14:textId="77777777" w:rsidR="00D564AC" w:rsidRPr="00E55B63" w:rsidRDefault="00D564AC" w:rsidP="00C41F60">
            <w:pPr>
              <w:jc w:val="both"/>
              <w:rPr>
                <w:rFonts w:ascii="Arial" w:hAnsi="Arial" w:cs="Arial"/>
              </w:rPr>
            </w:pPr>
            <w:r w:rsidRPr="00E55B63">
              <w:rPr>
                <w:rFonts w:ascii="Arial" w:hAnsi="Arial" w:cs="Arial"/>
              </w:rPr>
              <w:t>11 to 20 years</w:t>
            </w:r>
          </w:p>
        </w:tc>
        <w:tc>
          <w:tcPr>
            <w:tcW w:w="1122" w:type="dxa"/>
            <w:vAlign w:val="center"/>
            <w:hideMark/>
          </w:tcPr>
          <w:p w14:paraId="72B53931" w14:textId="77777777" w:rsidR="00D564AC" w:rsidRPr="00E55B63" w:rsidRDefault="00D564AC" w:rsidP="00C41F60">
            <w:pPr>
              <w:jc w:val="center"/>
              <w:rPr>
                <w:rFonts w:ascii="Arial" w:hAnsi="Arial" w:cs="Arial"/>
              </w:rPr>
            </w:pPr>
            <w:r w:rsidRPr="00E55B63">
              <w:rPr>
                <w:rFonts w:ascii="Arial" w:hAnsi="Arial" w:cs="Arial"/>
              </w:rPr>
              <w:t>36</w:t>
            </w:r>
          </w:p>
        </w:tc>
        <w:tc>
          <w:tcPr>
            <w:tcW w:w="1410" w:type="dxa"/>
            <w:vAlign w:val="center"/>
            <w:hideMark/>
          </w:tcPr>
          <w:p w14:paraId="2D5FF554" w14:textId="77777777" w:rsidR="00D564AC" w:rsidRPr="00E55B63" w:rsidRDefault="00D564AC" w:rsidP="00C41F60">
            <w:pPr>
              <w:jc w:val="center"/>
              <w:rPr>
                <w:rFonts w:ascii="Arial" w:hAnsi="Arial" w:cs="Arial"/>
              </w:rPr>
            </w:pPr>
            <w:r w:rsidRPr="00E55B63">
              <w:rPr>
                <w:rFonts w:ascii="Arial" w:hAnsi="Arial" w:cs="Arial"/>
              </w:rPr>
              <w:t>4.000</w:t>
            </w:r>
          </w:p>
        </w:tc>
        <w:tc>
          <w:tcPr>
            <w:tcW w:w="1410" w:type="dxa"/>
            <w:vAlign w:val="center"/>
            <w:hideMark/>
          </w:tcPr>
          <w:p w14:paraId="555359FA" w14:textId="77777777" w:rsidR="00D564AC" w:rsidRPr="00E55B63" w:rsidRDefault="00D564AC" w:rsidP="00C41F60">
            <w:pPr>
              <w:jc w:val="center"/>
              <w:rPr>
                <w:rFonts w:ascii="Arial" w:hAnsi="Arial" w:cs="Arial"/>
              </w:rPr>
            </w:pPr>
            <w:r w:rsidRPr="00E55B63">
              <w:rPr>
                <w:rFonts w:ascii="Arial" w:hAnsi="Arial" w:cs="Arial"/>
              </w:rPr>
              <w:t>56.8</w:t>
            </w:r>
          </w:p>
        </w:tc>
        <w:tc>
          <w:tcPr>
            <w:tcW w:w="1107" w:type="dxa"/>
            <w:vAlign w:val="center"/>
            <w:hideMark/>
          </w:tcPr>
          <w:p w14:paraId="79AFAA14" w14:textId="77777777" w:rsidR="00D564AC" w:rsidRPr="00E55B63" w:rsidRDefault="00D564AC" w:rsidP="00C41F60">
            <w:pPr>
              <w:jc w:val="center"/>
              <w:rPr>
                <w:rFonts w:ascii="Arial" w:hAnsi="Arial" w:cs="Arial"/>
              </w:rPr>
            </w:pPr>
            <w:r w:rsidRPr="00E55B63">
              <w:rPr>
                <w:rFonts w:ascii="Arial" w:hAnsi="Arial" w:cs="Arial"/>
              </w:rPr>
              <w:t>-0.94</w:t>
            </w:r>
          </w:p>
        </w:tc>
      </w:tr>
      <w:tr w:rsidR="00E55B63" w:rsidRPr="00E55B63" w14:paraId="0400C862" w14:textId="77777777" w:rsidTr="004A7A3B">
        <w:trPr>
          <w:trHeight w:val="230"/>
          <w:tblCellSpacing w:w="15" w:type="dxa"/>
          <w:jc w:val="center"/>
        </w:trPr>
        <w:tc>
          <w:tcPr>
            <w:tcW w:w="3123" w:type="dxa"/>
            <w:vAlign w:val="center"/>
            <w:hideMark/>
          </w:tcPr>
          <w:p w14:paraId="5E5CCB30" w14:textId="77777777" w:rsidR="00D564AC" w:rsidRPr="00E55B63" w:rsidRDefault="00D564AC" w:rsidP="00C41F60">
            <w:pPr>
              <w:jc w:val="both"/>
              <w:rPr>
                <w:rFonts w:ascii="Arial" w:hAnsi="Arial" w:cs="Arial"/>
              </w:rPr>
            </w:pPr>
            <w:r w:rsidRPr="00E55B63">
              <w:rPr>
                <w:rFonts w:ascii="Arial" w:hAnsi="Arial" w:cs="Arial"/>
              </w:rPr>
              <w:t>21 to 30 years</w:t>
            </w:r>
          </w:p>
        </w:tc>
        <w:tc>
          <w:tcPr>
            <w:tcW w:w="1122" w:type="dxa"/>
            <w:vAlign w:val="center"/>
            <w:hideMark/>
          </w:tcPr>
          <w:p w14:paraId="28EBDBBD" w14:textId="77777777" w:rsidR="00D564AC" w:rsidRPr="00E55B63" w:rsidRDefault="00D564AC" w:rsidP="00C41F60">
            <w:pPr>
              <w:jc w:val="center"/>
              <w:rPr>
                <w:rFonts w:ascii="Arial" w:hAnsi="Arial" w:cs="Arial"/>
              </w:rPr>
            </w:pPr>
            <w:r w:rsidRPr="00E55B63">
              <w:rPr>
                <w:rFonts w:ascii="Arial" w:hAnsi="Arial" w:cs="Arial"/>
              </w:rPr>
              <w:t>32</w:t>
            </w:r>
          </w:p>
        </w:tc>
        <w:tc>
          <w:tcPr>
            <w:tcW w:w="1410" w:type="dxa"/>
            <w:vAlign w:val="center"/>
            <w:hideMark/>
          </w:tcPr>
          <w:p w14:paraId="7B599954" w14:textId="77777777" w:rsidR="00D564AC" w:rsidRPr="00E55B63" w:rsidRDefault="00D564AC" w:rsidP="00C41F60">
            <w:pPr>
              <w:jc w:val="center"/>
              <w:rPr>
                <w:rFonts w:ascii="Arial" w:hAnsi="Arial" w:cs="Arial"/>
              </w:rPr>
            </w:pPr>
            <w:r w:rsidRPr="00E55B63">
              <w:rPr>
                <w:rFonts w:ascii="Arial" w:hAnsi="Arial" w:cs="Arial"/>
              </w:rPr>
              <w:t>4.000</w:t>
            </w:r>
          </w:p>
        </w:tc>
        <w:tc>
          <w:tcPr>
            <w:tcW w:w="1410" w:type="dxa"/>
            <w:vAlign w:val="center"/>
            <w:hideMark/>
          </w:tcPr>
          <w:p w14:paraId="375C2A25" w14:textId="77777777" w:rsidR="00D564AC" w:rsidRPr="00E55B63" w:rsidRDefault="00D564AC" w:rsidP="00C41F60">
            <w:pPr>
              <w:jc w:val="center"/>
              <w:rPr>
                <w:rFonts w:ascii="Arial" w:hAnsi="Arial" w:cs="Arial"/>
              </w:rPr>
            </w:pPr>
            <w:r w:rsidRPr="00E55B63">
              <w:rPr>
                <w:rFonts w:ascii="Arial" w:hAnsi="Arial" w:cs="Arial"/>
              </w:rPr>
              <w:t>54.0</w:t>
            </w:r>
          </w:p>
        </w:tc>
        <w:tc>
          <w:tcPr>
            <w:tcW w:w="1107" w:type="dxa"/>
            <w:vAlign w:val="center"/>
            <w:hideMark/>
          </w:tcPr>
          <w:p w14:paraId="65C9A661" w14:textId="77777777" w:rsidR="00D564AC" w:rsidRPr="00E55B63" w:rsidRDefault="00D564AC" w:rsidP="00C41F60">
            <w:pPr>
              <w:jc w:val="center"/>
              <w:rPr>
                <w:rFonts w:ascii="Arial" w:hAnsi="Arial" w:cs="Arial"/>
              </w:rPr>
            </w:pPr>
            <w:r w:rsidRPr="00E55B63">
              <w:rPr>
                <w:rFonts w:ascii="Arial" w:hAnsi="Arial" w:cs="Arial"/>
              </w:rPr>
              <w:t>-1.40</w:t>
            </w:r>
          </w:p>
        </w:tc>
      </w:tr>
      <w:tr w:rsidR="00E55B63" w:rsidRPr="00E55B63" w14:paraId="03A46D21" w14:textId="77777777" w:rsidTr="004A7A3B">
        <w:trPr>
          <w:trHeight w:val="230"/>
          <w:tblCellSpacing w:w="15" w:type="dxa"/>
          <w:jc w:val="center"/>
        </w:trPr>
        <w:tc>
          <w:tcPr>
            <w:tcW w:w="3123" w:type="dxa"/>
            <w:vAlign w:val="center"/>
            <w:hideMark/>
          </w:tcPr>
          <w:p w14:paraId="2D1415B8" w14:textId="77777777" w:rsidR="00D564AC" w:rsidRPr="00E55B63" w:rsidRDefault="00D564AC" w:rsidP="00C41F60">
            <w:pPr>
              <w:jc w:val="both"/>
              <w:rPr>
                <w:rFonts w:ascii="Arial" w:hAnsi="Arial" w:cs="Arial"/>
              </w:rPr>
            </w:pPr>
            <w:r w:rsidRPr="00E55B63">
              <w:rPr>
                <w:rFonts w:ascii="Arial" w:hAnsi="Arial" w:cs="Arial"/>
              </w:rPr>
              <w:t>3 to 5 years</w:t>
            </w:r>
          </w:p>
        </w:tc>
        <w:tc>
          <w:tcPr>
            <w:tcW w:w="1122" w:type="dxa"/>
            <w:vAlign w:val="center"/>
            <w:hideMark/>
          </w:tcPr>
          <w:p w14:paraId="7691FD92" w14:textId="77777777" w:rsidR="00D564AC" w:rsidRPr="00E55B63" w:rsidRDefault="00D564AC" w:rsidP="00C41F60">
            <w:pPr>
              <w:jc w:val="center"/>
              <w:rPr>
                <w:rFonts w:ascii="Arial" w:hAnsi="Arial" w:cs="Arial"/>
              </w:rPr>
            </w:pPr>
            <w:r w:rsidRPr="00E55B63">
              <w:rPr>
                <w:rFonts w:ascii="Arial" w:hAnsi="Arial" w:cs="Arial"/>
              </w:rPr>
              <w:t>16</w:t>
            </w:r>
          </w:p>
        </w:tc>
        <w:tc>
          <w:tcPr>
            <w:tcW w:w="1410" w:type="dxa"/>
            <w:vAlign w:val="center"/>
            <w:hideMark/>
          </w:tcPr>
          <w:p w14:paraId="59B9C00D" w14:textId="77777777" w:rsidR="00D564AC" w:rsidRPr="00E55B63" w:rsidRDefault="00D564AC" w:rsidP="00C41F60">
            <w:pPr>
              <w:jc w:val="center"/>
              <w:rPr>
                <w:rFonts w:ascii="Arial" w:hAnsi="Arial" w:cs="Arial"/>
              </w:rPr>
            </w:pPr>
            <w:r w:rsidRPr="00E55B63">
              <w:rPr>
                <w:rFonts w:ascii="Arial" w:hAnsi="Arial" w:cs="Arial"/>
              </w:rPr>
              <w:t>4.750</w:t>
            </w:r>
          </w:p>
        </w:tc>
        <w:tc>
          <w:tcPr>
            <w:tcW w:w="1410" w:type="dxa"/>
            <w:vAlign w:val="center"/>
            <w:hideMark/>
          </w:tcPr>
          <w:p w14:paraId="46098FDC" w14:textId="77777777" w:rsidR="00D564AC" w:rsidRPr="00E55B63" w:rsidRDefault="00D564AC" w:rsidP="00C41F60">
            <w:pPr>
              <w:jc w:val="center"/>
              <w:rPr>
                <w:rFonts w:ascii="Arial" w:hAnsi="Arial" w:cs="Arial"/>
              </w:rPr>
            </w:pPr>
            <w:r w:rsidRPr="00E55B63">
              <w:rPr>
                <w:rFonts w:ascii="Arial" w:hAnsi="Arial" w:cs="Arial"/>
              </w:rPr>
              <w:t>72.8</w:t>
            </w:r>
          </w:p>
        </w:tc>
        <w:tc>
          <w:tcPr>
            <w:tcW w:w="1107" w:type="dxa"/>
            <w:vAlign w:val="center"/>
            <w:hideMark/>
          </w:tcPr>
          <w:p w14:paraId="77E0BC4A" w14:textId="77777777" w:rsidR="00D564AC" w:rsidRPr="00E55B63" w:rsidRDefault="00D564AC" w:rsidP="00C41F60">
            <w:pPr>
              <w:jc w:val="center"/>
              <w:rPr>
                <w:rFonts w:ascii="Arial" w:hAnsi="Arial" w:cs="Arial"/>
              </w:rPr>
            </w:pPr>
            <w:r w:rsidRPr="00E55B63">
              <w:rPr>
                <w:rFonts w:ascii="Arial" w:hAnsi="Arial" w:cs="Arial"/>
              </w:rPr>
              <w:t>1.37</w:t>
            </w:r>
          </w:p>
        </w:tc>
      </w:tr>
      <w:tr w:rsidR="00E55B63" w:rsidRPr="00E55B63" w14:paraId="4F136CFF" w14:textId="77777777" w:rsidTr="004A7A3B">
        <w:trPr>
          <w:trHeight w:val="230"/>
          <w:tblCellSpacing w:w="15" w:type="dxa"/>
          <w:jc w:val="center"/>
        </w:trPr>
        <w:tc>
          <w:tcPr>
            <w:tcW w:w="3123" w:type="dxa"/>
            <w:vAlign w:val="center"/>
            <w:hideMark/>
          </w:tcPr>
          <w:p w14:paraId="55FB4369" w14:textId="77777777" w:rsidR="00D564AC" w:rsidRPr="00E55B63" w:rsidRDefault="00D564AC" w:rsidP="00C41F60">
            <w:pPr>
              <w:jc w:val="both"/>
              <w:rPr>
                <w:rFonts w:ascii="Arial" w:hAnsi="Arial" w:cs="Arial"/>
              </w:rPr>
            </w:pPr>
            <w:r w:rsidRPr="00E55B63">
              <w:rPr>
                <w:rFonts w:ascii="Arial" w:hAnsi="Arial" w:cs="Arial"/>
              </w:rPr>
              <w:t>6 to 10 years</w:t>
            </w:r>
          </w:p>
        </w:tc>
        <w:tc>
          <w:tcPr>
            <w:tcW w:w="1122" w:type="dxa"/>
            <w:vAlign w:val="center"/>
            <w:hideMark/>
          </w:tcPr>
          <w:p w14:paraId="2355E45E" w14:textId="77777777" w:rsidR="00D564AC" w:rsidRPr="00E55B63" w:rsidRDefault="00D564AC" w:rsidP="00C41F60">
            <w:pPr>
              <w:jc w:val="center"/>
              <w:rPr>
                <w:rFonts w:ascii="Arial" w:hAnsi="Arial" w:cs="Arial"/>
              </w:rPr>
            </w:pPr>
            <w:r w:rsidRPr="00E55B63">
              <w:rPr>
                <w:rFonts w:ascii="Arial" w:hAnsi="Arial" w:cs="Arial"/>
              </w:rPr>
              <w:t>28</w:t>
            </w:r>
          </w:p>
        </w:tc>
        <w:tc>
          <w:tcPr>
            <w:tcW w:w="1410" w:type="dxa"/>
            <w:vAlign w:val="center"/>
            <w:hideMark/>
          </w:tcPr>
          <w:p w14:paraId="3126C018" w14:textId="77777777" w:rsidR="00D564AC" w:rsidRPr="00E55B63" w:rsidRDefault="00D564AC" w:rsidP="00C41F60">
            <w:pPr>
              <w:jc w:val="center"/>
              <w:rPr>
                <w:rFonts w:ascii="Arial" w:hAnsi="Arial" w:cs="Arial"/>
              </w:rPr>
            </w:pPr>
            <w:r w:rsidRPr="00E55B63">
              <w:rPr>
                <w:rFonts w:ascii="Arial" w:hAnsi="Arial" w:cs="Arial"/>
              </w:rPr>
              <w:t>5.000</w:t>
            </w:r>
          </w:p>
        </w:tc>
        <w:tc>
          <w:tcPr>
            <w:tcW w:w="1410" w:type="dxa"/>
            <w:vAlign w:val="center"/>
            <w:hideMark/>
          </w:tcPr>
          <w:p w14:paraId="36A4194F" w14:textId="77777777" w:rsidR="00D564AC" w:rsidRPr="00E55B63" w:rsidRDefault="00D564AC" w:rsidP="00C41F60">
            <w:pPr>
              <w:jc w:val="center"/>
              <w:rPr>
                <w:rFonts w:ascii="Arial" w:hAnsi="Arial" w:cs="Arial"/>
              </w:rPr>
            </w:pPr>
            <w:r w:rsidRPr="00E55B63">
              <w:rPr>
                <w:rFonts w:ascii="Arial" w:hAnsi="Arial" w:cs="Arial"/>
              </w:rPr>
              <w:t>76.0</w:t>
            </w:r>
          </w:p>
        </w:tc>
        <w:tc>
          <w:tcPr>
            <w:tcW w:w="1107" w:type="dxa"/>
            <w:vAlign w:val="center"/>
            <w:hideMark/>
          </w:tcPr>
          <w:p w14:paraId="506BB534" w14:textId="77777777" w:rsidR="00D564AC" w:rsidRPr="00E55B63" w:rsidRDefault="00D564AC" w:rsidP="00C41F60">
            <w:pPr>
              <w:jc w:val="center"/>
              <w:rPr>
                <w:rFonts w:ascii="Arial" w:hAnsi="Arial" w:cs="Arial"/>
              </w:rPr>
            </w:pPr>
            <w:r w:rsidRPr="00E55B63">
              <w:rPr>
                <w:rFonts w:ascii="Arial" w:hAnsi="Arial" w:cs="Arial"/>
              </w:rPr>
              <w:t>2.47</w:t>
            </w:r>
          </w:p>
        </w:tc>
      </w:tr>
      <w:tr w:rsidR="00E55B63" w:rsidRPr="00E55B63" w14:paraId="2863B67E" w14:textId="77777777" w:rsidTr="004A7A3B">
        <w:trPr>
          <w:trHeight w:val="230"/>
          <w:tblCellSpacing w:w="15" w:type="dxa"/>
          <w:jc w:val="center"/>
        </w:trPr>
        <w:tc>
          <w:tcPr>
            <w:tcW w:w="3123" w:type="dxa"/>
            <w:vAlign w:val="center"/>
            <w:hideMark/>
          </w:tcPr>
          <w:p w14:paraId="37495C10" w14:textId="77777777" w:rsidR="00D564AC" w:rsidRPr="00E55B63" w:rsidRDefault="00D564AC" w:rsidP="00C41F60">
            <w:pPr>
              <w:jc w:val="both"/>
              <w:rPr>
                <w:rFonts w:ascii="Arial" w:hAnsi="Arial" w:cs="Arial"/>
              </w:rPr>
            </w:pPr>
            <w:r w:rsidRPr="00E55B63">
              <w:rPr>
                <w:rFonts w:ascii="Arial" w:hAnsi="Arial" w:cs="Arial"/>
              </w:rPr>
              <w:t>Above 30 years</w:t>
            </w:r>
          </w:p>
        </w:tc>
        <w:tc>
          <w:tcPr>
            <w:tcW w:w="1122" w:type="dxa"/>
            <w:vAlign w:val="center"/>
            <w:hideMark/>
          </w:tcPr>
          <w:p w14:paraId="145D9B18" w14:textId="77777777" w:rsidR="00D564AC" w:rsidRPr="00E55B63" w:rsidRDefault="00D564AC" w:rsidP="00C41F60">
            <w:pPr>
              <w:jc w:val="center"/>
              <w:rPr>
                <w:rFonts w:ascii="Arial" w:hAnsi="Arial" w:cs="Arial"/>
              </w:rPr>
            </w:pPr>
            <w:r w:rsidRPr="00E55B63">
              <w:rPr>
                <w:rFonts w:ascii="Arial" w:hAnsi="Arial" w:cs="Arial"/>
              </w:rPr>
              <w:t>10</w:t>
            </w:r>
          </w:p>
        </w:tc>
        <w:tc>
          <w:tcPr>
            <w:tcW w:w="1410" w:type="dxa"/>
            <w:vAlign w:val="center"/>
            <w:hideMark/>
          </w:tcPr>
          <w:p w14:paraId="6613B3EB" w14:textId="77777777" w:rsidR="00D564AC" w:rsidRPr="00E55B63" w:rsidRDefault="00D564AC" w:rsidP="00C41F60">
            <w:pPr>
              <w:jc w:val="center"/>
              <w:rPr>
                <w:rFonts w:ascii="Arial" w:hAnsi="Arial" w:cs="Arial"/>
              </w:rPr>
            </w:pPr>
            <w:r w:rsidRPr="00E55B63">
              <w:rPr>
                <w:rFonts w:ascii="Arial" w:hAnsi="Arial" w:cs="Arial"/>
              </w:rPr>
              <w:t>4.000</w:t>
            </w:r>
          </w:p>
        </w:tc>
        <w:tc>
          <w:tcPr>
            <w:tcW w:w="1410" w:type="dxa"/>
            <w:vAlign w:val="center"/>
            <w:hideMark/>
          </w:tcPr>
          <w:p w14:paraId="1CEA3429" w14:textId="77777777" w:rsidR="00D564AC" w:rsidRPr="00E55B63" w:rsidRDefault="00D564AC" w:rsidP="00C41F60">
            <w:pPr>
              <w:jc w:val="center"/>
              <w:rPr>
                <w:rFonts w:ascii="Arial" w:hAnsi="Arial" w:cs="Arial"/>
              </w:rPr>
            </w:pPr>
            <w:r w:rsidRPr="00E55B63">
              <w:rPr>
                <w:rFonts w:ascii="Arial" w:hAnsi="Arial" w:cs="Arial"/>
              </w:rPr>
              <w:t>43.8</w:t>
            </w:r>
          </w:p>
        </w:tc>
        <w:tc>
          <w:tcPr>
            <w:tcW w:w="1107" w:type="dxa"/>
            <w:vAlign w:val="center"/>
            <w:hideMark/>
          </w:tcPr>
          <w:p w14:paraId="5FDFD10D" w14:textId="77777777" w:rsidR="00D564AC" w:rsidRPr="00E55B63" w:rsidRDefault="00D564AC" w:rsidP="00C41F60">
            <w:pPr>
              <w:jc w:val="center"/>
              <w:rPr>
                <w:rFonts w:ascii="Arial" w:hAnsi="Arial" w:cs="Arial"/>
              </w:rPr>
            </w:pPr>
            <w:r w:rsidRPr="00E55B63">
              <w:rPr>
                <w:rFonts w:ascii="Arial" w:hAnsi="Arial" w:cs="Arial"/>
              </w:rPr>
              <w:t>-1.66</w:t>
            </w:r>
          </w:p>
        </w:tc>
      </w:tr>
      <w:tr w:rsidR="00E55B63" w:rsidRPr="00E55B63" w14:paraId="15D260FA" w14:textId="77777777" w:rsidTr="004A7A3B">
        <w:trPr>
          <w:trHeight w:val="230"/>
          <w:tblCellSpacing w:w="15" w:type="dxa"/>
          <w:jc w:val="center"/>
        </w:trPr>
        <w:tc>
          <w:tcPr>
            <w:tcW w:w="3123" w:type="dxa"/>
            <w:tcBorders>
              <w:bottom w:val="single" w:sz="4" w:space="0" w:color="auto"/>
            </w:tcBorders>
            <w:vAlign w:val="center"/>
            <w:hideMark/>
          </w:tcPr>
          <w:p w14:paraId="145CC04A" w14:textId="77777777" w:rsidR="00D564AC" w:rsidRPr="00E55B63" w:rsidRDefault="00D564AC" w:rsidP="00C41F60">
            <w:pPr>
              <w:jc w:val="both"/>
              <w:rPr>
                <w:rFonts w:ascii="Arial" w:hAnsi="Arial" w:cs="Arial"/>
              </w:rPr>
            </w:pPr>
            <w:r w:rsidRPr="00E55B63">
              <w:rPr>
                <w:rFonts w:ascii="Arial" w:hAnsi="Arial" w:cs="Arial"/>
              </w:rPr>
              <w:t>Overall</w:t>
            </w:r>
          </w:p>
        </w:tc>
        <w:tc>
          <w:tcPr>
            <w:tcW w:w="1122" w:type="dxa"/>
            <w:tcBorders>
              <w:bottom w:val="single" w:sz="4" w:space="0" w:color="auto"/>
            </w:tcBorders>
            <w:vAlign w:val="center"/>
            <w:hideMark/>
          </w:tcPr>
          <w:p w14:paraId="4549996B" w14:textId="77777777" w:rsidR="00D564AC" w:rsidRPr="00E55B63" w:rsidRDefault="00D564AC" w:rsidP="00C41F60">
            <w:pPr>
              <w:jc w:val="center"/>
              <w:rPr>
                <w:rFonts w:ascii="Arial" w:hAnsi="Arial" w:cs="Arial"/>
              </w:rPr>
            </w:pPr>
            <w:r w:rsidRPr="00E55B63">
              <w:rPr>
                <w:rFonts w:ascii="Arial" w:hAnsi="Arial" w:cs="Arial"/>
              </w:rPr>
              <w:t>122</w:t>
            </w:r>
          </w:p>
        </w:tc>
        <w:tc>
          <w:tcPr>
            <w:tcW w:w="1410" w:type="dxa"/>
            <w:tcBorders>
              <w:bottom w:val="single" w:sz="4" w:space="0" w:color="auto"/>
            </w:tcBorders>
            <w:vAlign w:val="center"/>
            <w:hideMark/>
          </w:tcPr>
          <w:p w14:paraId="338F831A" w14:textId="77777777" w:rsidR="00D564AC" w:rsidRPr="00E55B63" w:rsidRDefault="00D564AC" w:rsidP="00C41F60">
            <w:pPr>
              <w:jc w:val="center"/>
              <w:rPr>
                <w:rFonts w:ascii="Arial" w:hAnsi="Arial" w:cs="Arial"/>
              </w:rPr>
            </w:pPr>
            <w:r w:rsidRPr="00E55B63">
              <w:rPr>
                <w:rFonts w:ascii="Arial" w:hAnsi="Arial" w:cs="Arial"/>
              </w:rPr>
              <w:t>4.000</w:t>
            </w:r>
          </w:p>
        </w:tc>
        <w:tc>
          <w:tcPr>
            <w:tcW w:w="1410" w:type="dxa"/>
            <w:tcBorders>
              <w:bottom w:val="single" w:sz="4" w:space="0" w:color="auto"/>
            </w:tcBorders>
            <w:vAlign w:val="center"/>
            <w:hideMark/>
          </w:tcPr>
          <w:p w14:paraId="23A53F22" w14:textId="77777777" w:rsidR="00D564AC" w:rsidRPr="00E55B63" w:rsidRDefault="00D564AC" w:rsidP="00C41F60">
            <w:pPr>
              <w:jc w:val="center"/>
              <w:rPr>
                <w:rFonts w:ascii="Arial" w:hAnsi="Arial" w:cs="Arial"/>
              </w:rPr>
            </w:pPr>
            <w:r w:rsidRPr="00E55B63">
              <w:rPr>
                <w:rFonts w:ascii="Arial" w:hAnsi="Arial" w:cs="Arial"/>
              </w:rPr>
              <w:t>61.5</w:t>
            </w:r>
          </w:p>
        </w:tc>
        <w:tc>
          <w:tcPr>
            <w:tcW w:w="1107" w:type="dxa"/>
            <w:tcBorders>
              <w:bottom w:val="single" w:sz="4" w:space="0" w:color="auto"/>
            </w:tcBorders>
            <w:vAlign w:val="center"/>
            <w:hideMark/>
          </w:tcPr>
          <w:p w14:paraId="1573C828" w14:textId="77777777" w:rsidR="00D564AC" w:rsidRPr="00E55B63" w:rsidRDefault="00D564AC" w:rsidP="00C41F60">
            <w:pPr>
              <w:jc w:val="center"/>
              <w:rPr>
                <w:rFonts w:ascii="Arial" w:hAnsi="Arial" w:cs="Arial"/>
              </w:rPr>
            </w:pPr>
          </w:p>
        </w:tc>
      </w:tr>
    </w:tbl>
    <w:p w14:paraId="42DF245F" w14:textId="77777777" w:rsidR="00D564AC" w:rsidRPr="00E55B63" w:rsidRDefault="00D564AC" w:rsidP="00D564AC">
      <w:pPr>
        <w:rPr>
          <w:rFonts w:ascii="Arial" w:hAnsi="Arial" w:cs="Arial"/>
          <w:i/>
          <w:szCs w:val="24"/>
        </w:rPr>
      </w:pPr>
      <w:r w:rsidRPr="00E55B63">
        <w:rPr>
          <w:rFonts w:ascii="Arial" w:hAnsi="Arial" w:cs="Arial"/>
          <w:i/>
          <w:szCs w:val="24"/>
        </w:rPr>
        <w:t>H = 10.93, DF = 4, P = 0.027</w:t>
      </w:r>
    </w:p>
    <w:p w14:paraId="05832A48" w14:textId="77777777" w:rsidR="00D564AC" w:rsidRPr="00E55B63" w:rsidRDefault="00D564AC" w:rsidP="00D564AC">
      <w:pPr>
        <w:rPr>
          <w:rFonts w:ascii="Arial" w:hAnsi="Arial" w:cs="Arial"/>
          <w:i/>
          <w:szCs w:val="24"/>
        </w:rPr>
      </w:pPr>
      <w:r w:rsidRPr="00E55B63">
        <w:rPr>
          <w:rFonts w:ascii="Arial" w:hAnsi="Arial" w:cs="Arial"/>
          <w:i/>
          <w:szCs w:val="24"/>
        </w:rPr>
        <w:t>H = 12.40, DF = 4, P = 0.015 (adjusted for ties)</w:t>
      </w:r>
    </w:p>
    <w:p w14:paraId="13F9B080" w14:textId="77777777" w:rsidR="0047312E" w:rsidRPr="00E55B63" w:rsidRDefault="0047312E" w:rsidP="00B925A1">
      <w:pPr>
        <w:pStyle w:val="Body"/>
        <w:spacing w:after="0"/>
        <w:rPr>
          <w:rFonts w:ascii="Arial" w:hAnsi="Arial" w:cs="Arial"/>
        </w:rPr>
      </w:pPr>
    </w:p>
    <w:p w14:paraId="6CF4D5A5" w14:textId="77777777" w:rsidR="00887597" w:rsidRPr="00E55B63" w:rsidRDefault="00887597" w:rsidP="00887597">
      <w:pPr>
        <w:pStyle w:val="Body"/>
        <w:spacing w:after="0"/>
        <w:rPr>
          <w:rFonts w:ascii="Arial" w:hAnsi="Arial" w:cs="Arial"/>
        </w:rPr>
      </w:pPr>
      <w:r w:rsidRPr="00E55B63">
        <w:rPr>
          <w:rFonts w:ascii="Arial" w:hAnsi="Arial" w:cs="Arial"/>
        </w:rPr>
        <w:t>This curvilinear relationship between experience and knowledge generation presents essential insights. The highest level of engagement among workers with six to ten years of experience suggests that this stage is ideal for their careers because it incorporates several factors.</w:t>
      </w:r>
    </w:p>
    <w:p w14:paraId="07B50F29" w14:textId="77777777" w:rsidR="00887597" w:rsidRPr="00E55B63" w:rsidRDefault="00887597" w:rsidP="00887597">
      <w:pPr>
        <w:pStyle w:val="Body"/>
        <w:spacing w:after="0"/>
        <w:rPr>
          <w:rFonts w:ascii="Arial" w:hAnsi="Arial" w:cs="Arial"/>
        </w:rPr>
      </w:pPr>
    </w:p>
    <w:p w14:paraId="481340E1" w14:textId="77777777" w:rsidR="00887597" w:rsidRPr="00E55B63" w:rsidRDefault="00887597" w:rsidP="00887597">
      <w:pPr>
        <w:pStyle w:val="Body"/>
        <w:numPr>
          <w:ilvl w:val="0"/>
          <w:numId w:val="39"/>
        </w:numPr>
        <w:spacing w:after="0"/>
        <w:rPr>
          <w:rFonts w:ascii="Arial" w:hAnsi="Arial" w:cs="Arial"/>
        </w:rPr>
      </w:pPr>
      <w:r w:rsidRPr="00F41BF8">
        <w:rPr>
          <w:rFonts w:ascii="Arial" w:hAnsi="Arial" w:cs="Arial"/>
          <w:b/>
        </w:rPr>
        <w:t>Foundational Expertise</w:t>
      </w:r>
      <w:r w:rsidRPr="00E55B63">
        <w:rPr>
          <w:rFonts w:ascii="Arial" w:hAnsi="Arial" w:cs="Arial"/>
        </w:rPr>
        <w:t>: After 6 to 10 years, employees have gained substantial domain knowledge and a strong understanding of the institution, enabling them to make meaningful contributions to the overall body of knowledge.</w:t>
      </w:r>
    </w:p>
    <w:p w14:paraId="25ACDF4B" w14:textId="77777777" w:rsidR="00887597" w:rsidRPr="00E55B63" w:rsidRDefault="00887597" w:rsidP="00887597">
      <w:pPr>
        <w:pStyle w:val="Body"/>
        <w:numPr>
          <w:ilvl w:val="0"/>
          <w:numId w:val="39"/>
        </w:numPr>
        <w:spacing w:after="0"/>
        <w:rPr>
          <w:rFonts w:ascii="Arial" w:hAnsi="Arial" w:cs="Arial"/>
        </w:rPr>
      </w:pPr>
      <w:r w:rsidRPr="00F41BF8">
        <w:rPr>
          <w:rFonts w:ascii="Arial" w:hAnsi="Arial" w:cs="Arial"/>
          <w:b/>
        </w:rPr>
        <w:t>Career Motivation</w:t>
      </w:r>
      <w:r w:rsidRPr="00E55B63">
        <w:rPr>
          <w:rFonts w:ascii="Arial" w:hAnsi="Arial" w:cs="Arial"/>
        </w:rPr>
        <w:t>: Professionals in the middle of their careers frequently aim to build a professional reputation and progress in their careers, which encourages active knowledge creation and visibility.</w:t>
      </w:r>
    </w:p>
    <w:p w14:paraId="73FEF4C5" w14:textId="77777777" w:rsidR="00887597" w:rsidRPr="00E55B63" w:rsidRDefault="00887597" w:rsidP="00887597">
      <w:pPr>
        <w:pStyle w:val="Body"/>
        <w:numPr>
          <w:ilvl w:val="0"/>
          <w:numId w:val="39"/>
        </w:numPr>
        <w:spacing w:after="0"/>
        <w:rPr>
          <w:rFonts w:ascii="Arial" w:hAnsi="Arial" w:cs="Arial"/>
        </w:rPr>
      </w:pPr>
      <w:r w:rsidRPr="00F41BF8">
        <w:rPr>
          <w:rFonts w:ascii="Arial" w:hAnsi="Arial" w:cs="Arial"/>
          <w:b/>
        </w:rPr>
        <w:t>Technological Proficiency</w:t>
      </w:r>
      <w:r w:rsidRPr="00E55B63">
        <w:rPr>
          <w:rFonts w:ascii="Arial" w:hAnsi="Arial" w:cs="Arial"/>
        </w:rPr>
        <w:t>: This cohort likely possesses strong technology skills acquired during their education and early career, facilitating engagement with modern knowledge management platforms.</w:t>
      </w:r>
    </w:p>
    <w:p w14:paraId="17011012" w14:textId="77777777" w:rsidR="00887597" w:rsidRPr="00E55B63" w:rsidRDefault="00887597" w:rsidP="00887597">
      <w:pPr>
        <w:pStyle w:val="Body"/>
        <w:numPr>
          <w:ilvl w:val="0"/>
          <w:numId w:val="39"/>
        </w:numPr>
        <w:spacing w:after="0"/>
        <w:rPr>
          <w:rFonts w:ascii="Arial" w:hAnsi="Arial" w:cs="Arial"/>
        </w:rPr>
      </w:pPr>
      <w:r w:rsidRPr="00F41BF8">
        <w:rPr>
          <w:rFonts w:ascii="Arial" w:hAnsi="Arial" w:cs="Arial"/>
          <w:b/>
        </w:rPr>
        <w:t>Energy and Innovation</w:t>
      </w:r>
      <w:r w:rsidRPr="00E55B63">
        <w:rPr>
          <w:rFonts w:ascii="Arial" w:hAnsi="Arial" w:cs="Arial"/>
        </w:rPr>
        <w:t>: Compared with very senior employees, this group may have greater energy for new initiatives and greater openness to innovative approaches.</w:t>
      </w:r>
    </w:p>
    <w:p w14:paraId="1ED24899" w14:textId="77777777" w:rsidR="00887597" w:rsidRPr="00E55B63" w:rsidRDefault="00887597" w:rsidP="00887597">
      <w:pPr>
        <w:pStyle w:val="Body"/>
        <w:numPr>
          <w:ilvl w:val="0"/>
          <w:numId w:val="39"/>
        </w:numPr>
        <w:spacing w:after="0"/>
        <w:rPr>
          <w:rFonts w:ascii="Arial" w:hAnsi="Arial" w:cs="Arial"/>
        </w:rPr>
      </w:pPr>
      <w:r w:rsidRPr="00F41BF8">
        <w:rPr>
          <w:rFonts w:ascii="Arial" w:hAnsi="Arial" w:cs="Arial"/>
          <w:b/>
        </w:rPr>
        <w:t>Balanced Perspective</w:t>
      </w:r>
      <w:r w:rsidRPr="00E55B63">
        <w:rPr>
          <w:rFonts w:ascii="Arial" w:hAnsi="Arial" w:cs="Arial"/>
        </w:rPr>
        <w:t>: They combine fresh perspectives with enough experience to contribute practical, implementable knowledge.</w:t>
      </w:r>
    </w:p>
    <w:p w14:paraId="0437E90E" w14:textId="77777777" w:rsidR="00887597" w:rsidRPr="00E55B63" w:rsidRDefault="00887597" w:rsidP="00887597">
      <w:pPr>
        <w:pStyle w:val="Body"/>
        <w:spacing w:after="0"/>
        <w:rPr>
          <w:rFonts w:ascii="Arial" w:hAnsi="Arial" w:cs="Arial"/>
        </w:rPr>
      </w:pPr>
    </w:p>
    <w:p w14:paraId="6FF47EE5" w14:textId="77777777" w:rsidR="00887597" w:rsidRPr="00E55B63" w:rsidRDefault="00887597" w:rsidP="00887597">
      <w:pPr>
        <w:pStyle w:val="Body"/>
        <w:spacing w:after="0"/>
        <w:rPr>
          <w:rFonts w:ascii="Arial" w:hAnsi="Arial" w:cs="Arial"/>
        </w:rPr>
      </w:pPr>
      <w:r w:rsidRPr="00E55B63">
        <w:rPr>
          <w:rFonts w:ascii="Arial" w:hAnsi="Arial" w:cs="Arial"/>
        </w:rPr>
        <w:t xml:space="preserve">The lower engagement among the most experienced employees (over 30 years old) may reflect several factors. Senior staff members may move into positions </w:t>
      </w:r>
      <w:r w:rsidRPr="00E55B63">
        <w:rPr>
          <w:rFonts w:ascii="Arial" w:hAnsi="Arial" w:cs="Arial"/>
        </w:rPr>
        <w:lastRenderedPageBreak/>
        <w:t>of organizational leadership, strategic counseling, and mentoring that involve various types of knowledge contributions that are not as well-represented by formal generation metrics. They may also experience "knowledge fatigue" or feel that their established expertise requires less active demonstration.</w:t>
      </w:r>
    </w:p>
    <w:p w14:paraId="11B51BF8" w14:textId="77777777" w:rsidR="00887597" w:rsidRPr="00E55B63" w:rsidRDefault="00887597" w:rsidP="00887597">
      <w:pPr>
        <w:pStyle w:val="Body"/>
        <w:spacing w:after="0"/>
        <w:rPr>
          <w:rFonts w:ascii="Arial" w:hAnsi="Arial" w:cs="Arial"/>
        </w:rPr>
      </w:pPr>
    </w:p>
    <w:p w14:paraId="6BFEA779" w14:textId="77777777" w:rsidR="00887597" w:rsidRPr="00E55B63" w:rsidRDefault="00887597" w:rsidP="00887597">
      <w:pPr>
        <w:pStyle w:val="Body"/>
        <w:spacing w:after="0"/>
        <w:rPr>
          <w:rFonts w:ascii="Arial" w:hAnsi="Arial" w:cs="Arial"/>
        </w:rPr>
      </w:pPr>
      <w:r w:rsidRPr="00E55B63">
        <w:rPr>
          <w:rFonts w:ascii="Arial" w:hAnsi="Arial" w:cs="Arial"/>
        </w:rPr>
        <w:t>However, this pattern also raises concerns about potential knowledge loss as senior employees approach retirement without systematically transferring their accumulated expertise. Sahibzada et al.'s study (2023) highlights that in order to maintain institutional memory, organizations must put proactive knowledge capture strategies into place, such as documentation systems, mentoring programs, and</w:t>
      </w:r>
      <w:r w:rsidR="00E900AE" w:rsidRPr="00E55B63">
        <w:rPr>
          <w:rFonts w:ascii="Arial" w:hAnsi="Arial" w:cs="Arial"/>
        </w:rPr>
        <w:t xml:space="preserve"> exit interviews. Baltazar </w:t>
      </w:r>
      <w:r w:rsidR="006408A4" w:rsidRPr="00E55B63">
        <w:rPr>
          <w:rFonts w:ascii="Arial" w:hAnsi="Arial" w:cs="Arial"/>
        </w:rPr>
        <w:t>et al.</w:t>
      </w:r>
      <w:r w:rsidRPr="00E55B63">
        <w:rPr>
          <w:rFonts w:ascii="Arial" w:hAnsi="Arial" w:cs="Arial"/>
        </w:rPr>
        <w:t> (2025) list knowledge transfer as one of six strategic approaches to organizational succession, highlighting the importance of collaborative projects, mentoring programs, and methodical documentation in maintaining institutional knowledge across generational transitions.</w:t>
      </w:r>
    </w:p>
    <w:p w14:paraId="236BB782" w14:textId="77777777" w:rsidR="00887597" w:rsidRPr="00E55B63" w:rsidRDefault="00887597" w:rsidP="00887597">
      <w:pPr>
        <w:pStyle w:val="Body"/>
        <w:spacing w:after="0"/>
        <w:rPr>
          <w:rFonts w:ascii="Arial" w:hAnsi="Arial" w:cs="Arial"/>
        </w:rPr>
      </w:pPr>
    </w:p>
    <w:p w14:paraId="766BB517" w14:textId="77777777" w:rsidR="00887597" w:rsidRPr="00E55B63" w:rsidRDefault="00887597" w:rsidP="00887597">
      <w:pPr>
        <w:pStyle w:val="Body"/>
        <w:spacing w:after="0"/>
        <w:rPr>
          <w:rFonts w:ascii="Arial" w:hAnsi="Arial" w:cs="Arial"/>
        </w:rPr>
      </w:pPr>
      <w:r w:rsidRPr="00E55B63">
        <w:rPr>
          <w:rFonts w:ascii="Arial" w:hAnsi="Arial" w:cs="Arial"/>
        </w:rPr>
        <w:t>It is encouraging to note that employees with three to five years of experience also exhibit relatively high levels of engagement, indicating that institutional onboarding and culture effectively involve new hires in knowledge-based activities. Supporting and sustaining this early career engagement while facilitating progression into the peak engagement phase (6-10 years) should be a strategic priority. Kaba et al. (2025) found that non-academic staff aged 50 and above were more likely to share knowledge than younger colleagues, and those with longer tenure were more likely to do so, corroborating the importance of experience in knowledge management engagement.</w:t>
      </w:r>
    </w:p>
    <w:p w14:paraId="1D0F1C68" w14:textId="77777777" w:rsidR="00887597" w:rsidRPr="00E55B63" w:rsidRDefault="00887597" w:rsidP="00887597">
      <w:pPr>
        <w:pStyle w:val="Body"/>
        <w:spacing w:after="0"/>
        <w:rPr>
          <w:rFonts w:ascii="Arial" w:hAnsi="Arial" w:cs="Arial"/>
        </w:rPr>
      </w:pPr>
    </w:p>
    <w:p w14:paraId="67C18EBB" w14:textId="77777777" w:rsidR="00CF3F57" w:rsidRPr="00E55B63" w:rsidRDefault="00887597" w:rsidP="00887597">
      <w:pPr>
        <w:pStyle w:val="Body"/>
        <w:spacing w:after="0"/>
        <w:rPr>
          <w:rFonts w:ascii="Arial" w:hAnsi="Arial" w:cs="Arial"/>
        </w:rPr>
      </w:pPr>
      <w:r w:rsidRPr="00E55B63">
        <w:rPr>
          <w:rFonts w:ascii="Arial" w:hAnsi="Arial" w:cs="Arial"/>
        </w:rPr>
        <w:t xml:space="preserve">For the </w:t>
      </w:r>
      <w:proofErr w:type="gramStart"/>
      <w:r w:rsidRPr="00E55B63">
        <w:rPr>
          <w:rFonts w:ascii="Arial" w:hAnsi="Arial" w:cs="Arial"/>
        </w:rPr>
        <w:t>11-30 year</w:t>
      </w:r>
      <w:proofErr w:type="gramEnd"/>
      <w:r w:rsidRPr="00E55B63">
        <w:rPr>
          <w:rFonts w:ascii="Arial" w:hAnsi="Arial" w:cs="Arial"/>
        </w:rPr>
        <w:t xml:space="preserve"> experience range, where engagement declines somewhat, institutions might consider targeted interventions. These initiatives could include:  a) Recognition Systems that recognize individuals' contributions to knowledge which may help maintain motivation; b) Leadership Opportunities that involve mid- to senior-level employees in the governance of knowledge management; c) Renewal Programs that offer sabbaticals, professional development, and initiatives aimed at re-engagement; d) Intergenerational Projects that facilitate structured collaborations between experienced employees and those in the early stages of their careers; and e) Flexible Contribution Models that provide diverse formats for knowledge sharing that accommodate different stages of a career.</w:t>
      </w:r>
    </w:p>
    <w:p w14:paraId="078D8AAE" w14:textId="77777777" w:rsidR="00345383" w:rsidRPr="00E55B63" w:rsidRDefault="00345383" w:rsidP="00441B6F">
      <w:pPr>
        <w:pStyle w:val="Body"/>
        <w:spacing w:after="0"/>
        <w:rPr>
          <w:rFonts w:ascii="Arial" w:hAnsi="Arial" w:cs="Arial"/>
        </w:rPr>
      </w:pPr>
    </w:p>
    <w:p w14:paraId="5C0DFA85" w14:textId="77777777" w:rsidR="00AC4FBC" w:rsidRPr="00E55B63" w:rsidRDefault="00AC4FBC" w:rsidP="00AC4FBC">
      <w:pPr>
        <w:pStyle w:val="Body"/>
        <w:spacing w:after="0"/>
        <w:rPr>
          <w:rFonts w:ascii="Arial" w:hAnsi="Arial" w:cs="Arial"/>
          <w:b/>
          <w:sz w:val="22"/>
        </w:rPr>
      </w:pPr>
      <w:r w:rsidRPr="00E55B63">
        <w:rPr>
          <w:rFonts w:ascii="Arial" w:hAnsi="Arial" w:cs="Arial"/>
          <w:b/>
          <w:sz w:val="22"/>
        </w:rPr>
        <w:t>3.3 Implications for Higher Education Institutions</w:t>
      </w:r>
    </w:p>
    <w:p w14:paraId="1F509AD5" w14:textId="77777777" w:rsidR="00AC4FBC" w:rsidRPr="00E55B63" w:rsidRDefault="00AC4FBC" w:rsidP="00AC4FBC">
      <w:pPr>
        <w:pStyle w:val="Body"/>
        <w:spacing w:after="0"/>
        <w:rPr>
          <w:rFonts w:ascii="Arial" w:hAnsi="Arial" w:cs="Arial"/>
        </w:rPr>
      </w:pPr>
    </w:p>
    <w:p w14:paraId="7250A109" w14:textId="77777777" w:rsidR="005875B7" w:rsidRPr="00E55B63" w:rsidRDefault="005875B7" w:rsidP="005875B7">
      <w:pPr>
        <w:pStyle w:val="Body"/>
        <w:spacing w:after="0"/>
        <w:rPr>
          <w:rFonts w:ascii="Arial" w:hAnsi="Arial" w:cs="Arial"/>
        </w:rPr>
      </w:pPr>
      <w:r w:rsidRPr="00E55B63">
        <w:rPr>
          <w:rFonts w:ascii="Arial" w:hAnsi="Arial" w:cs="Arial"/>
        </w:rPr>
        <w:t>The results of this study have several significant implications for how knowledge management techniques are developed in higher education.</w:t>
      </w:r>
    </w:p>
    <w:p w14:paraId="1A3ED74C" w14:textId="77777777" w:rsidR="005875B7" w:rsidRPr="00E55B63" w:rsidRDefault="005875B7" w:rsidP="005875B7">
      <w:pPr>
        <w:pStyle w:val="Body"/>
        <w:spacing w:after="0"/>
        <w:rPr>
          <w:rFonts w:ascii="Arial" w:hAnsi="Arial" w:cs="Arial"/>
        </w:rPr>
      </w:pPr>
    </w:p>
    <w:p w14:paraId="77D6505A" w14:textId="77777777" w:rsidR="005875B7" w:rsidRPr="00E55B63" w:rsidRDefault="005875B7" w:rsidP="005875B7">
      <w:pPr>
        <w:pStyle w:val="Body"/>
        <w:spacing w:after="0"/>
        <w:rPr>
          <w:rFonts w:ascii="Arial" w:hAnsi="Arial" w:cs="Arial"/>
        </w:rPr>
      </w:pPr>
      <w:r w:rsidRPr="00E55B63">
        <w:rPr>
          <w:rFonts w:ascii="Arial" w:hAnsi="Arial" w:cs="Arial"/>
        </w:rPr>
        <w:t xml:space="preserve">First, the absence of significant differences between teaching and non-teaching employees in knowledge generation validates the importance of inclusive KM strategies that engage all organizational members. According to </w:t>
      </w:r>
      <w:proofErr w:type="spellStart"/>
      <w:r w:rsidRPr="00E55B63">
        <w:rPr>
          <w:rFonts w:ascii="Arial" w:hAnsi="Arial" w:cs="Arial"/>
        </w:rPr>
        <w:t>Faldesiani</w:t>
      </w:r>
      <w:proofErr w:type="spellEnd"/>
      <w:r w:rsidRPr="00E55B63">
        <w:rPr>
          <w:rFonts w:ascii="Arial" w:hAnsi="Arial" w:cs="Arial"/>
        </w:rPr>
        <w:t xml:space="preserve"> and </w:t>
      </w:r>
      <w:proofErr w:type="spellStart"/>
      <w:r w:rsidRPr="00E55B63">
        <w:rPr>
          <w:rFonts w:ascii="Arial" w:hAnsi="Arial" w:cs="Arial"/>
        </w:rPr>
        <w:t>Senen</w:t>
      </w:r>
      <w:proofErr w:type="spellEnd"/>
      <w:r w:rsidRPr="00E55B63">
        <w:rPr>
          <w:rFonts w:ascii="Arial" w:hAnsi="Arial" w:cs="Arial"/>
        </w:rPr>
        <w:t xml:space="preserve"> (2024), effective knowledge management in HEIs requires recognizing that valuable knowledge exists throughout the organization, not just within academic ranks. In addition to academic scholarship, institutions should create platforms and recognition systems that capture and value administrative, technical, and support knowledge.</w:t>
      </w:r>
    </w:p>
    <w:p w14:paraId="73D5936A" w14:textId="77777777" w:rsidR="005875B7" w:rsidRPr="00E55B63" w:rsidRDefault="005875B7" w:rsidP="005875B7">
      <w:pPr>
        <w:pStyle w:val="Body"/>
        <w:spacing w:after="0"/>
        <w:rPr>
          <w:rFonts w:ascii="Arial" w:hAnsi="Arial" w:cs="Arial"/>
        </w:rPr>
      </w:pPr>
    </w:p>
    <w:p w14:paraId="63853A20" w14:textId="77777777" w:rsidR="005875B7" w:rsidRPr="00E55B63" w:rsidRDefault="005875B7" w:rsidP="005875B7">
      <w:pPr>
        <w:pStyle w:val="Body"/>
        <w:spacing w:after="0"/>
        <w:rPr>
          <w:rFonts w:ascii="Arial" w:hAnsi="Arial" w:cs="Arial"/>
        </w:rPr>
      </w:pPr>
      <w:r w:rsidRPr="00E55B63">
        <w:rPr>
          <w:rFonts w:ascii="Arial" w:hAnsi="Arial" w:cs="Arial"/>
        </w:rPr>
        <w:t xml:space="preserve">Second, the significant effect of work experience, particularly the peak engagement during the </w:t>
      </w:r>
      <w:proofErr w:type="gramStart"/>
      <w:r w:rsidRPr="00E55B63">
        <w:rPr>
          <w:rFonts w:ascii="Arial" w:hAnsi="Arial" w:cs="Arial"/>
        </w:rPr>
        <w:t>6-10 year</w:t>
      </w:r>
      <w:proofErr w:type="gramEnd"/>
      <w:r w:rsidRPr="00E55B63">
        <w:rPr>
          <w:rFonts w:ascii="Arial" w:hAnsi="Arial" w:cs="Arial"/>
        </w:rPr>
        <w:t xml:space="preserve"> career phase, suggests that institutions should implement experience-differentiated knowledge management strategies. Early-career support programs can help sustain new employees' high engagement, while mid-career recognition and leadership opportunities can capitalize on the peak engagement period. For senior employees, institutions should develop knowledge legacy programs, mentoring frameworks, and flexible engagement models that </w:t>
      </w:r>
      <w:r w:rsidRPr="00E55B63">
        <w:rPr>
          <w:rFonts w:ascii="Arial" w:hAnsi="Arial" w:cs="Arial"/>
        </w:rPr>
        <w:lastRenderedPageBreak/>
        <w:t>respect their transition toward strategic advisory roles while capturing their invaluable institutional memory.</w:t>
      </w:r>
    </w:p>
    <w:p w14:paraId="0913B7C4" w14:textId="77777777" w:rsidR="005875B7" w:rsidRPr="00E55B63" w:rsidRDefault="005875B7" w:rsidP="005875B7">
      <w:pPr>
        <w:pStyle w:val="Body"/>
        <w:spacing w:after="0"/>
        <w:rPr>
          <w:rFonts w:ascii="Arial" w:hAnsi="Arial" w:cs="Arial"/>
        </w:rPr>
      </w:pPr>
    </w:p>
    <w:p w14:paraId="547DA162" w14:textId="77777777" w:rsidR="005875B7" w:rsidRPr="00E55B63" w:rsidRDefault="005875B7" w:rsidP="005875B7">
      <w:pPr>
        <w:pStyle w:val="Body"/>
        <w:spacing w:after="0"/>
        <w:rPr>
          <w:rFonts w:ascii="Arial" w:hAnsi="Arial" w:cs="Arial"/>
        </w:rPr>
      </w:pPr>
      <w:r w:rsidRPr="00E55B63">
        <w:rPr>
          <w:rFonts w:ascii="Arial" w:hAnsi="Arial" w:cs="Arial"/>
        </w:rPr>
        <w:t>Third, the marginally significant age trend suggests value in fostering intergenerational knowledge collaboration. Establishing cross-generational project teams, communities of practice, and formal mentoring relationships can aid in bridging disparate organizational perspectives and knowledge forms. According to Paudel (2023), when organizations effectively incorporate different knowledge types and generational perspectives, knowledge management effectiveness rises.</w:t>
      </w:r>
    </w:p>
    <w:p w14:paraId="72A51BDE" w14:textId="77777777" w:rsidR="005875B7" w:rsidRPr="00E55B63" w:rsidRDefault="005875B7" w:rsidP="005875B7">
      <w:pPr>
        <w:pStyle w:val="Body"/>
        <w:spacing w:after="0"/>
        <w:rPr>
          <w:rFonts w:ascii="Arial" w:hAnsi="Arial" w:cs="Arial"/>
        </w:rPr>
      </w:pPr>
    </w:p>
    <w:p w14:paraId="432B09BC" w14:textId="77777777" w:rsidR="005875B7" w:rsidRPr="00E55B63" w:rsidRDefault="005875B7" w:rsidP="005875B7">
      <w:pPr>
        <w:pStyle w:val="Body"/>
        <w:spacing w:after="0"/>
        <w:rPr>
          <w:rFonts w:ascii="Arial" w:hAnsi="Arial" w:cs="Arial"/>
        </w:rPr>
      </w:pPr>
      <w:r w:rsidRPr="00E55B63">
        <w:rPr>
          <w:rFonts w:ascii="Arial" w:hAnsi="Arial" w:cs="Arial"/>
        </w:rPr>
        <w:t>Fourth, the gender findings highlight the need for continued attention to gender equity in knowledge management, even though they do not reveal any significant differences. Institutions should keep an eye on how different demographics contribute to knowledge, make sure that everyone is fairly acknowledged, and deal with any subtle obstacles that may develop over time.</w:t>
      </w:r>
    </w:p>
    <w:p w14:paraId="65215553" w14:textId="77777777" w:rsidR="005875B7" w:rsidRPr="00E55B63" w:rsidRDefault="005875B7" w:rsidP="005875B7">
      <w:pPr>
        <w:pStyle w:val="Body"/>
        <w:spacing w:after="0"/>
        <w:rPr>
          <w:rFonts w:ascii="Arial" w:hAnsi="Arial" w:cs="Arial"/>
        </w:rPr>
      </w:pPr>
    </w:p>
    <w:p w14:paraId="4AD33DCC" w14:textId="70D308CD" w:rsidR="005875B7" w:rsidRDefault="005875B7" w:rsidP="005875B7">
      <w:pPr>
        <w:pStyle w:val="Body"/>
        <w:spacing w:after="0"/>
        <w:rPr>
          <w:rFonts w:ascii="Arial" w:hAnsi="Arial" w:cs="Arial"/>
        </w:rPr>
      </w:pPr>
      <w:r w:rsidRPr="00E55B63">
        <w:rPr>
          <w:rFonts w:ascii="Arial" w:hAnsi="Arial" w:cs="Arial"/>
        </w:rPr>
        <w:t>Finally, the educational level findings challenge credential-centric approaches to knowledge management. While educational qualifications remain important for role-specific requirements, they do not determine knowledge generation engagement. Institutions should develop competency-based knowledge management frameworks that recognize diverse expertise forms and create pathways for knowledge contribution regardless of formal credentials.</w:t>
      </w:r>
    </w:p>
    <w:p w14:paraId="6B059EA6" w14:textId="51A44203" w:rsidR="007A4CBB" w:rsidRDefault="007A4CBB" w:rsidP="005875B7">
      <w:pPr>
        <w:pStyle w:val="Body"/>
        <w:spacing w:after="0"/>
        <w:rPr>
          <w:rFonts w:ascii="Arial" w:hAnsi="Arial" w:cs="Arial"/>
        </w:rPr>
      </w:pPr>
    </w:p>
    <w:p w14:paraId="258542BC" w14:textId="28A4D616" w:rsidR="007A4CBB" w:rsidRPr="00E55B63" w:rsidRDefault="00A9133D" w:rsidP="005875B7">
      <w:pPr>
        <w:pStyle w:val="Body"/>
        <w:spacing w:after="0"/>
        <w:rPr>
          <w:rFonts w:ascii="Arial" w:hAnsi="Arial" w:cs="Arial"/>
        </w:rPr>
      </w:pPr>
      <w:r w:rsidRPr="00A9133D">
        <w:rPr>
          <w:rFonts w:ascii="Arial" w:hAnsi="Arial" w:cs="Arial"/>
        </w:rPr>
        <w:t xml:space="preserve">Based on Davenport and </w:t>
      </w:r>
      <w:proofErr w:type="spellStart"/>
      <w:r w:rsidRPr="00A9133D">
        <w:rPr>
          <w:rFonts w:ascii="Arial" w:hAnsi="Arial" w:cs="Arial"/>
        </w:rPr>
        <w:t>Prusak's</w:t>
      </w:r>
      <w:proofErr w:type="spellEnd"/>
      <w:r w:rsidRPr="00A9133D">
        <w:rPr>
          <w:rFonts w:ascii="Arial" w:hAnsi="Arial" w:cs="Arial"/>
        </w:rPr>
        <w:t xml:space="preserve"> (1998) conceptualization of knowledge management as generating value through the methodical application of knowledge resources, organizations need to acknowledge that successful knowledge management encompasses cultural, structural, and human resource aspects in addition to technology implementation. The significance of our demographic findings is highlighted by Davenport and </w:t>
      </w:r>
      <w:proofErr w:type="spellStart"/>
      <w:r w:rsidRPr="00A9133D">
        <w:rPr>
          <w:rFonts w:ascii="Arial" w:hAnsi="Arial" w:cs="Arial"/>
        </w:rPr>
        <w:t>Prusak's</w:t>
      </w:r>
      <w:proofErr w:type="spellEnd"/>
      <w:r w:rsidRPr="00A9133D">
        <w:rPr>
          <w:rFonts w:ascii="Arial" w:hAnsi="Arial" w:cs="Arial"/>
        </w:rPr>
        <w:t xml:space="preserve"> emphasis that knowledge management initiatives are successful when they are in line with how people naturally work, communicate, and solve problems. The comparable contributions of teaching and non-teaching staff and the significant impact of work experience (6–10 years peak engagement) indicate that knowledge management strategies should be customized to different career stages and organizational roles rather than using uniform approaches. Davenport and </w:t>
      </w:r>
      <w:proofErr w:type="spellStart"/>
      <w:r w:rsidRPr="00A9133D">
        <w:rPr>
          <w:rFonts w:ascii="Arial" w:hAnsi="Arial" w:cs="Arial"/>
        </w:rPr>
        <w:t>Prusak</w:t>
      </w:r>
      <w:proofErr w:type="spellEnd"/>
      <w:r w:rsidRPr="00A9133D">
        <w:rPr>
          <w:rFonts w:ascii="Arial" w:hAnsi="Arial" w:cs="Arial"/>
        </w:rPr>
        <w:t xml:space="preserve"> pointed out that "knowledge management is expensive, but so is stupidity" (p. 15), emphasizing the importance of investing in knowledge.</w:t>
      </w:r>
    </w:p>
    <w:p w14:paraId="24F6A37D" w14:textId="77777777" w:rsidR="005875B7" w:rsidRPr="00E55B63" w:rsidRDefault="005875B7" w:rsidP="005875B7">
      <w:pPr>
        <w:pStyle w:val="Body"/>
        <w:spacing w:after="0"/>
        <w:rPr>
          <w:rFonts w:ascii="Arial" w:hAnsi="Arial" w:cs="Arial"/>
        </w:rPr>
      </w:pPr>
    </w:p>
    <w:p w14:paraId="24EAA6DD" w14:textId="77777777" w:rsidR="00E53D0C" w:rsidRPr="00E55B63" w:rsidRDefault="005875B7" w:rsidP="005875B7">
      <w:pPr>
        <w:pStyle w:val="Body"/>
        <w:spacing w:after="0"/>
        <w:rPr>
          <w:rFonts w:ascii="Arial" w:hAnsi="Arial" w:cs="Arial"/>
        </w:rPr>
      </w:pPr>
      <w:r w:rsidRPr="00E55B63">
        <w:rPr>
          <w:rFonts w:ascii="Arial" w:hAnsi="Arial" w:cs="Arial"/>
        </w:rPr>
        <w:t>Recent research by Paola et al. (2025) in Colombian public educational institutions confirms that organizational culture dimensions—particularly recognition, communication, and managerial leadership—significantly influence knowledge management processes, including knowledge creation, transfer, storage, and application.</w:t>
      </w:r>
    </w:p>
    <w:p w14:paraId="59102574" w14:textId="77777777" w:rsidR="00F22446" w:rsidRPr="00FB3A86" w:rsidRDefault="00F22446" w:rsidP="00441B6F">
      <w:pPr>
        <w:pStyle w:val="Body"/>
        <w:spacing w:after="0"/>
        <w:rPr>
          <w:rFonts w:ascii="Arial" w:hAnsi="Arial" w:cs="Arial"/>
        </w:rPr>
      </w:pPr>
    </w:p>
    <w:p w14:paraId="5B79C3A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954E3AB" w14:textId="77777777" w:rsidR="00790ADA" w:rsidRPr="00FB3A86" w:rsidRDefault="00790ADA" w:rsidP="00441B6F">
      <w:pPr>
        <w:pStyle w:val="ConcHead"/>
        <w:spacing w:after="0"/>
        <w:jc w:val="both"/>
        <w:rPr>
          <w:rFonts w:ascii="Arial" w:hAnsi="Arial" w:cs="Arial"/>
        </w:rPr>
      </w:pPr>
    </w:p>
    <w:p w14:paraId="78AF01D1" w14:textId="3EEC1222" w:rsidR="00DB6858" w:rsidRPr="00DB6858" w:rsidRDefault="00DB6858" w:rsidP="00DB6858">
      <w:pPr>
        <w:pStyle w:val="Body"/>
        <w:spacing w:after="0"/>
        <w:rPr>
          <w:rFonts w:ascii="Arial" w:hAnsi="Arial" w:cs="Arial"/>
        </w:rPr>
      </w:pPr>
      <w:r w:rsidRPr="00DB6858">
        <w:rPr>
          <w:rFonts w:ascii="Arial" w:hAnsi="Arial" w:cs="Arial"/>
        </w:rPr>
        <w:t>This study offers significant empirical insights into the knowledge manage</w:t>
      </w:r>
      <w:r w:rsidR="000263EE">
        <w:rPr>
          <w:rFonts w:ascii="Arial" w:hAnsi="Arial" w:cs="Arial"/>
        </w:rPr>
        <w:t xml:space="preserve">ment practices and demographics of </w:t>
      </w:r>
      <w:r w:rsidRPr="00DB6858">
        <w:rPr>
          <w:rFonts w:ascii="Arial" w:hAnsi="Arial" w:cs="Arial"/>
        </w:rPr>
        <w:t xml:space="preserve">CBSUA's teaching and </w:t>
      </w:r>
      <w:r w:rsidR="000263EE">
        <w:rPr>
          <w:rFonts w:ascii="Arial" w:hAnsi="Arial" w:cs="Arial"/>
        </w:rPr>
        <w:t xml:space="preserve">non-teaching staff. The results </w:t>
      </w:r>
      <w:r w:rsidRPr="00DB6858">
        <w:rPr>
          <w:rFonts w:ascii="Arial" w:hAnsi="Arial" w:cs="Arial"/>
        </w:rPr>
        <w:t>show a workforce that is primarily female, highly qualified, and has extensive institutional knowledge. Knowledge generation practices were comparable between teaching and non-teaching employees, challenging assumptions that academic staff uniquely drive institutional knowledge creation.</w:t>
      </w:r>
    </w:p>
    <w:p w14:paraId="6CE5A1F0" w14:textId="77777777" w:rsidR="00DB6858" w:rsidRPr="00DB6858" w:rsidRDefault="00DB6858" w:rsidP="00DB6858">
      <w:pPr>
        <w:pStyle w:val="Body"/>
        <w:spacing w:after="0"/>
        <w:rPr>
          <w:rFonts w:ascii="Arial" w:hAnsi="Arial" w:cs="Arial"/>
        </w:rPr>
      </w:pPr>
    </w:p>
    <w:p w14:paraId="40826D7F" w14:textId="6EAF6EBB" w:rsidR="00DB6858" w:rsidRPr="00DB6858" w:rsidRDefault="00DB6858" w:rsidP="00DB6858">
      <w:pPr>
        <w:pStyle w:val="Body"/>
        <w:spacing w:after="0"/>
        <w:rPr>
          <w:rFonts w:ascii="Arial" w:hAnsi="Arial" w:cs="Arial"/>
        </w:rPr>
      </w:pPr>
      <w:r w:rsidRPr="00DB6858">
        <w:rPr>
          <w:rFonts w:ascii="Arial" w:hAnsi="Arial" w:cs="Arial"/>
        </w:rPr>
        <w:t>The most significant finding was that years of work experience substantially influenced knowledge management practi</w:t>
      </w:r>
      <w:r w:rsidR="000263EE">
        <w:rPr>
          <w:rFonts w:ascii="Arial" w:hAnsi="Arial" w:cs="Arial"/>
        </w:rPr>
        <w:t xml:space="preserve">ces, with employees in the </w:t>
      </w:r>
      <w:proofErr w:type="gramStart"/>
      <w:r w:rsidR="000263EE">
        <w:rPr>
          <w:rFonts w:ascii="Arial" w:hAnsi="Arial" w:cs="Arial"/>
        </w:rPr>
        <w:t xml:space="preserve">6-10 </w:t>
      </w:r>
      <w:r w:rsidRPr="00DB6858">
        <w:rPr>
          <w:rFonts w:ascii="Arial" w:hAnsi="Arial" w:cs="Arial"/>
        </w:rPr>
        <w:t>year</w:t>
      </w:r>
      <w:proofErr w:type="gramEnd"/>
      <w:r w:rsidRPr="00DB6858">
        <w:rPr>
          <w:rFonts w:ascii="Arial" w:hAnsi="Arial" w:cs="Arial"/>
        </w:rPr>
        <w:t xml:space="preserve"> career phase demonstrating peak engagement. This suggests that career stage may be more influential than position type, gender, or educational level in predicting knowledge generation behavior.</w:t>
      </w:r>
    </w:p>
    <w:p w14:paraId="66AF7DF9" w14:textId="77777777" w:rsidR="00DB6858" w:rsidRPr="00DB6858" w:rsidRDefault="00DB6858" w:rsidP="00DB6858">
      <w:pPr>
        <w:pStyle w:val="Body"/>
        <w:spacing w:after="0"/>
        <w:rPr>
          <w:rFonts w:ascii="Arial" w:hAnsi="Arial" w:cs="Arial"/>
        </w:rPr>
      </w:pPr>
    </w:p>
    <w:p w14:paraId="75809551" w14:textId="77777777" w:rsidR="00DB6858" w:rsidRPr="00DB6858" w:rsidRDefault="00DB6858" w:rsidP="00DB6858">
      <w:pPr>
        <w:pStyle w:val="Body"/>
        <w:spacing w:after="0"/>
        <w:rPr>
          <w:rFonts w:ascii="Arial" w:hAnsi="Arial" w:cs="Arial"/>
        </w:rPr>
      </w:pPr>
      <w:r w:rsidRPr="00DB6858">
        <w:rPr>
          <w:rFonts w:ascii="Arial" w:hAnsi="Arial" w:cs="Arial"/>
        </w:rPr>
        <w:lastRenderedPageBreak/>
        <w:t>These findings have practical implications for knowledge management strategy development in higher education. Experience-differentiated strategies that encourage early-career engagement, capitalize on mid-career peak productivity, and capture senior-level wisdom through methodical knowledge transfer mechanisms should be implemented by institutions. Creating inclusive knowledge management systems that value diverse knowledge forms across all organizational levels will enhance institutional effectiveness and sustainability.</w:t>
      </w:r>
    </w:p>
    <w:p w14:paraId="60ED38CA" w14:textId="77777777" w:rsidR="00DB6858" w:rsidRPr="00DB6858" w:rsidRDefault="00DB6858" w:rsidP="00DB6858">
      <w:pPr>
        <w:pStyle w:val="Body"/>
        <w:spacing w:after="0"/>
        <w:rPr>
          <w:rFonts w:ascii="Arial" w:hAnsi="Arial" w:cs="Arial"/>
        </w:rPr>
      </w:pPr>
    </w:p>
    <w:p w14:paraId="6576D16E" w14:textId="209FD031" w:rsidR="00DB6858" w:rsidRDefault="00CF1D1E" w:rsidP="00DB6858">
      <w:pPr>
        <w:pStyle w:val="Body"/>
        <w:spacing w:after="0"/>
        <w:rPr>
          <w:rFonts w:ascii="Arial" w:hAnsi="Arial" w:cs="Arial"/>
        </w:rPr>
      </w:pPr>
      <w:r w:rsidRPr="00CF1D1E">
        <w:rPr>
          <w:rFonts w:ascii="Arial" w:hAnsi="Arial" w:cs="Arial"/>
        </w:rPr>
        <w:t>Future longitudinal studies tracking individuals across career stages would provide stronger evidence for causal relationships between experience and knowledge generation.</w:t>
      </w:r>
      <w:r>
        <w:rPr>
          <w:rFonts w:ascii="Arial" w:hAnsi="Arial" w:cs="Arial"/>
        </w:rPr>
        <w:t xml:space="preserve"> </w:t>
      </w:r>
      <w:r w:rsidR="005400A3">
        <w:rPr>
          <w:rFonts w:ascii="Arial" w:hAnsi="Arial" w:cs="Arial"/>
        </w:rPr>
        <w:t>Furthermore</w:t>
      </w:r>
      <w:r w:rsidR="007743F5">
        <w:rPr>
          <w:rFonts w:ascii="Arial" w:hAnsi="Arial" w:cs="Arial"/>
        </w:rPr>
        <w:t>, f</w:t>
      </w:r>
      <w:r w:rsidR="00DB6858" w:rsidRPr="00DB6858">
        <w:rPr>
          <w:rFonts w:ascii="Arial" w:hAnsi="Arial" w:cs="Arial"/>
        </w:rPr>
        <w:t>uture research should examine the specific knowledge management processes (creation, sharing, storage, application) separately to identify whether demographic patterns vary across different KM dimensions. Longitudinal studies could monitor the changes in knowledge engagement over the course of a worker's career. In addition to identifying particular obstacles and enablers at various career stages, qualitative research may offer a deeper comprehension of the mechanisms underlying the experience-engagement relationship.</w:t>
      </w:r>
      <w:r w:rsidR="00BE5497">
        <w:rPr>
          <w:rFonts w:ascii="Arial" w:hAnsi="Arial" w:cs="Arial"/>
        </w:rPr>
        <w:t xml:space="preserve"> </w:t>
      </w:r>
      <w:r w:rsidR="00D07E8E" w:rsidRPr="00D07E8E">
        <w:rPr>
          <w:rFonts w:ascii="Arial" w:hAnsi="Arial" w:cs="Arial"/>
        </w:rPr>
        <w:t xml:space="preserve">By identifying specific </w:t>
      </w:r>
      <w:r w:rsidR="00B53695">
        <w:rPr>
          <w:rFonts w:ascii="Arial" w:hAnsi="Arial" w:cs="Arial"/>
        </w:rPr>
        <w:t>obstacles</w:t>
      </w:r>
      <w:r w:rsidR="00D07E8E" w:rsidRPr="00D07E8E">
        <w:rPr>
          <w:rFonts w:ascii="Arial" w:hAnsi="Arial" w:cs="Arial"/>
        </w:rPr>
        <w:t xml:space="preserve"> and </w:t>
      </w:r>
      <w:r w:rsidR="00B53695">
        <w:rPr>
          <w:rFonts w:ascii="Arial" w:hAnsi="Arial" w:cs="Arial"/>
        </w:rPr>
        <w:t>enablers</w:t>
      </w:r>
      <w:r w:rsidR="00D07E8E" w:rsidRPr="00D07E8E">
        <w:rPr>
          <w:rFonts w:ascii="Arial" w:hAnsi="Arial" w:cs="Arial"/>
        </w:rPr>
        <w:t xml:space="preserve"> at different career stages, qualitative research may provide a deeper understanding of the mechanisms underlying the experience-engagement relationship.</w:t>
      </w:r>
    </w:p>
    <w:p w14:paraId="595B76F4" w14:textId="77777777" w:rsidR="00A779E5" w:rsidRPr="00DB6858" w:rsidRDefault="00A779E5" w:rsidP="00DB6858">
      <w:pPr>
        <w:pStyle w:val="Body"/>
        <w:spacing w:after="0"/>
        <w:rPr>
          <w:rFonts w:ascii="Arial" w:hAnsi="Arial" w:cs="Arial"/>
        </w:rPr>
      </w:pPr>
    </w:p>
    <w:p w14:paraId="1A4D449A" w14:textId="77777777" w:rsidR="00B01FCD" w:rsidRDefault="00DB6858" w:rsidP="00DB6858">
      <w:pPr>
        <w:pStyle w:val="Body"/>
        <w:spacing w:after="0"/>
        <w:rPr>
          <w:rFonts w:ascii="Arial" w:hAnsi="Arial" w:cs="Arial"/>
        </w:rPr>
      </w:pPr>
      <w:r w:rsidRPr="00DB6858">
        <w:rPr>
          <w:rFonts w:ascii="Arial" w:hAnsi="Arial" w:cs="Arial"/>
        </w:rPr>
        <w:t>Expanding this research to multiple institutions would enhance generalizability and enable cross-institutional comparisons. Investigating the quality and impact of knowledge contributions, not just frequency, would provide a more nuanced understanding of knowledge management effectiveness. Finally, examining organizational and cultural factors that moderate the relationship between demographics and knowledge practices would inform more context-sensitive KM strategy development.</w:t>
      </w:r>
    </w:p>
    <w:p w14:paraId="214D810B" w14:textId="352B6F25" w:rsidR="00790ADA" w:rsidRPr="00FB3A86" w:rsidRDefault="00790ADA" w:rsidP="00441B6F">
      <w:pPr>
        <w:pStyle w:val="Body"/>
        <w:spacing w:after="0"/>
        <w:rPr>
          <w:rFonts w:ascii="Arial" w:hAnsi="Arial" w:cs="Arial"/>
        </w:rPr>
      </w:pPr>
    </w:p>
    <w:p w14:paraId="5E44A037"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09C34157" w14:textId="77777777" w:rsidR="002B685A" w:rsidRPr="002B685A" w:rsidRDefault="002B685A" w:rsidP="00441B6F">
      <w:pPr>
        <w:pStyle w:val="ReferHead"/>
        <w:spacing w:after="0"/>
        <w:jc w:val="both"/>
        <w:rPr>
          <w:rFonts w:ascii="Arial" w:hAnsi="Arial" w:cs="Arial"/>
          <w:bCs/>
        </w:rPr>
      </w:pPr>
    </w:p>
    <w:p w14:paraId="22AE548A" w14:textId="77777777" w:rsidR="001A29D8" w:rsidRPr="00F469F0" w:rsidRDefault="001240A8" w:rsidP="00441B6F">
      <w:pPr>
        <w:pStyle w:val="ReferHead"/>
        <w:spacing w:after="0"/>
        <w:jc w:val="both"/>
        <w:rPr>
          <w:rFonts w:ascii="Arial" w:hAnsi="Arial" w:cs="Arial"/>
          <w:b w:val="0"/>
          <w:caps w:val="0"/>
          <w:sz w:val="20"/>
          <w:u w:val="single"/>
        </w:rPr>
      </w:pPr>
      <w:r w:rsidRPr="001240A8">
        <w:rPr>
          <w:rFonts w:ascii="Arial" w:hAnsi="Arial" w:cs="Arial"/>
          <w:b w:val="0"/>
          <w:caps w:val="0"/>
          <w:sz w:val="20"/>
        </w:rPr>
        <w:t>All survey participants provided informed consent prior to participation. Confidentiality and anonymity were maintained throughout the research process. The consent procedure was approved by the CBSUA Research Ethics Committee.</w:t>
      </w:r>
    </w:p>
    <w:p w14:paraId="14EDF2E0" w14:textId="77777777" w:rsidR="005C784C" w:rsidRDefault="005C784C" w:rsidP="00441B6F">
      <w:pPr>
        <w:pStyle w:val="ReferHead"/>
        <w:spacing w:after="0"/>
        <w:jc w:val="both"/>
        <w:rPr>
          <w:rFonts w:ascii="Arial" w:hAnsi="Arial" w:cs="Arial"/>
          <w:b w:val="0"/>
          <w:caps w:val="0"/>
          <w:sz w:val="20"/>
        </w:rPr>
      </w:pPr>
    </w:p>
    <w:p w14:paraId="078B2C75"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1353702" w14:textId="77777777" w:rsidR="005C784C" w:rsidRPr="002B685A" w:rsidRDefault="005C784C" w:rsidP="00441B6F">
      <w:pPr>
        <w:pStyle w:val="ReferHead"/>
        <w:spacing w:after="0"/>
        <w:jc w:val="both"/>
        <w:rPr>
          <w:rFonts w:ascii="Arial" w:hAnsi="Arial" w:cs="Arial"/>
          <w:bCs/>
        </w:rPr>
      </w:pPr>
    </w:p>
    <w:p w14:paraId="718C0B89" w14:textId="77777777" w:rsidR="0041027F" w:rsidRDefault="008A714D" w:rsidP="00441B6F">
      <w:pPr>
        <w:pStyle w:val="ReferHead"/>
        <w:spacing w:after="0"/>
        <w:jc w:val="both"/>
        <w:rPr>
          <w:rFonts w:ascii="Arial" w:hAnsi="Arial" w:cs="Arial"/>
          <w:b w:val="0"/>
          <w:caps w:val="0"/>
          <w:sz w:val="20"/>
        </w:rPr>
      </w:pPr>
      <w:r w:rsidRPr="008A714D">
        <w:rPr>
          <w:rFonts w:ascii="Arial" w:hAnsi="Arial" w:cs="Arial"/>
          <w:b w:val="0"/>
          <w:caps w:val="0"/>
          <w:sz w:val="20"/>
        </w:rPr>
        <w:t xml:space="preserve">This study was approved by the Central Bicol State University of Agriculture Research </w:t>
      </w:r>
      <w:r w:rsidR="00C570B2">
        <w:rPr>
          <w:rFonts w:ascii="Arial" w:hAnsi="Arial" w:cs="Arial"/>
          <w:b w:val="0"/>
          <w:caps w:val="0"/>
          <w:sz w:val="20"/>
        </w:rPr>
        <w:t>Services Division</w:t>
      </w:r>
      <w:r w:rsidRPr="008A714D">
        <w:rPr>
          <w:rFonts w:ascii="Arial" w:hAnsi="Arial" w:cs="Arial"/>
          <w:b w:val="0"/>
          <w:caps w:val="0"/>
          <w:sz w:val="20"/>
        </w:rPr>
        <w:t xml:space="preserve">. All research procedures adhered to ethical standards for human subjects research as outlined in the Declaration of Helsinki and </w:t>
      </w:r>
      <w:r w:rsidR="00C570B2">
        <w:rPr>
          <w:rFonts w:ascii="Arial" w:hAnsi="Arial" w:cs="Arial"/>
          <w:b w:val="0"/>
          <w:caps w:val="0"/>
          <w:sz w:val="20"/>
        </w:rPr>
        <w:t xml:space="preserve">the </w:t>
      </w:r>
      <w:r w:rsidRPr="008A714D">
        <w:rPr>
          <w:rFonts w:ascii="Arial" w:hAnsi="Arial" w:cs="Arial"/>
          <w:b w:val="0"/>
          <w:caps w:val="0"/>
          <w:sz w:val="20"/>
        </w:rPr>
        <w:t>Philippine ethical guidelines for research.</w:t>
      </w:r>
    </w:p>
    <w:p w14:paraId="1C9AD1C5" w14:textId="553ED263" w:rsidR="00F06DB1" w:rsidRDefault="00F06DB1" w:rsidP="00441B6F">
      <w:pPr>
        <w:pStyle w:val="ReferHead"/>
        <w:spacing w:after="0"/>
        <w:jc w:val="both"/>
        <w:rPr>
          <w:rFonts w:ascii="Arial" w:hAnsi="Arial" w:cs="Arial"/>
          <w:b w:val="0"/>
          <w:caps w:val="0"/>
          <w:sz w:val="20"/>
        </w:rPr>
      </w:pPr>
    </w:p>
    <w:p w14:paraId="0ED5F6E6" w14:textId="03843EB4" w:rsidR="003A5F45" w:rsidRDefault="00824513" w:rsidP="003A5F45">
      <w:pPr>
        <w:pStyle w:val="ReferHead"/>
        <w:spacing w:after="0"/>
        <w:jc w:val="both"/>
        <w:rPr>
          <w:rFonts w:ascii="Arial" w:hAnsi="Arial" w:cs="Arial"/>
          <w:bCs/>
        </w:rPr>
      </w:pPr>
      <w:r w:rsidRPr="00824513">
        <w:rPr>
          <w:rFonts w:ascii="Arial" w:hAnsi="Arial" w:cs="Arial"/>
          <w:bCs/>
        </w:rPr>
        <w:t>Disclaimer (Artificial intelligence)</w:t>
      </w:r>
      <w:r w:rsidR="003A5F45">
        <w:rPr>
          <w:rFonts w:ascii="Arial" w:hAnsi="Arial" w:cs="Arial"/>
          <w:bCs/>
        </w:rPr>
        <w:t xml:space="preserve"> </w:t>
      </w:r>
    </w:p>
    <w:p w14:paraId="416D8343" w14:textId="77777777" w:rsidR="003A5F45" w:rsidRPr="002B685A" w:rsidRDefault="003A5F45" w:rsidP="003A5F45">
      <w:pPr>
        <w:pStyle w:val="ReferHead"/>
        <w:spacing w:after="0"/>
        <w:jc w:val="both"/>
        <w:rPr>
          <w:rFonts w:ascii="Arial" w:hAnsi="Arial" w:cs="Arial"/>
          <w:bCs/>
        </w:rPr>
      </w:pPr>
    </w:p>
    <w:p w14:paraId="65FDB260" w14:textId="0D7078B1" w:rsidR="00F212AC" w:rsidRDefault="00F212AC" w:rsidP="007821B4">
      <w:pPr>
        <w:pStyle w:val="ReferHead"/>
        <w:spacing w:after="0"/>
        <w:jc w:val="both"/>
        <w:rPr>
          <w:rFonts w:ascii="Arial" w:hAnsi="Arial" w:cs="Arial"/>
          <w:b w:val="0"/>
          <w:caps w:val="0"/>
          <w:sz w:val="20"/>
        </w:rPr>
      </w:pPr>
      <w:bookmarkStart w:id="2" w:name="_Hlk213410455"/>
      <w:r w:rsidRPr="002D0511">
        <w:rPr>
          <w:rFonts w:ascii="Arial" w:hAnsi="Arial" w:cs="Arial"/>
          <w:b w:val="0"/>
          <w:caps w:val="0"/>
          <w:sz w:val="20"/>
        </w:rPr>
        <w:t xml:space="preserve">Author(s) hereby declare that generative AI technologies such as Large Language Models have been used during the writing or editing of this manuscript. </w:t>
      </w:r>
      <w:r w:rsidRPr="00F212AC">
        <w:rPr>
          <w:rFonts w:ascii="Arial" w:hAnsi="Arial" w:cs="Arial"/>
          <w:b w:val="0"/>
          <w:caps w:val="0"/>
          <w:sz w:val="20"/>
        </w:rPr>
        <w:t>During the preparation of the manuscript, Claude Sonnet 4.5 (Anthropic) w</w:t>
      </w:r>
      <w:r w:rsidR="008756D3">
        <w:rPr>
          <w:rFonts w:ascii="Arial" w:hAnsi="Arial" w:cs="Arial"/>
          <w:b w:val="0"/>
          <w:caps w:val="0"/>
          <w:sz w:val="20"/>
        </w:rPr>
        <w:t xml:space="preserve">as specifically used for a purpose of </w:t>
      </w:r>
      <w:r w:rsidRPr="00F212AC">
        <w:rPr>
          <w:rFonts w:ascii="Arial" w:hAnsi="Arial" w:cs="Arial"/>
          <w:b w:val="0"/>
          <w:caps w:val="0"/>
          <w:sz w:val="20"/>
        </w:rPr>
        <w:t>check</w:t>
      </w:r>
      <w:r w:rsidR="008756D3">
        <w:rPr>
          <w:rFonts w:ascii="Arial" w:hAnsi="Arial" w:cs="Arial"/>
          <w:b w:val="0"/>
          <w:caps w:val="0"/>
          <w:sz w:val="20"/>
        </w:rPr>
        <w:t>ing</w:t>
      </w:r>
      <w:r w:rsidRPr="00F212AC">
        <w:rPr>
          <w:rFonts w:ascii="Arial" w:hAnsi="Arial" w:cs="Arial"/>
          <w:b w:val="0"/>
          <w:caps w:val="0"/>
          <w:sz w:val="20"/>
        </w:rPr>
        <w:t xml:space="preserve"> the manuscript's grammar, improve its language, and edit its structure. While preserving the original research content and findings, a few paragraphs and sections were submitted for grammar correction, sentence structure improvement, and clarity enhancement. It is crucial to remember that the authors' original intellectual work is retained in all significant content, research design, data collection, statistical analysis, interpretation of findings, and </w:t>
      </w:r>
      <w:r w:rsidRPr="00F212AC">
        <w:rPr>
          <w:rFonts w:ascii="Arial" w:hAnsi="Arial" w:cs="Arial"/>
          <w:b w:val="0"/>
          <w:caps w:val="0"/>
          <w:sz w:val="20"/>
        </w:rPr>
        <w:lastRenderedPageBreak/>
        <w:t>conclusions. The AI was only utilized as an editorial tool to improve presentation quality and readability.</w:t>
      </w:r>
    </w:p>
    <w:p w14:paraId="08FC8587" w14:textId="37A114D5" w:rsidR="008935D3" w:rsidRPr="007821B4" w:rsidRDefault="008935D3" w:rsidP="007821B4">
      <w:pPr>
        <w:pStyle w:val="ReferHead"/>
        <w:spacing w:after="0"/>
        <w:jc w:val="both"/>
        <w:rPr>
          <w:rFonts w:ascii="Arial" w:hAnsi="Arial" w:cs="Arial"/>
          <w:b w:val="0"/>
          <w:caps w:val="0"/>
          <w:sz w:val="20"/>
        </w:rPr>
      </w:pPr>
    </w:p>
    <w:bookmarkEnd w:id="2"/>
    <w:p w14:paraId="24A36F5F" w14:textId="77777777" w:rsidR="00860000" w:rsidRDefault="00860000" w:rsidP="00441B6F">
      <w:pPr>
        <w:pStyle w:val="ReferHead"/>
        <w:spacing w:after="0"/>
        <w:jc w:val="both"/>
        <w:rPr>
          <w:rFonts w:ascii="Arial" w:hAnsi="Arial" w:cs="Arial"/>
        </w:rPr>
      </w:pPr>
    </w:p>
    <w:p w14:paraId="2CF4646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BCBBE7" w14:textId="77777777" w:rsidR="00790ADA" w:rsidRPr="00FB3A86" w:rsidRDefault="00790ADA" w:rsidP="00441B6F">
      <w:pPr>
        <w:pStyle w:val="ReferHead"/>
        <w:spacing w:after="0"/>
        <w:jc w:val="both"/>
        <w:rPr>
          <w:rFonts w:ascii="Arial" w:hAnsi="Arial" w:cs="Arial"/>
        </w:rPr>
      </w:pPr>
    </w:p>
    <w:p w14:paraId="70F43F58" w14:textId="77777777" w:rsidR="00FD2B60" w:rsidRPr="00451DDB" w:rsidRDefault="00FD2B60" w:rsidP="00451DDB">
      <w:pPr>
        <w:jc w:val="both"/>
        <w:rPr>
          <w:rFonts w:ascii="Arial" w:hAnsi="Arial" w:cs="Arial"/>
        </w:rPr>
      </w:pPr>
      <w:r w:rsidRPr="00276817">
        <w:rPr>
          <w:rFonts w:ascii="Arial" w:hAnsi="Arial" w:cs="Arial"/>
        </w:rPr>
        <w:t xml:space="preserve">Ahmad, S. F., Alam, M. M., Rahmat, M. K., Mubarik, M. S., &amp; Hyder, S. I. (2022). Academic and Administrative Role of Artificial Intelligence in Education. </w:t>
      </w:r>
      <w:r w:rsidRPr="00276817">
        <w:rPr>
          <w:rFonts w:ascii="Arial" w:hAnsi="Arial" w:cs="Arial"/>
          <w:i/>
          <w:iCs/>
        </w:rPr>
        <w:t>Sustainability 2022, Vol. 14, Page 1101</w:t>
      </w:r>
      <w:r w:rsidRPr="00276817">
        <w:rPr>
          <w:rFonts w:ascii="Arial" w:hAnsi="Arial" w:cs="Arial"/>
        </w:rPr>
        <w:t xml:space="preserve">, </w:t>
      </w:r>
      <w:r w:rsidRPr="00276817">
        <w:rPr>
          <w:rFonts w:ascii="Arial" w:hAnsi="Arial" w:cs="Arial"/>
          <w:i/>
          <w:iCs/>
        </w:rPr>
        <w:t>14</w:t>
      </w:r>
      <w:r w:rsidRPr="00276817">
        <w:rPr>
          <w:rFonts w:ascii="Arial" w:hAnsi="Arial" w:cs="Arial"/>
        </w:rPr>
        <w:t xml:space="preserve">(3), 1101. </w:t>
      </w:r>
      <w:hyperlink r:id="rId8" w:history="1">
        <w:r w:rsidRPr="00451DDB">
          <w:rPr>
            <w:rStyle w:val="Hyperlink"/>
            <w:rFonts w:ascii="Arial" w:hAnsi="Arial" w:cs="Arial"/>
          </w:rPr>
          <w:t>https://doi.org/10.3390/SU14031101</w:t>
        </w:r>
      </w:hyperlink>
    </w:p>
    <w:p w14:paraId="652EF798" w14:textId="77777777" w:rsidR="00FD2B60" w:rsidRDefault="00FD2B60" w:rsidP="00D02B2B">
      <w:pPr>
        <w:jc w:val="both"/>
        <w:rPr>
          <w:rFonts w:ascii="Arial" w:hAnsi="Arial" w:cs="Arial"/>
          <w:szCs w:val="24"/>
        </w:rPr>
      </w:pPr>
      <w:r w:rsidRPr="007E4F34">
        <w:rPr>
          <w:rFonts w:ascii="Arial" w:hAnsi="Arial" w:cs="Arial"/>
          <w:szCs w:val="24"/>
        </w:rPr>
        <w:t xml:space="preserve">Baltazar, J. R., Ferreira, J. J., &amp; Hughes, M. (2025). What do we know about strategic approaches to family businesses succession? A systematic review and future agenda. Scandinavian Journal of Management, 41(2), 101396. </w:t>
      </w:r>
      <w:hyperlink r:id="rId9" w:history="1">
        <w:r w:rsidRPr="003164ED">
          <w:rPr>
            <w:rStyle w:val="Hyperlink"/>
            <w:rFonts w:ascii="Arial" w:hAnsi="Arial" w:cs="Arial"/>
            <w:szCs w:val="24"/>
          </w:rPr>
          <w:t>https://doi.org/10.1016/J.SCAMAN.2025.101396</w:t>
        </w:r>
      </w:hyperlink>
    </w:p>
    <w:p w14:paraId="55DD8052" w14:textId="77777777" w:rsidR="00FD2B60" w:rsidRPr="00DD598E" w:rsidRDefault="00FD2B60" w:rsidP="006D48B6">
      <w:pPr>
        <w:pStyle w:val="font-claude-response-body"/>
        <w:spacing w:before="0" w:beforeAutospacing="0" w:after="0" w:afterAutospacing="0"/>
        <w:jc w:val="both"/>
        <w:rPr>
          <w:rFonts w:ascii="Arial" w:hAnsi="Arial" w:cs="Arial"/>
          <w:sz w:val="20"/>
          <w:szCs w:val="20"/>
        </w:rPr>
      </w:pPr>
      <w:r w:rsidRPr="00DD598E">
        <w:rPr>
          <w:rStyle w:val="Strong"/>
          <w:rFonts w:ascii="Arial" w:hAnsi="Arial" w:cs="Arial"/>
          <w:b w:val="0"/>
          <w:sz w:val="20"/>
          <w:szCs w:val="20"/>
        </w:rPr>
        <w:t xml:space="preserve">Davenport, T. H., &amp; </w:t>
      </w:r>
      <w:proofErr w:type="spellStart"/>
      <w:r w:rsidRPr="00DD598E">
        <w:rPr>
          <w:rStyle w:val="Strong"/>
          <w:rFonts w:ascii="Arial" w:hAnsi="Arial" w:cs="Arial"/>
          <w:b w:val="0"/>
          <w:sz w:val="20"/>
          <w:szCs w:val="20"/>
        </w:rPr>
        <w:t>Prusak</w:t>
      </w:r>
      <w:proofErr w:type="spellEnd"/>
      <w:r w:rsidRPr="00DD598E">
        <w:rPr>
          <w:rStyle w:val="Strong"/>
          <w:rFonts w:ascii="Arial" w:hAnsi="Arial" w:cs="Arial"/>
          <w:b w:val="0"/>
          <w:sz w:val="20"/>
          <w:szCs w:val="20"/>
        </w:rPr>
        <w:t xml:space="preserve">, L. (1998). </w:t>
      </w:r>
      <w:r w:rsidRPr="00DD598E">
        <w:rPr>
          <w:rStyle w:val="Emphasis"/>
          <w:rFonts w:ascii="Arial" w:hAnsi="Arial" w:cs="Arial"/>
          <w:bCs/>
          <w:sz w:val="20"/>
          <w:szCs w:val="20"/>
        </w:rPr>
        <w:t>Working knowledge: How organizations manage what they know</w:t>
      </w:r>
      <w:r w:rsidRPr="00DD598E">
        <w:rPr>
          <w:rStyle w:val="Strong"/>
          <w:rFonts w:ascii="Arial" w:hAnsi="Arial" w:cs="Arial"/>
          <w:b w:val="0"/>
          <w:sz w:val="20"/>
          <w:szCs w:val="20"/>
        </w:rPr>
        <w:t>. Harvard Business School Press.</w:t>
      </w:r>
    </w:p>
    <w:p w14:paraId="2D90BE87" w14:textId="77777777" w:rsidR="00FD2B60" w:rsidRPr="00451DDB" w:rsidRDefault="00FD2B60" w:rsidP="00451DDB">
      <w:pPr>
        <w:jc w:val="both"/>
        <w:rPr>
          <w:rFonts w:ascii="Arial" w:hAnsi="Arial" w:cs="Arial"/>
        </w:rPr>
      </w:pPr>
      <w:proofErr w:type="spellStart"/>
      <w:r w:rsidRPr="0031531F">
        <w:rPr>
          <w:rFonts w:ascii="Arial" w:hAnsi="Arial" w:cs="Arial"/>
        </w:rPr>
        <w:t>Faldesiani</w:t>
      </w:r>
      <w:proofErr w:type="spellEnd"/>
      <w:r w:rsidRPr="0031531F">
        <w:rPr>
          <w:rFonts w:ascii="Arial" w:hAnsi="Arial" w:cs="Arial"/>
        </w:rPr>
        <w:t xml:space="preserve">, R., &amp; Senen, S. H. (2024). Knowledge Management Systems in Higher Education: A Comprehensive Study through Systematic Literature Review and Bibliometric Analysis (2019-2023). </w:t>
      </w:r>
      <w:r w:rsidRPr="0031531F">
        <w:rPr>
          <w:rFonts w:ascii="Arial" w:hAnsi="Arial" w:cs="Arial"/>
          <w:i/>
          <w:iCs/>
        </w:rPr>
        <w:t xml:space="preserve">The </w:t>
      </w:r>
      <w:proofErr w:type="spellStart"/>
      <w:r w:rsidRPr="0031531F">
        <w:rPr>
          <w:rFonts w:ascii="Arial" w:hAnsi="Arial" w:cs="Arial"/>
          <w:i/>
          <w:iCs/>
        </w:rPr>
        <w:t>Eastasouth</w:t>
      </w:r>
      <w:proofErr w:type="spellEnd"/>
      <w:r w:rsidRPr="0031531F">
        <w:rPr>
          <w:rFonts w:ascii="Arial" w:hAnsi="Arial" w:cs="Arial"/>
          <w:i/>
          <w:iCs/>
        </w:rPr>
        <w:t xml:space="preserve"> Management and Business</w:t>
      </w:r>
      <w:r w:rsidRPr="0031531F">
        <w:rPr>
          <w:rFonts w:ascii="Arial" w:hAnsi="Arial" w:cs="Arial"/>
        </w:rPr>
        <w:t xml:space="preserve">, </w:t>
      </w:r>
      <w:r w:rsidRPr="0031531F">
        <w:rPr>
          <w:rFonts w:ascii="Arial" w:hAnsi="Arial" w:cs="Arial"/>
          <w:i/>
          <w:iCs/>
        </w:rPr>
        <w:t>2</w:t>
      </w:r>
      <w:r w:rsidRPr="0031531F">
        <w:rPr>
          <w:rFonts w:ascii="Arial" w:hAnsi="Arial" w:cs="Arial"/>
        </w:rPr>
        <w:t xml:space="preserve">(02), 184–201. </w:t>
      </w:r>
      <w:hyperlink r:id="rId10" w:history="1">
        <w:r w:rsidRPr="00451DDB">
          <w:rPr>
            <w:rStyle w:val="Hyperlink"/>
            <w:rFonts w:ascii="Arial" w:hAnsi="Arial" w:cs="Arial"/>
          </w:rPr>
          <w:t>https://doi.org/10.58812/ESMB.V2I02.185</w:t>
        </w:r>
      </w:hyperlink>
    </w:p>
    <w:p w14:paraId="24EA1ABC" w14:textId="77777777" w:rsidR="00FD2B60" w:rsidRDefault="00FD2B60" w:rsidP="00456E18">
      <w:pPr>
        <w:jc w:val="both"/>
        <w:rPr>
          <w:rStyle w:val="Hyperlink"/>
          <w:rFonts w:ascii="Arial" w:hAnsi="Arial" w:cs="Arial"/>
        </w:rPr>
      </w:pPr>
      <w:proofErr w:type="spellStart"/>
      <w:r w:rsidRPr="008D5873">
        <w:rPr>
          <w:rFonts w:ascii="Arial" w:hAnsi="Arial" w:cs="Arial"/>
        </w:rPr>
        <w:t>Fasbender</w:t>
      </w:r>
      <w:proofErr w:type="spellEnd"/>
      <w:r w:rsidRPr="008D5873">
        <w:rPr>
          <w:rFonts w:ascii="Arial" w:hAnsi="Arial" w:cs="Arial"/>
        </w:rPr>
        <w:t xml:space="preserve">, U., &amp; </w:t>
      </w:r>
      <w:proofErr w:type="spellStart"/>
      <w:r w:rsidRPr="008D5873">
        <w:rPr>
          <w:rFonts w:ascii="Arial" w:hAnsi="Arial" w:cs="Arial"/>
        </w:rPr>
        <w:t>Gerpott</w:t>
      </w:r>
      <w:proofErr w:type="spellEnd"/>
      <w:r w:rsidRPr="008D5873">
        <w:rPr>
          <w:rFonts w:ascii="Arial" w:hAnsi="Arial" w:cs="Arial"/>
        </w:rPr>
        <w:t xml:space="preserve">, F. H. (2022). Knowledge Transfer Between Younger and Older Employees: A Temporal Social Comparison Model. </w:t>
      </w:r>
      <w:r w:rsidRPr="008D5873">
        <w:rPr>
          <w:rFonts w:ascii="Arial" w:hAnsi="Arial" w:cs="Arial"/>
          <w:i/>
          <w:iCs/>
        </w:rPr>
        <w:t>Work, Aging and Retirement</w:t>
      </w:r>
      <w:r w:rsidRPr="008D5873">
        <w:rPr>
          <w:rFonts w:ascii="Arial" w:hAnsi="Arial" w:cs="Arial"/>
        </w:rPr>
        <w:t xml:space="preserve">, </w:t>
      </w:r>
      <w:r w:rsidRPr="008D5873">
        <w:rPr>
          <w:rFonts w:ascii="Arial" w:hAnsi="Arial" w:cs="Arial"/>
          <w:i/>
          <w:iCs/>
        </w:rPr>
        <w:t>8</w:t>
      </w:r>
      <w:r w:rsidRPr="008D5873">
        <w:rPr>
          <w:rFonts w:ascii="Arial" w:hAnsi="Arial" w:cs="Arial"/>
        </w:rPr>
        <w:t xml:space="preserve">(2), 146–162. </w:t>
      </w:r>
      <w:hyperlink r:id="rId11" w:history="1">
        <w:r w:rsidRPr="00456E18">
          <w:rPr>
            <w:rStyle w:val="Hyperlink"/>
            <w:rFonts w:ascii="Arial" w:hAnsi="Arial" w:cs="Arial"/>
          </w:rPr>
          <w:t>https://doi.org/10.1093/WORKAR/WAAB017</w:t>
        </w:r>
      </w:hyperlink>
    </w:p>
    <w:p w14:paraId="44106208" w14:textId="77777777" w:rsidR="00FD2B60" w:rsidRPr="00451DDB" w:rsidRDefault="00FD2B60" w:rsidP="00451DDB">
      <w:pPr>
        <w:jc w:val="both"/>
        <w:rPr>
          <w:rFonts w:ascii="Arial" w:hAnsi="Arial" w:cs="Arial"/>
        </w:rPr>
      </w:pPr>
      <w:proofErr w:type="spellStart"/>
      <w:r w:rsidRPr="00FE7A8E">
        <w:rPr>
          <w:rFonts w:ascii="Arial" w:hAnsi="Arial" w:cs="Arial"/>
        </w:rPr>
        <w:t>Galgotia</w:t>
      </w:r>
      <w:proofErr w:type="spellEnd"/>
      <w:r w:rsidRPr="00FE7A8E">
        <w:rPr>
          <w:rFonts w:ascii="Arial" w:hAnsi="Arial" w:cs="Arial"/>
        </w:rPr>
        <w:t xml:space="preserve">, D., &amp; Lakshmi, N. (2022). Implementation of Knowledge Management in Higher Education: A Comparative Study of Private and Government Universities in India and Abroad. </w:t>
      </w:r>
      <w:r w:rsidRPr="00FE7A8E">
        <w:rPr>
          <w:rFonts w:ascii="Arial" w:hAnsi="Arial" w:cs="Arial"/>
          <w:i/>
          <w:iCs/>
        </w:rPr>
        <w:t>Frontiers in Psychology</w:t>
      </w:r>
      <w:r w:rsidRPr="00FE7A8E">
        <w:rPr>
          <w:rFonts w:ascii="Arial" w:hAnsi="Arial" w:cs="Arial"/>
        </w:rPr>
        <w:t xml:space="preserve">, </w:t>
      </w:r>
      <w:r w:rsidRPr="00FE7A8E">
        <w:rPr>
          <w:rFonts w:ascii="Arial" w:hAnsi="Arial" w:cs="Arial"/>
          <w:i/>
          <w:iCs/>
        </w:rPr>
        <w:t>13</w:t>
      </w:r>
      <w:r w:rsidRPr="00FE7A8E">
        <w:rPr>
          <w:rFonts w:ascii="Arial" w:hAnsi="Arial" w:cs="Arial"/>
        </w:rPr>
        <w:t xml:space="preserve">. </w:t>
      </w:r>
      <w:hyperlink r:id="rId12" w:history="1">
        <w:r w:rsidRPr="00451DDB">
          <w:rPr>
            <w:rStyle w:val="Hyperlink"/>
            <w:rFonts w:ascii="Arial" w:hAnsi="Arial" w:cs="Arial"/>
          </w:rPr>
          <w:t>https://doi.org/10.3389/FPSYG.2022.944153</w:t>
        </w:r>
      </w:hyperlink>
    </w:p>
    <w:p w14:paraId="438DAE8A" w14:textId="77777777" w:rsidR="00FD2B60" w:rsidRDefault="00FD2B60" w:rsidP="00511DCE">
      <w:pPr>
        <w:jc w:val="both"/>
        <w:rPr>
          <w:rFonts w:ascii="Arial" w:hAnsi="Arial" w:cs="Arial"/>
        </w:rPr>
      </w:pPr>
      <w:proofErr w:type="spellStart"/>
      <w:r w:rsidRPr="00451DDB">
        <w:rPr>
          <w:rFonts w:ascii="Arial" w:hAnsi="Arial" w:cs="Arial"/>
        </w:rPr>
        <w:t>Hatamleh</w:t>
      </w:r>
      <w:proofErr w:type="spellEnd"/>
      <w:r w:rsidRPr="00451DDB">
        <w:rPr>
          <w:rFonts w:ascii="Arial" w:hAnsi="Arial" w:cs="Arial"/>
        </w:rPr>
        <w:t xml:space="preserve">, A. (2023). Motivating factors influencing knowledge sharing behavior among academic staff. HNSJ Journal, 4(5). </w:t>
      </w:r>
      <w:hyperlink r:id="rId13" w:history="1">
        <w:r w:rsidRPr="00451DDB">
          <w:rPr>
            <w:rStyle w:val="Hyperlink"/>
            <w:rFonts w:ascii="Arial" w:hAnsi="Arial" w:cs="Arial"/>
          </w:rPr>
          <w:t>https://doi.org/10.53796/hnsj454</w:t>
        </w:r>
      </w:hyperlink>
    </w:p>
    <w:p w14:paraId="2D6DB19C" w14:textId="77777777" w:rsidR="00FD2B60" w:rsidRPr="00451DDB" w:rsidRDefault="00FD2B60" w:rsidP="00451DDB">
      <w:pPr>
        <w:jc w:val="both"/>
        <w:rPr>
          <w:rFonts w:ascii="Arial" w:hAnsi="Arial" w:cs="Arial"/>
        </w:rPr>
      </w:pPr>
      <w:proofErr w:type="spellStart"/>
      <w:r w:rsidRPr="00E64CEB">
        <w:rPr>
          <w:rFonts w:ascii="Arial" w:hAnsi="Arial" w:cs="Arial"/>
        </w:rPr>
        <w:t>Heisig</w:t>
      </w:r>
      <w:proofErr w:type="spellEnd"/>
      <w:r w:rsidRPr="00E64CEB">
        <w:rPr>
          <w:rFonts w:ascii="Arial" w:hAnsi="Arial" w:cs="Arial"/>
        </w:rPr>
        <w:t xml:space="preserve">, P., &amp; Kannan, S. (2020). Knowledge management: does gender matter? A systematic review of literature. </w:t>
      </w:r>
      <w:r w:rsidRPr="00E64CEB">
        <w:rPr>
          <w:rFonts w:ascii="Arial" w:hAnsi="Arial" w:cs="Arial"/>
          <w:i/>
          <w:iCs/>
        </w:rPr>
        <w:t>Journal of Knowledge Management</w:t>
      </w:r>
      <w:r w:rsidRPr="00E64CEB">
        <w:rPr>
          <w:rFonts w:ascii="Arial" w:hAnsi="Arial" w:cs="Arial"/>
        </w:rPr>
        <w:t xml:space="preserve">, </w:t>
      </w:r>
      <w:r w:rsidRPr="00E64CEB">
        <w:rPr>
          <w:rFonts w:ascii="Arial" w:hAnsi="Arial" w:cs="Arial"/>
          <w:i/>
          <w:iCs/>
        </w:rPr>
        <w:t>24</w:t>
      </w:r>
      <w:r w:rsidRPr="00E64CEB">
        <w:rPr>
          <w:rFonts w:ascii="Arial" w:hAnsi="Arial" w:cs="Arial"/>
        </w:rPr>
        <w:t xml:space="preserve">(6), 1315–1342. </w:t>
      </w:r>
      <w:hyperlink r:id="rId14" w:history="1">
        <w:r w:rsidRPr="00451DDB">
          <w:rPr>
            <w:rStyle w:val="Hyperlink"/>
            <w:rFonts w:ascii="Arial" w:hAnsi="Arial" w:cs="Arial"/>
          </w:rPr>
          <w:t>https://doi.org/10.1108/JKM-08-2018-0472</w:t>
        </w:r>
      </w:hyperlink>
    </w:p>
    <w:p w14:paraId="64438077" w14:textId="77777777" w:rsidR="00FD2B60" w:rsidRPr="00451DDB" w:rsidRDefault="00FD2B60" w:rsidP="00451DDB">
      <w:pPr>
        <w:jc w:val="both"/>
        <w:rPr>
          <w:rFonts w:ascii="Arial" w:hAnsi="Arial" w:cs="Arial"/>
        </w:rPr>
      </w:pPr>
      <w:r w:rsidRPr="0065018E">
        <w:rPr>
          <w:rFonts w:ascii="Arial" w:hAnsi="Arial" w:cs="Arial"/>
        </w:rPr>
        <w:t xml:space="preserve">Hoque, K. E., &amp; Zheng, C. (2024). Succession planning in higher education: A systematic literature review (2012–2022). </w:t>
      </w:r>
      <w:r w:rsidRPr="0065018E">
        <w:rPr>
          <w:rFonts w:ascii="Arial" w:hAnsi="Arial" w:cs="Arial"/>
          <w:i/>
          <w:iCs/>
        </w:rPr>
        <w:t>Human Resources Management and Services</w:t>
      </w:r>
      <w:r w:rsidRPr="0065018E">
        <w:rPr>
          <w:rFonts w:ascii="Arial" w:hAnsi="Arial" w:cs="Arial"/>
        </w:rPr>
        <w:t xml:space="preserve">, </w:t>
      </w:r>
      <w:r w:rsidRPr="0065018E">
        <w:rPr>
          <w:rFonts w:ascii="Arial" w:hAnsi="Arial" w:cs="Arial"/>
          <w:i/>
          <w:iCs/>
        </w:rPr>
        <w:t>6</w:t>
      </w:r>
      <w:r w:rsidRPr="0065018E">
        <w:rPr>
          <w:rFonts w:ascii="Arial" w:hAnsi="Arial" w:cs="Arial"/>
        </w:rPr>
        <w:t xml:space="preserve">(4), 3391–3391. </w:t>
      </w:r>
      <w:hyperlink r:id="rId15" w:history="1">
        <w:r w:rsidRPr="00451DDB">
          <w:rPr>
            <w:rStyle w:val="Hyperlink"/>
            <w:rFonts w:ascii="Arial" w:hAnsi="Arial" w:cs="Arial"/>
          </w:rPr>
          <w:t>https://doi.org/10.18282/HRMS3391</w:t>
        </w:r>
      </w:hyperlink>
    </w:p>
    <w:p w14:paraId="0CA44A6C" w14:textId="77777777" w:rsidR="00FD2B60" w:rsidRPr="00451DDB" w:rsidRDefault="00FD2B60" w:rsidP="00451DDB">
      <w:pPr>
        <w:jc w:val="both"/>
        <w:rPr>
          <w:rFonts w:ascii="Arial" w:hAnsi="Arial" w:cs="Arial"/>
        </w:rPr>
      </w:pPr>
      <w:r w:rsidRPr="00451DDB">
        <w:rPr>
          <w:rFonts w:ascii="Arial" w:hAnsi="Arial" w:cs="Arial"/>
        </w:rPr>
        <w:t>Jones-Esan, L. (2022). Knowledge Management and the Knowledge Economy in Higher Education. In: Knowledge Management and Research Innovation in Global Higher Education Institutions. IGI Global, pp. 165-178</w:t>
      </w:r>
    </w:p>
    <w:p w14:paraId="15C7C803" w14:textId="77777777" w:rsidR="00FD2B60" w:rsidRDefault="00FD2B60" w:rsidP="00511DCE">
      <w:pPr>
        <w:jc w:val="both"/>
        <w:rPr>
          <w:rFonts w:ascii="Arial" w:hAnsi="Arial" w:cs="Arial"/>
          <w:szCs w:val="24"/>
        </w:rPr>
      </w:pPr>
      <w:proofErr w:type="spellStart"/>
      <w:r w:rsidRPr="00272E07">
        <w:rPr>
          <w:rFonts w:ascii="Arial" w:hAnsi="Arial" w:cs="Arial"/>
          <w:szCs w:val="24"/>
        </w:rPr>
        <w:t>Kaba</w:t>
      </w:r>
      <w:proofErr w:type="spellEnd"/>
      <w:r w:rsidRPr="00272E07">
        <w:rPr>
          <w:rFonts w:ascii="Arial" w:hAnsi="Arial" w:cs="Arial"/>
          <w:szCs w:val="24"/>
        </w:rPr>
        <w:t xml:space="preserve">, A., </w:t>
      </w:r>
      <w:proofErr w:type="spellStart"/>
      <w:r w:rsidRPr="00272E07">
        <w:rPr>
          <w:rFonts w:ascii="Arial" w:hAnsi="Arial" w:cs="Arial"/>
          <w:szCs w:val="24"/>
        </w:rPr>
        <w:t>Eletter</w:t>
      </w:r>
      <w:proofErr w:type="spellEnd"/>
      <w:r w:rsidRPr="00272E07">
        <w:rPr>
          <w:rFonts w:ascii="Arial" w:hAnsi="Arial" w:cs="Arial"/>
          <w:szCs w:val="24"/>
        </w:rPr>
        <w:t xml:space="preserve">, S., Ramaiah, C. K., &amp; el </w:t>
      </w:r>
      <w:proofErr w:type="spellStart"/>
      <w:r w:rsidRPr="00272E07">
        <w:rPr>
          <w:rFonts w:ascii="Arial" w:hAnsi="Arial" w:cs="Arial"/>
          <w:szCs w:val="24"/>
        </w:rPr>
        <w:t>Refae</w:t>
      </w:r>
      <w:proofErr w:type="spellEnd"/>
      <w:r w:rsidRPr="00272E07">
        <w:rPr>
          <w:rFonts w:ascii="Arial" w:hAnsi="Arial" w:cs="Arial"/>
          <w:szCs w:val="24"/>
        </w:rPr>
        <w:t xml:space="preserve">, G. A. (2025). Demographic differences in attitude, subjective norms, behavioral intention, and knowledge sharing behavior: an empirical study of non-academic staff from India and the UAE. </w:t>
      </w:r>
      <w:r w:rsidRPr="00272E07">
        <w:rPr>
          <w:rFonts w:ascii="Arial" w:hAnsi="Arial" w:cs="Arial"/>
          <w:i/>
          <w:iCs/>
          <w:szCs w:val="24"/>
        </w:rPr>
        <w:t>VINE Journal of Information and Knowledge Management Systems</w:t>
      </w:r>
      <w:r w:rsidRPr="00272E07">
        <w:rPr>
          <w:rFonts w:ascii="Arial" w:hAnsi="Arial" w:cs="Arial"/>
          <w:szCs w:val="24"/>
        </w:rPr>
        <w:t xml:space="preserve">, </w:t>
      </w:r>
      <w:r w:rsidRPr="00272E07">
        <w:rPr>
          <w:rFonts w:ascii="Arial" w:hAnsi="Arial" w:cs="Arial"/>
          <w:i/>
          <w:iCs/>
          <w:szCs w:val="24"/>
        </w:rPr>
        <w:t>55</w:t>
      </w:r>
      <w:r w:rsidRPr="00272E07">
        <w:rPr>
          <w:rFonts w:ascii="Arial" w:hAnsi="Arial" w:cs="Arial"/>
          <w:szCs w:val="24"/>
        </w:rPr>
        <w:t xml:space="preserve">(2), 470–491. </w:t>
      </w:r>
      <w:hyperlink r:id="rId16" w:history="1">
        <w:r w:rsidRPr="003164ED">
          <w:rPr>
            <w:rStyle w:val="Hyperlink"/>
            <w:rFonts w:ascii="Arial" w:hAnsi="Arial" w:cs="Arial"/>
            <w:szCs w:val="24"/>
          </w:rPr>
          <w:t>https://doi.org/10.1108/VJIKMS-07-2022-0235</w:t>
        </w:r>
      </w:hyperlink>
    </w:p>
    <w:p w14:paraId="2C50C61A" w14:textId="77777777" w:rsidR="00FD2B60" w:rsidRPr="00451DDB" w:rsidRDefault="00FD2B60" w:rsidP="00451DDB">
      <w:pPr>
        <w:jc w:val="both"/>
        <w:rPr>
          <w:rFonts w:ascii="Arial" w:hAnsi="Arial" w:cs="Arial"/>
        </w:rPr>
      </w:pPr>
      <w:r w:rsidRPr="00285CFB">
        <w:rPr>
          <w:rFonts w:ascii="Arial" w:hAnsi="Arial" w:cs="Arial"/>
        </w:rPr>
        <w:t>Kumar, N., Cook, E. J., Fayda-</w:t>
      </w:r>
      <w:proofErr w:type="spellStart"/>
      <w:r w:rsidRPr="00285CFB">
        <w:rPr>
          <w:rFonts w:ascii="Arial" w:hAnsi="Arial" w:cs="Arial"/>
        </w:rPr>
        <w:t>Kinik</w:t>
      </w:r>
      <w:proofErr w:type="spellEnd"/>
      <w:r w:rsidRPr="00285CFB">
        <w:rPr>
          <w:rFonts w:ascii="Arial" w:hAnsi="Arial" w:cs="Arial"/>
        </w:rPr>
        <w:t xml:space="preserve">, F. S., &amp; Maisuradze, L. (2024). ICTs Influence on Knowledge Sharing in Higher Education: A Pre-AI Systematic Literature Review. </w:t>
      </w:r>
      <w:r w:rsidRPr="00285CFB">
        <w:rPr>
          <w:rFonts w:ascii="Arial" w:hAnsi="Arial" w:cs="Arial"/>
          <w:i/>
          <w:iCs/>
        </w:rPr>
        <w:t>European Journal of Education</w:t>
      </w:r>
      <w:r w:rsidRPr="00285CFB">
        <w:rPr>
          <w:rFonts w:ascii="Arial" w:hAnsi="Arial" w:cs="Arial"/>
        </w:rPr>
        <w:t xml:space="preserve">, </w:t>
      </w:r>
      <w:r w:rsidRPr="00285CFB">
        <w:rPr>
          <w:rFonts w:ascii="Arial" w:hAnsi="Arial" w:cs="Arial"/>
          <w:i/>
          <w:iCs/>
        </w:rPr>
        <w:t>59</w:t>
      </w:r>
      <w:r w:rsidRPr="00285CFB">
        <w:rPr>
          <w:rFonts w:ascii="Arial" w:hAnsi="Arial" w:cs="Arial"/>
        </w:rPr>
        <w:t xml:space="preserve">(4), e12803. </w:t>
      </w:r>
      <w:hyperlink r:id="rId17" w:history="1">
        <w:r w:rsidRPr="00451DDB">
          <w:rPr>
            <w:rStyle w:val="Hyperlink"/>
            <w:rFonts w:ascii="Arial" w:hAnsi="Arial" w:cs="Arial"/>
          </w:rPr>
          <w:t>https://doi.org/10.1111/EJED.12803</w:t>
        </w:r>
      </w:hyperlink>
    </w:p>
    <w:p w14:paraId="31CC90F6" w14:textId="77777777" w:rsidR="00FD2B60" w:rsidRPr="00451DDB" w:rsidRDefault="00FD2B60" w:rsidP="00451DDB">
      <w:pPr>
        <w:jc w:val="both"/>
        <w:rPr>
          <w:rFonts w:ascii="Arial" w:hAnsi="Arial" w:cs="Arial"/>
        </w:rPr>
      </w:pPr>
      <w:r w:rsidRPr="004E147C">
        <w:rPr>
          <w:rFonts w:ascii="Arial" w:hAnsi="Arial" w:cs="Arial"/>
        </w:rPr>
        <w:t xml:space="preserve">McDonald, N., Johri, A., Ali, A., &amp; Collier, A. H. (2025). Generative artificial intelligence in higher education: Evidence from an analysis of institutional policies and guidelines. </w:t>
      </w:r>
      <w:r w:rsidRPr="004E147C">
        <w:rPr>
          <w:rFonts w:ascii="Arial" w:hAnsi="Arial" w:cs="Arial"/>
          <w:i/>
          <w:iCs/>
        </w:rPr>
        <w:t>Computers in Human Behavior: Artificial Humans</w:t>
      </w:r>
      <w:r w:rsidRPr="004E147C">
        <w:rPr>
          <w:rFonts w:ascii="Arial" w:hAnsi="Arial" w:cs="Arial"/>
        </w:rPr>
        <w:t xml:space="preserve">, </w:t>
      </w:r>
      <w:r w:rsidRPr="004E147C">
        <w:rPr>
          <w:rFonts w:ascii="Arial" w:hAnsi="Arial" w:cs="Arial"/>
          <w:i/>
          <w:iCs/>
        </w:rPr>
        <w:t>3</w:t>
      </w:r>
      <w:r w:rsidRPr="004E147C">
        <w:rPr>
          <w:rFonts w:ascii="Arial" w:hAnsi="Arial" w:cs="Arial"/>
        </w:rPr>
        <w:t xml:space="preserve">, 100121. </w:t>
      </w:r>
      <w:hyperlink r:id="rId18" w:history="1">
        <w:r w:rsidRPr="00451DDB">
          <w:rPr>
            <w:rStyle w:val="Hyperlink"/>
            <w:rFonts w:ascii="Arial" w:hAnsi="Arial" w:cs="Arial"/>
          </w:rPr>
          <w:t>https://doi.org/10.1016/j.chbah.2025.100121</w:t>
        </w:r>
      </w:hyperlink>
    </w:p>
    <w:p w14:paraId="0FE20C14" w14:textId="77777777" w:rsidR="00FD2B60" w:rsidRPr="00DD598E" w:rsidRDefault="00FD2B60" w:rsidP="006D48B6">
      <w:pPr>
        <w:pStyle w:val="font-claude-response-body"/>
        <w:spacing w:before="0" w:beforeAutospacing="0" w:after="0" w:afterAutospacing="0"/>
        <w:jc w:val="both"/>
        <w:rPr>
          <w:rFonts w:ascii="Arial" w:hAnsi="Arial" w:cs="Arial"/>
          <w:sz w:val="20"/>
          <w:szCs w:val="20"/>
        </w:rPr>
      </w:pPr>
      <w:r w:rsidRPr="00DD598E">
        <w:rPr>
          <w:rStyle w:val="Strong"/>
          <w:rFonts w:ascii="Arial" w:hAnsi="Arial" w:cs="Arial"/>
          <w:b w:val="0"/>
          <w:sz w:val="20"/>
          <w:szCs w:val="20"/>
        </w:rPr>
        <w:t xml:space="preserve">Nonaka, I., &amp; Takeuchi, H. (1995). </w:t>
      </w:r>
      <w:r w:rsidRPr="00DD598E">
        <w:rPr>
          <w:rStyle w:val="Emphasis"/>
          <w:rFonts w:ascii="Arial" w:hAnsi="Arial" w:cs="Arial"/>
          <w:bCs/>
          <w:sz w:val="20"/>
          <w:szCs w:val="20"/>
        </w:rPr>
        <w:t>The knowledge-creating company: How Japanese companies create the dynamics of innovation</w:t>
      </w:r>
      <w:r w:rsidRPr="00DD598E">
        <w:rPr>
          <w:rStyle w:val="Strong"/>
          <w:rFonts w:ascii="Arial" w:hAnsi="Arial" w:cs="Arial"/>
          <w:b w:val="0"/>
          <w:sz w:val="20"/>
          <w:szCs w:val="20"/>
        </w:rPr>
        <w:t>. Oxford University Press.</w:t>
      </w:r>
    </w:p>
    <w:p w14:paraId="6DF62584" w14:textId="77777777" w:rsidR="00FD2B60" w:rsidRDefault="00FD2B60" w:rsidP="00FE705C">
      <w:pPr>
        <w:jc w:val="both"/>
        <w:rPr>
          <w:rFonts w:ascii="Arial" w:hAnsi="Arial" w:cs="Arial"/>
          <w:szCs w:val="24"/>
        </w:rPr>
      </w:pPr>
      <w:r w:rsidRPr="003A7F40">
        <w:rPr>
          <w:rFonts w:ascii="Arial" w:hAnsi="Arial" w:cs="Arial"/>
          <w:szCs w:val="24"/>
        </w:rPr>
        <w:t xml:space="preserve">Paola, D., Cabrera Nuñez, D., Minelly, L., Melo, R., Hernando, R., &amp; Sabogal, R. (2025). The Positive Influence of Organizational Culture on Knowledge Management in Public Education </w:t>
      </w:r>
      <w:r w:rsidRPr="003A7F40">
        <w:rPr>
          <w:rFonts w:ascii="Arial" w:hAnsi="Arial" w:cs="Arial"/>
          <w:szCs w:val="24"/>
        </w:rPr>
        <w:lastRenderedPageBreak/>
        <w:t xml:space="preserve">Institutions in the Department of Caquetá, Colombia. Sustainability 2025, Vol. 17, Page 7253, 17(16), 7253. </w:t>
      </w:r>
      <w:hyperlink r:id="rId19" w:history="1">
        <w:r w:rsidRPr="003164ED">
          <w:rPr>
            <w:rStyle w:val="Hyperlink"/>
            <w:rFonts w:ascii="Arial" w:hAnsi="Arial" w:cs="Arial"/>
            <w:szCs w:val="24"/>
          </w:rPr>
          <w:t>https://doi.org/10.3390/SU17167253</w:t>
        </w:r>
      </w:hyperlink>
    </w:p>
    <w:p w14:paraId="170A3962" w14:textId="77777777" w:rsidR="00FD2B60" w:rsidRPr="00451DDB" w:rsidRDefault="00FD2B60" w:rsidP="00451DDB">
      <w:pPr>
        <w:jc w:val="both"/>
        <w:rPr>
          <w:rFonts w:ascii="Arial" w:hAnsi="Arial" w:cs="Arial"/>
        </w:rPr>
      </w:pPr>
      <w:proofErr w:type="spellStart"/>
      <w:r w:rsidRPr="004C5A3F">
        <w:rPr>
          <w:rFonts w:ascii="Arial" w:hAnsi="Arial" w:cs="Arial"/>
        </w:rPr>
        <w:t>Paudel</w:t>
      </w:r>
      <w:proofErr w:type="spellEnd"/>
      <w:r w:rsidRPr="004C5A3F">
        <w:rPr>
          <w:rFonts w:ascii="Arial" w:hAnsi="Arial" w:cs="Arial"/>
        </w:rPr>
        <w:t xml:space="preserve">, K. P. (2023). The Association of Knowledge Management and Academic Performance in Academia. </w:t>
      </w:r>
      <w:r w:rsidRPr="004C5A3F">
        <w:rPr>
          <w:rFonts w:ascii="Arial" w:hAnsi="Arial" w:cs="Arial"/>
          <w:i/>
          <w:iCs/>
        </w:rPr>
        <w:t>Electronic Journal of Knowledge Management</w:t>
      </w:r>
      <w:r w:rsidRPr="004C5A3F">
        <w:rPr>
          <w:rFonts w:ascii="Arial" w:hAnsi="Arial" w:cs="Arial"/>
        </w:rPr>
        <w:t xml:space="preserve">, </w:t>
      </w:r>
      <w:r w:rsidRPr="004C5A3F">
        <w:rPr>
          <w:rFonts w:ascii="Arial" w:hAnsi="Arial" w:cs="Arial"/>
          <w:i/>
          <w:iCs/>
        </w:rPr>
        <w:t>21</w:t>
      </w:r>
      <w:r w:rsidRPr="004C5A3F">
        <w:rPr>
          <w:rFonts w:ascii="Arial" w:hAnsi="Arial" w:cs="Arial"/>
        </w:rPr>
        <w:t xml:space="preserve">(1), 41–58. </w:t>
      </w:r>
      <w:hyperlink r:id="rId20" w:history="1">
        <w:r w:rsidRPr="00451DDB">
          <w:rPr>
            <w:rStyle w:val="Hyperlink"/>
            <w:rFonts w:ascii="Arial" w:hAnsi="Arial" w:cs="Arial"/>
          </w:rPr>
          <w:t>https://doi.org/10.34190/EJKM.21.1.2462</w:t>
        </w:r>
      </w:hyperlink>
    </w:p>
    <w:p w14:paraId="7E4824F6" w14:textId="77777777" w:rsidR="00FD2B60" w:rsidRPr="00451DDB" w:rsidRDefault="00FD2B60" w:rsidP="00451DDB">
      <w:pPr>
        <w:jc w:val="both"/>
        <w:rPr>
          <w:rFonts w:ascii="Arial" w:hAnsi="Arial" w:cs="Arial"/>
        </w:rPr>
      </w:pPr>
      <w:proofErr w:type="spellStart"/>
      <w:r w:rsidRPr="00E420B9">
        <w:rPr>
          <w:rFonts w:ascii="Arial" w:hAnsi="Arial" w:cs="Arial"/>
        </w:rPr>
        <w:t>Sahibzada</w:t>
      </w:r>
      <w:proofErr w:type="spellEnd"/>
      <w:r w:rsidRPr="00E420B9">
        <w:rPr>
          <w:rFonts w:ascii="Arial" w:hAnsi="Arial" w:cs="Arial"/>
        </w:rPr>
        <w:t xml:space="preserve">, U. F., Latif, K. F., &amp; Xu, Y. (2021). Symmetric and asymmetric modeling of knowledge management enablers to knowledge management processes and knowledge worker productivity in higher education institutes. </w:t>
      </w:r>
      <w:r w:rsidRPr="00E420B9">
        <w:rPr>
          <w:rFonts w:ascii="Arial" w:hAnsi="Arial" w:cs="Arial"/>
          <w:i/>
          <w:iCs/>
        </w:rPr>
        <w:t>Journal of Enterprise Information Management</w:t>
      </w:r>
      <w:r w:rsidRPr="00E420B9">
        <w:rPr>
          <w:rFonts w:ascii="Arial" w:hAnsi="Arial" w:cs="Arial"/>
        </w:rPr>
        <w:t xml:space="preserve">, </w:t>
      </w:r>
      <w:r w:rsidRPr="00E420B9">
        <w:rPr>
          <w:rFonts w:ascii="Arial" w:hAnsi="Arial" w:cs="Arial"/>
          <w:i/>
          <w:iCs/>
        </w:rPr>
        <w:t>35</w:t>
      </w:r>
      <w:r w:rsidRPr="00E420B9">
        <w:rPr>
          <w:rFonts w:ascii="Arial" w:hAnsi="Arial" w:cs="Arial"/>
        </w:rPr>
        <w:t xml:space="preserve">(3), 729–756. </w:t>
      </w:r>
      <w:hyperlink r:id="rId21" w:history="1">
        <w:r w:rsidRPr="00451DDB">
          <w:rPr>
            <w:rStyle w:val="Hyperlink"/>
            <w:rFonts w:ascii="Arial" w:hAnsi="Arial" w:cs="Arial"/>
          </w:rPr>
          <w:t>https://doi.org/10.1108/JEIM-08-2020-0346</w:t>
        </w:r>
      </w:hyperlink>
    </w:p>
    <w:p w14:paraId="30BEF2B2" w14:textId="77777777" w:rsidR="00FD2B60" w:rsidRDefault="00FD2B60" w:rsidP="00FE705C">
      <w:pPr>
        <w:jc w:val="both"/>
        <w:rPr>
          <w:rFonts w:ascii="Arial" w:hAnsi="Arial" w:cs="Arial"/>
          <w:szCs w:val="24"/>
        </w:rPr>
      </w:pPr>
      <w:r w:rsidRPr="00FE705C">
        <w:rPr>
          <w:rFonts w:ascii="Arial" w:hAnsi="Arial" w:cs="Arial"/>
          <w:szCs w:val="24"/>
        </w:rPr>
        <w:t xml:space="preserve">Santos, E., Carvalho, M., &amp; Martins, S. (2024). Sustainable Enablers of Knowledge Management Strategies in a Higher Education Institution. Sustainability 2024, Vol. 16, Page 5078, 16(12), 5078. </w:t>
      </w:r>
      <w:hyperlink r:id="rId22" w:history="1">
        <w:r w:rsidRPr="003164ED">
          <w:rPr>
            <w:rStyle w:val="Hyperlink"/>
            <w:rFonts w:ascii="Arial" w:hAnsi="Arial" w:cs="Arial"/>
            <w:szCs w:val="24"/>
          </w:rPr>
          <w:t>https://doi.org/10.3390/SU16125078</w:t>
        </w:r>
      </w:hyperlink>
    </w:p>
    <w:p w14:paraId="28715DEC" w14:textId="77777777" w:rsidR="00FD2B60" w:rsidRPr="00D02B2B" w:rsidRDefault="00FD2B60" w:rsidP="00D02B2B">
      <w:pPr>
        <w:jc w:val="both"/>
        <w:rPr>
          <w:rFonts w:ascii="Arial" w:hAnsi="Arial" w:cs="Arial"/>
          <w:szCs w:val="24"/>
        </w:rPr>
      </w:pPr>
      <w:r w:rsidRPr="00860FC6">
        <w:rPr>
          <w:rFonts w:ascii="Arial" w:hAnsi="Arial" w:cs="Arial"/>
          <w:szCs w:val="24"/>
        </w:rPr>
        <w:t xml:space="preserve">Shaik </w:t>
      </w:r>
      <w:proofErr w:type="spellStart"/>
      <w:r w:rsidRPr="00860FC6">
        <w:rPr>
          <w:rFonts w:ascii="Arial" w:hAnsi="Arial" w:cs="Arial"/>
          <w:szCs w:val="24"/>
        </w:rPr>
        <w:t>Villien</w:t>
      </w:r>
      <w:proofErr w:type="spellEnd"/>
      <w:r w:rsidRPr="00860FC6">
        <w:rPr>
          <w:rFonts w:ascii="Arial" w:hAnsi="Arial" w:cs="Arial"/>
          <w:szCs w:val="24"/>
        </w:rPr>
        <w:t xml:space="preserve">, L., &amp; Villien, S. (2023). The Case for Succession Planning in Higher Education: A Study of Knowledge Transfer within Louisiana State University. </w:t>
      </w:r>
      <w:r w:rsidRPr="00860FC6">
        <w:rPr>
          <w:rFonts w:ascii="Arial" w:hAnsi="Arial" w:cs="Arial"/>
          <w:i/>
          <w:iCs/>
          <w:szCs w:val="24"/>
        </w:rPr>
        <w:t>LSU Doctoral Dissertations</w:t>
      </w:r>
      <w:r w:rsidRPr="00860FC6">
        <w:rPr>
          <w:rFonts w:ascii="Arial" w:hAnsi="Arial" w:cs="Arial"/>
          <w:szCs w:val="24"/>
        </w:rPr>
        <w:t xml:space="preserve">. </w:t>
      </w:r>
      <w:hyperlink r:id="rId23" w:history="1">
        <w:r w:rsidRPr="00D02B2B">
          <w:rPr>
            <w:rStyle w:val="Hyperlink"/>
            <w:rFonts w:ascii="Arial" w:hAnsi="Arial" w:cs="Arial"/>
            <w:szCs w:val="24"/>
          </w:rPr>
          <w:t>https://doi.org/10.31390/gradschool_dissertations.6229</w:t>
        </w:r>
      </w:hyperlink>
    </w:p>
    <w:p w14:paraId="202CF69C" w14:textId="77777777" w:rsidR="00FD2B60" w:rsidRPr="00451DDB" w:rsidRDefault="00FD2B60" w:rsidP="00451DDB">
      <w:pPr>
        <w:jc w:val="both"/>
        <w:rPr>
          <w:rFonts w:ascii="Arial" w:hAnsi="Arial" w:cs="Arial"/>
        </w:rPr>
      </w:pPr>
      <w:r>
        <w:rPr>
          <w:rFonts w:ascii="Arial" w:hAnsi="Arial" w:cs="Arial"/>
        </w:rPr>
        <w:t xml:space="preserve">UNESCO. (2024). </w:t>
      </w:r>
      <w:r w:rsidRPr="00451DDB">
        <w:rPr>
          <w:rFonts w:ascii="Arial" w:hAnsi="Arial" w:cs="Arial"/>
        </w:rPr>
        <w:t>Global education monitoring report 2024-25: Gender parity in ed</w:t>
      </w:r>
      <w:r>
        <w:rPr>
          <w:rFonts w:ascii="Arial" w:hAnsi="Arial" w:cs="Arial"/>
        </w:rPr>
        <w:t>ucation – The unfinished agenda</w:t>
      </w:r>
      <w:r w:rsidRPr="00451DDB">
        <w:rPr>
          <w:rFonts w:ascii="Arial" w:hAnsi="Arial" w:cs="Arial"/>
        </w:rPr>
        <w:t>. UNESCO Publishing.</w:t>
      </w:r>
    </w:p>
    <w:p w14:paraId="77FD8A45" w14:textId="77777777" w:rsidR="00FD2B60" w:rsidRDefault="00FD2B60" w:rsidP="00D02B2B">
      <w:pPr>
        <w:jc w:val="both"/>
        <w:rPr>
          <w:rFonts w:ascii="Arial" w:hAnsi="Arial" w:cs="Arial"/>
          <w:szCs w:val="24"/>
        </w:rPr>
      </w:pPr>
      <w:proofErr w:type="spellStart"/>
      <w:r w:rsidRPr="003A1CF8">
        <w:rPr>
          <w:rFonts w:ascii="Arial" w:hAnsi="Arial" w:cs="Arial"/>
          <w:szCs w:val="24"/>
        </w:rPr>
        <w:t>Wanjala</w:t>
      </w:r>
      <w:proofErr w:type="spellEnd"/>
      <w:r w:rsidRPr="003A1CF8">
        <w:rPr>
          <w:rFonts w:ascii="Arial" w:hAnsi="Arial" w:cs="Arial"/>
          <w:szCs w:val="24"/>
        </w:rPr>
        <w:t xml:space="preserve">, M. (2024). The Impact of Organizational Culture on Knowledge Management Practices. European Journal of Information and Knowledge Management, 3(2), 51–64. </w:t>
      </w:r>
      <w:hyperlink r:id="rId24" w:history="1">
        <w:r w:rsidRPr="003164ED">
          <w:rPr>
            <w:rStyle w:val="Hyperlink"/>
            <w:rFonts w:ascii="Arial" w:hAnsi="Arial" w:cs="Arial"/>
            <w:szCs w:val="24"/>
          </w:rPr>
          <w:t>https://doi.org/10.47941/EJIKM.2064</w:t>
        </w:r>
      </w:hyperlink>
    </w:p>
    <w:p w14:paraId="54AE83D5" w14:textId="77777777" w:rsidR="00FD2B60" w:rsidRPr="00451DDB" w:rsidRDefault="00FD2B60" w:rsidP="00451DDB">
      <w:pPr>
        <w:jc w:val="both"/>
        <w:rPr>
          <w:rFonts w:ascii="Arial" w:hAnsi="Arial" w:cs="Arial"/>
        </w:rPr>
      </w:pPr>
      <w:proofErr w:type="spellStart"/>
      <w:r w:rsidRPr="002E397D">
        <w:rPr>
          <w:rFonts w:ascii="Arial" w:hAnsi="Arial" w:cs="Arial"/>
        </w:rPr>
        <w:t>Zerafati</w:t>
      </w:r>
      <w:proofErr w:type="spellEnd"/>
      <w:r w:rsidRPr="002E397D">
        <w:rPr>
          <w:rFonts w:ascii="Arial" w:hAnsi="Arial" w:cs="Arial"/>
        </w:rPr>
        <w:t xml:space="preserve">, M. H., &amp; Hosseinpour, R. (2024). Knowledge management in higher education: a meta-synthesis of success factors, challenges, and implementation strategies. </w:t>
      </w:r>
      <w:r w:rsidRPr="002E397D">
        <w:rPr>
          <w:rFonts w:ascii="Arial" w:hAnsi="Arial" w:cs="Arial"/>
          <w:i/>
          <w:iCs/>
        </w:rPr>
        <w:t>Strategic Management of Organizational Knowledge</w:t>
      </w:r>
      <w:r w:rsidRPr="002E397D">
        <w:rPr>
          <w:rFonts w:ascii="Arial" w:hAnsi="Arial" w:cs="Arial"/>
        </w:rPr>
        <w:t xml:space="preserve">, </w:t>
      </w:r>
      <w:r w:rsidRPr="002E397D">
        <w:rPr>
          <w:rFonts w:ascii="Arial" w:hAnsi="Arial" w:cs="Arial"/>
          <w:i/>
          <w:iCs/>
        </w:rPr>
        <w:t>7</w:t>
      </w:r>
      <w:r w:rsidRPr="002E397D">
        <w:rPr>
          <w:rFonts w:ascii="Arial" w:hAnsi="Arial" w:cs="Arial"/>
        </w:rPr>
        <w:t xml:space="preserve">(4), 63–90. </w:t>
      </w:r>
      <w:hyperlink r:id="rId25" w:history="1">
        <w:r w:rsidRPr="00451DDB">
          <w:rPr>
            <w:rStyle w:val="Hyperlink"/>
            <w:rFonts w:ascii="Arial" w:hAnsi="Arial" w:cs="Arial"/>
          </w:rPr>
          <w:t>https://doi.org/10.47176/SMOK.2024.1792</w:t>
        </w:r>
      </w:hyperlink>
    </w:p>
    <w:p w14:paraId="6E4269FF" w14:textId="77777777" w:rsidR="00DB2510" w:rsidRPr="00DD598E" w:rsidRDefault="00DB2510" w:rsidP="006D48B6">
      <w:pPr>
        <w:jc w:val="both"/>
        <w:rPr>
          <w:rFonts w:ascii="Arial" w:hAnsi="Arial" w:cs="Arial"/>
        </w:rPr>
      </w:pPr>
    </w:p>
    <w:p w14:paraId="59DBE2D8" w14:textId="77777777" w:rsidR="00790ADA" w:rsidRPr="00FB3A86" w:rsidRDefault="00790ADA" w:rsidP="00A83FE3">
      <w:pPr>
        <w:pStyle w:val="Body"/>
        <w:spacing w:after="0"/>
        <w:rPr>
          <w:rFonts w:ascii="Arial" w:hAnsi="Arial" w:cs="Arial"/>
        </w:rPr>
      </w:pPr>
    </w:p>
    <w:p w14:paraId="639A5826" w14:textId="77777777" w:rsidR="004D4277" w:rsidRPr="00FB3A86" w:rsidRDefault="004D4277" w:rsidP="00441B6F">
      <w:pPr>
        <w:pStyle w:val="Appendix"/>
        <w:spacing w:after="0"/>
        <w:jc w:val="both"/>
        <w:rPr>
          <w:rFonts w:ascii="Arial" w:hAnsi="Arial" w:cs="Arial"/>
          <w:b w:val="0"/>
        </w:rPr>
        <w:sectPr w:rsidR="004D4277" w:rsidRPr="00FB3A86" w:rsidSect="002137F3">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2016" w:bottom="2016" w:left="2016" w:header="720" w:footer="1123" w:gutter="0"/>
          <w:cols w:space="720"/>
          <w:docGrid w:linePitch="272"/>
        </w:sectPr>
      </w:pPr>
    </w:p>
    <w:p w14:paraId="3334A849" w14:textId="77777777" w:rsidR="00B01FCD" w:rsidRPr="00FB3A86" w:rsidRDefault="00B01FCD" w:rsidP="00441B6F">
      <w:pPr>
        <w:pStyle w:val="Appendix"/>
        <w:spacing w:after="0"/>
        <w:jc w:val="both"/>
        <w:rPr>
          <w:rFonts w:ascii="Arial" w:hAnsi="Arial" w:cs="Arial"/>
          <w:b w:val="0"/>
        </w:rPr>
      </w:pPr>
    </w:p>
    <w:sectPr w:rsidR="00B01FCD" w:rsidRPr="00FB3A86" w:rsidSect="002137F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4B9F5" w14:textId="77777777" w:rsidR="00DE2076" w:rsidRDefault="00DE2076" w:rsidP="00C37E61">
      <w:r>
        <w:separator/>
      </w:r>
    </w:p>
  </w:endnote>
  <w:endnote w:type="continuationSeparator" w:id="0">
    <w:p w14:paraId="6448D1B1" w14:textId="77777777" w:rsidR="00DE2076" w:rsidRDefault="00DE20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9F00" w14:textId="77777777" w:rsidR="009233F5" w:rsidRDefault="00923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BBFD" w14:textId="77777777" w:rsidR="009233F5" w:rsidRDefault="00923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8089" w14:textId="77777777" w:rsidR="009233F5" w:rsidRDefault="00923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644DB" w14:textId="77777777" w:rsidR="00DE2076" w:rsidRDefault="00DE2076" w:rsidP="00C37E61">
      <w:r>
        <w:separator/>
      </w:r>
    </w:p>
  </w:footnote>
  <w:footnote w:type="continuationSeparator" w:id="0">
    <w:p w14:paraId="540F7B78" w14:textId="77777777" w:rsidR="00DE2076" w:rsidRDefault="00DE20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A1EF6" w14:textId="17773273" w:rsidR="009233F5" w:rsidRDefault="00DE2076">
    <w:pPr>
      <w:pStyle w:val="Header"/>
    </w:pPr>
    <w:r>
      <w:rPr>
        <w:noProof/>
      </w:rPr>
      <w:pict w14:anchorId="36BD4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39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318C" w14:textId="61FFDB1F" w:rsidR="009233F5" w:rsidRDefault="00DE2076">
    <w:pPr>
      <w:pStyle w:val="Header"/>
    </w:pPr>
    <w:r>
      <w:rPr>
        <w:noProof/>
      </w:rPr>
      <w:pict w14:anchorId="06395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39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83A12" w14:textId="222C587F" w:rsidR="009233F5" w:rsidRDefault="00DE2076">
    <w:pPr>
      <w:pStyle w:val="Header"/>
    </w:pPr>
    <w:r>
      <w:rPr>
        <w:noProof/>
      </w:rPr>
      <w:pict w14:anchorId="72A43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3929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B8225F"/>
    <w:multiLevelType w:val="hybridMultilevel"/>
    <w:tmpl w:val="BDC2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6D7AD8"/>
    <w:multiLevelType w:val="hybridMultilevel"/>
    <w:tmpl w:val="1814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11694"/>
    <w:multiLevelType w:val="hybridMultilevel"/>
    <w:tmpl w:val="C9F0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0971E0"/>
    <w:multiLevelType w:val="hybridMultilevel"/>
    <w:tmpl w:val="FE522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975CA"/>
    <w:multiLevelType w:val="hybridMultilevel"/>
    <w:tmpl w:val="1B48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541A21"/>
    <w:multiLevelType w:val="hybridMultilevel"/>
    <w:tmpl w:val="1E8A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224CA"/>
    <w:multiLevelType w:val="hybridMultilevel"/>
    <w:tmpl w:val="194E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AB125A0"/>
    <w:multiLevelType w:val="hybridMultilevel"/>
    <w:tmpl w:val="6392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50F70"/>
    <w:multiLevelType w:val="hybridMultilevel"/>
    <w:tmpl w:val="F434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2"/>
  </w:num>
  <w:num w:numId="10">
    <w:abstractNumId w:val="2"/>
  </w:num>
  <w:num w:numId="11">
    <w:abstractNumId w:val="25"/>
  </w:num>
  <w:num w:numId="12">
    <w:abstractNumId w:val="3"/>
  </w:num>
  <w:num w:numId="13">
    <w:abstractNumId w:val="24"/>
  </w:num>
  <w:num w:numId="14">
    <w:abstractNumId w:val="10"/>
  </w:num>
  <w:num w:numId="15">
    <w:abstractNumId w:val="28"/>
  </w:num>
  <w:num w:numId="16">
    <w:abstractNumId w:val="5"/>
  </w:num>
  <w:num w:numId="17">
    <w:abstractNumId w:val="29"/>
  </w:num>
  <w:num w:numId="18">
    <w:abstractNumId w:val="17"/>
  </w:num>
  <w:num w:numId="19">
    <w:abstractNumId w:val="37"/>
  </w:num>
  <w:num w:numId="20">
    <w:abstractNumId w:val="14"/>
  </w:num>
  <w:num w:numId="21">
    <w:abstractNumId w:val="11"/>
  </w:num>
  <w:num w:numId="22">
    <w:abstractNumId w:val="16"/>
  </w:num>
  <w:num w:numId="23">
    <w:abstractNumId w:val="26"/>
  </w:num>
  <w:num w:numId="24">
    <w:abstractNumId w:val="34"/>
  </w:num>
  <w:num w:numId="25">
    <w:abstractNumId w:val="4"/>
  </w:num>
  <w:num w:numId="26">
    <w:abstractNumId w:val="22"/>
  </w:num>
  <w:num w:numId="27">
    <w:abstractNumId w:val="27"/>
  </w:num>
  <w:num w:numId="28">
    <w:abstractNumId w:val="35"/>
  </w:num>
  <w:num w:numId="29">
    <w:abstractNumId w:val="31"/>
  </w:num>
  <w:num w:numId="30">
    <w:abstractNumId w:val="12"/>
  </w:num>
  <w:num w:numId="31">
    <w:abstractNumId w:val="13"/>
  </w:num>
  <w:num w:numId="32">
    <w:abstractNumId w:val="21"/>
  </w:num>
  <w:num w:numId="33">
    <w:abstractNumId w:val="18"/>
  </w:num>
  <w:num w:numId="34">
    <w:abstractNumId w:val="19"/>
  </w:num>
  <w:num w:numId="35">
    <w:abstractNumId w:val="23"/>
  </w:num>
  <w:num w:numId="36">
    <w:abstractNumId w:val="36"/>
  </w:num>
  <w:num w:numId="37">
    <w:abstractNumId w:val="33"/>
  </w:num>
  <w:num w:numId="38">
    <w:abstractNumId w:val="9"/>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E70"/>
    <w:rsid w:val="00000F8F"/>
    <w:rsid w:val="00002045"/>
    <w:rsid w:val="00002AF1"/>
    <w:rsid w:val="00003978"/>
    <w:rsid w:val="00004403"/>
    <w:rsid w:val="000052DA"/>
    <w:rsid w:val="000068F4"/>
    <w:rsid w:val="00007B24"/>
    <w:rsid w:val="00011D6C"/>
    <w:rsid w:val="00012375"/>
    <w:rsid w:val="000134C5"/>
    <w:rsid w:val="000158D7"/>
    <w:rsid w:val="00015D7A"/>
    <w:rsid w:val="000166B2"/>
    <w:rsid w:val="00021A64"/>
    <w:rsid w:val="0002436F"/>
    <w:rsid w:val="000263EE"/>
    <w:rsid w:val="000267E9"/>
    <w:rsid w:val="00030174"/>
    <w:rsid w:val="000340DF"/>
    <w:rsid w:val="00035DB8"/>
    <w:rsid w:val="00037389"/>
    <w:rsid w:val="00040ECC"/>
    <w:rsid w:val="00040F35"/>
    <w:rsid w:val="000410A7"/>
    <w:rsid w:val="000449AA"/>
    <w:rsid w:val="0004579C"/>
    <w:rsid w:val="00046C1D"/>
    <w:rsid w:val="000503A7"/>
    <w:rsid w:val="00051C2C"/>
    <w:rsid w:val="000532E8"/>
    <w:rsid w:val="000550ED"/>
    <w:rsid w:val="00060047"/>
    <w:rsid w:val="00060559"/>
    <w:rsid w:val="00061556"/>
    <w:rsid w:val="00063F73"/>
    <w:rsid w:val="00065A58"/>
    <w:rsid w:val="000705EC"/>
    <w:rsid w:val="00070621"/>
    <w:rsid w:val="00077C0A"/>
    <w:rsid w:val="00082664"/>
    <w:rsid w:val="0008357B"/>
    <w:rsid w:val="000839DA"/>
    <w:rsid w:val="00090DEC"/>
    <w:rsid w:val="00093549"/>
    <w:rsid w:val="0009458D"/>
    <w:rsid w:val="000A16EF"/>
    <w:rsid w:val="000A1816"/>
    <w:rsid w:val="000A4710"/>
    <w:rsid w:val="000A47FA"/>
    <w:rsid w:val="000A65D3"/>
    <w:rsid w:val="000B1E33"/>
    <w:rsid w:val="000B41AB"/>
    <w:rsid w:val="000B4858"/>
    <w:rsid w:val="000B7C1D"/>
    <w:rsid w:val="000C1E62"/>
    <w:rsid w:val="000C2723"/>
    <w:rsid w:val="000C2ADC"/>
    <w:rsid w:val="000C30D8"/>
    <w:rsid w:val="000C34E6"/>
    <w:rsid w:val="000C5B9A"/>
    <w:rsid w:val="000D22C6"/>
    <w:rsid w:val="000D26DA"/>
    <w:rsid w:val="000D2FD7"/>
    <w:rsid w:val="000D336F"/>
    <w:rsid w:val="000D689F"/>
    <w:rsid w:val="000E0976"/>
    <w:rsid w:val="000E491E"/>
    <w:rsid w:val="000E6C5E"/>
    <w:rsid w:val="000E7B7B"/>
    <w:rsid w:val="000E7D62"/>
    <w:rsid w:val="000F0324"/>
    <w:rsid w:val="000F08FC"/>
    <w:rsid w:val="000F35AD"/>
    <w:rsid w:val="000F3745"/>
    <w:rsid w:val="000F7A63"/>
    <w:rsid w:val="00103357"/>
    <w:rsid w:val="00106980"/>
    <w:rsid w:val="00110B29"/>
    <w:rsid w:val="00110CCA"/>
    <w:rsid w:val="001138B9"/>
    <w:rsid w:val="001147E7"/>
    <w:rsid w:val="001161DD"/>
    <w:rsid w:val="00120A5F"/>
    <w:rsid w:val="00123C9F"/>
    <w:rsid w:val="001240A8"/>
    <w:rsid w:val="00126190"/>
    <w:rsid w:val="00130AAB"/>
    <w:rsid w:val="00130F17"/>
    <w:rsid w:val="001320BF"/>
    <w:rsid w:val="001377B2"/>
    <w:rsid w:val="00143C18"/>
    <w:rsid w:val="0014412B"/>
    <w:rsid w:val="00146FF2"/>
    <w:rsid w:val="00153E57"/>
    <w:rsid w:val="00161E53"/>
    <w:rsid w:val="001632F0"/>
    <w:rsid w:val="00163BC4"/>
    <w:rsid w:val="001650D9"/>
    <w:rsid w:val="00170165"/>
    <w:rsid w:val="001702FB"/>
    <w:rsid w:val="00170E88"/>
    <w:rsid w:val="00172131"/>
    <w:rsid w:val="001815C6"/>
    <w:rsid w:val="00183A27"/>
    <w:rsid w:val="00184385"/>
    <w:rsid w:val="001846C2"/>
    <w:rsid w:val="00191062"/>
    <w:rsid w:val="00192196"/>
    <w:rsid w:val="00192B72"/>
    <w:rsid w:val="00193FA3"/>
    <w:rsid w:val="001A29D8"/>
    <w:rsid w:val="001A5CAA"/>
    <w:rsid w:val="001A5F5E"/>
    <w:rsid w:val="001B0427"/>
    <w:rsid w:val="001B398D"/>
    <w:rsid w:val="001B4021"/>
    <w:rsid w:val="001B5C22"/>
    <w:rsid w:val="001D3A51"/>
    <w:rsid w:val="001D3F30"/>
    <w:rsid w:val="001E10D2"/>
    <w:rsid w:val="001E25B4"/>
    <w:rsid w:val="001E44FE"/>
    <w:rsid w:val="001E697F"/>
    <w:rsid w:val="001F743F"/>
    <w:rsid w:val="001F7D32"/>
    <w:rsid w:val="00200595"/>
    <w:rsid w:val="00201068"/>
    <w:rsid w:val="00204835"/>
    <w:rsid w:val="00207BC1"/>
    <w:rsid w:val="00212864"/>
    <w:rsid w:val="002137F3"/>
    <w:rsid w:val="002140A5"/>
    <w:rsid w:val="00215693"/>
    <w:rsid w:val="00225016"/>
    <w:rsid w:val="002264DF"/>
    <w:rsid w:val="002268EB"/>
    <w:rsid w:val="00231920"/>
    <w:rsid w:val="0023195C"/>
    <w:rsid w:val="002355A6"/>
    <w:rsid w:val="00237B05"/>
    <w:rsid w:val="0024103C"/>
    <w:rsid w:val="00241E58"/>
    <w:rsid w:val="002425BB"/>
    <w:rsid w:val="0024282C"/>
    <w:rsid w:val="00244943"/>
    <w:rsid w:val="00245B79"/>
    <w:rsid w:val="002460DC"/>
    <w:rsid w:val="00250895"/>
    <w:rsid w:val="00250985"/>
    <w:rsid w:val="002513D6"/>
    <w:rsid w:val="00254BD3"/>
    <w:rsid w:val="002556F6"/>
    <w:rsid w:val="00260AD7"/>
    <w:rsid w:val="00261869"/>
    <w:rsid w:val="00261D86"/>
    <w:rsid w:val="0026295D"/>
    <w:rsid w:val="00263002"/>
    <w:rsid w:val="00267433"/>
    <w:rsid w:val="00267B71"/>
    <w:rsid w:val="00270063"/>
    <w:rsid w:val="002705DB"/>
    <w:rsid w:val="0027126A"/>
    <w:rsid w:val="00272E07"/>
    <w:rsid w:val="00273340"/>
    <w:rsid w:val="00274F9A"/>
    <w:rsid w:val="00276224"/>
    <w:rsid w:val="00276817"/>
    <w:rsid w:val="00277049"/>
    <w:rsid w:val="00277DEE"/>
    <w:rsid w:val="00282024"/>
    <w:rsid w:val="00282657"/>
    <w:rsid w:val="00283105"/>
    <w:rsid w:val="00284C4C"/>
    <w:rsid w:val="002859DB"/>
    <w:rsid w:val="00285CFB"/>
    <w:rsid w:val="00287E68"/>
    <w:rsid w:val="00291BD5"/>
    <w:rsid w:val="00291F09"/>
    <w:rsid w:val="00293B4D"/>
    <w:rsid w:val="00296529"/>
    <w:rsid w:val="002A0436"/>
    <w:rsid w:val="002A082B"/>
    <w:rsid w:val="002A2FFD"/>
    <w:rsid w:val="002A45B5"/>
    <w:rsid w:val="002A5D69"/>
    <w:rsid w:val="002A7785"/>
    <w:rsid w:val="002A7DCB"/>
    <w:rsid w:val="002B021D"/>
    <w:rsid w:val="002B27FB"/>
    <w:rsid w:val="002B5BDD"/>
    <w:rsid w:val="002B67F3"/>
    <w:rsid w:val="002B685A"/>
    <w:rsid w:val="002B71DB"/>
    <w:rsid w:val="002C19FF"/>
    <w:rsid w:val="002C4223"/>
    <w:rsid w:val="002C44EF"/>
    <w:rsid w:val="002C5246"/>
    <w:rsid w:val="002C57D2"/>
    <w:rsid w:val="002C73CE"/>
    <w:rsid w:val="002D0511"/>
    <w:rsid w:val="002D5D60"/>
    <w:rsid w:val="002D61C2"/>
    <w:rsid w:val="002E05F3"/>
    <w:rsid w:val="002E0951"/>
    <w:rsid w:val="002E0D56"/>
    <w:rsid w:val="002E2E0C"/>
    <w:rsid w:val="002E397D"/>
    <w:rsid w:val="002E4DA8"/>
    <w:rsid w:val="002E5050"/>
    <w:rsid w:val="002E750C"/>
    <w:rsid w:val="002F36C6"/>
    <w:rsid w:val="002F40A5"/>
    <w:rsid w:val="002F6C0E"/>
    <w:rsid w:val="002F728C"/>
    <w:rsid w:val="002F7E5C"/>
    <w:rsid w:val="00300F0A"/>
    <w:rsid w:val="0030215B"/>
    <w:rsid w:val="003026CB"/>
    <w:rsid w:val="0030505D"/>
    <w:rsid w:val="00307058"/>
    <w:rsid w:val="00310FD3"/>
    <w:rsid w:val="003121F8"/>
    <w:rsid w:val="0031291A"/>
    <w:rsid w:val="00313334"/>
    <w:rsid w:val="00315186"/>
    <w:rsid w:val="0031531F"/>
    <w:rsid w:val="003159E4"/>
    <w:rsid w:val="00321E17"/>
    <w:rsid w:val="00323CD7"/>
    <w:rsid w:val="00324301"/>
    <w:rsid w:val="00325F11"/>
    <w:rsid w:val="0033343E"/>
    <w:rsid w:val="0033649D"/>
    <w:rsid w:val="00337F61"/>
    <w:rsid w:val="00340A41"/>
    <w:rsid w:val="00343B84"/>
    <w:rsid w:val="0034474C"/>
    <w:rsid w:val="00345383"/>
    <w:rsid w:val="00350007"/>
    <w:rsid w:val="003512C2"/>
    <w:rsid w:val="00352D9C"/>
    <w:rsid w:val="00353B30"/>
    <w:rsid w:val="00363150"/>
    <w:rsid w:val="003654EB"/>
    <w:rsid w:val="003676EF"/>
    <w:rsid w:val="00371FB6"/>
    <w:rsid w:val="00373497"/>
    <w:rsid w:val="00375474"/>
    <w:rsid w:val="003763C1"/>
    <w:rsid w:val="00376BBE"/>
    <w:rsid w:val="00386BE6"/>
    <w:rsid w:val="0039224F"/>
    <w:rsid w:val="003955DF"/>
    <w:rsid w:val="00395D94"/>
    <w:rsid w:val="003A15DB"/>
    <w:rsid w:val="003A1CF8"/>
    <w:rsid w:val="003A43A4"/>
    <w:rsid w:val="003A5F45"/>
    <w:rsid w:val="003A7E18"/>
    <w:rsid w:val="003A7F40"/>
    <w:rsid w:val="003B3A2A"/>
    <w:rsid w:val="003B7102"/>
    <w:rsid w:val="003C4C86"/>
    <w:rsid w:val="003C6258"/>
    <w:rsid w:val="003D12E9"/>
    <w:rsid w:val="003D1F00"/>
    <w:rsid w:val="003D2AB2"/>
    <w:rsid w:val="003D3D5A"/>
    <w:rsid w:val="003D4C29"/>
    <w:rsid w:val="003D7AE8"/>
    <w:rsid w:val="003D7C77"/>
    <w:rsid w:val="003E0D6C"/>
    <w:rsid w:val="003E117B"/>
    <w:rsid w:val="003E2904"/>
    <w:rsid w:val="003F5E8A"/>
    <w:rsid w:val="003F7F83"/>
    <w:rsid w:val="00400D0B"/>
    <w:rsid w:val="00401927"/>
    <w:rsid w:val="004046E2"/>
    <w:rsid w:val="00406929"/>
    <w:rsid w:val="00407C09"/>
    <w:rsid w:val="0041027F"/>
    <w:rsid w:val="004120FE"/>
    <w:rsid w:val="00412475"/>
    <w:rsid w:val="0041622C"/>
    <w:rsid w:val="004162C9"/>
    <w:rsid w:val="00417FA7"/>
    <w:rsid w:val="0042000A"/>
    <w:rsid w:val="00423789"/>
    <w:rsid w:val="00427D5C"/>
    <w:rsid w:val="004302FE"/>
    <w:rsid w:val="00432B7D"/>
    <w:rsid w:val="004349C9"/>
    <w:rsid w:val="00440238"/>
    <w:rsid w:val="00440F43"/>
    <w:rsid w:val="0044178E"/>
    <w:rsid w:val="00441B6F"/>
    <w:rsid w:val="0044503E"/>
    <w:rsid w:val="004460DC"/>
    <w:rsid w:val="00446221"/>
    <w:rsid w:val="00447180"/>
    <w:rsid w:val="004502A5"/>
    <w:rsid w:val="00450E62"/>
    <w:rsid w:val="00451DDB"/>
    <w:rsid w:val="004539DB"/>
    <w:rsid w:val="00456E18"/>
    <w:rsid w:val="00461D5C"/>
    <w:rsid w:val="00462F9B"/>
    <w:rsid w:val="00465224"/>
    <w:rsid w:val="00465D14"/>
    <w:rsid w:val="00466709"/>
    <w:rsid w:val="004668B0"/>
    <w:rsid w:val="00466B6C"/>
    <w:rsid w:val="0047140A"/>
    <w:rsid w:val="00471A80"/>
    <w:rsid w:val="0047312E"/>
    <w:rsid w:val="00476173"/>
    <w:rsid w:val="00483336"/>
    <w:rsid w:val="00483EFA"/>
    <w:rsid w:val="0048418C"/>
    <w:rsid w:val="00485239"/>
    <w:rsid w:val="00491609"/>
    <w:rsid w:val="004972DD"/>
    <w:rsid w:val="004A0046"/>
    <w:rsid w:val="004A1A5A"/>
    <w:rsid w:val="004A4BFC"/>
    <w:rsid w:val="004A6F79"/>
    <w:rsid w:val="004A7A3B"/>
    <w:rsid w:val="004B08D8"/>
    <w:rsid w:val="004B1CD0"/>
    <w:rsid w:val="004B2A9D"/>
    <w:rsid w:val="004B4E6C"/>
    <w:rsid w:val="004C5A3F"/>
    <w:rsid w:val="004C5E1D"/>
    <w:rsid w:val="004C62F2"/>
    <w:rsid w:val="004C77E8"/>
    <w:rsid w:val="004C7BB1"/>
    <w:rsid w:val="004D305E"/>
    <w:rsid w:val="004D4277"/>
    <w:rsid w:val="004D6D23"/>
    <w:rsid w:val="004D788F"/>
    <w:rsid w:val="004E147C"/>
    <w:rsid w:val="004E672B"/>
    <w:rsid w:val="004E7337"/>
    <w:rsid w:val="004F2677"/>
    <w:rsid w:val="004F3AAB"/>
    <w:rsid w:val="004F45F8"/>
    <w:rsid w:val="004F4E78"/>
    <w:rsid w:val="004F52E3"/>
    <w:rsid w:val="005004FE"/>
    <w:rsid w:val="00502516"/>
    <w:rsid w:val="00504B92"/>
    <w:rsid w:val="00505F06"/>
    <w:rsid w:val="00506828"/>
    <w:rsid w:val="00510A14"/>
    <w:rsid w:val="005112E4"/>
    <w:rsid w:val="00511DCE"/>
    <w:rsid w:val="00513153"/>
    <w:rsid w:val="00514C89"/>
    <w:rsid w:val="00515D1D"/>
    <w:rsid w:val="00517237"/>
    <w:rsid w:val="00517965"/>
    <w:rsid w:val="00521D39"/>
    <w:rsid w:val="0052213F"/>
    <w:rsid w:val="00523830"/>
    <w:rsid w:val="0052447F"/>
    <w:rsid w:val="00524FBD"/>
    <w:rsid w:val="00525019"/>
    <w:rsid w:val="00525A05"/>
    <w:rsid w:val="0052662A"/>
    <w:rsid w:val="00527A63"/>
    <w:rsid w:val="0053056E"/>
    <w:rsid w:val="00530F4C"/>
    <w:rsid w:val="0053181A"/>
    <w:rsid w:val="00532D0A"/>
    <w:rsid w:val="0053391E"/>
    <w:rsid w:val="00533E2E"/>
    <w:rsid w:val="00535FD3"/>
    <w:rsid w:val="0053666B"/>
    <w:rsid w:val="005400A3"/>
    <w:rsid w:val="00541334"/>
    <w:rsid w:val="0054340F"/>
    <w:rsid w:val="00544458"/>
    <w:rsid w:val="00546E47"/>
    <w:rsid w:val="00547825"/>
    <w:rsid w:val="00547BC2"/>
    <w:rsid w:val="0055024A"/>
    <w:rsid w:val="00551742"/>
    <w:rsid w:val="00554FDA"/>
    <w:rsid w:val="0056033F"/>
    <w:rsid w:val="00564383"/>
    <w:rsid w:val="005676EB"/>
    <w:rsid w:val="005764E0"/>
    <w:rsid w:val="00584326"/>
    <w:rsid w:val="00585085"/>
    <w:rsid w:val="00586A91"/>
    <w:rsid w:val="005875B7"/>
    <w:rsid w:val="0059154F"/>
    <w:rsid w:val="0059255D"/>
    <w:rsid w:val="00592F1B"/>
    <w:rsid w:val="00593698"/>
    <w:rsid w:val="00593779"/>
    <w:rsid w:val="00596713"/>
    <w:rsid w:val="005A0A52"/>
    <w:rsid w:val="005A1128"/>
    <w:rsid w:val="005A2258"/>
    <w:rsid w:val="005A3A42"/>
    <w:rsid w:val="005A6895"/>
    <w:rsid w:val="005A6F1E"/>
    <w:rsid w:val="005B1C10"/>
    <w:rsid w:val="005B3A35"/>
    <w:rsid w:val="005B421B"/>
    <w:rsid w:val="005B4956"/>
    <w:rsid w:val="005B5DA1"/>
    <w:rsid w:val="005C07F6"/>
    <w:rsid w:val="005C093F"/>
    <w:rsid w:val="005C1CE8"/>
    <w:rsid w:val="005C2DB5"/>
    <w:rsid w:val="005C4E91"/>
    <w:rsid w:val="005C606F"/>
    <w:rsid w:val="005C784C"/>
    <w:rsid w:val="005D0B0E"/>
    <w:rsid w:val="005D17F6"/>
    <w:rsid w:val="005D2142"/>
    <w:rsid w:val="005D37E8"/>
    <w:rsid w:val="005D637C"/>
    <w:rsid w:val="005E0EE6"/>
    <w:rsid w:val="005E13AC"/>
    <w:rsid w:val="005E2EC7"/>
    <w:rsid w:val="005E5539"/>
    <w:rsid w:val="005E785D"/>
    <w:rsid w:val="005F148C"/>
    <w:rsid w:val="005F2AFB"/>
    <w:rsid w:val="005F6D9D"/>
    <w:rsid w:val="00602BF5"/>
    <w:rsid w:val="00606D89"/>
    <w:rsid w:val="00610DB7"/>
    <w:rsid w:val="0061101B"/>
    <w:rsid w:val="00611E76"/>
    <w:rsid w:val="0061781F"/>
    <w:rsid w:val="00617FDD"/>
    <w:rsid w:val="0062246D"/>
    <w:rsid w:val="00624599"/>
    <w:rsid w:val="00633614"/>
    <w:rsid w:val="00633F68"/>
    <w:rsid w:val="0063492E"/>
    <w:rsid w:val="0063664F"/>
    <w:rsid w:val="006367A4"/>
    <w:rsid w:val="00636A60"/>
    <w:rsid w:val="00636EB2"/>
    <w:rsid w:val="006375B8"/>
    <w:rsid w:val="00637E6B"/>
    <w:rsid w:val="006408A4"/>
    <w:rsid w:val="00641A4F"/>
    <w:rsid w:val="0064344F"/>
    <w:rsid w:val="0065018E"/>
    <w:rsid w:val="006521D6"/>
    <w:rsid w:val="0065383C"/>
    <w:rsid w:val="00654B9A"/>
    <w:rsid w:val="006641FC"/>
    <w:rsid w:val="00664255"/>
    <w:rsid w:val="0066510A"/>
    <w:rsid w:val="00665C2E"/>
    <w:rsid w:val="00667FF8"/>
    <w:rsid w:val="00671C85"/>
    <w:rsid w:val="006731B4"/>
    <w:rsid w:val="00673F9F"/>
    <w:rsid w:val="00674AF6"/>
    <w:rsid w:val="006751B1"/>
    <w:rsid w:val="006804DB"/>
    <w:rsid w:val="00680CB1"/>
    <w:rsid w:val="00684801"/>
    <w:rsid w:val="00686953"/>
    <w:rsid w:val="00687DEA"/>
    <w:rsid w:val="00687E67"/>
    <w:rsid w:val="0069097E"/>
    <w:rsid w:val="006918D8"/>
    <w:rsid w:val="00693510"/>
    <w:rsid w:val="0069433B"/>
    <w:rsid w:val="006967F7"/>
    <w:rsid w:val="006969FD"/>
    <w:rsid w:val="00697051"/>
    <w:rsid w:val="006A011A"/>
    <w:rsid w:val="006A15B9"/>
    <w:rsid w:val="006A250C"/>
    <w:rsid w:val="006A26E4"/>
    <w:rsid w:val="006A3AFB"/>
    <w:rsid w:val="006A3C1E"/>
    <w:rsid w:val="006B0B91"/>
    <w:rsid w:val="006B0C84"/>
    <w:rsid w:val="006B16B7"/>
    <w:rsid w:val="006B21D3"/>
    <w:rsid w:val="006B57D0"/>
    <w:rsid w:val="006B64DA"/>
    <w:rsid w:val="006C00CC"/>
    <w:rsid w:val="006C3785"/>
    <w:rsid w:val="006C48A2"/>
    <w:rsid w:val="006D30FF"/>
    <w:rsid w:val="006D3403"/>
    <w:rsid w:val="006D48B6"/>
    <w:rsid w:val="006D4F90"/>
    <w:rsid w:val="006D6940"/>
    <w:rsid w:val="006E2E82"/>
    <w:rsid w:val="006F11EC"/>
    <w:rsid w:val="006F1D38"/>
    <w:rsid w:val="006F3FC4"/>
    <w:rsid w:val="006F51E7"/>
    <w:rsid w:val="006F54D0"/>
    <w:rsid w:val="006F652E"/>
    <w:rsid w:val="006F72CB"/>
    <w:rsid w:val="0070082C"/>
    <w:rsid w:val="0070319F"/>
    <w:rsid w:val="007044D7"/>
    <w:rsid w:val="00706B1A"/>
    <w:rsid w:val="0071347B"/>
    <w:rsid w:val="0071546E"/>
    <w:rsid w:val="00715F01"/>
    <w:rsid w:val="00717368"/>
    <w:rsid w:val="00720957"/>
    <w:rsid w:val="00720EF1"/>
    <w:rsid w:val="00722A2C"/>
    <w:rsid w:val="00723421"/>
    <w:rsid w:val="00723A5F"/>
    <w:rsid w:val="00726C61"/>
    <w:rsid w:val="00727ABD"/>
    <w:rsid w:val="00731AD7"/>
    <w:rsid w:val="00733AF3"/>
    <w:rsid w:val="00734CC7"/>
    <w:rsid w:val="007369E6"/>
    <w:rsid w:val="00736DCD"/>
    <w:rsid w:val="007374C6"/>
    <w:rsid w:val="00743776"/>
    <w:rsid w:val="00743D96"/>
    <w:rsid w:val="0074530A"/>
    <w:rsid w:val="00746E59"/>
    <w:rsid w:val="0075252C"/>
    <w:rsid w:val="0075497E"/>
    <w:rsid w:val="00754C9A"/>
    <w:rsid w:val="0075599A"/>
    <w:rsid w:val="00760433"/>
    <w:rsid w:val="00761B92"/>
    <w:rsid w:val="00761D52"/>
    <w:rsid w:val="0076679F"/>
    <w:rsid w:val="007676D1"/>
    <w:rsid w:val="00771FED"/>
    <w:rsid w:val="00774258"/>
    <w:rsid w:val="007743F5"/>
    <w:rsid w:val="0077749E"/>
    <w:rsid w:val="007821B4"/>
    <w:rsid w:val="0078640B"/>
    <w:rsid w:val="0078767C"/>
    <w:rsid w:val="00790ADA"/>
    <w:rsid w:val="00791807"/>
    <w:rsid w:val="007967A9"/>
    <w:rsid w:val="007A1776"/>
    <w:rsid w:val="007A41D9"/>
    <w:rsid w:val="007A4CBB"/>
    <w:rsid w:val="007A5D3A"/>
    <w:rsid w:val="007A7578"/>
    <w:rsid w:val="007B39FE"/>
    <w:rsid w:val="007B4E90"/>
    <w:rsid w:val="007B4F6D"/>
    <w:rsid w:val="007D2288"/>
    <w:rsid w:val="007D2B0A"/>
    <w:rsid w:val="007D30A5"/>
    <w:rsid w:val="007D6502"/>
    <w:rsid w:val="007D6B15"/>
    <w:rsid w:val="007E088F"/>
    <w:rsid w:val="007E316F"/>
    <w:rsid w:val="007E4F34"/>
    <w:rsid w:val="007F342B"/>
    <w:rsid w:val="007F4D6A"/>
    <w:rsid w:val="007F5BC7"/>
    <w:rsid w:val="007F74EB"/>
    <w:rsid w:val="007F7B32"/>
    <w:rsid w:val="007F7B87"/>
    <w:rsid w:val="007F7E04"/>
    <w:rsid w:val="008014C8"/>
    <w:rsid w:val="00804BC2"/>
    <w:rsid w:val="0081431A"/>
    <w:rsid w:val="008144D4"/>
    <w:rsid w:val="008162FA"/>
    <w:rsid w:val="00817076"/>
    <w:rsid w:val="00820678"/>
    <w:rsid w:val="008220D9"/>
    <w:rsid w:val="008227DB"/>
    <w:rsid w:val="00822899"/>
    <w:rsid w:val="008241EE"/>
    <w:rsid w:val="00824513"/>
    <w:rsid w:val="008251DE"/>
    <w:rsid w:val="0083216F"/>
    <w:rsid w:val="00832B7D"/>
    <w:rsid w:val="00833C26"/>
    <w:rsid w:val="00834599"/>
    <w:rsid w:val="008364D2"/>
    <w:rsid w:val="00840705"/>
    <w:rsid w:val="00840D86"/>
    <w:rsid w:val="00847A53"/>
    <w:rsid w:val="00850D29"/>
    <w:rsid w:val="008520A5"/>
    <w:rsid w:val="0085322F"/>
    <w:rsid w:val="00853EC6"/>
    <w:rsid w:val="008547B9"/>
    <w:rsid w:val="00855086"/>
    <w:rsid w:val="00857BA9"/>
    <w:rsid w:val="00860000"/>
    <w:rsid w:val="00860B65"/>
    <w:rsid w:val="00860FC6"/>
    <w:rsid w:val="00863BD3"/>
    <w:rsid w:val="008641ED"/>
    <w:rsid w:val="00864395"/>
    <w:rsid w:val="00865DDC"/>
    <w:rsid w:val="008669AA"/>
    <w:rsid w:val="00866D66"/>
    <w:rsid w:val="008671C6"/>
    <w:rsid w:val="00870E72"/>
    <w:rsid w:val="008756D3"/>
    <w:rsid w:val="00875803"/>
    <w:rsid w:val="00875C79"/>
    <w:rsid w:val="008773ED"/>
    <w:rsid w:val="00881C59"/>
    <w:rsid w:val="00884627"/>
    <w:rsid w:val="00885CF9"/>
    <w:rsid w:val="00887597"/>
    <w:rsid w:val="00893284"/>
    <w:rsid w:val="008935D3"/>
    <w:rsid w:val="008971BF"/>
    <w:rsid w:val="008974BC"/>
    <w:rsid w:val="008978F8"/>
    <w:rsid w:val="008A6E99"/>
    <w:rsid w:val="008A714D"/>
    <w:rsid w:val="008A718D"/>
    <w:rsid w:val="008B1480"/>
    <w:rsid w:val="008B459E"/>
    <w:rsid w:val="008B61C7"/>
    <w:rsid w:val="008B697F"/>
    <w:rsid w:val="008B7724"/>
    <w:rsid w:val="008C0D09"/>
    <w:rsid w:val="008D0B14"/>
    <w:rsid w:val="008D1CC6"/>
    <w:rsid w:val="008D5873"/>
    <w:rsid w:val="008D5F90"/>
    <w:rsid w:val="008E13AE"/>
    <w:rsid w:val="008E1506"/>
    <w:rsid w:val="008E2460"/>
    <w:rsid w:val="008E2D97"/>
    <w:rsid w:val="008E41A0"/>
    <w:rsid w:val="008E62A5"/>
    <w:rsid w:val="008E710C"/>
    <w:rsid w:val="008E77AF"/>
    <w:rsid w:val="008F15C9"/>
    <w:rsid w:val="008F4E1D"/>
    <w:rsid w:val="008F69D6"/>
    <w:rsid w:val="00900737"/>
    <w:rsid w:val="009013C5"/>
    <w:rsid w:val="009015D2"/>
    <w:rsid w:val="00902823"/>
    <w:rsid w:val="00902D54"/>
    <w:rsid w:val="009030B4"/>
    <w:rsid w:val="00905912"/>
    <w:rsid w:val="009062FD"/>
    <w:rsid w:val="00907B42"/>
    <w:rsid w:val="009142EB"/>
    <w:rsid w:val="00915CA6"/>
    <w:rsid w:val="009171FA"/>
    <w:rsid w:val="00920C63"/>
    <w:rsid w:val="00920E72"/>
    <w:rsid w:val="00921C9F"/>
    <w:rsid w:val="009233F5"/>
    <w:rsid w:val="009257C2"/>
    <w:rsid w:val="00925932"/>
    <w:rsid w:val="009275D7"/>
    <w:rsid w:val="00927834"/>
    <w:rsid w:val="00935EBF"/>
    <w:rsid w:val="009372A5"/>
    <w:rsid w:val="00940F95"/>
    <w:rsid w:val="00941939"/>
    <w:rsid w:val="00942F52"/>
    <w:rsid w:val="00944046"/>
    <w:rsid w:val="00947C8A"/>
    <w:rsid w:val="009500A6"/>
    <w:rsid w:val="009504F5"/>
    <w:rsid w:val="0095637F"/>
    <w:rsid w:val="009567C5"/>
    <w:rsid w:val="00956ECF"/>
    <w:rsid w:val="00957C18"/>
    <w:rsid w:val="0096080E"/>
    <w:rsid w:val="009613FF"/>
    <w:rsid w:val="00962FCC"/>
    <w:rsid w:val="009659BA"/>
    <w:rsid w:val="00966C86"/>
    <w:rsid w:val="00970E61"/>
    <w:rsid w:val="0097196A"/>
    <w:rsid w:val="00974130"/>
    <w:rsid w:val="009774C2"/>
    <w:rsid w:val="00977E46"/>
    <w:rsid w:val="009823C4"/>
    <w:rsid w:val="00983040"/>
    <w:rsid w:val="00983302"/>
    <w:rsid w:val="00983A83"/>
    <w:rsid w:val="009866A3"/>
    <w:rsid w:val="00991894"/>
    <w:rsid w:val="009920FA"/>
    <w:rsid w:val="009934A2"/>
    <w:rsid w:val="0099449B"/>
    <w:rsid w:val="00997689"/>
    <w:rsid w:val="009A1BAD"/>
    <w:rsid w:val="009A61F1"/>
    <w:rsid w:val="009A71C6"/>
    <w:rsid w:val="009B3EEC"/>
    <w:rsid w:val="009B3FB9"/>
    <w:rsid w:val="009B7F2D"/>
    <w:rsid w:val="009C2465"/>
    <w:rsid w:val="009C2C79"/>
    <w:rsid w:val="009C570A"/>
    <w:rsid w:val="009D35A0"/>
    <w:rsid w:val="009D6957"/>
    <w:rsid w:val="009D7EB7"/>
    <w:rsid w:val="009E048A"/>
    <w:rsid w:val="009E08E9"/>
    <w:rsid w:val="009E362B"/>
    <w:rsid w:val="009E3DB9"/>
    <w:rsid w:val="009E5387"/>
    <w:rsid w:val="009E6E35"/>
    <w:rsid w:val="009F0EDA"/>
    <w:rsid w:val="009F7E3B"/>
    <w:rsid w:val="00A00F45"/>
    <w:rsid w:val="00A01EF0"/>
    <w:rsid w:val="00A02A76"/>
    <w:rsid w:val="00A03492"/>
    <w:rsid w:val="00A03936"/>
    <w:rsid w:val="00A03B96"/>
    <w:rsid w:val="00A05B19"/>
    <w:rsid w:val="00A1134E"/>
    <w:rsid w:val="00A1147B"/>
    <w:rsid w:val="00A13684"/>
    <w:rsid w:val="00A1474C"/>
    <w:rsid w:val="00A1572B"/>
    <w:rsid w:val="00A1685A"/>
    <w:rsid w:val="00A16DDC"/>
    <w:rsid w:val="00A21A1F"/>
    <w:rsid w:val="00A21C19"/>
    <w:rsid w:val="00A23125"/>
    <w:rsid w:val="00A24B48"/>
    <w:rsid w:val="00A24E7E"/>
    <w:rsid w:val="00A258C3"/>
    <w:rsid w:val="00A33D91"/>
    <w:rsid w:val="00A347C0"/>
    <w:rsid w:val="00A36D40"/>
    <w:rsid w:val="00A4215D"/>
    <w:rsid w:val="00A43818"/>
    <w:rsid w:val="00A51431"/>
    <w:rsid w:val="00A539AD"/>
    <w:rsid w:val="00A57E1C"/>
    <w:rsid w:val="00A60C24"/>
    <w:rsid w:val="00A63079"/>
    <w:rsid w:val="00A63CCD"/>
    <w:rsid w:val="00A6453F"/>
    <w:rsid w:val="00A72585"/>
    <w:rsid w:val="00A73E26"/>
    <w:rsid w:val="00A779E5"/>
    <w:rsid w:val="00A83FE3"/>
    <w:rsid w:val="00A84CDB"/>
    <w:rsid w:val="00A8675D"/>
    <w:rsid w:val="00A9133D"/>
    <w:rsid w:val="00A933D0"/>
    <w:rsid w:val="00A94063"/>
    <w:rsid w:val="00AA085F"/>
    <w:rsid w:val="00AA0B31"/>
    <w:rsid w:val="00AA13BC"/>
    <w:rsid w:val="00AA4AA8"/>
    <w:rsid w:val="00AA6219"/>
    <w:rsid w:val="00AA74E0"/>
    <w:rsid w:val="00AB0F6C"/>
    <w:rsid w:val="00AB1C0B"/>
    <w:rsid w:val="00AB1D23"/>
    <w:rsid w:val="00AB296D"/>
    <w:rsid w:val="00AB3E5F"/>
    <w:rsid w:val="00AB42D5"/>
    <w:rsid w:val="00AB703F"/>
    <w:rsid w:val="00AC0E55"/>
    <w:rsid w:val="00AC11DF"/>
    <w:rsid w:val="00AC1BC8"/>
    <w:rsid w:val="00AC2984"/>
    <w:rsid w:val="00AC3021"/>
    <w:rsid w:val="00AC4FBC"/>
    <w:rsid w:val="00AC53F7"/>
    <w:rsid w:val="00AC6BB8"/>
    <w:rsid w:val="00AD3A16"/>
    <w:rsid w:val="00AD58CD"/>
    <w:rsid w:val="00AD605A"/>
    <w:rsid w:val="00AE008F"/>
    <w:rsid w:val="00AE040B"/>
    <w:rsid w:val="00AE06F7"/>
    <w:rsid w:val="00AE1BB4"/>
    <w:rsid w:val="00AE1BF6"/>
    <w:rsid w:val="00AE3258"/>
    <w:rsid w:val="00AE41A4"/>
    <w:rsid w:val="00AE7B23"/>
    <w:rsid w:val="00AF1F26"/>
    <w:rsid w:val="00AF39F3"/>
    <w:rsid w:val="00AF4D0A"/>
    <w:rsid w:val="00B005B3"/>
    <w:rsid w:val="00B015D4"/>
    <w:rsid w:val="00B01FCD"/>
    <w:rsid w:val="00B02C33"/>
    <w:rsid w:val="00B038AC"/>
    <w:rsid w:val="00B07D6B"/>
    <w:rsid w:val="00B14773"/>
    <w:rsid w:val="00B1595E"/>
    <w:rsid w:val="00B1776C"/>
    <w:rsid w:val="00B30490"/>
    <w:rsid w:val="00B3116F"/>
    <w:rsid w:val="00B31C87"/>
    <w:rsid w:val="00B3284F"/>
    <w:rsid w:val="00B37D0D"/>
    <w:rsid w:val="00B41EC0"/>
    <w:rsid w:val="00B42932"/>
    <w:rsid w:val="00B43DC6"/>
    <w:rsid w:val="00B460AF"/>
    <w:rsid w:val="00B46A95"/>
    <w:rsid w:val="00B52583"/>
    <w:rsid w:val="00B52896"/>
    <w:rsid w:val="00B53080"/>
    <w:rsid w:val="00B53625"/>
    <w:rsid w:val="00B53695"/>
    <w:rsid w:val="00B54417"/>
    <w:rsid w:val="00B64018"/>
    <w:rsid w:val="00B64892"/>
    <w:rsid w:val="00B66BA3"/>
    <w:rsid w:val="00B70170"/>
    <w:rsid w:val="00B72D42"/>
    <w:rsid w:val="00B7437A"/>
    <w:rsid w:val="00B75CCE"/>
    <w:rsid w:val="00B76362"/>
    <w:rsid w:val="00B76965"/>
    <w:rsid w:val="00B77DCC"/>
    <w:rsid w:val="00B83FBA"/>
    <w:rsid w:val="00B84107"/>
    <w:rsid w:val="00B853FD"/>
    <w:rsid w:val="00B911BA"/>
    <w:rsid w:val="00B925A1"/>
    <w:rsid w:val="00B93F12"/>
    <w:rsid w:val="00B94D53"/>
    <w:rsid w:val="00B95236"/>
    <w:rsid w:val="00B96BD9"/>
    <w:rsid w:val="00B96F29"/>
    <w:rsid w:val="00B97831"/>
    <w:rsid w:val="00BA0022"/>
    <w:rsid w:val="00BA1B01"/>
    <w:rsid w:val="00BA1B0A"/>
    <w:rsid w:val="00BA2641"/>
    <w:rsid w:val="00BA7DDA"/>
    <w:rsid w:val="00BB11C6"/>
    <w:rsid w:val="00BB2739"/>
    <w:rsid w:val="00BB29A0"/>
    <w:rsid w:val="00BB37AA"/>
    <w:rsid w:val="00BC16FE"/>
    <w:rsid w:val="00BC32B0"/>
    <w:rsid w:val="00BC53A0"/>
    <w:rsid w:val="00BD000D"/>
    <w:rsid w:val="00BD6C9B"/>
    <w:rsid w:val="00BD7269"/>
    <w:rsid w:val="00BD7F6A"/>
    <w:rsid w:val="00BE12EA"/>
    <w:rsid w:val="00BE16B4"/>
    <w:rsid w:val="00BE3042"/>
    <w:rsid w:val="00BE32EB"/>
    <w:rsid w:val="00BE5497"/>
    <w:rsid w:val="00BE61C3"/>
    <w:rsid w:val="00BE62AD"/>
    <w:rsid w:val="00BE6A7E"/>
    <w:rsid w:val="00BE7908"/>
    <w:rsid w:val="00BF121F"/>
    <w:rsid w:val="00BF19E0"/>
    <w:rsid w:val="00BF1F80"/>
    <w:rsid w:val="00BF5160"/>
    <w:rsid w:val="00C005C4"/>
    <w:rsid w:val="00C01EA6"/>
    <w:rsid w:val="00C02954"/>
    <w:rsid w:val="00C02C01"/>
    <w:rsid w:val="00C03339"/>
    <w:rsid w:val="00C041C2"/>
    <w:rsid w:val="00C10111"/>
    <w:rsid w:val="00C1073E"/>
    <w:rsid w:val="00C1401F"/>
    <w:rsid w:val="00C140EC"/>
    <w:rsid w:val="00C151E5"/>
    <w:rsid w:val="00C15C46"/>
    <w:rsid w:val="00C166EF"/>
    <w:rsid w:val="00C17EB0"/>
    <w:rsid w:val="00C2275D"/>
    <w:rsid w:val="00C26592"/>
    <w:rsid w:val="00C27F5F"/>
    <w:rsid w:val="00C30761"/>
    <w:rsid w:val="00C30A0F"/>
    <w:rsid w:val="00C3476A"/>
    <w:rsid w:val="00C35498"/>
    <w:rsid w:val="00C37131"/>
    <w:rsid w:val="00C37E61"/>
    <w:rsid w:val="00C41555"/>
    <w:rsid w:val="00C41A09"/>
    <w:rsid w:val="00C439E7"/>
    <w:rsid w:val="00C43F64"/>
    <w:rsid w:val="00C53A93"/>
    <w:rsid w:val="00C55C8D"/>
    <w:rsid w:val="00C570B2"/>
    <w:rsid w:val="00C5766A"/>
    <w:rsid w:val="00C67C49"/>
    <w:rsid w:val="00C70F1B"/>
    <w:rsid w:val="00C71A47"/>
    <w:rsid w:val="00C7464C"/>
    <w:rsid w:val="00C80435"/>
    <w:rsid w:val="00C83150"/>
    <w:rsid w:val="00C85588"/>
    <w:rsid w:val="00C90396"/>
    <w:rsid w:val="00C90888"/>
    <w:rsid w:val="00C90CAE"/>
    <w:rsid w:val="00C92025"/>
    <w:rsid w:val="00C977BB"/>
    <w:rsid w:val="00CA3B6D"/>
    <w:rsid w:val="00CB041C"/>
    <w:rsid w:val="00CB06AC"/>
    <w:rsid w:val="00CB1322"/>
    <w:rsid w:val="00CB1374"/>
    <w:rsid w:val="00CC4D49"/>
    <w:rsid w:val="00CC6B46"/>
    <w:rsid w:val="00CC70C0"/>
    <w:rsid w:val="00CD2249"/>
    <w:rsid w:val="00CD39A5"/>
    <w:rsid w:val="00CD4CCF"/>
    <w:rsid w:val="00CD6755"/>
    <w:rsid w:val="00CD6856"/>
    <w:rsid w:val="00CD6AFF"/>
    <w:rsid w:val="00CD7CFE"/>
    <w:rsid w:val="00CE0089"/>
    <w:rsid w:val="00CE1F17"/>
    <w:rsid w:val="00CE35F0"/>
    <w:rsid w:val="00CE4E6F"/>
    <w:rsid w:val="00CE5628"/>
    <w:rsid w:val="00CE793C"/>
    <w:rsid w:val="00CF0674"/>
    <w:rsid w:val="00CF16E5"/>
    <w:rsid w:val="00CF193C"/>
    <w:rsid w:val="00CF1D1E"/>
    <w:rsid w:val="00CF3F57"/>
    <w:rsid w:val="00D0134F"/>
    <w:rsid w:val="00D017AC"/>
    <w:rsid w:val="00D01E57"/>
    <w:rsid w:val="00D02B2B"/>
    <w:rsid w:val="00D06CE8"/>
    <w:rsid w:val="00D07305"/>
    <w:rsid w:val="00D07E8E"/>
    <w:rsid w:val="00D1563F"/>
    <w:rsid w:val="00D173F1"/>
    <w:rsid w:val="00D21E6B"/>
    <w:rsid w:val="00D23AB6"/>
    <w:rsid w:val="00D24B62"/>
    <w:rsid w:val="00D25C9D"/>
    <w:rsid w:val="00D326B6"/>
    <w:rsid w:val="00D3322E"/>
    <w:rsid w:val="00D35FFB"/>
    <w:rsid w:val="00D4058E"/>
    <w:rsid w:val="00D41BB4"/>
    <w:rsid w:val="00D43834"/>
    <w:rsid w:val="00D564AC"/>
    <w:rsid w:val="00D705BE"/>
    <w:rsid w:val="00D74454"/>
    <w:rsid w:val="00D74CB0"/>
    <w:rsid w:val="00D80EF3"/>
    <w:rsid w:val="00D8295D"/>
    <w:rsid w:val="00D879D8"/>
    <w:rsid w:val="00D90184"/>
    <w:rsid w:val="00D90715"/>
    <w:rsid w:val="00D91686"/>
    <w:rsid w:val="00D92F12"/>
    <w:rsid w:val="00D94A02"/>
    <w:rsid w:val="00D96870"/>
    <w:rsid w:val="00D96E97"/>
    <w:rsid w:val="00D9778E"/>
    <w:rsid w:val="00D9784E"/>
    <w:rsid w:val="00D97B84"/>
    <w:rsid w:val="00D97C15"/>
    <w:rsid w:val="00DA55C5"/>
    <w:rsid w:val="00DA61C2"/>
    <w:rsid w:val="00DB2510"/>
    <w:rsid w:val="00DB2561"/>
    <w:rsid w:val="00DB4632"/>
    <w:rsid w:val="00DB6858"/>
    <w:rsid w:val="00DB6979"/>
    <w:rsid w:val="00DC2838"/>
    <w:rsid w:val="00DC2A65"/>
    <w:rsid w:val="00DC386C"/>
    <w:rsid w:val="00DD0573"/>
    <w:rsid w:val="00DD54E3"/>
    <w:rsid w:val="00DD598E"/>
    <w:rsid w:val="00DD64DA"/>
    <w:rsid w:val="00DE15F0"/>
    <w:rsid w:val="00DE2076"/>
    <w:rsid w:val="00DE2D55"/>
    <w:rsid w:val="00DE3265"/>
    <w:rsid w:val="00DE5663"/>
    <w:rsid w:val="00DE78AA"/>
    <w:rsid w:val="00DF4ED9"/>
    <w:rsid w:val="00DF5A13"/>
    <w:rsid w:val="00E0274C"/>
    <w:rsid w:val="00E053D0"/>
    <w:rsid w:val="00E06EB5"/>
    <w:rsid w:val="00E10C46"/>
    <w:rsid w:val="00E14F55"/>
    <w:rsid w:val="00E15951"/>
    <w:rsid w:val="00E15994"/>
    <w:rsid w:val="00E164C8"/>
    <w:rsid w:val="00E16948"/>
    <w:rsid w:val="00E17C46"/>
    <w:rsid w:val="00E17CEB"/>
    <w:rsid w:val="00E20FA8"/>
    <w:rsid w:val="00E24727"/>
    <w:rsid w:val="00E3114E"/>
    <w:rsid w:val="00E31824"/>
    <w:rsid w:val="00E31A70"/>
    <w:rsid w:val="00E337B4"/>
    <w:rsid w:val="00E35B02"/>
    <w:rsid w:val="00E36831"/>
    <w:rsid w:val="00E4112F"/>
    <w:rsid w:val="00E420B9"/>
    <w:rsid w:val="00E44E60"/>
    <w:rsid w:val="00E450AA"/>
    <w:rsid w:val="00E50A2B"/>
    <w:rsid w:val="00E522E1"/>
    <w:rsid w:val="00E53378"/>
    <w:rsid w:val="00E53D0C"/>
    <w:rsid w:val="00E54F9E"/>
    <w:rsid w:val="00E55B63"/>
    <w:rsid w:val="00E55E06"/>
    <w:rsid w:val="00E57A1F"/>
    <w:rsid w:val="00E61C0D"/>
    <w:rsid w:val="00E6219F"/>
    <w:rsid w:val="00E64C3E"/>
    <w:rsid w:val="00E64CEB"/>
    <w:rsid w:val="00E66496"/>
    <w:rsid w:val="00E66B35"/>
    <w:rsid w:val="00E66E10"/>
    <w:rsid w:val="00E67281"/>
    <w:rsid w:val="00E7094F"/>
    <w:rsid w:val="00E70C7F"/>
    <w:rsid w:val="00E72D2F"/>
    <w:rsid w:val="00E749C7"/>
    <w:rsid w:val="00E769F6"/>
    <w:rsid w:val="00E76AE5"/>
    <w:rsid w:val="00E770EB"/>
    <w:rsid w:val="00E8407C"/>
    <w:rsid w:val="00E84F3C"/>
    <w:rsid w:val="00E85788"/>
    <w:rsid w:val="00E871CC"/>
    <w:rsid w:val="00E87CBD"/>
    <w:rsid w:val="00E900AE"/>
    <w:rsid w:val="00E90577"/>
    <w:rsid w:val="00E93AFA"/>
    <w:rsid w:val="00EA012C"/>
    <w:rsid w:val="00EA0EFB"/>
    <w:rsid w:val="00EA34FC"/>
    <w:rsid w:val="00EA39D5"/>
    <w:rsid w:val="00EB0392"/>
    <w:rsid w:val="00EB0C6A"/>
    <w:rsid w:val="00EB12D9"/>
    <w:rsid w:val="00EB4C21"/>
    <w:rsid w:val="00EC1B3F"/>
    <w:rsid w:val="00EC4523"/>
    <w:rsid w:val="00EC532A"/>
    <w:rsid w:val="00EC659C"/>
    <w:rsid w:val="00EC6A55"/>
    <w:rsid w:val="00ED0288"/>
    <w:rsid w:val="00ED107F"/>
    <w:rsid w:val="00ED1865"/>
    <w:rsid w:val="00ED32E8"/>
    <w:rsid w:val="00ED4C73"/>
    <w:rsid w:val="00ED4D0E"/>
    <w:rsid w:val="00ED5E2A"/>
    <w:rsid w:val="00ED6660"/>
    <w:rsid w:val="00ED7EC4"/>
    <w:rsid w:val="00EE3859"/>
    <w:rsid w:val="00EE3AA6"/>
    <w:rsid w:val="00EE4061"/>
    <w:rsid w:val="00EE4C05"/>
    <w:rsid w:val="00EE4D87"/>
    <w:rsid w:val="00EE52CB"/>
    <w:rsid w:val="00EE6FD4"/>
    <w:rsid w:val="00EE7FF9"/>
    <w:rsid w:val="00EF0CDA"/>
    <w:rsid w:val="00EF581D"/>
    <w:rsid w:val="00EF64DA"/>
    <w:rsid w:val="00EF7FD8"/>
    <w:rsid w:val="00F02375"/>
    <w:rsid w:val="00F06DB1"/>
    <w:rsid w:val="00F06F59"/>
    <w:rsid w:val="00F11263"/>
    <w:rsid w:val="00F17988"/>
    <w:rsid w:val="00F17D19"/>
    <w:rsid w:val="00F209AF"/>
    <w:rsid w:val="00F20AFA"/>
    <w:rsid w:val="00F212AC"/>
    <w:rsid w:val="00F22446"/>
    <w:rsid w:val="00F22D30"/>
    <w:rsid w:val="00F23117"/>
    <w:rsid w:val="00F25FC6"/>
    <w:rsid w:val="00F27C53"/>
    <w:rsid w:val="00F3143B"/>
    <w:rsid w:val="00F32FB1"/>
    <w:rsid w:val="00F376A5"/>
    <w:rsid w:val="00F41BF8"/>
    <w:rsid w:val="00F42F35"/>
    <w:rsid w:val="00F43D72"/>
    <w:rsid w:val="00F44DE1"/>
    <w:rsid w:val="00F469F0"/>
    <w:rsid w:val="00F470DF"/>
    <w:rsid w:val="00F50AE6"/>
    <w:rsid w:val="00F520E9"/>
    <w:rsid w:val="00F53273"/>
    <w:rsid w:val="00F53CA7"/>
    <w:rsid w:val="00F5427B"/>
    <w:rsid w:val="00F556A1"/>
    <w:rsid w:val="00F56781"/>
    <w:rsid w:val="00F56823"/>
    <w:rsid w:val="00F615FD"/>
    <w:rsid w:val="00F62EFF"/>
    <w:rsid w:val="00F63FC7"/>
    <w:rsid w:val="00F6616C"/>
    <w:rsid w:val="00F669BE"/>
    <w:rsid w:val="00F70F85"/>
    <w:rsid w:val="00F73893"/>
    <w:rsid w:val="00F755E4"/>
    <w:rsid w:val="00F77D02"/>
    <w:rsid w:val="00F80695"/>
    <w:rsid w:val="00F819BC"/>
    <w:rsid w:val="00F82299"/>
    <w:rsid w:val="00F825D0"/>
    <w:rsid w:val="00F83AF4"/>
    <w:rsid w:val="00F86551"/>
    <w:rsid w:val="00F935C1"/>
    <w:rsid w:val="00F946FA"/>
    <w:rsid w:val="00F961A2"/>
    <w:rsid w:val="00F97F5E"/>
    <w:rsid w:val="00FA29F6"/>
    <w:rsid w:val="00FA60B1"/>
    <w:rsid w:val="00FA64C5"/>
    <w:rsid w:val="00FA7FEB"/>
    <w:rsid w:val="00FB089C"/>
    <w:rsid w:val="00FB3A86"/>
    <w:rsid w:val="00FB41E6"/>
    <w:rsid w:val="00FB66F3"/>
    <w:rsid w:val="00FB6F41"/>
    <w:rsid w:val="00FB7E58"/>
    <w:rsid w:val="00FC2125"/>
    <w:rsid w:val="00FD2B60"/>
    <w:rsid w:val="00FD2BD0"/>
    <w:rsid w:val="00FD36C8"/>
    <w:rsid w:val="00FD4CB3"/>
    <w:rsid w:val="00FD52B4"/>
    <w:rsid w:val="00FE1157"/>
    <w:rsid w:val="00FE2628"/>
    <w:rsid w:val="00FE34F3"/>
    <w:rsid w:val="00FE46E2"/>
    <w:rsid w:val="00FE4857"/>
    <w:rsid w:val="00FE52C0"/>
    <w:rsid w:val="00FE705C"/>
    <w:rsid w:val="00FE7A8E"/>
    <w:rsid w:val="00FF01AC"/>
    <w:rsid w:val="00FF0C09"/>
    <w:rsid w:val="00FF2E26"/>
    <w:rsid w:val="00FF399D"/>
    <w:rsid w:val="00FF4496"/>
    <w:rsid w:val="00FF5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86B66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96080E"/>
    <w:rPr>
      <w:color w:val="605E5C"/>
      <w:shd w:val="clear" w:color="auto" w:fill="E1DFDD"/>
    </w:rPr>
  </w:style>
  <w:style w:type="paragraph" w:styleId="ListParagraph">
    <w:name w:val="List Paragraph"/>
    <w:basedOn w:val="Normal"/>
    <w:uiPriority w:val="34"/>
    <w:qFormat/>
    <w:rsid w:val="00F06DB1"/>
    <w:pPr>
      <w:ind w:left="720"/>
      <w:contextualSpacing/>
    </w:pPr>
  </w:style>
  <w:style w:type="paragraph" w:customStyle="1" w:styleId="font-claude-response-body">
    <w:name w:val="font-claude-response-body"/>
    <w:basedOn w:val="Normal"/>
    <w:rsid w:val="006D48B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D48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7220016">
      <w:bodyDiv w:val="1"/>
      <w:marLeft w:val="0"/>
      <w:marRight w:val="0"/>
      <w:marTop w:val="0"/>
      <w:marBottom w:val="0"/>
      <w:divBdr>
        <w:top w:val="none" w:sz="0" w:space="0" w:color="auto"/>
        <w:left w:val="none" w:sz="0" w:space="0" w:color="auto"/>
        <w:bottom w:val="none" w:sz="0" w:space="0" w:color="auto"/>
        <w:right w:val="none" w:sz="0" w:space="0" w:color="auto"/>
      </w:divBdr>
      <w:divsChild>
        <w:div w:id="305474399">
          <w:marLeft w:val="0"/>
          <w:marRight w:val="0"/>
          <w:marTop w:val="0"/>
          <w:marBottom w:val="0"/>
          <w:divBdr>
            <w:top w:val="none" w:sz="0" w:space="0" w:color="auto"/>
            <w:left w:val="none" w:sz="0" w:space="0" w:color="auto"/>
            <w:bottom w:val="none" w:sz="0" w:space="0" w:color="auto"/>
            <w:right w:val="none" w:sz="0" w:space="0" w:color="auto"/>
          </w:divBdr>
        </w:div>
      </w:divsChild>
    </w:div>
    <w:div w:id="49237187">
      <w:bodyDiv w:val="1"/>
      <w:marLeft w:val="0"/>
      <w:marRight w:val="0"/>
      <w:marTop w:val="0"/>
      <w:marBottom w:val="0"/>
      <w:divBdr>
        <w:top w:val="none" w:sz="0" w:space="0" w:color="auto"/>
        <w:left w:val="none" w:sz="0" w:space="0" w:color="auto"/>
        <w:bottom w:val="none" w:sz="0" w:space="0" w:color="auto"/>
        <w:right w:val="none" w:sz="0" w:space="0" w:color="auto"/>
      </w:divBdr>
      <w:divsChild>
        <w:div w:id="1140154895">
          <w:marLeft w:val="0"/>
          <w:marRight w:val="0"/>
          <w:marTop w:val="0"/>
          <w:marBottom w:val="0"/>
          <w:divBdr>
            <w:top w:val="none" w:sz="0" w:space="0" w:color="auto"/>
            <w:left w:val="none" w:sz="0" w:space="0" w:color="auto"/>
            <w:bottom w:val="none" w:sz="0" w:space="0" w:color="auto"/>
            <w:right w:val="none" w:sz="0" w:space="0" w:color="auto"/>
          </w:divBdr>
        </w:div>
      </w:divsChild>
    </w:div>
    <w:div w:id="150413712">
      <w:bodyDiv w:val="1"/>
      <w:marLeft w:val="0"/>
      <w:marRight w:val="0"/>
      <w:marTop w:val="0"/>
      <w:marBottom w:val="0"/>
      <w:divBdr>
        <w:top w:val="none" w:sz="0" w:space="0" w:color="auto"/>
        <w:left w:val="none" w:sz="0" w:space="0" w:color="auto"/>
        <w:bottom w:val="none" w:sz="0" w:space="0" w:color="auto"/>
        <w:right w:val="none" w:sz="0" w:space="0" w:color="auto"/>
      </w:divBdr>
      <w:divsChild>
        <w:div w:id="1319698762">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1963250">
      <w:bodyDiv w:val="1"/>
      <w:marLeft w:val="0"/>
      <w:marRight w:val="0"/>
      <w:marTop w:val="0"/>
      <w:marBottom w:val="0"/>
      <w:divBdr>
        <w:top w:val="none" w:sz="0" w:space="0" w:color="auto"/>
        <w:left w:val="none" w:sz="0" w:space="0" w:color="auto"/>
        <w:bottom w:val="none" w:sz="0" w:space="0" w:color="auto"/>
        <w:right w:val="none" w:sz="0" w:space="0" w:color="auto"/>
      </w:divBdr>
      <w:divsChild>
        <w:div w:id="1672220206">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4480665">
      <w:bodyDiv w:val="1"/>
      <w:marLeft w:val="0"/>
      <w:marRight w:val="0"/>
      <w:marTop w:val="0"/>
      <w:marBottom w:val="0"/>
      <w:divBdr>
        <w:top w:val="none" w:sz="0" w:space="0" w:color="auto"/>
        <w:left w:val="none" w:sz="0" w:space="0" w:color="auto"/>
        <w:bottom w:val="none" w:sz="0" w:space="0" w:color="auto"/>
        <w:right w:val="none" w:sz="0" w:space="0" w:color="auto"/>
      </w:divBdr>
      <w:divsChild>
        <w:div w:id="1194339618">
          <w:marLeft w:val="0"/>
          <w:marRight w:val="0"/>
          <w:marTop w:val="0"/>
          <w:marBottom w:val="0"/>
          <w:divBdr>
            <w:top w:val="none" w:sz="0" w:space="0" w:color="auto"/>
            <w:left w:val="none" w:sz="0" w:space="0" w:color="auto"/>
            <w:bottom w:val="none" w:sz="0" w:space="0" w:color="auto"/>
            <w:right w:val="none" w:sz="0" w:space="0" w:color="auto"/>
          </w:divBdr>
        </w:div>
      </w:divsChild>
    </w:div>
    <w:div w:id="342899096">
      <w:bodyDiv w:val="1"/>
      <w:marLeft w:val="0"/>
      <w:marRight w:val="0"/>
      <w:marTop w:val="0"/>
      <w:marBottom w:val="0"/>
      <w:divBdr>
        <w:top w:val="none" w:sz="0" w:space="0" w:color="auto"/>
        <w:left w:val="none" w:sz="0" w:space="0" w:color="auto"/>
        <w:bottom w:val="none" w:sz="0" w:space="0" w:color="auto"/>
        <w:right w:val="none" w:sz="0" w:space="0" w:color="auto"/>
      </w:divBdr>
    </w:div>
    <w:div w:id="422728813">
      <w:bodyDiv w:val="1"/>
      <w:marLeft w:val="0"/>
      <w:marRight w:val="0"/>
      <w:marTop w:val="0"/>
      <w:marBottom w:val="0"/>
      <w:divBdr>
        <w:top w:val="none" w:sz="0" w:space="0" w:color="auto"/>
        <w:left w:val="none" w:sz="0" w:space="0" w:color="auto"/>
        <w:bottom w:val="none" w:sz="0" w:space="0" w:color="auto"/>
        <w:right w:val="none" w:sz="0" w:space="0" w:color="auto"/>
      </w:divBdr>
      <w:divsChild>
        <w:div w:id="2049406631">
          <w:marLeft w:val="0"/>
          <w:marRight w:val="0"/>
          <w:marTop w:val="0"/>
          <w:marBottom w:val="0"/>
          <w:divBdr>
            <w:top w:val="none" w:sz="0" w:space="0" w:color="auto"/>
            <w:left w:val="none" w:sz="0" w:space="0" w:color="auto"/>
            <w:bottom w:val="none" w:sz="0" w:space="0" w:color="auto"/>
            <w:right w:val="none" w:sz="0" w:space="0" w:color="auto"/>
          </w:divBdr>
        </w:div>
      </w:divsChild>
    </w:div>
    <w:div w:id="425149403">
      <w:bodyDiv w:val="1"/>
      <w:marLeft w:val="0"/>
      <w:marRight w:val="0"/>
      <w:marTop w:val="0"/>
      <w:marBottom w:val="0"/>
      <w:divBdr>
        <w:top w:val="none" w:sz="0" w:space="0" w:color="auto"/>
        <w:left w:val="none" w:sz="0" w:space="0" w:color="auto"/>
        <w:bottom w:val="none" w:sz="0" w:space="0" w:color="auto"/>
        <w:right w:val="none" w:sz="0" w:space="0" w:color="auto"/>
      </w:divBdr>
      <w:divsChild>
        <w:div w:id="1573466323">
          <w:marLeft w:val="0"/>
          <w:marRight w:val="0"/>
          <w:marTop w:val="0"/>
          <w:marBottom w:val="0"/>
          <w:divBdr>
            <w:top w:val="none" w:sz="0" w:space="0" w:color="auto"/>
            <w:left w:val="none" w:sz="0" w:space="0" w:color="auto"/>
            <w:bottom w:val="none" w:sz="0" w:space="0" w:color="auto"/>
            <w:right w:val="none" w:sz="0" w:space="0" w:color="auto"/>
          </w:divBdr>
        </w:div>
      </w:divsChild>
    </w:div>
    <w:div w:id="434250065">
      <w:bodyDiv w:val="1"/>
      <w:marLeft w:val="0"/>
      <w:marRight w:val="0"/>
      <w:marTop w:val="0"/>
      <w:marBottom w:val="0"/>
      <w:divBdr>
        <w:top w:val="none" w:sz="0" w:space="0" w:color="auto"/>
        <w:left w:val="none" w:sz="0" w:space="0" w:color="auto"/>
        <w:bottom w:val="none" w:sz="0" w:space="0" w:color="auto"/>
        <w:right w:val="none" w:sz="0" w:space="0" w:color="auto"/>
      </w:divBdr>
      <w:divsChild>
        <w:div w:id="1350373528">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6007450">
      <w:bodyDiv w:val="1"/>
      <w:marLeft w:val="0"/>
      <w:marRight w:val="0"/>
      <w:marTop w:val="0"/>
      <w:marBottom w:val="0"/>
      <w:divBdr>
        <w:top w:val="none" w:sz="0" w:space="0" w:color="auto"/>
        <w:left w:val="none" w:sz="0" w:space="0" w:color="auto"/>
        <w:bottom w:val="none" w:sz="0" w:space="0" w:color="auto"/>
        <w:right w:val="none" w:sz="0" w:space="0" w:color="auto"/>
      </w:divBdr>
      <w:divsChild>
        <w:div w:id="345908204">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506831">
      <w:bodyDiv w:val="1"/>
      <w:marLeft w:val="0"/>
      <w:marRight w:val="0"/>
      <w:marTop w:val="0"/>
      <w:marBottom w:val="0"/>
      <w:divBdr>
        <w:top w:val="none" w:sz="0" w:space="0" w:color="auto"/>
        <w:left w:val="none" w:sz="0" w:space="0" w:color="auto"/>
        <w:bottom w:val="none" w:sz="0" w:space="0" w:color="auto"/>
        <w:right w:val="none" w:sz="0" w:space="0" w:color="auto"/>
      </w:divBdr>
      <w:divsChild>
        <w:div w:id="2003317024">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3940934">
      <w:bodyDiv w:val="1"/>
      <w:marLeft w:val="0"/>
      <w:marRight w:val="0"/>
      <w:marTop w:val="0"/>
      <w:marBottom w:val="0"/>
      <w:divBdr>
        <w:top w:val="none" w:sz="0" w:space="0" w:color="auto"/>
        <w:left w:val="none" w:sz="0" w:space="0" w:color="auto"/>
        <w:bottom w:val="none" w:sz="0" w:space="0" w:color="auto"/>
        <w:right w:val="none" w:sz="0" w:space="0" w:color="auto"/>
      </w:divBdr>
      <w:divsChild>
        <w:div w:id="1772122722">
          <w:marLeft w:val="0"/>
          <w:marRight w:val="0"/>
          <w:marTop w:val="0"/>
          <w:marBottom w:val="0"/>
          <w:divBdr>
            <w:top w:val="none" w:sz="0" w:space="0" w:color="auto"/>
            <w:left w:val="none" w:sz="0" w:space="0" w:color="auto"/>
            <w:bottom w:val="none" w:sz="0" w:space="0" w:color="auto"/>
            <w:right w:val="none" w:sz="0" w:space="0" w:color="auto"/>
          </w:divBdr>
        </w:div>
      </w:divsChild>
    </w:div>
    <w:div w:id="1389645776">
      <w:bodyDiv w:val="1"/>
      <w:marLeft w:val="0"/>
      <w:marRight w:val="0"/>
      <w:marTop w:val="0"/>
      <w:marBottom w:val="0"/>
      <w:divBdr>
        <w:top w:val="none" w:sz="0" w:space="0" w:color="auto"/>
        <w:left w:val="none" w:sz="0" w:space="0" w:color="auto"/>
        <w:bottom w:val="none" w:sz="0" w:space="0" w:color="auto"/>
        <w:right w:val="none" w:sz="0" w:space="0" w:color="auto"/>
      </w:divBdr>
      <w:divsChild>
        <w:div w:id="1287086232">
          <w:marLeft w:val="0"/>
          <w:marRight w:val="0"/>
          <w:marTop w:val="0"/>
          <w:marBottom w:val="0"/>
          <w:divBdr>
            <w:top w:val="none" w:sz="0" w:space="0" w:color="auto"/>
            <w:left w:val="none" w:sz="0" w:space="0" w:color="auto"/>
            <w:bottom w:val="none" w:sz="0" w:space="0" w:color="auto"/>
            <w:right w:val="none" w:sz="0" w:space="0" w:color="auto"/>
          </w:divBdr>
        </w:div>
      </w:divsChild>
    </w:div>
    <w:div w:id="1412309120">
      <w:bodyDiv w:val="1"/>
      <w:marLeft w:val="0"/>
      <w:marRight w:val="0"/>
      <w:marTop w:val="0"/>
      <w:marBottom w:val="0"/>
      <w:divBdr>
        <w:top w:val="none" w:sz="0" w:space="0" w:color="auto"/>
        <w:left w:val="none" w:sz="0" w:space="0" w:color="auto"/>
        <w:bottom w:val="none" w:sz="0" w:space="0" w:color="auto"/>
        <w:right w:val="none" w:sz="0" w:space="0" w:color="auto"/>
      </w:divBdr>
      <w:divsChild>
        <w:div w:id="136727706">
          <w:marLeft w:val="0"/>
          <w:marRight w:val="0"/>
          <w:marTop w:val="0"/>
          <w:marBottom w:val="0"/>
          <w:divBdr>
            <w:top w:val="none" w:sz="0" w:space="0" w:color="auto"/>
            <w:left w:val="none" w:sz="0" w:space="0" w:color="auto"/>
            <w:bottom w:val="none" w:sz="0" w:space="0" w:color="auto"/>
            <w:right w:val="none" w:sz="0" w:space="0" w:color="auto"/>
          </w:divBdr>
        </w:div>
      </w:divsChild>
    </w:div>
    <w:div w:id="151075387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4275116">
      <w:bodyDiv w:val="1"/>
      <w:marLeft w:val="0"/>
      <w:marRight w:val="0"/>
      <w:marTop w:val="0"/>
      <w:marBottom w:val="0"/>
      <w:divBdr>
        <w:top w:val="none" w:sz="0" w:space="0" w:color="auto"/>
        <w:left w:val="none" w:sz="0" w:space="0" w:color="auto"/>
        <w:bottom w:val="none" w:sz="0" w:space="0" w:color="auto"/>
        <w:right w:val="none" w:sz="0" w:space="0" w:color="auto"/>
      </w:divBdr>
      <w:divsChild>
        <w:div w:id="1281106896">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065189">
      <w:bodyDiv w:val="1"/>
      <w:marLeft w:val="0"/>
      <w:marRight w:val="0"/>
      <w:marTop w:val="0"/>
      <w:marBottom w:val="0"/>
      <w:divBdr>
        <w:top w:val="none" w:sz="0" w:space="0" w:color="auto"/>
        <w:left w:val="none" w:sz="0" w:space="0" w:color="auto"/>
        <w:bottom w:val="none" w:sz="0" w:space="0" w:color="auto"/>
        <w:right w:val="none" w:sz="0" w:space="0" w:color="auto"/>
      </w:divBdr>
      <w:divsChild>
        <w:div w:id="635989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3796/hnsj454" TargetMode="External"/><Relationship Id="rId18" Type="http://schemas.openxmlformats.org/officeDocument/2006/relationships/hyperlink" Target="https://doi.org/10.1016/j.chbah.2025.10012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08/JEIM-08-2020-0346" TargetMode="External"/><Relationship Id="rId7" Type="http://schemas.openxmlformats.org/officeDocument/2006/relationships/endnotes" Target="endnotes.xml"/><Relationship Id="rId12" Type="http://schemas.openxmlformats.org/officeDocument/2006/relationships/hyperlink" Target="https://doi.org/10.3389/FPSYG.2022.944153" TargetMode="External"/><Relationship Id="rId17" Type="http://schemas.openxmlformats.org/officeDocument/2006/relationships/hyperlink" Target="https://doi.org/10.1111/EJED.12803" TargetMode="External"/><Relationship Id="rId25" Type="http://schemas.openxmlformats.org/officeDocument/2006/relationships/hyperlink" Target="https://doi.org/10.47176/SMOK.2024.179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08/VJIKMS-07-2022-0235" TargetMode="External"/><Relationship Id="rId20" Type="http://schemas.openxmlformats.org/officeDocument/2006/relationships/hyperlink" Target="https://doi.org/10.34190/EJKM.21.1.246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WORKAR/WAAB017" TargetMode="External"/><Relationship Id="rId24" Type="http://schemas.openxmlformats.org/officeDocument/2006/relationships/hyperlink" Target="https://doi.org/10.47941/EJIKM.206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8282/HRMS3391" TargetMode="External"/><Relationship Id="rId23" Type="http://schemas.openxmlformats.org/officeDocument/2006/relationships/hyperlink" Target="https://doi.org/10.31390/gradschool_dissertations.6229" TargetMode="External"/><Relationship Id="rId28" Type="http://schemas.openxmlformats.org/officeDocument/2006/relationships/footer" Target="footer1.xml"/><Relationship Id="rId10" Type="http://schemas.openxmlformats.org/officeDocument/2006/relationships/hyperlink" Target="https://doi.org/10.58812/ESMB.V2I02.185" TargetMode="External"/><Relationship Id="rId19" Type="http://schemas.openxmlformats.org/officeDocument/2006/relationships/hyperlink" Target="https://doi.org/10.3390/SU1716725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SCAMAN.2025.101396" TargetMode="External"/><Relationship Id="rId14" Type="http://schemas.openxmlformats.org/officeDocument/2006/relationships/hyperlink" Target="https://doi.org/10.1108/JKM-08-2018-0472" TargetMode="External"/><Relationship Id="rId22" Type="http://schemas.openxmlformats.org/officeDocument/2006/relationships/hyperlink" Target="https://doi.org/10.3390/SU1612507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3390/SU14031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0F574-33CD-4C84-B97D-A7A5C16A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967</TotalTime>
  <Pages>16</Pages>
  <Words>8072</Words>
  <Characters>46014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53979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622</cp:revision>
  <cp:lastPrinted>1999-07-06T11:00:00Z</cp:lastPrinted>
  <dcterms:created xsi:type="dcterms:W3CDTF">2025-10-29T06:44:00Z</dcterms:created>
  <dcterms:modified xsi:type="dcterms:W3CDTF">2025-11-18T11:29:00Z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7c530034-9fac-41e3-867a-b53614cc7293</vt:lpwstr>
  </property>
</Properties>
</file>