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AF7EF" w14:textId="77777777" w:rsidR="00866BD0" w:rsidRPr="00734F1C" w:rsidRDefault="00866BD0" w:rsidP="00734F1C">
      <w:pPr>
        <w:pStyle w:val="Author"/>
        <w:spacing w:line="240" w:lineRule="auto"/>
        <w:jc w:val="left"/>
        <w:rPr>
          <w:rFonts w:ascii="Arial" w:hAnsi="Arial" w:cs="Arial"/>
          <w:bCs/>
          <w:iCs/>
          <w:kern w:val="28"/>
          <w:sz w:val="36"/>
          <w:u w:val="single"/>
        </w:rPr>
      </w:pPr>
    </w:p>
    <w:p w14:paraId="4B4F1446" w14:textId="14B3C6FE" w:rsidR="00163BC4" w:rsidRPr="00163BC4" w:rsidRDefault="00915CC5" w:rsidP="00441B6F">
      <w:pPr>
        <w:pStyle w:val="Author"/>
        <w:spacing w:line="240" w:lineRule="auto"/>
        <w:rPr>
          <w:rFonts w:ascii="Arial" w:hAnsi="Arial" w:cs="Arial"/>
          <w:bCs/>
          <w:iCs/>
          <w:kern w:val="28"/>
          <w:sz w:val="36"/>
        </w:rPr>
      </w:pPr>
      <w:r w:rsidRPr="00915CC5">
        <w:rPr>
          <w:rFonts w:ascii="Arial" w:hAnsi="Arial" w:cs="Arial"/>
          <w:bCs/>
          <w:iCs/>
          <w:kern w:val="28"/>
          <w:sz w:val="36"/>
        </w:rPr>
        <w:t>The Relationship Between Public Awareness, Promotion and Perception of TVET Education in Malaysia</w:t>
      </w:r>
    </w:p>
    <w:p w14:paraId="33C9A263" w14:textId="77777777" w:rsidR="00A258C3" w:rsidRPr="000B78C5" w:rsidRDefault="00A258C3" w:rsidP="00441B6F">
      <w:pPr>
        <w:pStyle w:val="Author"/>
        <w:spacing w:line="240" w:lineRule="auto"/>
        <w:jc w:val="both"/>
        <w:rPr>
          <w:rFonts w:ascii="Arial" w:hAnsi="Arial" w:cs="Arial"/>
          <w:sz w:val="36"/>
        </w:rPr>
      </w:pPr>
    </w:p>
    <w:p w14:paraId="5E0770B4" w14:textId="77777777" w:rsidR="002C57D2" w:rsidRPr="00FB3A86" w:rsidRDefault="002C57D2" w:rsidP="00441B6F">
      <w:pPr>
        <w:pStyle w:val="Affiliation"/>
        <w:spacing w:after="0" w:line="240" w:lineRule="auto"/>
        <w:jc w:val="both"/>
        <w:rPr>
          <w:rFonts w:ascii="Arial" w:hAnsi="Arial" w:cs="Arial"/>
        </w:rPr>
      </w:pPr>
    </w:p>
    <w:p w14:paraId="5E7B94C3" w14:textId="111925A1" w:rsidR="00B01FCD" w:rsidRPr="00FB3A86" w:rsidRDefault="00F0713D" w:rsidP="00441B6F">
      <w:pPr>
        <w:pStyle w:val="Copyright"/>
        <w:spacing w:after="0" w:line="240" w:lineRule="auto"/>
        <w:jc w:val="both"/>
        <w:rPr>
          <w:rFonts w:ascii="Arial" w:hAnsi="Arial" w:cs="Arial"/>
        </w:rPr>
        <w:sectPr w:rsidR="00B01FCD" w:rsidRPr="00FB3A86" w:rsidSect="00E610C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FF51D0E" wp14:editId="6CD3532F">
                <wp:extent cx="5303520" cy="635"/>
                <wp:effectExtent l="11430" t="13335" r="9525" b="15240"/>
                <wp:docPr id="161897558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a="http://schemas.openxmlformats.org/drawingml/2006/main">
            <w:pict>
              <v:shapetype id="_x0000_t32" coordsize="21600,21600" o:oned="t" filled="f" o:spt="32" path="m,l21600,21600e" w14:anchorId="5E025385">
                <v:path fillok="f" arrowok="t" o:connecttype="none"/>
                <o:lock v:ext="edit" shapetype="t"/>
              </v:shapetype>
              <v:shape id="AutoShape 2" style="width:417.6pt;height:.05pt;visibility:visible;mso-wrap-style:square;mso-left-percent:-10001;mso-top-percent:-10001;mso-position-horizontal:absolute;mso-position-horizontal-relative:char;mso-position-vertical:absolute;mso-position-vertical-relative:line;mso-left-percent:-10001;mso-top-percent:-10001"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w10:anchorlock/>
              </v:shape>
            </w:pict>
          </mc:Fallback>
        </mc:AlternateContent>
      </w:r>
      <w:r w:rsidR="00FB3A86">
        <w:rPr>
          <w:rFonts w:ascii="Arial" w:hAnsi="Arial" w:cs="Arial"/>
        </w:rPr>
        <w:t>.</w:t>
      </w:r>
    </w:p>
    <w:p w14:paraId="4606E1D8" w14:textId="3DF9B908" w:rsidR="00B01FCD" w:rsidRDefault="00B01FCD" w:rsidP="00441B6F">
      <w:pPr>
        <w:pStyle w:val="AbstHead"/>
        <w:spacing w:after="0"/>
        <w:jc w:val="both"/>
        <w:rPr>
          <w:rFonts w:ascii="Arial" w:hAnsi="Arial" w:cs="Arial"/>
        </w:rPr>
      </w:pPr>
      <w:r w:rsidRPr="00FB3A86">
        <w:rPr>
          <w:rFonts w:ascii="Arial" w:hAnsi="Arial" w:cs="Arial"/>
        </w:rPr>
        <w:t xml:space="preserve">ABSTRACT </w:t>
      </w:r>
    </w:p>
    <w:p w14:paraId="1112EF9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4555488" w14:textId="77777777" w:rsidTr="001E44FE">
        <w:tc>
          <w:tcPr>
            <w:tcW w:w="9576" w:type="dxa"/>
            <w:shd w:val="clear" w:color="auto" w:fill="F2F2F2"/>
          </w:tcPr>
          <w:p w14:paraId="72FBCAE5" w14:textId="0F96CCCD" w:rsidR="00DE0A87" w:rsidRPr="00DE0A87" w:rsidRDefault="00DE0A87" w:rsidP="00DE0A87">
            <w:pPr>
              <w:spacing w:before="120"/>
              <w:jc w:val="both"/>
              <w:rPr>
                <w:rFonts w:cs="Calibri"/>
                <w:lang w:val="en-MY"/>
              </w:rPr>
            </w:pPr>
            <w:r w:rsidRPr="00DE0A87">
              <w:rPr>
                <w:rFonts w:cs="Calibri"/>
                <w:lang w:val="en-MY"/>
              </w:rPr>
              <w:t>Technical and Vocational Education and Training (TVET) plays a vital role in strengthening Malaysia’s skilled workforce and supporting economic development. However, public attitudes toward TVET are still influenced by limited awareness and outdated perceptions. Therefore, this study examines the relationship between awareness, promotion, and institutional quality in shaping public perception of TVET, highlighting the need to understand factors that influence societal acceptance.</w:t>
            </w:r>
            <w:r>
              <w:rPr>
                <w:rFonts w:cs="Calibri"/>
                <w:lang w:val="en-MY"/>
              </w:rPr>
              <w:t xml:space="preserve"> </w:t>
            </w:r>
            <w:r w:rsidRPr="00DE0A87">
              <w:rPr>
                <w:rFonts w:cs="Calibri"/>
                <w:lang w:val="en-MY"/>
              </w:rPr>
              <w:t xml:space="preserve">A quantitative correlational design was employed, involving 500 respondents from selected urban and rural areas across Malaysia between January and June 2024. Data were collected using a structured questionnaire and </w:t>
            </w:r>
            <w:proofErr w:type="spellStart"/>
            <w:r w:rsidRPr="00DE0A87">
              <w:rPr>
                <w:rFonts w:cs="Calibri"/>
                <w:lang w:val="en-MY"/>
              </w:rPr>
              <w:t>analyzed</w:t>
            </w:r>
            <w:proofErr w:type="spellEnd"/>
            <w:r w:rsidRPr="00DE0A87">
              <w:rPr>
                <w:rFonts w:cs="Calibri"/>
                <w:lang w:val="en-MY"/>
              </w:rPr>
              <w:t xml:space="preserve"> using SPSS. Descriptive findings showed high levels of awareness</w:t>
            </w:r>
            <w:r>
              <w:rPr>
                <w:rFonts w:cs="Calibri"/>
                <w:lang w:val="en-MY"/>
              </w:rPr>
              <w:t>,</w:t>
            </w:r>
            <w:r w:rsidRPr="00DE0A87">
              <w:rPr>
                <w:rFonts w:cs="Calibri"/>
                <w:lang w:val="en-MY"/>
              </w:rPr>
              <w:t xml:space="preserve"> promotional effectiveness and positive public perception. Correlation analysis revealed a significant positive relationship between awareness, promotion, and perception, indicating that increased exposure and effective communication improve public attitudes toward TVET.</w:t>
            </w:r>
            <w:r>
              <w:rPr>
                <w:rFonts w:cs="Calibri"/>
                <w:lang w:val="en-MY"/>
              </w:rPr>
              <w:t xml:space="preserve"> </w:t>
            </w:r>
            <w:r w:rsidRPr="00DE0A87">
              <w:rPr>
                <w:rFonts w:cs="Calibri"/>
                <w:lang w:val="en-MY"/>
              </w:rPr>
              <w:t>The study concludes that enhancing public awareness and strengthening promotional initiatives are crucial for improving TVET’s image. Collaboration between government agencies, educational institutions, and industry partners is also essential to ensure curriculum relevance and promote TVET as a credible and attractive career pathway.</w:t>
            </w:r>
            <w:r>
              <w:rPr>
                <w:rFonts w:cs="Calibri"/>
                <w:lang w:val="en-MY"/>
              </w:rPr>
              <w:t xml:space="preserve"> T</w:t>
            </w:r>
            <w:proofErr w:type="spellStart"/>
            <w:r w:rsidRPr="00DE0A87">
              <w:rPr>
                <w:rFonts w:cs="Calibri"/>
              </w:rPr>
              <w:t>hese</w:t>
            </w:r>
            <w:proofErr w:type="spellEnd"/>
            <w:r w:rsidRPr="00DE0A87">
              <w:rPr>
                <w:rFonts w:cs="Calibri"/>
              </w:rPr>
              <w:t xml:space="preserve"> insights provide valuable guidance for policymakers in repositioning TVET to support national workforce development and long-term economic progress.</w:t>
            </w:r>
          </w:p>
          <w:p w14:paraId="6998572D" w14:textId="1A1BBF21" w:rsidR="00505F06" w:rsidRPr="000B78C5" w:rsidRDefault="00505F06" w:rsidP="000B78C5">
            <w:pPr>
              <w:spacing w:before="120"/>
              <w:jc w:val="both"/>
              <w:rPr>
                <w:rFonts w:cs="Calibri"/>
                <w:lang w:val="en-MY"/>
              </w:rPr>
            </w:pPr>
          </w:p>
        </w:tc>
      </w:tr>
    </w:tbl>
    <w:p w14:paraId="04BA3EE9" w14:textId="5AD0D974" w:rsidR="00A24E7E" w:rsidRPr="000B78C5" w:rsidRDefault="00A24E7E" w:rsidP="00441B6F">
      <w:pPr>
        <w:pStyle w:val="Body"/>
        <w:spacing w:after="0"/>
        <w:rPr>
          <w:rFonts w:ascii="Arial" w:hAnsi="Arial" w:cs="Arial"/>
          <w:i/>
        </w:rPr>
      </w:pPr>
      <w:r w:rsidRPr="000B78C5">
        <w:rPr>
          <w:rFonts w:ascii="Arial" w:hAnsi="Arial" w:cs="Arial"/>
          <w:i/>
        </w:rPr>
        <w:t xml:space="preserve">Keywords: TVET in Malaysia, Public Perception, </w:t>
      </w:r>
      <w:r w:rsidR="00C7224A" w:rsidRPr="00C7224A">
        <w:rPr>
          <w:rFonts w:ascii="Arial" w:hAnsi="Arial" w:cs="Arial"/>
          <w:i/>
        </w:rPr>
        <w:t>public awareness</w:t>
      </w:r>
      <w:r w:rsidRPr="000B78C5">
        <w:rPr>
          <w:rFonts w:ascii="Arial" w:hAnsi="Arial" w:cs="Arial"/>
          <w:i/>
        </w:rPr>
        <w:t xml:space="preserve">, </w:t>
      </w:r>
      <w:r w:rsidR="00C7224A" w:rsidRPr="00C7224A">
        <w:rPr>
          <w:rFonts w:ascii="Arial" w:hAnsi="Arial" w:cs="Arial"/>
          <w:i/>
        </w:rPr>
        <w:t>attractive career pathway</w:t>
      </w:r>
      <w:r w:rsidR="00C7224A">
        <w:rPr>
          <w:rFonts w:ascii="Arial" w:hAnsi="Arial" w:cs="Arial"/>
          <w:i/>
        </w:rPr>
        <w:t xml:space="preserve">, </w:t>
      </w:r>
      <w:r w:rsidR="00C7224A" w:rsidRPr="00C7224A">
        <w:rPr>
          <w:rFonts w:ascii="Arial" w:hAnsi="Arial" w:cs="Arial"/>
          <w:i/>
        </w:rPr>
        <w:t>national workforce development</w:t>
      </w:r>
    </w:p>
    <w:p w14:paraId="780C25C4" w14:textId="77777777" w:rsidR="00790ADA" w:rsidRPr="000B78C5" w:rsidRDefault="00790ADA" w:rsidP="00441B6F">
      <w:pPr>
        <w:pStyle w:val="Body"/>
        <w:spacing w:after="0"/>
        <w:rPr>
          <w:rFonts w:ascii="Arial" w:hAnsi="Arial" w:cs="Arial"/>
          <w:i/>
        </w:rPr>
      </w:pPr>
    </w:p>
    <w:p w14:paraId="4E3F42AC" w14:textId="13B15721" w:rsidR="007F7B32" w:rsidRDefault="00902823" w:rsidP="00441B6F">
      <w:pPr>
        <w:pStyle w:val="AbstHead"/>
        <w:spacing w:after="0"/>
        <w:jc w:val="both"/>
        <w:rPr>
          <w:rFonts w:ascii="Arial" w:hAnsi="Arial" w:cs="Arial"/>
        </w:rPr>
      </w:pPr>
      <w:r>
        <w:rPr>
          <w:rFonts w:ascii="Arial" w:hAnsi="Arial" w:cs="Arial"/>
        </w:rPr>
        <w:t xml:space="preserve">1. INTRODUCTION </w:t>
      </w:r>
    </w:p>
    <w:p w14:paraId="6BED9141" w14:textId="77777777" w:rsidR="00790ADA" w:rsidRPr="00FB3A86" w:rsidRDefault="00790ADA" w:rsidP="00441B6F">
      <w:pPr>
        <w:pStyle w:val="AbstHead"/>
        <w:spacing w:after="0"/>
        <w:jc w:val="both"/>
        <w:rPr>
          <w:rFonts w:ascii="Arial" w:hAnsi="Arial" w:cs="Arial"/>
        </w:rPr>
      </w:pPr>
    </w:p>
    <w:p w14:paraId="195CA3B8" w14:textId="19337972" w:rsidR="00915CC5" w:rsidRPr="009B3BE4" w:rsidRDefault="00915CC5" w:rsidP="00915CC5">
      <w:pPr>
        <w:pStyle w:val="Body"/>
        <w:rPr>
          <w:rFonts w:ascii="Arial" w:hAnsi="Arial" w:cs="Arial"/>
          <w:lang w:val="en-MY"/>
        </w:rPr>
      </w:pPr>
      <w:r w:rsidRPr="002E0ED0">
        <w:rPr>
          <w:rFonts w:ascii="Arial" w:hAnsi="Arial" w:cs="Arial"/>
        </w:rPr>
        <w:t xml:space="preserve">Technical and Vocational Education and Training (TVET) </w:t>
      </w:r>
      <w:r w:rsidR="002E0ED0" w:rsidRPr="002E0ED0">
        <w:rPr>
          <w:rFonts w:ascii="Arial" w:hAnsi="Arial" w:cs="Arial"/>
        </w:rPr>
        <w:t>play</w:t>
      </w:r>
      <w:r w:rsidRPr="002E0ED0">
        <w:rPr>
          <w:rFonts w:ascii="Arial" w:hAnsi="Arial" w:cs="Arial"/>
        </w:rPr>
        <w:t xml:space="preserve"> a crucial role in equipping individuals with the necessary skills to enter the workforce and improve their employability, especially in science, technology, engineering, and mathematics (STEM) related fields. TVET includes a wide range of delivery formats, including internships, vocational courses, and experiential learning opportunities </w:t>
      </w:r>
      <w:r w:rsidR="002E0ED0" w:rsidRPr="002E0ED0">
        <w:rPr>
          <w:rFonts w:ascii="Arial" w:hAnsi="Arial" w:cs="Arial"/>
        </w:rPr>
        <w:t>(</w:t>
      </w:r>
      <w:proofErr w:type="spellStart"/>
      <w:r w:rsidR="002E0ED0" w:rsidRPr="002E0ED0">
        <w:rPr>
          <w:rFonts w:ascii="Arial" w:hAnsi="Arial" w:cs="Arial"/>
        </w:rPr>
        <w:t>Mayombe</w:t>
      </w:r>
      <w:proofErr w:type="spellEnd"/>
      <w:r w:rsidR="002E0ED0" w:rsidRPr="002E0ED0">
        <w:rPr>
          <w:rFonts w:ascii="Arial" w:hAnsi="Arial" w:cs="Arial"/>
        </w:rPr>
        <w:t>, 2024</w:t>
      </w:r>
      <w:r w:rsidRPr="002E0ED0">
        <w:rPr>
          <w:rFonts w:ascii="Arial" w:hAnsi="Arial" w:cs="Arial"/>
        </w:rPr>
        <w:t>). Globally, TVET is recognized as a key pillar of economic development, contributing significantly to workforce readiness and social equality</w:t>
      </w:r>
      <w:r w:rsidRPr="00915CC5">
        <w:rPr>
          <w:rFonts w:ascii="Arial" w:hAnsi="Arial" w:cs="Arial"/>
        </w:rPr>
        <w:t xml:space="preserve"> </w:t>
      </w:r>
      <w:r w:rsidRPr="00E664B0">
        <w:rPr>
          <w:rFonts w:ascii="Arial" w:hAnsi="Arial" w:cs="Arial"/>
        </w:rPr>
        <w:t>(</w:t>
      </w:r>
      <w:r w:rsidR="00E664B0" w:rsidRPr="00E664B0">
        <w:rPr>
          <w:rFonts w:ascii="Arial" w:hAnsi="Arial" w:cs="Arial"/>
        </w:rPr>
        <w:t xml:space="preserve">Shi and </w:t>
      </w:r>
      <w:proofErr w:type="spellStart"/>
      <w:r w:rsidR="00E664B0" w:rsidRPr="00E664B0">
        <w:rPr>
          <w:rFonts w:ascii="Arial" w:hAnsi="Arial" w:cs="Arial"/>
        </w:rPr>
        <w:t>Bangpan</w:t>
      </w:r>
      <w:proofErr w:type="spellEnd"/>
      <w:r w:rsidR="00E664B0" w:rsidRPr="00E664B0">
        <w:rPr>
          <w:rFonts w:ascii="Arial" w:hAnsi="Arial" w:cs="Arial"/>
        </w:rPr>
        <w:t>, 2022</w:t>
      </w:r>
      <w:r w:rsidR="00E664B0">
        <w:rPr>
          <w:rFonts w:ascii="Arial" w:hAnsi="Arial" w:cs="Arial"/>
        </w:rPr>
        <w:t xml:space="preserve">; </w:t>
      </w:r>
      <w:proofErr w:type="spellStart"/>
      <w:r w:rsidR="00E664B0" w:rsidRPr="00E664B0">
        <w:rPr>
          <w:rFonts w:ascii="Arial" w:hAnsi="Arial" w:cs="Arial"/>
        </w:rPr>
        <w:t>Subiyantoro</w:t>
      </w:r>
      <w:proofErr w:type="spellEnd"/>
      <w:r w:rsidR="00E664B0" w:rsidRPr="00E664B0">
        <w:rPr>
          <w:rFonts w:ascii="Arial" w:hAnsi="Arial" w:cs="Arial"/>
        </w:rPr>
        <w:t xml:space="preserve"> et al., 2023</w:t>
      </w:r>
      <w:r w:rsidRPr="00E664B0">
        <w:rPr>
          <w:rFonts w:ascii="Arial" w:hAnsi="Arial" w:cs="Arial"/>
        </w:rPr>
        <w:t>).</w:t>
      </w:r>
      <w:r w:rsidRPr="00915CC5">
        <w:rPr>
          <w:rFonts w:ascii="Arial" w:hAnsi="Arial" w:cs="Arial"/>
        </w:rPr>
        <w:t xml:space="preserve"> Implementation strategies vary by country, with each developing tailored mechanisms and resource allocation models to align with their unique economic and social priorities. In Malaysia, ongoing reforms aim to enhance the status of TVET to meet the demands of the ever-evolving Fourth Industrial Revolution (IR 4.0) and enhance global competitiveness. Despite these acknowledged benefits, public perception of TVET in Malaysia remains relatively low. The sector continues to face challenges due to the indulgent negative attitudes of society that consider vocational education inferior to traditional academic pathways. This perception problem is closely related to branding and </w:t>
      </w:r>
      <w:r w:rsidRPr="00915CC5">
        <w:rPr>
          <w:rFonts w:ascii="Arial" w:hAnsi="Arial" w:cs="Arial"/>
        </w:rPr>
        <w:lastRenderedPageBreak/>
        <w:t>image. As in many other countries, TVET in Malaysia is often viewed as inferior compared to theoretical or academic education, leading to its sustainable position as a second-tier option (Penang Institute, 2023).</w:t>
      </w:r>
      <w:r w:rsidR="009B3BE4" w:rsidRPr="009B3BE4">
        <w:rPr>
          <w:rFonts w:ascii="Times New Roman" w:hAnsi="Times New Roman"/>
          <w:b/>
          <w:szCs w:val="24"/>
          <w:lang w:val="en-MY" w:eastAsia="en-MY"/>
        </w:rPr>
        <w:t xml:space="preserve"> </w:t>
      </w:r>
      <w:r w:rsidR="009B3BE4" w:rsidRPr="009B3BE4">
        <w:rPr>
          <w:rFonts w:ascii="Arial" w:hAnsi="Arial" w:cs="Arial"/>
          <w:lang w:val="en-MY"/>
        </w:rPr>
        <w:t xml:space="preserve">Technical and vocational education in Malaysia covers a wide range of fields, including manufacturing, services, agriculture, mining and quarrying, and construction. Courses such as welding, industrial automation, mechatronics, hospitality, </w:t>
      </w:r>
      <w:proofErr w:type="spellStart"/>
      <w:r w:rsidR="009B3BE4" w:rsidRPr="009B3BE4">
        <w:rPr>
          <w:rFonts w:ascii="Arial" w:hAnsi="Arial" w:cs="Arial"/>
          <w:lang w:val="en-MY"/>
        </w:rPr>
        <w:t>agro</w:t>
      </w:r>
      <w:proofErr w:type="spellEnd"/>
      <w:r w:rsidR="009B3BE4" w:rsidRPr="009B3BE4">
        <w:rPr>
          <w:rFonts w:ascii="Arial" w:hAnsi="Arial" w:cs="Arial"/>
          <w:lang w:val="en-MY"/>
        </w:rPr>
        <w:t>-technology, and construction technology are offered through national TVET institutions like polytechnics, community colleges, and Industrial Training Institutes (Ministry of Education Malaysia, 2020).</w:t>
      </w:r>
    </w:p>
    <w:p w14:paraId="616D5F37" w14:textId="627F5B40" w:rsidR="00915CC5" w:rsidRPr="00915CC5" w:rsidRDefault="00915CC5" w:rsidP="00915CC5">
      <w:pPr>
        <w:pStyle w:val="Body"/>
        <w:rPr>
          <w:rFonts w:ascii="Arial" w:hAnsi="Arial" w:cs="Arial"/>
          <w:lang w:val="en-GB"/>
        </w:rPr>
      </w:pPr>
      <w:r w:rsidRPr="00915CC5">
        <w:rPr>
          <w:rFonts w:ascii="Arial" w:hAnsi="Arial" w:cs="Arial"/>
        </w:rPr>
        <w:t xml:space="preserve">While previous research has addressed the structural and policy aspects of TVET reform in Malaysia, limited empirical research has been conducted on the interconnected dynamics of public awareness, promotion, and perception—especially from the perspectives of key stakeholders such as students, parents, and educators. There is also a lack of local data exploring how these factors influence each other and shape attitudes towards TVET pathways. The study seeks to fill that gap by providing insight into current levels of awareness and promotional efforts, and how this relates to public perception in the Malaysian context. Therefore, the objectives of this study are: </w:t>
      </w:r>
    </w:p>
    <w:p w14:paraId="3BEA9CC5" w14:textId="77777777" w:rsidR="00915CC5" w:rsidRPr="00915CC5" w:rsidRDefault="00915CC5" w:rsidP="00915CC5">
      <w:pPr>
        <w:pStyle w:val="Body"/>
        <w:numPr>
          <w:ilvl w:val="0"/>
          <w:numId w:val="31"/>
        </w:numPr>
        <w:spacing w:after="0"/>
        <w:rPr>
          <w:rFonts w:ascii="Arial" w:hAnsi="Arial" w:cs="Arial"/>
          <w:lang w:val="en-GB"/>
        </w:rPr>
      </w:pPr>
      <w:r w:rsidRPr="00915CC5">
        <w:rPr>
          <w:rFonts w:ascii="Arial" w:hAnsi="Arial" w:cs="Arial"/>
        </w:rPr>
        <w:t>To examine the level of public awareness, promotion, and perception of TVET among respondents.</w:t>
      </w:r>
    </w:p>
    <w:p w14:paraId="328CF899" w14:textId="77777777" w:rsidR="00915CC5" w:rsidRPr="00915CC5" w:rsidRDefault="00915CC5" w:rsidP="00915CC5">
      <w:pPr>
        <w:pStyle w:val="Body"/>
        <w:numPr>
          <w:ilvl w:val="0"/>
          <w:numId w:val="31"/>
        </w:numPr>
        <w:spacing w:after="0"/>
        <w:rPr>
          <w:rFonts w:ascii="Arial" w:hAnsi="Arial" w:cs="Arial"/>
          <w:lang w:val="en-GB"/>
        </w:rPr>
      </w:pPr>
      <w:r w:rsidRPr="00915CC5">
        <w:rPr>
          <w:rFonts w:ascii="Arial" w:hAnsi="Arial" w:cs="Arial"/>
        </w:rPr>
        <w:t>To investigate the relationship between public awareness, promotion and perception of TVET.</w:t>
      </w:r>
    </w:p>
    <w:p w14:paraId="5E874FB3" w14:textId="77777777" w:rsidR="00790ADA" w:rsidRPr="00FB3A86" w:rsidRDefault="00790ADA" w:rsidP="00441B6F">
      <w:pPr>
        <w:pStyle w:val="Body"/>
        <w:spacing w:after="0"/>
        <w:rPr>
          <w:rFonts w:ascii="Arial" w:hAnsi="Arial" w:cs="Arial"/>
        </w:rPr>
      </w:pPr>
    </w:p>
    <w:p w14:paraId="0809785F" w14:textId="3E0EEC8C" w:rsidR="007F7B32" w:rsidRDefault="00902823" w:rsidP="00441B6F">
      <w:pPr>
        <w:pStyle w:val="AbstHead"/>
        <w:spacing w:after="0"/>
        <w:jc w:val="both"/>
        <w:rPr>
          <w:rFonts w:ascii="Arial" w:hAnsi="Arial" w:cs="Arial"/>
        </w:rPr>
      </w:pPr>
      <w:r>
        <w:rPr>
          <w:rFonts w:ascii="Arial" w:hAnsi="Arial" w:cs="Arial"/>
        </w:rPr>
        <w:t>2. LITERATURE REVIEW</w:t>
      </w:r>
    </w:p>
    <w:p w14:paraId="6E5B8F07" w14:textId="77777777" w:rsidR="00790ADA" w:rsidRPr="00FB3A86" w:rsidRDefault="00790ADA" w:rsidP="00441B6F">
      <w:pPr>
        <w:pStyle w:val="AbstHead"/>
        <w:spacing w:after="0"/>
        <w:jc w:val="both"/>
        <w:rPr>
          <w:rFonts w:ascii="Arial" w:hAnsi="Arial" w:cs="Arial"/>
        </w:rPr>
      </w:pPr>
    </w:p>
    <w:p w14:paraId="2562834F" w14:textId="77777777" w:rsidR="00790ADA" w:rsidRPr="00FB3A86" w:rsidRDefault="00790ADA" w:rsidP="00441B6F">
      <w:pPr>
        <w:pStyle w:val="Body"/>
        <w:spacing w:after="0"/>
        <w:rPr>
          <w:rFonts w:ascii="Arial" w:hAnsi="Arial" w:cs="Arial"/>
        </w:rPr>
      </w:pPr>
    </w:p>
    <w:p w14:paraId="6B1F381B" w14:textId="78D60921" w:rsidR="00790ADA" w:rsidRDefault="00AA74E0" w:rsidP="00441B6F">
      <w:pPr>
        <w:pStyle w:val="Body"/>
        <w:spacing w:after="0"/>
        <w:rPr>
          <w:rFonts w:ascii="Arial" w:hAnsi="Arial" w:cs="Arial"/>
          <w:b/>
          <w:sz w:val="22"/>
        </w:rPr>
      </w:pPr>
      <w:r w:rsidRPr="00C30A0F">
        <w:rPr>
          <w:rFonts w:ascii="Arial" w:hAnsi="Arial" w:cs="Arial"/>
          <w:b/>
          <w:caps/>
          <w:sz w:val="22"/>
        </w:rPr>
        <w:t xml:space="preserve">2.1 </w:t>
      </w:r>
      <w:r w:rsidR="00915CC5">
        <w:rPr>
          <w:rFonts w:ascii="Arial" w:hAnsi="Arial" w:cs="Arial"/>
          <w:b/>
          <w:sz w:val="22"/>
        </w:rPr>
        <w:t>Awareness</w:t>
      </w:r>
    </w:p>
    <w:p w14:paraId="5A04AEC6" w14:textId="77777777" w:rsidR="0047492E" w:rsidRDefault="0047492E" w:rsidP="00441B6F">
      <w:pPr>
        <w:pStyle w:val="Body"/>
        <w:spacing w:after="0"/>
        <w:rPr>
          <w:rFonts w:ascii="Arial" w:hAnsi="Arial" w:cs="Arial"/>
          <w:b/>
          <w:sz w:val="22"/>
        </w:rPr>
      </w:pPr>
    </w:p>
    <w:p w14:paraId="42647B6C" w14:textId="0ECF6583" w:rsidR="00915CC5" w:rsidRDefault="00915CC5" w:rsidP="00915CC5">
      <w:pPr>
        <w:pStyle w:val="Body"/>
        <w:rPr>
          <w:rFonts w:ascii="Arial" w:hAnsi="Arial" w:cs="Arial"/>
        </w:rPr>
      </w:pPr>
      <w:r w:rsidRPr="00915CC5">
        <w:rPr>
          <w:rFonts w:ascii="Arial" w:hAnsi="Arial" w:cs="Arial"/>
        </w:rPr>
        <w:t>Awareness of Technical and Vocational Education and Training (TVET) is an important factor in shaping an individual's decision to pursue a vocational path. Despite its growing importance, public understanding of the opportunities, benefits, and career prospects associated with TVET remains limited, especially among students and parents. This lack of awareness contributes to a lack of enrollment in TVET programs and can lead to a shortage of skilled labor in key economic sectors (</w:t>
      </w:r>
      <w:proofErr w:type="spellStart"/>
      <w:r w:rsidRPr="00915CC5">
        <w:rPr>
          <w:rFonts w:ascii="Arial" w:hAnsi="Arial" w:cs="Arial"/>
        </w:rPr>
        <w:t>Mugalo</w:t>
      </w:r>
      <w:proofErr w:type="spellEnd"/>
      <w:r w:rsidRPr="00915CC5">
        <w:rPr>
          <w:rFonts w:ascii="Arial" w:hAnsi="Arial" w:cs="Arial"/>
        </w:rPr>
        <w:t xml:space="preserve">, 2022). </w:t>
      </w:r>
      <w:r w:rsidRPr="00E664B0">
        <w:rPr>
          <w:rFonts w:ascii="Arial" w:hAnsi="Arial" w:cs="Arial"/>
        </w:rPr>
        <w:t xml:space="preserve">According to </w:t>
      </w:r>
      <w:r w:rsidR="00E664B0" w:rsidRPr="00E664B0">
        <w:rPr>
          <w:rFonts w:ascii="Arial" w:hAnsi="Arial" w:cs="Arial"/>
        </w:rPr>
        <w:t>Khan and Ali (2024)</w:t>
      </w:r>
      <w:r w:rsidR="00E664B0">
        <w:rPr>
          <w:rFonts w:ascii="Arial" w:hAnsi="Arial" w:cs="Arial"/>
        </w:rPr>
        <w:t xml:space="preserve"> and </w:t>
      </w:r>
      <w:proofErr w:type="spellStart"/>
      <w:r w:rsidR="00E664B0" w:rsidRPr="00E664B0">
        <w:rPr>
          <w:rFonts w:ascii="Arial" w:hAnsi="Arial" w:cs="Arial"/>
        </w:rPr>
        <w:t>Gyau</w:t>
      </w:r>
      <w:proofErr w:type="spellEnd"/>
      <w:r w:rsidR="00E664B0" w:rsidRPr="00E664B0">
        <w:rPr>
          <w:rFonts w:ascii="Arial" w:hAnsi="Arial" w:cs="Arial"/>
        </w:rPr>
        <w:t xml:space="preserve"> et al.</w:t>
      </w:r>
      <w:r w:rsidRPr="00E664B0">
        <w:rPr>
          <w:rFonts w:ascii="Arial" w:hAnsi="Arial" w:cs="Arial"/>
        </w:rPr>
        <w:t xml:space="preserve"> (20</w:t>
      </w:r>
      <w:r w:rsidR="00E664B0" w:rsidRPr="00E664B0">
        <w:rPr>
          <w:rFonts w:ascii="Arial" w:hAnsi="Arial" w:cs="Arial"/>
        </w:rPr>
        <w:t>24</w:t>
      </w:r>
      <w:r w:rsidRPr="00E664B0">
        <w:rPr>
          <w:rFonts w:ascii="Arial" w:hAnsi="Arial" w:cs="Arial"/>
        </w:rPr>
        <w:t>)</w:t>
      </w:r>
      <w:r w:rsidR="00E664B0" w:rsidRPr="00E664B0">
        <w:rPr>
          <w:rFonts w:ascii="Arial" w:hAnsi="Arial" w:cs="Arial"/>
        </w:rPr>
        <w:t xml:space="preserve"> and </w:t>
      </w:r>
      <w:r w:rsidRPr="00E664B0">
        <w:rPr>
          <w:rFonts w:ascii="Arial" w:hAnsi="Arial" w:cs="Arial"/>
        </w:rPr>
        <w:t>persistent misconceptions such as the belief that TVET is a second-tier option for academically disadvantaged individuals continue to reduce its visibility and appeal.</w:t>
      </w:r>
      <w:r w:rsidRPr="00915CC5">
        <w:rPr>
          <w:rFonts w:ascii="Arial" w:hAnsi="Arial" w:cs="Arial"/>
        </w:rPr>
        <w:t xml:space="preserve">  In Malaysian context, declining awareness among students and parents is a major challenge. Limited access to accurate and comprehensive TVET information, coupled with inadequate early exposure in the education system, perpetuates negative perceptions and inhibits participation. To address these concerns, it is important for policymakers and TVET institutions to work collaboratively to increase public understanding of the value of TVET. Awareness initiatives should target a wide range of stakeholders, including students, parents, educators, and employers, and highlight the role of TVET in national development, individual empowerment, and economic growth (ILO, 2021).</w:t>
      </w:r>
    </w:p>
    <w:p w14:paraId="01D4EA4C" w14:textId="77777777" w:rsidR="00D746F5" w:rsidRDefault="00D746F5" w:rsidP="00915CC5">
      <w:pPr>
        <w:pStyle w:val="Body"/>
        <w:rPr>
          <w:rFonts w:ascii="Arial" w:hAnsi="Arial" w:cs="Arial"/>
        </w:rPr>
      </w:pPr>
    </w:p>
    <w:p w14:paraId="3B4B0823" w14:textId="77777777" w:rsidR="00D746F5" w:rsidRDefault="00D746F5" w:rsidP="00915CC5">
      <w:pPr>
        <w:pStyle w:val="Body"/>
        <w:rPr>
          <w:rFonts w:ascii="Arial" w:hAnsi="Arial" w:cs="Arial"/>
        </w:rPr>
      </w:pPr>
    </w:p>
    <w:p w14:paraId="5C5353BC" w14:textId="02A6EAEA" w:rsidR="00915CC5" w:rsidRDefault="00915CC5" w:rsidP="00441B6F">
      <w:pPr>
        <w:pStyle w:val="Body"/>
        <w:spacing w:after="0"/>
        <w:rPr>
          <w:rFonts w:ascii="Arial" w:hAnsi="Arial" w:cs="Arial"/>
          <w:b/>
          <w:bCs/>
          <w:sz w:val="22"/>
          <w:szCs w:val="22"/>
        </w:rPr>
      </w:pPr>
      <w:r w:rsidRPr="0047492E">
        <w:rPr>
          <w:rFonts w:ascii="Arial" w:hAnsi="Arial" w:cs="Arial"/>
          <w:b/>
          <w:bCs/>
          <w:sz w:val="22"/>
          <w:szCs w:val="22"/>
        </w:rPr>
        <w:t>2.2 Promotions</w:t>
      </w:r>
    </w:p>
    <w:p w14:paraId="53CB13FC" w14:textId="77777777" w:rsidR="0047492E" w:rsidRPr="0047492E" w:rsidRDefault="0047492E" w:rsidP="00441B6F">
      <w:pPr>
        <w:pStyle w:val="Body"/>
        <w:spacing w:after="0"/>
        <w:rPr>
          <w:rFonts w:ascii="Arial" w:hAnsi="Arial" w:cs="Arial"/>
          <w:b/>
          <w:bCs/>
          <w:sz w:val="22"/>
          <w:szCs w:val="22"/>
        </w:rPr>
      </w:pPr>
    </w:p>
    <w:p w14:paraId="4354B20E" w14:textId="0376FBF9" w:rsidR="0047492E" w:rsidRDefault="0047492E" w:rsidP="0047492E">
      <w:pPr>
        <w:jc w:val="both"/>
        <w:rPr>
          <w:szCs w:val="24"/>
        </w:rPr>
      </w:pPr>
      <w:r w:rsidRPr="00812159">
        <w:rPr>
          <w:szCs w:val="24"/>
        </w:rPr>
        <w:t xml:space="preserve">To increase the appeal of Technical and Vocational Education and Training (TVET) among young people, the International </w:t>
      </w:r>
      <w:proofErr w:type="spellStart"/>
      <w:r w:rsidRPr="00812159">
        <w:rPr>
          <w:szCs w:val="24"/>
        </w:rPr>
        <w:t>Labour</w:t>
      </w:r>
      <w:proofErr w:type="spellEnd"/>
      <w:r w:rsidRPr="00812159">
        <w:rPr>
          <w:szCs w:val="24"/>
        </w:rPr>
        <w:t xml:space="preserve"> Organization (ILO) has recommended the launch of a </w:t>
      </w:r>
      <w:r w:rsidRPr="00812159">
        <w:rPr>
          <w:szCs w:val="24"/>
        </w:rPr>
        <w:lastRenderedPageBreak/>
        <w:t>national awareness campaign. The initiative is intended to increase public perception of skilled work and encourage higher enrolment in TVET institutions (ILO, 2021). The ILO also encourages governments to sustain these efforts both at the national and local levels by leveraging the communication tools and resources available at TVET institutions and among local stakeholders (ILO, 2021). Addressing persistent misconceptions about TVET qualifications in Malaysia remains an important priority. Many individuals, including the elderly and graduates, consider TVET careers inferior to those in the white-collar sector. As mentioned earlier, TVET plays a crucial role in improving employability and social mobility, equipping learners with essential skills for diverse industries (Azeem et al. 2022). Advocacy efforts are essential in educating parents and students about the importance of TVET, emphasizing that it caters to a spectrum of talents from those who excel in theoretical work to those who thrive in practical skills (Wang, 2024)</w:t>
      </w:r>
      <w:r w:rsidR="00750F62">
        <w:rPr>
          <w:szCs w:val="24"/>
        </w:rPr>
        <w:t>.</w:t>
      </w:r>
    </w:p>
    <w:p w14:paraId="71150942" w14:textId="75FF8216" w:rsidR="00750F62" w:rsidRDefault="00750F62" w:rsidP="00750F62">
      <w:pPr>
        <w:jc w:val="both"/>
        <w:rPr>
          <w:szCs w:val="24"/>
        </w:rPr>
      </w:pPr>
    </w:p>
    <w:p w14:paraId="598226BD" w14:textId="77777777" w:rsidR="00750F62" w:rsidRPr="0047492E" w:rsidRDefault="00750F62" w:rsidP="00441B6F">
      <w:pPr>
        <w:pStyle w:val="Body"/>
        <w:spacing w:after="0"/>
        <w:rPr>
          <w:rFonts w:ascii="Arial" w:hAnsi="Arial" w:cs="Arial"/>
          <w:b/>
          <w:bCs/>
        </w:rPr>
      </w:pPr>
    </w:p>
    <w:p w14:paraId="59C05D92" w14:textId="006B68C6" w:rsidR="0047492E" w:rsidRDefault="0047492E" w:rsidP="0047492E">
      <w:pPr>
        <w:pStyle w:val="Body"/>
        <w:spacing w:after="0"/>
        <w:rPr>
          <w:rFonts w:ascii="Arial" w:hAnsi="Arial" w:cs="Arial"/>
          <w:b/>
          <w:bCs/>
          <w:sz w:val="22"/>
          <w:szCs w:val="22"/>
        </w:rPr>
      </w:pPr>
      <w:r w:rsidRPr="0047492E">
        <w:rPr>
          <w:rFonts w:ascii="Arial" w:hAnsi="Arial" w:cs="Arial"/>
          <w:b/>
          <w:bCs/>
          <w:sz w:val="22"/>
          <w:szCs w:val="22"/>
        </w:rPr>
        <w:t>2.3 Public Perception</w:t>
      </w:r>
    </w:p>
    <w:p w14:paraId="43D28BBF" w14:textId="77777777" w:rsidR="0047492E" w:rsidRPr="0047492E" w:rsidRDefault="0047492E" w:rsidP="0047492E">
      <w:pPr>
        <w:pStyle w:val="Body"/>
        <w:spacing w:after="0"/>
        <w:rPr>
          <w:rFonts w:ascii="Arial" w:hAnsi="Arial" w:cs="Arial"/>
          <w:b/>
          <w:bCs/>
          <w:sz w:val="22"/>
          <w:szCs w:val="22"/>
        </w:rPr>
      </w:pPr>
    </w:p>
    <w:p w14:paraId="2D902230" w14:textId="5C821353" w:rsidR="0047492E" w:rsidRDefault="0047492E" w:rsidP="0047492E">
      <w:pPr>
        <w:jc w:val="both"/>
        <w:rPr>
          <w:szCs w:val="24"/>
        </w:rPr>
      </w:pPr>
      <w:r w:rsidRPr="00750F62">
        <w:rPr>
          <w:szCs w:val="24"/>
        </w:rPr>
        <w:t>In Malaysia, there is a prevailing public perception that Technical and Vocational Education and Training (TVET) is primarily aimed at academically weak students (</w:t>
      </w:r>
      <w:r w:rsidR="00750F62" w:rsidRPr="00750F62">
        <w:rPr>
          <w:szCs w:val="24"/>
        </w:rPr>
        <w:t>Omar</w:t>
      </w:r>
      <w:r w:rsidRPr="00750F62">
        <w:rPr>
          <w:szCs w:val="24"/>
        </w:rPr>
        <w:t xml:space="preserve"> &amp; </w:t>
      </w:r>
      <w:r w:rsidR="00750F62" w:rsidRPr="00750F62">
        <w:rPr>
          <w:szCs w:val="24"/>
        </w:rPr>
        <w:t>Desa</w:t>
      </w:r>
      <w:r w:rsidRPr="00750F62">
        <w:rPr>
          <w:szCs w:val="24"/>
        </w:rPr>
        <w:t>, 20</w:t>
      </w:r>
      <w:r w:rsidR="00750F62" w:rsidRPr="00750F62">
        <w:rPr>
          <w:szCs w:val="24"/>
        </w:rPr>
        <w:t>2</w:t>
      </w:r>
      <w:r w:rsidRPr="00750F62">
        <w:rPr>
          <w:szCs w:val="24"/>
        </w:rPr>
        <w:t xml:space="preserve">3). This view is supported by Ismail and </w:t>
      </w:r>
      <w:r w:rsidR="00750F62" w:rsidRPr="00750F62">
        <w:rPr>
          <w:szCs w:val="24"/>
        </w:rPr>
        <w:t>Yeap et al.</w:t>
      </w:r>
      <w:r w:rsidRPr="00750F62">
        <w:rPr>
          <w:szCs w:val="24"/>
        </w:rPr>
        <w:t xml:space="preserve"> (20</w:t>
      </w:r>
      <w:r w:rsidR="00750F62" w:rsidRPr="00750F62">
        <w:rPr>
          <w:szCs w:val="24"/>
        </w:rPr>
        <w:t>21</w:t>
      </w:r>
      <w:r w:rsidRPr="00750F62">
        <w:rPr>
          <w:szCs w:val="24"/>
        </w:rPr>
        <w:t>), who found that vocational institutions, especially TVET colleges, are often seen as suitable only for certain groups, such as underachievers or school dropouts. This negative perception is further reinforced by the belief that TVET graduates are more likely to enter so-called 3D jobs dirty, dangerous, and degrading than to get high-paying white-collar</w:t>
      </w:r>
      <w:r w:rsidRPr="00812159">
        <w:rPr>
          <w:szCs w:val="24"/>
        </w:rPr>
        <w:t xml:space="preserve"> jobs</w:t>
      </w:r>
      <w:r w:rsidR="00750F62">
        <w:rPr>
          <w:szCs w:val="24"/>
        </w:rPr>
        <w:t xml:space="preserve">. </w:t>
      </w:r>
    </w:p>
    <w:p w14:paraId="39A0B613" w14:textId="77777777" w:rsidR="00750F62" w:rsidRDefault="00750F62" w:rsidP="0047492E">
      <w:pPr>
        <w:jc w:val="both"/>
        <w:rPr>
          <w:szCs w:val="24"/>
        </w:rPr>
      </w:pPr>
    </w:p>
    <w:p w14:paraId="1A8C51B5" w14:textId="77777777" w:rsidR="0047492E" w:rsidRDefault="0047492E" w:rsidP="0047492E">
      <w:pPr>
        <w:jc w:val="both"/>
        <w:rPr>
          <w:szCs w:val="24"/>
          <w:lang w:val="en-MY"/>
        </w:rPr>
      </w:pPr>
      <w:r w:rsidRPr="00812159">
        <w:rPr>
          <w:szCs w:val="24"/>
        </w:rPr>
        <w:t>Critics argue that the TVET curriculum is considered to produce low-performing graduates, offers limited academic progress, and involves unstructured and labor-intensive work (Hong, 2021; Yeap et al., 2021). Such misunderstandings have significantly damaged the image of TVET as a credible and rewarding educational pathway. Despite these stereotypes, data from the Ministry of Education shows that 42.8% of skilled graduates actually come from TVET programs highlighting its growing relevance.</w:t>
      </w:r>
    </w:p>
    <w:p w14:paraId="142754FD" w14:textId="77777777" w:rsidR="0047492E" w:rsidRPr="00812159" w:rsidRDefault="0047492E" w:rsidP="0047492E">
      <w:pPr>
        <w:jc w:val="both"/>
        <w:rPr>
          <w:szCs w:val="24"/>
          <w:lang w:val="en-MY"/>
        </w:rPr>
      </w:pPr>
    </w:p>
    <w:p w14:paraId="43F42548" w14:textId="77777777" w:rsidR="0047492E" w:rsidRPr="00812159" w:rsidRDefault="0047492E" w:rsidP="0047492E">
      <w:pPr>
        <w:jc w:val="both"/>
        <w:rPr>
          <w:szCs w:val="24"/>
          <w:lang w:val="en-MY"/>
        </w:rPr>
      </w:pPr>
      <w:r w:rsidRPr="00812159">
        <w:rPr>
          <w:szCs w:val="24"/>
        </w:rPr>
        <w:t>Parental attitudes further exacerbate the problem, as many believe that students pursuing TVET come from lower socioeconomic backgrounds and have weaker academic abilities. TVET is also often seen as less prestigious than traditional academic routes. Because students' decisions are heavily influenced by their parents and community, these beliefs play an important role in preventing enrollment. As a result, participation in TVET programs remains limited, hindering efforts to expand and strengthen TVET industry partnerships and initiatives.</w:t>
      </w:r>
    </w:p>
    <w:p w14:paraId="7CF6BBAD" w14:textId="08471DEA" w:rsidR="00915CC5" w:rsidRDefault="00915CC5" w:rsidP="0047492E">
      <w:pPr>
        <w:pStyle w:val="Body"/>
        <w:spacing w:after="0"/>
        <w:rPr>
          <w:rFonts w:ascii="Arial" w:hAnsi="Arial" w:cs="Arial"/>
        </w:rPr>
      </w:pPr>
    </w:p>
    <w:p w14:paraId="7261F4AC" w14:textId="77777777" w:rsidR="00915CC5" w:rsidRPr="00FB3A86" w:rsidRDefault="00915CC5" w:rsidP="00441B6F">
      <w:pPr>
        <w:pStyle w:val="Body"/>
        <w:spacing w:after="0"/>
        <w:rPr>
          <w:rFonts w:ascii="Arial" w:hAnsi="Arial" w:cs="Arial"/>
        </w:rPr>
      </w:pPr>
    </w:p>
    <w:p w14:paraId="27B84FDB" w14:textId="47E8AE47" w:rsidR="00902823" w:rsidRDefault="00000F8F" w:rsidP="00441B6F">
      <w:pPr>
        <w:pStyle w:val="Head1"/>
        <w:spacing w:after="0"/>
        <w:jc w:val="both"/>
        <w:rPr>
          <w:rFonts w:ascii="Arial" w:hAnsi="Arial" w:cs="Arial"/>
        </w:rPr>
      </w:pPr>
      <w:r>
        <w:rPr>
          <w:rFonts w:ascii="Arial" w:hAnsi="Arial" w:cs="Arial"/>
        </w:rPr>
        <w:t>3. METHODOLOGY</w:t>
      </w:r>
    </w:p>
    <w:p w14:paraId="64DC5BB3" w14:textId="77777777" w:rsidR="00790ADA" w:rsidRPr="00FB3A86" w:rsidRDefault="00790ADA" w:rsidP="00441B6F">
      <w:pPr>
        <w:pStyle w:val="Head1"/>
        <w:spacing w:after="0"/>
        <w:jc w:val="both"/>
        <w:rPr>
          <w:rFonts w:ascii="Arial" w:hAnsi="Arial" w:cs="Arial"/>
        </w:rPr>
      </w:pPr>
    </w:p>
    <w:p w14:paraId="00514401" w14:textId="47C64112" w:rsidR="00A87DD9" w:rsidRDefault="000964D8" w:rsidP="000964D8">
      <w:pPr>
        <w:pStyle w:val="Body"/>
        <w:rPr>
          <w:rFonts w:ascii="Arial" w:hAnsi="Arial" w:cs="Arial"/>
          <w:lang w:val="en-MY"/>
        </w:rPr>
      </w:pPr>
      <w:r w:rsidRPr="000964D8">
        <w:rPr>
          <w:rFonts w:ascii="Arial" w:hAnsi="Arial" w:cs="Arial"/>
        </w:rPr>
        <w:t xml:space="preserve">The study adopted a multi-stage sampling technique, following Babbie (2004), to address the lack of a complete population sampling framework. Sampling was carried out in three stages: (1) zone selection in Peninsular Malaysia, (2) state and district selection using simple random sampling, and (3) respondent selection using systematic sampling. Respondents were selected based on a random starting point at fixed intervals. The study focuses on five economic sectors identified by the Malaysian Department of Statistics (DOSM): manufacturing, services, agriculture, mining and quarrying, and construction. The list of companies is taken from the data.gov.my portal. Only individuals from this sector who understand Malay or English are included. Ethical approval was obtained, with minor revisions to the questionnaire. Using G*Power 3, a minimum sample size of 146 was calculated, but to increase the applicability, 500 respondents (100 from each zone) were selected for this study. After the data collection process, the findings of this study were then analyzed using SPSS </w:t>
      </w:r>
      <w:r w:rsidRPr="000964D8">
        <w:rPr>
          <w:rFonts w:ascii="Arial" w:hAnsi="Arial" w:cs="Arial"/>
        </w:rPr>
        <w:lastRenderedPageBreak/>
        <w:t>software. Descriptive statistics such as frequency, percentage, average, and standard deviation are used to meet the specified objectives. Pearson correlation is used to determine if there is a relationship between variables. Table 1 shows the results that prove the high reliability of the instruments that measure the variables. Public awareness, promotion, and perception show Cronbach's alpha values ranging from 0.599 to 0.688. These values suggest that although the internal consistency of the construction is moderate, it remains within an acceptable range for exploratory research. The results suggest that the items used in this study have a reasonable level of reliability, although improvements may be considered in future studies to strengthen scale consistency (Hair et al., 2022).</w:t>
      </w:r>
    </w:p>
    <w:p w14:paraId="6E3F0E44" w14:textId="78CC5A0B" w:rsidR="00A87DD9" w:rsidRPr="00A87DD9" w:rsidRDefault="00A87DD9" w:rsidP="000964D8">
      <w:pPr>
        <w:pStyle w:val="Body"/>
        <w:rPr>
          <w:rFonts w:ascii="Arial" w:hAnsi="Arial" w:cs="Arial"/>
          <w:b/>
          <w:bCs/>
          <w:lang w:val="en-MY"/>
        </w:rPr>
      </w:pPr>
      <w:r w:rsidRPr="00A87DD9">
        <w:rPr>
          <w:rFonts w:ascii="Arial" w:hAnsi="Arial" w:cs="Arial"/>
          <w:b/>
          <w:bCs/>
        </w:rPr>
        <w:t>RESULT</w:t>
      </w:r>
    </w:p>
    <w:p w14:paraId="7794D66B" w14:textId="2701EAC6" w:rsidR="00863BD3" w:rsidRDefault="009500A6" w:rsidP="00441B6F">
      <w:pPr>
        <w:tabs>
          <w:tab w:val="left" w:pos="1080"/>
        </w:tabs>
        <w:jc w:val="both"/>
        <w:rPr>
          <w:rFonts w:ascii="Arial" w:hAnsi="Arial"/>
          <w:b/>
        </w:rPr>
      </w:pPr>
      <w:r>
        <w:rPr>
          <w:rFonts w:ascii="Arial" w:hAnsi="Arial"/>
          <w:b/>
        </w:rPr>
        <w:t>Table 1.</w:t>
      </w:r>
      <w:r w:rsidR="00863BD3" w:rsidRPr="00DC3180">
        <w:rPr>
          <w:rFonts w:ascii="Arial" w:hAnsi="Arial"/>
          <w:b/>
        </w:rPr>
        <w:tab/>
      </w:r>
      <w:r w:rsidR="000964D8">
        <w:rPr>
          <w:rFonts w:ascii="Arial" w:hAnsi="Arial"/>
          <w:b/>
        </w:rPr>
        <w:t>Reliability test</w:t>
      </w:r>
    </w:p>
    <w:p w14:paraId="73BC3A0C" w14:textId="77777777" w:rsidR="000964D8" w:rsidRDefault="000964D8" w:rsidP="00441B6F">
      <w:pPr>
        <w:tabs>
          <w:tab w:val="left" w:pos="1080"/>
        </w:tabs>
        <w:jc w:val="both"/>
        <w:rPr>
          <w:rFonts w:ascii="Arial" w:hAnsi="Arial"/>
          <w:b/>
        </w:rPr>
      </w:pPr>
    </w:p>
    <w:tbl>
      <w:tblPr>
        <w:tblW w:w="4217" w:type="dxa"/>
        <w:jc w:val="center"/>
        <w:tblBorders>
          <w:top w:val="single" w:sz="4" w:space="0" w:color="auto"/>
          <w:bottom w:val="single" w:sz="4" w:space="0" w:color="auto"/>
        </w:tblBorders>
        <w:tblLook w:val="01E0" w:firstRow="1" w:lastRow="1" w:firstColumn="1" w:lastColumn="1" w:noHBand="0" w:noVBand="0"/>
      </w:tblPr>
      <w:tblGrid>
        <w:gridCol w:w="2114"/>
        <w:gridCol w:w="2103"/>
      </w:tblGrid>
      <w:tr w:rsidR="000964D8" w:rsidRPr="00DC3180" w14:paraId="31AD0F24" w14:textId="77777777" w:rsidTr="000964D8">
        <w:trPr>
          <w:jc w:val="center"/>
        </w:trPr>
        <w:tc>
          <w:tcPr>
            <w:tcW w:w="2114" w:type="dxa"/>
            <w:tcBorders>
              <w:top w:val="single" w:sz="4" w:space="0" w:color="auto"/>
              <w:bottom w:val="single" w:sz="4" w:space="0" w:color="auto"/>
            </w:tcBorders>
          </w:tcPr>
          <w:p w14:paraId="5B9392BD" w14:textId="79755781" w:rsidR="000964D8" w:rsidRPr="00DC3180" w:rsidRDefault="000964D8" w:rsidP="0090743B">
            <w:pPr>
              <w:jc w:val="both"/>
              <w:rPr>
                <w:rFonts w:ascii="Arial" w:hAnsi="Arial"/>
                <w:b/>
                <w:bCs/>
              </w:rPr>
            </w:pPr>
            <w:r>
              <w:rPr>
                <w:rFonts w:ascii="Arial" w:hAnsi="Arial"/>
                <w:b/>
              </w:rPr>
              <w:t>Variable</w:t>
            </w:r>
          </w:p>
        </w:tc>
        <w:tc>
          <w:tcPr>
            <w:tcW w:w="2103" w:type="dxa"/>
            <w:tcBorders>
              <w:top w:val="single" w:sz="4" w:space="0" w:color="auto"/>
              <w:bottom w:val="single" w:sz="4" w:space="0" w:color="auto"/>
            </w:tcBorders>
          </w:tcPr>
          <w:p w14:paraId="47715213" w14:textId="2F8B536F" w:rsidR="000964D8" w:rsidRPr="00DC3180" w:rsidRDefault="000964D8" w:rsidP="000964D8">
            <w:pPr>
              <w:rPr>
                <w:rFonts w:ascii="Arial" w:hAnsi="Arial"/>
                <w:b/>
                <w:bCs/>
              </w:rPr>
            </w:pPr>
            <w:r>
              <w:rPr>
                <w:rFonts w:ascii="Arial" w:hAnsi="Arial"/>
                <w:b/>
                <w:bCs/>
              </w:rPr>
              <w:t>Cronbach Al</w:t>
            </w:r>
            <w:r w:rsidR="00750F62">
              <w:rPr>
                <w:rFonts w:ascii="Arial" w:hAnsi="Arial"/>
                <w:b/>
                <w:bCs/>
              </w:rPr>
              <w:t>pha</w:t>
            </w:r>
          </w:p>
        </w:tc>
      </w:tr>
      <w:tr w:rsidR="000964D8" w:rsidRPr="00DC3180" w14:paraId="2748CBDA" w14:textId="77777777" w:rsidTr="000964D8">
        <w:trPr>
          <w:trHeight w:val="267"/>
          <w:jc w:val="center"/>
        </w:trPr>
        <w:tc>
          <w:tcPr>
            <w:tcW w:w="2114" w:type="dxa"/>
            <w:tcBorders>
              <w:top w:val="single" w:sz="4" w:space="0" w:color="auto"/>
            </w:tcBorders>
          </w:tcPr>
          <w:p w14:paraId="4C93B99B" w14:textId="37E58656" w:rsidR="000964D8" w:rsidRPr="00DC3180" w:rsidRDefault="000964D8" w:rsidP="000964D8">
            <w:pPr>
              <w:jc w:val="both"/>
              <w:rPr>
                <w:rFonts w:ascii="Arial" w:hAnsi="Arial"/>
                <w:b/>
                <w:bCs/>
              </w:rPr>
            </w:pPr>
            <w:r w:rsidRPr="0095512F">
              <w:rPr>
                <w:szCs w:val="24"/>
              </w:rPr>
              <w:t>Awareness</w:t>
            </w:r>
          </w:p>
        </w:tc>
        <w:tc>
          <w:tcPr>
            <w:tcW w:w="2103" w:type="dxa"/>
            <w:tcBorders>
              <w:top w:val="single" w:sz="4" w:space="0" w:color="auto"/>
            </w:tcBorders>
          </w:tcPr>
          <w:p w14:paraId="569E1798" w14:textId="15E6BE74" w:rsidR="000964D8" w:rsidRPr="00DC3180" w:rsidRDefault="000964D8" w:rsidP="000964D8">
            <w:pPr>
              <w:rPr>
                <w:rFonts w:ascii="Arial" w:hAnsi="Arial"/>
                <w:b/>
                <w:bCs/>
              </w:rPr>
            </w:pPr>
            <w:r w:rsidRPr="0095512F">
              <w:rPr>
                <w:szCs w:val="24"/>
              </w:rPr>
              <w:t>0.681</w:t>
            </w:r>
          </w:p>
        </w:tc>
      </w:tr>
      <w:tr w:rsidR="000964D8" w:rsidRPr="00DC3180" w14:paraId="4427B113" w14:textId="77777777" w:rsidTr="000964D8">
        <w:trPr>
          <w:jc w:val="center"/>
        </w:trPr>
        <w:tc>
          <w:tcPr>
            <w:tcW w:w="2114" w:type="dxa"/>
          </w:tcPr>
          <w:p w14:paraId="7837A787" w14:textId="50251253" w:rsidR="000964D8" w:rsidRPr="00DC3180" w:rsidRDefault="000964D8" w:rsidP="000964D8">
            <w:pPr>
              <w:jc w:val="both"/>
              <w:rPr>
                <w:rFonts w:ascii="Arial" w:hAnsi="Arial" w:cs="Arial"/>
              </w:rPr>
            </w:pPr>
            <w:r w:rsidRPr="0095512F">
              <w:rPr>
                <w:szCs w:val="24"/>
              </w:rPr>
              <w:t>Promotion</w:t>
            </w:r>
          </w:p>
        </w:tc>
        <w:tc>
          <w:tcPr>
            <w:tcW w:w="2103" w:type="dxa"/>
          </w:tcPr>
          <w:p w14:paraId="0A22E640" w14:textId="6F21977C" w:rsidR="000964D8" w:rsidRPr="00DC3180" w:rsidRDefault="000964D8" w:rsidP="000964D8">
            <w:pPr>
              <w:rPr>
                <w:rFonts w:ascii="Arial" w:hAnsi="Arial" w:cs="Arial"/>
              </w:rPr>
            </w:pPr>
            <w:r w:rsidRPr="0095512F">
              <w:rPr>
                <w:szCs w:val="24"/>
              </w:rPr>
              <w:t>0.688</w:t>
            </w:r>
          </w:p>
        </w:tc>
      </w:tr>
      <w:tr w:rsidR="000964D8" w:rsidRPr="00DC3180" w14:paraId="2EB133D0" w14:textId="77777777" w:rsidTr="000964D8">
        <w:trPr>
          <w:jc w:val="center"/>
        </w:trPr>
        <w:tc>
          <w:tcPr>
            <w:tcW w:w="2114" w:type="dxa"/>
          </w:tcPr>
          <w:p w14:paraId="260E5774" w14:textId="76BD5C8A" w:rsidR="000964D8" w:rsidRPr="00DC3180" w:rsidRDefault="000964D8" w:rsidP="000964D8">
            <w:pPr>
              <w:jc w:val="both"/>
              <w:rPr>
                <w:rFonts w:ascii="Arial" w:hAnsi="Arial"/>
              </w:rPr>
            </w:pPr>
            <w:r w:rsidRPr="0095512F">
              <w:rPr>
                <w:szCs w:val="24"/>
              </w:rPr>
              <w:t>Public Perception</w:t>
            </w:r>
          </w:p>
        </w:tc>
        <w:tc>
          <w:tcPr>
            <w:tcW w:w="2103" w:type="dxa"/>
          </w:tcPr>
          <w:p w14:paraId="0F3DC440" w14:textId="21DA25F5" w:rsidR="000964D8" w:rsidRPr="00DC3180" w:rsidRDefault="000964D8" w:rsidP="000964D8">
            <w:pPr>
              <w:rPr>
                <w:rFonts w:ascii="Arial" w:hAnsi="Arial"/>
              </w:rPr>
            </w:pPr>
            <w:r w:rsidRPr="0095512F">
              <w:rPr>
                <w:szCs w:val="24"/>
              </w:rPr>
              <w:t>0.599</w:t>
            </w:r>
          </w:p>
        </w:tc>
      </w:tr>
      <w:tr w:rsidR="000964D8" w:rsidRPr="00DC3180" w14:paraId="08DD56D4" w14:textId="77777777" w:rsidTr="000964D8">
        <w:trPr>
          <w:jc w:val="center"/>
        </w:trPr>
        <w:tc>
          <w:tcPr>
            <w:tcW w:w="2114" w:type="dxa"/>
          </w:tcPr>
          <w:p w14:paraId="5F1D7C5E" w14:textId="102FDACC" w:rsidR="000964D8" w:rsidRPr="00DC3180" w:rsidRDefault="000964D8" w:rsidP="000964D8">
            <w:pPr>
              <w:jc w:val="both"/>
              <w:rPr>
                <w:rFonts w:ascii="Arial" w:hAnsi="Arial"/>
              </w:rPr>
            </w:pPr>
            <w:r w:rsidRPr="0095512F">
              <w:rPr>
                <w:szCs w:val="24"/>
              </w:rPr>
              <w:t>Awareness</w:t>
            </w:r>
          </w:p>
        </w:tc>
        <w:tc>
          <w:tcPr>
            <w:tcW w:w="2103" w:type="dxa"/>
          </w:tcPr>
          <w:p w14:paraId="0938F8C5" w14:textId="15166D3F" w:rsidR="000964D8" w:rsidRPr="00DC3180" w:rsidRDefault="000964D8" w:rsidP="000964D8">
            <w:pPr>
              <w:rPr>
                <w:rFonts w:ascii="Arial" w:hAnsi="Arial"/>
              </w:rPr>
            </w:pPr>
            <w:r w:rsidRPr="0095512F">
              <w:rPr>
                <w:szCs w:val="24"/>
              </w:rPr>
              <w:t>0.681</w:t>
            </w:r>
          </w:p>
        </w:tc>
      </w:tr>
      <w:tr w:rsidR="000964D8" w:rsidRPr="00DC3180" w14:paraId="75D91D3A" w14:textId="77777777" w:rsidTr="000964D8">
        <w:trPr>
          <w:jc w:val="center"/>
        </w:trPr>
        <w:tc>
          <w:tcPr>
            <w:tcW w:w="2114" w:type="dxa"/>
          </w:tcPr>
          <w:p w14:paraId="2E58A662" w14:textId="2BC90800" w:rsidR="000964D8" w:rsidRPr="00DC3180" w:rsidRDefault="000964D8" w:rsidP="000964D8">
            <w:pPr>
              <w:jc w:val="both"/>
              <w:rPr>
                <w:rFonts w:ascii="Arial" w:hAnsi="Arial"/>
              </w:rPr>
            </w:pPr>
            <w:r w:rsidRPr="0095512F">
              <w:rPr>
                <w:szCs w:val="24"/>
              </w:rPr>
              <w:t>Promotion</w:t>
            </w:r>
          </w:p>
        </w:tc>
        <w:tc>
          <w:tcPr>
            <w:tcW w:w="2103" w:type="dxa"/>
          </w:tcPr>
          <w:p w14:paraId="19F3CD41" w14:textId="1A7F8A46" w:rsidR="000964D8" w:rsidRPr="00DC3180" w:rsidRDefault="000964D8" w:rsidP="000964D8">
            <w:pPr>
              <w:rPr>
                <w:rFonts w:ascii="Arial" w:hAnsi="Arial"/>
              </w:rPr>
            </w:pPr>
            <w:r w:rsidRPr="0095512F">
              <w:rPr>
                <w:szCs w:val="24"/>
              </w:rPr>
              <w:t>0.688</w:t>
            </w:r>
          </w:p>
        </w:tc>
      </w:tr>
    </w:tbl>
    <w:p w14:paraId="0E476243" w14:textId="77777777" w:rsidR="000964D8" w:rsidRDefault="000964D8" w:rsidP="00441B6F">
      <w:pPr>
        <w:tabs>
          <w:tab w:val="left" w:pos="1080"/>
        </w:tabs>
        <w:jc w:val="both"/>
        <w:rPr>
          <w:rFonts w:ascii="Arial" w:hAnsi="Arial"/>
          <w:b/>
        </w:rPr>
      </w:pPr>
    </w:p>
    <w:p w14:paraId="6F11A835" w14:textId="77777777" w:rsidR="000964D8" w:rsidRDefault="000964D8" w:rsidP="00441B6F">
      <w:pPr>
        <w:tabs>
          <w:tab w:val="left" w:pos="1080"/>
        </w:tabs>
        <w:jc w:val="both"/>
        <w:rPr>
          <w:rFonts w:ascii="Arial" w:hAnsi="Arial"/>
          <w:b/>
        </w:rPr>
      </w:pPr>
    </w:p>
    <w:p w14:paraId="2864B5D6" w14:textId="77777777" w:rsidR="005B4963" w:rsidRDefault="000964D8" w:rsidP="000964D8">
      <w:pPr>
        <w:spacing w:line="276" w:lineRule="auto"/>
        <w:jc w:val="both"/>
        <w:rPr>
          <w:szCs w:val="24"/>
        </w:rPr>
      </w:pPr>
      <w:r w:rsidRPr="00025EC8">
        <w:rPr>
          <w:szCs w:val="24"/>
        </w:rPr>
        <w:t>In terms of gender distribution, 53.6% of respondents were women, while 46.4% were men. Regarding marital status, 47.6% identified as single. Most of the participants were Malays (76.8%), followed by individuals from other ethnic groups, including Sabahans and Sarawakians (20.0%), Chinese (2.2%), and Indians (1.0%). In terms of age, the largest group was in the age range of 20–25 (28.0%), followed by those aged 36–40 years (23.4%), 26–30 years (18.4%), and 31–35 years (16.2%). A smaller proportion are aged 41 and over (8.0%), and 6.0% are under 20. With regard to monthly income, the majority (64.2%) earned less than RM3,000, followed by 18.2% earned between RM3,000 and RM4,999, 8.4% between RM5,000 and RM6,999, 6.2% between RM7,000 and RM8,999, and 3.0% earned RM9,000 and above. In addition, 31.0% of respondents reported having a background in Technical and Vocational Education and Training (TVET).</w:t>
      </w:r>
      <w:r w:rsidR="00F80B3F">
        <w:rPr>
          <w:szCs w:val="24"/>
        </w:rPr>
        <w:t xml:space="preserve"> For field of study</w:t>
      </w:r>
      <w:r w:rsidR="00F80B3F" w:rsidRPr="005B4963">
        <w:rPr>
          <w:szCs w:val="24"/>
        </w:rPr>
        <w:t xml:space="preserve">, </w:t>
      </w:r>
      <w:r w:rsidR="005B4963" w:rsidRPr="005B4963">
        <w:rPr>
          <w:szCs w:val="24"/>
        </w:rPr>
        <w:t>t</w:t>
      </w:r>
      <w:r w:rsidR="00F80B3F" w:rsidRPr="005B4963">
        <w:rPr>
          <w:szCs w:val="24"/>
        </w:rPr>
        <w:t xml:space="preserve">he table shows that most respondents come from non-vocational </w:t>
      </w:r>
      <w:proofErr w:type="spellStart"/>
      <w:r w:rsidR="00F80B3F" w:rsidRPr="005B4963">
        <w:rPr>
          <w:szCs w:val="24"/>
        </w:rPr>
        <w:t>programmes</w:t>
      </w:r>
      <w:proofErr w:type="spellEnd"/>
      <w:r w:rsidR="005B4963" w:rsidRPr="005B4963">
        <w:rPr>
          <w:szCs w:val="24"/>
        </w:rPr>
        <w:t xml:space="preserve"> (54.6%)</w:t>
      </w:r>
      <w:r w:rsidR="00F80B3F" w:rsidRPr="005B4963">
        <w:rPr>
          <w:szCs w:val="24"/>
        </w:rPr>
        <w:t xml:space="preserve">, making up more than half of the sample. </w:t>
      </w:r>
    </w:p>
    <w:p w14:paraId="3EADFCF6" w14:textId="77777777" w:rsidR="005B4963" w:rsidRDefault="005B4963" w:rsidP="000964D8">
      <w:pPr>
        <w:spacing w:line="276" w:lineRule="auto"/>
        <w:jc w:val="both"/>
        <w:rPr>
          <w:szCs w:val="24"/>
        </w:rPr>
      </w:pPr>
    </w:p>
    <w:p w14:paraId="39CF1B5C" w14:textId="77777777" w:rsidR="000964D8" w:rsidRDefault="000964D8" w:rsidP="000964D8">
      <w:pPr>
        <w:spacing w:line="276" w:lineRule="auto"/>
        <w:jc w:val="both"/>
        <w:rPr>
          <w:szCs w:val="24"/>
        </w:rPr>
      </w:pPr>
    </w:p>
    <w:p w14:paraId="5FDD98E0" w14:textId="77777777" w:rsidR="005B4963" w:rsidRDefault="005B4963" w:rsidP="000964D8">
      <w:pPr>
        <w:spacing w:line="276" w:lineRule="auto"/>
        <w:jc w:val="both"/>
        <w:rPr>
          <w:szCs w:val="24"/>
        </w:rPr>
      </w:pPr>
    </w:p>
    <w:p w14:paraId="260DDAE3" w14:textId="77777777" w:rsidR="005B4963" w:rsidRDefault="005B4963" w:rsidP="000964D8">
      <w:pPr>
        <w:spacing w:line="276" w:lineRule="auto"/>
        <w:jc w:val="both"/>
        <w:rPr>
          <w:szCs w:val="24"/>
        </w:rPr>
      </w:pPr>
    </w:p>
    <w:p w14:paraId="2C5EE621" w14:textId="77777777" w:rsidR="005B4963" w:rsidRDefault="005B4963" w:rsidP="000964D8">
      <w:pPr>
        <w:spacing w:line="276" w:lineRule="auto"/>
        <w:jc w:val="both"/>
        <w:rPr>
          <w:szCs w:val="24"/>
        </w:rPr>
      </w:pPr>
    </w:p>
    <w:p w14:paraId="10F41B48" w14:textId="77777777" w:rsidR="005B4963" w:rsidRDefault="005B4963" w:rsidP="000964D8">
      <w:pPr>
        <w:spacing w:line="276" w:lineRule="auto"/>
        <w:jc w:val="both"/>
        <w:rPr>
          <w:szCs w:val="24"/>
        </w:rPr>
      </w:pPr>
    </w:p>
    <w:p w14:paraId="658D3F82" w14:textId="77777777" w:rsidR="00814A90" w:rsidRPr="000964D8" w:rsidRDefault="00814A90" w:rsidP="000964D8">
      <w:pPr>
        <w:spacing w:line="276" w:lineRule="auto"/>
        <w:jc w:val="both"/>
        <w:rPr>
          <w:szCs w:val="24"/>
        </w:rPr>
      </w:pPr>
    </w:p>
    <w:p w14:paraId="7108DBDA" w14:textId="79290D68" w:rsidR="000964D8" w:rsidRPr="00262A93" w:rsidRDefault="000964D8" w:rsidP="000964D8">
      <w:pPr>
        <w:tabs>
          <w:tab w:val="left" w:pos="1080"/>
        </w:tabs>
        <w:jc w:val="both"/>
        <w:rPr>
          <w:rFonts w:ascii="Arial" w:hAnsi="Arial" w:cs="Arial"/>
          <w:b/>
        </w:rPr>
      </w:pPr>
      <w:r>
        <w:rPr>
          <w:rFonts w:ascii="Arial" w:hAnsi="Arial"/>
          <w:b/>
        </w:rPr>
        <w:t>Table 2.</w:t>
      </w:r>
      <w:r w:rsidRPr="00262A93">
        <w:rPr>
          <w:rFonts w:ascii="Arial" w:hAnsi="Arial" w:cs="Arial"/>
          <w:b/>
        </w:rPr>
        <w:tab/>
      </w:r>
      <w:r w:rsidRPr="00262A93">
        <w:rPr>
          <w:rFonts w:ascii="Arial" w:hAnsi="Arial" w:cs="Arial"/>
          <w:b/>
          <w:bCs/>
          <w:szCs w:val="24"/>
        </w:rPr>
        <w:t>Demographic characteristics of respondents.</w:t>
      </w:r>
    </w:p>
    <w:p w14:paraId="7BE71E85" w14:textId="77777777" w:rsidR="000964D8" w:rsidRPr="00262A93" w:rsidRDefault="000964D8" w:rsidP="000964D8">
      <w:pPr>
        <w:tabs>
          <w:tab w:val="left" w:pos="1080"/>
        </w:tabs>
        <w:jc w:val="both"/>
        <w:rPr>
          <w:rFonts w:ascii="Arial" w:hAnsi="Arial" w:cs="Arial"/>
          <w:b/>
        </w:rPr>
      </w:pPr>
    </w:p>
    <w:tbl>
      <w:tblPr>
        <w:tblW w:w="6320" w:type="dxa"/>
        <w:jc w:val="center"/>
        <w:tblBorders>
          <w:top w:val="single" w:sz="4" w:space="0" w:color="auto"/>
          <w:bottom w:val="single" w:sz="4" w:space="0" w:color="auto"/>
        </w:tblBorders>
        <w:tblLook w:val="01E0" w:firstRow="1" w:lastRow="1" w:firstColumn="1" w:lastColumn="1" w:noHBand="0" w:noVBand="0"/>
      </w:tblPr>
      <w:tblGrid>
        <w:gridCol w:w="2114"/>
        <w:gridCol w:w="2103"/>
        <w:gridCol w:w="2103"/>
      </w:tblGrid>
      <w:tr w:rsidR="000964D8" w:rsidRPr="00262A93" w14:paraId="74C7CDFF" w14:textId="55BD0175" w:rsidTr="00D44FE0">
        <w:trPr>
          <w:jc w:val="center"/>
        </w:trPr>
        <w:tc>
          <w:tcPr>
            <w:tcW w:w="2114" w:type="dxa"/>
            <w:tcBorders>
              <w:top w:val="single" w:sz="4" w:space="0" w:color="auto"/>
              <w:bottom w:val="single" w:sz="4" w:space="0" w:color="auto"/>
            </w:tcBorders>
          </w:tcPr>
          <w:p w14:paraId="6C8ADCE9" w14:textId="77777777" w:rsidR="000964D8" w:rsidRPr="00262A93" w:rsidRDefault="000964D8" w:rsidP="000964D8">
            <w:pPr>
              <w:jc w:val="both"/>
              <w:rPr>
                <w:rFonts w:ascii="Arial" w:hAnsi="Arial" w:cs="Arial"/>
                <w:b/>
                <w:bCs/>
              </w:rPr>
            </w:pPr>
            <w:r w:rsidRPr="00262A93">
              <w:rPr>
                <w:rFonts w:ascii="Arial" w:hAnsi="Arial" w:cs="Arial"/>
                <w:b/>
              </w:rPr>
              <w:t>Variable</w:t>
            </w:r>
          </w:p>
        </w:tc>
        <w:tc>
          <w:tcPr>
            <w:tcW w:w="2103" w:type="dxa"/>
            <w:tcBorders>
              <w:top w:val="single" w:sz="4" w:space="0" w:color="auto"/>
              <w:bottom w:val="single" w:sz="4" w:space="0" w:color="auto"/>
            </w:tcBorders>
          </w:tcPr>
          <w:p w14:paraId="2649B595" w14:textId="61188BA6" w:rsidR="000964D8" w:rsidRPr="00262A93" w:rsidRDefault="000964D8" w:rsidP="000964D8">
            <w:pPr>
              <w:rPr>
                <w:rFonts w:ascii="Arial" w:hAnsi="Arial" w:cs="Arial"/>
                <w:b/>
                <w:bCs/>
              </w:rPr>
            </w:pPr>
            <w:r w:rsidRPr="00262A93">
              <w:rPr>
                <w:rFonts w:ascii="Arial" w:hAnsi="Arial" w:cs="Arial"/>
                <w:b/>
                <w:bCs/>
                <w:szCs w:val="24"/>
              </w:rPr>
              <w:t>Frequency</w:t>
            </w:r>
          </w:p>
        </w:tc>
        <w:tc>
          <w:tcPr>
            <w:tcW w:w="2103" w:type="dxa"/>
            <w:tcBorders>
              <w:top w:val="single" w:sz="4" w:space="0" w:color="auto"/>
              <w:bottom w:val="single" w:sz="4" w:space="0" w:color="auto"/>
            </w:tcBorders>
          </w:tcPr>
          <w:p w14:paraId="4EEDD9B8" w14:textId="05B24164" w:rsidR="000964D8" w:rsidRPr="00262A93" w:rsidRDefault="000964D8" w:rsidP="000964D8">
            <w:pPr>
              <w:rPr>
                <w:rFonts w:ascii="Arial" w:hAnsi="Arial" w:cs="Arial"/>
                <w:b/>
                <w:bCs/>
              </w:rPr>
            </w:pPr>
            <w:r w:rsidRPr="00262A93">
              <w:rPr>
                <w:rFonts w:ascii="Arial" w:hAnsi="Arial" w:cs="Arial"/>
                <w:b/>
                <w:bCs/>
                <w:szCs w:val="24"/>
              </w:rPr>
              <w:t>Percentage</w:t>
            </w:r>
          </w:p>
        </w:tc>
      </w:tr>
      <w:tr w:rsidR="000964D8" w:rsidRPr="00262A93" w14:paraId="3C0A8CF8" w14:textId="15C6371F" w:rsidTr="00D44FE0">
        <w:trPr>
          <w:trHeight w:val="267"/>
          <w:jc w:val="center"/>
        </w:trPr>
        <w:tc>
          <w:tcPr>
            <w:tcW w:w="2114" w:type="dxa"/>
            <w:tcBorders>
              <w:top w:val="single" w:sz="4" w:space="0" w:color="auto"/>
            </w:tcBorders>
          </w:tcPr>
          <w:p w14:paraId="61C67BD8" w14:textId="77777777" w:rsidR="000964D8" w:rsidRPr="00262A93" w:rsidRDefault="000964D8" w:rsidP="000964D8">
            <w:pPr>
              <w:rPr>
                <w:rFonts w:ascii="Arial" w:hAnsi="Arial" w:cs="Arial"/>
                <w:b/>
                <w:bCs/>
                <w:szCs w:val="24"/>
              </w:rPr>
            </w:pPr>
            <w:r w:rsidRPr="00262A93">
              <w:rPr>
                <w:rFonts w:ascii="Arial" w:hAnsi="Arial" w:cs="Arial"/>
                <w:b/>
                <w:bCs/>
                <w:szCs w:val="24"/>
              </w:rPr>
              <w:t>Gender</w:t>
            </w:r>
          </w:p>
          <w:p w14:paraId="1689EBBB" w14:textId="77777777" w:rsidR="000964D8" w:rsidRPr="00262A93" w:rsidRDefault="000964D8" w:rsidP="000964D8">
            <w:pPr>
              <w:rPr>
                <w:rFonts w:ascii="Arial" w:hAnsi="Arial" w:cs="Arial"/>
                <w:szCs w:val="24"/>
              </w:rPr>
            </w:pPr>
            <w:r w:rsidRPr="00262A93">
              <w:rPr>
                <w:rFonts w:ascii="Arial" w:hAnsi="Arial" w:cs="Arial"/>
                <w:szCs w:val="24"/>
              </w:rPr>
              <w:t>Woman</w:t>
            </w:r>
          </w:p>
          <w:p w14:paraId="3036AAAC" w14:textId="44252BBE" w:rsidR="000964D8" w:rsidRPr="00262A93" w:rsidRDefault="000964D8" w:rsidP="000964D8">
            <w:pPr>
              <w:jc w:val="both"/>
              <w:rPr>
                <w:rFonts w:ascii="Arial" w:hAnsi="Arial" w:cs="Arial"/>
                <w:b/>
                <w:bCs/>
              </w:rPr>
            </w:pPr>
            <w:r w:rsidRPr="00262A93">
              <w:rPr>
                <w:rFonts w:ascii="Arial" w:hAnsi="Arial" w:cs="Arial"/>
                <w:szCs w:val="24"/>
              </w:rPr>
              <w:t>Man</w:t>
            </w:r>
          </w:p>
        </w:tc>
        <w:tc>
          <w:tcPr>
            <w:tcW w:w="2103" w:type="dxa"/>
            <w:tcBorders>
              <w:top w:val="single" w:sz="4" w:space="0" w:color="auto"/>
            </w:tcBorders>
          </w:tcPr>
          <w:p w14:paraId="2047F41C" w14:textId="77777777" w:rsidR="000964D8" w:rsidRPr="00262A93" w:rsidRDefault="000964D8" w:rsidP="00D44FE0">
            <w:pPr>
              <w:rPr>
                <w:rFonts w:ascii="Arial" w:hAnsi="Arial" w:cs="Arial"/>
                <w:szCs w:val="24"/>
              </w:rPr>
            </w:pPr>
          </w:p>
          <w:p w14:paraId="036C91F8" w14:textId="77777777" w:rsidR="000964D8" w:rsidRPr="00262A93" w:rsidRDefault="000964D8" w:rsidP="00D44FE0">
            <w:pPr>
              <w:rPr>
                <w:rFonts w:ascii="Arial" w:hAnsi="Arial" w:cs="Arial"/>
                <w:szCs w:val="24"/>
              </w:rPr>
            </w:pPr>
            <w:r w:rsidRPr="00262A93">
              <w:rPr>
                <w:rFonts w:ascii="Arial" w:hAnsi="Arial" w:cs="Arial"/>
                <w:szCs w:val="24"/>
              </w:rPr>
              <w:t>268</w:t>
            </w:r>
          </w:p>
          <w:p w14:paraId="3C3E45DA" w14:textId="7728889E" w:rsidR="000964D8" w:rsidRPr="00262A93" w:rsidRDefault="000964D8" w:rsidP="00D44FE0">
            <w:pPr>
              <w:rPr>
                <w:rFonts w:ascii="Arial" w:hAnsi="Arial" w:cs="Arial"/>
                <w:b/>
                <w:bCs/>
              </w:rPr>
            </w:pPr>
            <w:r w:rsidRPr="00262A93">
              <w:rPr>
                <w:rFonts w:ascii="Arial" w:hAnsi="Arial" w:cs="Arial"/>
                <w:szCs w:val="24"/>
              </w:rPr>
              <w:t>232</w:t>
            </w:r>
          </w:p>
        </w:tc>
        <w:tc>
          <w:tcPr>
            <w:tcW w:w="2103" w:type="dxa"/>
            <w:tcBorders>
              <w:top w:val="single" w:sz="4" w:space="0" w:color="auto"/>
            </w:tcBorders>
          </w:tcPr>
          <w:p w14:paraId="690E1812" w14:textId="77777777" w:rsidR="000964D8" w:rsidRPr="00262A93" w:rsidRDefault="000964D8" w:rsidP="00D44FE0">
            <w:pPr>
              <w:rPr>
                <w:rFonts w:ascii="Arial" w:hAnsi="Arial" w:cs="Arial"/>
                <w:szCs w:val="24"/>
              </w:rPr>
            </w:pPr>
          </w:p>
          <w:p w14:paraId="5CBE6259" w14:textId="77777777" w:rsidR="000964D8" w:rsidRPr="00262A93" w:rsidRDefault="000964D8" w:rsidP="00D44FE0">
            <w:pPr>
              <w:rPr>
                <w:rFonts w:ascii="Arial" w:hAnsi="Arial" w:cs="Arial"/>
                <w:szCs w:val="24"/>
              </w:rPr>
            </w:pPr>
            <w:r w:rsidRPr="00262A93">
              <w:rPr>
                <w:rFonts w:ascii="Arial" w:hAnsi="Arial" w:cs="Arial"/>
                <w:szCs w:val="24"/>
              </w:rPr>
              <w:t>53.6%</w:t>
            </w:r>
          </w:p>
          <w:p w14:paraId="703D5A7A" w14:textId="0ECFDB2F" w:rsidR="000964D8" w:rsidRPr="00262A93" w:rsidRDefault="000964D8" w:rsidP="00D44FE0">
            <w:pPr>
              <w:rPr>
                <w:rFonts w:ascii="Arial" w:hAnsi="Arial" w:cs="Arial"/>
                <w:szCs w:val="24"/>
              </w:rPr>
            </w:pPr>
            <w:r w:rsidRPr="00262A93">
              <w:rPr>
                <w:rFonts w:ascii="Arial" w:hAnsi="Arial" w:cs="Arial"/>
                <w:szCs w:val="24"/>
              </w:rPr>
              <w:t>46.4%</w:t>
            </w:r>
          </w:p>
        </w:tc>
      </w:tr>
      <w:tr w:rsidR="000964D8" w:rsidRPr="00262A93" w14:paraId="4DF2493E" w14:textId="7CC4FFB0" w:rsidTr="000964D8">
        <w:trPr>
          <w:jc w:val="center"/>
        </w:trPr>
        <w:tc>
          <w:tcPr>
            <w:tcW w:w="2114" w:type="dxa"/>
          </w:tcPr>
          <w:p w14:paraId="5A80AA9A" w14:textId="77777777" w:rsidR="000964D8" w:rsidRPr="00262A93" w:rsidRDefault="000964D8" w:rsidP="00D44FE0">
            <w:pPr>
              <w:rPr>
                <w:rFonts w:ascii="Arial" w:hAnsi="Arial" w:cs="Arial"/>
                <w:b/>
                <w:bCs/>
                <w:szCs w:val="24"/>
              </w:rPr>
            </w:pPr>
            <w:r w:rsidRPr="00262A93">
              <w:rPr>
                <w:rFonts w:ascii="Arial" w:hAnsi="Arial" w:cs="Arial"/>
                <w:b/>
                <w:bCs/>
                <w:szCs w:val="24"/>
              </w:rPr>
              <w:t>Marital Status</w:t>
            </w:r>
          </w:p>
          <w:p w14:paraId="151DAC7E" w14:textId="77777777" w:rsidR="000964D8" w:rsidRPr="00262A93" w:rsidRDefault="000964D8" w:rsidP="00D44FE0">
            <w:pPr>
              <w:rPr>
                <w:rFonts w:ascii="Arial" w:hAnsi="Arial" w:cs="Arial"/>
                <w:szCs w:val="24"/>
              </w:rPr>
            </w:pPr>
            <w:r w:rsidRPr="00262A93">
              <w:rPr>
                <w:rFonts w:ascii="Arial" w:hAnsi="Arial" w:cs="Arial"/>
                <w:szCs w:val="24"/>
              </w:rPr>
              <w:t>One</w:t>
            </w:r>
          </w:p>
          <w:p w14:paraId="2E6F0962" w14:textId="77777777" w:rsidR="000964D8" w:rsidRPr="00262A93" w:rsidRDefault="000964D8" w:rsidP="00D44FE0">
            <w:pPr>
              <w:rPr>
                <w:rFonts w:ascii="Arial" w:hAnsi="Arial" w:cs="Arial"/>
                <w:szCs w:val="24"/>
              </w:rPr>
            </w:pPr>
            <w:r w:rsidRPr="00262A93">
              <w:rPr>
                <w:rFonts w:ascii="Arial" w:hAnsi="Arial" w:cs="Arial"/>
                <w:szCs w:val="24"/>
              </w:rPr>
              <w:lastRenderedPageBreak/>
              <w:t>Marry</w:t>
            </w:r>
          </w:p>
          <w:p w14:paraId="7BCED896" w14:textId="74C7C380" w:rsidR="000964D8" w:rsidRPr="00262A93" w:rsidRDefault="000964D8" w:rsidP="00D44FE0">
            <w:pPr>
              <w:rPr>
                <w:rFonts w:ascii="Arial" w:hAnsi="Arial" w:cs="Arial"/>
              </w:rPr>
            </w:pPr>
            <w:r w:rsidRPr="00262A93">
              <w:rPr>
                <w:rFonts w:ascii="Arial" w:hAnsi="Arial" w:cs="Arial"/>
                <w:szCs w:val="24"/>
              </w:rPr>
              <w:t>Divorce</w:t>
            </w:r>
          </w:p>
        </w:tc>
        <w:tc>
          <w:tcPr>
            <w:tcW w:w="2103" w:type="dxa"/>
          </w:tcPr>
          <w:p w14:paraId="6145AC8F" w14:textId="77777777" w:rsidR="000964D8" w:rsidRPr="00262A93" w:rsidRDefault="000964D8" w:rsidP="00D44FE0">
            <w:pPr>
              <w:rPr>
                <w:rFonts w:ascii="Arial" w:hAnsi="Arial" w:cs="Arial"/>
                <w:szCs w:val="24"/>
              </w:rPr>
            </w:pPr>
          </w:p>
          <w:p w14:paraId="48F9CE34" w14:textId="77777777" w:rsidR="000964D8" w:rsidRPr="00262A93" w:rsidRDefault="000964D8" w:rsidP="00D44FE0">
            <w:pPr>
              <w:rPr>
                <w:rFonts w:ascii="Arial" w:hAnsi="Arial" w:cs="Arial"/>
                <w:szCs w:val="24"/>
              </w:rPr>
            </w:pPr>
            <w:r w:rsidRPr="00262A93">
              <w:rPr>
                <w:rFonts w:ascii="Arial" w:hAnsi="Arial" w:cs="Arial"/>
                <w:szCs w:val="24"/>
              </w:rPr>
              <w:t>238</w:t>
            </w:r>
          </w:p>
          <w:p w14:paraId="32687C14" w14:textId="77777777" w:rsidR="000964D8" w:rsidRPr="00262A93" w:rsidRDefault="000964D8" w:rsidP="00D44FE0">
            <w:pPr>
              <w:rPr>
                <w:rFonts w:ascii="Arial" w:hAnsi="Arial" w:cs="Arial"/>
                <w:szCs w:val="24"/>
              </w:rPr>
            </w:pPr>
            <w:r w:rsidRPr="00262A93">
              <w:rPr>
                <w:rFonts w:ascii="Arial" w:hAnsi="Arial" w:cs="Arial"/>
                <w:szCs w:val="24"/>
              </w:rPr>
              <w:lastRenderedPageBreak/>
              <w:t>248</w:t>
            </w:r>
          </w:p>
          <w:p w14:paraId="4957F22B" w14:textId="6D6CE746" w:rsidR="000964D8" w:rsidRPr="00262A93" w:rsidRDefault="000964D8" w:rsidP="00D44FE0">
            <w:pPr>
              <w:rPr>
                <w:rFonts w:ascii="Arial" w:hAnsi="Arial" w:cs="Arial"/>
              </w:rPr>
            </w:pPr>
            <w:r w:rsidRPr="00262A93">
              <w:rPr>
                <w:rFonts w:ascii="Arial" w:hAnsi="Arial" w:cs="Arial"/>
                <w:szCs w:val="24"/>
              </w:rPr>
              <w:t>14</w:t>
            </w:r>
          </w:p>
        </w:tc>
        <w:tc>
          <w:tcPr>
            <w:tcW w:w="2103" w:type="dxa"/>
          </w:tcPr>
          <w:p w14:paraId="05F16ABC" w14:textId="77777777" w:rsidR="000964D8" w:rsidRPr="00262A93" w:rsidRDefault="000964D8" w:rsidP="00D44FE0">
            <w:pPr>
              <w:rPr>
                <w:rFonts w:ascii="Arial" w:hAnsi="Arial" w:cs="Arial"/>
                <w:szCs w:val="24"/>
              </w:rPr>
            </w:pPr>
          </w:p>
          <w:p w14:paraId="19985CFB" w14:textId="77777777" w:rsidR="000964D8" w:rsidRPr="00262A93" w:rsidRDefault="000964D8" w:rsidP="00D44FE0">
            <w:pPr>
              <w:rPr>
                <w:rFonts w:ascii="Arial" w:hAnsi="Arial" w:cs="Arial"/>
                <w:szCs w:val="24"/>
              </w:rPr>
            </w:pPr>
            <w:r w:rsidRPr="00262A93">
              <w:rPr>
                <w:rFonts w:ascii="Arial" w:hAnsi="Arial" w:cs="Arial"/>
                <w:szCs w:val="24"/>
              </w:rPr>
              <w:t>47.6%</w:t>
            </w:r>
          </w:p>
          <w:p w14:paraId="0533C2E2" w14:textId="77777777" w:rsidR="000964D8" w:rsidRPr="00262A93" w:rsidRDefault="000964D8" w:rsidP="00D44FE0">
            <w:pPr>
              <w:rPr>
                <w:rFonts w:ascii="Arial" w:hAnsi="Arial" w:cs="Arial"/>
                <w:szCs w:val="24"/>
              </w:rPr>
            </w:pPr>
            <w:r w:rsidRPr="00262A93">
              <w:rPr>
                <w:rFonts w:ascii="Arial" w:hAnsi="Arial" w:cs="Arial"/>
                <w:szCs w:val="24"/>
              </w:rPr>
              <w:lastRenderedPageBreak/>
              <w:t>49.6%</w:t>
            </w:r>
          </w:p>
          <w:p w14:paraId="2C920F6E" w14:textId="2DC80655" w:rsidR="000964D8" w:rsidRPr="00262A93" w:rsidRDefault="000964D8" w:rsidP="00D44FE0">
            <w:pPr>
              <w:rPr>
                <w:rFonts w:ascii="Arial" w:hAnsi="Arial" w:cs="Arial"/>
                <w:szCs w:val="24"/>
              </w:rPr>
            </w:pPr>
            <w:r w:rsidRPr="00262A93">
              <w:rPr>
                <w:rFonts w:ascii="Arial" w:hAnsi="Arial" w:cs="Arial"/>
                <w:szCs w:val="24"/>
              </w:rPr>
              <w:t>2.8%</w:t>
            </w:r>
          </w:p>
        </w:tc>
      </w:tr>
      <w:tr w:rsidR="000964D8" w:rsidRPr="00262A93" w14:paraId="14A12C70" w14:textId="7A66B89D" w:rsidTr="000964D8">
        <w:trPr>
          <w:jc w:val="center"/>
        </w:trPr>
        <w:tc>
          <w:tcPr>
            <w:tcW w:w="2114" w:type="dxa"/>
          </w:tcPr>
          <w:p w14:paraId="589CF3BB" w14:textId="77777777" w:rsidR="000964D8" w:rsidRPr="00262A93" w:rsidRDefault="000964D8" w:rsidP="00D44FE0">
            <w:pPr>
              <w:rPr>
                <w:rFonts w:ascii="Arial" w:hAnsi="Arial" w:cs="Arial"/>
                <w:b/>
                <w:bCs/>
                <w:szCs w:val="24"/>
              </w:rPr>
            </w:pPr>
            <w:r w:rsidRPr="00262A93">
              <w:rPr>
                <w:rFonts w:ascii="Arial" w:hAnsi="Arial" w:cs="Arial"/>
                <w:b/>
                <w:bCs/>
                <w:szCs w:val="24"/>
              </w:rPr>
              <w:lastRenderedPageBreak/>
              <w:t>Ethnic group</w:t>
            </w:r>
          </w:p>
          <w:p w14:paraId="183F2760" w14:textId="77777777" w:rsidR="000964D8" w:rsidRPr="00262A93" w:rsidRDefault="000964D8" w:rsidP="00D44FE0">
            <w:pPr>
              <w:rPr>
                <w:rFonts w:ascii="Arial" w:hAnsi="Arial" w:cs="Arial"/>
                <w:szCs w:val="24"/>
              </w:rPr>
            </w:pPr>
            <w:r w:rsidRPr="00262A93">
              <w:rPr>
                <w:rFonts w:ascii="Arial" w:hAnsi="Arial" w:cs="Arial"/>
                <w:szCs w:val="24"/>
              </w:rPr>
              <w:t>Malay</w:t>
            </w:r>
          </w:p>
          <w:p w14:paraId="49D64A91" w14:textId="77777777" w:rsidR="000964D8" w:rsidRPr="00262A93" w:rsidRDefault="000964D8" w:rsidP="00D44FE0">
            <w:pPr>
              <w:rPr>
                <w:rFonts w:ascii="Arial" w:hAnsi="Arial" w:cs="Arial"/>
                <w:szCs w:val="24"/>
              </w:rPr>
            </w:pPr>
            <w:r w:rsidRPr="00262A93">
              <w:rPr>
                <w:rFonts w:ascii="Arial" w:hAnsi="Arial" w:cs="Arial"/>
                <w:szCs w:val="24"/>
              </w:rPr>
              <w:t>Chinese</w:t>
            </w:r>
          </w:p>
          <w:p w14:paraId="3CF77B76" w14:textId="77777777" w:rsidR="000964D8" w:rsidRPr="00262A93" w:rsidRDefault="000964D8" w:rsidP="00D44FE0">
            <w:pPr>
              <w:rPr>
                <w:rFonts w:ascii="Arial" w:hAnsi="Arial" w:cs="Arial"/>
                <w:szCs w:val="24"/>
              </w:rPr>
            </w:pPr>
            <w:r w:rsidRPr="00262A93">
              <w:rPr>
                <w:rFonts w:ascii="Arial" w:hAnsi="Arial" w:cs="Arial"/>
                <w:szCs w:val="24"/>
              </w:rPr>
              <w:t>Indian</w:t>
            </w:r>
          </w:p>
          <w:p w14:paraId="62F09F65" w14:textId="7D482F16" w:rsidR="000964D8" w:rsidRPr="00262A93" w:rsidRDefault="000964D8" w:rsidP="00D44FE0">
            <w:pPr>
              <w:rPr>
                <w:rFonts w:ascii="Arial" w:hAnsi="Arial" w:cs="Arial"/>
              </w:rPr>
            </w:pPr>
            <w:r w:rsidRPr="00262A93">
              <w:rPr>
                <w:rFonts w:ascii="Arial" w:hAnsi="Arial" w:cs="Arial"/>
                <w:szCs w:val="24"/>
              </w:rPr>
              <w:t>Bumiputera Sabah and Sarawak</w:t>
            </w:r>
          </w:p>
        </w:tc>
        <w:tc>
          <w:tcPr>
            <w:tcW w:w="2103" w:type="dxa"/>
          </w:tcPr>
          <w:p w14:paraId="141259A4" w14:textId="77777777" w:rsidR="000964D8" w:rsidRPr="00262A93" w:rsidRDefault="000964D8" w:rsidP="00D44FE0">
            <w:pPr>
              <w:rPr>
                <w:rFonts w:ascii="Arial" w:hAnsi="Arial" w:cs="Arial"/>
                <w:szCs w:val="24"/>
              </w:rPr>
            </w:pPr>
          </w:p>
          <w:p w14:paraId="1F0592B1" w14:textId="77777777" w:rsidR="000964D8" w:rsidRPr="00262A93" w:rsidRDefault="000964D8" w:rsidP="00D44FE0">
            <w:pPr>
              <w:rPr>
                <w:rFonts w:ascii="Arial" w:hAnsi="Arial" w:cs="Arial"/>
                <w:szCs w:val="24"/>
              </w:rPr>
            </w:pPr>
            <w:r w:rsidRPr="00262A93">
              <w:rPr>
                <w:rFonts w:ascii="Arial" w:hAnsi="Arial" w:cs="Arial"/>
                <w:szCs w:val="24"/>
              </w:rPr>
              <w:t>384</w:t>
            </w:r>
          </w:p>
          <w:p w14:paraId="33D946ED" w14:textId="77777777" w:rsidR="000964D8" w:rsidRPr="00262A93" w:rsidRDefault="000964D8" w:rsidP="00D44FE0">
            <w:pPr>
              <w:rPr>
                <w:rFonts w:ascii="Arial" w:hAnsi="Arial" w:cs="Arial"/>
                <w:szCs w:val="24"/>
              </w:rPr>
            </w:pPr>
            <w:r w:rsidRPr="00262A93">
              <w:rPr>
                <w:rFonts w:ascii="Arial" w:hAnsi="Arial" w:cs="Arial"/>
                <w:szCs w:val="24"/>
              </w:rPr>
              <w:t>11</w:t>
            </w:r>
          </w:p>
          <w:p w14:paraId="3182B589" w14:textId="77777777" w:rsidR="000964D8" w:rsidRPr="00262A93" w:rsidRDefault="000964D8" w:rsidP="00D44FE0">
            <w:pPr>
              <w:rPr>
                <w:rFonts w:ascii="Arial" w:hAnsi="Arial" w:cs="Arial"/>
                <w:szCs w:val="24"/>
              </w:rPr>
            </w:pPr>
            <w:r w:rsidRPr="00262A93">
              <w:rPr>
                <w:rFonts w:ascii="Arial" w:hAnsi="Arial" w:cs="Arial"/>
                <w:szCs w:val="24"/>
              </w:rPr>
              <w:t>5</w:t>
            </w:r>
          </w:p>
          <w:p w14:paraId="441FD7A8" w14:textId="7E7B0E86" w:rsidR="000964D8" w:rsidRPr="00262A93" w:rsidRDefault="000964D8" w:rsidP="00D44FE0">
            <w:pPr>
              <w:rPr>
                <w:rFonts w:ascii="Arial" w:hAnsi="Arial" w:cs="Arial"/>
              </w:rPr>
            </w:pPr>
            <w:r w:rsidRPr="00262A93">
              <w:rPr>
                <w:rFonts w:ascii="Arial" w:hAnsi="Arial" w:cs="Arial"/>
                <w:szCs w:val="24"/>
              </w:rPr>
              <w:t>100</w:t>
            </w:r>
          </w:p>
        </w:tc>
        <w:tc>
          <w:tcPr>
            <w:tcW w:w="2103" w:type="dxa"/>
          </w:tcPr>
          <w:p w14:paraId="51E92F01" w14:textId="77777777" w:rsidR="000964D8" w:rsidRPr="00262A93" w:rsidRDefault="000964D8" w:rsidP="00D44FE0">
            <w:pPr>
              <w:rPr>
                <w:rFonts w:ascii="Arial" w:hAnsi="Arial" w:cs="Arial"/>
                <w:szCs w:val="24"/>
              </w:rPr>
            </w:pPr>
          </w:p>
          <w:p w14:paraId="79BD0ACF" w14:textId="77777777" w:rsidR="000964D8" w:rsidRPr="00262A93" w:rsidRDefault="000964D8" w:rsidP="00D44FE0">
            <w:pPr>
              <w:rPr>
                <w:rFonts w:ascii="Arial" w:hAnsi="Arial" w:cs="Arial"/>
                <w:szCs w:val="24"/>
              </w:rPr>
            </w:pPr>
            <w:r w:rsidRPr="00262A93">
              <w:rPr>
                <w:rFonts w:ascii="Arial" w:hAnsi="Arial" w:cs="Arial"/>
                <w:szCs w:val="24"/>
              </w:rPr>
              <w:t>76.8%</w:t>
            </w:r>
          </w:p>
          <w:p w14:paraId="6454920C" w14:textId="77777777" w:rsidR="000964D8" w:rsidRPr="00262A93" w:rsidRDefault="000964D8" w:rsidP="00D44FE0">
            <w:pPr>
              <w:rPr>
                <w:rFonts w:ascii="Arial" w:hAnsi="Arial" w:cs="Arial"/>
                <w:szCs w:val="24"/>
              </w:rPr>
            </w:pPr>
            <w:r w:rsidRPr="00262A93">
              <w:rPr>
                <w:rFonts w:ascii="Arial" w:hAnsi="Arial" w:cs="Arial"/>
                <w:szCs w:val="24"/>
              </w:rPr>
              <w:t>2.2%</w:t>
            </w:r>
          </w:p>
          <w:p w14:paraId="1B73B11A" w14:textId="77777777" w:rsidR="000964D8" w:rsidRPr="00262A93" w:rsidRDefault="000964D8" w:rsidP="00D44FE0">
            <w:pPr>
              <w:rPr>
                <w:rFonts w:ascii="Arial" w:hAnsi="Arial" w:cs="Arial"/>
                <w:szCs w:val="24"/>
              </w:rPr>
            </w:pPr>
            <w:r w:rsidRPr="00262A93">
              <w:rPr>
                <w:rFonts w:ascii="Arial" w:hAnsi="Arial" w:cs="Arial"/>
                <w:szCs w:val="24"/>
              </w:rPr>
              <w:t>1.0%</w:t>
            </w:r>
          </w:p>
          <w:p w14:paraId="51C54E14" w14:textId="405DE4A6" w:rsidR="000964D8" w:rsidRPr="00262A93" w:rsidRDefault="000964D8" w:rsidP="00D44FE0">
            <w:pPr>
              <w:rPr>
                <w:rFonts w:ascii="Arial" w:hAnsi="Arial" w:cs="Arial"/>
                <w:szCs w:val="24"/>
              </w:rPr>
            </w:pPr>
            <w:r w:rsidRPr="00262A93">
              <w:rPr>
                <w:rFonts w:ascii="Arial" w:hAnsi="Arial" w:cs="Arial"/>
                <w:szCs w:val="24"/>
              </w:rPr>
              <w:t>20%</w:t>
            </w:r>
          </w:p>
        </w:tc>
      </w:tr>
      <w:tr w:rsidR="000964D8" w:rsidRPr="00262A93" w14:paraId="4F9E498C" w14:textId="1951369A" w:rsidTr="000964D8">
        <w:trPr>
          <w:jc w:val="center"/>
        </w:trPr>
        <w:tc>
          <w:tcPr>
            <w:tcW w:w="2114" w:type="dxa"/>
          </w:tcPr>
          <w:p w14:paraId="06B44709" w14:textId="77777777" w:rsidR="000964D8" w:rsidRPr="00262A93" w:rsidRDefault="000964D8" w:rsidP="00D44FE0">
            <w:pPr>
              <w:rPr>
                <w:rFonts w:ascii="Arial" w:hAnsi="Arial" w:cs="Arial"/>
                <w:b/>
                <w:bCs/>
                <w:szCs w:val="24"/>
              </w:rPr>
            </w:pPr>
            <w:r w:rsidRPr="00262A93">
              <w:rPr>
                <w:rFonts w:ascii="Arial" w:hAnsi="Arial" w:cs="Arial"/>
                <w:b/>
                <w:bCs/>
                <w:szCs w:val="24"/>
              </w:rPr>
              <w:t>Age</w:t>
            </w:r>
          </w:p>
          <w:p w14:paraId="4D15C5C3" w14:textId="77777777" w:rsidR="000964D8" w:rsidRPr="00262A93" w:rsidRDefault="000964D8" w:rsidP="00D44FE0">
            <w:pPr>
              <w:rPr>
                <w:rFonts w:ascii="Arial" w:hAnsi="Arial" w:cs="Arial"/>
                <w:szCs w:val="24"/>
              </w:rPr>
            </w:pPr>
            <w:r w:rsidRPr="00262A93">
              <w:rPr>
                <w:rFonts w:ascii="Arial" w:hAnsi="Arial" w:cs="Arial"/>
                <w:szCs w:val="24"/>
              </w:rPr>
              <w:t>&lt;20 years old</w:t>
            </w:r>
          </w:p>
          <w:p w14:paraId="5750AB18" w14:textId="77777777" w:rsidR="000964D8" w:rsidRPr="00262A93" w:rsidRDefault="000964D8" w:rsidP="00D44FE0">
            <w:pPr>
              <w:rPr>
                <w:rFonts w:ascii="Arial" w:hAnsi="Arial" w:cs="Arial"/>
                <w:szCs w:val="24"/>
              </w:rPr>
            </w:pPr>
            <w:r w:rsidRPr="00262A93">
              <w:rPr>
                <w:rFonts w:ascii="Arial" w:hAnsi="Arial" w:cs="Arial"/>
                <w:szCs w:val="24"/>
              </w:rPr>
              <w:t>20-25 years</w:t>
            </w:r>
          </w:p>
          <w:p w14:paraId="4CC0AF14" w14:textId="77777777" w:rsidR="000964D8" w:rsidRPr="00262A93" w:rsidRDefault="000964D8" w:rsidP="00D44FE0">
            <w:pPr>
              <w:rPr>
                <w:rFonts w:ascii="Arial" w:hAnsi="Arial" w:cs="Arial"/>
                <w:szCs w:val="24"/>
              </w:rPr>
            </w:pPr>
            <w:r w:rsidRPr="00262A93">
              <w:rPr>
                <w:rFonts w:ascii="Arial" w:hAnsi="Arial" w:cs="Arial"/>
                <w:szCs w:val="24"/>
              </w:rPr>
              <w:t>26-30 years</w:t>
            </w:r>
          </w:p>
          <w:p w14:paraId="170979AB" w14:textId="77777777" w:rsidR="000964D8" w:rsidRPr="00262A93" w:rsidRDefault="000964D8" w:rsidP="00D44FE0">
            <w:pPr>
              <w:rPr>
                <w:rFonts w:ascii="Arial" w:hAnsi="Arial" w:cs="Arial"/>
                <w:szCs w:val="24"/>
              </w:rPr>
            </w:pPr>
            <w:r w:rsidRPr="00262A93">
              <w:rPr>
                <w:rFonts w:ascii="Arial" w:hAnsi="Arial" w:cs="Arial"/>
                <w:szCs w:val="24"/>
              </w:rPr>
              <w:t>31-35 years old</w:t>
            </w:r>
          </w:p>
          <w:p w14:paraId="618D6212" w14:textId="77777777" w:rsidR="000964D8" w:rsidRPr="00262A93" w:rsidRDefault="000964D8" w:rsidP="00D44FE0">
            <w:pPr>
              <w:rPr>
                <w:rFonts w:ascii="Arial" w:hAnsi="Arial" w:cs="Arial"/>
                <w:szCs w:val="24"/>
              </w:rPr>
            </w:pPr>
            <w:r w:rsidRPr="00262A93">
              <w:rPr>
                <w:rFonts w:ascii="Arial" w:hAnsi="Arial" w:cs="Arial"/>
                <w:szCs w:val="24"/>
              </w:rPr>
              <w:t>36-40 years old</w:t>
            </w:r>
          </w:p>
          <w:p w14:paraId="06328774" w14:textId="07F83B49" w:rsidR="000964D8" w:rsidRPr="00262A93" w:rsidRDefault="000964D8" w:rsidP="00D44FE0">
            <w:pPr>
              <w:rPr>
                <w:rFonts w:ascii="Arial" w:hAnsi="Arial" w:cs="Arial"/>
              </w:rPr>
            </w:pPr>
            <w:r w:rsidRPr="00262A93">
              <w:rPr>
                <w:rFonts w:ascii="Arial" w:hAnsi="Arial" w:cs="Arial"/>
                <w:szCs w:val="24"/>
              </w:rPr>
              <w:t>41 years and older</w:t>
            </w:r>
          </w:p>
        </w:tc>
        <w:tc>
          <w:tcPr>
            <w:tcW w:w="2103" w:type="dxa"/>
          </w:tcPr>
          <w:p w14:paraId="021CB388" w14:textId="77777777" w:rsidR="000964D8" w:rsidRPr="00262A93" w:rsidRDefault="000964D8" w:rsidP="00D44FE0">
            <w:pPr>
              <w:rPr>
                <w:rFonts w:ascii="Arial" w:hAnsi="Arial" w:cs="Arial"/>
                <w:szCs w:val="24"/>
              </w:rPr>
            </w:pPr>
          </w:p>
          <w:p w14:paraId="22202C12" w14:textId="77777777" w:rsidR="000964D8" w:rsidRPr="00262A93" w:rsidRDefault="000964D8" w:rsidP="00D44FE0">
            <w:pPr>
              <w:rPr>
                <w:rFonts w:ascii="Arial" w:hAnsi="Arial" w:cs="Arial"/>
                <w:szCs w:val="24"/>
              </w:rPr>
            </w:pPr>
            <w:r w:rsidRPr="00262A93">
              <w:rPr>
                <w:rFonts w:ascii="Arial" w:hAnsi="Arial" w:cs="Arial"/>
                <w:szCs w:val="24"/>
              </w:rPr>
              <w:t>30</w:t>
            </w:r>
          </w:p>
          <w:p w14:paraId="474762D7" w14:textId="77777777" w:rsidR="000964D8" w:rsidRPr="00262A93" w:rsidRDefault="000964D8" w:rsidP="00D44FE0">
            <w:pPr>
              <w:rPr>
                <w:rFonts w:ascii="Arial" w:hAnsi="Arial" w:cs="Arial"/>
                <w:szCs w:val="24"/>
              </w:rPr>
            </w:pPr>
            <w:r w:rsidRPr="00262A93">
              <w:rPr>
                <w:rFonts w:ascii="Arial" w:hAnsi="Arial" w:cs="Arial"/>
                <w:szCs w:val="24"/>
              </w:rPr>
              <w:t>140</w:t>
            </w:r>
          </w:p>
          <w:p w14:paraId="18A7BAB5" w14:textId="77777777" w:rsidR="000964D8" w:rsidRPr="00262A93" w:rsidRDefault="000964D8" w:rsidP="00D44FE0">
            <w:pPr>
              <w:rPr>
                <w:rFonts w:ascii="Arial" w:hAnsi="Arial" w:cs="Arial"/>
                <w:szCs w:val="24"/>
              </w:rPr>
            </w:pPr>
            <w:r w:rsidRPr="00262A93">
              <w:rPr>
                <w:rFonts w:ascii="Arial" w:hAnsi="Arial" w:cs="Arial"/>
                <w:szCs w:val="24"/>
              </w:rPr>
              <w:t>92</w:t>
            </w:r>
          </w:p>
          <w:p w14:paraId="75B27B1B" w14:textId="77777777" w:rsidR="000964D8" w:rsidRPr="00262A93" w:rsidRDefault="000964D8" w:rsidP="00D44FE0">
            <w:pPr>
              <w:rPr>
                <w:rFonts w:ascii="Arial" w:hAnsi="Arial" w:cs="Arial"/>
                <w:szCs w:val="24"/>
              </w:rPr>
            </w:pPr>
            <w:r w:rsidRPr="00262A93">
              <w:rPr>
                <w:rFonts w:ascii="Arial" w:hAnsi="Arial" w:cs="Arial"/>
                <w:szCs w:val="24"/>
              </w:rPr>
              <w:t>81</w:t>
            </w:r>
          </w:p>
          <w:p w14:paraId="5B29B457" w14:textId="77777777" w:rsidR="000964D8" w:rsidRPr="00262A93" w:rsidRDefault="000964D8" w:rsidP="00D44FE0">
            <w:pPr>
              <w:rPr>
                <w:rFonts w:ascii="Arial" w:hAnsi="Arial" w:cs="Arial"/>
                <w:szCs w:val="24"/>
              </w:rPr>
            </w:pPr>
            <w:r w:rsidRPr="00262A93">
              <w:rPr>
                <w:rFonts w:ascii="Arial" w:hAnsi="Arial" w:cs="Arial"/>
                <w:szCs w:val="24"/>
              </w:rPr>
              <w:t>117</w:t>
            </w:r>
          </w:p>
          <w:p w14:paraId="5B831A8C" w14:textId="69F85F6B" w:rsidR="000964D8" w:rsidRPr="00262A93" w:rsidRDefault="000964D8" w:rsidP="00D44FE0">
            <w:pPr>
              <w:rPr>
                <w:rFonts w:ascii="Arial" w:hAnsi="Arial" w:cs="Arial"/>
              </w:rPr>
            </w:pPr>
            <w:r w:rsidRPr="00262A93">
              <w:rPr>
                <w:rFonts w:ascii="Arial" w:hAnsi="Arial" w:cs="Arial"/>
                <w:szCs w:val="24"/>
              </w:rPr>
              <w:t>40</w:t>
            </w:r>
          </w:p>
        </w:tc>
        <w:tc>
          <w:tcPr>
            <w:tcW w:w="2103" w:type="dxa"/>
          </w:tcPr>
          <w:p w14:paraId="787188B3" w14:textId="77777777" w:rsidR="000964D8" w:rsidRPr="00262A93" w:rsidRDefault="000964D8" w:rsidP="00D44FE0">
            <w:pPr>
              <w:rPr>
                <w:rFonts w:ascii="Arial" w:hAnsi="Arial" w:cs="Arial"/>
                <w:szCs w:val="24"/>
              </w:rPr>
            </w:pPr>
          </w:p>
          <w:p w14:paraId="36962C65" w14:textId="77777777" w:rsidR="000964D8" w:rsidRPr="00262A93" w:rsidRDefault="000964D8" w:rsidP="00D44FE0">
            <w:pPr>
              <w:rPr>
                <w:rFonts w:ascii="Arial" w:hAnsi="Arial" w:cs="Arial"/>
                <w:szCs w:val="24"/>
              </w:rPr>
            </w:pPr>
            <w:r w:rsidRPr="00262A93">
              <w:rPr>
                <w:rFonts w:ascii="Arial" w:hAnsi="Arial" w:cs="Arial"/>
                <w:szCs w:val="24"/>
              </w:rPr>
              <w:t>6.0%</w:t>
            </w:r>
          </w:p>
          <w:p w14:paraId="3A31F1CA" w14:textId="77777777" w:rsidR="000964D8" w:rsidRPr="00262A93" w:rsidRDefault="000964D8" w:rsidP="00D44FE0">
            <w:pPr>
              <w:rPr>
                <w:rFonts w:ascii="Arial" w:hAnsi="Arial" w:cs="Arial"/>
                <w:szCs w:val="24"/>
              </w:rPr>
            </w:pPr>
            <w:r w:rsidRPr="00262A93">
              <w:rPr>
                <w:rFonts w:ascii="Arial" w:hAnsi="Arial" w:cs="Arial"/>
                <w:szCs w:val="24"/>
              </w:rPr>
              <w:t>28.0%</w:t>
            </w:r>
          </w:p>
          <w:p w14:paraId="291596B8" w14:textId="77777777" w:rsidR="000964D8" w:rsidRPr="00262A93" w:rsidRDefault="000964D8" w:rsidP="00D44FE0">
            <w:pPr>
              <w:rPr>
                <w:rFonts w:ascii="Arial" w:hAnsi="Arial" w:cs="Arial"/>
                <w:szCs w:val="24"/>
              </w:rPr>
            </w:pPr>
            <w:r w:rsidRPr="00262A93">
              <w:rPr>
                <w:rFonts w:ascii="Arial" w:hAnsi="Arial" w:cs="Arial"/>
                <w:szCs w:val="24"/>
              </w:rPr>
              <w:t>18.4%</w:t>
            </w:r>
          </w:p>
          <w:p w14:paraId="3C43DD7F" w14:textId="77777777" w:rsidR="000964D8" w:rsidRPr="00262A93" w:rsidRDefault="000964D8" w:rsidP="00D44FE0">
            <w:pPr>
              <w:rPr>
                <w:rFonts w:ascii="Arial" w:hAnsi="Arial" w:cs="Arial"/>
                <w:szCs w:val="24"/>
              </w:rPr>
            </w:pPr>
            <w:r w:rsidRPr="00262A93">
              <w:rPr>
                <w:rFonts w:ascii="Arial" w:hAnsi="Arial" w:cs="Arial"/>
                <w:szCs w:val="24"/>
              </w:rPr>
              <w:t>16.2%</w:t>
            </w:r>
          </w:p>
          <w:p w14:paraId="12952403" w14:textId="77777777" w:rsidR="000964D8" w:rsidRPr="00262A93" w:rsidRDefault="000964D8" w:rsidP="00D44FE0">
            <w:pPr>
              <w:rPr>
                <w:rFonts w:ascii="Arial" w:hAnsi="Arial" w:cs="Arial"/>
                <w:szCs w:val="24"/>
              </w:rPr>
            </w:pPr>
            <w:r w:rsidRPr="00262A93">
              <w:rPr>
                <w:rFonts w:ascii="Arial" w:hAnsi="Arial" w:cs="Arial"/>
                <w:szCs w:val="24"/>
              </w:rPr>
              <w:t>23.4%</w:t>
            </w:r>
          </w:p>
          <w:p w14:paraId="5BA8638C" w14:textId="7E933684" w:rsidR="000964D8" w:rsidRPr="00262A93" w:rsidRDefault="000964D8" w:rsidP="00D44FE0">
            <w:pPr>
              <w:rPr>
                <w:rFonts w:ascii="Arial" w:hAnsi="Arial" w:cs="Arial"/>
                <w:szCs w:val="24"/>
              </w:rPr>
            </w:pPr>
            <w:r w:rsidRPr="00262A93">
              <w:rPr>
                <w:rFonts w:ascii="Arial" w:hAnsi="Arial" w:cs="Arial"/>
                <w:szCs w:val="24"/>
              </w:rPr>
              <w:t>8.0%</w:t>
            </w:r>
          </w:p>
        </w:tc>
      </w:tr>
      <w:tr w:rsidR="000964D8" w:rsidRPr="00262A93" w14:paraId="325D5CCD" w14:textId="65FFD523" w:rsidTr="00F80B3F">
        <w:trPr>
          <w:jc w:val="center"/>
        </w:trPr>
        <w:tc>
          <w:tcPr>
            <w:tcW w:w="2114" w:type="dxa"/>
            <w:tcBorders>
              <w:bottom w:val="nil"/>
            </w:tcBorders>
          </w:tcPr>
          <w:p w14:paraId="2DFF3FA1" w14:textId="77777777" w:rsidR="000964D8" w:rsidRPr="00262A93" w:rsidRDefault="000964D8" w:rsidP="00D44FE0">
            <w:pPr>
              <w:rPr>
                <w:rFonts w:ascii="Arial" w:hAnsi="Arial" w:cs="Arial"/>
                <w:b/>
                <w:bCs/>
                <w:szCs w:val="24"/>
              </w:rPr>
            </w:pPr>
            <w:r w:rsidRPr="00262A93">
              <w:rPr>
                <w:rFonts w:ascii="Arial" w:hAnsi="Arial" w:cs="Arial"/>
                <w:b/>
                <w:bCs/>
                <w:szCs w:val="24"/>
              </w:rPr>
              <w:t xml:space="preserve">Income </w:t>
            </w:r>
          </w:p>
          <w:p w14:paraId="3438BD8F" w14:textId="77777777" w:rsidR="000964D8" w:rsidRPr="00262A93" w:rsidRDefault="000964D8" w:rsidP="00D44FE0">
            <w:pPr>
              <w:rPr>
                <w:rFonts w:ascii="Arial" w:hAnsi="Arial" w:cs="Arial"/>
                <w:szCs w:val="24"/>
              </w:rPr>
            </w:pPr>
            <w:r w:rsidRPr="00262A93">
              <w:rPr>
                <w:rFonts w:ascii="Arial" w:hAnsi="Arial" w:cs="Arial"/>
                <w:szCs w:val="24"/>
              </w:rPr>
              <w:t>&lt;RM3,000</w:t>
            </w:r>
          </w:p>
          <w:p w14:paraId="7FCCE805" w14:textId="77777777" w:rsidR="000964D8" w:rsidRPr="00262A93" w:rsidRDefault="000964D8" w:rsidP="00D44FE0">
            <w:pPr>
              <w:rPr>
                <w:rFonts w:ascii="Arial" w:hAnsi="Arial" w:cs="Arial"/>
                <w:szCs w:val="24"/>
              </w:rPr>
            </w:pPr>
            <w:r w:rsidRPr="00262A93">
              <w:rPr>
                <w:rFonts w:ascii="Arial" w:hAnsi="Arial" w:cs="Arial"/>
                <w:szCs w:val="24"/>
              </w:rPr>
              <w:t>RM3,000-RM4,999</w:t>
            </w:r>
          </w:p>
          <w:p w14:paraId="72EDF62F" w14:textId="77777777" w:rsidR="000964D8" w:rsidRPr="00262A93" w:rsidRDefault="000964D8" w:rsidP="00D44FE0">
            <w:pPr>
              <w:rPr>
                <w:rFonts w:ascii="Arial" w:hAnsi="Arial" w:cs="Arial"/>
                <w:szCs w:val="24"/>
              </w:rPr>
            </w:pPr>
            <w:r w:rsidRPr="00262A93">
              <w:rPr>
                <w:rFonts w:ascii="Arial" w:hAnsi="Arial" w:cs="Arial"/>
                <w:szCs w:val="24"/>
              </w:rPr>
              <w:t>RM5,000-RM6,999</w:t>
            </w:r>
          </w:p>
          <w:p w14:paraId="2E0A5858" w14:textId="77777777" w:rsidR="000964D8" w:rsidRPr="00262A93" w:rsidRDefault="000964D8" w:rsidP="00D44FE0">
            <w:pPr>
              <w:rPr>
                <w:rFonts w:ascii="Arial" w:hAnsi="Arial" w:cs="Arial"/>
                <w:szCs w:val="24"/>
              </w:rPr>
            </w:pPr>
            <w:r w:rsidRPr="00262A93">
              <w:rPr>
                <w:rFonts w:ascii="Arial" w:hAnsi="Arial" w:cs="Arial"/>
                <w:szCs w:val="24"/>
              </w:rPr>
              <w:t>RM7,000-RM8,999</w:t>
            </w:r>
          </w:p>
          <w:p w14:paraId="06784DCA" w14:textId="5DEBF7C4" w:rsidR="000964D8" w:rsidRPr="00262A93" w:rsidRDefault="000964D8" w:rsidP="00D44FE0">
            <w:pPr>
              <w:rPr>
                <w:rFonts w:ascii="Arial" w:hAnsi="Arial" w:cs="Arial"/>
              </w:rPr>
            </w:pPr>
            <w:r w:rsidRPr="00262A93">
              <w:rPr>
                <w:rFonts w:ascii="Arial" w:hAnsi="Arial" w:cs="Arial"/>
                <w:szCs w:val="24"/>
              </w:rPr>
              <w:t>RM9,000 and above</w:t>
            </w:r>
          </w:p>
        </w:tc>
        <w:tc>
          <w:tcPr>
            <w:tcW w:w="2103" w:type="dxa"/>
            <w:tcBorders>
              <w:bottom w:val="nil"/>
            </w:tcBorders>
          </w:tcPr>
          <w:p w14:paraId="7D0D5E0D" w14:textId="77777777" w:rsidR="000964D8" w:rsidRPr="00262A93" w:rsidRDefault="000964D8" w:rsidP="000964D8">
            <w:pPr>
              <w:jc w:val="center"/>
              <w:rPr>
                <w:rFonts w:ascii="Arial" w:hAnsi="Arial" w:cs="Arial"/>
                <w:szCs w:val="24"/>
              </w:rPr>
            </w:pPr>
          </w:p>
          <w:p w14:paraId="04DE017A" w14:textId="77777777" w:rsidR="000964D8" w:rsidRPr="00262A93" w:rsidRDefault="000964D8" w:rsidP="00D44FE0">
            <w:pPr>
              <w:rPr>
                <w:rFonts w:ascii="Arial" w:hAnsi="Arial" w:cs="Arial"/>
                <w:szCs w:val="24"/>
              </w:rPr>
            </w:pPr>
            <w:r w:rsidRPr="00262A93">
              <w:rPr>
                <w:rFonts w:ascii="Arial" w:hAnsi="Arial" w:cs="Arial"/>
                <w:szCs w:val="24"/>
              </w:rPr>
              <w:t>321</w:t>
            </w:r>
          </w:p>
          <w:p w14:paraId="53EB5666" w14:textId="77777777" w:rsidR="000964D8" w:rsidRPr="00262A93" w:rsidRDefault="000964D8" w:rsidP="00D44FE0">
            <w:pPr>
              <w:rPr>
                <w:rFonts w:ascii="Arial" w:hAnsi="Arial" w:cs="Arial"/>
                <w:szCs w:val="24"/>
              </w:rPr>
            </w:pPr>
            <w:r w:rsidRPr="00262A93">
              <w:rPr>
                <w:rFonts w:ascii="Arial" w:hAnsi="Arial" w:cs="Arial"/>
                <w:szCs w:val="24"/>
              </w:rPr>
              <w:t>91</w:t>
            </w:r>
          </w:p>
          <w:p w14:paraId="065E5FEC" w14:textId="77777777" w:rsidR="000964D8" w:rsidRPr="00262A93" w:rsidRDefault="000964D8" w:rsidP="00D44FE0">
            <w:pPr>
              <w:rPr>
                <w:rFonts w:ascii="Arial" w:hAnsi="Arial" w:cs="Arial"/>
                <w:szCs w:val="24"/>
              </w:rPr>
            </w:pPr>
            <w:r w:rsidRPr="00262A93">
              <w:rPr>
                <w:rFonts w:ascii="Arial" w:hAnsi="Arial" w:cs="Arial"/>
                <w:szCs w:val="24"/>
              </w:rPr>
              <w:t>42</w:t>
            </w:r>
          </w:p>
          <w:p w14:paraId="6D92A48B" w14:textId="77777777" w:rsidR="000964D8" w:rsidRPr="00262A93" w:rsidRDefault="000964D8" w:rsidP="00D44FE0">
            <w:pPr>
              <w:rPr>
                <w:rFonts w:ascii="Arial" w:hAnsi="Arial" w:cs="Arial"/>
                <w:szCs w:val="24"/>
              </w:rPr>
            </w:pPr>
            <w:r w:rsidRPr="00262A93">
              <w:rPr>
                <w:rFonts w:ascii="Arial" w:hAnsi="Arial" w:cs="Arial"/>
                <w:szCs w:val="24"/>
              </w:rPr>
              <w:t>31</w:t>
            </w:r>
          </w:p>
          <w:p w14:paraId="504CEE43" w14:textId="2DBF5119" w:rsidR="000964D8" w:rsidRPr="00262A93" w:rsidRDefault="000964D8" w:rsidP="00D44FE0">
            <w:pPr>
              <w:rPr>
                <w:rFonts w:ascii="Arial" w:hAnsi="Arial" w:cs="Arial"/>
              </w:rPr>
            </w:pPr>
            <w:r w:rsidRPr="00262A93">
              <w:rPr>
                <w:rFonts w:ascii="Arial" w:hAnsi="Arial" w:cs="Arial"/>
                <w:szCs w:val="24"/>
              </w:rPr>
              <w:t>15</w:t>
            </w:r>
          </w:p>
        </w:tc>
        <w:tc>
          <w:tcPr>
            <w:tcW w:w="2103" w:type="dxa"/>
            <w:tcBorders>
              <w:bottom w:val="nil"/>
            </w:tcBorders>
          </w:tcPr>
          <w:p w14:paraId="1F96F570" w14:textId="77777777" w:rsidR="000964D8" w:rsidRPr="00262A93" w:rsidRDefault="000964D8" w:rsidP="00D44FE0">
            <w:pPr>
              <w:rPr>
                <w:rFonts w:ascii="Arial" w:hAnsi="Arial" w:cs="Arial"/>
                <w:szCs w:val="24"/>
              </w:rPr>
            </w:pPr>
          </w:p>
          <w:p w14:paraId="7D529CDB" w14:textId="77777777" w:rsidR="000964D8" w:rsidRPr="00262A93" w:rsidRDefault="000964D8" w:rsidP="00D44FE0">
            <w:pPr>
              <w:rPr>
                <w:rFonts w:ascii="Arial" w:hAnsi="Arial" w:cs="Arial"/>
                <w:szCs w:val="24"/>
              </w:rPr>
            </w:pPr>
            <w:r w:rsidRPr="00262A93">
              <w:rPr>
                <w:rFonts w:ascii="Arial" w:hAnsi="Arial" w:cs="Arial"/>
                <w:szCs w:val="24"/>
              </w:rPr>
              <w:t>64.2%</w:t>
            </w:r>
          </w:p>
          <w:p w14:paraId="65586F39" w14:textId="77777777" w:rsidR="000964D8" w:rsidRPr="00262A93" w:rsidRDefault="000964D8" w:rsidP="00D44FE0">
            <w:pPr>
              <w:rPr>
                <w:rFonts w:ascii="Arial" w:hAnsi="Arial" w:cs="Arial"/>
                <w:szCs w:val="24"/>
              </w:rPr>
            </w:pPr>
            <w:r w:rsidRPr="00262A93">
              <w:rPr>
                <w:rFonts w:ascii="Arial" w:hAnsi="Arial" w:cs="Arial"/>
                <w:szCs w:val="24"/>
              </w:rPr>
              <w:t>18.2%</w:t>
            </w:r>
          </w:p>
          <w:p w14:paraId="0CAFCCAE" w14:textId="77777777" w:rsidR="000964D8" w:rsidRPr="00262A93" w:rsidRDefault="000964D8" w:rsidP="00D44FE0">
            <w:pPr>
              <w:rPr>
                <w:rFonts w:ascii="Arial" w:hAnsi="Arial" w:cs="Arial"/>
                <w:szCs w:val="24"/>
              </w:rPr>
            </w:pPr>
            <w:r w:rsidRPr="00262A93">
              <w:rPr>
                <w:rFonts w:ascii="Arial" w:hAnsi="Arial" w:cs="Arial"/>
                <w:szCs w:val="24"/>
              </w:rPr>
              <w:t>8.4%</w:t>
            </w:r>
          </w:p>
          <w:p w14:paraId="4F4BE310" w14:textId="77777777" w:rsidR="000964D8" w:rsidRPr="00262A93" w:rsidRDefault="000964D8" w:rsidP="00D44FE0">
            <w:pPr>
              <w:rPr>
                <w:rFonts w:ascii="Arial" w:hAnsi="Arial" w:cs="Arial"/>
                <w:szCs w:val="24"/>
              </w:rPr>
            </w:pPr>
            <w:r w:rsidRPr="00262A93">
              <w:rPr>
                <w:rFonts w:ascii="Arial" w:hAnsi="Arial" w:cs="Arial"/>
                <w:szCs w:val="24"/>
              </w:rPr>
              <w:t>6.2%</w:t>
            </w:r>
          </w:p>
          <w:p w14:paraId="22A09368" w14:textId="2D52AAF7" w:rsidR="000964D8" w:rsidRPr="00262A93" w:rsidRDefault="000964D8" w:rsidP="00D44FE0">
            <w:pPr>
              <w:rPr>
                <w:rFonts w:ascii="Arial" w:hAnsi="Arial" w:cs="Arial"/>
                <w:szCs w:val="24"/>
              </w:rPr>
            </w:pPr>
            <w:r w:rsidRPr="00262A93">
              <w:rPr>
                <w:rFonts w:ascii="Arial" w:hAnsi="Arial" w:cs="Arial"/>
                <w:szCs w:val="24"/>
              </w:rPr>
              <w:t>3.0%</w:t>
            </w:r>
          </w:p>
        </w:tc>
      </w:tr>
      <w:tr w:rsidR="00F80B3F" w:rsidRPr="00262A93" w14:paraId="7DAD9D14" w14:textId="77777777" w:rsidTr="00F80B3F">
        <w:trPr>
          <w:jc w:val="center"/>
        </w:trPr>
        <w:tc>
          <w:tcPr>
            <w:tcW w:w="2114" w:type="dxa"/>
            <w:tcBorders>
              <w:top w:val="nil"/>
              <w:bottom w:val="nil"/>
            </w:tcBorders>
          </w:tcPr>
          <w:p w14:paraId="5BDF6AED" w14:textId="06E9C5CF" w:rsidR="00F80B3F" w:rsidRPr="00F80B3F" w:rsidRDefault="00F80B3F" w:rsidP="00F80B3F">
            <w:pPr>
              <w:rPr>
                <w:rFonts w:ascii="Arial" w:hAnsi="Arial" w:cs="Arial"/>
                <w:b/>
                <w:bCs/>
                <w:szCs w:val="24"/>
              </w:rPr>
            </w:pPr>
            <w:r w:rsidRPr="00F80B3F">
              <w:rPr>
                <w:b/>
                <w:bCs/>
              </w:rPr>
              <w:t>Field of Study</w:t>
            </w:r>
          </w:p>
        </w:tc>
        <w:tc>
          <w:tcPr>
            <w:tcW w:w="2103" w:type="dxa"/>
            <w:tcBorders>
              <w:top w:val="nil"/>
              <w:bottom w:val="nil"/>
            </w:tcBorders>
          </w:tcPr>
          <w:p w14:paraId="2515E901" w14:textId="77777777" w:rsidR="00F80B3F" w:rsidRPr="00262A93" w:rsidRDefault="00F80B3F" w:rsidP="00F80B3F">
            <w:pPr>
              <w:jc w:val="center"/>
              <w:rPr>
                <w:rFonts w:ascii="Arial" w:hAnsi="Arial" w:cs="Arial"/>
                <w:szCs w:val="24"/>
              </w:rPr>
            </w:pPr>
          </w:p>
        </w:tc>
        <w:tc>
          <w:tcPr>
            <w:tcW w:w="2103" w:type="dxa"/>
            <w:tcBorders>
              <w:top w:val="nil"/>
              <w:bottom w:val="nil"/>
            </w:tcBorders>
          </w:tcPr>
          <w:p w14:paraId="54989C36" w14:textId="77777777" w:rsidR="00F80B3F" w:rsidRPr="00262A93" w:rsidRDefault="00F80B3F" w:rsidP="00F80B3F">
            <w:pPr>
              <w:rPr>
                <w:rFonts w:ascii="Arial" w:hAnsi="Arial" w:cs="Arial"/>
                <w:szCs w:val="24"/>
              </w:rPr>
            </w:pPr>
          </w:p>
        </w:tc>
      </w:tr>
      <w:tr w:rsidR="00F80B3F" w:rsidRPr="00262A93" w14:paraId="24DC8308" w14:textId="77777777" w:rsidTr="00F80B3F">
        <w:trPr>
          <w:jc w:val="center"/>
        </w:trPr>
        <w:tc>
          <w:tcPr>
            <w:tcW w:w="2114" w:type="dxa"/>
            <w:tcBorders>
              <w:top w:val="nil"/>
              <w:bottom w:val="nil"/>
            </w:tcBorders>
          </w:tcPr>
          <w:p w14:paraId="67F31508" w14:textId="62609426" w:rsidR="00F80B3F" w:rsidRDefault="00F80B3F" w:rsidP="00F80B3F">
            <w:r>
              <w:t>Non-Vocational</w:t>
            </w:r>
          </w:p>
        </w:tc>
        <w:tc>
          <w:tcPr>
            <w:tcW w:w="2103" w:type="dxa"/>
            <w:tcBorders>
              <w:top w:val="nil"/>
              <w:bottom w:val="nil"/>
            </w:tcBorders>
          </w:tcPr>
          <w:p w14:paraId="737AB742" w14:textId="2298A78F" w:rsidR="00F80B3F" w:rsidRPr="00262A93" w:rsidRDefault="00F80B3F" w:rsidP="00F80B3F">
            <w:pPr>
              <w:rPr>
                <w:rFonts w:ascii="Arial" w:hAnsi="Arial" w:cs="Arial"/>
                <w:szCs w:val="24"/>
              </w:rPr>
            </w:pPr>
            <w:r>
              <w:t>273</w:t>
            </w:r>
          </w:p>
        </w:tc>
        <w:tc>
          <w:tcPr>
            <w:tcW w:w="2103" w:type="dxa"/>
            <w:tcBorders>
              <w:top w:val="nil"/>
              <w:bottom w:val="nil"/>
            </w:tcBorders>
          </w:tcPr>
          <w:p w14:paraId="45D559A2" w14:textId="43D1B051" w:rsidR="00F80B3F" w:rsidRPr="00262A93" w:rsidRDefault="00F80B3F" w:rsidP="00F80B3F">
            <w:pPr>
              <w:rPr>
                <w:rFonts w:ascii="Arial" w:hAnsi="Arial" w:cs="Arial"/>
                <w:szCs w:val="24"/>
              </w:rPr>
            </w:pPr>
            <w:r>
              <w:t>54.6%</w:t>
            </w:r>
          </w:p>
        </w:tc>
      </w:tr>
      <w:tr w:rsidR="00F80B3F" w:rsidRPr="00262A93" w14:paraId="55E427DC" w14:textId="77777777" w:rsidTr="00F80B3F">
        <w:trPr>
          <w:jc w:val="center"/>
        </w:trPr>
        <w:tc>
          <w:tcPr>
            <w:tcW w:w="2114" w:type="dxa"/>
            <w:tcBorders>
              <w:top w:val="nil"/>
              <w:bottom w:val="nil"/>
            </w:tcBorders>
          </w:tcPr>
          <w:p w14:paraId="67D9450D" w14:textId="2CDA103E" w:rsidR="00F80B3F" w:rsidRDefault="00F80B3F" w:rsidP="00F80B3F">
            <w:r>
              <w:t>Technology and Engineering</w:t>
            </w:r>
          </w:p>
        </w:tc>
        <w:tc>
          <w:tcPr>
            <w:tcW w:w="2103" w:type="dxa"/>
            <w:tcBorders>
              <w:top w:val="nil"/>
              <w:bottom w:val="nil"/>
            </w:tcBorders>
          </w:tcPr>
          <w:p w14:paraId="153AE3C9" w14:textId="5560CCE0" w:rsidR="00F80B3F" w:rsidRPr="00262A93" w:rsidRDefault="00F80B3F" w:rsidP="00F80B3F">
            <w:pPr>
              <w:rPr>
                <w:rFonts w:ascii="Arial" w:hAnsi="Arial" w:cs="Arial"/>
                <w:szCs w:val="24"/>
              </w:rPr>
            </w:pPr>
            <w:r>
              <w:t>37</w:t>
            </w:r>
          </w:p>
        </w:tc>
        <w:tc>
          <w:tcPr>
            <w:tcW w:w="2103" w:type="dxa"/>
            <w:tcBorders>
              <w:top w:val="nil"/>
              <w:bottom w:val="nil"/>
            </w:tcBorders>
          </w:tcPr>
          <w:p w14:paraId="0F414441" w14:textId="5E65DA88" w:rsidR="00F80B3F" w:rsidRPr="00262A93" w:rsidRDefault="00F80B3F" w:rsidP="00F80B3F">
            <w:pPr>
              <w:rPr>
                <w:rFonts w:ascii="Arial" w:hAnsi="Arial" w:cs="Arial"/>
                <w:szCs w:val="24"/>
              </w:rPr>
            </w:pPr>
            <w:r>
              <w:t>7.4%</w:t>
            </w:r>
          </w:p>
        </w:tc>
      </w:tr>
      <w:tr w:rsidR="00F80B3F" w:rsidRPr="00262A93" w14:paraId="25437627" w14:textId="77777777" w:rsidTr="00F80B3F">
        <w:trPr>
          <w:jc w:val="center"/>
        </w:trPr>
        <w:tc>
          <w:tcPr>
            <w:tcW w:w="2114" w:type="dxa"/>
            <w:tcBorders>
              <w:top w:val="nil"/>
              <w:bottom w:val="nil"/>
            </w:tcBorders>
          </w:tcPr>
          <w:p w14:paraId="7038DAD5" w14:textId="28187A48" w:rsidR="00F80B3F" w:rsidRDefault="00F80B3F" w:rsidP="00F80B3F">
            <w:r>
              <w:t>Business Management</w:t>
            </w:r>
          </w:p>
        </w:tc>
        <w:tc>
          <w:tcPr>
            <w:tcW w:w="2103" w:type="dxa"/>
            <w:tcBorders>
              <w:top w:val="nil"/>
              <w:bottom w:val="nil"/>
            </w:tcBorders>
          </w:tcPr>
          <w:p w14:paraId="50301D35" w14:textId="7DA0827D" w:rsidR="00F80B3F" w:rsidRPr="00262A93" w:rsidRDefault="00F80B3F" w:rsidP="00F80B3F">
            <w:pPr>
              <w:rPr>
                <w:rFonts w:ascii="Arial" w:hAnsi="Arial" w:cs="Arial"/>
                <w:szCs w:val="24"/>
              </w:rPr>
            </w:pPr>
            <w:r>
              <w:t>34</w:t>
            </w:r>
          </w:p>
        </w:tc>
        <w:tc>
          <w:tcPr>
            <w:tcW w:w="2103" w:type="dxa"/>
            <w:tcBorders>
              <w:top w:val="nil"/>
              <w:bottom w:val="nil"/>
            </w:tcBorders>
          </w:tcPr>
          <w:p w14:paraId="60DD4F98" w14:textId="047D7BB6" w:rsidR="00F80B3F" w:rsidRPr="00262A93" w:rsidRDefault="00F80B3F" w:rsidP="00F80B3F">
            <w:pPr>
              <w:rPr>
                <w:rFonts w:ascii="Arial" w:hAnsi="Arial" w:cs="Arial"/>
                <w:szCs w:val="24"/>
              </w:rPr>
            </w:pPr>
            <w:r>
              <w:t>6.8%</w:t>
            </w:r>
          </w:p>
        </w:tc>
      </w:tr>
      <w:tr w:rsidR="00F80B3F" w:rsidRPr="00262A93" w14:paraId="4216942D" w14:textId="77777777" w:rsidTr="00F80B3F">
        <w:trPr>
          <w:jc w:val="center"/>
        </w:trPr>
        <w:tc>
          <w:tcPr>
            <w:tcW w:w="2114" w:type="dxa"/>
            <w:tcBorders>
              <w:top w:val="nil"/>
              <w:bottom w:val="nil"/>
            </w:tcBorders>
          </w:tcPr>
          <w:p w14:paraId="6D5EB552" w14:textId="773F4C73" w:rsidR="00F80B3F" w:rsidRDefault="00F80B3F" w:rsidP="00F80B3F">
            <w:r>
              <w:t>Communication and Information Technology</w:t>
            </w:r>
          </w:p>
        </w:tc>
        <w:tc>
          <w:tcPr>
            <w:tcW w:w="2103" w:type="dxa"/>
            <w:tcBorders>
              <w:top w:val="nil"/>
              <w:bottom w:val="nil"/>
            </w:tcBorders>
          </w:tcPr>
          <w:p w14:paraId="655F0AFD" w14:textId="11BB02CE" w:rsidR="00F80B3F" w:rsidRPr="00262A93" w:rsidRDefault="00F80B3F" w:rsidP="00F80B3F">
            <w:pPr>
              <w:rPr>
                <w:rFonts w:ascii="Arial" w:hAnsi="Arial" w:cs="Arial"/>
                <w:szCs w:val="24"/>
              </w:rPr>
            </w:pPr>
            <w:r>
              <w:t>27</w:t>
            </w:r>
          </w:p>
        </w:tc>
        <w:tc>
          <w:tcPr>
            <w:tcW w:w="2103" w:type="dxa"/>
            <w:tcBorders>
              <w:top w:val="nil"/>
              <w:bottom w:val="nil"/>
            </w:tcBorders>
          </w:tcPr>
          <w:p w14:paraId="0A358406" w14:textId="5CFFA299" w:rsidR="00F80B3F" w:rsidRPr="00262A93" w:rsidRDefault="00F80B3F" w:rsidP="00F80B3F">
            <w:pPr>
              <w:rPr>
                <w:rFonts w:ascii="Arial" w:hAnsi="Arial" w:cs="Arial"/>
                <w:szCs w:val="24"/>
              </w:rPr>
            </w:pPr>
            <w:r>
              <w:t>5.4%</w:t>
            </w:r>
          </w:p>
        </w:tc>
      </w:tr>
      <w:tr w:rsidR="00F80B3F" w:rsidRPr="00262A93" w14:paraId="6B5253E5" w14:textId="77777777" w:rsidTr="00F80B3F">
        <w:trPr>
          <w:jc w:val="center"/>
        </w:trPr>
        <w:tc>
          <w:tcPr>
            <w:tcW w:w="2114" w:type="dxa"/>
            <w:tcBorders>
              <w:top w:val="nil"/>
              <w:bottom w:val="nil"/>
            </w:tcBorders>
          </w:tcPr>
          <w:p w14:paraId="2735368C" w14:textId="50696BCE" w:rsidR="00F80B3F" w:rsidRDefault="00F80B3F" w:rsidP="00F80B3F">
            <w:r>
              <w:t>Tourism</w:t>
            </w:r>
          </w:p>
        </w:tc>
        <w:tc>
          <w:tcPr>
            <w:tcW w:w="2103" w:type="dxa"/>
            <w:tcBorders>
              <w:top w:val="nil"/>
              <w:bottom w:val="nil"/>
            </w:tcBorders>
          </w:tcPr>
          <w:p w14:paraId="3F7A6AD5" w14:textId="4E674305" w:rsidR="00F80B3F" w:rsidRPr="00262A93" w:rsidRDefault="00F80B3F" w:rsidP="00F80B3F">
            <w:pPr>
              <w:rPr>
                <w:rFonts w:ascii="Arial" w:hAnsi="Arial" w:cs="Arial"/>
                <w:szCs w:val="24"/>
              </w:rPr>
            </w:pPr>
            <w:r>
              <w:t>17</w:t>
            </w:r>
          </w:p>
        </w:tc>
        <w:tc>
          <w:tcPr>
            <w:tcW w:w="2103" w:type="dxa"/>
            <w:tcBorders>
              <w:top w:val="nil"/>
              <w:bottom w:val="nil"/>
            </w:tcBorders>
          </w:tcPr>
          <w:p w14:paraId="56613C47" w14:textId="560DAB3C" w:rsidR="00F80B3F" w:rsidRPr="00262A93" w:rsidRDefault="00F80B3F" w:rsidP="00F80B3F">
            <w:pPr>
              <w:rPr>
                <w:rFonts w:ascii="Arial" w:hAnsi="Arial" w:cs="Arial"/>
                <w:szCs w:val="24"/>
              </w:rPr>
            </w:pPr>
            <w:r>
              <w:t>3.4%</w:t>
            </w:r>
          </w:p>
        </w:tc>
      </w:tr>
      <w:tr w:rsidR="00F80B3F" w:rsidRPr="00262A93" w14:paraId="244B2C81" w14:textId="77777777" w:rsidTr="00F80B3F">
        <w:trPr>
          <w:jc w:val="center"/>
        </w:trPr>
        <w:tc>
          <w:tcPr>
            <w:tcW w:w="2114" w:type="dxa"/>
            <w:tcBorders>
              <w:top w:val="nil"/>
              <w:bottom w:val="nil"/>
            </w:tcBorders>
          </w:tcPr>
          <w:p w14:paraId="16C4F61C" w14:textId="72F718A4" w:rsidR="00F80B3F" w:rsidRDefault="00F80B3F" w:rsidP="00F80B3F">
            <w:r>
              <w:t>Health and Social Work</w:t>
            </w:r>
          </w:p>
        </w:tc>
        <w:tc>
          <w:tcPr>
            <w:tcW w:w="2103" w:type="dxa"/>
            <w:tcBorders>
              <w:top w:val="nil"/>
              <w:bottom w:val="nil"/>
            </w:tcBorders>
          </w:tcPr>
          <w:p w14:paraId="1D225961" w14:textId="6A82FAC5" w:rsidR="00F80B3F" w:rsidRPr="00262A93" w:rsidRDefault="00F80B3F" w:rsidP="00F80B3F">
            <w:pPr>
              <w:rPr>
                <w:rFonts w:ascii="Arial" w:hAnsi="Arial" w:cs="Arial"/>
                <w:szCs w:val="24"/>
              </w:rPr>
            </w:pPr>
            <w:r>
              <w:t>13</w:t>
            </w:r>
          </w:p>
        </w:tc>
        <w:tc>
          <w:tcPr>
            <w:tcW w:w="2103" w:type="dxa"/>
            <w:tcBorders>
              <w:top w:val="nil"/>
              <w:bottom w:val="nil"/>
            </w:tcBorders>
          </w:tcPr>
          <w:p w14:paraId="49CBA379" w14:textId="656F0CF6" w:rsidR="00F80B3F" w:rsidRPr="00262A93" w:rsidRDefault="00F80B3F" w:rsidP="00F80B3F">
            <w:pPr>
              <w:rPr>
                <w:rFonts w:ascii="Arial" w:hAnsi="Arial" w:cs="Arial"/>
                <w:szCs w:val="24"/>
              </w:rPr>
            </w:pPr>
            <w:r>
              <w:t>2.6%</w:t>
            </w:r>
          </w:p>
        </w:tc>
      </w:tr>
      <w:tr w:rsidR="00F80B3F" w:rsidRPr="00262A93" w14:paraId="5B08B29C" w14:textId="77777777" w:rsidTr="00F80B3F">
        <w:trPr>
          <w:jc w:val="center"/>
        </w:trPr>
        <w:tc>
          <w:tcPr>
            <w:tcW w:w="2114" w:type="dxa"/>
            <w:tcBorders>
              <w:top w:val="nil"/>
              <w:bottom w:val="nil"/>
            </w:tcBorders>
          </w:tcPr>
          <w:p w14:paraId="2FA8419D" w14:textId="77B8EA81" w:rsidR="00F80B3F" w:rsidRDefault="00F80B3F" w:rsidP="00F80B3F">
            <w:r>
              <w:t>Agribusiness and Agrotechnology</w:t>
            </w:r>
          </w:p>
        </w:tc>
        <w:tc>
          <w:tcPr>
            <w:tcW w:w="2103" w:type="dxa"/>
            <w:tcBorders>
              <w:top w:val="nil"/>
              <w:bottom w:val="nil"/>
            </w:tcBorders>
          </w:tcPr>
          <w:p w14:paraId="64EA0165" w14:textId="3DDB3D3F" w:rsidR="00F80B3F" w:rsidRPr="00262A93" w:rsidRDefault="00F80B3F" w:rsidP="00F80B3F">
            <w:pPr>
              <w:rPr>
                <w:rFonts w:ascii="Arial" w:hAnsi="Arial" w:cs="Arial"/>
                <w:szCs w:val="24"/>
              </w:rPr>
            </w:pPr>
            <w:r>
              <w:t>1</w:t>
            </w:r>
          </w:p>
        </w:tc>
        <w:tc>
          <w:tcPr>
            <w:tcW w:w="2103" w:type="dxa"/>
            <w:tcBorders>
              <w:top w:val="nil"/>
              <w:bottom w:val="nil"/>
            </w:tcBorders>
          </w:tcPr>
          <w:p w14:paraId="004465F9" w14:textId="70513658" w:rsidR="00F80B3F" w:rsidRPr="00262A93" w:rsidRDefault="00F80B3F" w:rsidP="00F80B3F">
            <w:pPr>
              <w:rPr>
                <w:rFonts w:ascii="Arial" w:hAnsi="Arial" w:cs="Arial"/>
                <w:szCs w:val="24"/>
              </w:rPr>
            </w:pPr>
            <w:r>
              <w:t>0.2%</w:t>
            </w:r>
          </w:p>
        </w:tc>
      </w:tr>
      <w:tr w:rsidR="00F80B3F" w:rsidRPr="00262A93" w14:paraId="4C620678" w14:textId="77777777" w:rsidTr="00F80B3F">
        <w:trPr>
          <w:jc w:val="center"/>
        </w:trPr>
        <w:tc>
          <w:tcPr>
            <w:tcW w:w="2114" w:type="dxa"/>
            <w:tcBorders>
              <w:top w:val="nil"/>
              <w:bottom w:val="nil"/>
            </w:tcBorders>
          </w:tcPr>
          <w:p w14:paraId="4423DAE1" w14:textId="679F042F" w:rsidR="00F80B3F" w:rsidRDefault="00F80B3F" w:rsidP="00F80B3F">
            <w:r>
              <w:t>Maritime</w:t>
            </w:r>
          </w:p>
        </w:tc>
        <w:tc>
          <w:tcPr>
            <w:tcW w:w="2103" w:type="dxa"/>
            <w:tcBorders>
              <w:top w:val="nil"/>
              <w:bottom w:val="nil"/>
            </w:tcBorders>
          </w:tcPr>
          <w:p w14:paraId="2E90C60D" w14:textId="1EC96006" w:rsidR="00F80B3F" w:rsidRPr="00262A93" w:rsidRDefault="00F80B3F" w:rsidP="00F80B3F">
            <w:pPr>
              <w:rPr>
                <w:rFonts w:ascii="Arial" w:hAnsi="Arial" w:cs="Arial"/>
                <w:szCs w:val="24"/>
              </w:rPr>
            </w:pPr>
            <w:r>
              <w:t>2</w:t>
            </w:r>
          </w:p>
        </w:tc>
        <w:tc>
          <w:tcPr>
            <w:tcW w:w="2103" w:type="dxa"/>
            <w:tcBorders>
              <w:top w:val="nil"/>
              <w:bottom w:val="nil"/>
            </w:tcBorders>
          </w:tcPr>
          <w:p w14:paraId="030AB22C" w14:textId="769ECD45" w:rsidR="00F80B3F" w:rsidRPr="00262A93" w:rsidRDefault="00F80B3F" w:rsidP="00F80B3F">
            <w:pPr>
              <w:rPr>
                <w:rFonts w:ascii="Arial" w:hAnsi="Arial" w:cs="Arial"/>
                <w:szCs w:val="24"/>
              </w:rPr>
            </w:pPr>
            <w:r>
              <w:t>0.4%</w:t>
            </w:r>
          </w:p>
        </w:tc>
      </w:tr>
      <w:tr w:rsidR="00F80B3F" w:rsidRPr="00262A93" w14:paraId="730CC707" w14:textId="77777777" w:rsidTr="00F80B3F">
        <w:trPr>
          <w:jc w:val="center"/>
        </w:trPr>
        <w:tc>
          <w:tcPr>
            <w:tcW w:w="2114" w:type="dxa"/>
            <w:tcBorders>
              <w:top w:val="nil"/>
              <w:bottom w:val="nil"/>
            </w:tcBorders>
          </w:tcPr>
          <w:p w14:paraId="77B45D41" w14:textId="4C3C587F" w:rsidR="00F80B3F" w:rsidRDefault="00F80B3F" w:rsidP="00F80B3F">
            <w:r>
              <w:t>Creative Arts and Industries</w:t>
            </w:r>
          </w:p>
        </w:tc>
        <w:tc>
          <w:tcPr>
            <w:tcW w:w="2103" w:type="dxa"/>
            <w:tcBorders>
              <w:top w:val="nil"/>
              <w:bottom w:val="nil"/>
            </w:tcBorders>
          </w:tcPr>
          <w:p w14:paraId="5D6A8A1C" w14:textId="2E757A42" w:rsidR="00F80B3F" w:rsidRPr="00262A93" w:rsidRDefault="00F80B3F" w:rsidP="00F80B3F">
            <w:pPr>
              <w:rPr>
                <w:rFonts w:ascii="Arial" w:hAnsi="Arial" w:cs="Arial"/>
                <w:szCs w:val="24"/>
              </w:rPr>
            </w:pPr>
            <w:r>
              <w:t>24</w:t>
            </w:r>
          </w:p>
        </w:tc>
        <w:tc>
          <w:tcPr>
            <w:tcW w:w="2103" w:type="dxa"/>
            <w:tcBorders>
              <w:top w:val="nil"/>
              <w:bottom w:val="nil"/>
            </w:tcBorders>
          </w:tcPr>
          <w:p w14:paraId="5B414BFB" w14:textId="4535C148" w:rsidR="00F80B3F" w:rsidRPr="00262A93" w:rsidRDefault="00F80B3F" w:rsidP="00F80B3F">
            <w:pPr>
              <w:rPr>
                <w:rFonts w:ascii="Arial" w:hAnsi="Arial" w:cs="Arial"/>
                <w:szCs w:val="24"/>
              </w:rPr>
            </w:pPr>
            <w:r>
              <w:t>4.8%</w:t>
            </w:r>
          </w:p>
        </w:tc>
      </w:tr>
      <w:tr w:rsidR="00F80B3F" w:rsidRPr="00262A93" w14:paraId="1A28D276" w14:textId="77777777" w:rsidTr="00F80B3F">
        <w:trPr>
          <w:jc w:val="center"/>
        </w:trPr>
        <w:tc>
          <w:tcPr>
            <w:tcW w:w="2114" w:type="dxa"/>
            <w:tcBorders>
              <w:top w:val="nil"/>
              <w:bottom w:val="nil"/>
            </w:tcBorders>
          </w:tcPr>
          <w:p w14:paraId="29DA8487" w14:textId="2B1EC273" w:rsidR="00F80B3F" w:rsidRDefault="00F80B3F" w:rsidP="00F80B3F">
            <w:r>
              <w:t>Commerce</w:t>
            </w:r>
          </w:p>
        </w:tc>
        <w:tc>
          <w:tcPr>
            <w:tcW w:w="2103" w:type="dxa"/>
            <w:tcBorders>
              <w:top w:val="nil"/>
              <w:bottom w:val="nil"/>
            </w:tcBorders>
          </w:tcPr>
          <w:p w14:paraId="3F1AE943" w14:textId="6BDFF2AB" w:rsidR="00F80B3F" w:rsidRPr="00262A93" w:rsidRDefault="00F80B3F" w:rsidP="00F80B3F">
            <w:pPr>
              <w:rPr>
                <w:rFonts w:ascii="Arial" w:hAnsi="Arial" w:cs="Arial"/>
                <w:szCs w:val="24"/>
              </w:rPr>
            </w:pPr>
            <w:r>
              <w:t>6</w:t>
            </w:r>
          </w:p>
        </w:tc>
        <w:tc>
          <w:tcPr>
            <w:tcW w:w="2103" w:type="dxa"/>
            <w:tcBorders>
              <w:top w:val="nil"/>
              <w:bottom w:val="nil"/>
            </w:tcBorders>
          </w:tcPr>
          <w:p w14:paraId="06738E5A" w14:textId="3A44D2AE" w:rsidR="00F80B3F" w:rsidRPr="00262A93" w:rsidRDefault="00F80B3F" w:rsidP="00F80B3F">
            <w:pPr>
              <w:rPr>
                <w:rFonts w:ascii="Arial" w:hAnsi="Arial" w:cs="Arial"/>
                <w:szCs w:val="24"/>
              </w:rPr>
            </w:pPr>
            <w:r>
              <w:t>1.2%</w:t>
            </w:r>
          </w:p>
        </w:tc>
      </w:tr>
      <w:tr w:rsidR="00F80B3F" w:rsidRPr="00262A93" w14:paraId="1DB3BCF1" w14:textId="77777777" w:rsidTr="00F80B3F">
        <w:trPr>
          <w:jc w:val="center"/>
        </w:trPr>
        <w:tc>
          <w:tcPr>
            <w:tcW w:w="2114" w:type="dxa"/>
            <w:tcBorders>
              <w:top w:val="nil"/>
              <w:bottom w:val="nil"/>
            </w:tcBorders>
          </w:tcPr>
          <w:p w14:paraId="460E9865" w14:textId="13643621" w:rsidR="00F80B3F" w:rsidRDefault="00F80B3F" w:rsidP="00F80B3F">
            <w:r>
              <w:t>Fisheries</w:t>
            </w:r>
          </w:p>
        </w:tc>
        <w:tc>
          <w:tcPr>
            <w:tcW w:w="2103" w:type="dxa"/>
            <w:tcBorders>
              <w:top w:val="nil"/>
              <w:bottom w:val="nil"/>
            </w:tcBorders>
          </w:tcPr>
          <w:p w14:paraId="38F93BE0" w14:textId="096D68E9" w:rsidR="00F80B3F" w:rsidRPr="00262A93" w:rsidRDefault="00F80B3F" w:rsidP="00F80B3F">
            <w:pPr>
              <w:rPr>
                <w:rFonts w:ascii="Arial" w:hAnsi="Arial" w:cs="Arial"/>
                <w:szCs w:val="24"/>
              </w:rPr>
            </w:pPr>
            <w:r>
              <w:t>17</w:t>
            </w:r>
          </w:p>
        </w:tc>
        <w:tc>
          <w:tcPr>
            <w:tcW w:w="2103" w:type="dxa"/>
            <w:tcBorders>
              <w:top w:val="nil"/>
              <w:bottom w:val="nil"/>
            </w:tcBorders>
          </w:tcPr>
          <w:p w14:paraId="4C7ACA67" w14:textId="7D5329C9" w:rsidR="00F80B3F" w:rsidRPr="00262A93" w:rsidRDefault="00F80B3F" w:rsidP="00F80B3F">
            <w:pPr>
              <w:rPr>
                <w:rFonts w:ascii="Arial" w:hAnsi="Arial" w:cs="Arial"/>
                <w:szCs w:val="24"/>
              </w:rPr>
            </w:pPr>
            <w:r>
              <w:t>3.4%</w:t>
            </w:r>
          </w:p>
        </w:tc>
      </w:tr>
      <w:tr w:rsidR="00F80B3F" w:rsidRPr="00262A93" w14:paraId="0EABD501" w14:textId="77777777" w:rsidTr="00F80B3F">
        <w:trPr>
          <w:jc w:val="center"/>
        </w:trPr>
        <w:tc>
          <w:tcPr>
            <w:tcW w:w="2114" w:type="dxa"/>
            <w:tcBorders>
              <w:top w:val="nil"/>
              <w:bottom w:val="nil"/>
            </w:tcBorders>
          </w:tcPr>
          <w:p w14:paraId="3597A707" w14:textId="71174481" w:rsidR="00F80B3F" w:rsidRDefault="00F80B3F" w:rsidP="00F80B3F">
            <w:r>
              <w:t>Construction</w:t>
            </w:r>
          </w:p>
        </w:tc>
        <w:tc>
          <w:tcPr>
            <w:tcW w:w="2103" w:type="dxa"/>
            <w:tcBorders>
              <w:top w:val="nil"/>
              <w:bottom w:val="nil"/>
            </w:tcBorders>
          </w:tcPr>
          <w:p w14:paraId="15EF864C" w14:textId="455E5D94" w:rsidR="00F80B3F" w:rsidRPr="00262A93" w:rsidRDefault="00F80B3F" w:rsidP="00F80B3F">
            <w:pPr>
              <w:rPr>
                <w:rFonts w:ascii="Arial" w:hAnsi="Arial" w:cs="Arial"/>
                <w:szCs w:val="24"/>
              </w:rPr>
            </w:pPr>
            <w:r>
              <w:t>7</w:t>
            </w:r>
          </w:p>
        </w:tc>
        <w:tc>
          <w:tcPr>
            <w:tcW w:w="2103" w:type="dxa"/>
            <w:tcBorders>
              <w:top w:val="nil"/>
              <w:bottom w:val="nil"/>
            </w:tcBorders>
          </w:tcPr>
          <w:p w14:paraId="20FFC16A" w14:textId="7A76F648" w:rsidR="00F80B3F" w:rsidRPr="00262A93" w:rsidRDefault="00F80B3F" w:rsidP="00F80B3F">
            <w:pPr>
              <w:rPr>
                <w:rFonts w:ascii="Arial" w:hAnsi="Arial" w:cs="Arial"/>
                <w:szCs w:val="24"/>
              </w:rPr>
            </w:pPr>
            <w:r>
              <w:t>1.4%</w:t>
            </w:r>
          </w:p>
        </w:tc>
      </w:tr>
      <w:tr w:rsidR="00F80B3F" w:rsidRPr="00262A93" w14:paraId="36ABD5D4" w14:textId="77777777" w:rsidTr="00F80B3F">
        <w:trPr>
          <w:jc w:val="center"/>
        </w:trPr>
        <w:tc>
          <w:tcPr>
            <w:tcW w:w="2114" w:type="dxa"/>
            <w:tcBorders>
              <w:top w:val="nil"/>
              <w:bottom w:val="nil"/>
            </w:tcBorders>
          </w:tcPr>
          <w:p w14:paraId="00AAC9DF" w14:textId="7936F4D6" w:rsidR="00F80B3F" w:rsidRDefault="00F80B3F" w:rsidP="00F80B3F">
            <w:r>
              <w:t>Electronics</w:t>
            </w:r>
          </w:p>
        </w:tc>
        <w:tc>
          <w:tcPr>
            <w:tcW w:w="2103" w:type="dxa"/>
            <w:tcBorders>
              <w:top w:val="nil"/>
              <w:bottom w:val="nil"/>
            </w:tcBorders>
          </w:tcPr>
          <w:p w14:paraId="330F1900" w14:textId="5038D3AD" w:rsidR="00F80B3F" w:rsidRPr="00262A93" w:rsidRDefault="00F80B3F" w:rsidP="00F80B3F">
            <w:pPr>
              <w:rPr>
                <w:rFonts w:ascii="Arial" w:hAnsi="Arial" w:cs="Arial"/>
                <w:szCs w:val="24"/>
              </w:rPr>
            </w:pPr>
            <w:r>
              <w:t>12</w:t>
            </w:r>
          </w:p>
        </w:tc>
        <w:tc>
          <w:tcPr>
            <w:tcW w:w="2103" w:type="dxa"/>
            <w:tcBorders>
              <w:top w:val="nil"/>
              <w:bottom w:val="nil"/>
            </w:tcBorders>
          </w:tcPr>
          <w:p w14:paraId="653ED630" w14:textId="40D32882" w:rsidR="00F80B3F" w:rsidRPr="00262A93" w:rsidRDefault="00F80B3F" w:rsidP="00F80B3F">
            <w:pPr>
              <w:rPr>
                <w:rFonts w:ascii="Arial" w:hAnsi="Arial" w:cs="Arial"/>
                <w:szCs w:val="24"/>
              </w:rPr>
            </w:pPr>
            <w:r>
              <w:t>2.4%</w:t>
            </w:r>
          </w:p>
        </w:tc>
      </w:tr>
      <w:tr w:rsidR="00F80B3F" w:rsidRPr="00262A93" w14:paraId="682CC106" w14:textId="77777777" w:rsidTr="00F80B3F">
        <w:trPr>
          <w:jc w:val="center"/>
        </w:trPr>
        <w:tc>
          <w:tcPr>
            <w:tcW w:w="2114" w:type="dxa"/>
            <w:tcBorders>
              <w:top w:val="nil"/>
              <w:bottom w:val="nil"/>
            </w:tcBorders>
          </w:tcPr>
          <w:p w14:paraId="47F70C4A" w14:textId="17F5FFB7" w:rsidR="00F80B3F" w:rsidRDefault="00F80B3F" w:rsidP="00F80B3F">
            <w:r>
              <w:t>Computer Technology</w:t>
            </w:r>
          </w:p>
        </w:tc>
        <w:tc>
          <w:tcPr>
            <w:tcW w:w="2103" w:type="dxa"/>
            <w:tcBorders>
              <w:top w:val="nil"/>
              <w:bottom w:val="nil"/>
            </w:tcBorders>
          </w:tcPr>
          <w:p w14:paraId="6B9F4B85" w14:textId="2F1D76AE" w:rsidR="00F80B3F" w:rsidRPr="00262A93" w:rsidRDefault="00F80B3F" w:rsidP="00F80B3F">
            <w:pPr>
              <w:rPr>
                <w:rFonts w:ascii="Arial" w:hAnsi="Arial" w:cs="Arial"/>
                <w:szCs w:val="24"/>
              </w:rPr>
            </w:pPr>
            <w:r>
              <w:t>5</w:t>
            </w:r>
          </w:p>
        </w:tc>
        <w:tc>
          <w:tcPr>
            <w:tcW w:w="2103" w:type="dxa"/>
            <w:tcBorders>
              <w:top w:val="nil"/>
              <w:bottom w:val="nil"/>
            </w:tcBorders>
          </w:tcPr>
          <w:p w14:paraId="592128F2" w14:textId="7FC5E2E8" w:rsidR="00F80B3F" w:rsidRPr="00262A93" w:rsidRDefault="00F80B3F" w:rsidP="00F80B3F">
            <w:pPr>
              <w:rPr>
                <w:rFonts w:ascii="Arial" w:hAnsi="Arial" w:cs="Arial"/>
                <w:szCs w:val="24"/>
              </w:rPr>
            </w:pPr>
            <w:r>
              <w:t>1.0%</w:t>
            </w:r>
          </w:p>
        </w:tc>
      </w:tr>
      <w:tr w:rsidR="00F80B3F" w:rsidRPr="00262A93" w14:paraId="41299937" w14:textId="77777777" w:rsidTr="00F80B3F">
        <w:trPr>
          <w:jc w:val="center"/>
        </w:trPr>
        <w:tc>
          <w:tcPr>
            <w:tcW w:w="2114" w:type="dxa"/>
            <w:tcBorders>
              <w:top w:val="nil"/>
              <w:bottom w:val="nil"/>
            </w:tcBorders>
          </w:tcPr>
          <w:p w14:paraId="340046A0" w14:textId="73E798F6" w:rsidR="00F80B3F" w:rsidRDefault="00F80B3F" w:rsidP="00F80B3F">
            <w:r>
              <w:t>Electrical Mechanics</w:t>
            </w:r>
          </w:p>
        </w:tc>
        <w:tc>
          <w:tcPr>
            <w:tcW w:w="2103" w:type="dxa"/>
            <w:tcBorders>
              <w:top w:val="nil"/>
              <w:bottom w:val="nil"/>
            </w:tcBorders>
          </w:tcPr>
          <w:p w14:paraId="09A24052" w14:textId="185EBB18" w:rsidR="00F80B3F" w:rsidRPr="00262A93" w:rsidRDefault="00F80B3F" w:rsidP="00F80B3F">
            <w:pPr>
              <w:rPr>
                <w:rFonts w:ascii="Arial" w:hAnsi="Arial" w:cs="Arial"/>
                <w:szCs w:val="24"/>
              </w:rPr>
            </w:pPr>
            <w:r>
              <w:t>1</w:t>
            </w:r>
          </w:p>
        </w:tc>
        <w:tc>
          <w:tcPr>
            <w:tcW w:w="2103" w:type="dxa"/>
            <w:tcBorders>
              <w:top w:val="nil"/>
              <w:bottom w:val="nil"/>
            </w:tcBorders>
          </w:tcPr>
          <w:p w14:paraId="308A3540" w14:textId="659EDCC2" w:rsidR="00F80B3F" w:rsidRPr="00262A93" w:rsidRDefault="00F80B3F" w:rsidP="00F80B3F">
            <w:pPr>
              <w:rPr>
                <w:rFonts w:ascii="Arial" w:hAnsi="Arial" w:cs="Arial"/>
                <w:szCs w:val="24"/>
              </w:rPr>
            </w:pPr>
            <w:r>
              <w:t>0.2%</w:t>
            </w:r>
          </w:p>
        </w:tc>
      </w:tr>
      <w:tr w:rsidR="00F80B3F" w:rsidRPr="00262A93" w14:paraId="68B8D4CE" w14:textId="77777777" w:rsidTr="00F80B3F">
        <w:trPr>
          <w:jc w:val="center"/>
        </w:trPr>
        <w:tc>
          <w:tcPr>
            <w:tcW w:w="2114" w:type="dxa"/>
            <w:tcBorders>
              <w:top w:val="nil"/>
              <w:bottom w:val="nil"/>
            </w:tcBorders>
          </w:tcPr>
          <w:p w14:paraId="3C085D40" w14:textId="15C8D481" w:rsidR="00F80B3F" w:rsidRDefault="00F80B3F" w:rsidP="00F80B3F">
            <w:r>
              <w:t>Woodworking</w:t>
            </w:r>
          </w:p>
        </w:tc>
        <w:tc>
          <w:tcPr>
            <w:tcW w:w="2103" w:type="dxa"/>
            <w:tcBorders>
              <w:top w:val="nil"/>
              <w:bottom w:val="nil"/>
            </w:tcBorders>
          </w:tcPr>
          <w:p w14:paraId="27EE397E" w14:textId="053C3EF2" w:rsidR="00F80B3F" w:rsidRPr="00262A93" w:rsidRDefault="00F80B3F" w:rsidP="00F80B3F">
            <w:pPr>
              <w:rPr>
                <w:rFonts w:ascii="Arial" w:hAnsi="Arial" w:cs="Arial"/>
                <w:szCs w:val="24"/>
              </w:rPr>
            </w:pPr>
            <w:r>
              <w:t>1</w:t>
            </w:r>
          </w:p>
        </w:tc>
        <w:tc>
          <w:tcPr>
            <w:tcW w:w="2103" w:type="dxa"/>
            <w:tcBorders>
              <w:top w:val="nil"/>
              <w:bottom w:val="nil"/>
            </w:tcBorders>
          </w:tcPr>
          <w:p w14:paraId="7920570F" w14:textId="1A87EFB2" w:rsidR="00F80B3F" w:rsidRPr="00262A93" w:rsidRDefault="00F80B3F" w:rsidP="00F80B3F">
            <w:pPr>
              <w:rPr>
                <w:rFonts w:ascii="Arial" w:hAnsi="Arial" w:cs="Arial"/>
                <w:szCs w:val="24"/>
              </w:rPr>
            </w:pPr>
            <w:r>
              <w:t>0.2%</w:t>
            </w:r>
          </w:p>
        </w:tc>
      </w:tr>
      <w:tr w:rsidR="00F80B3F" w:rsidRPr="00262A93" w14:paraId="5E99D824" w14:textId="77777777" w:rsidTr="00F80B3F">
        <w:trPr>
          <w:jc w:val="center"/>
        </w:trPr>
        <w:tc>
          <w:tcPr>
            <w:tcW w:w="2114" w:type="dxa"/>
            <w:tcBorders>
              <w:top w:val="nil"/>
              <w:bottom w:val="single" w:sz="4" w:space="0" w:color="auto"/>
            </w:tcBorders>
          </w:tcPr>
          <w:p w14:paraId="0D0B7A48" w14:textId="4F05D8EF" w:rsidR="00F80B3F" w:rsidRDefault="00F80B3F" w:rsidP="00F80B3F">
            <w:r>
              <w:t>Others</w:t>
            </w:r>
          </w:p>
        </w:tc>
        <w:tc>
          <w:tcPr>
            <w:tcW w:w="2103" w:type="dxa"/>
            <w:tcBorders>
              <w:top w:val="nil"/>
              <w:bottom w:val="single" w:sz="4" w:space="0" w:color="auto"/>
            </w:tcBorders>
          </w:tcPr>
          <w:p w14:paraId="0C5EC96B" w14:textId="7347785E" w:rsidR="00F80B3F" w:rsidRPr="00262A93" w:rsidRDefault="00F80B3F" w:rsidP="00F80B3F">
            <w:pPr>
              <w:rPr>
                <w:rFonts w:ascii="Arial" w:hAnsi="Arial" w:cs="Arial"/>
                <w:szCs w:val="24"/>
              </w:rPr>
            </w:pPr>
            <w:r>
              <w:t>23</w:t>
            </w:r>
          </w:p>
        </w:tc>
        <w:tc>
          <w:tcPr>
            <w:tcW w:w="2103" w:type="dxa"/>
            <w:tcBorders>
              <w:top w:val="nil"/>
              <w:bottom w:val="single" w:sz="4" w:space="0" w:color="auto"/>
            </w:tcBorders>
          </w:tcPr>
          <w:p w14:paraId="2B61B642" w14:textId="6C0344BF" w:rsidR="00F80B3F" w:rsidRPr="00262A93" w:rsidRDefault="00F80B3F" w:rsidP="00F80B3F">
            <w:pPr>
              <w:rPr>
                <w:rFonts w:ascii="Arial" w:hAnsi="Arial" w:cs="Arial"/>
                <w:szCs w:val="24"/>
              </w:rPr>
            </w:pPr>
            <w:r>
              <w:t>4.6%</w:t>
            </w:r>
          </w:p>
        </w:tc>
      </w:tr>
    </w:tbl>
    <w:p w14:paraId="03443677" w14:textId="77777777" w:rsidR="00D44FE0" w:rsidRPr="00262A93" w:rsidRDefault="00D44FE0" w:rsidP="00D44FE0">
      <w:pPr>
        <w:rPr>
          <w:rFonts w:ascii="Arial" w:hAnsi="Arial" w:cs="Arial"/>
          <w:sz w:val="18"/>
          <w:szCs w:val="18"/>
        </w:rPr>
      </w:pPr>
      <w:r w:rsidRPr="00262A93">
        <w:rPr>
          <w:rFonts w:ascii="Arial" w:hAnsi="Arial" w:cs="Arial"/>
          <w:sz w:val="18"/>
          <w:szCs w:val="18"/>
        </w:rPr>
        <w:t>Source: Current data</w:t>
      </w:r>
    </w:p>
    <w:p w14:paraId="42BE03DB" w14:textId="77777777" w:rsidR="000964D8" w:rsidRDefault="000964D8" w:rsidP="000964D8">
      <w:pPr>
        <w:tabs>
          <w:tab w:val="left" w:pos="1080"/>
        </w:tabs>
        <w:jc w:val="both"/>
        <w:rPr>
          <w:rFonts w:ascii="Arial" w:hAnsi="Arial"/>
          <w:b/>
        </w:rPr>
      </w:pPr>
    </w:p>
    <w:p w14:paraId="6020525C" w14:textId="36E322B2" w:rsidR="005B4963" w:rsidRPr="00F80B3F" w:rsidRDefault="005B4963" w:rsidP="005B4963">
      <w:pPr>
        <w:spacing w:line="276" w:lineRule="auto"/>
        <w:jc w:val="both"/>
        <w:rPr>
          <w:szCs w:val="24"/>
        </w:rPr>
      </w:pPr>
      <w:r w:rsidRPr="005B4963">
        <w:rPr>
          <w:szCs w:val="24"/>
        </w:rPr>
        <w:t>Among vocational fields, the most common areas are Technology and Engineering</w:t>
      </w:r>
      <w:r>
        <w:rPr>
          <w:szCs w:val="24"/>
        </w:rPr>
        <w:t xml:space="preserve"> (7.4%)</w:t>
      </w:r>
      <w:r w:rsidRPr="005B4963">
        <w:rPr>
          <w:szCs w:val="24"/>
        </w:rPr>
        <w:t>, Business Management</w:t>
      </w:r>
      <w:r>
        <w:rPr>
          <w:szCs w:val="24"/>
        </w:rPr>
        <w:t xml:space="preserve"> (6.8%)</w:t>
      </w:r>
      <w:r w:rsidRPr="005B4963">
        <w:rPr>
          <w:szCs w:val="24"/>
        </w:rPr>
        <w:t>, and Information and Communication Technology</w:t>
      </w:r>
      <w:r>
        <w:rPr>
          <w:szCs w:val="24"/>
        </w:rPr>
        <w:t xml:space="preserve"> (5.4%)</w:t>
      </w:r>
      <w:r w:rsidRPr="005B4963">
        <w:rPr>
          <w:szCs w:val="24"/>
        </w:rPr>
        <w:t xml:space="preserve">. </w:t>
      </w:r>
      <w:r>
        <w:rPr>
          <w:szCs w:val="24"/>
        </w:rPr>
        <w:t xml:space="preserve"> </w:t>
      </w:r>
      <w:r w:rsidRPr="005B4963">
        <w:rPr>
          <w:szCs w:val="24"/>
        </w:rPr>
        <w:t>Other fields such as Tourism</w:t>
      </w:r>
      <w:r>
        <w:rPr>
          <w:szCs w:val="24"/>
        </w:rPr>
        <w:t xml:space="preserve"> (3.4%)</w:t>
      </w:r>
      <w:r w:rsidRPr="005B4963">
        <w:rPr>
          <w:szCs w:val="24"/>
        </w:rPr>
        <w:t>, Creative Arts</w:t>
      </w:r>
      <w:r>
        <w:rPr>
          <w:szCs w:val="24"/>
        </w:rPr>
        <w:t xml:space="preserve"> and Industries (4.8%)</w:t>
      </w:r>
      <w:r w:rsidRPr="005B4963">
        <w:rPr>
          <w:szCs w:val="24"/>
        </w:rPr>
        <w:t>, Fisheries</w:t>
      </w:r>
      <w:r>
        <w:rPr>
          <w:szCs w:val="24"/>
        </w:rPr>
        <w:t xml:space="preserve"> (3.4%)</w:t>
      </w:r>
      <w:r w:rsidRPr="005B4963">
        <w:rPr>
          <w:szCs w:val="24"/>
        </w:rPr>
        <w:t xml:space="preserve">, and Electronics </w:t>
      </w:r>
      <w:r>
        <w:rPr>
          <w:szCs w:val="24"/>
        </w:rPr>
        <w:t xml:space="preserve">(2.4%) </w:t>
      </w:r>
      <w:r w:rsidRPr="005B4963">
        <w:rPr>
          <w:szCs w:val="24"/>
        </w:rPr>
        <w:t xml:space="preserve">have moderate numbers of students. Only a small number of </w:t>
      </w:r>
      <w:r w:rsidRPr="005B4963">
        <w:rPr>
          <w:szCs w:val="24"/>
        </w:rPr>
        <w:lastRenderedPageBreak/>
        <w:t>respondents are enrolled in fields like Agriculture, Electrical Mechanics, and Woodworking. The “Others” category includes various additional courses chosen by a smaller group of students.</w:t>
      </w:r>
    </w:p>
    <w:p w14:paraId="613C4497" w14:textId="77777777" w:rsidR="005B4963" w:rsidRDefault="005B4963" w:rsidP="000964D8">
      <w:pPr>
        <w:tabs>
          <w:tab w:val="left" w:pos="1080"/>
        </w:tabs>
        <w:jc w:val="both"/>
        <w:rPr>
          <w:rFonts w:ascii="Arial" w:hAnsi="Arial"/>
          <w:b/>
        </w:rPr>
      </w:pPr>
    </w:p>
    <w:p w14:paraId="2D575B1D" w14:textId="41C066C1" w:rsidR="00D44FE0" w:rsidRPr="00262A93" w:rsidRDefault="00262A93" w:rsidP="000964D8">
      <w:pPr>
        <w:tabs>
          <w:tab w:val="left" w:pos="1080"/>
        </w:tabs>
        <w:jc w:val="both"/>
        <w:rPr>
          <w:rFonts w:ascii="Arial" w:hAnsi="Arial" w:cs="Arial"/>
          <w:b/>
        </w:rPr>
      </w:pPr>
      <w:proofErr w:type="gramStart"/>
      <w:r>
        <w:rPr>
          <w:rFonts w:ascii="Arial" w:hAnsi="Arial" w:cs="Arial"/>
          <w:b/>
          <w:bCs/>
          <w:sz w:val="22"/>
          <w:szCs w:val="22"/>
        </w:rPr>
        <w:t xml:space="preserve">3.1 </w:t>
      </w:r>
      <w:r w:rsidRPr="00262A93">
        <w:rPr>
          <w:rFonts w:ascii="Arial" w:hAnsi="Arial" w:cs="Arial"/>
          <w:b/>
        </w:rPr>
        <w:t xml:space="preserve"> Respondents</w:t>
      </w:r>
      <w:proofErr w:type="gramEnd"/>
      <w:r w:rsidRPr="00262A93">
        <w:rPr>
          <w:rFonts w:ascii="Arial" w:hAnsi="Arial" w:cs="Arial"/>
          <w:b/>
        </w:rPr>
        <w:t>' Level of Awareness, Promotion, and Public Perception of TVET</w:t>
      </w:r>
    </w:p>
    <w:p w14:paraId="547821D3" w14:textId="77777777" w:rsidR="00D44FE0" w:rsidRPr="00262A93" w:rsidRDefault="00D44FE0" w:rsidP="000964D8">
      <w:pPr>
        <w:tabs>
          <w:tab w:val="left" w:pos="1080"/>
        </w:tabs>
        <w:jc w:val="both"/>
        <w:rPr>
          <w:rFonts w:ascii="Arial" w:hAnsi="Arial"/>
          <w:b/>
        </w:rPr>
      </w:pPr>
    </w:p>
    <w:p w14:paraId="353A7989" w14:textId="0F61F924" w:rsidR="00D44FE0" w:rsidRDefault="00262A93" w:rsidP="00262A93">
      <w:pPr>
        <w:spacing w:line="276" w:lineRule="auto"/>
        <w:jc w:val="both"/>
        <w:rPr>
          <w:szCs w:val="24"/>
        </w:rPr>
      </w:pPr>
      <w:r w:rsidRPr="00092EC0">
        <w:rPr>
          <w:szCs w:val="24"/>
        </w:rPr>
        <w:t>Table 3 presents the distribution of responses for the Awareness, Promotion, and Public Perception variables, based on a 5-point Likert scale grouped into three interpretation ranges (Low, Medium, High). For the construction of Consciousness, 77% of respondents showed a high level of consciousness (n = 385), while 23% were at a moderate level (n = 115). None of the respondents were in the low range. The mean score was 2.77 (SD = 0.421), indicating moderate to high perception of consciousness overall. In terms of Promotion, 74.4% of respondents reported a high level (n = 372), 25% were at a moderate level (n = 125), and only 0.6% (n = 3) were categorized as low. The average score of 2.74 (SD = 0.453) also reflects a tendency towards a high perception of promotional efforts. For Public Perception, most respondents (80.8%, n = 404) reported high perception, while 19.2% (n = 96) reported moderate perception. None of the respondents were categorized in the low range. This construct recorded the highest average score of 2.81 (SD = 0.394), indicating a strong public perception of the constructed being measured.</w:t>
      </w:r>
    </w:p>
    <w:p w14:paraId="6629E2F8" w14:textId="77777777" w:rsidR="000B78C5" w:rsidRPr="00262A93" w:rsidRDefault="000B78C5" w:rsidP="00262A93">
      <w:pPr>
        <w:spacing w:line="276" w:lineRule="auto"/>
        <w:jc w:val="both"/>
        <w:rPr>
          <w:szCs w:val="24"/>
        </w:rPr>
      </w:pPr>
    </w:p>
    <w:p w14:paraId="49249467" w14:textId="77777777" w:rsidR="00D44FE0" w:rsidRDefault="00D44FE0" w:rsidP="000964D8">
      <w:pPr>
        <w:tabs>
          <w:tab w:val="left" w:pos="1080"/>
        </w:tabs>
        <w:jc w:val="both"/>
        <w:rPr>
          <w:rFonts w:ascii="Arial" w:hAnsi="Arial"/>
          <w:b/>
        </w:rPr>
      </w:pPr>
    </w:p>
    <w:p w14:paraId="23138C44" w14:textId="4CF9ED65" w:rsidR="00262A93" w:rsidRDefault="00262A93" w:rsidP="00262A93">
      <w:pPr>
        <w:tabs>
          <w:tab w:val="left" w:pos="1080"/>
        </w:tabs>
        <w:jc w:val="both"/>
        <w:rPr>
          <w:rFonts w:ascii="Arial" w:hAnsi="Arial"/>
          <w:b/>
          <w:bCs/>
          <w:lang w:val="en-GB"/>
        </w:rPr>
      </w:pPr>
      <w:r w:rsidRPr="00262A93">
        <w:rPr>
          <w:rFonts w:ascii="Arial" w:hAnsi="Arial"/>
          <w:b/>
          <w:bCs/>
        </w:rPr>
        <w:t>Table 3. Descriptive Analysis Summary</w:t>
      </w:r>
    </w:p>
    <w:p w14:paraId="5ACFD2DB" w14:textId="77777777" w:rsidR="00262A93" w:rsidRPr="00262A93" w:rsidRDefault="00262A93" w:rsidP="00262A93">
      <w:pPr>
        <w:tabs>
          <w:tab w:val="left" w:pos="1080"/>
        </w:tabs>
        <w:jc w:val="both"/>
        <w:rPr>
          <w:rFonts w:ascii="Arial" w:hAnsi="Arial"/>
          <w:b/>
          <w:bCs/>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8"/>
        <w:gridCol w:w="1627"/>
        <w:gridCol w:w="1876"/>
        <w:gridCol w:w="996"/>
        <w:gridCol w:w="992"/>
      </w:tblGrid>
      <w:tr w:rsidR="00262A93" w:rsidRPr="00262A93" w14:paraId="323092F5" w14:textId="77777777" w:rsidTr="00262A93">
        <w:tc>
          <w:tcPr>
            <w:tcW w:w="1988" w:type="dxa"/>
            <w:tcBorders>
              <w:top w:val="single" w:sz="4" w:space="0" w:color="auto"/>
              <w:bottom w:val="single" w:sz="4" w:space="0" w:color="auto"/>
            </w:tcBorders>
          </w:tcPr>
          <w:p w14:paraId="3FF8C7E6" w14:textId="77777777" w:rsidR="00262A93" w:rsidRPr="00262A93" w:rsidRDefault="00262A93" w:rsidP="00262A93">
            <w:pPr>
              <w:tabs>
                <w:tab w:val="left" w:pos="1080"/>
              </w:tabs>
              <w:jc w:val="both"/>
              <w:rPr>
                <w:rFonts w:ascii="Arial" w:hAnsi="Arial"/>
                <w:b/>
                <w:bCs/>
                <w:sz w:val="20"/>
                <w:lang w:val="en-GB"/>
              </w:rPr>
            </w:pPr>
            <w:r w:rsidRPr="00262A93">
              <w:rPr>
                <w:rFonts w:ascii="Arial" w:hAnsi="Arial"/>
                <w:b/>
                <w:bCs/>
                <w:sz w:val="20"/>
              </w:rPr>
              <w:t>Variable</w:t>
            </w:r>
          </w:p>
        </w:tc>
        <w:tc>
          <w:tcPr>
            <w:tcW w:w="1627" w:type="dxa"/>
            <w:tcBorders>
              <w:top w:val="single" w:sz="4" w:space="0" w:color="auto"/>
              <w:bottom w:val="single" w:sz="4" w:space="0" w:color="auto"/>
            </w:tcBorders>
          </w:tcPr>
          <w:p w14:paraId="46198910" w14:textId="77777777" w:rsidR="00262A93" w:rsidRPr="00262A93" w:rsidRDefault="00262A93" w:rsidP="00262A93">
            <w:pPr>
              <w:tabs>
                <w:tab w:val="left" w:pos="1080"/>
              </w:tabs>
              <w:jc w:val="both"/>
              <w:rPr>
                <w:rFonts w:ascii="Arial" w:hAnsi="Arial"/>
                <w:b/>
                <w:bCs/>
                <w:sz w:val="20"/>
                <w:lang w:val="en-GB"/>
              </w:rPr>
            </w:pPr>
            <w:r w:rsidRPr="00262A93">
              <w:rPr>
                <w:rFonts w:ascii="Arial" w:hAnsi="Arial"/>
                <w:b/>
                <w:bCs/>
                <w:sz w:val="20"/>
              </w:rPr>
              <w:t>Frequency (n)</w:t>
            </w:r>
          </w:p>
        </w:tc>
        <w:tc>
          <w:tcPr>
            <w:tcW w:w="1876" w:type="dxa"/>
            <w:tcBorders>
              <w:top w:val="single" w:sz="4" w:space="0" w:color="auto"/>
              <w:bottom w:val="single" w:sz="4" w:space="0" w:color="auto"/>
            </w:tcBorders>
          </w:tcPr>
          <w:p w14:paraId="5CAC01BA" w14:textId="77777777" w:rsidR="00262A93" w:rsidRPr="00262A93" w:rsidRDefault="00262A93" w:rsidP="00262A93">
            <w:pPr>
              <w:tabs>
                <w:tab w:val="left" w:pos="1080"/>
              </w:tabs>
              <w:jc w:val="both"/>
              <w:rPr>
                <w:rFonts w:ascii="Arial" w:hAnsi="Arial"/>
                <w:b/>
                <w:bCs/>
                <w:sz w:val="20"/>
                <w:lang w:val="en-GB"/>
              </w:rPr>
            </w:pPr>
            <w:r w:rsidRPr="00262A93">
              <w:rPr>
                <w:rFonts w:ascii="Arial" w:hAnsi="Arial"/>
                <w:b/>
                <w:bCs/>
                <w:sz w:val="20"/>
              </w:rPr>
              <w:t>Percentage (%)</w:t>
            </w:r>
          </w:p>
        </w:tc>
        <w:tc>
          <w:tcPr>
            <w:tcW w:w="996" w:type="dxa"/>
            <w:tcBorders>
              <w:top w:val="single" w:sz="4" w:space="0" w:color="auto"/>
              <w:bottom w:val="single" w:sz="4" w:space="0" w:color="auto"/>
            </w:tcBorders>
          </w:tcPr>
          <w:p w14:paraId="4DCB3162" w14:textId="77777777" w:rsidR="00262A93" w:rsidRPr="00262A93" w:rsidRDefault="00262A93" w:rsidP="00262A93">
            <w:pPr>
              <w:tabs>
                <w:tab w:val="left" w:pos="1080"/>
              </w:tabs>
              <w:jc w:val="both"/>
              <w:rPr>
                <w:rFonts w:ascii="Arial" w:hAnsi="Arial"/>
                <w:b/>
                <w:bCs/>
                <w:sz w:val="20"/>
                <w:lang w:val="en-GB"/>
              </w:rPr>
            </w:pPr>
            <w:r w:rsidRPr="00262A93">
              <w:rPr>
                <w:rFonts w:ascii="Arial" w:hAnsi="Arial"/>
                <w:b/>
                <w:bCs/>
                <w:sz w:val="20"/>
              </w:rPr>
              <w:t>Mean</w:t>
            </w:r>
          </w:p>
        </w:tc>
        <w:tc>
          <w:tcPr>
            <w:tcW w:w="992" w:type="dxa"/>
            <w:tcBorders>
              <w:top w:val="single" w:sz="4" w:space="0" w:color="auto"/>
              <w:bottom w:val="single" w:sz="4" w:space="0" w:color="auto"/>
            </w:tcBorders>
          </w:tcPr>
          <w:p w14:paraId="07325D43" w14:textId="77777777" w:rsidR="00262A93" w:rsidRPr="00262A93" w:rsidRDefault="00262A93" w:rsidP="00262A93">
            <w:pPr>
              <w:tabs>
                <w:tab w:val="left" w:pos="1080"/>
              </w:tabs>
              <w:jc w:val="both"/>
              <w:rPr>
                <w:rFonts w:ascii="Arial" w:hAnsi="Arial"/>
                <w:b/>
                <w:bCs/>
                <w:sz w:val="20"/>
                <w:lang w:val="en-GB"/>
              </w:rPr>
            </w:pPr>
            <w:r w:rsidRPr="00262A93">
              <w:rPr>
                <w:rFonts w:ascii="Arial" w:hAnsi="Arial"/>
                <w:b/>
                <w:bCs/>
                <w:sz w:val="20"/>
              </w:rPr>
              <w:t>SD</w:t>
            </w:r>
          </w:p>
        </w:tc>
      </w:tr>
      <w:tr w:rsidR="00262A93" w:rsidRPr="00262A93" w14:paraId="37259850" w14:textId="77777777" w:rsidTr="00262A93">
        <w:tc>
          <w:tcPr>
            <w:tcW w:w="1988" w:type="dxa"/>
            <w:tcBorders>
              <w:top w:val="single" w:sz="4" w:space="0" w:color="auto"/>
              <w:bottom w:val="single" w:sz="4" w:space="0" w:color="auto"/>
            </w:tcBorders>
          </w:tcPr>
          <w:p w14:paraId="0C827CA6" w14:textId="77777777" w:rsidR="00262A93" w:rsidRPr="00262A93" w:rsidRDefault="00262A93" w:rsidP="00262A93">
            <w:pPr>
              <w:tabs>
                <w:tab w:val="left" w:pos="1080"/>
              </w:tabs>
              <w:jc w:val="both"/>
              <w:rPr>
                <w:rFonts w:ascii="Arial" w:hAnsi="Arial"/>
                <w:b/>
                <w:bCs/>
                <w:sz w:val="20"/>
                <w:lang w:val="ms-MY"/>
              </w:rPr>
            </w:pPr>
            <w:r w:rsidRPr="00262A93">
              <w:rPr>
                <w:rFonts w:ascii="Arial" w:hAnsi="Arial"/>
                <w:b/>
                <w:bCs/>
                <w:sz w:val="20"/>
              </w:rPr>
              <w:t>Awareness</w:t>
            </w:r>
          </w:p>
          <w:p w14:paraId="04F4B643" w14:textId="77777777" w:rsidR="00262A93" w:rsidRPr="00262A93" w:rsidRDefault="00262A93" w:rsidP="00262A93">
            <w:pPr>
              <w:tabs>
                <w:tab w:val="left" w:pos="1080"/>
              </w:tabs>
              <w:jc w:val="both"/>
              <w:rPr>
                <w:rFonts w:ascii="Arial" w:hAnsi="Arial"/>
                <w:sz w:val="20"/>
                <w:lang w:val="ms-MY"/>
              </w:rPr>
            </w:pPr>
            <w:r w:rsidRPr="00262A93">
              <w:rPr>
                <w:rFonts w:ascii="Arial" w:hAnsi="Arial"/>
                <w:sz w:val="20"/>
              </w:rPr>
              <w:t>Low</w:t>
            </w:r>
          </w:p>
          <w:p w14:paraId="3B00E688" w14:textId="77777777" w:rsidR="00262A93" w:rsidRPr="00262A93" w:rsidRDefault="00262A93" w:rsidP="00262A93">
            <w:pPr>
              <w:tabs>
                <w:tab w:val="left" w:pos="1080"/>
              </w:tabs>
              <w:jc w:val="both"/>
              <w:rPr>
                <w:rFonts w:ascii="Arial" w:hAnsi="Arial"/>
                <w:sz w:val="20"/>
                <w:lang w:val="ms-MY"/>
              </w:rPr>
            </w:pPr>
            <w:r w:rsidRPr="00262A93">
              <w:rPr>
                <w:rFonts w:ascii="Arial" w:hAnsi="Arial"/>
                <w:sz w:val="20"/>
              </w:rPr>
              <w:t>Moderate</w:t>
            </w:r>
          </w:p>
          <w:p w14:paraId="2C98C01B"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rPr>
              <w:t>Tall</w:t>
            </w:r>
          </w:p>
        </w:tc>
        <w:tc>
          <w:tcPr>
            <w:tcW w:w="1627" w:type="dxa"/>
            <w:tcBorders>
              <w:top w:val="single" w:sz="4" w:space="0" w:color="auto"/>
              <w:bottom w:val="single" w:sz="4" w:space="0" w:color="auto"/>
            </w:tcBorders>
          </w:tcPr>
          <w:p w14:paraId="7B0E9755" w14:textId="77777777" w:rsidR="00262A93" w:rsidRPr="00262A93" w:rsidRDefault="00262A93" w:rsidP="00262A93">
            <w:pPr>
              <w:tabs>
                <w:tab w:val="left" w:pos="1080"/>
              </w:tabs>
              <w:jc w:val="both"/>
              <w:rPr>
                <w:rFonts w:ascii="Arial" w:hAnsi="Arial"/>
                <w:sz w:val="20"/>
                <w:lang w:val="en-GB"/>
              </w:rPr>
            </w:pPr>
          </w:p>
          <w:p w14:paraId="79D09BAD"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rPr>
              <w:t>0</w:t>
            </w:r>
          </w:p>
          <w:p w14:paraId="52F1292B"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rPr>
              <w:t>115</w:t>
            </w:r>
          </w:p>
          <w:p w14:paraId="08C53110"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rPr>
              <w:t>385</w:t>
            </w:r>
          </w:p>
        </w:tc>
        <w:tc>
          <w:tcPr>
            <w:tcW w:w="1876" w:type="dxa"/>
            <w:tcBorders>
              <w:top w:val="single" w:sz="4" w:space="0" w:color="auto"/>
              <w:bottom w:val="single" w:sz="4" w:space="0" w:color="auto"/>
            </w:tcBorders>
          </w:tcPr>
          <w:p w14:paraId="0FF7EF82" w14:textId="77777777" w:rsidR="00262A93" w:rsidRPr="00262A93" w:rsidRDefault="00262A93" w:rsidP="00262A93">
            <w:pPr>
              <w:tabs>
                <w:tab w:val="left" w:pos="1080"/>
              </w:tabs>
              <w:jc w:val="both"/>
              <w:rPr>
                <w:rFonts w:ascii="Arial" w:hAnsi="Arial"/>
                <w:sz w:val="20"/>
                <w:lang w:val="en-GB"/>
              </w:rPr>
            </w:pPr>
          </w:p>
          <w:p w14:paraId="35AC06A6"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rPr>
              <w:t>0</w:t>
            </w:r>
          </w:p>
          <w:p w14:paraId="2387DF87"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rPr>
              <w:t>23%</w:t>
            </w:r>
          </w:p>
          <w:p w14:paraId="2E9713FD"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rPr>
              <w:t>77%</w:t>
            </w:r>
          </w:p>
        </w:tc>
        <w:tc>
          <w:tcPr>
            <w:tcW w:w="996" w:type="dxa"/>
            <w:tcBorders>
              <w:top w:val="single" w:sz="4" w:space="0" w:color="auto"/>
              <w:bottom w:val="single" w:sz="4" w:space="0" w:color="auto"/>
            </w:tcBorders>
          </w:tcPr>
          <w:p w14:paraId="74E6917F" w14:textId="77777777" w:rsidR="00262A93" w:rsidRPr="00262A93" w:rsidRDefault="00262A93" w:rsidP="00262A93">
            <w:pPr>
              <w:tabs>
                <w:tab w:val="left" w:pos="1080"/>
              </w:tabs>
              <w:jc w:val="both"/>
              <w:rPr>
                <w:rFonts w:ascii="Arial" w:hAnsi="Arial"/>
                <w:sz w:val="20"/>
                <w:lang w:val="en-GB"/>
              </w:rPr>
            </w:pPr>
          </w:p>
          <w:p w14:paraId="4C68A501" w14:textId="77777777" w:rsidR="00262A93" w:rsidRPr="00262A93" w:rsidRDefault="00262A93" w:rsidP="00262A93">
            <w:pPr>
              <w:tabs>
                <w:tab w:val="left" w:pos="1080"/>
              </w:tabs>
              <w:jc w:val="both"/>
              <w:rPr>
                <w:rFonts w:ascii="Arial" w:hAnsi="Arial"/>
                <w:sz w:val="20"/>
                <w:lang w:val="en-GB"/>
              </w:rPr>
            </w:pPr>
          </w:p>
          <w:p w14:paraId="658EF88B"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rPr>
              <w:t>2.77</w:t>
            </w:r>
          </w:p>
        </w:tc>
        <w:tc>
          <w:tcPr>
            <w:tcW w:w="992" w:type="dxa"/>
            <w:tcBorders>
              <w:top w:val="single" w:sz="4" w:space="0" w:color="auto"/>
              <w:bottom w:val="single" w:sz="4" w:space="0" w:color="auto"/>
            </w:tcBorders>
          </w:tcPr>
          <w:p w14:paraId="38E1DCE4" w14:textId="77777777" w:rsidR="00262A93" w:rsidRPr="00262A93" w:rsidRDefault="00262A93" w:rsidP="00262A93">
            <w:pPr>
              <w:tabs>
                <w:tab w:val="left" w:pos="1080"/>
              </w:tabs>
              <w:jc w:val="both"/>
              <w:rPr>
                <w:rFonts w:ascii="Arial" w:hAnsi="Arial"/>
                <w:sz w:val="20"/>
                <w:lang w:val="en-GB"/>
              </w:rPr>
            </w:pPr>
          </w:p>
          <w:p w14:paraId="4BE3DBFD" w14:textId="77777777" w:rsidR="00262A93" w:rsidRPr="00262A93" w:rsidRDefault="00262A93" w:rsidP="00262A93">
            <w:pPr>
              <w:tabs>
                <w:tab w:val="left" w:pos="1080"/>
              </w:tabs>
              <w:jc w:val="both"/>
              <w:rPr>
                <w:rFonts w:ascii="Arial" w:hAnsi="Arial"/>
                <w:sz w:val="20"/>
                <w:lang w:val="en-GB"/>
              </w:rPr>
            </w:pPr>
          </w:p>
          <w:p w14:paraId="7F7B457C"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rPr>
              <w:t>0.421</w:t>
            </w:r>
          </w:p>
        </w:tc>
      </w:tr>
      <w:tr w:rsidR="00262A93" w:rsidRPr="00262A93" w14:paraId="423301E5" w14:textId="77777777" w:rsidTr="00262A93">
        <w:tc>
          <w:tcPr>
            <w:tcW w:w="1988" w:type="dxa"/>
            <w:tcBorders>
              <w:top w:val="single" w:sz="4" w:space="0" w:color="auto"/>
              <w:bottom w:val="single" w:sz="4" w:space="0" w:color="auto"/>
            </w:tcBorders>
          </w:tcPr>
          <w:p w14:paraId="38510F0D" w14:textId="77777777" w:rsidR="00262A93" w:rsidRPr="00262A93" w:rsidRDefault="00262A93" w:rsidP="00262A93">
            <w:pPr>
              <w:tabs>
                <w:tab w:val="left" w:pos="1080"/>
              </w:tabs>
              <w:jc w:val="both"/>
              <w:rPr>
                <w:rFonts w:ascii="Arial" w:hAnsi="Arial"/>
                <w:b/>
                <w:bCs/>
                <w:sz w:val="20"/>
                <w:lang w:val="ms-MY"/>
              </w:rPr>
            </w:pPr>
            <w:r w:rsidRPr="00262A93">
              <w:rPr>
                <w:rFonts w:ascii="Arial" w:hAnsi="Arial"/>
                <w:b/>
                <w:bCs/>
                <w:sz w:val="20"/>
              </w:rPr>
              <w:t xml:space="preserve">Promotion </w:t>
            </w:r>
          </w:p>
          <w:p w14:paraId="18BB4555" w14:textId="77777777" w:rsidR="00262A93" w:rsidRPr="00262A93" w:rsidRDefault="00262A93" w:rsidP="00262A93">
            <w:pPr>
              <w:tabs>
                <w:tab w:val="left" w:pos="1080"/>
              </w:tabs>
              <w:jc w:val="both"/>
              <w:rPr>
                <w:rFonts w:ascii="Arial" w:hAnsi="Arial"/>
                <w:sz w:val="20"/>
                <w:lang w:val="ms-MY"/>
              </w:rPr>
            </w:pPr>
            <w:r w:rsidRPr="00262A93">
              <w:rPr>
                <w:rFonts w:ascii="Arial" w:hAnsi="Arial"/>
                <w:sz w:val="20"/>
              </w:rPr>
              <w:t>Low</w:t>
            </w:r>
          </w:p>
          <w:p w14:paraId="635F9F06" w14:textId="77777777" w:rsidR="00262A93" w:rsidRPr="00262A93" w:rsidRDefault="00262A93" w:rsidP="00262A93">
            <w:pPr>
              <w:tabs>
                <w:tab w:val="left" w:pos="1080"/>
              </w:tabs>
              <w:jc w:val="both"/>
              <w:rPr>
                <w:rFonts w:ascii="Arial" w:hAnsi="Arial"/>
                <w:sz w:val="20"/>
                <w:lang w:val="ms-MY"/>
              </w:rPr>
            </w:pPr>
            <w:r w:rsidRPr="00262A93">
              <w:rPr>
                <w:rFonts w:ascii="Arial" w:hAnsi="Arial"/>
                <w:sz w:val="20"/>
              </w:rPr>
              <w:t>Moderate</w:t>
            </w:r>
          </w:p>
          <w:p w14:paraId="66649E84"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rPr>
              <w:t>Tall</w:t>
            </w:r>
          </w:p>
        </w:tc>
        <w:tc>
          <w:tcPr>
            <w:tcW w:w="1627" w:type="dxa"/>
            <w:tcBorders>
              <w:top w:val="single" w:sz="4" w:space="0" w:color="auto"/>
              <w:bottom w:val="single" w:sz="4" w:space="0" w:color="auto"/>
            </w:tcBorders>
          </w:tcPr>
          <w:p w14:paraId="3D221907" w14:textId="77777777" w:rsidR="00262A93" w:rsidRPr="00262A93" w:rsidRDefault="00262A93" w:rsidP="00262A93">
            <w:pPr>
              <w:tabs>
                <w:tab w:val="left" w:pos="1080"/>
              </w:tabs>
              <w:jc w:val="both"/>
              <w:rPr>
                <w:rFonts w:ascii="Arial" w:hAnsi="Arial"/>
                <w:sz w:val="20"/>
                <w:lang w:val="en-GB"/>
              </w:rPr>
            </w:pPr>
          </w:p>
          <w:p w14:paraId="6026EAAC"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rPr>
              <w:t>3</w:t>
            </w:r>
          </w:p>
          <w:p w14:paraId="5005AD1D"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rPr>
              <w:t>125</w:t>
            </w:r>
          </w:p>
          <w:p w14:paraId="04CF0935"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rPr>
              <w:t>372</w:t>
            </w:r>
          </w:p>
        </w:tc>
        <w:tc>
          <w:tcPr>
            <w:tcW w:w="1876" w:type="dxa"/>
            <w:tcBorders>
              <w:top w:val="single" w:sz="4" w:space="0" w:color="auto"/>
              <w:bottom w:val="single" w:sz="4" w:space="0" w:color="auto"/>
            </w:tcBorders>
          </w:tcPr>
          <w:p w14:paraId="15A0D74D" w14:textId="77777777" w:rsidR="00262A93" w:rsidRPr="00262A93" w:rsidRDefault="00262A93" w:rsidP="00262A93">
            <w:pPr>
              <w:tabs>
                <w:tab w:val="left" w:pos="1080"/>
              </w:tabs>
              <w:jc w:val="both"/>
              <w:rPr>
                <w:rFonts w:ascii="Arial" w:hAnsi="Arial"/>
                <w:sz w:val="20"/>
                <w:lang w:val="en-GB"/>
              </w:rPr>
            </w:pPr>
          </w:p>
          <w:p w14:paraId="56705C6B"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rPr>
              <w:t>0.6%</w:t>
            </w:r>
          </w:p>
          <w:p w14:paraId="2F965E99"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rPr>
              <w:t>25%</w:t>
            </w:r>
          </w:p>
          <w:p w14:paraId="36B7D25F"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rPr>
              <w:t>74.4%</w:t>
            </w:r>
          </w:p>
        </w:tc>
        <w:tc>
          <w:tcPr>
            <w:tcW w:w="996" w:type="dxa"/>
            <w:tcBorders>
              <w:top w:val="single" w:sz="4" w:space="0" w:color="auto"/>
              <w:bottom w:val="single" w:sz="4" w:space="0" w:color="auto"/>
            </w:tcBorders>
          </w:tcPr>
          <w:p w14:paraId="450E6898" w14:textId="77777777" w:rsidR="00262A93" w:rsidRPr="00262A93" w:rsidRDefault="00262A93" w:rsidP="00262A93">
            <w:pPr>
              <w:tabs>
                <w:tab w:val="left" w:pos="1080"/>
              </w:tabs>
              <w:jc w:val="both"/>
              <w:rPr>
                <w:rFonts w:ascii="Arial" w:hAnsi="Arial"/>
                <w:sz w:val="20"/>
                <w:lang w:val="en-GB"/>
              </w:rPr>
            </w:pPr>
          </w:p>
          <w:p w14:paraId="54CF6024" w14:textId="77777777" w:rsidR="00262A93" w:rsidRPr="00262A93" w:rsidRDefault="00262A93" w:rsidP="00262A93">
            <w:pPr>
              <w:tabs>
                <w:tab w:val="left" w:pos="1080"/>
              </w:tabs>
              <w:jc w:val="both"/>
              <w:rPr>
                <w:rFonts w:ascii="Arial" w:hAnsi="Arial"/>
                <w:sz w:val="20"/>
                <w:lang w:val="en-GB"/>
              </w:rPr>
            </w:pPr>
          </w:p>
          <w:p w14:paraId="32A82583"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rPr>
              <w:t>2.74</w:t>
            </w:r>
          </w:p>
        </w:tc>
        <w:tc>
          <w:tcPr>
            <w:tcW w:w="992" w:type="dxa"/>
            <w:tcBorders>
              <w:top w:val="single" w:sz="4" w:space="0" w:color="auto"/>
              <w:bottom w:val="single" w:sz="4" w:space="0" w:color="auto"/>
            </w:tcBorders>
          </w:tcPr>
          <w:p w14:paraId="77B3E3A9" w14:textId="77777777" w:rsidR="00262A93" w:rsidRPr="00262A93" w:rsidRDefault="00262A93" w:rsidP="00262A93">
            <w:pPr>
              <w:tabs>
                <w:tab w:val="left" w:pos="1080"/>
              </w:tabs>
              <w:jc w:val="both"/>
              <w:rPr>
                <w:rFonts w:ascii="Arial" w:hAnsi="Arial"/>
                <w:sz w:val="20"/>
                <w:lang w:val="en-GB"/>
              </w:rPr>
            </w:pPr>
          </w:p>
          <w:p w14:paraId="4B31B8C3" w14:textId="77777777" w:rsidR="00262A93" w:rsidRPr="00262A93" w:rsidRDefault="00262A93" w:rsidP="00262A93">
            <w:pPr>
              <w:tabs>
                <w:tab w:val="left" w:pos="1080"/>
              </w:tabs>
              <w:jc w:val="both"/>
              <w:rPr>
                <w:rFonts w:ascii="Arial" w:hAnsi="Arial"/>
                <w:sz w:val="20"/>
                <w:lang w:val="en-GB"/>
              </w:rPr>
            </w:pPr>
          </w:p>
          <w:p w14:paraId="4D8A001C"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rPr>
              <w:t>0.453</w:t>
            </w:r>
          </w:p>
        </w:tc>
      </w:tr>
      <w:tr w:rsidR="00262A93" w:rsidRPr="00262A93" w14:paraId="13FA7114" w14:textId="77777777" w:rsidTr="00262A93">
        <w:tc>
          <w:tcPr>
            <w:tcW w:w="1988" w:type="dxa"/>
            <w:tcBorders>
              <w:top w:val="single" w:sz="4" w:space="0" w:color="auto"/>
              <w:bottom w:val="single" w:sz="4" w:space="0" w:color="auto"/>
            </w:tcBorders>
          </w:tcPr>
          <w:p w14:paraId="39DC9239" w14:textId="77777777" w:rsidR="00262A93" w:rsidRPr="00262A93" w:rsidRDefault="00262A93" w:rsidP="00262A93">
            <w:pPr>
              <w:tabs>
                <w:tab w:val="left" w:pos="1080"/>
              </w:tabs>
              <w:jc w:val="both"/>
              <w:rPr>
                <w:rFonts w:ascii="Arial" w:hAnsi="Arial"/>
                <w:b/>
                <w:bCs/>
                <w:sz w:val="20"/>
                <w:lang w:val="ms-MY"/>
              </w:rPr>
            </w:pPr>
            <w:r w:rsidRPr="00262A93">
              <w:rPr>
                <w:rFonts w:ascii="Arial" w:hAnsi="Arial"/>
                <w:b/>
                <w:bCs/>
                <w:sz w:val="20"/>
              </w:rPr>
              <w:t xml:space="preserve">Public Perception </w:t>
            </w:r>
          </w:p>
          <w:p w14:paraId="5DE25AFD" w14:textId="77777777" w:rsidR="00262A93" w:rsidRPr="00262A93" w:rsidRDefault="00262A93" w:rsidP="00262A93">
            <w:pPr>
              <w:tabs>
                <w:tab w:val="left" w:pos="1080"/>
              </w:tabs>
              <w:jc w:val="both"/>
              <w:rPr>
                <w:rFonts w:ascii="Arial" w:hAnsi="Arial"/>
                <w:sz w:val="20"/>
                <w:lang w:val="ms-MY"/>
              </w:rPr>
            </w:pPr>
            <w:r w:rsidRPr="00262A93">
              <w:rPr>
                <w:rFonts w:ascii="Arial" w:hAnsi="Arial"/>
                <w:sz w:val="20"/>
              </w:rPr>
              <w:t>Low</w:t>
            </w:r>
          </w:p>
          <w:p w14:paraId="4FC98449" w14:textId="77777777" w:rsidR="00262A93" w:rsidRPr="00262A93" w:rsidRDefault="00262A93" w:rsidP="00262A93">
            <w:pPr>
              <w:tabs>
                <w:tab w:val="left" w:pos="1080"/>
              </w:tabs>
              <w:jc w:val="both"/>
              <w:rPr>
                <w:rFonts w:ascii="Arial" w:hAnsi="Arial"/>
                <w:sz w:val="20"/>
                <w:lang w:val="ms-MY"/>
              </w:rPr>
            </w:pPr>
            <w:r w:rsidRPr="00262A93">
              <w:rPr>
                <w:rFonts w:ascii="Arial" w:hAnsi="Arial"/>
                <w:sz w:val="20"/>
              </w:rPr>
              <w:t>Moderate</w:t>
            </w:r>
          </w:p>
          <w:p w14:paraId="00E4BF56" w14:textId="77777777" w:rsidR="00262A93" w:rsidRPr="00262A93" w:rsidRDefault="00262A93" w:rsidP="00262A93">
            <w:pPr>
              <w:tabs>
                <w:tab w:val="left" w:pos="1080"/>
              </w:tabs>
              <w:jc w:val="both"/>
              <w:rPr>
                <w:rFonts w:ascii="Arial" w:hAnsi="Arial"/>
                <w:sz w:val="20"/>
                <w:lang w:val="ms-MY"/>
              </w:rPr>
            </w:pPr>
            <w:r w:rsidRPr="00262A93">
              <w:rPr>
                <w:rFonts w:ascii="Arial" w:hAnsi="Arial"/>
                <w:sz w:val="20"/>
              </w:rPr>
              <w:t>Tall</w:t>
            </w:r>
          </w:p>
        </w:tc>
        <w:tc>
          <w:tcPr>
            <w:tcW w:w="1627" w:type="dxa"/>
            <w:tcBorders>
              <w:top w:val="single" w:sz="4" w:space="0" w:color="auto"/>
              <w:bottom w:val="single" w:sz="4" w:space="0" w:color="auto"/>
            </w:tcBorders>
          </w:tcPr>
          <w:p w14:paraId="628CFF69" w14:textId="77777777" w:rsidR="00262A93" w:rsidRPr="00262A93" w:rsidRDefault="00262A93" w:rsidP="00262A93">
            <w:pPr>
              <w:tabs>
                <w:tab w:val="left" w:pos="1080"/>
              </w:tabs>
              <w:jc w:val="both"/>
              <w:rPr>
                <w:rFonts w:ascii="Arial" w:hAnsi="Arial"/>
                <w:sz w:val="20"/>
                <w:lang w:val="en-GB"/>
              </w:rPr>
            </w:pPr>
          </w:p>
          <w:p w14:paraId="562F4FB0"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rPr>
              <w:t>0</w:t>
            </w:r>
          </w:p>
          <w:p w14:paraId="7010F17F"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rPr>
              <w:t>96</w:t>
            </w:r>
          </w:p>
          <w:p w14:paraId="550D77D1"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rPr>
              <w:t>404</w:t>
            </w:r>
          </w:p>
        </w:tc>
        <w:tc>
          <w:tcPr>
            <w:tcW w:w="1876" w:type="dxa"/>
            <w:tcBorders>
              <w:top w:val="single" w:sz="4" w:space="0" w:color="auto"/>
              <w:bottom w:val="single" w:sz="4" w:space="0" w:color="auto"/>
            </w:tcBorders>
          </w:tcPr>
          <w:p w14:paraId="00BA6F50" w14:textId="77777777" w:rsidR="00262A93" w:rsidRPr="00262A93" w:rsidRDefault="00262A93" w:rsidP="00262A93">
            <w:pPr>
              <w:tabs>
                <w:tab w:val="left" w:pos="1080"/>
              </w:tabs>
              <w:jc w:val="both"/>
              <w:rPr>
                <w:rFonts w:ascii="Arial" w:hAnsi="Arial"/>
                <w:sz w:val="20"/>
                <w:lang w:val="en-GB"/>
              </w:rPr>
            </w:pPr>
          </w:p>
          <w:p w14:paraId="0B4CF023"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rPr>
              <w:t>0</w:t>
            </w:r>
          </w:p>
          <w:p w14:paraId="21A5184E"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rPr>
              <w:t>19.2%</w:t>
            </w:r>
          </w:p>
          <w:p w14:paraId="55A2200B"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rPr>
              <w:t>80.8%</w:t>
            </w:r>
          </w:p>
        </w:tc>
        <w:tc>
          <w:tcPr>
            <w:tcW w:w="996" w:type="dxa"/>
            <w:tcBorders>
              <w:top w:val="single" w:sz="4" w:space="0" w:color="auto"/>
              <w:bottom w:val="single" w:sz="4" w:space="0" w:color="auto"/>
            </w:tcBorders>
          </w:tcPr>
          <w:p w14:paraId="47B434ED" w14:textId="77777777" w:rsidR="00262A93" w:rsidRPr="00262A93" w:rsidRDefault="00262A93" w:rsidP="00262A93">
            <w:pPr>
              <w:tabs>
                <w:tab w:val="left" w:pos="1080"/>
              </w:tabs>
              <w:jc w:val="both"/>
              <w:rPr>
                <w:rFonts w:ascii="Arial" w:hAnsi="Arial"/>
                <w:sz w:val="20"/>
                <w:lang w:val="en-GB"/>
              </w:rPr>
            </w:pPr>
          </w:p>
          <w:p w14:paraId="675F520B" w14:textId="77777777" w:rsidR="00262A93" w:rsidRPr="00262A93" w:rsidRDefault="00262A93" w:rsidP="00262A93">
            <w:pPr>
              <w:tabs>
                <w:tab w:val="left" w:pos="1080"/>
              </w:tabs>
              <w:jc w:val="both"/>
              <w:rPr>
                <w:rFonts w:ascii="Arial" w:hAnsi="Arial"/>
                <w:sz w:val="20"/>
                <w:lang w:val="en-GB"/>
              </w:rPr>
            </w:pPr>
          </w:p>
          <w:p w14:paraId="4EDB6A0E"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rPr>
              <w:t>2.81</w:t>
            </w:r>
          </w:p>
        </w:tc>
        <w:tc>
          <w:tcPr>
            <w:tcW w:w="992" w:type="dxa"/>
            <w:tcBorders>
              <w:top w:val="single" w:sz="4" w:space="0" w:color="auto"/>
              <w:bottom w:val="single" w:sz="4" w:space="0" w:color="auto"/>
            </w:tcBorders>
          </w:tcPr>
          <w:p w14:paraId="528070CE" w14:textId="77777777" w:rsidR="00262A93" w:rsidRPr="00262A93" w:rsidRDefault="00262A93" w:rsidP="00262A93">
            <w:pPr>
              <w:tabs>
                <w:tab w:val="left" w:pos="1080"/>
              </w:tabs>
              <w:jc w:val="both"/>
              <w:rPr>
                <w:rFonts w:ascii="Arial" w:hAnsi="Arial"/>
                <w:sz w:val="20"/>
                <w:lang w:val="en-GB"/>
              </w:rPr>
            </w:pPr>
          </w:p>
          <w:p w14:paraId="247460E2" w14:textId="77777777" w:rsidR="00262A93" w:rsidRPr="00262A93" w:rsidRDefault="00262A93" w:rsidP="00262A93">
            <w:pPr>
              <w:tabs>
                <w:tab w:val="left" w:pos="1080"/>
              </w:tabs>
              <w:jc w:val="both"/>
              <w:rPr>
                <w:rFonts w:ascii="Arial" w:hAnsi="Arial"/>
                <w:sz w:val="20"/>
                <w:lang w:val="en-GB"/>
              </w:rPr>
            </w:pPr>
          </w:p>
          <w:p w14:paraId="1FB593F9"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rPr>
              <w:t>0.394</w:t>
            </w:r>
          </w:p>
        </w:tc>
      </w:tr>
    </w:tbl>
    <w:p w14:paraId="09D0D9E5" w14:textId="77777777" w:rsidR="00262A93" w:rsidRPr="00262A93" w:rsidRDefault="00262A93" w:rsidP="00262A93">
      <w:pPr>
        <w:tabs>
          <w:tab w:val="left" w:pos="1080"/>
        </w:tabs>
        <w:jc w:val="both"/>
        <w:rPr>
          <w:rFonts w:ascii="Arial" w:hAnsi="Arial"/>
          <w:bCs/>
          <w:sz w:val="18"/>
          <w:szCs w:val="18"/>
          <w:lang w:val="en-GB"/>
        </w:rPr>
      </w:pPr>
      <w:r w:rsidRPr="00262A93">
        <w:rPr>
          <w:rFonts w:ascii="Arial" w:hAnsi="Arial"/>
          <w:bCs/>
          <w:sz w:val="18"/>
          <w:szCs w:val="18"/>
        </w:rPr>
        <w:t>Source: Current data</w:t>
      </w:r>
    </w:p>
    <w:p w14:paraId="1E64EAA1" w14:textId="77777777" w:rsidR="00D44FE0" w:rsidRDefault="00D44FE0" w:rsidP="000964D8">
      <w:pPr>
        <w:tabs>
          <w:tab w:val="left" w:pos="1080"/>
        </w:tabs>
        <w:jc w:val="both"/>
        <w:rPr>
          <w:rFonts w:ascii="Arial" w:hAnsi="Arial"/>
          <w:b/>
        </w:rPr>
      </w:pPr>
    </w:p>
    <w:p w14:paraId="2E991CBC" w14:textId="77777777" w:rsidR="00262A93" w:rsidRDefault="00262A93" w:rsidP="00262A93">
      <w:pPr>
        <w:spacing w:line="276" w:lineRule="auto"/>
        <w:jc w:val="both"/>
        <w:rPr>
          <w:szCs w:val="24"/>
        </w:rPr>
      </w:pPr>
      <w:r w:rsidRPr="00092EC0">
        <w:rPr>
          <w:szCs w:val="24"/>
        </w:rPr>
        <w:t>Table 4 presents the Pearson correlation coefficient among three main constructs: awareness, promotion, and public perception. All correlations were statistically significant at p &lt; 0.01. A strong positive correlation was observed between Awareness and Promotion (r = 0.616, p &lt; 0.01), suggesting that higher levels of awareness were associated with increased promotional efforts. Promotion also showed a strong positive correlation with public perception (r = 0.646, p &lt; 0.01), suggesting that an effective promotional strategy was positively correlated with public perception. Similarly, awareness correlated moderately and positively with public perception (r = 0.515, p &lt; 0.01), suggesting that greater awareness contributes to better public perception. These findings imply that awareness and promotion play an important role in shaping public perception, supporting their inclusion as key variables in the conceptual framework.</w:t>
      </w:r>
    </w:p>
    <w:p w14:paraId="0149F178" w14:textId="77777777" w:rsidR="00D44FE0" w:rsidRDefault="00D44FE0" w:rsidP="000964D8">
      <w:pPr>
        <w:tabs>
          <w:tab w:val="left" w:pos="1080"/>
        </w:tabs>
        <w:jc w:val="both"/>
        <w:rPr>
          <w:rFonts w:ascii="Arial" w:hAnsi="Arial"/>
          <w:b/>
        </w:rPr>
      </w:pPr>
    </w:p>
    <w:p w14:paraId="64DA4BA6" w14:textId="0DAD778F" w:rsidR="00262A93" w:rsidRDefault="00262A93" w:rsidP="00262A93">
      <w:pPr>
        <w:tabs>
          <w:tab w:val="left" w:pos="1080"/>
        </w:tabs>
        <w:jc w:val="both"/>
        <w:rPr>
          <w:rFonts w:ascii="Arial" w:hAnsi="Arial"/>
          <w:b/>
          <w:bCs/>
          <w:lang w:val="en-GB"/>
        </w:rPr>
      </w:pPr>
      <w:bookmarkStart w:id="0" w:name="_GoBack"/>
      <w:r w:rsidRPr="00262A93">
        <w:rPr>
          <w:rFonts w:ascii="Arial" w:hAnsi="Arial"/>
          <w:b/>
          <w:bCs/>
        </w:rPr>
        <w:t>Table</w:t>
      </w:r>
      <w:bookmarkEnd w:id="0"/>
      <w:r w:rsidRPr="00262A93">
        <w:rPr>
          <w:rFonts w:ascii="Arial" w:hAnsi="Arial"/>
          <w:b/>
          <w:bCs/>
        </w:rPr>
        <w:t xml:space="preserve"> 4. Pearson Correlation</w:t>
      </w:r>
    </w:p>
    <w:p w14:paraId="03D27F6E" w14:textId="77777777" w:rsidR="00262A93" w:rsidRPr="00262A93" w:rsidRDefault="00262A93" w:rsidP="00262A93">
      <w:pPr>
        <w:tabs>
          <w:tab w:val="left" w:pos="1080"/>
        </w:tabs>
        <w:jc w:val="both"/>
        <w:rPr>
          <w:rFonts w:ascii="Arial" w:hAnsi="Arial"/>
          <w:b/>
          <w:bCs/>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1290"/>
        <w:gridCol w:w="1134"/>
        <w:gridCol w:w="992"/>
      </w:tblGrid>
      <w:tr w:rsidR="00262A93" w:rsidRPr="00262A93" w14:paraId="4FAE3373" w14:textId="77777777" w:rsidTr="0090743B">
        <w:trPr>
          <w:jc w:val="center"/>
        </w:trPr>
        <w:tc>
          <w:tcPr>
            <w:tcW w:w="2254" w:type="dxa"/>
            <w:tcBorders>
              <w:top w:val="single" w:sz="4" w:space="0" w:color="auto"/>
              <w:bottom w:val="single" w:sz="4" w:space="0" w:color="auto"/>
            </w:tcBorders>
          </w:tcPr>
          <w:p w14:paraId="2594FBB1" w14:textId="77777777" w:rsidR="00262A93" w:rsidRPr="00262A93" w:rsidRDefault="00262A93" w:rsidP="00262A93">
            <w:pPr>
              <w:tabs>
                <w:tab w:val="left" w:pos="1080"/>
              </w:tabs>
              <w:jc w:val="both"/>
              <w:rPr>
                <w:rFonts w:ascii="Arial" w:hAnsi="Arial"/>
                <w:sz w:val="20"/>
                <w:lang w:val="en-GB"/>
              </w:rPr>
            </w:pPr>
          </w:p>
        </w:tc>
        <w:tc>
          <w:tcPr>
            <w:tcW w:w="1290" w:type="dxa"/>
            <w:tcBorders>
              <w:top w:val="single" w:sz="4" w:space="0" w:color="auto"/>
              <w:bottom w:val="single" w:sz="4" w:space="0" w:color="auto"/>
            </w:tcBorders>
          </w:tcPr>
          <w:p w14:paraId="5F888DB7"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rPr>
              <w:t>1</w:t>
            </w:r>
          </w:p>
        </w:tc>
        <w:tc>
          <w:tcPr>
            <w:tcW w:w="1134" w:type="dxa"/>
            <w:tcBorders>
              <w:top w:val="single" w:sz="4" w:space="0" w:color="auto"/>
              <w:bottom w:val="single" w:sz="4" w:space="0" w:color="auto"/>
            </w:tcBorders>
          </w:tcPr>
          <w:p w14:paraId="14B18C36"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rPr>
              <w:t>2</w:t>
            </w:r>
          </w:p>
        </w:tc>
        <w:tc>
          <w:tcPr>
            <w:tcW w:w="992" w:type="dxa"/>
            <w:tcBorders>
              <w:top w:val="single" w:sz="4" w:space="0" w:color="auto"/>
              <w:bottom w:val="single" w:sz="4" w:space="0" w:color="auto"/>
            </w:tcBorders>
          </w:tcPr>
          <w:p w14:paraId="7A5CA837"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rPr>
              <w:t>3</w:t>
            </w:r>
          </w:p>
        </w:tc>
      </w:tr>
      <w:tr w:rsidR="00262A93" w:rsidRPr="00262A93" w14:paraId="12F2F347" w14:textId="77777777" w:rsidTr="0090743B">
        <w:trPr>
          <w:jc w:val="center"/>
        </w:trPr>
        <w:tc>
          <w:tcPr>
            <w:tcW w:w="2254" w:type="dxa"/>
            <w:tcBorders>
              <w:top w:val="single" w:sz="4" w:space="0" w:color="auto"/>
            </w:tcBorders>
          </w:tcPr>
          <w:p w14:paraId="68F8AB26" w14:textId="77777777" w:rsidR="00262A93" w:rsidRPr="00262A93" w:rsidRDefault="00262A93" w:rsidP="00262A93">
            <w:pPr>
              <w:tabs>
                <w:tab w:val="left" w:pos="1080"/>
              </w:tabs>
              <w:jc w:val="both"/>
              <w:rPr>
                <w:rFonts w:ascii="Arial" w:hAnsi="Arial"/>
                <w:b/>
                <w:bCs/>
                <w:sz w:val="20"/>
                <w:lang w:val="ms-MY"/>
              </w:rPr>
            </w:pPr>
            <w:r w:rsidRPr="00262A93">
              <w:rPr>
                <w:rFonts w:ascii="Arial" w:hAnsi="Arial"/>
                <w:b/>
                <w:bCs/>
                <w:sz w:val="20"/>
              </w:rPr>
              <w:t>Awareness</w:t>
            </w:r>
          </w:p>
        </w:tc>
        <w:tc>
          <w:tcPr>
            <w:tcW w:w="1290" w:type="dxa"/>
            <w:tcBorders>
              <w:top w:val="single" w:sz="4" w:space="0" w:color="auto"/>
            </w:tcBorders>
          </w:tcPr>
          <w:p w14:paraId="26CAD1FC"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rPr>
              <w:t>1.000</w:t>
            </w:r>
          </w:p>
        </w:tc>
        <w:tc>
          <w:tcPr>
            <w:tcW w:w="1134" w:type="dxa"/>
            <w:tcBorders>
              <w:top w:val="single" w:sz="4" w:space="0" w:color="auto"/>
            </w:tcBorders>
          </w:tcPr>
          <w:p w14:paraId="4DE669B7" w14:textId="77777777" w:rsidR="00262A93" w:rsidRPr="00262A93" w:rsidRDefault="00262A93" w:rsidP="00262A93">
            <w:pPr>
              <w:tabs>
                <w:tab w:val="left" w:pos="1080"/>
              </w:tabs>
              <w:jc w:val="both"/>
              <w:rPr>
                <w:rFonts w:ascii="Arial" w:hAnsi="Arial"/>
                <w:sz w:val="20"/>
                <w:lang w:val="en-GB"/>
              </w:rPr>
            </w:pPr>
          </w:p>
        </w:tc>
        <w:tc>
          <w:tcPr>
            <w:tcW w:w="992" w:type="dxa"/>
            <w:tcBorders>
              <w:top w:val="single" w:sz="4" w:space="0" w:color="auto"/>
            </w:tcBorders>
          </w:tcPr>
          <w:p w14:paraId="1B728206" w14:textId="77777777" w:rsidR="00262A93" w:rsidRPr="00262A93" w:rsidRDefault="00262A93" w:rsidP="00262A93">
            <w:pPr>
              <w:tabs>
                <w:tab w:val="left" w:pos="1080"/>
              </w:tabs>
              <w:jc w:val="both"/>
              <w:rPr>
                <w:rFonts w:ascii="Arial" w:hAnsi="Arial"/>
                <w:sz w:val="20"/>
                <w:lang w:val="en-GB"/>
              </w:rPr>
            </w:pPr>
          </w:p>
        </w:tc>
      </w:tr>
      <w:tr w:rsidR="00262A93" w:rsidRPr="00262A93" w14:paraId="186151CC" w14:textId="77777777" w:rsidTr="0090743B">
        <w:trPr>
          <w:jc w:val="center"/>
        </w:trPr>
        <w:tc>
          <w:tcPr>
            <w:tcW w:w="2254" w:type="dxa"/>
          </w:tcPr>
          <w:p w14:paraId="0D6BAF22" w14:textId="77777777" w:rsidR="00262A93" w:rsidRPr="00262A93" w:rsidRDefault="00262A93" w:rsidP="00262A93">
            <w:pPr>
              <w:tabs>
                <w:tab w:val="left" w:pos="1080"/>
              </w:tabs>
              <w:jc w:val="both"/>
              <w:rPr>
                <w:rFonts w:ascii="Arial" w:hAnsi="Arial"/>
                <w:b/>
                <w:bCs/>
                <w:sz w:val="20"/>
                <w:lang w:val="ms-MY"/>
              </w:rPr>
            </w:pPr>
            <w:r w:rsidRPr="00262A93">
              <w:rPr>
                <w:rFonts w:ascii="Arial" w:hAnsi="Arial"/>
                <w:b/>
                <w:bCs/>
                <w:sz w:val="20"/>
              </w:rPr>
              <w:t xml:space="preserve">Promotion </w:t>
            </w:r>
          </w:p>
        </w:tc>
        <w:tc>
          <w:tcPr>
            <w:tcW w:w="1290" w:type="dxa"/>
          </w:tcPr>
          <w:p w14:paraId="772A51A3"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rPr>
              <w:t>0.616**</w:t>
            </w:r>
          </w:p>
        </w:tc>
        <w:tc>
          <w:tcPr>
            <w:tcW w:w="1134" w:type="dxa"/>
          </w:tcPr>
          <w:p w14:paraId="2D8AD373"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rPr>
              <w:t>1.000</w:t>
            </w:r>
          </w:p>
        </w:tc>
        <w:tc>
          <w:tcPr>
            <w:tcW w:w="992" w:type="dxa"/>
          </w:tcPr>
          <w:p w14:paraId="41DEB8B8" w14:textId="77777777" w:rsidR="00262A93" w:rsidRPr="00262A93" w:rsidRDefault="00262A93" w:rsidP="00262A93">
            <w:pPr>
              <w:tabs>
                <w:tab w:val="left" w:pos="1080"/>
              </w:tabs>
              <w:jc w:val="both"/>
              <w:rPr>
                <w:rFonts w:ascii="Arial" w:hAnsi="Arial"/>
                <w:sz w:val="20"/>
                <w:lang w:val="en-GB"/>
              </w:rPr>
            </w:pPr>
          </w:p>
        </w:tc>
      </w:tr>
      <w:tr w:rsidR="00262A93" w:rsidRPr="00262A93" w14:paraId="79B2CBA4" w14:textId="77777777" w:rsidTr="0090743B">
        <w:trPr>
          <w:jc w:val="center"/>
        </w:trPr>
        <w:tc>
          <w:tcPr>
            <w:tcW w:w="2254" w:type="dxa"/>
            <w:tcBorders>
              <w:bottom w:val="single" w:sz="4" w:space="0" w:color="auto"/>
            </w:tcBorders>
          </w:tcPr>
          <w:p w14:paraId="688BC89D" w14:textId="77777777" w:rsidR="00262A93" w:rsidRPr="00262A93" w:rsidRDefault="00262A93" w:rsidP="00262A93">
            <w:pPr>
              <w:tabs>
                <w:tab w:val="left" w:pos="1080"/>
              </w:tabs>
              <w:jc w:val="both"/>
              <w:rPr>
                <w:rFonts w:ascii="Arial" w:hAnsi="Arial"/>
                <w:b/>
                <w:bCs/>
                <w:sz w:val="20"/>
                <w:lang w:val="ms-MY"/>
              </w:rPr>
            </w:pPr>
            <w:r w:rsidRPr="00262A93">
              <w:rPr>
                <w:rFonts w:ascii="Arial" w:hAnsi="Arial"/>
                <w:b/>
                <w:bCs/>
                <w:sz w:val="20"/>
              </w:rPr>
              <w:t xml:space="preserve">Public Perception </w:t>
            </w:r>
          </w:p>
        </w:tc>
        <w:tc>
          <w:tcPr>
            <w:tcW w:w="1290" w:type="dxa"/>
            <w:tcBorders>
              <w:bottom w:val="single" w:sz="4" w:space="0" w:color="auto"/>
            </w:tcBorders>
          </w:tcPr>
          <w:p w14:paraId="559C1024"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rPr>
              <w:t>0.515**</w:t>
            </w:r>
          </w:p>
        </w:tc>
        <w:tc>
          <w:tcPr>
            <w:tcW w:w="1134" w:type="dxa"/>
            <w:tcBorders>
              <w:bottom w:val="single" w:sz="4" w:space="0" w:color="auto"/>
            </w:tcBorders>
          </w:tcPr>
          <w:p w14:paraId="5F241E80"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rPr>
              <w:t>0.646**</w:t>
            </w:r>
          </w:p>
        </w:tc>
        <w:tc>
          <w:tcPr>
            <w:tcW w:w="992" w:type="dxa"/>
            <w:tcBorders>
              <w:bottom w:val="single" w:sz="4" w:space="0" w:color="auto"/>
            </w:tcBorders>
          </w:tcPr>
          <w:p w14:paraId="07B30426"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rPr>
              <w:t>1.000</w:t>
            </w:r>
          </w:p>
        </w:tc>
      </w:tr>
    </w:tbl>
    <w:p w14:paraId="27818C13" w14:textId="5AF2A34A" w:rsidR="00E053D0" w:rsidRPr="00262A93" w:rsidRDefault="00262A93" w:rsidP="00262A93">
      <w:pPr>
        <w:tabs>
          <w:tab w:val="left" w:pos="1080"/>
        </w:tabs>
        <w:jc w:val="both"/>
        <w:rPr>
          <w:rFonts w:ascii="Arial" w:hAnsi="Arial"/>
          <w:bCs/>
          <w:sz w:val="18"/>
          <w:szCs w:val="18"/>
          <w:lang w:val="en-GB"/>
        </w:rPr>
      </w:pPr>
      <w:r w:rsidRPr="00262A93">
        <w:rPr>
          <w:rFonts w:ascii="Arial" w:hAnsi="Arial"/>
          <w:bCs/>
          <w:sz w:val="18"/>
          <w:szCs w:val="18"/>
        </w:rPr>
        <w:t>**Significance at level 0.05 (2 tails).</w:t>
      </w:r>
    </w:p>
    <w:p w14:paraId="2FE789CC" w14:textId="77777777" w:rsidR="00790ADA" w:rsidRPr="00FB3A86" w:rsidRDefault="00790ADA" w:rsidP="00441B6F">
      <w:pPr>
        <w:pStyle w:val="Body"/>
        <w:spacing w:after="0"/>
        <w:rPr>
          <w:rFonts w:ascii="Arial" w:hAnsi="Arial" w:cs="Arial"/>
        </w:rPr>
      </w:pPr>
    </w:p>
    <w:p w14:paraId="609E293B" w14:textId="0167DDAF" w:rsidR="00B01FCD" w:rsidRDefault="00000F8F" w:rsidP="00441B6F">
      <w:pPr>
        <w:pStyle w:val="ConcHead"/>
        <w:spacing w:after="0"/>
        <w:jc w:val="both"/>
        <w:rPr>
          <w:rFonts w:ascii="Arial" w:hAnsi="Arial" w:cs="Arial"/>
        </w:rPr>
      </w:pPr>
      <w:r>
        <w:rPr>
          <w:rFonts w:ascii="Arial" w:hAnsi="Arial" w:cs="Arial"/>
        </w:rPr>
        <w:t>4. DISCUSSION</w:t>
      </w:r>
    </w:p>
    <w:p w14:paraId="2EA09945" w14:textId="77777777" w:rsidR="00790ADA" w:rsidRPr="00FB3A86" w:rsidRDefault="00790ADA" w:rsidP="00441B6F">
      <w:pPr>
        <w:pStyle w:val="ConcHead"/>
        <w:spacing w:after="0"/>
        <w:jc w:val="both"/>
        <w:rPr>
          <w:rFonts w:ascii="Arial" w:hAnsi="Arial" w:cs="Arial"/>
        </w:rPr>
      </w:pPr>
    </w:p>
    <w:p w14:paraId="51F7A6F3" w14:textId="77777777" w:rsidR="00262A93" w:rsidRPr="00262A93" w:rsidRDefault="00262A93" w:rsidP="00262A93">
      <w:pPr>
        <w:pStyle w:val="Body"/>
        <w:rPr>
          <w:rFonts w:ascii="Arial" w:hAnsi="Arial" w:cs="Arial"/>
          <w:lang w:val="en-GB"/>
        </w:rPr>
      </w:pPr>
      <w:r w:rsidRPr="00262A93">
        <w:rPr>
          <w:rFonts w:ascii="Arial" w:hAnsi="Arial" w:cs="Arial"/>
        </w:rPr>
        <w:t>Based on the background of the study, it can be concluded that the gender composition of the sample is relatively balanced, with females comprising 53.6% (n = 268) and males 46.4% (n = 232). In terms of marital status, 49.6% (n = 248) of respondents were married, while 47.6% (n = 238) were single, and 2.8% (n = 14) were divorced. The ethnic distribution showed that the majority were Malays (76.8%, n = 384), followed by Bumiputera from Sabah and Sarawak (20.0%, n = 100), with smaller representations of Chinese (2.2%, n = 11) and Indian (1.0%, n = 5) respondents. In terms of age, most respondents were between 20-25 years old (28%). With regard to monthly income, the majority (64.2%) earn less than RM3,000 and only 31.0% have a TVET background. The results of the descriptive analysis show that most of the respondents show a high level of public awareness, promotion, and perception regarding Technical and Vocational Education and Training (TVET). Specifically, 77% reported high awareness, 74.4% felt strong promotional efforts, and 80.8% reflected a high level of public perception of TVET. Mean scores for awareness (M = 2.77), promotion (M = 2.74), and public perception (M = 2.81) support these findings, as they are within the high range of interpretation. These results show that respondents are generally well-informed and have a good view of TVET, which can positively affect people's acceptance and engagement with vocational and technical pathways.</w:t>
      </w:r>
    </w:p>
    <w:p w14:paraId="1B64A314" w14:textId="314066AB" w:rsidR="00262A93" w:rsidRPr="00262A93" w:rsidRDefault="00262A93" w:rsidP="00262A93">
      <w:pPr>
        <w:pStyle w:val="Body"/>
        <w:rPr>
          <w:rFonts w:ascii="Arial" w:hAnsi="Arial" w:cs="Arial"/>
          <w:b/>
          <w:bCs/>
          <w:lang w:val="en-GB"/>
        </w:rPr>
      </w:pPr>
      <w:r w:rsidRPr="00262A93">
        <w:rPr>
          <w:rFonts w:ascii="Arial" w:hAnsi="Arial" w:cs="Arial"/>
        </w:rPr>
        <w:t xml:space="preserve">High awareness implies that respondents are well-informed about TVET programs and their benefits, while strong promotion suggests effective outreach and communication strategies (Bravo &amp; </w:t>
      </w:r>
      <w:proofErr w:type="spellStart"/>
      <w:r w:rsidRPr="00262A93">
        <w:rPr>
          <w:rFonts w:ascii="Arial" w:hAnsi="Arial" w:cs="Arial"/>
        </w:rPr>
        <w:t>Escárate</w:t>
      </w:r>
      <w:proofErr w:type="spellEnd"/>
      <w:r w:rsidRPr="00262A93">
        <w:rPr>
          <w:rFonts w:ascii="Arial" w:hAnsi="Arial" w:cs="Arial"/>
        </w:rPr>
        <w:t>, 2024). In addition, the high level of public perception indicates the increasing public recognition and acceptance of TVET as a credible and valuable educational path. These findings are in line with a study</w:t>
      </w:r>
      <w:r w:rsidR="0049005E">
        <w:rPr>
          <w:rFonts w:ascii="Arial" w:hAnsi="Arial" w:cs="Arial"/>
        </w:rPr>
        <w:t xml:space="preserve"> by Guo and Qi (2024) and </w:t>
      </w:r>
      <w:proofErr w:type="spellStart"/>
      <w:r w:rsidR="0049005E" w:rsidRPr="0049005E">
        <w:rPr>
          <w:rFonts w:ascii="Arial" w:hAnsi="Arial" w:cs="Arial"/>
        </w:rPr>
        <w:t>Taua'a</w:t>
      </w:r>
      <w:proofErr w:type="spellEnd"/>
      <w:r w:rsidR="0049005E" w:rsidRPr="0049005E">
        <w:rPr>
          <w:rFonts w:ascii="Arial" w:hAnsi="Arial" w:cs="Arial"/>
        </w:rPr>
        <w:t xml:space="preserve"> and </w:t>
      </w:r>
      <w:proofErr w:type="spellStart"/>
      <w:r w:rsidR="0049005E" w:rsidRPr="0049005E">
        <w:rPr>
          <w:rFonts w:ascii="Arial" w:hAnsi="Arial" w:cs="Arial"/>
        </w:rPr>
        <w:t>Penaia</w:t>
      </w:r>
      <w:proofErr w:type="spellEnd"/>
      <w:r w:rsidR="0049005E" w:rsidRPr="0049005E">
        <w:rPr>
          <w:rFonts w:ascii="Arial" w:hAnsi="Arial" w:cs="Arial"/>
        </w:rPr>
        <w:t xml:space="preserve"> (2021)</w:t>
      </w:r>
      <w:r w:rsidRPr="0049005E">
        <w:rPr>
          <w:rFonts w:ascii="Arial" w:hAnsi="Arial" w:cs="Arial"/>
        </w:rPr>
        <w:t>, which highlights the significant contribution of TVET to the economic development of the community and the positive perception that preparatory school students have of vocational education. These findings are significant, as positive perceptions and increased awareness are important drivers for increasing enrollment, reducing stigma, and driving</w:t>
      </w:r>
      <w:r w:rsidRPr="00262A93">
        <w:rPr>
          <w:rFonts w:ascii="Arial" w:hAnsi="Arial" w:cs="Arial"/>
        </w:rPr>
        <w:t xml:space="preserve"> alignment between TVET and the demands of the national workforce. As such, the results not only reflect current attitudes but also justify continued investment in TVET promotion and policy improvement.</w:t>
      </w:r>
    </w:p>
    <w:p w14:paraId="378E27B7" w14:textId="5585B65F" w:rsidR="00262A93" w:rsidRDefault="00262A93" w:rsidP="00262A93">
      <w:pPr>
        <w:pStyle w:val="Body"/>
        <w:spacing w:after="0"/>
        <w:rPr>
          <w:szCs w:val="24"/>
        </w:rPr>
      </w:pPr>
      <w:r w:rsidRPr="00262A93">
        <w:rPr>
          <w:rFonts w:ascii="Arial" w:hAnsi="Arial" w:cs="Arial"/>
        </w:rPr>
        <w:t xml:space="preserve">These findings highlight a significant link between public awareness, promotion and perception of TVET in Malaysia. The positive correlation suggests that effective promotional efforts are </w:t>
      </w:r>
      <w:r w:rsidRPr="0049005E">
        <w:rPr>
          <w:rFonts w:ascii="Arial" w:hAnsi="Arial" w:cs="Arial"/>
        </w:rPr>
        <w:t xml:space="preserve">key to raising public awareness, which in turn fosters a more favorable perception of TVET. This supports previous research showing that limited access to accurate information </w:t>
      </w:r>
      <w:r w:rsidRPr="0049005E">
        <w:rPr>
          <w:szCs w:val="24"/>
        </w:rPr>
        <w:t>and weak promotional strategies contribute to negative public views of vocational education (</w:t>
      </w:r>
      <w:r w:rsidR="0049005E" w:rsidRPr="0049005E">
        <w:rPr>
          <w:rFonts w:ascii="Arial" w:hAnsi="Arial" w:cs="Arial"/>
        </w:rPr>
        <w:t>Adams et al., 2024</w:t>
      </w:r>
      <w:r w:rsidRPr="0049005E">
        <w:rPr>
          <w:szCs w:val="24"/>
        </w:rPr>
        <w:t>). The strong relationship between promotion and perception further emphasizes the role of targeted communication in reshaping outdated stereotypes that associate TVET with underperforming and low-status jobs. These findings suggest that collaborative efforts involving government bodies, TVET institutions, and industry stakeholders are essential to improve the image of TVET</w:t>
      </w:r>
      <w:r w:rsidR="0049005E">
        <w:rPr>
          <w:szCs w:val="24"/>
        </w:rPr>
        <w:t xml:space="preserve"> (Rus et al., 2023)</w:t>
      </w:r>
      <w:r w:rsidRPr="0049005E">
        <w:rPr>
          <w:szCs w:val="24"/>
        </w:rPr>
        <w:t>. By implementing</w:t>
      </w:r>
      <w:r w:rsidRPr="00AF187A">
        <w:rPr>
          <w:szCs w:val="24"/>
        </w:rPr>
        <w:t xml:space="preserve"> strategic awareness </w:t>
      </w:r>
      <w:r w:rsidRPr="00AF187A">
        <w:rPr>
          <w:szCs w:val="24"/>
        </w:rPr>
        <w:lastRenderedPageBreak/>
        <w:t>campaigns and increasing outreach, TVET can be positioned as a valuable and respected educational and career pathway that aligns with Malaysia's economic and workforce goals</w:t>
      </w:r>
      <w:r w:rsidR="005B4963">
        <w:rPr>
          <w:szCs w:val="24"/>
        </w:rPr>
        <w:t xml:space="preserve">. </w:t>
      </w:r>
    </w:p>
    <w:p w14:paraId="00D5C931" w14:textId="77777777" w:rsidR="005B4963" w:rsidRDefault="005B4963" w:rsidP="00262A93">
      <w:pPr>
        <w:pStyle w:val="Body"/>
        <w:spacing w:after="0"/>
        <w:rPr>
          <w:szCs w:val="24"/>
        </w:rPr>
      </w:pPr>
    </w:p>
    <w:p w14:paraId="5F8C021A" w14:textId="00C91301" w:rsidR="005B4963" w:rsidRDefault="005B4963" w:rsidP="005B4963">
      <w:pPr>
        <w:pStyle w:val="AcknHead"/>
        <w:spacing w:after="0"/>
        <w:jc w:val="both"/>
        <w:rPr>
          <w:rFonts w:ascii="Arial" w:hAnsi="Arial" w:cs="Arial"/>
        </w:rPr>
      </w:pPr>
      <w:r>
        <w:rPr>
          <w:rFonts w:ascii="Arial" w:hAnsi="Arial" w:cs="Arial"/>
        </w:rPr>
        <w:t xml:space="preserve">SUGGESTION </w:t>
      </w:r>
    </w:p>
    <w:p w14:paraId="1381FA77" w14:textId="43FD3807" w:rsidR="005B4963" w:rsidRDefault="005B4963" w:rsidP="005B4963">
      <w:pPr>
        <w:pStyle w:val="AcknHead"/>
        <w:spacing w:after="0"/>
        <w:jc w:val="both"/>
        <w:rPr>
          <w:rFonts w:ascii="Arial" w:hAnsi="Arial" w:cs="Arial"/>
        </w:rPr>
      </w:pPr>
    </w:p>
    <w:p w14:paraId="5A764C50" w14:textId="77777777" w:rsidR="00564B59" w:rsidRPr="00564B59" w:rsidRDefault="005B4963" w:rsidP="00564B59">
      <w:pPr>
        <w:jc w:val="both"/>
        <w:rPr>
          <w:rFonts w:ascii="Arial" w:hAnsi="Arial" w:cs="Arial"/>
        </w:rPr>
      </w:pPr>
      <w:r>
        <w:rPr>
          <w:rFonts w:ascii="Arial" w:hAnsi="Arial" w:cs="Arial"/>
        </w:rPr>
        <w:t>Based on the findings, several suggestions can be made to further strengthen of public awareness, promotion and perception of TVET in Malaysia.</w:t>
      </w:r>
      <w:r w:rsidR="00564B59">
        <w:rPr>
          <w:rFonts w:ascii="Arial" w:hAnsi="Arial" w:cs="Arial"/>
        </w:rPr>
        <w:t xml:space="preserve"> Efforts on TVET promotion should be strengthened to encourage more strategic outreach, including social media campaigns, school engagement, and collaboration with industry. By enhancing the visibility of TVET will attract more interest and positive awareness among the public. </w:t>
      </w:r>
      <w:r w:rsidR="00564B59" w:rsidRPr="00564B59">
        <w:rPr>
          <w:rFonts w:ascii="Arial" w:hAnsi="Arial" w:cs="Arial"/>
        </w:rPr>
        <w:t xml:space="preserve">Strengthening collaboration between government bodies, TVET institutions, and industries </w:t>
      </w:r>
      <w:r w:rsidR="00564B59">
        <w:rPr>
          <w:rFonts w:ascii="Arial" w:hAnsi="Arial" w:cs="Arial"/>
        </w:rPr>
        <w:t>is important to</w:t>
      </w:r>
      <w:r w:rsidR="00564B59" w:rsidRPr="00564B59">
        <w:rPr>
          <w:rFonts w:ascii="Arial" w:hAnsi="Arial" w:cs="Arial"/>
        </w:rPr>
        <w:t xml:space="preserve"> ensure that </w:t>
      </w:r>
      <w:proofErr w:type="spellStart"/>
      <w:r w:rsidR="00564B59" w:rsidRPr="00564B59">
        <w:rPr>
          <w:rFonts w:ascii="Arial" w:hAnsi="Arial" w:cs="Arial"/>
        </w:rPr>
        <w:t>programmes</w:t>
      </w:r>
      <w:proofErr w:type="spellEnd"/>
      <w:r w:rsidR="00564B59" w:rsidRPr="00564B59">
        <w:rPr>
          <w:rFonts w:ascii="Arial" w:hAnsi="Arial" w:cs="Arial"/>
        </w:rPr>
        <w:t xml:space="preserve"> remain relevant to workforce needs and that graduates have strong employment </w:t>
      </w:r>
      <w:proofErr w:type="spellStart"/>
      <w:proofErr w:type="gramStart"/>
      <w:r w:rsidR="00564B59" w:rsidRPr="00564B59">
        <w:rPr>
          <w:rFonts w:ascii="Arial" w:hAnsi="Arial" w:cs="Arial"/>
        </w:rPr>
        <w:t>opportunities.It</w:t>
      </w:r>
      <w:proofErr w:type="spellEnd"/>
      <w:proofErr w:type="gramEnd"/>
      <w:r w:rsidR="00564B59" w:rsidRPr="00564B59">
        <w:rPr>
          <w:rFonts w:ascii="Arial" w:hAnsi="Arial" w:cs="Arial"/>
        </w:rPr>
        <w:t xml:space="preserve"> is also recommended that financial support, scholarships, and upgraded facilities be provided to increase access and improve the quality of TVET institutions. Finally, continuous monitoring and evaluation of awareness, promotion, and perception levels should be conducted to assess the effectiveness of strategies and guide future improvements. These suggestions aim to support the ongoing development of TVET and encourage greater community engagement and acceptance.</w:t>
      </w:r>
    </w:p>
    <w:p w14:paraId="5825A96C" w14:textId="075A8064" w:rsidR="0049005E" w:rsidRDefault="0049005E" w:rsidP="00441B6F">
      <w:pPr>
        <w:pStyle w:val="Body"/>
        <w:spacing w:after="0"/>
        <w:rPr>
          <w:rFonts w:ascii="Arial" w:hAnsi="Arial" w:cs="Arial"/>
        </w:rPr>
      </w:pPr>
    </w:p>
    <w:p w14:paraId="5C1A5FDD" w14:textId="77777777" w:rsidR="005B4963" w:rsidRPr="00FB3A86" w:rsidRDefault="005B4963" w:rsidP="00441B6F">
      <w:pPr>
        <w:pStyle w:val="Body"/>
        <w:spacing w:after="0"/>
        <w:rPr>
          <w:rFonts w:ascii="Arial" w:hAnsi="Arial" w:cs="Arial"/>
        </w:rPr>
      </w:pPr>
    </w:p>
    <w:p w14:paraId="5C556314" w14:textId="14DB0793" w:rsidR="00B01FCD" w:rsidRDefault="00262A93" w:rsidP="00441B6F">
      <w:pPr>
        <w:pStyle w:val="AcknHead"/>
        <w:spacing w:after="0"/>
        <w:jc w:val="both"/>
        <w:rPr>
          <w:rFonts w:ascii="Arial" w:hAnsi="Arial" w:cs="Arial"/>
        </w:rPr>
      </w:pPr>
      <w:r>
        <w:rPr>
          <w:rFonts w:ascii="Arial" w:hAnsi="Arial" w:cs="Arial"/>
        </w:rPr>
        <w:t>CONCLUSION</w:t>
      </w:r>
    </w:p>
    <w:p w14:paraId="52C6CE9B" w14:textId="77777777" w:rsidR="00790ADA" w:rsidRDefault="00790ADA" w:rsidP="00441B6F">
      <w:pPr>
        <w:pStyle w:val="AcknHead"/>
        <w:spacing w:after="0"/>
        <w:jc w:val="both"/>
        <w:rPr>
          <w:rFonts w:ascii="Arial" w:hAnsi="Arial" w:cs="Arial"/>
        </w:rPr>
      </w:pPr>
    </w:p>
    <w:p w14:paraId="3F8DE992" w14:textId="119FAC99" w:rsidR="00564B59" w:rsidRPr="00262A93" w:rsidRDefault="00564B59" w:rsidP="00564B59">
      <w:pPr>
        <w:jc w:val="both"/>
        <w:rPr>
          <w:rFonts w:ascii="Arial" w:hAnsi="Arial" w:cs="Arial"/>
          <w:lang w:val="en-GB"/>
        </w:rPr>
      </w:pPr>
      <w:r w:rsidRPr="00262A93">
        <w:rPr>
          <w:rFonts w:ascii="Arial" w:hAnsi="Arial" w:cs="Arial"/>
          <w:lang w:val="en-GB"/>
        </w:rPr>
        <w:t>This study highlights the crucial role of awareness and promotion in shaping public perception of Technical and Vocational Education and Training (TVET) in Malaysia. The significant positive correlations among these variables indicate that well-executed promotional strategies can effectively increase awareness and enhance how TVET is viewed by the public. Addressing misconceptions through targeted campaigns is essential to reposition TVET as a credible, valuable educational pathway aligned with national development and industrial needs. To ensure long-term impact, collaboration between policymakers, educators, industry stakeholders, and the media is vital. Strengthening the</w:t>
      </w:r>
      <w:r w:rsidRPr="00262A93">
        <w:rPr>
          <w:rFonts w:ascii="Arial" w:hAnsi="Arial" w:cs="Arial"/>
          <w:color w:val="FF0000"/>
          <w:lang w:val="en-GB"/>
        </w:rPr>
        <w:t xml:space="preserve"> </w:t>
      </w:r>
      <w:r w:rsidRPr="00262A93">
        <w:rPr>
          <w:rFonts w:ascii="Arial" w:hAnsi="Arial" w:cs="Arial"/>
          <w:lang w:val="en-GB"/>
        </w:rPr>
        <w:t xml:space="preserve">image of TVET will not only improve </w:t>
      </w:r>
      <w:r w:rsidR="00F05E27" w:rsidRPr="00262A93">
        <w:rPr>
          <w:rFonts w:ascii="Arial" w:hAnsi="Arial" w:cs="Arial"/>
          <w:lang w:val="en-GB"/>
        </w:rPr>
        <w:t>enrolment</w:t>
      </w:r>
      <w:r w:rsidRPr="00262A93">
        <w:rPr>
          <w:rFonts w:ascii="Arial" w:hAnsi="Arial" w:cs="Arial"/>
          <w:lang w:val="en-GB"/>
        </w:rPr>
        <w:t xml:space="preserve"> rates but also support Malaysia’s efforts to build a skilled, future-ready workforce.</w:t>
      </w:r>
    </w:p>
    <w:p w14:paraId="60873F22" w14:textId="77777777" w:rsidR="00564B59" w:rsidRPr="00FB3A86" w:rsidRDefault="00564B59" w:rsidP="00441B6F">
      <w:pPr>
        <w:pStyle w:val="AcknHead"/>
        <w:spacing w:after="0"/>
        <w:jc w:val="both"/>
        <w:rPr>
          <w:rFonts w:ascii="Arial" w:hAnsi="Arial" w:cs="Arial"/>
        </w:rPr>
      </w:pPr>
    </w:p>
    <w:p w14:paraId="7BB7D83D" w14:textId="77777777" w:rsidR="00814A90" w:rsidRDefault="00814A90" w:rsidP="00441B6F">
      <w:pPr>
        <w:pStyle w:val="ReferHead"/>
        <w:spacing w:after="0"/>
        <w:jc w:val="both"/>
        <w:rPr>
          <w:rFonts w:ascii="Arial" w:hAnsi="Arial" w:cs="Arial"/>
          <w:bCs/>
        </w:rPr>
      </w:pPr>
    </w:p>
    <w:p w14:paraId="63DCA137" w14:textId="77777777" w:rsidR="005C784C" w:rsidRPr="00262A93" w:rsidRDefault="005C784C" w:rsidP="00441B6F">
      <w:pPr>
        <w:pStyle w:val="ReferHead"/>
        <w:spacing w:after="0"/>
        <w:jc w:val="both"/>
        <w:rPr>
          <w:rFonts w:ascii="Arial" w:hAnsi="Arial" w:cs="Arial"/>
          <w:b w:val="0"/>
          <w:caps w:val="0"/>
          <w:color w:val="FF0000"/>
          <w:sz w:val="20"/>
        </w:rPr>
      </w:pPr>
    </w:p>
    <w:p w14:paraId="2221AF6C" w14:textId="7F3E57E5" w:rsidR="005C784C" w:rsidRPr="00814A90" w:rsidRDefault="005C784C" w:rsidP="00814A90">
      <w:pPr>
        <w:pStyle w:val="ReferHead"/>
        <w:spacing w:after="0"/>
        <w:jc w:val="both"/>
        <w:rPr>
          <w:rFonts w:ascii="Arial" w:hAnsi="Arial" w:cs="Arial"/>
          <w:bCs/>
        </w:rPr>
      </w:pPr>
      <w:r w:rsidRPr="00814A90">
        <w:rPr>
          <w:rFonts w:ascii="Arial" w:hAnsi="Arial" w:cs="Arial"/>
          <w:bCs/>
        </w:rPr>
        <w:t xml:space="preserve">Ethical </w:t>
      </w:r>
      <w:r w:rsidR="00C7224A">
        <w:rPr>
          <w:rFonts w:ascii="Arial" w:hAnsi="Arial" w:cs="Arial"/>
          <w:bCs/>
        </w:rPr>
        <w:t>APproval:</w:t>
      </w:r>
    </w:p>
    <w:p w14:paraId="0153800E" w14:textId="77777777" w:rsidR="005C784C" w:rsidRPr="00814A90" w:rsidRDefault="005C784C" w:rsidP="00814A90">
      <w:pPr>
        <w:pStyle w:val="ReferHead"/>
        <w:spacing w:after="0"/>
        <w:jc w:val="both"/>
        <w:rPr>
          <w:rFonts w:ascii="Arial" w:hAnsi="Arial" w:cs="Arial"/>
          <w:bCs/>
        </w:rPr>
      </w:pPr>
    </w:p>
    <w:p w14:paraId="14FBF7EE" w14:textId="47FB6A36" w:rsidR="00860000" w:rsidRPr="00814A90" w:rsidRDefault="00814A90" w:rsidP="00814A90">
      <w:pPr>
        <w:pStyle w:val="ReferHead"/>
        <w:spacing w:after="0"/>
        <w:jc w:val="both"/>
        <w:rPr>
          <w:rFonts w:ascii="Arial" w:hAnsi="Arial" w:cs="Arial"/>
          <w:b w:val="0"/>
          <w:caps w:val="0"/>
          <w:sz w:val="20"/>
        </w:rPr>
      </w:pPr>
      <w:r w:rsidRPr="00814A90">
        <w:rPr>
          <w:rFonts w:ascii="Arial" w:hAnsi="Arial" w:cs="Arial"/>
          <w:b w:val="0"/>
          <w:caps w:val="0"/>
          <w:sz w:val="20"/>
        </w:rPr>
        <w:t xml:space="preserve">All authors hereby declare that this research involving human participants has been reviewed and approved by  the </w:t>
      </w:r>
      <w:r w:rsidRPr="00814A90">
        <w:rPr>
          <w:rFonts w:ascii="Arial" w:hAnsi="Arial" w:cs="Arial"/>
          <w:b w:val="0"/>
          <w:bCs/>
          <w:caps w:val="0"/>
          <w:sz w:val="20"/>
        </w:rPr>
        <w:t xml:space="preserve">Ethics Committee for Research Involving Human Subjects, </w:t>
      </w:r>
      <w:proofErr w:type="spellStart"/>
      <w:r w:rsidRPr="00814A90">
        <w:rPr>
          <w:rFonts w:ascii="Arial" w:hAnsi="Arial" w:cs="Arial"/>
          <w:b w:val="0"/>
          <w:bCs/>
          <w:caps w:val="0"/>
          <w:sz w:val="20"/>
        </w:rPr>
        <w:t>Universiti</w:t>
      </w:r>
      <w:proofErr w:type="spellEnd"/>
      <w:r w:rsidRPr="00814A90">
        <w:rPr>
          <w:rFonts w:ascii="Arial" w:hAnsi="Arial" w:cs="Arial"/>
          <w:b w:val="0"/>
          <w:bCs/>
          <w:caps w:val="0"/>
          <w:sz w:val="20"/>
        </w:rPr>
        <w:t xml:space="preserve"> Putra Malaysia (JKEUPM).</w:t>
      </w:r>
      <w:r w:rsidRPr="00814A90">
        <w:rPr>
          <w:rFonts w:ascii="Arial" w:hAnsi="Arial" w:cs="Arial"/>
          <w:b w:val="0"/>
          <w:caps w:val="0"/>
          <w:sz w:val="20"/>
        </w:rPr>
        <w:t xml:space="preserve"> The research project titled </w:t>
      </w:r>
      <w:r w:rsidRPr="00814A90">
        <w:rPr>
          <w:rFonts w:ascii="Arial" w:hAnsi="Arial" w:cs="Arial"/>
          <w:b w:val="0"/>
          <w:i/>
          <w:iCs/>
          <w:caps w:val="0"/>
          <w:sz w:val="20"/>
        </w:rPr>
        <w:t>"Rebranding the Image of TVET in Malaysia"</w:t>
      </w:r>
      <w:r w:rsidRPr="00814A90">
        <w:rPr>
          <w:rFonts w:ascii="Arial" w:hAnsi="Arial" w:cs="Arial"/>
          <w:b w:val="0"/>
          <w:caps w:val="0"/>
          <w:sz w:val="20"/>
        </w:rPr>
        <w:t xml:space="preserve"> received an ethics license with reference number </w:t>
      </w:r>
      <w:r w:rsidRPr="00814A90">
        <w:rPr>
          <w:rFonts w:ascii="Arial" w:hAnsi="Arial" w:cs="Arial"/>
          <w:b w:val="0"/>
          <w:bCs/>
          <w:caps w:val="0"/>
          <w:sz w:val="20"/>
        </w:rPr>
        <w:t>JKEUPM-2024-324</w:t>
      </w:r>
      <w:r w:rsidRPr="00814A90">
        <w:rPr>
          <w:rFonts w:ascii="Arial" w:hAnsi="Arial" w:cs="Arial"/>
          <w:b w:val="0"/>
          <w:caps w:val="0"/>
          <w:sz w:val="20"/>
        </w:rPr>
        <w:t>. All procedures carried out in this study are carried out in accordance with the ethical standards of the committee</w:t>
      </w:r>
    </w:p>
    <w:p w14:paraId="658B0BFA" w14:textId="77777777" w:rsidR="00814A90" w:rsidRDefault="00814A90" w:rsidP="00441B6F">
      <w:pPr>
        <w:pStyle w:val="ReferHead"/>
        <w:spacing w:after="0"/>
        <w:jc w:val="both"/>
        <w:rPr>
          <w:rFonts w:ascii="Arial" w:hAnsi="Arial" w:cs="Arial"/>
        </w:rPr>
      </w:pPr>
    </w:p>
    <w:p w14:paraId="60319A3B" w14:textId="77777777" w:rsidR="00814A90" w:rsidRDefault="00814A90" w:rsidP="00441B6F">
      <w:pPr>
        <w:pStyle w:val="ReferHead"/>
        <w:spacing w:after="0"/>
        <w:jc w:val="both"/>
        <w:rPr>
          <w:rFonts w:ascii="Arial" w:hAnsi="Arial" w:cs="Arial"/>
        </w:rPr>
      </w:pPr>
    </w:p>
    <w:p w14:paraId="2043555F" w14:textId="77777777" w:rsidR="00C7224A" w:rsidRDefault="00C7224A" w:rsidP="006E2A7A">
      <w:pPr>
        <w:spacing w:after="200" w:line="276" w:lineRule="auto"/>
        <w:jc w:val="both"/>
        <w:rPr>
          <w:rFonts w:ascii="Arial" w:eastAsiaTheme="minorEastAsia" w:hAnsi="Arial" w:cs="Arial"/>
          <w:b/>
          <w:bCs/>
          <w:sz w:val="22"/>
          <w:szCs w:val="22"/>
          <w:lang w:eastAsia="en-GB"/>
        </w:rPr>
      </w:pPr>
      <w:r w:rsidRPr="00C7224A">
        <w:rPr>
          <w:rFonts w:ascii="Arial" w:eastAsiaTheme="minorEastAsia" w:hAnsi="Arial" w:cs="Arial"/>
          <w:b/>
          <w:bCs/>
          <w:sz w:val="22"/>
          <w:szCs w:val="22"/>
          <w:lang w:eastAsia="en-GB"/>
        </w:rPr>
        <w:t>Disclaimer (Artificial intelligence)</w:t>
      </w:r>
      <w:r>
        <w:rPr>
          <w:rFonts w:ascii="Arial" w:eastAsiaTheme="minorEastAsia" w:hAnsi="Arial" w:cs="Arial"/>
          <w:b/>
          <w:bCs/>
          <w:sz w:val="22"/>
          <w:szCs w:val="22"/>
          <w:lang w:eastAsia="en-GB"/>
        </w:rPr>
        <w:t xml:space="preserve">: </w:t>
      </w:r>
    </w:p>
    <w:p w14:paraId="643C2660" w14:textId="2C56FD62" w:rsidR="006E2A7A" w:rsidRPr="006E2A7A" w:rsidRDefault="006E2A7A" w:rsidP="006E2A7A">
      <w:pPr>
        <w:spacing w:after="200" w:line="276" w:lineRule="auto"/>
        <w:jc w:val="both"/>
        <w:rPr>
          <w:rFonts w:ascii="Arial" w:eastAsiaTheme="minorEastAsia" w:hAnsi="Arial" w:cs="Arial"/>
          <w:lang w:eastAsia="en-GB"/>
        </w:rPr>
      </w:pPr>
      <w:r w:rsidRPr="006E2A7A">
        <w:rPr>
          <w:rFonts w:ascii="Arial" w:eastAsiaTheme="minorEastAsia" w:hAnsi="Arial" w:cs="Arial"/>
          <w:lang w:eastAsia="en-GB"/>
        </w:rPr>
        <w:t xml:space="preserve">Author(s) hereby declare that generative AI technologies such as </w:t>
      </w:r>
      <w:r>
        <w:rPr>
          <w:rFonts w:ascii="Arial" w:eastAsiaTheme="minorEastAsia" w:hAnsi="Arial" w:cs="Arial"/>
          <w:lang w:eastAsia="en-GB"/>
        </w:rPr>
        <w:t>ChatGPT and Consensus</w:t>
      </w:r>
      <w:r w:rsidRPr="006E2A7A">
        <w:rPr>
          <w:rFonts w:ascii="Arial" w:eastAsiaTheme="minorEastAsia" w:hAnsi="Arial" w:cs="Arial"/>
          <w:lang w:eastAsia="en-GB"/>
        </w:rPr>
        <w:t>, etc. have been used during the writing or editing of manuscripts. This explanation will include the name, version, model, and source of the generative AI technology and as well as all input prompts provided to the generative AI technology</w:t>
      </w:r>
    </w:p>
    <w:p w14:paraId="729928E8" w14:textId="77777777" w:rsidR="006E2A7A" w:rsidRPr="006E2A7A" w:rsidRDefault="006E2A7A" w:rsidP="006E2A7A">
      <w:pPr>
        <w:spacing w:after="200" w:line="276" w:lineRule="auto"/>
        <w:jc w:val="both"/>
        <w:rPr>
          <w:rFonts w:ascii="Arial" w:eastAsiaTheme="minorEastAsia" w:hAnsi="Arial" w:cs="Arial"/>
          <w:lang w:eastAsia="en-GB"/>
        </w:rPr>
      </w:pPr>
      <w:r w:rsidRPr="006E2A7A">
        <w:rPr>
          <w:rFonts w:ascii="Arial" w:eastAsiaTheme="minorEastAsia" w:hAnsi="Arial" w:cs="Arial"/>
          <w:lang w:eastAsia="en-GB"/>
        </w:rPr>
        <w:t>Details of the AI usage are given below:</w:t>
      </w:r>
    </w:p>
    <w:p w14:paraId="78C34C08" w14:textId="63D12DBA" w:rsidR="006E2A7A" w:rsidRPr="006E2A7A" w:rsidRDefault="006E2A7A" w:rsidP="006E2A7A">
      <w:pPr>
        <w:spacing w:after="200" w:line="276" w:lineRule="auto"/>
        <w:jc w:val="both"/>
        <w:rPr>
          <w:rFonts w:ascii="Arial" w:eastAsiaTheme="minorEastAsia" w:hAnsi="Arial" w:cs="Arial"/>
          <w:lang w:eastAsia="en-GB"/>
        </w:rPr>
      </w:pPr>
      <w:r w:rsidRPr="006E2A7A">
        <w:rPr>
          <w:rFonts w:ascii="Arial" w:eastAsiaTheme="minorEastAsia" w:hAnsi="Arial" w:cs="Arial"/>
          <w:lang w:eastAsia="en-GB"/>
        </w:rPr>
        <w:lastRenderedPageBreak/>
        <w:t>1.</w:t>
      </w:r>
      <w:r>
        <w:rPr>
          <w:rFonts w:ascii="Arial" w:eastAsiaTheme="minorEastAsia" w:hAnsi="Arial" w:cs="Arial"/>
          <w:lang w:eastAsia="en-GB"/>
        </w:rPr>
        <w:t>ChatGPT 5.1</w:t>
      </w:r>
    </w:p>
    <w:p w14:paraId="153B7C33" w14:textId="51EFCA0C" w:rsidR="006E2A7A" w:rsidRDefault="006E2A7A" w:rsidP="00E664B0">
      <w:pPr>
        <w:spacing w:after="200" w:line="276" w:lineRule="auto"/>
        <w:jc w:val="both"/>
        <w:rPr>
          <w:rFonts w:ascii="Arial" w:eastAsiaTheme="minorEastAsia" w:hAnsi="Arial" w:cs="Arial"/>
          <w:lang w:eastAsia="en-GB"/>
        </w:rPr>
      </w:pPr>
      <w:r w:rsidRPr="006E2A7A">
        <w:rPr>
          <w:rFonts w:ascii="Arial" w:eastAsiaTheme="minorEastAsia" w:hAnsi="Arial" w:cs="Arial"/>
          <w:lang w:eastAsia="en-GB"/>
        </w:rPr>
        <w:t>2.</w:t>
      </w:r>
      <w:r>
        <w:rPr>
          <w:rFonts w:ascii="Arial" w:eastAsiaTheme="minorEastAsia" w:hAnsi="Arial" w:cs="Arial"/>
          <w:lang w:eastAsia="en-GB"/>
        </w:rPr>
        <w:t>Consensus</w:t>
      </w:r>
      <w:r w:rsidR="00643C15">
        <w:rPr>
          <w:rFonts w:ascii="Arial" w:eastAsiaTheme="minorEastAsia" w:hAnsi="Arial" w:cs="Arial"/>
          <w:lang w:eastAsia="en-GB"/>
        </w:rPr>
        <w:t xml:space="preserve"> App</w:t>
      </w:r>
    </w:p>
    <w:p w14:paraId="75E76324" w14:textId="77777777" w:rsidR="00A9412B" w:rsidRPr="006E2A7A" w:rsidRDefault="00A9412B" w:rsidP="00E664B0">
      <w:pPr>
        <w:spacing w:after="200" w:line="276" w:lineRule="auto"/>
        <w:jc w:val="both"/>
        <w:rPr>
          <w:rFonts w:ascii="Arial" w:eastAsiaTheme="minorEastAsia" w:hAnsi="Arial" w:cs="Arial"/>
          <w:lang w:eastAsia="en-GB"/>
        </w:rPr>
      </w:pPr>
    </w:p>
    <w:p w14:paraId="2163145E" w14:textId="49910953" w:rsidR="00B01FCD" w:rsidRDefault="00B01FCD" w:rsidP="00441B6F">
      <w:pPr>
        <w:pStyle w:val="ReferHead"/>
        <w:spacing w:after="0"/>
        <w:jc w:val="both"/>
        <w:rPr>
          <w:rFonts w:ascii="Arial" w:hAnsi="Arial" w:cs="Arial"/>
        </w:rPr>
      </w:pPr>
      <w:r w:rsidRPr="00FB3A86">
        <w:rPr>
          <w:rFonts w:ascii="Arial" w:hAnsi="Arial" w:cs="Arial"/>
        </w:rPr>
        <w:t>Reference</w:t>
      </w:r>
    </w:p>
    <w:p w14:paraId="64D29B2E" w14:textId="77777777" w:rsidR="0049005E" w:rsidRDefault="0049005E" w:rsidP="0049005E">
      <w:pPr>
        <w:pStyle w:val="Body"/>
        <w:spacing w:after="0"/>
        <w:rPr>
          <w:rFonts w:ascii="Arial" w:hAnsi="Arial" w:cs="Arial"/>
        </w:rPr>
      </w:pPr>
    </w:p>
    <w:p w14:paraId="7E5744C3" w14:textId="53CFC558" w:rsidR="0049005E" w:rsidRDefault="0049005E" w:rsidP="0049005E">
      <w:pPr>
        <w:pStyle w:val="Body"/>
        <w:spacing w:after="0"/>
        <w:rPr>
          <w:rFonts w:ascii="Arial" w:hAnsi="Arial" w:cs="Arial"/>
        </w:rPr>
      </w:pPr>
      <w:r w:rsidRPr="0049005E">
        <w:rPr>
          <w:rFonts w:ascii="Arial" w:hAnsi="Arial" w:cs="Arial"/>
        </w:rPr>
        <w:t xml:space="preserve">Adams, A., </w:t>
      </w:r>
      <w:proofErr w:type="spellStart"/>
      <w:r w:rsidRPr="0049005E">
        <w:rPr>
          <w:rFonts w:ascii="Arial" w:hAnsi="Arial" w:cs="Arial"/>
        </w:rPr>
        <w:t>Intsiful</w:t>
      </w:r>
      <w:proofErr w:type="spellEnd"/>
      <w:r w:rsidRPr="0049005E">
        <w:rPr>
          <w:rFonts w:ascii="Arial" w:hAnsi="Arial" w:cs="Arial"/>
        </w:rPr>
        <w:t xml:space="preserve">, E., &amp; </w:t>
      </w:r>
      <w:proofErr w:type="spellStart"/>
      <w:r w:rsidRPr="0049005E">
        <w:rPr>
          <w:rFonts w:ascii="Arial" w:hAnsi="Arial" w:cs="Arial"/>
        </w:rPr>
        <w:t>Zagoon</w:t>
      </w:r>
      <w:proofErr w:type="spellEnd"/>
      <w:r w:rsidRPr="0049005E">
        <w:rPr>
          <w:rFonts w:ascii="Arial" w:hAnsi="Arial" w:cs="Arial"/>
        </w:rPr>
        <w:t>-Sayeed, H. (2024). Exploring public knowledge on technical vocational education in Ghana. </w:t>
      </w:r>
      <w:r w:rsidRPr="0049005E">
        <w:rPr>
          <w:rFonts w:ascii="Arial" w:hAnsi="Arial" w:cs="Arial"/>
          <w:i/>
          <w:iCs/>
        </w:rPr>
        <w:t>SN Social Sciences</w:t>
      </w:r>
      <w:r w:rsidRPr="0049005E">
        <w:rPr>
          <w:rFonts w:ascii="Arial" w:hAnsi="Arial" w:cs="Arial"/>
        </w:rPr>
        <w:t>. https://doi.org/10.1007/s43545-024-00898-6.</w:t>
      </w:r>
    </w:p>
    <w:p w14:paraId="0D93E892" w14:textId="77777777" w:rsidR="00790ADA" w:rsidRPr="002C57D2" w:rsidRDefault="00790ADA" w:rsidP="00441B6F">
      <w:pPr>
        <w:pStyle w:val="Body"/>
        <w:spacing w:after="0"/>
        <w:rPr>
          <w:rFonts w:ascii="Arial" w:hAnsi="Arial" w:cs="Arial"/>
        </w:rPr>
      </w:pPr>
    </w:p>
    <w:p w14:paraId="55F0B6A0" w14:textId="77777777" w:rsidR="00750F62" w:rsidRPr="00FC6D8E" w:rsidRDefault="00750F62" w:rsidP="00975F56">
      <w:pPr>
        <w:pStyle w:val="Body"/>
        <w:rPr>
          <w:rFonts w:ascii="Arial" w:hAnsi="Arial" w:cs="Arial"/>
          <w:bCs/>
          <w:lang w:val="en-MY"/>
        </w:rPr>
      </w:pPr>
      <w:r w:rsidRPr="00FC6D8E">
        <w:rPr>
          <w:rFonts w:ascii="Arial" w:hAnsi="Arial" w:cs="Arial"/>
          <w:bCs/>
        </w:rPr>
        <w:t xml:space="preserve">Azeem, N., Omar, M.K., Rashid, A.M., &amp; Abdullah, A. (2022). High school students' interest in TVET programs: Demographic differences. </w:t>
      </w:r>
      <w:r w:rsidRPr="00FC6D8E">
        <w:rPr>
          <w:rFonts w:ascii="Arial" w:hAnsi="Arial" w:cs="Arial"/>
          <w:bCs/>
          <w:i/>
          <w:iCs/>
        </w:rPr>
        <w:t>International Journal of Educational Learning, Teaching and Research, 21</w:t>
      </w:r>
      <w:r w:rsidRPr="00FC6D8E">
        <w:rPr>
          <w:rFonts w:ascii="Arial" w:hAnsi="Arial" w:cs="Arial"/>
          <w:bCs/>
        </w:rPr>
        <w:t>(4), 80–96.</w:t>
      </w:r>
    </w:p>
    <w:p w14:paraId="0E9B0DC4" w14:textId="77777777" w:rsidR="00750F62" w:rsidRPr="00FC6D8E" w:rsidRDefault="00750F62" w:rsidP="00975F56">
      <w:pPr>
        <w:pStyle w:val="Body"/>
        <w:rPr>
          <w:rFonts w:ascii="Arial" w:hAnsi="Arial" w:cs="Arial"/>
          <w:bCs/>
          <w:lang w:val="en-MY"/>
        </w:rPr>
      </w:pPr>
      <w:r w:rsidRPr="00FC6D8E">
        <w:rPr>
          <w:rFonts w:ascii="Arial" w:hAnsi="Arial" w:cs="Arial"/>
          <w:bCs/>
        </w:rPr>
        <w:t xml:space="preserve">Babbie, E. (2004). Praise Humphreys and research ethics. </w:t>
      </w:r>
      <w:r w:rsidRPr="00FC6D8E">
        <w:rPr>
          <w:rFonts w:ascii="Arial" w:hAnsi="Arial" w:cs="Arial"/>
          <w:bCs/>
          <w:i/>
          <w:iCs/>
        </w:rPr>
        <w:t>International Journal of Sociology and Social Policy, 24</w:t>
      </w:r>
      <w:r w:rsidRPr="00FC6D8E">
        <w:rPr>
          <w:rFonts w:ascii="Arial" w:hAnsi="Arial" w:cs="Arial"/>
          <w:bCs/>
        </w:rPr>
        <w:t>(3/4/5), 12–19.</w:t>
      </w:r>
    </w:p>
    <w:p w14:paraId="6D6BD26C" w14:textId="77777777" w:rsidR="00750F62" w:rsidRDefault="00750F62" w:rsidP="00975F56">
      <w:pPr>
        <w:pStyle w:val="Body"/>
      </w:pPr>
      <w:r w:rsidRPr="00975F56">
        <w:rPr>
          <w:rFonts w:ascii="Arial" w:hAnsi="Arial" w:cs="Arial"/>
          <w:bCs/>
        </w:rPr>
        <w:t xml:space="preserve">Bravo, P., &amp; </w:t>
      </w:r>
      <w:proofErr w:type="spellStart"/>
      <w:r w:rsidRPr="00975F56">
        <w:rPr>
          <w:rFonts w:ascii="Arial" w:hAnsi="Arial" w:cs="Arial"/>
          <w:bCs/>
        </w:rPr>
        <w:t>Escárate</w:t>
      </w:r>
      <w:proofErr w:type="spellEnd"/>
      <w:r w:rsidRPr="00975F56">
        <w:rPr>
          <w:rFonts w:ascii="Arial" w:hAnsi="Arial" w:cs="Arial"/>
          <w:bCs/>
        </w:rPr>
        <w:t xml:space="preserve">, P. (2024). #ChooseToBeTVET: Exploring the political goals to increase the perceived value of TVET in Chile through communication campaigns. </w:t>
      </w:r>
      <w:r w:rsidRPr="00975F56">
        <w:rPr>
          <w:rFonts w:ascii="Arial" w:hAnsi="Arial" w:cs="Arial"/>
          <w:bCs/>
          <w:i/>
          <w:iCs/>
        </w:rPr>
        <w:t xml:space="preserve">Educational Training. </w:t>
      </w:r>
      <w:hyperlink r:id="rId14" w:history="1">
        <w:r w:rsidRPr="00975F56">
          <w:rPr>
            <w:rStyle w:val="Hyperlink"/>
            <w:rFonts w:ascii="Arial" w:hAnsi="Arial" w:cs="Arial"/>
            <w:bCs/>
            <w:color w:val="auto"/>
            <w:u w:val="none"/>
          </w:rPr>
          <w:t>https://doi.org/10.1108/et-09-2023-0413</w:t>
        </w:r>
      </w:hyperlink>
    </w:p>
    <w:p w14:paraId="3BF29EA7" w14:textId="77777777" w:rsidR="0049005E" w:rsidRPr="0049005E" w:rsidRDefault="0049005E" w:rsidP="0049005E">
      <w:pPr>
        <w:pStyle w:val="Body"/>
        <w:rPr>
          <w:rFonts w:ascii="Arial" w:hAnsi="Arial" w:cs="Arial"/>
        </w:rPr>
      </w:pPr>
      <w:r w:rsidRPr="0049005E">
        <w:rPr>
          <w:rFonts w:ascii="Arial" w:hAnsi="Arial" w:cs="Arial"/>
        </w:rPr>
        <w:t>Guo, T., Li, T., &amp; Qi, Z. (2024). Perceived school service quality and vocational students’ learning satisfaction: Mediating role of conceptions of vocational education. </w:t>
      </w:r>
      <w:r w:rsidRPr="0049005E">
        <w:rPr>
          <w:rFonts w:ascii="Arial" w:hAnsi="Arial" w:cs="Arial"/>
          <w:i/>
          <w:iCs/>
        </w:rPr>
        <w:t>PLOS ONE</w:t>
      </w:r>
      <w:r w:rsidRPr="0049005E">
        <w:rPr>
          <w:rFonts w:ascii="Arial" w:hAnsi="Arial" w:cs="Arial"/>
        </w:rPr>
        <w:t xml:space="preserve">, 19. </w:t>
      </w:r>
      <w:hyperlink r:id="rId15" w:history="1">
        <w:r w:rsidRPr="0049005E">
          <w:rPr>
            <w:rStyle w:val="Hyperlink"/>
            <w:rFonts w:ascii="Arial" w:hAnsi="Arial" w:cs="Arial"/>
            <w:color w:val="auto"/>
            <w:u w:val="none"/>
          </w:rPr>
          <w:t>https://doi.org/10.1371/journal.pone.0307392</w:t>
        </w:r>
      </w:hyperlink>
      <w:r w:rsidRPr="0049005E">
        <w:rPr>
          <w:rFonts w:ascii="Arial" w:hAnsi="Arial" w:cs="Arial"/>
        </w:rPr>
        <w:t>.</w:t>
      </w:r>
    </w:p>
    <w:p w14:paraId="1566659A" w14:textId="0BE0E7C4" w:rsidR="00750F62" w:rsidRPr="00FC6D8E" w:rsidRDefault="00750F62" w:rsidP="00975F56">
      <w:pPr>
        <w:pStyle w:val="Body"/>
        <w:rPr>
          <w:rFonts w:ascii="Arial" w:hAnsi="Arial" w:cs="Arial"/>
        </w:rPr>
      </w:pPr>
      <w:proofErr w:type="spellStart"/>
      <w:r w:rsidRPr="00FC6D8E">
        <w:rPr>
          <w:rFonts w:ascii="Arial" w:hAnsi="Arial" w:cs="Arial"/>
        </w:rPr>
        <w:t>Gyau</w:t>
      </w:r>
      <w:proofErr w:type="spellEnd"/>
      <w:r w:rsidRPr="00FC6D8E">
        <w:rPr>
          <w:rFonts w:ascii="Arial" w:hAnsi="Arial" w:cs="Arial"/>
        </w:rPr>
        <w:t xml:space="preserve">, M., Osei, M., &amp; </w:t>
      </w:r>
      <w:proofErr w:type="spellStart"/>
      <w:r w:rsidRPr="00FC6D8E">
        <w:rPr>
          <w:rFonts w:ascii="Arial" w:hAnsi="Arial" w:cs="Arial"/>
        </w:rPr>
        <w:t>Gyau</w:t>
      </w:r>
      <w:proofErr w:type="spellEnd"/>
      <w:r w:rsidRPr="00FC6D8E">
        <w:rPr>
          <w:rFonts w:ascii="Arial" w:hAnsi="Arial" w:cs="Arial"/>
        </w:rPr>
        <w:t>, N. (2024). Parents’ And Students’ Perceptions About Technical and Vocational Education and Training in Ghana. </w:t>
      </w:r>
      <w:r w:rsidRPr="00FC6D8E">
        <w:rPr>
          <w:rFonts w:ascii="Arial" w:hAnsi="Arial" w:cs="Arial"/>
          <w:i/>
          <w:iCs/>
        </w:rPr>
        <w:t>Journal of Science and Technology (Ghana)</w:t>
      </w:r>
      <w:r w:rsidRPr="00FC6D8E">
        <w:rPr>
          <w:rFonts w:ascii="Arial" w:hAnsi="Arial" w:cs="Arial"/>
        </w:rPr>
        <w:t xml:space="preserve">. </w:t>
      </w:r>
      <w:hyperlink r:id="rId16" w:history="1">
        <w:r w:rsidRPr="00FC6D8E">
          <w:rPr>
            <w:rStyle w:val="Hyperlink"/>
            <w:rFonts w:ascii="Arial" w:hAnsi="Arial" w:cs="Arial"/>
            <w:color w:val="auto"/>
          </w:rPr>
          <w:t>https://doi.org/10.4314/just.v42i2.8</w:t>
        </w:r>
      </w:hyperlink>
      <w:r w:rsidRPr="00FC6D8E">
        <w:rPr>
          <w:rFonts w:ascii="Arial" w:hAnsi="Arial" w:cs="Arial"/>
        </w:rPr>
        <w:t>.</w:t>
      </w:r>
    </w:p>
    <w:p w14:paraId="5C74583E" w14:textId="77777777" w:rsidR="00750F62" w:rsidRPr="00975F56" w:rsidRDefault="00750F62" w:rsidP="00975F56">
      <w:pPr>
        <w:pStyle w:val="Body"/>
        <w:rPr>
          <w:rFonts w:ascii="Arial" w:hAnsi="Arial" w:cs="Arial"/>
          <w:bCs/>
          <w:lang w:val="en-MY"/>
        </w:rPr>
      </w:pPr>
      <w:r w:rsidRPr="00975F56">
        <w:rPr>
          <w:rFonts w:ascii="Arial" w:hAnsi="Arial" w:cs="Arial"/>
          <w:bCs/>
        </w:rPr>
        <w:t xml:space="preserve">Hair, J., &amp; Alamer, A. (2022). Modeling of partial least squared structural equations (PLS-SEM) in second language research and education: Guidelines using applied examples. </w:t>
      </w:r>
      <w:r w:rsidRPr="00975F56">
        <w:rPr>
          <w:rFonts w:ascii="Arial" w:hAnsi="Arial" w:cs="Arial"/>
          <w:bCs/>
          <w:i/>
          <w:iCs/>
        </w:rPr>
        <w:t>Research Methods in Applied Linguistics, 1</w:t>
      </w:r>
      <w:r w:rsidRPr="00975F56">
        <w:rPr>
          <w:rFonts w:ascii="Arial" w:hAnsi="Arial" w:cs="Arial"/>
          <w:bCs/>
        </w:rPr>
        <w:t>(3), 100027.</w:t>
      </w:r>
    </w:p>
    <w:p w14:paraId="766A28A6" w14:textId="77777777" w:rsidR="00750F62" w:rsidRDefault="00750F62" w:rsidP="00975F56">
      <w:pPr>
        <w:pStyle w:val="Body"/>
      </w:pPr>
      <w:r w:rsidRPr="00975F56">
        <w:rPr>
          <w:rFonts w:ascii="Arial" w:hAnsi="Arial" w:cs="Arial"/>
          <w:bCs/>
        </w:rPr>
        <w:t xml:space="preserve">International Labor Organization. (2023). </w:t>
      </w:r>
      <w:r w:rsidRPr="00975F56">
        <w:rPr>
          <w:rFonts w:ascii="Arial" w:hAnsi="Arial" w:cs="Arial"/>
          <w:bCs/>
          <w:i/>
          <w:iCs/>
        </w:rPr>
        <w:t xml:space="preserve">Improving technical and vocational education and training (TVET) to address skills and workforce mismatches. </w:t>
      </w:r>
      <w:hyperlink r:id="rId17" w:history="1">
        <w:r w:rsidRPr="00975F56">
          <w:rPr>
            <w:rStyle w:val="Hyperlink"/>
            <w:rFonts w:ascii="Arial" w:hAnsi="Arial" w:cs="Arial"/>
            <w:bCs/>
            <w:color w:val="auto"/>
            <w:u w:val="none"/>
          </w:rPr>
          <w:t>https://www.ilo.org/resource/news/improve-technical-and-vocational-education-and-training-tvet-meet-skills</w:t>
        </w:r>
      </w:hyperlink>
    </w:p>
    <w:p w14:paraId="57FECBAB" w14:textId="59528167" w:rsidR="00750F62" w:rsidRPr="00750F62" w:rsidRDefault="00750F62" w:rsidP="00975F56">
      <w:pPr>
        <w:pStyle w:val="Body"/>
        <w:rPr>
          <w:rFonts w:ascii="Arial" w:hAnsi="Arial" w:cs="Arial"/>
          <w:lang w:val="en-MY"/>
        </w:rPr>
      </w:pPr>
      <w:r w:rsidRPr="00E664B0">
        <w:rPr>
          <w:rFonts w:ascii="Arial" w:hAnsi="Arial" w:cs="Arial"/>
        </w:rPr>
        <w:t>Khan, S., &amp; Ali, K. (2024). Who Demands Technical and Vocational Education in Pakistan? A PSLM Analysis of Socio-Economic Determinants. </w:t>
      </w:r>
      <w:r w:rsidRPr="00E664B0">
        <w:rPr>
          <w:rFonts w:ascii="Arial" w:hAnsi="Arial" w:cs="Arial"/>
          <w:i/>
          <w:iCs/>
        </w:rPr>
        <w:t>International Journal for Research in Vocational Education and Training</w:t>
      </w:r>
      <w:r w:rsidRPr="00E664B0">
        <w:rPr>
          <w:rFonts w:ascii="Arial" w:hAnsi="Arial" w:cs="Arial"/>
        </w:rPr>
        <w:t>. https://doi.org/10.13152/ijrvet.11.2.5.</w:t>
      </w:r>
    </w:p>
    <w:p w14:paraId="61A6583F" w14:textId="6C606E7C" w:rsidR="00750F62" w:rsidRDefault="00643C15" w:rsidP="00975F56">
      <w:pPr>
        <w:pStyle w:val="Body"/>
        <w:spacing w:after="0"/>
        <w:rPr>
          <w:rFonts w:ascii="Arial" w:hAnsi="Arial" w:cs="Arial"/>
          <w:iCs/>
        </w:rPr>
      </w:pPr>
      <w:proofErr w:type="spellStart"/>
      <w:r w:rsidRPr="00643C15">
        <w:rPr>
          <w:rFonts w:ascii="Arial" w:hAnsi="Arial" w:cs="Arial"/>
          <w:iCs/>
        </w:rPr>
        <w:t>Mayombe</w:t>
      </w:r>
      <w:proofErr w:type="spellEnd"/>
      <w:r w:rsidRPr="00643C15">
        <w:rPr>
          <w:rFonts w:ascii="Arial" w:hAnsi="Arial" w:cs="Arial"/>
          <w:iCs/>
        </w:rPr>
        <w:t>, C. (2024). Applying experiential learning theory in non-school-based technical and vocational education and training for unemployed youths in South Africa. </w:t>
      </w:r>
      <w:r w:rsidRPr="00643C15">
        <w:rPr>
          <w:rFonts w:ascii="Arial" w:hAnsi="Arial" w:cs="Arial"/>
          <w:i/>
          <w:iCs/>
        </w:rPr>
        <w:t>Journal of Education (University of KwaZulu-Natal)</w:t>
      </w:r>
      <w:r w:rsidRPr="00643C15">
        <w:rPr>
          <w:rFonts w:ascii="Arial" w:hAnsi="Arial" w:cs="Arial"/>
          <w:iCs/>
        </w:rPr>
        <w:t>, (96), 223-239</w:t>
      </w:r>
      <w:r w:rsidR="00750F62" w:rsidRPr="00E664B0">
        <w:rPr>
          <w:rFonts w:ascii="Arial" w:hAnsi="Arial" w:cs="Arial"/>
          <w:iCs/>
        </w:rPr>
        <w:t>.</w:t>
      </w:r>
    </w:p>
    <w:p w14:paraId="313B7BB2" w14:textId="77777777" w:rsidR="00750F62" w:rsidRPr="00E664B0" w:rsidRDefault="00750F62" w:rsidP="00975F56">
      <w:pPr>
        <w:pStyle w:val="Body"/>
        <w:spacing w:after="0"/>
        <w:rPr>
          <w:rFonts w:ascii="Arial" w:hAnsi="Arial" w:cs="Arial"/>
          <w:iCs/>
        </w:rPr>
      </w:pPr>
    </w:p>
    <w:p w14:paraId="4594511D" w14:textId="77777777" w:rsidR="00750F62" w:rsidRDefault="00750F62" w:rsidP="00975F56">
      <w:pPr>
        <w:pStyle w:val="Body"/>
        <w:rPr>
          <w:rFonts w:ascii="Arial" w:hAnsi="Arial" w:cs="Arial"/>
          <w:bCs/>
        </w:rPr>
      </w:pPr>
      <w:proofErr w:type="spellStart"/>
      <w:r w:rsidRPr="00975F56">
        <w:rPr>
          <w:rFonts w:ascii="Arial" w:hAnsi="Arial" w:cs="Arial"/>
          <w:bCs/>
        </w:rPr>
        <w:t>Mugalo</w:t>
      </w:r>
      <w:proofErr w:type="spellEnd"/>
      <w:r w:rsidRPr="00975F56">
        <w:rPr>
          <w:rFonts w:ascii="Arial" w:hAnsi="Arial" w:cs="Arial"/>
          <w:bCs/>
        </w:rPr>
        <w:t xml:space="preserve">, A. (2022). </w:t>
      </w:r>
      <w:r w:rsidRPr="00975F56">
        <w:rPr>
          <w:rFonts w:ascii="Arial" w:hAnsi="Arial" w:cs="Arial"/>
          <w:bCs/>
          <w:i/>
          <w:iCs/>
        </w:rPr>
        <w:t>The influence of socio-economic factors on student enrolment rates in public technical and vocational education institutions in Kilifi County, Kenya</w:t>
      </w:r>
      <w:r w:rsidRPr="00975F56">
        <w:rPr>
          <w:rFonts w:ascii="Arial" w:hAnsi="Arial" w:cs="Arial"/>
          <w:bCs/>
        </w:rPr>
        <w:t xml:space="preserve"> (Doctoral dissertation, University of Nairobi).</w:t>
      </w:r>
    </w:p>
    <w:p w14:paraId="2555098C" w14:textId="79E1510E" w:rsidR="00750F62" w:rsidRDefault="00750F62" w:rsidP="00750F62">
      <w:pPr>
        <w:jc w:val="both"/>
        <w:rPr>
          <w:szCs w:val="24"/>
        </w:rPr>
      </w:pPr>
      <w:r w:rsidRPr="00750F62">
        <w:rPr>
          <w:szCs w:val="24"/>
        </w:rPr>
        <w:lastRenderedPageBreak/>
        <w:t xml:space="preserve">Omar, A., &amp; Desa, Z. (2023). Factors Influencing TVET Choices among Secondary School Students in </w:t>
      </w:r>
      <w:r w:rsidRPr="00643C15">
        <w:rPr>
          <w:szCs w:val="24"/>
        </w:rPr>
        <w:t>Kuching. </w:t>
      </w:r>
      <w:r w:rsidRPr="00643C15">
        <w:rPr>
          <w:i/>
          <w:iCs/>
          <w:szCs w:val="24"/>
        </w:rPr>
        <w:t>Malaysian Journal of Social Sciences and Humanities (MJSSH)</w:t>
      </w:r>
      <w:r w:rsidRPr="00643C15">
        <w:rPr>
          <w:szCs w:val="24"/>
        </w:rPr>
        <w:t xml:space="preserve">. </w:t>
      </w:r>
      <w:hyperlink r:id="rId18" w:history="1">
        <w:r w:rsidRPr="00643C15">
          <w:rPr>
            <w:rStyle w:val="Hyperlink"/>
            <w:color w:val="auto"/>
            <w:szCs w:val="24"/>
            <w:u w:val="none"/>
          </w:rPr>
          <w:t>https://doi.org/10.47405/mjssh.v8i7.2380</w:t>
        </w:r>
      </w:hyperlink>
      <w:r w:rsidRPr="00750F62">
        <w:rPr>
          <w:szCs w:val="24"/>
        </w:rPr>
        <w:t>.</w:t>
      </w:r>
    </w:p>
    <w:p w14:paraId="10BE53D0" w14:textId="77777777" w:rsidR="00750F62" w:rsidRPr="00750F62" w:rsidRDefault="00750F62" w:rsidP="00750F62">
      <w:pPr>
        <w:jc w:val="both"/>
        <w:rPr>
          <w:szCs w:val="24"/>
          <w:lang w:val="en-MY"/>
        </w:rPr>
      </w:pPr>
    </w:p>
    <w:p w14:paraId="65F89269" w14:textId="77777777" w:rsidR="00750F62" w:rsidRPr="00975F56" w:rsidRDefault="00750F62" w:rsidP="00975F56">
      <w:pPr>
        <w:pStyle w:val="Body"/>
        <w:rPr>
          <w:rFonts w:ascii="Arial" w:hAnsi="Arial" w:cs="Arial"/>
          <w:bCs/>
          <w:lang w:val="en-MY"/>
        </w:rPr>
      </w:pPr>
      <w:r w:rsidRPr="00975F56">
        <w:rPr>
          <w:rFonts w:ascii="Arial" w:hAnsi="Arial" w:cs="Arial"/>
          <w:bCs/>
        </w:rPr>
        <w:t xml:space="preserve">Penang Research Institute. (2023). </w:t>
      </w:r>
      <w:r w:rsidRPr="00975F56">
        <w:rPr>
          <w:rFonts w:ascii="Arial" w:hAnsi="Arial" w:cs="Arial"/>
          <w:bCs/>
          <w:i/>
          <w:iCs/>
        </w:rPr>
        <w:t xml:space="preserve">TVET in Malaysia: Current situation, challenges, and recommendations. </w:t>
      </w:r>
      <w:hyperlink r:id="rId19" w:history="1">
        <w:r w:rsidRPr="00975F56">
          <w:rPr>
            <w:rStyle w:val="Hyperlink"/>
            <w:rFonts w:ascii="Arial" w:hAnsi="Arial" w:cs="Arial"/>
            <w:bCs/>
            <w:color w:val="auto"/>
            <w:u w:val="none"/>
          </w:rPr>
          <w:t>https://penanginstitute.org/publications/issues/tvet-in-malaysia-current-situation-challenges-and-recommendations/</w:t>
        </w:r>
      </w:hyperlink>
    </w:p>
    <w:p w14:paraId="0C15ADEC" w14:textId="7C6A7667" w:rsidR="00750F62" w:rsidRDefault="00750F62" w:rsidP="00E664B0">
      <w:pPr>
        <w:pStyle w:val="Body"/>
        <w:spacing w:after="0"/>
        <w:rPr>
          <w:rFonts w:ascii="Arial" w:hAnsi="Arial" w:cs="Arial"/>
          <w:iCs/>
        </w:rPr>
      </w:pPr>
      <w:r w:rsidRPr="00E664B0">
        <w:rPr>
          <w:rFonts w:ascii="Arial" w:hAnsi="Arial" w:cs="Arial"/>
          <w:iCs/>
        </w:rPr>
        <w:t xml:space="preserve">Shi, Y., &amp; </w:t>
      </w:r>
      <w:proofErr w:type="spellStart"/>
      <w:r w:rsidRPr="00643C15">
        <w:rPr>
          <w:rFonts w:ascii="Arial" w:hAnsi="Arial" w:cs="Arial"/>
          <w:iCs/>
        </w:rPr>
        <w:t>Bangpan</w:t>
      </w:r>
      <w:proofErr w:type="spellEnd"/>
      <w:r w:rsidRPr="00643C15">
        <w:rPr>
          <w:rFonts w:ascii="Arial" w:hAnsi="Arial" w:cs="Arial"/>
          <w:iCs/>
        </w:rPr>
        <w:t>, M. (2022). Young people’s participation experiences of technical and vocational education and training interventions in low- and middle-income countries: a systematic review of qualitative evidence. </w:t>
      </w:r>
      <w:r w:rsidRPr="00643C15">
        <w:rPr>
          <w:rFonts w:ascii="Arial" w:hAnsi="Arial" w:cs="Arial"/>
          <w:i/>
        </w:rPr>
        <w:t>Empirical Research in Vocational Education and Training</w:t>
      </w:r>
      <w:r w:rsidRPr="00643C15">
        <w:rPr>
          <w:rFonts w:ascii="Arial" w:hAnsi="Arial" w:cs="Arial"/>
          <w:iCs/>
        </w:rPr>
        <w:t xml:space="preserve">, 14, 1-42. </w:t>
      </w:r>
      <w:hyperlink r:id="rId20" w:history="1">
        <w:r w:rsidRPr="00643C15">
          <w:rPr>
            <w:rStyle w:val="Hyperlink"/>
            <w:rFonts w:ascii="Arial" w:hAnsi="Arial" w:cs="Arial"/>
            <w:iCs/>
            <w:color w:val="auto"/>
            <w:u w:val="none"/>
          </w:rPr>
          <w:t>https://doi.org/10.1186/s40461-022-00136-4</w:t>
        </w:r>
      </w:hyperlink>
      <w:r w:rsidRPr="00643C15">
        <w:rPr>
          <w:rFonts w:ascii="Arial" w:hAnsi="Arial" w:cs="Arial"/>
          <w:iCs/>
        </w:rPr>
        <w:t>.</w:t>
      </w:r>
    </w:p>
    <w:p w14:paraId="0E5C8F1E" w14:textId="77777777" w:rsidR="0049005E" w:rsidRDefault="0049005E" w:rsidP="00E664B0">
      <w:pPr>
        <w:pStyle w:val="Body"/>
        <w:spacing w:after="0"/>
        <w:rPr>
          <w:rFonts w:ascii="Arial" w:hAnsi="Arial" w:cs="Arial"/>
          <w:iCs/>
        </w:rPr>
      </w:pPr>
    </w:p>
    <w:p w14:paraId="401F9389" w14:textId="77777777" w:rsidR="0049005E" w:rsidRPr="0049005E" w:rsidRDefault="0049005E" w:rsidP="0049005E">
      <w:pPr>
        <w:pStyle w:val="Body"/>
        <w:spacing w:after="0"/>
        <w:rPr>
          <w:rFonts w:ascii="Arial" w:hAnsi="Arial" w:cs="Arial"/>
        </w:rPr>
      </w:pPr>
      <w:r w:rsidRPr="0049005E">
        <w:rPr>
          <w:rFonts w:ascii="Arial" w:hAnsi="Arial" w:cs="Arial"/>
        </w:rPr>
        <w:t xml:space="preserve">Rus, R., Salisu, M., Hussain, M., Kamal, M., </w:t>
      </w:r>
      <w:proofErr w:type="spellStart"/>
      <w:r w:rsidRPr="0049005E">
        <w:rPr>
          <w:rFonts w:ascii="Arial" w:hAnsi="Arial" w:cs="Arial"/>
        </w:rPr>
        <w:t>Hanapi</w:t>
      </w:r>
      <w:proofErr w:type="spellEnd"/>
      <w:r w:rsidRPr="0049005E">
        <w:rPr>
          <w:rFonts w:ascii="Arial" w:hAnsi="Arial" w:cs="Arial"/>
        </w:rPr>
        <w:t xml:space="preserve">, Z., Idris, M., </w:t>
      </w:r>
      <w:proofErr w:type="spellStart"/>
      <w:r w:rsidRPr="0049005E">
        <w:rPr>
          <w:rFonts w:ascii="Arial" w:hAnsi="Arial" w:cs="Arial"/>
        </w:rPr>
        <w:t>Bamiro</w:t>
      </w:r>
      <w:proofErr w:type="spellEnd"/>
      <w:r w:rsidRPr="0049005E">
        <w:rPr>
          <w:rFonts w:ascii="Arial" w:hAnsi="Arial" w:cs="Arial"/>
        </w:rPr>
        <w:t>, N., &amp; Kayode, B. (2023). Systematic Review of Malaysia Technical and Vocational Education (TVET) Sustainability Framework to Increase the Marketability of Graduates Using PRISMA. </w:t>
      </w:r>
      <w:proofErr w:type="spellStart"/>
      <w:r w:rsidRPr="0049005E">
        <w:rPr>
          <w:rFonts w:ascii="Arial" w:hAnsi="Arial" w:cs="Arial"/>
          <w:i/>
          <w:iCs/>
        </w:rPr>
        <w:t>Jurnal</w:t>
      </w:r>
      <w:proofErr w:type="spellEnd"/>
      <w:r w:rsidRPr="0049005E">
        <w:rPr>
          <w:rFonts w:ascii="Arial" w:hAnsi="Arial" w:cs="Arial"/>
          <w:i/>
          <w:iCs/>
        </w:rPr>
        <w:t xml:space="preserve"> </w:t>
      </w:r>
      <w:proofErr w:type="spellStart"/>
      <w:r w:rsidRPr="0049005E">
        <w:rPr>
          <w:rFonts w:ascii="Arial" w:hAnsi="Arial" w:cs="Arial"/>
          <w:i/>
          <w:iCs/>
        </w:rPr>
        <w:t>Kejuruteraan</w:t>
      </w:r>
      <w:proofErr w:type="spellEnd"/>
      <w:r w:rsidRPr="0049005E">
        <w:rPr>
          <w:rFonts w:ascii="Arial" w:hAnsi="Arial" w:cs="Arial"/>
        </w:rPr>
        <w:t xml:space="preserve">. </w:t>
      </w:r>
      <w:hyperlink r:id="rId21" w:history="1">
        <w:r w:rsidRPr="0049005E">
          <w:rPr>
            <w:rStyle w:val="Hyperlink"/>
            <w:rFonts w:ascii="Arial" w:hAnsi="Arial" w:cs="Arial"/>
            <w:color w:val="auto"/>
            <w:u w:val="none"/>
          </w:rPr>
          <w:t>https://doi.org/10.17576/jkukm-2023-si6(2)-06</w:t>
        </w:r>
      </w:hyperlink>
      <w:r w:rsidRPr="0049005E">
        <w:rPr>
          <w:rFonts w:ascii="Arial" w:hAnsi="Arial" w:cs="Arial"/>
        </w:rPr>
        <w:t>.</w:t>
      </w:r>
    </w:p>
    <w:p w14:paraId="0397CFBF" w14:textId="77777777" w:rsidR="00750F62" w:rsidRPr="00643C15" w:rsidRDefault="00750F62" w:rsidP="00E664B0">
      <w:pPr>
        <w:pStyle w:val="Body"/>
        <w:spacing w:after="0"/>
        <w:rPr>
          <w:rFonts w:ascii="Arial" w:hAnsi="Arial" w:cs="Arial"/>
          <w:iCs/>
        </w:rPr>
      </w:pPr>
    </w:p>
    <w:p w14:paraId="36BE002A" w14:textId="77777777" w:rsidR="00750F62" w:rsidRDefault="00750F62" w:rsidP="00E664B0">
      <w:pPr>
        <w:pStyle w:val="Body"/>
        <w:spacing w:after="0"/>
        <w:rPr>
          <w:rFonts w:ascii="Arial" w:hAnsi="Arial" w:cs="Arial"/>
          <w:iCs/>
        </w:rPr>
      </w:pPr>
      <w:bookmarkStart w:id="1" w:name="_Hlk214045024"/>
      <w:proofErr w:type="spellStart"/>
      <w:r w:rsidRPr="00E664B0">
        <w:rPr>
          <w:rFonts w:ascii="Arial" w:hAnsi="Arial" w:cs="Arial"/>
          <w:iCs/>
        </w:rPr>
        <w:t>Subiyantoro</w:t>
      </w:r>
      <w:bookmarkEnd w:id="1"/>
      <w:proofErr w:type="spellEnd"/>
      <w:r w:rsidRPr="00E664B0">
        <w:rPr>
          <w:rFonts w:ascii="Arial" w:hAnsi="Arial" w:cs="Arial"/>
          <w:iCs/>
        </w:rPr>
        <w:t xml:space="preserve">, H., </w:t>
      </w:r>
      <w:proofErr w:type="spellStart"/>
      <w:r w:rsidRPr="00E664B0">
        <w:rPr>
          <w:rFonts w:ascii="Arial" w:hAnsi="Arial" w:cs="Arial"/>
          <w:iCs/>
        </w:rPr>
        <w:t>Tarziraf</w:t>
      </w:r>
      <w:proofErr w:type="spellEnd"/>
      <w:r w:rsidRPr="00E664B0">
        <w:rPr>
          <w:rFonts w:ascii="Arial" w:hAnsi="Arial" w:cs="Arial"/>
          <w:iCs/>
        </w:rPr>
        <w:t xml:space="preserve">, A., &amp; Asmara, A. (2023). The Role of Vocational Education as the Key to Economic Development in Indonesia. Proceedings of the 3rd Multidisciplinary International Conference, MIC 2023, 28 October 2023, Jakarta, Indonesia. </w:t>
      </w:r>
      <w:hyperlink r:id="rId22" w:history="1">
        <w:r w:rsidRPr="00643C15">
          <w:rPr>
            <w:rStyle w:val="Hyperlink"/>
            <w:rFonts w:ascii="Arial" w:hAnsi="Arial" w:cs="Arial"/>
            <w:iCs/>
            <w:color w:val="auto"/>
            <w:u w:val="none"/>
          </w:rPr>
          <w:t>https://doi.org/10.4108/eai.28-10-2023.2341745</w:t>
        </w:r>
      </w:hyperlink>
      <w:r w:rsidRPr="00E664B0">
        <w:rPr>
          <w:rFonts w:ascii="Arial" w:hAnsi="Arial" w:cs="Arial"/>
          <w:iCs/>
        </w:rPr>
        <w:t>.</w:t>
      </w:r>
    </w:p>
    <w:p w14:paraId="79EC19BA" w14:textId="77777777" w:rsidR="0049005E" w:rsidRDefault="0049005E" w:rsidP="00E664B0">
      <w:pPr>
        <w:pStyle w:val="Body"/>
        <w:spacing w:after="0"/>
        <w:rPr>
          <w:rFonts w:ascii="Arial" w:hAnsi="Arial" w:cs="Arial"/>
          <w:iCs/>
        </w:rPr>
      </w:pPr>
    </w:p>
    <w:p w14:paraId="0F3165B2" w14:textId="07408C87" w:rsidR="00750F62" w:rsidRPr="0049005E" w:rsidRDefault="0049005E" w:rsidP="0049005E">
      <w:pPr>
        <w:pStyle w:val="Body"/>
        <w:rPr>
          <w:rFonts w:ascii="Arial" w:hAnsi="Arial" w:cs="Arial"/>
          <w:lang w:val="en-GB"/>
        </w:rPr>
      </w:pPr>
      <w:bookmarkStart w:id="2" w:name="_Hlk214047479"/>
      <w:proofErr w:type="spellStart"/>
      <w:r w:rsidRPr="0049005E">
        <w:rPr>
          <w:rFonts w:ascii="Arial" w:hAnsi="Arial" w:cs="Arial"/>
        </w:rPr>
        <w:t>Taua'a</w:t>
      </w:r>
      <w:proofErr w:type="spellEnd"/>
      <w:r w:rsidRPr="0049005E">
        <w:rPr>
          <w:rFonts w:ascii="Arial" w:hAnsi="Arial" w:cs="Arial"/>
        </w:rPr>
        <w:t xml:space="preserve">, S., &amp; </w:t>
      </w:r>
      <w:proofErr w:type="spellStart"/>
      <w:r w:rsidRPr="0049005E">
        <w:rPr>
          <w:rFonts w:ascii="Arial" w:hAnsi="Arial" w:cs="Arial"/>
        </w:rPr>
        <w:t>Penaia</w:t>
      </w:r>
      <w:bookmarkEnd w:id="2"/>
      <w:proofErr w:type="spellEnd"/>
      <w:r w:rsidRPr="0049005E">
        <w:rPr>
          <w:rFonts w:ascii="Arial" w:hAnsi="Arial" w:cs="Arial"/>
        </w:rPr>
        <w:t>, F. (2021). Exploring the impact of a Technical and Vocational Education and Training qualified person on the socio</w:t>
      </w:r>
      <w:r w:rsidRPr="0049005E">
        <w:rPr>
          <w:rFonts w:ascii="Cambria Math" w:hAnsi="Cambria Math" w:cs="Cambria Math"/>
        </w:rPr>
        <w:t>‐</w:t>
      </w:r>
      <w:r w:rsidRPr="0049005E">
        <w:rPr>
          <w:rFonts w:ascii="Arial" w:hAnsi="Arial" w:cs="Arial"/>
        </w:rPr>
        <w:t>economic well</w:t>
      </w:r>
      <w:r w:rsidRPr="0049005E">
        <w:rPr>
          <w:rFonts w:ascii="Cambria Math" w:hAnsi="Cambria Math" w:cs="Cambria Math"/>
        </w:rPr>
        <w:t>‐</w:t>
      </w:r>
      <w:r w:rsidRPr="0049005E">
        <w:rPr>
          <w:rFonts w:ascii="Arial" w:hAnsi="Arial" w:cs="Arial"/>
        </w:rPr>
        <w:t>being of the household: A case study from Samoa. </w:t>
      </w:r>
      <w:r w:rsidRPr="0049005E">
        <w:rPr>
          <w:rFonts w:ascii="Arial" w:hAnsi="Arial" w:cs="Arial"/>
          <w:i/>
          <w:iCs/>
        </w:rPr>
        <w:t>Asia Pacific Viewpoint</w:t>
      </w:r>
      <w:r w:rsidRPr="0049005E">
        <w:rPr>
          <w:rFonts w:ascii="Arial" w:hAnsi="Arial" w:cs="Arial"/>
        </w:rPr>
        <w:t>. https://doi.org/10.1111/apv.12313.</w:t>
      </w:r>
    </w:p>
    <w:p w14:paraId="32192566" w14:textId="77777777" w:rsidR="00750F62" w:rsidRPr="00975F56" w:rsidRDefault="00750F62" w:rsidP="00975F56">
      <w:pPr>
        <w:pStyle w:val="Body"/>
        <w:rPr>
          <w:rFonts w:ascii="Arial" w:hAnsi="Arial" w:cs="Arial"/>
          <w:bCs/>
          <w:lang w:val="en-MY"/>
        </w:rPr>
      </w:pPr>
      <w:r w:rsidRPr="00975F56">
        <w:rPr>
          <w:rFonts w:ascii="Arial" w:hAnsi="Arial" w:cs="Arial"/>
          <w:bCs/>
        </w:rPr>
        <w:t xml:space="preserve">UNESCO. (2015). </w:t>
      </w:r>
      <w:r w:rsidRPr="00975F56">
        <w:rPr>
          <w:rFonts w:ascii="Arial" w:hAnsi="Arial" w:cs="Arial"/>
          <w:bCs/>
          <w:i/>
          <w:iCs/>
        </w:rPr>
        <w:t xml:space="preserve">Recommendations on technical and vocational education and training (TVET). </w:t>
      </w:r>
      <w:hyperlink r:id="rId23" w:history="1">
        <w:r w:rsidRPr="00975F56">
          <w:rPr>
            <w:rStyle w:val="Hyperlink"/>
            <w:rFonts w:ascii="Arial" w:hAnsi="Arial" w:cs="Arial"/>
            <w:bCs/>
            <w:color w:val="auto"/>
            <w:u w:val="none"/>
          </w:rPr>
          <w:t>https://unesdoc.unesco.org/ark:/48223/pf0000245178</w:t>
        </w:r>
      </w:hyperlink>
    </w:p>
    <w:p w14:paraId="09BC813D" w14:textId="77777777" w:rsidR="00750F62" w:rsidRPr="00975F56" w:rsidRDefault="00750F62" w:rsidP="00975F56">
      <w:pPr>
        <w:pStyle w:val="Body"/>
        <w:rPr>
          <w:rFonts w:ascii="Arial" w:hAnsi="Arial" w:cs="Arial"/>
          <w:bCs/>
          <w:lang w:val="en-MY"/>
        </w:rPr>
      </w:pPr>
      <w:r w:rsidRPr="00975F56">
        <w:rPr>
          <w:rFonts w:ascii="Arial" w:hAnsi="Arial" w:cs="Arial"/>
          <w:bCs/>
        </w:rPr>
        <w:t xml:space="preserve">Wang, L. (2024). TVET instills a much-needed dose of relevance into education. </w:t>
      </w:r>
      <w:hyperlink r:id="rId24" w:history="1">
        <w:r w:rsidRPr="00975F56">
          <w:rPr>
            <w:rStyle w:val="Hyperlink"/>
            <w:rFonts w:ascii="Arial" w:hAnsi="Arial" w:cs="Arial"/>
            <w:bCs/>
            <w:color w:val="auto"/>
            <w:u w:val="none"/>
          </w:rPr>
          <w:t>https://www.unesco.org/en/articles/tvet-infuses-much-needed-dose-relevance-education</w:t>
        </w:r>
      </w:hyperlink>
    </w:p>
    <w:p w14:paraId="1FB6CA11" w14:textId="77777777" w:rsidR="00750F62" w:rsidRDefault="00750F62" w:rsidP="00975F56">
      <w:pPr>
        <w:pStyle w:val="Body"/>
        <w:spacing w:after="0"/>
        <w:rPr>
          <w:rFonts w:ascii="Arial" w:hAnsi="Arial" w:cs="Arial"/>
          <w:bCs/>
        </w:rPr>
      </w:pPr>
      <w:r w:rsidRPr="00225E7C">
        <w:rPr>
          <w:rFonts w:ascii="Arial" w:hAnsi="Arial" w:cs="Arial"/>
          <w:bCs/>
        </w:rPr>
        <w:t xml:space="preserve">Yeap, C.F., Suhaimi, N., &amp; Nasir, M.K. (2021). Issues, challenges, and suggestions for empowering technical vocational education and training during the COVID-19 pandemic in Malaysia. </w:t>
      </w:r>
      <w:r w:rsidRPr="00225E7C">
        <w:rPr>
          <w:rFonts w:ascii="Arial" w:hAnsi="Arial" w:cs="Arial"/>
          <w:bCs/>
          <w:i/>
          <w:iCs/>
        </w:rPr>
        <w:t>Creative Education, 12</w:t>
      </w:r>
      <w:r w:rsidRPr="00225E7C">
        <w:rPr>
          <w:rFonts w:ascii="Arial" w:hAnsi="Arial" w:cs="Arial"/>
          <w:bCs/>
        </w:rPr>
        <w:t>(8), 1818</w:t>
      </w:r>
    </w:p>
    <w:p w14:paraId="570321B3" w14:textId="77777777" w:rsidR="00750F62" w:rsidRDefault="00750F62" w:rsidP="00750F62">
      <w:pPr>
        <w:pStyle w:val="Body"/>
        <w:spacing w:after="0"/>
        <w:rPr>
          <w:rFonts w:ascii="Arial" w:hAnsi="Arial" w:cs="Arial"/>
          <w:b/>
          <w:bCs/>
        </w:rPr>
      </w:pPr>
    </w:p>
    <w:p w14:paraId="2B5CC39B" w14:textId="73091EDF" w:rsidR="00750F62" w:rsidRDefault="00750F62" w:rsidP="00750F62">
      <w:pPr>
        <w:pStyle w:val="Body"/>
        <w:rPr>
          <w:szCs w:val="24"/>
        </w:rPr>
      </w:pPr>
      <w:r w:rsidRPr="00750F62">
        <w:rPr>
          <w:szCs w:val="24"/>
        </w:rPr>
        <w:t xml:space="preserve">Yeap, C., Suhaimi, N., &amp; Nasir, M. (2021). Issues, Challenges, and Suggestions for Empowering Technical Vocational </w:t>
      </w:r>
      <w:r w:rsidRPr="009B3BE4">
        <w:rPr>
          <w:szCs w:val="24"/>
        </w:rPr>
        <w:t>Education and Training Education during the COVID-19 Pandemic in Malaysia. </w:t>
      </w:r>
      <w:r w:rsidRPr="009B3BE4">
        <w:rPr>
          <w:i/>
          <w:iCs/>
          <w:szCs w:val="24"/>
        </w:rPr>
        <w:t>Creative Education</w:t>
      </w:r>
      <w:r w:rsidRPr="009B3BE4">
        <w:rPr>
          <w:szCs w:val="24"/>
        </w:rPr>
        <w:t xml:space="preserve">. </w:t>
      </w:r>
      <w:hyperlink r:id="rId25" w:history="1">
        <w:r w:rsidR="009B3BE4" w:rsidRPr="009B3BE4">
          <w:rPr>
            <w:rStyle w:val="Hyperlink"/>
            <w:color w:val="auto"/>
            <w:szCs w:val="24"/>
            <w:u w:val="none"/>
          </w:rPr>
          <w:t>https://doi.org/10.4236/ce.2021.128138</w:t>
        </w:r>
      </w:hyperlink>
      <w:r w:rsidRPr="00750F62">
        <w:rPr>
          <w:szCs w:val="24"/>
        </w:rPr>
        <w:t>.</w:t>
      </w:r>
    </w:p>
    <w:p w14:paraId="430B205F" w14:textId="33FAABCB" w:rsidR="009B3BE4" w:rsidRDefault="009B3BE4" w:rsidP="00750F62">
      <w:pPr>
        <w:pStyle w:val="Body"/>
        <w:rPr>
          <w:rFonts w:ascii="Arial" w:hAnsi="Arial" w:cs="Arial"/>
        </w:rPr>
      </w:pPr>
      <w:r w:rsidRPr="009B3BE4">
        <w:rPr>
          <w:rFonts w:ascii="Arial" w:hAnsi="Arial" w:cs="Arial"/>
          <w:highlight w:val="yellow"/>
        </w:rPr>
        <w:t xml:space="preserve">Ministry of Education Malaysia. (2020). </w:t>
      </w:r>
      <w:r w:rsidRPr="009B3BE4">
        <w:rPr>
          <w:rFonts w:ascii="Arial" w:hAnsi="Arial" w:cs="Arial"/>
          <w:i/>
          <w:iCs/>
          <w:highlight w:val="yellow"/>
        </w:rPr>
        <w:t>Technical and vocational education and training (TVET) report</w:t>
      </w:r>
      <w:r w:rsidRPr="009B3BE4">
        <w:rPr>
          <w:rFonts w:ascii="Arial" w:hAnsi="Arial" w:cs="Arial"/>
          <w:highlight w:val="yellow"/>
        </w:rPr>
        <w:t>. Ministry of Education Malaysia.</w:t>
      </w:r>
    </w:p>
    <w:p w14:paraId="1BB554D1" w14:textId="77777777" w:rsidR="00750F62" w:rsidRDefault="00750F62" w:rsidP="00975F56">
      <w:pPr>
        <w:pStyle w:val="DefAcrHead"/>
        <w:spacing w:after="0"/>
        <w:jc w:val="both"/>
        <w:rPr>
          <w:rFonts w:ascii="Arial" w:hAnsi="Arial" w:cs="Arial"/>
          <w:iCs/>
          <w:sz w:val="20"/>
        </w:rPr>
      </w:pPr>
    </w:p>
    <w:p w14:paraId="177A7937" w14:textId="7BEA4DBE" w:rsidR="00750F62" w:rsidRPr="00E664B0" w:rsidRDefault="00750F62" w:rsidP="00975F56">
      <w:pPr>
        <w:pStyle w:val="DefAcrHead"/>
        <w:spacing w:after="0"/>
        <w:jc w:val="both"/>
        <w:rPr>
          <w:rFonts w:ascii="Arial" w:hAnsi="Arial" w:cs="Arial"/>
          <w:iCs/>
          <w:sz w:val="20"/>
        </w:rPr>
        <w:sectPr w:rsidR="00750F62" w:rsidRPr="00E664B0" w:rsidSect="00E610CF">
          <w:headerReference w:type="even" r:id="rId26"/>
          <w:headerReference w:type="default" r:id="rId27"/>
          <w:footerReference w:type="default" r:id="rId28"/>
          <w:headerReference w:type="first" r:id="rId29"/>
          <w:type w:val="continuous"/>
          <w:pgSz w:w="12240" w:h="15840"/>
          <w:pgMar w:top="1440" w:right="2016" w:bottom="2016" w:left="2016" w:header="720" w:footer="1123" w:gutter="0"/>
          <w:cols w:space="720"/>
          <w:docGrid w:linePitch="272"/>
        </w:sectPr>
      </w:pPr>
    </w:p>
    <w:p w14:paraId="5088ECE6" w14:textId="04B1AD0B" w:rsidR="00B01FCD" w:rsidRPr="00E664B0" w:rsidRDefault="00B01FCD" w:rsidP="00441B6F">
      <w:pPr>
        <w:pStyle w:val="Appendix"/>
        <w:spacing w:after="0"/>
        <w:jc w:val="both"/>
        <w:rPr>
          <w:rFonts w:ascii="Arial" w:hAnsi="Arial" w:cs="Arial"/>
          <w:b w:val="0"/>
          <w:iCs/>
          <w:sz w:val="20"/>
        </w:rPr>
      </w:pPr>
    </w:p>
    <w:sectPr w:rsidR="00B01FCD" w:rsidRPr="00E664B0" w:rsidSect="00E610CF">
      <w:type w:val="continuous"/>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3B2192E" w16cex:dateUtc="2025-11-07T12:3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D79FD5" w14:textId="77777777" w:rsidR="00A814A6" w:rsidRDefault="00A814A6" w:rsidP="00C37E61">
      <w:r>
        <w:separator/>
      </w:r>
    </w:p>
  </w:endnote>
  <w:endnote w:type="continuationSeparator" w:id="0">
    <w:p w14:paraId="5A0940BB" w14:textId="77777777" w:rsidR="00A814A6" w:rsidRDefault="00A814A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7F04A" w14:textId="77777777" w:rsidR="00E610CF" w:rsidRDefault="00E610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4E582" w14:textId="77777777" w:rsidR="00E610CF" w:rsidRDefault="00E610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556FE" w14:textId="5F484BC9" w:rsidR="00754C9A" w:rsidRPr="00EB43B6" w:rsidRDefault="00754C9A" w:rsidP="00EB43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B962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75983" w14:textId="77777777" w:rsidR="00A814A6" w:rsidRDefault="00A814A6" w:rsidP="00C37E61">
      <w:r>
        <w:separator/>
      </w:r>
    </w:p>
  </w:footnote>
  <w:footnote w:type="continuationSeparator" w:id="0">
    <w:p w14:paraId="0DEBDDB1" w14:textId="77777777" w:rsidR="00A814A6" w:rsidRDefault="00A814A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7C711" w14:textId="3BC6657B" w:rsidR="00E610CF" w:rsidRDefault="00A814A6">
    <w:pPr>
      <w:pStyle w:val="Header"/>
    </w:pPr>
    <w:r>
      <w:rPr>
        <w:noProof/>
      </w:rPr>
      <w:pict w14:anchorId="109193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79112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D0E2B" w14:textId="6D966B15" w:rsidR="00E610CF" w:rsidRDefault="00A814A6">
    <w:pPr>
      <w:pStyle w:val="Header"/>
    </w:pPr>
    <w:r>
      <w:rPr>
        <w:noProof/>
      </w:rPr>
      <w:pict w14:anchorId="7E4664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79112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4FEB2" w14:textId="51CF4C9A" w:rsidR="00296529" w:rsidRPr="00296529" w:rsidRDefault="00A814A6" w:rsidP="00296529">
    <w:pPr>
      <w:ind w:left="2160"/>
      <w:jc w:val="center"/>
      <w:rPr>
        <w:rFonts w:ascii="Times New Roman" w:eastAsia="Calibri" w:hAnsi="Times New Roman"/>
        <w:i/>
        <w:sz w:val="18"/>
        <w:szCs w:val="22"/>
      </w:rPr>
    </w:pPr>
    <w:r>
      <w:rPr>
        <w:noProof/>
      </w:rPr>
      <w:pict w14:anchorId="216C46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79112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2FBC4F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0FC05F8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21DC92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 </w:t>
    </w:r>
  </w:p>
  <w:p w14:paraId="2BBA9CB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11C16C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DA22CB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89B86" w14:textId="13C07D0C" w:rsidR="00E610CF" w:rsidRDefault="00A814A6">
    <w:pPr>
      <w:pStyle w:val="Header"/>
    </w:pPr>
    <w:r>
      <w:rPr>
        <w:noProof/>
      </w:rPr>
      <w:pict w14:anchorId="318699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79112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52C80" w14:textId="079CDAAA" w:rsidR="00E610CF" w:rsidRDefault="00A814A6">
    <w:pPr>
      <w:pStyle w:val="Header"/>
    </w:pPr>
    <w:r>
      <w:rPr>
        <w:noProof/>
      </w:rPr>
      <w:pict w14:anchorId="565B4C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79113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747E3" w14:textId="6447BDB6" w:rsidR="00E610CF" w:rsidRDefault="00A814A6">
    <w:pPr>
      <w:pStyle w:val="Header"/>
    </w:pPr>
    <w:r>
      <w:rPr>
        <w:noProof/>
      </w:rPr>
      <w:pict w14:anchorId="41F80E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79112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6C6309"/>
    <w:multiLevelType w:val="multilevel"/>
    <w:tmpl w:val="23F8440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6"/>
  </w:num>
  <w:num w:numId="10">
    <w:abstractNumId w:val="3"/>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61027"/>
    <w:rsid w:val="000943E2"/>
    <w:rsid w:val="000964D8"/>
    <w:rsid w:val="000A47FA"/>
    <w:rsid w:val="000A65D3"/>
    <w:rsid w:val="000B1E33"/>
    <w:rsid w:val="000B78C5"/>
    <w:rsid w:val="000D4093"/>
    <w:rsid w:val="000D689F"/>
    <w:rsid w:val="000E21D4"/>
    <w:rsid w:val="000E7B7B"/>
    <w:rsid w:val="000E7D62"/>
    <w:rsid w:val="00103357"/>
    <w:rsid w:val="00123C9F"/>
    <w:rsid w:val="00126190"/>
    <w:rsid w:val="001273F1"/>
    <w:rsid w:val="00130F17"/>
    <w:rsid w:val="001320BF"/>
    <w:rsid w:val="00163BC4"/>
    <w:rsid w:val="00191062"/>
    <w:rsid w:val="00192B72"/>
    <w:rsid w:val="00192F02"/>
    <w:rsid w:val="001A29D8"/>
    <w:rsid w:val="001A5CAA"/>
    <w:rsid w:val="001B0427"/>
    <w:rsid w:val="001B2ED6"/>
    <w:rsid w:val="001D3A51"/>
    <w:rsid w:val="001E10D2"/>
    <w:rsid w:val="001E25B4"/>
    <w:rsid w:val="001E44FE"/>
    <w:rsid w:val="00200595"/>
    <w:rsid w:val="00204835"/>
    <w:rsid w:val="00225E7C"/>
    <w:rsid w:val="00231920"/>
    <w:rsid w:val="0023195C"/>
    <w:rsid w:val="0024282C"/>
    <w:rsid w:val="002460DC"/>
    <w:rsid w:val="00250985"/>
    <w:rsid w:val="002556F6"/>
    <w:rsid w:val="00262A93"/>
    <w:rsid w:val="00283105"/>
    <w:rsid w:val="00284C4C"/>
    <w:rsid w:val="00287E68"/>
    <w:rsid w:val="00296529"/>
    <w:rsid w:val="002B27FB"/>
    <w:rsid w:val="002B685A"/>
    <w:rsid w:val="002C57D2"/>
    <w:rsid w:val="002E0D56"/>
    <w:rsid w:val="002E0ED0"/>
    <w:rsid w:val="003100BD"/>
    <w:rsid w:val="00315186"/>
    <w:rsid w:val="0033343E"/>
    <w:rsid w:val="003512C2"/>
    <w:rsid w:val="003661D1"/>
    <w:rsid w:val="00371FB6"/>
    <w:rsid w:val="003763C1"/>
    <w:rsid w:val="00376BBE"/>
    <w:rsid w:val="0039224F"/>
    <w:rsid w:val="0039771D"/>
    <w:rsid w:val="003A43A4"/>
    <w:rsid w:val="003A7E18"/>
    <w:rsid w:val="003B54C1"/>
    <w:rsid w:val="003C4C86"/>
    <w:rsid w:val="003C6258"/>
    <w:rsid w:val="003C69AF"/>
    <w:rsid w:val="003E2904"/>
    <w:rsid w:val="00400C84"/>
    <w:rsid w:val="00401927"/>
    <w:rsid w:val="0041027F"/>
    <w:rsid w:val="00412475"/>
    <w:rsid w:val="00423789"/>
    <w:rsid w:val="00440F43"/>
    <w:rsid w:val="00441B6F"/>
    <w:rsid w:val="00446221"/>
    <w:rsid w:val="00450E62"/>
    <w:rsid w:val="004539DB"/>
    <w:rsid w:val="00471A80"/>
    <w:rsid w:val="0047492E"/>
    <w:rsid w:val="00483AD1"/>
    <w:rsid w:val="0049005E"/>
    <w:rsid w:val="004D305E"/>
    <w:rsid w:val="004D4277"/>
    <w:rsid w:val="00502516"/>
    <w:rsid w:val="00505F06"/>
    <w:rsid w:val="00506828"/>
    <w:rsid w:val="0053056E"/>
    <w:rsid w:val="00552DF3"/>
    <w:rsid w:val="00554FDA"/>
    <w:rsid w:val="00557A72"/>
    <w:rsid w:val="00564B59"/>
    <w:rsid w:val="005B4963"/>
    <w:rsid w:val="005B7B1B"/>
    <w:rsid w:val="005C784C"/>
    <w:rsid w:val="005D17F6"/>
    <w:rsid w:val="005D7543"/>
    <w:rsid w:val="005E5539"/>
    <w:rsid w:val="005E7E86"/>
    <w:rsid w:val="00602BF5"/>
    <w:rsid w:val="00617FDD"/>
    <w:rsid w:val="00633614"/>
    <w:rsid w:val="00633F68"/>
    <w:rsid w:val="00636EB2"/>
    <w:rsid w:val="006375B8"/>
    <w:rsid w:val="00643C15"/>
    <w:rsid w:val="0066510A"/>
    <w:rsid w:val="00673F9F"/>
    <w:rsid w:val="00686953"/>
    <w:rsid w:val="00687DEA"/>
    <w:rsid w:val="00687E67"/>
    <w:rsid w:val="006967F7"/>
    <w:rsid w:val="006A250C"/>
    <w:rsid w:val="006B21D3"/>
    <w:rsid w:val="006B57D0"/>
    <w:rsid w:val="006C1A54"/>
    <w:rsid w:val="006D30FF"/>
    <w:rsid w:val="006D6940"/>
    <w:rsid w:val="006E2A7A"/>
    <w:rsid w:val="006F11EC"/>
    <w:rsid w:val="0070082C"/>
    <w:rsid w:val="00727547"/>
    <w:rsid w:val="00734F1C"/>
    <w:rsid w:val="007369E6"/>
    <w:rsid w:val="00746E59"/>
    <w:rsid w:val="00750F62"/>
    <w:rsid w:val="00754C9A"/>
    <w:rsid w:val="0075599A"/>
    <w:rsid w:val="007611B7"/>
    <w:rsid w:val="00761D52"/>
    <w:rsid w:val="0077749E"/>
    <w:rsid w:val="00790ADA"/>
    <w:rsid w:val="007D2288"/>
    <w:rsid w:val="007E088F"/>
    <w:rsid w:val="007F7B32"/>
    <w:rsid w:val="00804BC2"/>
    <w:rsid w:val="0081431A"/>
    <w:rsid w:val="00814A90"/>
    <w:rsid w:val="0083216F"/>
    <w:rsid w:val="00833532"/>
    <w:rsid w:val="00860000"/>
    <w:rsid w:val="00863BD3"/>
    <w:rsid w:val="008641ED"/>
    <w:rsid w:val="00866BD0"/>
    <w:rsid w:val="00866D66"/>
    <w:rsid w:val="008671C6"/>
    <w:rsid w:val="00875803"/>
    <w:rsid w:val="008B459E"/>
    <w:rsid w:val="008E13AE"/>
    <w:rsid w:val="008E1506"/>
    <w:rsid w:val="008E710C"/>
    <w:rsid w:val="008F69D6"/>
    <w:rsid w:val="00902823"/>
    <w:rsid w:val="00915CA6"/>
    <w:rsid w:val="00915CC5"/>
    <w:rsid w:val="00927834"/>
    <w:rsid w:val="009500A6"/>
    <w:rsid w:val="00957C18"/>
    <w:rsid w:val="009659BA"/>
    <w:rsid w:val="00975F56"/>
    <w:rsid w:val="00983040"/>
    <w:rsid w:val="009B3BE4"/>
    <w:rsid w:val="009B3FB9"/>
    <w:rsid w:val="009C2465"/>
    <w:rsid w:val="009C5F61"/>
    <w:rsid w:val="009D35A0"/>
    <w:rsid w:val="009D7EB7"/>
    <w:rsid w:val="009E048A"/>
    <w:rsid w:val="009E08E9"/>
    <w:rsid w:val="009E3DB9"/>
    <w:rsid w:val="009E6E35"/>
    <w:rsid w:val="009F0EDA"/>
    <w:rsid w:val="009F7174"/>
    <w:rsid w:val="009F7602"/>
    <w:rsid w:val="00A03B96"/>
    <w:rsid w:val="00A05B19"/>
    <w:rsid w:val="00A1134E"/>
    <w:rsid w:val="00A24E7E"/>
    <w:rsid w:val="00A258C3"/>
    <w:rsid w:val="00A347C0"/>
    <w:rsid w:val="00A51431"/>
    <w:rsid w:val="00A539AD"/>
    <w:rsid w:val="00A814A6"/>
    <w:rsid w:val="00A85D5F"/>
    <w:rsid w:val="00A87DD9"/>
    <w:rsid w:val="00A94063"/>
    <w:rsid w:val="00A9412B"/>
    <w:rsid w:val="00AA555A"/>
    <w:rsid w:val="00AA6219"/>
    <w:rsid w:val="00AA74E0"/>
    <w:rsid w:val="00AB703F"/>
    <w:rsid w:val="00AC6BB8"/>
    <w:rsid w:val="00AE008F"/>
    <w:rsid w:val="00AE0FA6"/>
    <w:rsid w:val="00B01FCD"/>
    <w:rsid w:val="00B03192"/>
    <w:rsid w:val="00B053B8"/>
    <w:rsid w:val="00B1776C"/>
    <w:rsid w:val="00B52583"/>
    <w:rsid w:val="00B52896"/>
    <w:rsid w:val="00B95236"/>
    <w:rsid w:val="00B96BD9"/>
    <w:rsid w:val="00BA1B01"/>
    <w:rsid w:val="00BA2641"/>
    <w:rsid w:val="00BB37AA"/>
    <w:rsid w:val="00BC53A0"/>
    <w:rsid w:val="00BE2D3C"/>
    <w:rsid w:val="00BE62AD"/>
    <w:rsid w:val="00BF121F"/>
    <w:rsid w:val="00BF1F80"/>
    <w:rsid w:val="00C166EF"/>
    <w:rsid w:val="00C17EB0"/>
    <w:rsid w:val="00C27F5F"/>
    <w:rsid w:val="00C30A0F"/>
    <w:rsid w:val="00C37E61"/>
    <w:rsid w:val="00C70F1B"/>
    <w:rsid w:val="00C71A47"/>
    <w:rsid w:val="00C7224A"/>
    <w:rsid w:val="00C7464C"/>
    <w:rsid w:val="00C85588"/>
    <w:rsid w:val="00CD6755"/>
    <w:rsid w:val="00CD6856"/>
    <w:rsid w:val="00CE0089"/>
    <w:rsid w:val="00CE793C"/>
    <w:rsid w:val="00CF193C"/>
    <w:rsid w:val="00D173F1"/>
    <w:rsid w:val="00D44FE0"/>
    <w:rsid w:val="00D746F5"/>
    <w:rsid w:val="00D74CB0"/>
    <w:rsid w:val="00D8295D"/>
    <w:rsid w:val="00D97B25"/>
    <w:rsid w:val="00DC2A65"/>
    <w:rsid w:val="00DE0A87"/>
    <w:rsid w:val="00DE15F0"/>
    <w:rsid w:val="00DE5663"/>
    <w:rsid w:val="00DE78AA"/>
    <w:rsid w:val="00E053D0"/>
    <w:rsid w:val="00E15994"/>
    <w:rsid w:val="00E3114E"/>
    <w:rsid w:val="00E31A70"/>
    <w:rsid w:val="00E35B02"/>
    <w:rsid w:val="00E610CF"/>
    <w:rsid w:val="00E66260"/>
    <w:rsid w:val="00E66496"/>
    <w:rsid w:val="00E664B0"/>
    <w:rsid w:val="00E66B35"/>
    <w:rsid w:val="00E66E10"/>
    <w:rsid w:val="00E769F6"/>
    <w:rsid w:val="00E8407C"/>
    <w:rsid w:val="00E84F3C"/>
    <w:rsid w:val="00EA012C"/>
    <w:rsid w:val="00EA1A46"/>
    <w:rsid w:val="00EB43B6"/>
    <w:rsid w:val="00EC3D98"/>
    <w:rsid w:val="00EC6A55"/>
    <w:rsid w:val="00ED0288"/>
    <w:rsid w:val="00EE52CB"/>
    <w:rsid w:val="00EE566C"/>
    <w:rsid w:val="00EF581D"/>
    <w:rsid w:val="00EF7FD8"/>
    <w:rsid w:val="00F05E27"/>
    <w:rsid w:val="00F06F59"/>
    <w:rsid w:val="00F0713D"/>
    <w:rsid w:val="00F17988"/>
    <w:rsid w:val="00F469F0"/>
    <w:rsid w:val="00F53273"/>
    <w:rsid w:val="00F755E4"/>
    <w:rsid w:val="00F77D02"/>
    <w:rsid w:val="00F80B3F"/>
    <w:rsid w:val="00FB3A86"/>
    <w:rsid w:val="00FC6D8E"/>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7907B9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E6626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915CC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47492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915CC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47492E"/>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semiHidden/>
    <w:rsid w:val="00E66260"/>
    <w:rPr>
      <w:rFonts w:asciiTheme="majorHAnsi" w:eastAsiaTheme="majorEastAsia" w:hAnsiTheme="majorHAnsi" w:cstheme="majorBidi"/>
      <w:color w:val="365F91" w:themeColor="accent1" w:themeShade="BF"/>
      <w:sz w:val="26"/>
      <w:szCs w:val="26"/>
    </w:rPr>
  </w:style>
  <w:style w:type="character" w:styleId="PlaceholderText">
    <w:name w:val="Placeholder Text"/>
    <w:basedOn w:val="DefaultParagraphFont"/>
    <w:uiPriority w:val="99"/>
    <w:semiHidden/>
    <w:rsid w:val="000E21D4"/>
    <w:rPr>
      <w:color w:val="666666"/>
    </w:rPr>
  </w:style>
  <w:style w:type="paragraph" w:styleId="CommentSubject">
    <w:name w:val="annotation subject"/>
    <w:basedOn w:val="CommentText"/>
    <w:next w:val="CommentText"/>
    <w:link w:val="CommentSubjectChar"/>
    <w:semiHidden/>
    <w:unhideWhenUsed/>
    <w:rsid w:val="000E21D4"/>
    <w:rPr>
      <w:rFonts w:ascii="Helvetica" w:hAnsi="Helvetica"/>
      <w:b/>
      <w:bCs/>
      <w:lang w:val="en-US" w:eastAsia="en-US"/>
    </w:rPr>
  </w:style>
  <w:style w:type="character" w:customStyle="1" w:styleId="CommentSubjectChar">
    <w:name w:val="Comment Subject Char"/>
    <w:basedOn w:val="CommentTextChar"/>
    <w:link w:val="CommentSubject"/>
    <w:semiHidden/>
    <w:rsid w:val="000E21D4"/>
    <w:rPr>
      <w:rFonts w:ascii="Helvetica" w:hAnsi="Helvetica"/>
      <w:b/>
      <w:bCs/>
      <w:lang w:val="nb-NO" w:eastAsia="nb-NO"/>
    </w:rPr>
  </w:style>
  <w:style w:type="paragraph" w:styleId="NormalWeb">
    <w:name w:val="Normal (Web)"/>
    <w:basedOn w:val="Normal"/>
    <w:semiHidden/>
    <w:unhideWhenUsed/>
    <w:rsid w:val="009B3BE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47405/mjssh.v8i7.2380"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doi.org/10.17576/jkukm-2023-si6(2)-0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ilo.org/resource/news/improve-technical-and-vocational-education-and-training-tvet-meet-skills" TargetMode="External"/><Relationship Id="rId25" Type="http://schemas.openxmlformats.org/officeDocument/2006/relationships/hyperlink" Target="https://doi.org/10.4236/ce.2021.128138" TargetMode="External"/><Relationship Id="rId2" Type="http://schemas.openxmlformats.org/officeDocument/2006/relationships/numbering" Target="numbering.xml"/><Relationship Id="rId16" Type="http://schemas.openxmlformats.org/officeDocument/2006/relationships/hyperlink" Target="https://doi.org/10.4314/just.v42i2.8" TargetMode="External"/><Relationship Id="rId20" Type="http://schemas.openxmlformats.org/officeDocument/2006/relationships/hyperlink" Target="https://doi.org/10.1186/s40461-022-00136-4"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unesco.org/en/articles/tvet-infuses-much-needed-dose-relevance-education" TargetMode="External"/><Relationship Id="rId32"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doi.org/10.1371/journal.pone.0307392" TargetMode="External"/><Relationship Id="rId23" Type="http://schemas.openxmlformats.org/officeDocument/2006/relationships/hyperlink" Target="https://unesdoc.unesco.org/ark:/48223/pf0000245178"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penanginstitute.org/publications/issues/tvet-in-malaysia-current-situation-challenges-and-recommendation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108/et-09-2023-0413" TargetMode="External"/><Relationship Id="rId22" Type="http://schemas.openxmlformats.org/officeDocument/2006/relationships/hyperlink" Target="https://doi.org/10.4108/eai.28-10-2023.2341745" TargetMode="External"/><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D2450-CF4B-4646-B58C-5C052AFE8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1592</TotalTime>
  <Pages>10</Pages>
  <Words>4265</Words>
  <Characters>24312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Paper Templates</vt:lpstr>
    </vt:vector>
  </TitlesOfParts>
  <Company>aaaa</Company>
  <LinksUpToDate>false</LinksUpToDate>
  <CharactersWithSpaces>28520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Templates</dc:title>
  <dc:creator>SDI</dc:creator>
  <cp:lastModifiedBy>Editor-1183</cp:lastModifiedBy>
  <cp:revision>14</cp:revision>
  <cp:lastPrinted>1999-07-06T11:00:00Z</cp:lastPrinted>
  <dcterms:created xsi:type="dcterms:W3CDTF">2025-11-05T02:00:00Z</dcterms:created>
  <dcterms:modified xsi:type="dcterms:W3CDTF">2025-11-18T12:10:00Z</dcterms:modified>
</cp:coreProperties>
</file>