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2C94F" w14:textId="78FB7169" w:rsidR="00046EDC" w:rsidRPr="00AC4BA8" w:rsidRDefault="00046EDC" w:rsidP="00B04A0A">
      <w:pPr>
        <w:spacing w:after="0" w:line="360" w:lineRule="auto"/>
        <w:jc w:val="center"/>
        <w:rPr>
          <w:rFonts w:ascii="Times New Roman" w:eastAsia="Times New Roman" w:hAnsi="Times New Roman" w:cs="Times New Roman"/>
          <w:b/>
          <w:sz w:val="28"/>
          <w:szCs w:val="28"/>
          <w:lang w:val="en-IN" w:eastAsia="en-IN"/>
        </w:rPr>
      </w:pPr>
      <w:bookmarkStart w:id="0" w:name="Xdde23f0ad951eed68ca57aa4b0d523da81d8b4d"/>
      <w:r w:rsidRPr="00AC4BA8">
        <w:rPr>
          <w:rFonts w:ascii="Times New Roman" w:eastAsia="Times New Roman" w:hAnsi="Times New Roman" w:cs="Times New Roman"/>
          <w:b/>
          <w:sz w:val="28"/>
          <w:szCs w:val="28"/>
          <w:lang w:val="en-IN" w:eastAsia="en-IN"/>
        </w:rPr>
        <w:t xml:space="preserve">A Comparative Study of Secondary School </w:t>
      </w:r>
      <w:r w:rsidR="00160D87">
        <w:rPr>
          <w:rFonts w:ascii="Times New Roman" w:eastAsia="Times New Roman" w:hAnsi="Times New Roman" w:cs="Times New Roman"/>
          <w:b/>
          <w:sz w:val="28"/>
          <w:szCs w:val="28"/>
          <w:lang w:val="en-IN" w:eastAsia="en-IN"/>
        </w:rPr>
        <w:t>Students</w:t>
      </w:r>
      <w:r w:rsidRPr="00AC4BA8">
        <w:rPr>
          <w:rFonts w:ascii="Times New Roman" w:eastAsia="Times New Roman" w:hAnsi="Times New Roman" w:cs="Times New Roman"/>
          <w:b/>
          <w:sz w:val="28"/>
          <w:szCs w:val="28"/>
          <w:lang w:val="en-IN" w:eastAsia="en-IN"/>
        </w:rPr>
        <w:t>' Health Awareness in Barbaruah Block,</w:t>
      </w:r>
      <w:r w:rsidR="00B04A0A" w:rsidRPr="00AC4BA8">
        <w:rPr>
          <w:rFonts w:ascii="Times New Roman" w:eastAsia="Times New Roman" w:hAnsi="Times New Roman" w:cs="Times New Roman"/>
          <w:b/>
          <w:sz w:val="28"/>
          <w:szCs w:val="28"/>
          <w:lang w:val="en-IN" w:eastAsia="en-IN"/>
        </w:rPr>
        <w:t xml:space="preserve"> Dibrugarh District</w:t>
      </w:r>
      <w:r w:rsidR="005C3B0E">
        <w:rPr>
          <w:rFonts w:ascii="Times New Roman" w:eastAsia="Times New Roman" w:hAnsi="Times New Roman" w:cs="Times New Roman"/>
          <w:b/>
          <w:sz w:val="28"/>
          <w:szCs w:val="28"/>
          <w:lang w:val="en-IN" w:eastAsia="en-IN"/>
        </w:rPr>
        <w:t>, Assam, India</w:t>
      </w:r>
    </w:p>
    <w:p w14:paraId="116C222A" w14:textId="77777777" w:rsidR="00D338E7" w:rsidRPr="00AC4BA8" w:rsidRDefault="00D338E7" w:rsidP="00B04A0A">
      <w:pPr>
        <w:spacing w:line="360" w:lineRule="auto"/>
        <w:jc w:val="both"/>
        <w:rPr>
          <w:rFonts w:ascii="Times New Roman" w:hAnsi="Times New Roman" w:cs="Times New Roman"/>
          <w:color w:val="000000" w:themeColor="text1"/>
        </w:rPr>
      </w:pPr>
      <w:bookmarkStart w:id="1" w:name="abstract"/>
    </w:p>
    <w:p w14:paraId="0CEA4047" w14:textId="77777777" w:rsidR="005C3B0E" w:rsidRPr="005C3B0E" w:rsidRDefault="00D20787" w:rsidP="00B04A0A">
      <w:pPr>
        <w:spacing w:line="360" w:lineRule="auto"/>
        <w:jc w:val="both"/>
        <w:rPr>
          <w:rFonts w:ascii="Times New Roman" w:hAnsi="Times New Roman" w:cs="Times New Roman"/>
          <w:b/>
          <w:color w:val="000000" w:themeColor="text1"/>
        </w:rPr>
      </w:pPr>
      <w:r w:rsidRPr="005C3B0E">
        <w:rPr>
          <w:rFonts w:ascii="Times New Roman" w:hAnsi="Times New Roman" w:cs="Times New Roman"/>
          <w:b/>
          <w:color w:val="000000" w:themeColor="text1"/>
        </w:rPr>
        <w:t>Abstract</w:t>
      </w:r>
      <w:r w:rsidR="001A3F9C" w:rsidRPr="005C3B0E">
        <w:rPr>
          <w:rFonts w:ascii="Times New Roman" w:hAnsi="Times New Roman" w:cs="Times New Roman"/>
          <w:b/>
          <w:color w:val="000000" w:themeColor="text1"/>
        </w:rPr>
        <w:t xml:space="preserve">: </w:t>
      </w:r>
    </w:p>
    <w:p w14:paraId="656F0A30" w14:textId="44911548" w:rsidR="00C65696" w:rsidRPr="00AC4BA8" w:rsidRDefault="00160D87" w:rsidP="00B04A0A">
      <w:pPr>
        <w:spacing w:line="360" w:lineRule="auto"/>
        <w:jc w:val="both"/>
        <w:rPr>
          <w:rFonts w:ascii="Times New Roman" w:eastAsia="Times New Roman" w:hAnsi="Times New Roman" w:cs="Times New Roman"/>
          <w:lang w:val="en-IN" w:eastAsia="en-IN"/>
        </w:rPr>
      </w:pPr>
      <w:r>
        <w:rPr>
          <w:rFonts w:ascii="Times New Roman" w:eastAsia="Times New Roman" w:hAnsi="Times New Roman" w:cs="Times New Roman"/>
          <w:lang w:val="en-IN" w:eastAsia="en-IN"/>
        </w:rPr>
        <w:t>Students</w:t>
      </w:r>
      <w:r w:rsidR="00AB4F6B">
        <w:rPr>
          <w:rFonts w:ascii="Times New Roman" w:eastAsia="Times New Roman" w:hAnsi="Times New Roman" w:cs="Times New Roman"/>
          <w:lang w:val="en-IN" w:eastAsia="en-IN"/>
        </w:rPr>
        <w:t xml:space="preserve"> </w:t>
      </w:r>
      <w:r w:rsidR="00AB4F6B" w:rsidRPr="00AC4BA8">
        <w:rPr>
          <w:rFonts w:ascii="Times New Roman" w:eastAsia="Times New Roman" w:hAnsi="Times New Roman" w:cs="Times New Roman"/>
          <w:lang w:val="en-IN" w:eastAsia="en-IN"/>
        </w:rPr>
        <w:t>in</w:t>
      </w:r>
      <w:r w:rsidR="00B04A0A" w:rsidRPr="00AC4BA8">
        <w:rPr>
          <w:rFonts w:ascii="Times New Roman" w:eastAsia="Times New Roman" w:hAnsi="Times New Roman" w:cs="Times New Roman"/>
          <w:lang w:val="en-IN" w:eastAsia="en-IN"/>
        </w:rPr>
        <w:t xml:space="preserve"> secondary school who are conscious of their health </w:t>
      </w:r>
      <w:r w:rsidR="00D20787" w:rsidRPr="00AC4BA8">
        <w:rPr>
          <w:rFonts w:ascii="Times New Roman" w:hAnsi="Times New Roman" w:cs="Times New Roman"/>
          <w:color w:val="000000" w:themeColor="text1"/>
        </w:rPr>
        <w:t xml:space="preserve">is crucial for establishing lifelong healthy </w:t>
      </w:r>
      <w:r w:rsidR="00525527" w:rsidRPr="00AC4BA8">
        <w:rPr>
          <w:rFonts w:ascii="Times New Roman" w:hAnsi="Times New Roman" w:cs="Times New Roman"/>
          <w:color w:val="000000" w:themeColor="text1"/>
        </w:rPr>
        <w:t>behaviours</w:t>
      </w:r>
      <w:r w:rsidR="00D20787" w:rsidRPr="00AC4BA8">
        <w:rPr>
          <w:rFonts w:ascii="Times New Roman" w:hAnsi="Times New Roman" w:cs="Times New Roman"/>
          <w:color w:val="000000" w:themeColor="text1"/>
        </w:rPr>
        <w:t xml:space="preserve"> and reducing future health risks. Understanding the factors influencing health awareness can inform targeted interventions in educational settings.</w:t>
      </w:r>
      <w:r w:rsidR="001A3F9C" w:rsidRPr="00AC4BA8">
        <w:rPr>
          <w:rFonts w:ascii="Times New Roman" w:hAnsi="Times New Roman" w:cs="Times New Roman"/>
          <w:color w:val="000000" w:themeColor="text1"/>
        </w:rPr>
        <w:t xml:space="preserve"> </w:t>
      </w:r>
      <w:r w:rsidR="00D20787" w:rsidRPr="00AC4BA8">
        <w:rPr>
          <w:rFonts w:ascii="Times New Roman" w:hAnsi="Times New Roman" w:cs="Times New Roman"/>
          <w:color w:val="000000" w:themeColor="text1"/>
        </w:rPr>
        <w:t xml:space="preserve">This study examined </w:t>
      </w:r>
      <w:r>
        <w:rPr>
          <w:rFonts w:ascii="Times New Roman" w:hAnsi="Times New Roman" w:cs="Times New Roman"/>
          <w:color w:val="000000" w:themeColor="text1"/>
        </w:rPr>
        <w:t>students</w:t>
      </w:r>
      <w:r w:rsidR="00193705">
        <w:rPr>
          <w:rFonts w:ascii="Times New Roman" w:hAnsi="Times New Roman" w:cs="Times New Roman"/>
          <w:color w:val="000000" w:themeColor="text1"/>
        </w:rPr>
        <w:t xml:space="preserve"> </w:t>
      </w:r>
      <w:r w:rsidR="00B04A0A" w:rsidRPr="00AC4BA8">
        <w:rPr>
          <w:rFonts w:ascii="Times New Roman" w:eastAsia="Times New Roman" w:hAnsi="Times New Roman" w:cs="Times New Roman"/>
          <w:lang w:val="en-IN" w:eastAsia="en-IN"/>
        </w:rPr>
        <w:t xml:space="preserve">' levels of health knowledge in secondary school </w:t>
      </w:r>
      <w:r w:rsidR="00D20787" w:rsidRPr="00AC4BA8">
        <w:rPr>
          <w:rFonts w:ascii="Times New Roman" w:hAnsi="Times New Roman" w:cs="Times New Roman"/>
          <w:color w:val="000000" w:themeColor="text1"/>
        </w:rPr>
        <w:t xml:space="preserve">in </w:t>
      </w:r>
      <w:proofErr w:type="spellStart"/>
      <w:r w:rsidR="00D20787" w:rsidRPr="00AC4BA8">
        <w:rPr>
          <w:rFonts w:ascii="Times New Roman" w:hAnsi="Times New Roman" w:cs="Times New Roman"/>
          <w:color w:val="000000" w:themeColor="text1"/>
        </w:rPr>
        <w:t>Barbaruah</w:t>
      </w:r>
      <w:proofErr w:type="spellEnd"/>
      <w:r w:rsidR="00D20787" w:rsidRPr="00AC4BA8">
        <w:rPr>
          <w:rFonts w:ascii="Times New Roman" w:hAnsi="Times New Roman" w:cs="Times New Roman"/>
          <w:color w:val="000000" w:themeColor="text1"/>
        </w:rPr>
        <w:t xml:space="preserve"> Block and assessed differences based on age group, </w:t>
      </w:r>
      <w:r w:rsidR="00996F26">
        <w:rPr>
          <w:rFonts w:ascii="Times New Roman" w:hAnsi="Times New Roman" w:cs="Times New Roman"/>
          <w:color w:val="000000" w:themeColor="text1"/>
        </w:rPr>
        <w:t>sex</w:t>
      </w:r>
      <w:r w:rsidR="00AB4F6B">
        <w:rPr>
          <w:rFonts w:ascii="Times New Roman" w:hAnsi="Times New Roman" w:cs="Times New Roman"/>
          <w:color w:val="000000" w:themeColor="text1"/>
        </w:rPr>
        <w:t xml:space="preserve">, </w:t>
      </w:r>
      <w:r w:rsidR="00D20787" w:rsidRPr="00AC4BA8">
        <w:rPr>
          <w:rFonts w:ascii="Times New Roman" w:hAnsi="Times New Roman" w:cs="Times New Roman"/>
          <w:color w:val="000000" w:themeColor="text1"/>
        </w:rPr>
        <w:t>medium of instruction, and locality.</w:t>
      </w:r>
      <w:r w:rsidR="001A3F9C" w:rsidRPr="00AC4BA8">
        <w:rPr>
          <w:rFonts w:ascii="Times New Roman" w:hAnsi="Times New Roman" w:cs="Times New Roman"/>
          <w:color w:val="000000" w:themeColor="text1"/>
        </w:rPr>
        <w:t xml:space="preserve"> </w:t>
      </w:r>
      <w:r w:rsidR="00D20787" w:rsidRPr="00AC4BA8">
        <w:rPr>
          <w:rFonts w:ascii="Times New Roman" w:hAnsi="Times New Roman" w:cs="Times New Roman"/>
          <w:color w:val="000000" w:themeColor="text1"/>
        </w:rPr>
        <w:t xml:space="preserve">A cross-sectional </w:t>
      </w:r>
      <w:r w:rsidR="00B04A0A" w:rsidRPr="00AC4BA8">
        <w:rPr>
          <w:rFonts w:ascii="Times New Roman" w:hAnsi="Times New Roman" w:cs="Times New Roman"/>
          <w:color w:val="000000" w:themeColor="text1"/>
        </w:rPr>
        <w:t xml:space="preserve">investigation </w:t>
      </w:r>
      <w:r w:rsidR="00D20787" w:rsidRPr="00AC4BA8">
        <w:rPr>
          <w:rFonts w:ascii="Times New Roman" w:hAnsi="Times New Roman" w:cs="Times New Roman"/>
          <w:color w:val="000000" w:themeColor="text1"/>
        </w:rPr>
        <w:t xml:space="preserve">was </w:t>
      </w:r>
      <w:r w:rsidR="00B04A0A" w:rsidRPr="00AC4BA8">
        <w:rPr>
          <w:rFonts w:ascii="Times New Roman" w:hAnsi="Times New Roman" w:cs="Times New Roman"/>
          <w:color w:val="000000" w:themeColor="text1"/>
        </w:rPr>
        <w:t>carried out</w:t>
      </w:r>
      <w:r w:rsidR="00D20787" w:rsidRPr="00AC4BA8">
        <w:rPr>
          <w:rFonts w:ascii="Times New Roman" w:hAnsi="Times New Roman" w:cs="Times New Roman"/>
          <w:color w:val="000000" w:themeColor="text1"/>
        </w:rPr>
        <w:t xml:space="preserve"> with 60 secondary school </w:t>
      </w:r>
      <w:r>
        <w:rPr>
          <w:rFonts w:ascii="Times New Roman" w:hAnsi="Times New Roman" w:cs="Times New Roman"/>
          <w:color w:val="000000" w:themeColor="text1"/>
        </w:rPr>
        <w:t>students</w:t>
      </w:r>
      <w:r w:rsidR="00AB4F6B">
        <w:rPr>
          <w:rFonts w:ascii="Times New Roman" w:hAnsi="Times New Roman" w:cs="Times New Roman"/>
          <w:color w:val="000000" w:themeColor="text1"/>
        </w:rPr>
        <w:t>.</w:t>
      </w:r>
      <w:r w:rsidR="00D20787" w:rsidRPr="00AC4BA8">
        <w:rPr>
          <w:rFonts w:ascii="Times New Roman" w:hAnsi="Times New Roman" w:cs="Times New Roman"/>
          <w:color w:val="000000" w:themeColor="text1"/>
        </w:rPr>
        <w:t xml:space="preserve"> Health awareness was measured using average scores (AVARG). Non-parametric tests including Kruskal-Wallis H test and Mann-Whitney U test were employed due to non-normal distribution of data.</w:t>
      </w:r>
      <w:r w:rsidR="001A3F9C" w:rsidRPr="00AC4BA8">
        <w:rPr>
          <w:rFonts w:ascii="Times New Roman" w:hAnsi="Times New Roman" w:cs="Times New Roman"/>
          <w:color w:val="000000" w:themeColor="text1"/>
        </w:rPr>
        <w:t xml:space="preserve"> </w:t>
      </w:r>
      <w:r w:rsidR="00D20787" w:rsidRPr="00AC4BA8">
        <w:rPr>
          <w:rFonts w:ascii="Times New Roman" w:hAnsi="Times New Roman" w:cs="Times New Roman"/>
          <w:color w:val="000000" w:themeColor="text1"/>
        </w:rPr>
        <w:t>The mean health awareness score was 0.6</w:t>
      </w:r>
      <w:r w:rsidR="00AB4F6B">
        <w:rPr>
          <w:rFonts w:ascii="Times New Roman" w:hAnsi="Times New Roman" w:cs="Times New Roman"/>
          <w:color w:val="000000" w:themeColor="text1"/>
        </w:rPr>
        <w:t>0</w:t>
      </w:r>
      <w:r w:rsidR="00D20787" w:rsidRPr="00AC4BA8">
        <w:rPr>
          <w:rFonts w:ascii="Times New Roman" w:hAnsi="Times New Roman" w:cs="Times New Roman"/>
          <w:color w:val="000000" w:themeColor="text1"/>
        </w:rPr>
        <w:t xml:space="preserve">. </w:t>
      </w:r>
      <w:r w:rsidR="00B04A0A" w:rsidRPr="00AC4BA8">
        <w:rPr>
          <w:rFonts w:ascii="Times New Roman" w:hAnsi="Times New Roman" w:cs="Times New Roman"/>
          <w:color w:val="000000" w:themeColor="text1"/>
        </w:rPr>
        <w:t xml:space="preserve">There were notable variations among the age groups </w:t>
      </w:r>
      <w:r w:rsidR="00D20787" w:rsidRPr="00AC4BA8">
        <w:rPr>
          <w:rFonts w:ascii="Times New Roman" w:hAnsi="Times New Roman" w:cs="Times New Roman"/>
          <w:color w:val="000000" w:themeColor="text1"/>
        </w:rPr>
        <w:t xml:space="preserve">(χ² = 9.170, p = 0.010), with </w:t>
      </w:r>
      <w:r>
        <w:rPr>
          <w:rFonts w:ascii="Times New Roman" w:hAnsi="Times New Roman" w:cs="Times New Roman"/>
          <w:color w:val="000000" w:themeColor="text1"/>
        </w:rPr>
        <w:t>students</w:t>
      </w:r>
      <w:r w:rsidR="00AB4F6B">
        <w:rPr>
          <w:rFonts w:ascii="Times New Roman" w:hAnsi="Times New Roman" w:cs="Times New Roman"/>
          <w:color w:val="000000" w:themeColor="text1"/>
        </w:rPr>
        <w:t xml:space="preserve"> </w:t>
      </w:r>
      <w:r w:rsidR="00AB4F6B" w:rsidRPr="00AC4BA8">
        <w:rPr>
          <w:rFonts w:ascii="Times New Roman" w:hAnsi="Times New Roman" w:cs="Times New Roman"/>
          <w:color w:val="000000" w:themeColor="text1"/>
        </w:rPr>
        <w:t>below</w:t>
      </w:r>
      <w:r w:rsidR="00D20787" w:rsidRPr="00AC4BA8">
        <w:rPr>
          <w:rFonts w:ascii="Times New Roman" w:hAnsi="Times New Roman" w:cs="Times New Roman"/>
          <w:color w:val="000000" w:themeColor="text1"/>
        </w:rPr>
        <w:t xml:space="preserve"> 15 years and 15 years showing higher awareness than those above 15 years. </w:t>
      </w:r>
      <w:r w:rsidR="00B04A0A" w:rsidRPr="00AC4BA8">
        <w:rPr>
          <w:rFonts w:ascii="Times New Roman" w:hAnsi="Times New Roman" w:cs="Times New Roman"/>
          <w:color w:val="000000" w:themeColor="text1"/>
        </w:rPr>
        <w:t xml:space="preserve">There were no obvious differences between male and female </w:t>
      </w:r>
      <w:r>
        <w:rPr>
          <w:rFonts w:ascii="Times New Roman" w:hAnsi="Times New Roman" w:cs="Times New Roman"/>
          <w:color w:val="000000" w:themeColor="text1"/>
        </w:rPr>
        <w:t>students</w:t>
      </w:r>
      <w:r w:rsidR="00B04A0A" w:rsidRPr="00AC4BA8">
        <w:rPr>
          <w:rFonts w:ascii="Times New Roman" w:hAnsi="Times New Roman" w:cs="Times New Roman"/>
          <w:color w:val="000000" w:themeColor="text1"/>
        </w:rPr>
        <w:t xml:space="preserve"> </w:t>
      </w:r>
      <w:r w:rsidR="00D20787" w:rsidRPr="00AC4BA8">
        <w:rPr>
          <w:rFonts w:ascii="Times New Roman" w:hAnsi="Times New Roman" w:cs="Times New Roman"/>
          <w:color w:val="000000" w:themeColor="text1"/>
        </w:rPr>
        <w:t xml:space="preserve">(U = 350.000, p = 0.104), between Assamese and English medium </w:t>
      </w:r>
      <w:r>
        <w:rPr>
          <w:rFonts w:ascii="Times New Roman" w:hAnsi="Times New Roman" w:cs="Times New Roman"/>
          <w:color w:val="000000" w:themeColor="text1"/>
        </w:rPr>
        <w:t>students</w:t>
      </w:r>
      <w:r w:rsidR="00AB4F6B">
        <w:rPr>
          <w:rFonts w:ascii="Times New Roman" w:hAnsi="Times New Roman" w:cs="Times New Roman"/>
          <w:color w:val="000000" w:themeColor="text1"/>
        </w:rPr>
        <w:t xml:space="preserve"> </w:t>
      </w:r>
      <w:r w:rsidR="00AB4F6B" w:rsidRPr="00AC4BA8">
        <w:rPr>
          <w:rFonts w:ascii="Times New Roman" w:hAnsi="Times New Roman" w:cs="Times New Roman"/>
          <w:color w:val="000000" w:themeColor="text1"/>
        </w:rPr>
        <w:t>(</w:t>
      </w:r>
      <w:r w:rsidR="00D20787" w:rsidRPr="00AC4BA8">
        <w:rPr>
          <w:rFonts w:ascii="Times New Roman" w:hAnsi="Times New Roman" w:cs="Times New Roman"/>
          <w:color w:val="000000" w:themeColor="text1"/>
        </w:rPr>
        <w:t xml:space="preserve">U = 350.000, p = 0.104), or </w:t>
      </w:r>
      <w:r w:rsidR="00B04A0A" w:rsidRPr="00AC4BA8">
        <w:rPr>
          <w:rFonts w:ascii="Times New Roman" w:hAnsi="Times New Roman" w:cs="Times New Roman"/>
          <w:color w:val="000000" w:themeColor="text1"/>
        </w:rPr>
        <w:t xml:space="preserve">disparity between </w:t>
      </w:r>
      <w:r>
        <w:rPr>
          <w:rFonts w:ascii="Times New Roman" w:hAnsi="Times New Roman" w:cs="Times New Roman"/>
          <w:color w:val="000000" w:themeColor="text1"/>
        </w:rPr>
        <w:t>students</w:t>
      </w:r>
      <w:r w:rsidR="00AB4F6B">
        <w:rPr>
          <w:rFonts w:ascii="Times New Roman" w:hAnsi="Times New Roman" w:cs="Times New Roman"/>
          <w:color w:val="000000" w:themeColor="text1"/>
        </w:rPr>
        <w:t xml:space="preserve"> </w:t>
      </w:r>
      <w:r w:rsidR="00AB4F6B" w:rsidRPr="00AC4BA8">
        <w:rPr>
          <w:rFonts w:ascii="Times New Roman" w:hAnsi="Times New Roman" w:cs="Times New Roman"/>
          <w:color w:val="000000" w:themeColor="text1"/>
        </w:rPr>
        <w:t>in</w:t>
      </w:r>
      <w:r w:rsidR="00B04A0A" w:rsidRPr="00AC4BA8">
        <w:rPr>
          <w:rFonts w:ascii="Times New Roman" w:hAnsi="Times New Roman" w:cs="Times New Roman"/>
          <w:color w:val="000000" w:themeColor="text1"/>
        </w:rPr>
        <w:t xml:space="preserve"> urban and rural areas </w:t>
      </w:r>
      <w:r w:rsidR="00D20787" w:rsidRPr="00AC4BA8">
        <w:rPr>
          <w:rFonts w:ascii="Times New Roman" w:hAnsi="Times New Roman" w:cs="Times New Roman"/>
          <w:color w:val="000000" w:themeColor="text1"/>
        </w:rPr>
        <w:t>(U = 376.500, p = 0.231).</w:t>
      </w:r>
      <w:r w:rsidR="001A3F9C" w:rsidRPr="00AC4BA8">
        <w:rPr>
          <w:rFonts w:ascii="Times New Roman" w:hAnsi="Times New Roman" w:cs="Times New Roman"/>
          <w:color w:val="000000" w:themeColor="text1"/>
        </w:rPr>
        <w:t xml:space="preserve"> </w:t>
      </w:r>
      <w:r w:rsidR="00D20787" w:rsidRPr="00AC4BA8">
        <w:rPr>
          <w:rFonts w:ascii="Times New Roman" w:hAnsi="Times New Roman" w:cs="Times New Roman"/>
          <w:color w:val="000000" w:themeColor="text1"/>
        </w:rPr>
        <w:t xml:space="preserve">Age significantly influences </w:t>
      </w:r>
      <w:r>
        <w:rPr>
          <w:rFonts w:ascii="Times New Roman" w:hAnsi="Times New Roman" w:cs="Times New Roman"/>
          <w:color w:val="000000" w:themeColor="text1"/>
        </w:rPr>
        <w:t>students</w:t>
      </w:r>
      <w:r w:rsidR="00193705">
        <w:rPr>
          <w:rFonts w:ascii="Times New Roman" w:hAnsi="Times New Roman" w:cs="Times New Roman"/>
          <w:color w:val="000000" w:themeColor="text1"/>
        </w:rPr>
        <w:t xml:space="preserve"> </w:t>
      </w:r>
      <w:r w:rsidR="00193705" w:rsidRPr="00AC4BA8">
        <w:rPr>
          <w:rFonts w:ascii="Times New Roman" w:hAnsi="Times New Roman" w:cs="Times New Roman"/>
          <w:color w:val="000000" w:themeColor="text1"/>
        </w:rPr>
        <w:t>in</w:t>
      </w:r>
      <w:r w:rsidR="00B04A0A" w:rsidRPr="00AC4BA8">
        <w:rPr>
          <w:rFonts w:ascii="Times New Roman" w:hAnsi="Times New Roman" w:cs="Times New Roman"/>
          <w:color w:val="000000" w:themeColor="text1"/>
        </w:rPr>
        <w:t xml:space="preserve"> secondary school who are conscious of their health</w:t>
      </w:r>
      <w:r w:rsidR="00D20787" w:rsidRPr="00AC4BA8">
        <w:rPr>
          <w:rFonts w:ascii="Times New Roman" w:hAnsi="Times New Roman" w:cs="Times New Roman"/>
          <w:color w:val="000000" w:themeColor="text1"/>
        </w:rPr>
        <w:t xml:space="preserve">, while </w:t>
      </w:r>
      <w:r w:rsidR="00996F26">
        <w:rPr>
          <w:rFonts w:ascii="Times New Roman" w:hAnsi="Times New Roman" w:cs="Times New Roman"/>
          <w:color w:val="000000" w:themeColor="text1"/>
        </w:rPr>
        <w:t>sex</w:t>
      </w:r>
      <w:r w:rsidR="00D20787" w:rsidRPr="00AC4BA8">
        <w:rPr>
          <w:rFonts w:ascii="Times New Roman" w:hAnsi="Times New Roman" w:cs="Times New Roman"/>
          <w:color w:val="000000" w:themeColor="text1"/>
        </w:rPr>
        <w:t xml:space="preserve">, medium of instruction, and locality do not appear to be determining factors. These findings suggest that age-specific health education interventions may be more effective than </w:t>
      </w:r>
      <w:r w:rsidR="00996F26">
        <w:rPr>
          <w:rFonts w:ascii="Times New Roman" w:hAnsi="Times New Roman" w:cs="Times New Roman"/>
          <w:color w:val="000000" w:themeColor="text1"/>
        </w:rPr>
        <w:t>sex</w:t>
      </w:r>
      <w:r w:rsidR="00D20787" w:rsidRPr="00AC4BA8">
        <w:rPr>
          <w:rFonts w:ascii="Times New Roman" w:hAnsi="Times New Roman" w:cs="Times New Roman"/>
          <w:color w:val="000000" w:themeColor="text1"/>
        </w:rPr>
        <w:t>-based or location-based approaches.</w:t>
      </w:r>
    </w:p>
    <w:p w14:paraId="6FE6C686" w14:textId="4D306DF4"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t>Keywords:</w:t>
      </w:r>
      <w:r w:rsidRPr="00AC4BA8">
        <w:rPr>
          <w:rFonts w:ascii="Times New Roman" w:hAnsi="Times New Roman" w:cs="Times New Roman"/>
          <w:color w:val="000000" w:themeColor="text1"/>
        </w:rPr>
        <w:t xml:space="preserve"> </w:t>
      </w:r>
      <w:r w:rsidRPr="00AC4BA8">
        <w:rPr>
          <w:rFonts w:ascii="Times New Roman" w:hAnsi="Times New Roman" w:cs="Times New Roman"/>
          <w:i/>
          <w:color w:val="000000" w:themeColor="text1"/>
        </w:rPr>
        <w:t xml:space="preserve">Health awareness, secondary school </w:t>
      </w:r>
      <w:r w:rsidR="00160D87">
        <w:rPr>
          <w:rFonts w:ascii="Times New Roman" w:hAnsi="Times New Roman" w:cs="Times New Roman"/>
          <w:i/>
          <w:color w:val="000000" w:themeColor="text1"/>
        </w:rPr>
        <w:t>students</w:t>
      </w:r>
      <w:r w:rsidR="00193705">
        <w:rPr>
          <w:rFonts w:ascii="Times New Roman" w:hAnsi="Times New Roman" w:cs="Times New Roman"/>
          <w:i/>
          <w:color w:val="000000" w:themeColor="text1"/>
        </w:rPr>
        <w:t>,</w:t>
      </w:r>
      <w:r w:rsidRPr="00AC4BA8">
        <w:rPr>
          <w:rFonts w:ascii="Times New Roman" w:hAnsi="Times New Roman" w:cs="Times New Roman"/>
          <w:i/>
          <w:color w:val="000000" w:themeColor="text1"/>
        </w:rPr>
        <w:t xml:space="preserve"> </w:t>
      </w:r>
      <w:r w:rsidR="00193705">
        <w:rPr>
          <w:rFonts w:ascii="Times New Roman" w:hAnsi="Times New Roman" w:cs="Times New Roman"/>
          <w:i/>
          <w:color w:val="000000" w:themeColor="text1"/>
        </w:rPr>
        <w:t>comparative analysis</w:t>
      </w:r>
      <w:r w:rsidR="005C3B0E">
        <w:rPr>
          <w:rFonts w:ascii="Times New Roman" w:hAnsi="Times New Roman" w:cs="Times New Roman"/>
          <w:i/>
          <w:color w:val="000000" w:themeColor="text1"/>
        </w:rPr>
        <w:t xml:space="preserve">, </w:t>
      </w:r>
      <w:r w:rsidR="005C3B0E" w:rsidRPr="005C3B0E">
        <w:rPr>
          <w:rFonts w:ascii="Times New Roman" w:hAnsi="Times New Roman" w:cs="Times New Roman"/>
          <w:i/>
          <w:color w:val="000000" w:themeColor="text1"/>
        </w:rPr>
        <w:t xml:space="preserve">healthy </w:t>
      </w:r>
      <w:proofErr w:type="spellStart"/>
      <w:r w:rsidR="005C3B0E" w:rsidRPr="005C3B0E">
        <w:rPr>
          <w:rFonts w:ascii="Times New Roman" w:hAnsi="Times New Roman" w:cs="Times New Roman"/>
          <w:i/>
          <w:color w:val="000000" w:themeColor="text1"/>
        </w:rPr>
        <w:t>behaviours</w:t>
      </w:r>
      <w:proofErr w:type="spellEnd"/>
    </w:p>
    <w:p w14:paraId="035B02E3" w14:textId="47EC2DDE" w:rsidR="00C65696" w:rsidRDefault="00D20787" w:rsidP="00B04A0A">
      <w:pPr>
        <w:pStyle w:val="Heading2"/>
        <w:spacing w:line="360" w:lineRule="auto"/>
        <w:jc w:val="both"/>
        <w:rPr>
          <w:rFonts w:ascii="Times New Roman" w:hAnsi="Times New Roman" w:cs="Times New Roman"/>
          <w:color w:val="000000" w:themeColor="text1"/>
          <w:sz w:val="24"/>
          <w:szCs w:val="24"/>
        </w:rPr>
      </w:pPr>
      <w:bookmarkStart w:id="2" w:name="introduction"/>
      <w:bookmarkEnd w:id="1"/>
      <w:r w:rsidRPr="00AC4BA8">
        <w:rPr>
          <w:rFonts w:ascii="Times New Roman" w:hAnsi="Times New Roman" w:cs="Times New Roman"/>
          <w:color w:val="000000" w:themeColor="text1"/>
          <w:sz w:val="24"/>
          <w:szCs w:val="24"/>
        </w:rPr>
        <w:t>Introduction</w:t>
      </w:r>
    </w:p>
    <w:p w14:paraId="6AC463BD" w14:textId="77777777" w:rsidR="006004EB" w:rsidRPr="006004EB" w:rsidRDefault="006004EB" w:rsidP="005256A7">
      <w:pPr>
        <w:pStyle w:val="BodyText"/>
        <w:spacing w:line="360" w:lineRule="auto"/>
        <w:jc w:val="both"/>
        <w:rPr>
          <w:rFonts w:ascii="Times New Roman" w:hAnsi="Times New Roman" w:cs="Times New Roman"/>
        </w:rPr>
      </w:pPr>
      <w:r w:rsidRPr="006004EB">
        <w:rPr>
          <w:rFonts w:ascii="Times New Roman" w:hAnsi="Times New Roman" w:cs="Times New Roman"/>
        </w:rPr>
        <w:t xml:space="preserve">Health awareness serves as a pivotal factor in promoting positive health behaviors and preventing disease, especially during adolescence, a developmental phase from ages 10 to 19 distinguished by marked physical, cognitive, and emotional changes. Research consistently highlights that it is during this period that lifelong behavioral patterns related to diet, exercise, substance use, and general health consciousness are formed, profoundly influencing present and future health </w:t>
      </w:r>
      <w:r w:rsidRPr="006004EB">
        <w:rPr>
          <w:rFonts w:ascii="Times New Roman" w:hAnsi="Times New Roman" w:cs="Times New Roman"/>
        </w:rPr>
        <w:lastRenderedPageBreak/>
        <w:t>outcomes. Targeting secondary school students for health awareness interventions is critical—habits ingrained in adolescence tend to persist into adulthood, reinforcing the value of early health education initiatives (</w:t>
      </w:r>
      <w:proofErr w:type="spellStart"/>
      <w:r w:rsidRPr="006004EB">
        <w:rPr>
          <w:rFonts w:ascii="Times New Roman" w:hAnsi="Times New Roman" w:cs="Times New Roman"/>
        </w:rPr>
        <w:t>Amiri</w:t>
      </w:r>
      <w:proofErr w:type="spellEnd"/>
      <w:r w:rsidRPr="006004EB">
        <w:rPr>
          <w:rFonts w:ascii="Times New Roman" w:hAnsi="Times New Roman" w:cs="Times New Roman"/>
        </w:rPr>
        <w:t xml:space="preserve"> et al., 2019; WHO, 2019</w:t>
      </w:r>
      <w:proofErr w:type="gramStart"/>
      <w:r w:rsidRPr="006004EB">
        <w:rPr>
          <w:rFonts w:ascii="Times New Roman" w:hAnsi="Times New Roman" w:cs="Times New Roman"/>
        </w:rPr>
        <w:t>).​</w:t>
      </w:r>
      <w:proofErr w:type="gramEnd"/>
    </w:p>
    <w:p w14:paraId="0B3332DD" w14:textId="77777777" w:rsidR="006004EB" w:rsidRPr="006004EB" w:rsidRDefault="006004EB" w:rsidP="005256A7">
      <w:pPr>
        <w:pStyle w:val="BodyText"/>
        <w:spacing w:line="360" w:lineRule="auto"/>
        <w:jc w:val="both"/>
        <w:rPr>
          <w:rFonts w:ascii="Times New Roman" w:hAnsi="Times New Roman" w:cs="Times New Roman"/>
        </w:rPr>
      </w:pPr>
    </w:p>
    <w:p w14:paraId="2D13B7F6" w14:textId="2D6A67C0" w:rsidR="006004EB" w:rsidRPr="006004EB" w:rsidRDefault="006004EB" w:rsidP="005256A7">
      <w:pPr>
        <w:pStyle w:val="BodyText"/>
        <w:spacing w:line="360" w:lineRule="auto"/>
        <w:jc w:val="both"/>
        <w:rPr>
          <w:rFonts w:ascii="Times New Roman" w:hAnsi="Times New Roman" w:cs="Times New Roman"/>
        </w:rPr>
      </w:pPr>
      <w:r w:rsidRPr="006004EB">
        <w:rPr>
          <w:rFonts w:ascii="Times New Roman" w:hAnsi="Times New Roman" w:cs="Times New Roman"/>
        </w:rPr>
        <w:t>The World Health Organization (WHO) estimates that about 60% of a person's health status and quality of life are determined by behavior and lifestyle factors, underscoring the need for early formation of healthy habits (</w:t>
      </w:r>
      <w:proofErr w:type="spellStart"/>
      <w:r w:rsidRPr="006004EB">
        <w:rPr>
          <w:rFonts w:ascii="Times New Roman" w:hAnsi="Times New Roman" w:cs="Times New Roman"/>
        </w:rPr>
        <w:t>Farhud</w:t>
      </w:r>
      <w:proofErr w:type="spellEnd"/>
      <w:r w:rsidRPr="006004EB">
        <w:rPr>
          <w:rFonts w:ascii="Times New Roman" w:hAnsi="Times New Roman" w:cs="Times New Roman"/>
        </w:rPr>
        <w:t>, 2015). Key studies further reveal significant disparities in adolescents’ health awareness along demographic lines, including age, sex, socioeconomic status, geographic region, and type of educational environment. For example, some findings indicate higher health awareness among female students, while others show no significant gender differences or even the reverse (</w:t>
      </w:r>
      <w:proofErr w:type="spellStart"/>
      <w:r w:rsidRPr="006004EB">
        <w:rPr>
          <w:rFonts w:ascii="Times New Roman" w:hAnsi="Times New Roman" w:cs="Times New Roman"/>
        </w:rPr>
        <w:t>Amiri</w:t>
      </w:r>
      <w:proofErr w:type="spellEnd"/>
      <w:r w:rsidRPr="006004EB">
        <w:rPr>
          <w:rFonts w:ascii="Times New Roman" w:hAnsi="Times New Roman" w:cs="Times New Roman"/>
        </w:rPr>
        <w:t xml:space="preserve"> et al., 2019). Urban-rural gaps are also evident, with urban adolescents generally enjoying greater access to health information and resources. Language of instruction may further shape students' comprehension and retention of health education </w:t>
      </w:r>
      <w:r w:rsidR="005256A7" w:rsidRPr="006004EB">
        <w:rPr>
          <w:rFonts w:ascii="Times New Roman" w:hAnsi="Times New Roman" w:cs="Times New Roman"/>
        </w:rPr>
        <w:t>messages. ​</w:t>
      </w:r>
    </w:p>
    <w:p w14:paraId="4AA88580" w14:textId="688526AA" w:rsidR="006004EB" w:rsidRPr="006004EB" w:rsidRDefault="006004EB" w:rsidP="005256A7">
      <w:pPr>
        <w:pStyle w:val="BodyText"/>
        <w:spacing w:line="360" w:lineRule="auto"/>
        <w:jc w:val="both"/>
        <w:rPr>
          <w:rFonts w:ascii="Times New Roman" w:hAnsi="Times New Roman" w:cs="Times New Roman"/>
        </w:rPr>
      </w:pPr>
      <w:r w:rsidRPr="006004EB">
        <w:rPr>
          <w:rFonts w:ascii="Times New Roman" w:hAnsi="Times New Roman" w:cs="Times New Roman"/>
        </w:rPr>
        <w:t>Additionally, developmental progression within adolescence influences health consciousness: as students mature, their cognitive skills and willingness to seek out health information typically increase, pointing to the importance of age-appropriate curriculum design. Thus, understanding and addressing these demographic and developmental variations is essential for effective health education and promotion in schools (Curtis, 2015; WHO, 2019).</w:t>
      </w:r>
    </w:p>
    <w:p w14:paraId="7C56E768" w14:textId="439B616E" w:rsidR="000E5F61" w:rsidRDefault="000E5F61" w:rsidP="00B04A0A">
      <w:pPr>
        <w:pStyle w:val="BodyText"/>
        <w:spacing w:line="360" w:lineRule="auto"/>
        <w:jc w:val="both"/>
        <w:rPr>
          <w:rFonts w:ascii="Times New Roman" w:hAnsi="Times New Roman" w:cs="Times New Roman"/>
          <w:b/>
          <w:color w:val="000000" w:themeColor="text1"/>
        </w:rPr>
      </w:pPr>
      <w:r w:rsidRPr="00AC4BA8">
        <w:rPr>
          <w:rFonts w:ascii="Times New Roman" w:hAnsi="Times New Roman" w:cs="Times New Roman"/>
          <w:b/>
          <w:color w:val="000000" w:themeColor="text1"/>
        </w:rPr>
        <w:t>Review of Literature:</w:t>
      </w:r>
    </w:p>
    <w:p w14:paraId="6DD55BC5" w14:textId="40BF38CF" w:rsidR="005256A7" w:rsidRPr="005256A7" w:rsidRDefault="005256A7" w:rsidP="005256A7">
      <w:pPr>
        <w:pStyle w:val="BodyText"/>
        <w:spacing w:line="360" w:lineRule="auto"/>
        <w:jc w:val="both"/>
        <w:rPr>
          <w:rFonts w:ascii="Times New Roman" w:hAnsi="Times New Roman" w:cs="Times New Roman"/>
          <w:color w:val="000000" w:themeColor="text1"/>
        </w:rPr>
      </w:pPr>
      <w:r w:rsidRPr="005256A7">
        <w:rPr>
          <w:rFonts w:ascii="Times New Roman" w:hAnsi="Times New Roman" w:cs="Times New Roman"/>
          <w:color w:val="000000" w:themeColor="text1"/>
        </w:rPr>
        <w:t>Health awareness during adolescence is fundamental for establishing lifelong health behaviours, reducing future disease risks, and fostering mental and physical well-being (World Health Organization [WHO], 2019; Majeed et al., 2025). Adolescence is marked by rapid physical, emotional, and cognitive development, shaping enduring patterns in diet, activity, substance use, and health consciousness, making this a vital period for health education (Steinberg, 2008; Salam et al., 2016). Empirical evidence demonstrates notable demographic variability in adolescent health awareness, influenced by age, gender, geographic locality, and educational environment (</w:t>
      </w:r>
      <w:proofErr w:type="spellStart"/>
      <w:r w:rsidRPr="005256A7">
        <w:rPr>
          <w:rFonts w:ascii="Times New Roman" w:hAnsi="Times New Roman" w:cs="Times New Roman"/>
          <w:color w:val="000000" w:themeColor="text1"/>
        </w:rPr>
        <w:t>Harikrishnan</w:t>
      </w:r>
      <w:proofErr w:type="spellEnd"/>
      <w:r w:rsidRPr="005256A7">
        <w:rPr>
          <w:rFonts w:ascii="Times New Roman" w:hAnsi="Times New Roman" w:cs="Times New Roman"/>
          <w:color w:val="000000" w:themeColor="text1"/>
        </w:rPr>
        <w:t xml:space="preserve">, 2019). Although higher health consciousness is often documented among female </w:t>
      </w:r>
      <w:r w:rsidRPr="005256A7">
        <w:rPr>
          <w:rFonts w:ascii="Times New Roman" w:hAnsi="Times New Roman" w:cs="Times New Roman"/>
          <w:color w:val="000000" w:themeColor="text1"/>
        </w:rPr>
        <w:lastRenderedPageBreak/>
        <w:t xml:space="preserve">adolescents, research findings remain mixed, with some studies reporting no significant sex differences (Lee et al., 2018; </w:t>
      </w:r>
      <w:proofErr w:type="spellStart"/>
      <w:r w:rsidRPr="005256A7">
        <w:rPr>
          <w:rFonts w:ascii="Times New Roman" w:hAnsi="Times New Roman" w:cs="Times New Roman"/>
          <w:color w:val="000000" w:themeColor="text1"/>
        </w:rPr>
        <w:t>Flisher</w:t>
      </w:r>
      <w:proofErr w:type="spellEnd"/>
      <w:r w:rsidRPr="005256A7">
        <w:rPr>
          <w:rFonts w:ascii="Times New Roman" w:hAnsi="Times New Roman" w:cs="Times New Roman"/>
          <w:color w:val="000000" w:themeColor="text1"/>
        </w:rPr>
        <w:t xml:space="preserve"> et al., 2006 as cited in Salam et al., 2016</w:t>
      </w:r>
      <w:proofErr w:type="gramStart"/>
      <w:r w:rsidRPr="005256A7">
        <w:rPr>
          <w:rFonts w:ascii="Times New Roman" w:hAnsi="Times New Roman" w:cs="Times New Roman"/>
          <w:color w:val="000000" w:themeColor="text1"/>
        </w:rPr>
        <w:t>).​</w:t>
      </w:r>
      <w:proofErr w:type="gramEnd"/>
    </w:p>
    <w:p w14:paraId="6B006A13" w14:textId="45A0E28E" w:rsidR="005256A7" w:rsidRPr="005256A7" w:rsidRDefault="005256A7" w:rsidP="005256A7">
      <w:pPr>
        <w:pStyle w:val="BodyText"/>
        <w:spacing w:line="360" w:lineRule="auto"/>
        <w:jc w:val="both"/>
        <w:rPr>
          <w:rFonts w:ascii="Times New Roman" w:hAnsi="Times New Roman" w:cs="Times New Roman"/>
          <w:color w:val="000000" w:themeColor="text1"/>
        </w:rPr>
      </w:pPr>
      <w:r w:rsidRPr="005256A7">
        <w:rPr>
          <w:rFonts w:ascii="Times New Roman" w:hAnsi="Times New Roman" w:cs="Times New Roman"/>
          <w:color w:val="000000" w:themeColor="text1"/>
        </w:rPr>
        <w:t>Urban-rural disparities persist, reflecting differences in access to healthcare and health information, though expanding digital connectivity is reducing this gap (Viswanath et al., 2018 as cited in Majeed et al., 2025). The language of school instruction can influence health knowledge acquisition, though recent Indian studies suggest this effect is minor (</w:t>
      </w:r>
      <w:proofErr w:type="spellStart"/>
      <w:r w:rsidRPr="005256A7">
        <w:rPr>
          <w:rFonts w:ascii="Times New Roman" w:hAnsi="Times New Roman" w:cs="Times New Roman"/>
          <w:color w:val="000000" w:themeColor="text1"/>
        </w:rPr>
        <w:t>Harikrishnan</w:t>
      </w:r>
      <w:proofErr w:type="spellEnd"/>
      <w:r w:rsidRPr="005256A7">
        <w:rPr>
          <w:rFonts w:ascii="Times New Roman" w:hAnsi="Times New Roman" w:cs="Times New Roman"/>
          <w:color w:val="000000" w:themeColor="text1"/>
        </w:rPr>
        <w:t>, 2019). Age-related trends are complex: while older adolescents usually demonstrate stronger cognitive skills and health-seeking behaviors, some local studies indicate peak health awareness in mid-adolescence, followed by a decline likely driven by shifting social dynamics (Steinberg, 2008; Salam et al., 2016</w:t>
      </w:r>
      <w:proofErr w:type="gramStart"/>
      <w:r w:rsidRPr="005256A7">
        <w:rPr>
          <w:rFonts w:ascii="Times New Roman" w:hAnsi="Times New Roman" w:cs="Times New Roman"/>
          <w:color w:val="000000" w:themeColor="text1"/>
        </w:rPr>
        <w:t>).​</w:t>
      </w:r>
      <w:proofErr w:type="gramEnd"/>
    </w:p>
    <w:p w14:paraId="2C9EC62F" w14:textId="429A6715" w:rsidR="005256A7" w:rsidRPr="005256A7" w:rsidRDefault="005256A7" w:rsidP="005256A7">
      <w:pPr>
        <w:pStyle w:val="BodyText"/>
        <w:spacing w:line="360" w:lineRule="auto"/>
        <w:jc w:val="both"/>
        <w:rPr>
          <w:rFonts w:ascii="Times New Roman" w:hAnsi="Times New Roman" w:cs="Times New Roman"/>
          <w:color w:val="000000" w:themeColor="text1"/>
        </w:rPr>
      </w:pPr>
      <w:r w:rsidRPr="005256A7">
        <w:rPr>
          <w:rFonts w:ascii="Times New Roman" w:hAnsi="Times New Roman" w:cs="Times New Roman"/>
          <w:color w:val="000000" w:themeColor="text1"/>
        </w:rPr>
        <w:t>School-based health education programs significantly elevate knowledge, self-efficacy, and health-promoting attitudes, although their actual effects on behavior may be modest without integrated support services and community engagement (Yoon et al., 2021; Quiroz-Cárdenas et al., 2025). Immersive exposure to healthcare environments can further boost engagement and inspire future health careers (ASRA, 2023 as cited in Majeed et al., 2025</w:t>
      </w:r>
      <w:proofErr w:type="gramStart"/>
      <w:r w:rsidRPr="005256A7">
        <w:rPr>
          <w:rFonts w:ascii="Times New Roman" w:hAnsi="Times New Roman" w:cs="Times New Roman"/>
          <w:color w:val="000000" w:themeColor="text1"/>
        </w:rPr>
        <w:t>).​</w:t>
      </w:r>
      <w:proofErr w:type="gramEnd"/>
    </w:p>
    <w:p w14:paraId="5B3C84AD" w14:textId="7F42AD31" w:rsidR="005256A7" w:rsidRPr="005256A7" w:rsidRDefault="005256A7" w:rsidP="005256A7">
      <w:pPr>
        <w:pStyle w:val="BodyText"/>
        <w:spacing w:line="360" w:lineRule="auto"/>
        <w:jc w:val="both"/>
        <w:rPr>
          <w:rFonts w:ascii="Times New Roman" w:hAnsi="Times New Roman" w:cs="Times New Roman"/>
          <w:color w:val="000000" w:themeColor="text1"/>
        </w:rPr>
      </w:pPr>
      <w:r w:rsidRPr="005256A7">
        <w:rPr>
          <w:rFonts w:ascii="Times New Roman" w:hAnsi="Times New Roman" w:cs="Times New Roman"/>
          <w:color w:val="000000" w:themeColor="text1"/>
        </w:rPr>
        <w:t xml:space="preserve">Social media is now a dominant health information source for adolescents, presenting both opportunities and risks because of misinformation; this highlights the need for digital health literacy as an integral part of school health promotion </w:t>
      </w:r>
      <w:proofErr w:type="gramStart"/>
      <w:r w:rsidRPr="005256A7">
        <w:rPr>
          <w:rFonts w:ascii="Times New Roman" w:hAnsi="Times New Roman" w:cs="Times New Roman"/>
          <w:color w:val="000000" w:themeColor="text1"/>
        </w:rPr>
        <w:t>strategies.​</w:t>
      </w:r>
      <w:proofErr w:type="gramEnd"/>
    </w:p>
    <w:p w14:paraId="3AF58610" w14:textId="3BBACDF2" w:rsidR="005256A7" w:rsidRPr="005256A7" w:rsidRDefault="005256A7" w:rsidP="005256A7">
      <w:pPr>
        <w:pStyle w:val="BodyText"/>
        <w:spacing w:line="360" w:lineRule="auto"/>
        <w:jc w:val="both"/>
        <w:rPr>
          <w:rFonts w:ascii="Times New Roman" w:hAnsi="Times New Roman" w:cs="Times New Roman"/>
          <w:color w:val="000000" w:themeColor="text1"/>
        </w:rPr>
      </w:pPr>
      <w:r w:rsidRPr="005256A7">
        <w:rPr>
          <w:rFonts w:ascii="Times New Roman" w:hAnsi="Times New Roman" w:cs="Times New Roman"/>
          <w:color w:val="000000" w:themeColor="text1"/>
        </w:rPr>
        <w:t>In India, adolescent health literacy faces challenges such as gaps in mental health awareness, nutrition, and sexually transmitted infection knowledge, which remain more pronounced compared to high-income countries (Majeed et al., 2025). Combined school-based and digital interventions show promise for bridging these gaps, improving equity, and addressing local needs. Recent data from secondary schools in Assam reflect these trends, reinforcing the urgency of multisectoral, context-informed health education efforts (WHO, 2019; Majeed et al., 2025)</w:t>
      </w:r>
    </w:p>
    <w:p w14:paraId="09009013" w14:textId="705C42CB" w:rsidR="00C65696" w:rsidRPr="00AC4BA8" w:rsidRDefault="00D20787" w:rsidP="00B04A0A">
      <w:pPr>
        <w:pStyle w:val="Heading3"/>
        <w:spacing w:line="360" w:lineRule="auto"/>
        <w:jc w:val="both"/>
        <w:rPr>
          <w:rFonts w:ascii="Times New Roman" w:hAnsi="Times New Roman" w:cs="Times New Roman"/>
          <w:color w:val="000000" w:themeColor="text1"/>
        </w:rPr>
      </w:pPr>
      <w:bookmarkStart w:id="3" w:name="research-objectives"/>
      <w:r w:rsidRPr="00AC4BA8">
        <w:rPr>
          <w:rFonts w:ascii="Times New Roman" w:hAnsi="Times New Roman" w:cs="Times New Roman"/>
          <w:color w:val="000000" w:themeColor="text1"/>
        </w:rPr>
        <w:t>Research Objectives</w:t>
      </w:r>
      <w:r w:rsidR="005256A7">
        <w:rPr>
          <w:rFonts w:ascii="Times New Roman" w:hAnsi="Times New Roman" w:cs="Times New Roman"/>
          <w:color w:val="000000" w:themeColor="text1"/>
        </w:rPr>
        <w:t>:</w:t>
      </w:r>
    </w:p>
    <w:p w14:paraId="75A3EEBC" w14:textId="77777777" w:rsidR="00C65696" w:rsidRPr="00AC4BA8" w:rsidRDefault="00D20787" w:rsidP="00B04A0A">
      <w:pPr>
        <w:pStyle w:val="FirstParagraph"/>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The specific objectives of this study were:</w:t>
      </w:r>
    </w:p>
    <w:p w14:paraId="2D0A873A" w14:textId="0835735E" w:rsidR="00EC471D" w:rsidRPr="00AC4BA8" w:rsidRDefault="00EC471D" w:rsidP="00B04A0A">
      <w:pPr>
        <w:pStyle w:val="Compact"/>
        <w:numPr>
          <w:ilvl w:val="0"/>
          <w:numId w:val="2"/>
        </w:numPr>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 xml:space="preserve">To determine the general degree of health consciousness among Barbaruah Block secondary school </w:t>
      </w:r>
      <w:r w:rsidR="00160D87">
        <w:rPr>
          <w:rFonts w:ascii="Times New Roman" w:hAnsi="Times New Roman" w:cs="Times New Roman"/>
          <w:color w:val="000000" w:themeColor="text1"/>
        </w:rPr>
        <w:t>students</w:t>
      </w:r>
      <w:r w:rsidRPr="00AC4BA8">
        <w:rPr>
          <w:rFonts w:ascii="Times New Roman" w:hAnsi="Times New Roman" w:cs="Times New Roman"/>
          <w:color w:val="000000" w:themeColor="text1"/>
        </w:rPr>
        <w:t>.</w:t>
      </w:r>
    </w:p>
    <w:p w14:paraId="07F28953" w14:textId="2479E5F1" w:rsidR="00280758" w:rsidRPr="00AC4BA8" w:rsidRDefault="00280758" w:rsidP="00B04A0A">
      <w:pPr>
        <w:pStyle w:val="Compact"/>
        <w:numPr>
          <w:ilvl w:val="0"/>
          <w:numId w:val="2"/>
        </w:numPr>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lastRenderedPageBreak/>
        <w:t xml:space="preserve">To investigate how secondary </w:t>
      </w:r>
      <w:r w:rsidR="00160D87">
        <w:rPr>
          <w:rFonts w:ascii="Times New Roman" w:hAnsi="Times New Roman" w:cs="Times New Roman"/>
          <w:color w:val="000000" w:themeColor="text1"/>
        </w:rPr>
        <w:t>students</w:t>
      </w:r>
      <w:r w:rsidR="00193705">
        <w:rPr>
          <w:rFonts w:ascii="Times New Roman" w:hAnsi="Times New Roman" w:cs="Times New Roman"/>
          <w:color w:val="000000" w:themeColor="text1"/>
        </w:rPr>
        <w:t xml:space="preserve"> </w:t>
      </w:r>
      <w:r w:rsidRPr="00AC4BA8">
        <w:rPr>
          <w:rFonts w:ascii="Times New Roman" w:hAnsi="Times New Roman" w:cs="Times New Roman"/>
          <w:color w:val="000000" w:themeColor="text1"/>
        </w:rPr>
        <w:t xml:space="preserve">' health awareness varies by age, </w:t>
      </w:r>
      <w:r w:rsidR="00996F26">
        <w:rPr>
          <w:rFonts w:ascii="Times New Roman" w:hAnsi="Times New Roman" w:cs="Times New Roman"/>
          <w:color w:val="000000" w:themeColor="text1"/>
        </w:rPr>
        <w:t>sex</w:t>
      </w:r>
      <w:r w:rsidRPr="00AC4BA8">
        <w:rPr>
          <w:rFonts w:ascii="Times New Roman" w:hAnsi="Times New Roman" w:cs="Times New Roman"/>
          <w:color w:val="000000" w:themeColor="text1"/>
        </w:rPr>
        <w:t>, language of instruction, and place of residence.</w:t>
      </w:r>
    </w:p>
    <w:p w14:paraId="7E8AF30A" w14:textId="77777777" w:rsidR="00C65696" w:rsidRPr="00AC4BA8" w:rsidRDefault="00D20787" w:rsidP="00B04A0A">
      <w:pPr>
        <w:pStyle w:val="Heading3"/>
        <w:spacing w:line="360" w:lineRule="auto"/>
        <w:jc w:val="both"/>
        <w:rPr>
          <w:rFonts w:ascii="Times New Roman" w:hAnsi="Times New Roman" w:cs="Times New Roman"/>
          <w:color w:val="000000" w:themeColor="text1"/>
        </w:rPr>
      </w:pPr>
      <w:bookmarkStart w:id="4" w:name="research-hypotheses"/>
      <w:bookmarkEnd w:id="3"/>
      <w:r w:rsidRPr="00AC4BA8">
        <w:rPr>
          <w:rFonts w:ascii="Times New Roman" w:hAnsi="Times New Roman" w:cs="Times New Roman"/>
          <w:color w:val="000000" w:themeColor="text1"/>
        </w:rPr>
        <w:t>Research Hypotheses</w:t>
      </w:r>
    </w:p>
    <w:p w14:paraId="339AC82F" w14:textId="77777777" w:rsidR="00FF427C" w:rsidRPr="00AC4BA8" w:rsidRDefault="00FF427C" w:rsidP="00FF427C">
      <w:pPr>
        <w:pStyle w:val="BodyText"/>
        <w:spacing w:line="360" w:lineRule="auto"/>
        <w:jc w:val="both"/>
      </w:pPr>
      <w:r w:rsidRPr="00AC4BA8">
        <w:t>The following null hypotheses were developed in light of the study's goals:</w:t>
      </w:r>
    </w:p>
    <w:p w14:paraId="53FE8F29" w14:textId="3C6100FE" w:rsidR="00FF427C" w:rsidRPr="00AC4BA8" w:rsidRDefault="00FF427C" w:rsidP="00FF427C">
      <w:pPr>
        <w:pStyle w:val="BodyText"/>
        <w:spacing w:line="360" w:lineRule="auto"/>
        <w:jc w:val="both"/>
      </w:pPr>
      <w:r w:rsidRPr="00AC4BA8">
        <w:t xml:space="preserve">H₀₁: There are no appreciable differences in secondary school </w:t>
      </w:r>
      <w:r w:rsidR="00160D87">
        <w:t>students</w:t>
      </w:r>
      <w:r w:rsidRPr="00AC4BA8">
        <w:t>' health awareness between age groups in Barbaruah Block.</w:t>
      </w:r>
    </w:p>
    <w:p w14:paraId="67C6FACC" w14:textId="11276431" w:rsidR="00FF427C" w:rsidRPr="00AC4BA8" w:rsidRDefault="00FF427C" w:rsidP="00FF427C">
      <w:pPr>
        <w:pStyle w:val="BodyText"/>
        <w:spacing w:line="360" w:lineRule="auto"/>
        <w:jc w:val="both"/>
      </w:pPr>
      <w:r w:rsidRPr="00AC4BA8">
        <w:t xml:space="preserve">H₀₂: Male and female </w:t>
      </w:r>
      <w:r w:rsidR="00160D87">
        <w:t>students</w:t>
      </w:r>
      <w:r w:rsidRPr="00AC4BA8">
        <w:t xml:space="preserve"> in </w:t>
      </w:r>
      <w:proofErr w:type="spellStart"/>
      <w:r w:rsidRPr="00AC4BA8">
        <w:t>Barbaruah</w:t>
      </w:r>
      <w:proofErr w:type="spellEnd"/>
      <w:r w:rsidRPr="00AC4BA8">
        <w:t xml:space="preserve"> Block's Class XI do not significantly differ in their level of health knowledge.</w:t>
      </w:r>
    </w:p>
    <w:p w14:paraId="57905B52" w14:textId="15A5E2BE" w:rsidR="00FF427C" w:rsidRPr="00AC4BA8" w:rsidRDefault="00FF427C" w:rsidP="00FF427C">
      <w:pPr>
        <w:pStyle w:val="BodyText"/>
        <w:spacing w:line="360" w:lineRule="auto"/>
        <w:jc w:val="both"/>
      </w:pPr>
      <w:r w:rsidRPr="00AC4BA8">
        <w:t xml:space="preserve">H₀₃ </w:t>
      </w:r>
      <w:r w:rsidR="00160D87">
        <w:t>Students</w:t>
      </w:r>
      <w:r w:rsidR="00AB4F6B">
        <w:t xml:space="preserve"> </w:t>
      </w:r>
      <w:r w:rsidR="00AB4F6B" w:rsidRPr="00AC4BA8">
        <w:t>attending</w:t>
      </w:r>
      <w:r w:rsidRPr="00AC4BA8">
        <w:t xml:space="preserve"> Assamese- and English-medium schools in Barbaruah Block do not significantly differ in their health awareness.</w:t>
      </w:r>
    </w:p>
    <w:p w14:paraId="580C3241" w14:textId="2A5F320E" w:rsidR="00FF427C" w:rsidRPr="00AC4BA8" w:rsidRDefault="00FF427C" w:rsidP="00FF427C">
      <w:pPr>
        <w:pStyle w:val="BodyText"/>
        <w:spacing w:line="360" w:lineRule="auto"/>
        <w:jc w:val="both"/>
      </w:pPr>
      <w:r w:rsidRPr="00AC4BA8">
        <w:t xml:space="preserve">H₀₄: </w:t>
      </w:r>
      <w:r w:rsidR="00160D87">
        <w:t>Students</w:t>
      </w:r>
      <w:r w:rsidR="00AB4F6B">
        <w:t xml:space="preserve"> </w:t>
      </w:r>
      <w:r w:rsidR="00AB4F6B" w:rsidRPr="00AC4BA8">
        <w:t>in</w:t>
      </w:r>
      <w:r w:rsidRPr="00AC4BA8">
        <w:t xml:space="preserve"> secondary schools within Barbaruah Block in urban and rural areas do not significantly differ in their level of health knowledge.</w:t>
      </w:r>
    </w:p>
    <w:p w14:paraId="66F0BCCE" w14:textId="77777777" w:rsidR="00C65696" w:rsidRPr="00AC4BA8" w:rsidRDefault="00D20787" w:rsidP="00B04A0A">
      <w:pPr>
        <w:pStyle w:val="Heading2"/>
        <w:spacing w:line="360" w:lineRule="auto"/>
        <w:jc w:val="both"/>
        <w:rPr>
          <w:rFonts w:ascii="Times New Roman" w:hAnsi="Times New Roman" w:cs="Times New Roman"/>
          <w:color w:val="000000" w:themeColor="text1"/>
          <w:sz w:val="24"/>
          <w:szCs w:val="24"/>
        </w:rPr>
      </w:pPr>
      <w:bookmarkStart w:id="5" w:name="materials-and-methods"/>
      <w:bookmarkEnd w:id="2"/>
      <w:bookmarkEnd w:id="4"/>
      <w:r w:rsidRPr="00AC4BA8">
        <w:rPr>
          <w:rFonts w:ascii="Times New Roman" w:hAnsi="Times New Roman" w:cs="Times New Roman"/>
          <w:color w:val="000000" w:themeColor="text1"/>
          <w:sz w:val="24"/>
          <w:szCs w:val="24"/>
        </w:rPr>
        <w:t>Materials and Methods</w:t>
      </w:r>
    </w:p>
    <w:p w14:paraId="3C8818D5" w14:textId="77777777" w:rsidR="00C65696" w:rsidRPr="00AC4BA8" w:rsidRDefault="00D20787" w:rsidP="00B04A0A">
      <w:pPr>
        <w:pStyle w:val="Heading3"/>
        <w:spacing w:line="360" w:lineRule="auto"/>
        <w:jc w:val="both"/>
        <w:rPr>
          <w:rFonts w:ascii="Times New Roman" w:hAnsi="Times New Roman" w:cs="Times New Roman"/>
          <w:color w:val="000000" w:themeColor="text1"/>
        </w:rPr>
      </w:pPr>
      <w:bookmarkStart w:id="6" w:name="study-design-and-setting"/>
      <w:r w:rsidRPr="00AC4BA8">
        <w:rPr>
          <w:rFonts w:ascii="Times New Roman" w:hAnsi="Times New Roman" w:cs="Times New Roman"/>
          <w:color w:val="000000" w:themeColor="text1"/>
        </w:rPr>
        <w:t>Study Design and Setting</w:t>
      </w:r>
    </w:p>
    <w:p w14:paraId="4C2D6FBB" w14:textId="7DA93604" w:rsidR="00C65696" w:rsidRPr="00AC4BA8" w:rsidRDefault="00160D87" w:rsidP="00B04A0A">
      <w:pPr>
        <w:pStyle w:val="FirstParagraph"/>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Students</w:t>
      </w:r>
      <w:r w:rsidR="00AB4F6B">
        <w:rPr>
          <w:rFonts w:ascii="Times New Roman" w:hAnsi="Times New Roman" w:cs="Times New Roman"/>
          <w:color w:val="000000" w:themeColor="text1"/>
        </w:rPr>
        <w:t xml:space="preserve"> </w:t>
      </w:r>
      <w:r w:rsidR="00AB4F6B" w:rsidRPr="00AC4BA8">
        <w:rPr>
          <w:rFonts w:ascii="Times New Roman" w:hAnsi="Times New Roman" w:cs="Times New Roman"/>
          <w:color w:val="000000" w:themeColor="text1"/>
        </w:rPr>
        <w:t>of</w:t>
      </w:r>
      <w:r w:rsidR="00F63F0A" w:rsidRPr="00AC4BA8">
        <w:rPr>
          <w:rFonts w:ascii="Times New Roman" w:hAnsi="Times New Roman" w:cs="Times New Roman"/>
          <w:color w:val="000000" w:themeColor="text1"/>
        </w:rPr>
        <w:t xml:space="preserve"> </w:t>
      </w:r>
      <w:proofErr w:type="spellStart"/>
      <w:r w:rsidR="00F63F0A" w:rsidRPr="00AC4BA8">
        <w:rPr>
          <w:rFonts w:ascii="Times New Roman" w:hAnsi="Times New Roman" w:cs="Times New Roman"/>
          <w:color w:val="000000" w:themeColor="text1"/>
        </w:rPr>
        <w:t>Barbaruah</w:t>
      </w:r>
      <w:proofErr w:type="spellEnd"/>
      <w:r w:rsidR="00F63F0A" w:rsidRPr="00AC4BA8">
        <w:rPr>
          <w:rFonts w:ascii="Times New Roman" w:hAnsi="Times New Roman" w:cs="Times New Roman"/>
          <w:color w:val="000000" w:themeColor="text1"/>
        </w:rPr>
        <w:t xml:space="preserve"> Block's secondary school participated in this cross-sectional study. </w:t>
      </w:r>
      <w:r w:rsidR="00D20787" w:rsidRPr="00AC4BA8">
        <w:rPr>
          <w:rFonts w:ascii="Times New Roman" w:hAnsi="Times New Roman" w:cs="Times New Roman"/>
          <w:color w:val="000000" w:themeColor="text1"/>
        </w:rPr>
        <w:t>The study employed a quantitative research approach using non-parametric statistical methods to analyze health awareness data.</w:t>
      </w:r>
    </w:p>
    <w:p w14:paraId="0624364C" w14:textId="77777777" w:rsidR="00C65696" w:rsidRPr="00AC4BA8" w:rsidRDefault="00D20787" w:rsidP="00B04A0A">
      <w:pPr>
        <w:pStyle w:val="Heading3"/>
        <w:spacing w:line="360" w:lineRule="auto"/>
        <w:jc w:val="both"/>
        <w:rPr>
          <w:rFonts w:ascii="Times New Roman" w:hAnsi="Times New Roman" w:cs="Times New Roman"/>
          <w:color w:val="000000" w:themeColor="text1"/>
        </w:rPr>
      </w:pPr>
      <w:bookmarkStart w:id="7" w:name="sample-size-and-sampling"/>
      <w:bookmarkEnd w:id="6"/>
      <w:r w:rsidRPr="00AC4BA8">
        <w:rPr>
          <w:rFonts w:ascii="Times New Roman" w:hAnsi="Times New Roman" w:cs="Times New Roman"/>
          <w:color w:val="000000" w:themeColor="text1"/>
        </w:rPr>
        <w:t>Sample Size and Sampling</w:t>
      </w:r>
    </w:p>
    <w:p w14:paraId="3643C186" w14:textId="0BDB9051" w:rsidR="00C65696" w:rsidRPr="00AC4BA8" w:rsidRDefault="00D20787" w:rsidP="00B04A0A">
      <w:pPr>
        <w:pStyle w:val="FirstParagraph"/>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 xml:space="preserve">A total of 60 secondary school </w:t>
      </w:r>
      <w:r w:rsidR="00160D87">
        <w:rPr>
          <w:rFonts w:ascii="Times New Roman" w:hAnsi="Times New Roman" w:cs="Times New Roman"/>
          <w:color w:val="000000" w:themeColor="text1"/>
        </w:rPr>
        <w:t>students</w:t>
      </w:r>
      <w:r w:rsidR="00AB4F6B">
        <w:rPr>
          <w:rFonts w:ascii="Times New Roman" w:hAnsi="Times New Roman" w:cs="Times New Roman"/>
          <w:color w:val="000000" w:themeColor="text1"/>
        </w:rPr>
        <w:t xml:space="preserve"> </w:t>
      </w:r>
      <w:r w:rsidR="00AB4F6B" w:rsidRPr="00AC4BA8">
        <w:rPr>
          <w:rFonts w:ascii="Times New Roman" w:hAnsi="Times New Roman" w:cs="Times New Roman"/>
          <w:color w:val="000000" w:themeColor="text1"/>
        </w:rPr>
        <w:t>participated</w:t>
      </w:r>
      <w:r w:rsidRPr="00AC4BA8">
        <w:rPr>
          <w:rFonts w:ascii="Times New Roman" w:hAnsi="Times New Roman" w:cs="Times New Roman"/>
          <w:color w:val="000000" w:themeColor="text1"/>
        </w:rPr>
        <w:t xml:space="preserve"> in the study.</w:t>
      </w:r>
      <w:r w:rsidR="00FD682E" w:rsidRPr="00AC4BA8">
        <w:rPr>
          <w:rFonts w:ascii="Times New Roman" w:hAnsi="Times New Roman" w:cs="Times New Roman"/>
          <w:color w:val="000000" w:themeColor="text1"/>
        </w:rPr>
        <w:t xml:space="preserve"> The sample was split evenly across the following demographic groups</w:t>
      </w:r>
      <w:r w:rsidRPr="00AC4BA8">
        <w:rPr>
          <w:rFonts w:ascii="Times New Roman" w:hAnsi="Times New Roman" w:cs="Times New Roman"/>
          <w:color w:val="000000" w:themeColor="text1"/>
        </w:rPr>
        <w:t xml:space="preserve">: 30 male and 30 female </w:t>
      </w:r>
      <w:r w:rsidR="00160D87">
        <w:rPr>
          <w:rFonts w:ascii="Times New Roman" w:hAnsi="Times New Roman" w:cs="Times New Roman"/>
          <w:color w:val="000000" w:themeColor="text1"/>
        </w:rPr>
        <w:t>students</w:t>
      </w:r>
      <w:r w:rsidR="00AB4F6B">
        <w:rPr>
          <w:rFonts w:ascii="Times New Roman" w:hAnsi="Times New Roman" w:cs="Times New Roman"/>
          <w:color w:val="000000" w:themeColor="text1"/>
        </w:rPr>
        <w:t>,</w:t>
      </w:r>
      <w:r w:rsidRPr="00AC4BA8">
        <w:rPr>
          <w:rFonts w:ascii="Times New Roman" w:hAnsi="Times New Roman" w:cs="Times New Roman"/>
          <w:color w:val="000000" w:themeColor="text1"/>
        </w:rPr>
        <w:t xml:space="preserve"> 30 urban and 30 rural </w:t>
      </w:r>
      <w:r w:rsidR="00160D87">
        <w:rPr>
          <w:rFonts w:ascii="Times New Roman" w:hAnsi="Times New Roman" w:cs="Times New Roman"/>
          <w:color w:val="000000" w:themeColor="text1"/>
        </w:rPr>
        <w:t>students</w:t>
      </w:r>
      <w:r w:rsidR="00AB4F6B">
        <w:rPr>
          <w:rFonts w:ascii="Times New Roman" w:hAnsi="Times New Roman" w:cs="Times New Roman"/>
          <w:color w:val="000000" w:themeColor="text1"/>
        </w:rPr>
        <w:t>,</w:t>
      </w:r>
      <w:r w:rsidRPr="00AC4BA8">
        <w:rPr>
          <w:rFonts w:ascii="Times New Roman" w:hAnsi="Times New Roman" w:cs="Times New Roman"/>
          <w:color w:val="000000" w:themeColor="text1"/>
        </w:rPr>
        <w:t xml:space="preserve"> and 30 </w:t>
      </w:r>
      <w:r w:rsidR="00160D87">
        <w:rPr>
          <w:rFonts w:ascii="Times New Roman" w:hAnsi="Times New Roman" w:cs="Times New Roman"/>
          <w:color w:val="000000" w:themeColor="text1"/>
        </w:rPr>
        <w:t>students</w:t>
      </w:r>
      <w:r w:rsidR="00AB4F6B">
        <w:rPr>
          <w:rFonts w:ascii="Times New Roman" w:hAnsi="Times New Roman" w:cs="Times New Roman"/>
          <w:color w:val="000000" w:themeColor="text1"/>
        </w:rPr>
        <w:t xml:space="preserve"> </w:t>
      </w:r>
      <w:r w:rsidR="00AB4F6B" w:rsidRPr="00AC4BA8">
        <w:rPr>
          <w:rFonts w:ascii="Times New Roman" w:hAnsi="Times New Roman" w:cs="Times New Roman"/>
          <w:color w:val="000000" w:themeColor="text1"/>
        </w:rPr>
        <w:t>each</w:t>
      </w:r>
      <w:r w:rsidRPr="00AC4BA8">
        <w:rPr>
          <w:rFonts w:ascii="Times New Roman" w:hAnsi="Times New Roman" w:cs="Times New Roman"/>
          <w:color w:val="000000" w:themeColor="text1"/>
        </w:rPr>
        <w:t xml:space="preserve"> from Assamese and English medium schools. The age distribution included 20 </w:t>
      </w:r>
      <w:r w:rsidR="00160D87">
        <w:rPr>
          <w:rFonts w:ascii="Times New Roman" w:hAnsi="Times New Roman" w:cs="Times New Roman"/>
          <w:color w:val="000000" w:themeColor="text1"/>
        </w:rPr>
        <w:t>students</w:t>
      </w:r>
      <w:r w:rsidR="00AB4F6B">
        <w:rPr>
          <w:rFonts w:ascii="Times New Roman" w:hAnsi="Times New Roman" w:cs="Times New Roman"/>
          <w:color w:val="000000" w:themeColor="text1"/>
        </w:rPr>
        <w:t xml:space="preserve"> </w:t>
      </w:r>
      <w:r w:rsidR="00AB4F6B" w:rsidRPr="00AC4BA8">
        <w:rPr>
          <w:rFonts w:ascii="Times New Roman" w:hAnsi="Times New Roman" w:cs="Times New Roman"/>
          <w:color w:val="000000" w:themeColor="text1"/>
        </w:rPr>
        <w:t>below</w:t>
      </w:r>
      <w:r w:rsidRPr="00AC4BA8">
        <w:rPr>
          <w:rFonts w:ascii="Times New Roman" w:hAnsi="Times New Roman" w:cs="Times New Roman"/>
          <w:color w:val="000000" w:themeColor="text1"/>
        </w:rPr>
        <w:t xml:space="preserve"> 15 years, 20 </w:t>
      </w:r>
      <w:r w:rsidR="00160D87">
        <w:rPr>
          <w:rFonts w:ascii="Times New Roman" w:hAnsi="Times New Roman" w:cs="Times New Roman"/>
          <w:color w:val="000000" w:themeColor="text1"/>
        </w:rPr>
        <w:t>students</w:t>
      </w:r>
      <w:r w:rsidR="00AB4F6B">
        <w:rPr>
          <w:rFonts w:ascii="Times New Roman" w:hAnsi="Times New Roman" w:cs="Times New Roman"/>
          <w:color w:val="000000" w:themeColor="text1"/>
        </w:rPr>
        <w:t xml:space="preserve"> </w:t>
      </w:r>
      <w:r w:rsidR="00AB4F6B" w:rsidRPr="00AC4BA8">
        <w:rPr>
          <w:rFonts w:ascii="Times New Roman" w:hAnsi="Times New Roman" w:cs="Times New Roman"/>
          <w:color w:val="000000" w:themeColor="text1"/>
        </w:rPr>
        <w:t>aged</w:t>
      </w:r>
      <w:r w:rsidRPr="00AC4BA8">
        <w:rPr>
          <w:rFonts w:ascii="Times New Roman" w:hAnsi="Times New Roman" w:cs="Times New Roman"/>
          <w:color w:val="000000" w:themeColor="text1"/>
        </w:rPr>
        <w:t xml:space="preserve"> 15 years, and 20 </w:t>
      </w:r>
      <w:r w:rsidR="00160D87">
        <w:rPr>
          <w:rFonts w:ascii="Times New Roman" w:hAnsi="Times New Roman" w:cs="Times New Roman"/>
          <w:color w:val="000000" w:themeColor="text1"/>
        </w:rPr>
        <w:t>students</w:t>
      </w:r>
      <w:r w:rsidR="00AB4F6B">
        <w:rPr>
          <w:rFonts w:ascii="Times New Roman" w:hAnsi="Times New Roman" w:cs="Times New Roman"/>
          <w:color w:val="000000" w:themeColor="text1"/>
        </w:rPr>
        <w:t xml:space="preserve"> </w:t>
      </w:r>
      <w:r w:rsidR="00AB4F6B" w:rsidRPr="00AC4BA8">
        <w:rPr>
          <w:rFonts w:ascii="Times New Roman" w:hAnsi="Times New Roman" w:cs="Times New Roman"/>
          <w:color w:val="000000" w:themeColor="text1"/>
        </w:rPr>
        <w:t>above</w:t>
      </w:r>
      <w:r w:rsidRPr="00AC4BA8">
        <w:rPr>
          <w:rFonts w:ascii="Times New Roman" w:hAnsi="Times New Roman" w:cs="Times New Roman"/>
          <w:color w:val="000000" w:themeColor="text1"/>
        </w:rPr>
        <w:t xml:space="preserve"> 15 years.</w:t>
      </w:r>
    </w:p>
    <w:p w14:paraId="60640932" w14:textId="77777777" w:rsidR="00C65696" w:rsidRPr="00AC4BA8" w:rsidRDefault="00D20787" w:rsidP="00B04A0A">
      <w:pPr>
        <w:pStyle w:val="Heading3"/>
        <w:spacing w:line="360" w:lineRule="auto"/>
        <w:jc w:val="both"/>
        <w:rPr>
          <w:rFonts w:ascii="Times New Roman" w:hAnsi="Times New Roman" w:cs="Times New Roman"/>
          <w:color w:val="000000" w:themeColor="text1"/>
        </w:rPr>
      </w:pPr>
      <w:bookmarkStart w:id="8" w:name="measurement-instrument"/>
      <w:bookmarkEnd w:id="7"/>
      <w:r w:rsidRPr="00AC4BA8">
        <w:rPr>
          <w:rFonts w:ascii="Times New Roman" w:hAnsi="Times New Roman" w:cs="Times New Roman"/>
          <w:color w:val="000000" w:themeColor="text1"/>
        </w:rPr>
        <w:t>Measurement Instrument</w:t>
      </w:r>
    </w:p>
    <w:p w14:paraId="78C1A2FF" w14:textId="77777777" w:rsidR="00C65696" w:rsidRPr="00AC4BA8" w:rsidRDefault="004B4DBE" w:rsidP="00B04A0A">
      <w:pPr>
        <w:pStyle w:val="FirstParagraph"/>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 xml:space="preserve">A standardized health awareness scale that produced average scores (AVARG) for every participant was used for assessing health awareness. The exam most likely covered a number of </w:t>
      </w:r>
      <w:r w:rsidRPr="00AC4BA8">
        <w:rPr>
          <w:rFonts w:ascii="Times New Roman" w:hAnsi="Times New Roman" w:cs="Times New Roman"/>
          <w:color w:val="000000" w:themeColor="text1"/>
        </w:rPr>
        <w:lastRenderedPageBreak/>
        <w:t>aspects of health awareness, including recognizing one's bodily and mental health.</w:t>
      </w:r>
      <w:r w:rsidR="00D20787" w:rsidRPr="00AC4BA8">
        <w:rPr>
          <w:rFonts w:ascii="Times New Roman" w:hAnsi="Times New Roman" w:cs="Times New Roman"/>
          <w:color w:val="000000" w:themeColor="text1"/>
        </w:rPr>
        <w:t xml:space="preserve">, nutrition, hygiene, disease prevention, and health-promoting </w:t>
      </w:r>
      <w:r w:rsidRPr="00AC4BA8">
        <w:rPr>
          <w:rFonts w:ascii="Times New Roman" w:hAnsi="Times New Roman" w:cs="Times New Roman"/>
          <w:color w:val="000000" w:themeColor="text1"/>
        </w:rPr>
        <w:t>behaviours</w:t>
      </w:r>
      <w:r w:rsidR="00D20787" w:rsidRPr="00AC4BA8">
        <w:rPr>
          <w:rFonts w:ascii="Times New Roman" w:hAnsi="Times New Roman" w:cs="Times New Roman"/>
          <w:color w:val="000000" w:themeColor="text1"/>
        </w:rPr>
        <w:t>.</w:t>
      </w:r>
    </w:p>
    <w:p w14:paraId="3796F6B1" w14:textId="77777777" w:rsidR="00C65696" w:rsidRPr="00AC4BA8" w:rsidRDefault="00D20787" w:rsidP="00B04A0A">
      <w:pPr>
        <w:pStyle w:val="Heading3"/>
        <w:spacing w:line="360" w:lineRule="auto"/>
        <w:jc w:val="both"/>
        <w:rPr>
          <w:rFonts w:ascii="Times New Roman" w:hAnsi="Times New Roman" w:cs="Times New Roman"/>
          <w:color w:val="000000" w:themeColor="text1"/>
        </w:rPr>
      </w:pPr>
      <w:bookmarkStart w:id="9" w:name="data-collection"/>
      <w:bookmarkEnd w:id="8"/>
      <w:r w:rsidRPr="00AC4BA8">
        <w:rPr>
          <w:rFonts w:ascii="Times New Roman" w:hAnsi="Times New Roman" w:cs="Times New Roman"/>
          <w:color w:val="000000" w:themeColor="text1"/>
        </w:rPr>
        <w:t>Data Collection</w:t>
      </w:r>
    </w:p>
    <w:p w14:paraId="3582A710" w14:textId="7C14B8EE" w:rsidR="00C65696" w:rsidRPr="00AC4BA8" w:rsidRDefault="007E2AC9" w:rsidP="007E2AC9">
      <w:pPr>
        <w:pStyle w:val="FirstParagraph"/>
        <w:spacing w:line="360" w:lineRule="auto"/>
        <w:jc w:val="both"/>
        <w:rPr>
          <w:rFonts w:ascii="Times New Roman" w:hAnsi="Times New Roman" w:cs="Times New Roman"/>
          <w:color w:val="000000" w:themeColor="text1"/>
          <w:lang w:val="en-IN"/>
        </w:rPr>
      </w:pPr>
      <w:r w:rsidRPr="00AC4BA8">
        <w:rPr>
          <w:rFonts w:ascii="Times New Roman" w:hAnsi="Times New Roman" w:cs="Times New Roman"/>
          <w:color w:val="000000" w:themeColor="text1"/>
          <w:lang w:val="en-IN"/>
        </w:rPr>
        <w:t xml:space="preserve">The chosen </w:t>
      </w:r>
      <w:r w:rsidR="00160D87">
        <w:rPr>
          <w:rFonts w:ascii="Times New Roman" w:hAnsi="Times New Roman" w:cs="Times New Roman"/>
          <w:color w:val="000000" w:themeColor="text1"/>
          <w:lang w:val="en-IN"/>
        </w:rPr>
        <w:t>students</w:t>
      </w:r>
      <w:r w:rsidRPr="00AC4BA8">
        <w:rPr>
          <w:rFonts w:ascii="Times New Roman" w:hAnsi="Times New Roman" w:cs="Times New Roman"/>
          <w:color w:val="000000" w:themeColor="text1"/>
          <w:lang w:val="en-IN"/>
        </w:rPr>
        <w:t xml:space="preserve"> were given standardized questionnaires to complete in order to gather data. The survey collected demographic data such as </w:t>
      </w:r>
      <w:r w:rsidR="00996F26">
        <w:rPr>
          <w:rFonts w:ascii="Times New Roman" w:hAnsi="Times New Roman" w:cs="Times New Roman"/>
          <w:color w:val="000000" w:themeColor="text1"/>
          <w:lang w:val="en-IN"/>
        </w:rPr>
        <w:t>sex</w:t>
      </w:r>
      <w:r w:rsidRPr="00AC4BA8">
        <w:rPr>
          <w:rFonts w:ascii="Times New Roman" w:hAnsi="Times New Roman" w:cs="Times New Roman"/>
          <w:color w:val="000000" w:themeColor="text1"/>
          <w:lang w:val="en-IN"/>
        </w:rPr>
        <w:t>, age group,</w:t>
      </w:r>
      <w:r w:rsidR="008C0E2E" w:rsidRPr="00AC4BA8">
        <w:rPr>
          <w:rFonts w:ascii="Times New Roman" w:hAnsi="Times New Roman" w:cs="Times New Roman"/>
          <w:color w:val="000000" w:themeColor="text1"/>
          <w:lang w:val="en-IN"/>
        </w:rPr>
        <w:t xml:space="preserve"> </w:t>
      </w:r>
      <w:r w:rsidR="00D20787" w:rsidRPr="00AC4BA8">
        <w:rPr>
          <w:rFonts w:ascii="Times New Roman" w:hAnsi="Times New Roman" w:cs="Times New Roman"/>
          <w:color w:val="000000" w:themeColor="text1"/>
        </w:rPr>
        <w:t>medium of instruction, and locality, along with health awareness assessment items.</w:t>
      </w:r>
    </w:p>
    <w:p w14:paraId="704FE494" w14:textId="77777777" w:rsidR="00C65696" w:rsidRPr="00AC4BA8" w:rsidRDefault="00D20787" w:rsidP="00B04A0A">
      <w:pPr>
        <w:pStyle w:val="Heading3"/>
        <w:spacing w:line="360" w:lineRule="auto"/>
        <w:jc w:val="both"/>
        <w:rPr>
          <w:rFonts w:ascii="Times New Roman" w:hAnsi="Times New Roman" w:cs="Times New Roman"/>
          <w:color w:val="000000" w:themeColor="text1"/>
        </w:rPr>
      </w:pPr>
      <w:bookmarkStart w:id="10" w:name="statistical-analysis"/>
      <w:bookmarkEnd w:id="9"/>
      <w:r w:rsidRPr="00AC4BA8">
        <w:rPr>
          <w:rFonts w:ascii="Times New Roman" w:hAnsi="Times New Roman" w:cs="Times New Roman"/>
          <w:color w:val="000000" w:themeColor="text1"/>
        </w:rPr>
        <w:t>Statistical Analysis</w:t>
      </w:r>
    </w:p>
    <w:p w14:paraId="440104D1" w14:textId="77777777" w:rsidR="00C65696" w:rsidRPr="00AC4BA8" w:rsidRDefault="00D20787" w:rsidP="00B04A0A">
      <w:pPr>
        <w:pStyle w:val="FirstParagraph"/>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Given the characteristics of the data, the following statistical analyses were performed:</w:t>
      </w:r>
    </w:p>
    <w:p w14:paraId="762293EC"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t>Descriptive Statistics:</w:t>
      </w:r>
      <w:r w:rsidR="008C0E2E" w:rsidRPr="00AC4BA8">
        <w:t xml:space="preserve"> </w:t>
      </w:r>
      <w:r w:rsidR="008C0E2E" w:rsidRPr="00AC4BA8">
        <w:rPr>
          <w:rFonts w:ascii="Times New Roman" w:hAnsi="Times New Roman" w:cs="Times New Roman"/>
          <w:bCs/>
          <w:color w:val="000000" w:themeColor="text1"/>
        </w:rPr>
        <w:t>The distribution of health awareness scores was described by the following metrics: mean, standard deviation, median, variance, range, interquartile range, skewness, and kurtosis.</w:t>
      </w:r>
    </w:p>
    <w:p w14:paraId="2791C84F" w14:textId="77777777" w:rsidR="008C0E2E"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t>Normality Testing:</w:t>
      </w:r>
      <w:r w:rsidRPr="00AC4BA8">
        <w:rPr>
          <w:rFonts w:ascii="Times New Roman" w:hAnsi="Times New Roman" w:cs="Times New Roman"/>
          <w:color w:val="000000" w:themeColor="text1"/>
        </w:rPr>
        <w:t xml:space="preserve"> </w:t>
      </w:r>
      <w:r w:rsidR="008C0E2E" w:rsidRPr="00AC4BA8">
        <w:rPr>
          <w:rFonts w:ascii="Times New Roman" w:hAnsi="Times New Roman" w:cs="Times New Roman"/>
          <w:color w:val="000000" w:themeColor="text1"/>
        </w:rPr>
        <w:t>To determine whether the data distribution was normal, the Shapiro-Wilk and Kolmogorov-Smirnov tests (with Lilliefors correction) were used. The use of non-parametric statistical techniques was justified by the considerable departure from normalcy (p = 0.000) found in both tests.</w:t>
      </w:r>
    </w:p>
    <w:p w14:paraId="1EBE570B"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t>Visual Assessment:</w:t>
      </w:r>
      <w:r w:rsidRPr="00AC4BA8">
        <w:rPr>
          <w:rFonts w:ascii="Times New Roman" w:hAnsi="Times New Roman" w:cs="Times New Roman"/>
          <w:color w:val="000000" w:themeColor="text1"/>
        </w:rPr>
        <w:t xml:space="preserve"> Histogram and Normal Q-Q plots were generated to visually assess the distribution of health awareness scores.</w:t>
      </w:r>
    </w:p>
    <w:p w14:paraId="071DFA65"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t>Non-parametric Tests:</w:t>
      </w:r>
    </w:p>
    <w:p w14:paraId="241BAD6A" w14:textId="77777777" w:rsidR="00C65696" w:rsidRPr="00AC4BA8" w:rsidRDefault="00D20787" w:rsidP="00B04A0A">
      <w:pPr>
        <w:pStyle w:val="Compact"/>
        <w:numPr>
          <w:ilvl w:val="0"/>
          <w:numId w:val="3"/>
        </w:numPr>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t>Kruskal-Wallis H Test:</w:t>
      </w:r>
      <w:r w:rsidRPr="00AC4BA8">
        <w:rPr>
          <w:rFonts w:ascii="Times New Roman" w:hAnsi="Times New Roman" w:cs="Times New Roman"/>
          <w:color w:val="000000" w:themeColor="text1"/>
        </w:rPr>
        <w:t xml:space="preserve"> Used to compare health awareness across three age groups (below 15, 15, and above 15 years)</w:t>
      </w:r>
    </w:p>
    <w:p w14:paraId="54D8823D" w14:textId="77777777" w:rsidR="00C65696" w:rsidRPr="00AC4BA8" w:rsidRDefault="00D20787" w:rsidP="00B04A0A">
      <w:pPr>
        <w:pStyle w:val="Compact"/>
        <w:numPr>
          <w:ilvl w:val="0"/>
          <w:numId w:val="3"/>
        </w:numPr>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t>Mann-Whitney U Test:</w:t>
      </w:r>
      <w:r w:rsidRPr="00AC4BA8">
        <w:rPr>
          <w:rFonts w:ascii="Times New Roman" w:hAnsi="Times New Roman" w:cs="Times New Roman"/>
          <w:color w:val="000000" w:themeColor="text1"/>
        </w:rPr>
        <w:t xml:space="preserve"> Employed to compare health awareness between two independent groups (male vs. female, Assamese vs. English medium, and urban vs. rural)</w:t>
      </w:r>
    </w:p>
    <w:p w14:paraId="110949FC" w14:textId="4A33CBF3" w:rsidR="00C65696" w:rsidRPr="00AC4BA8" w:rsidRDefault="001B664D" w:rsidP="00B04A0A">
      <w:pPr>
        <w:pStyle w:val="FirstParagraph"/>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SPSS</w:t>
      </w:r>
      <w:r w:rsidR="001E03E4">
        <w:rPr>
          <w:rFonts w:ascii="Times New Roman" w:hAnsi="Times New Roman" w:cs="Times New Roman"/>
          <w:color w:val="000000" w:themeColor="text1"/>
        </w:rPr>
        <w:t xml:space="preserve"> 23</w:t>
      </w:r>
      <w:r w:rsidRPr="00AC4BA8">
        <w:rPr>
          <w:rFonts w:ascii="Times New Roman" w:hAnsi="Times New Roman" w:cs="Times New Roman"/>
          <w:color w:val="000000" w:themeColor="text1"/>
        </w:rPr>
        <w:t xml:space="preserve"> statistical software was used for all statistical analyses</w:t>
      </w:r>
      <w:r w:rsidR="00D20787" w:rsidRPr="00AC4BA8">
        <w:rPr>
          <w:rFonts w:ascii="Times New Roman" w:hAnsi="Times New Roman" w:cs="Times New Roman"/>
          <w:color w:val="000000" w:themeColor="text1"/>
        </w:rPr>
        <w:t>, with statistical significance set at p &lt; 0.05.</w:t>
      </w:r>
    </w:p>
    <w:p w14:paraId="1EA68444" w14:textId="77777777" w:rsidR="00C65696" w:rsidRPr="00AC4BA8" w:rsidRDefault="00D20787" w:rsidP="00B04A0A">
      <w:pPr>
        <w:pStyle w:val="Heading2"/>
        <w:spacing w:line="360" w:lineRule="auto"/>
        <w:jc w:val="both"/>
        <w:rPr>
          <w:rFonts w:ascii="Times New Roman" w:hAnsi="Times New Roman" w:cs="Times New Roman"/>
          <w:color w:val="000000" w:themeColor="text1"/>
          <w:sz w:val="24"/>
          <w:szCs w:val="24"/>
        </w:rPr>
      </w:pPr>
      <w:bookmarkStart w:id="11" w:name="results"/>
      <w:bookmarkEnd w:id="5"/>
      <w:bookmarkEnd w:id="10"/>
      <w:r w:rsidRPr="00AC4BA8">
        <w:rPr>
          <w:rFonts w:ascii="Times New Roman" w:hAnsi="Times New Roman" w:cs="Times New Roman"/>
          <w:color w:val="000000" w:themeColor="text1"/>
          <w:sz w:val="24"/>
          <w:szCs w:val="24"/>
        </w:rPr>
        <w:lastRenderedPageBreak/>
        <w:t>Results</w:t>
      </w:r>
    </w:p>
    <w:p w14:paraId="752CEF41" w14:textId="77777777" w:rsidR="00C65696" w:rsidRPr="00AC4BA8" w:rsidRDefault="00D20787" w:rsidP="00B04A0A">
      <w:pPr>
        <w:pStyle w:val="Heading3"/>
        <w:spacing w:line="360" w:lineRule="auto"/>
        <w:jc w:val="both"/>
        <w:rPr>
          <w:rFonts w:ascii="Times New Roman" w:hAnsi="Times New Roman" w:cs="Times New Roman"/>
          <w:color w:val="000000" w:themeColor="text1"/>
        </w:rPr>
      </w:pPr>
      <w:bookmarkStart w:id="12" w:name="X015ae8b2cbf7e033b7bedf421a5cf963e0fe209"/>
      <w:r w:rsidRPr="00AC4BA8">
        <w:rPr>
          <w:rFonts w:ascii="Times New Roman" w:hAnsi="Times New Roman" w:cs="Times New Roman"/>
          <w:color w:val="000000" w:themeColor="text1"/>
        </w:rPr>
        <w:t>Descriptive Statistics and Data Distribution</w:t>
      </w:r>
    </w:p>
    <w:p w14:paraId="57E3868D" w14:textId="77777777" w:rsidR="00C65696" w:rsidRPr="00AC4BA8" w:rsidRDefault="00D20787" w:rsidP="00B04A0A">
      <w:pPr>
        <w:pStyle w:val="FirstParagraph"/>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t>Table 1: Descriptive Statistics of Health Awareness Scores (AVARG)</w:t>
      </w:r>
    </w:p>
    <w:tbl>
      <w:tblPr>
        <w:tblStyle w:val="Table"/>
        <w:tblW w:w="0" w:type="auto"/>
        <w:jc w:val="center"/>
        <w:tblLook w:val="0020" w:firstRow="1" w:lastRow="0" w:firstColumn="0" w:lastColumn="0" w:noHBand="0" w:noVBand="0"/>
      </w:tblPr>
      <w:tblGrid>
        <w:gridCol w:w="2343"/>
        <w:gridCol w:w="996"/>
        <w:gridCol w:w="1163"/>
      </w:tblGrid>
      <w:tr w:rsidR="00201A97" w:rsidRPr="00AC4BA8" w14:paraId="0586FF42" w14:textId="77777777" w:rsidTr="009F79C7">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4" w:space="0" w:color="auto"/>
            </w:tcBorders>
          </w:tcPr>
          <w:p w14:paraId="4EADA577"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Statistic</w:t>
            </w:r>
          </w:p>
        </w:tc>
        <w:tc>
          <w:tcPr>
            <w:tcW w:w="0" w:type="auto"/>
            <w:tcBorders>
              <w:top w:val="single" w:sz="4" w:space="0" w:color="auto"/>
            </w:tcBorders>
          </w:tcPr>
          <w:p w14:paraId="76B1A2B0"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Value</w:t>
            </w:r>
          </w:p>
        </w:tc>
        <w:tc>
          <w:tcPr>
            <w:tcW w:w="0" w:type="auto"/>
            <w:tcBorders>
              <w:top w:val="single" w:sz="4" w:space="0" w:color="auto"/>
            </w:tcBorders>
          </w:tcPr>
          <w:p w14:paraId="17BB3FB0"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Std. Error</w:t>
            </w:r>
          </w:p>
        </w:tc>
      </w:tr>
      <w:tr w:rsidR="00201A97" w:rsidRPr="00AC4BA8" w14:paraId="710B66C7" w14:textId="77777777" w:rsidTr="00201A97">
        <w:trPr>
          <w:jc w:val="center"/>
        </w:trPr>
        <w:tc>
          <w:tcPr>
            <w:tcW w:w="0" w:type="auto"/>
          </w:tcPr>
          <w:p w14:paraId="26FB42EC"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Mean</w:t>
            </w:r>
          </w:p>
        </w:tc>
        <w:tc>
          <w:tcPr>
            <w:tcW w:w="0" w:type="auto"/>
          </w:tcPr>
          <w:p w14:paraId="10431734"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0.6094</w:t>
            </w:r>
          </w:p>
        </w:tc>
        <w:tc>
          <w:tcPr>
            <w:tcW w:w="0" w:type="auto"/>
          </w:tcPr>
          <w:p w14:paraId="78DDD398"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0.00583</w:t>
            </w:r>
          </w:p>
        </w:tc>
      </w:tr>
      <w:tr w:rsidR="00201A97" w:rsidRPr="00AC4BA8" w14:paraId="7513D353" w14:textId="77777777" w:rsidTr="00201A97">
        <w:trPr>
          <w:jc w:val="center"/>
        </w:trPr>
        <w:tc>
          <w:tcPr>
            <w:tcW w:w="0" w:type="auto"/>
          </w:tcPr>
          <w:p w14:paraId="5D72C42C"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95% CI Lower Bound</w:t>
            </w:r>
          </w:p>
        </w:tc>
        <w:tc>
          <w:tcPr>
            <w:tcW w:w="0" w:type="auto"/>
          </w:tcPr>
          <w:p w14:paraId="16DCAAC6"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0.5978</w:t>
            </w:r>
          </w:p>
        </w:tc>
        <w:tc>
          <w:tcPr>
            <w:tcW w:w="0" w:type="auto"/>
          </w:tcPr>
          <w:p w14:paraId="2A9018CA"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w:t>
            </w:r>
          </w:p>
        </w:tc>
      </w:tr>
      <w:tr w:rsidR="00201A97" w:rsidRPr="00AC4BA8" w14:paraId="10A007D4" w14:textId="77777777" w:rsidTr="00201A97">
        <w:trPr>
          <w:jc w:val="center"/>
        </w:trPr>
        <w:tc>
          <w:tcPr>
            <w:tcW w:w="0" w:type="auto"/>
          </w:tcPr>
          <w:p w14:paraId="149EFE1B"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95% CI Upper Bound</w:t>
            </w:r>
          </w:p>
        </w:tc>
        <w:tc>
          <w:tcPr>
            <w:tcW w:w="0" w:type="auto"/>
          </w:tcPr>
          <w:p w14:paraId="32871B77"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0.6211</w:t>
            </w:r>
          </w:p>
        </w:tc>
        <w:tc>
          <w:tcPr>
            <w:tcW w:w="0" w:type="auto"/>
          </w:tcPr>
          <w:p w14:paraId="04356CEA"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w:t>
            </w:r>
          </w:p>
        </w:tc>
      </w:tr>
      <w:tr w:rsidR="00201A97" w:rsidRPr="00AC4BA8" w14:paraId="0A390A1A" w14:textId="77777777" w:rsidTr="00201A97">
        <w:trPr>
          <w:jc w:val="center"/>
        </w:trPr>
        <w:tc>
          <w:tcPr>
            <w:tcW w:w="0" w:type="auto"/>
          </w:tcPr>
          <w:p w14:paraId="66591A0B"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5% Trimmed Mean</w:t>
            </w:r>
          </w:p>
        </w:tc>
        <w:tc>
          <w:tcPr>
            <w:tcW w:w="0" w:type="auto"/>
          </w:tcPr>
          <w:p w14:paraId="03490386"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0.6136</w:t>
            </w:r>
          </w:p>
        </w:tc>
        <w:tc>
          <w:tcPr>
            <w:tcW w:w="0" w:type="auto"/>
          </w:tcPr>
          <w:p w14:paraId="2318D1E5"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w:t>
            </w:r>
          </w:p>
        </w:tc>
      </w:tr>
      <w:tr w:rsidR="00201A97" w:rsidRPr="00AC4BA8" w14:paraId="5A43D8EB" w14:textId="77777777" w:rsidTr="00201A97">
        <w:trPr>
          <w:jc w:val="center"/>
        </w:trPr>
        <w:tc>
          <w:tcPr>
            <w:tcW w:w="0" w:type="auto"/>
          </w:tcPr>
          <w:p w14:paraId="49452BA3"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Median</w:t>
            </w:r>
          </w:p>
        </w:tc>
        <w:tc>
          <w:tcPr>
            <w:tcW w:w="0" w:type="auto"/>
          </w:tcPr>
          <w:p w14:paraId="7DA7DBC9"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0.6333</w:t>
            </w:r>
          </w:p>
        </w:tc>
        <w:tc>
          <w:tcPr>
            <w:tcW w:w="0" w:type="auto"/>
          </w:tcPr>
          <w:p w14:paraId="2BA7AA7A"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w:t>
            </w:r>
          </w:p>
        </w:tc>
      </w:tr>
      <w:tr w:rsidR="00201A97" w:rsidRPr="00AC4BA8" w14:paraId="31F2C1B1" w14:textId="77777777" w:rsidTr="00201A97">
        <w:trPr>
          <w:jc w:val="center"/>
        </w:trPr>
        <w:tc>
          <w:tcPr>
            <w:tcW w:w="0" w:type="auto"/>
          </w:tcPr>
          <w:p w14:paraId="77E59DF6"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Variance</w:t>
            </w:r>
          </w:p>
        </w:tc>
        <w:tc>
          <w:tcPr>
            <w:tcW w:w="0" w:type="auto"/>
          </w:tcPr>
          <w:p w14:paraId="3EE9EA77"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0.002</w:t>
            </w:r>
          </w:p>
        </w:tc>
        <w:tc>
          <w:tcPr>
            <w:tcW w:w="0" w:type="auto"/>
          </w:tcPr>
          <w:p w14:paraId="2ED4BA10"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w:t>
            </w:r>
          </w:p>
        </w:tc>
      </w:tr>
      <w:tr w:rsidR="00201A97" w:rsidRPr="00AC4BA8" w14:paraId="46787771" w14:textId="77777777" w:rsidTr="00201A97">
        <w:trPr>
          <w:jc w:val="center"/>
        </w:trPr>
        <w:tc>
          <w:tcPr>
            <w:tcW w:w="0" w:type="auto"/>
          </w:tcPr>
          <w:p w14:paraId="48FD80E3"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Std. Deviation</w:t>
            </w:r>
          </w:p>
        </w:tc>
        <w:tc>
          <w:tcPr>
            <w:tcW w:w="0" w:type="auto"/>
          </w:tcPr>
          <w:p w14:paraId="40465949"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0.04514</w:t>
            </w:r>
          </w:p>
        </w:tc>
        <w:tc>
          <w:tcPr>
            <w:tcW w:w="0" w:type="auto"/>
          </w:tcPr>
          <w:p w14:paraId="65DC10AC"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w:t>
            </w:r>
          </w:p>
        </w:tc>
      </w:tr>
      <w:tr w:rsidR="00201A97" w:rsidRPr="00AC4BA8" w14:paraId="0F695398" w14:textId="77777777" w:rsidTr="00201A97">
        <w:trPr>
          <w:jc w:val="center"/>
        </w:trPr>
        <w:tc>
          <w:tcPr>
            <w:tcW w:w="0" w:type="auto"/>
          </w:tcPr>
          <w:p w14:paraId="168B058B"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Minimum</w:t>
            </w:r>
          </w:p>
        </w:tc>
        <w:tc>
          <w:tcPr>
            <w:tcW w:w="0" w:type="auto"/>
          </w:tcPr>
          <w:p w14:paraId="6E6050A7"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0.47</w:t>
            </w:r>
          </w:p>
        </w:tc>
        <w:tc>
          <w:tcPr>
            <w:tcW w:w="0" w:type="auto"/>
          </w:tcPr>
          <w:p w14:paraId="0003087D"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w:t>
            </w:r>
          </w:p>
        </w:tc>
      </w:tr>
      <w:tr w:rsidR="00201A97" w:rsidRPr="00AC4BA8" w14:paraId="03426FAF" w14:textId="77777777" w:rsidTr="00201A97">
        <w:trPr>
          <w:jc w:val="center"/>
        </w:trPr>
        <w:tc>
          <w:tcPr>
            <w:tcW w:w="0" w:type="auto"/>
          </w:tcPr>
          <w:p w14:paraId="56B899D4"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Maximum</w:t>
            </w:r>
          </w:p>
        </w:tc>
        <w:tc>
          <w:tcPr>
            <w:tcW w:w="0" w:type="auto"/>
          </w:tcPr>
          <w:p w14:paraId="02F236BE"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0.67</w:t>
            </w:r>
          </w:p>
        </w:tc>
        <w:tc>
          <w:tcPr>
            <w:tcW w:w="0" w:type="auto"/>
          </w:tcPr>
          <w:p w14:paraId="212AD537"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w:t>
            </w:r>
          </w:p>
        </w:tc>
      </w:tr>
      <w:tr w:rsidR="00201A97" w:rsidRPr="00AC4BA8" w14:paraId="0AC573AD" w14:textId="77777777" w:rsidTr="00201A97">
        <w:trPr>
          <w:jc w:val="center"/>
        </w:trPr>
        <w:tc>
          <w:tcPr>
            <w:tcW w:w="0" w:type="auto"/>
          </w:tcPr>
          <w:p w14:paraId="26C348BE"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Range</w:t>
            </w:r>
          </w:p>
        </w:tc>
        <w:tc>
          <w:tcPr>
            <w:tcW w:w="0" w:type="auto"/>
          </w:tcPr>
          <w:p w14:paraId="2CCA7566"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0.20</w:t>
            </w:r>
          </w:p>
        </w:tc>
        <w:tc>
          <w:tcPr>
            <w:tcW w:w="0" w:type="auto"/>
          </w:tcPr>
          <w:p w14:paraId="6E068266"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w:t>
            </w:r>
          </w:p>
        </w:tc>
      </w:tr>
      <w:tr w:rsidR="00201A97" w:rsidRPr="00AC4BA8" w14:paraId="3D415908" w14:textId="77777777" w:rsidTr="00201A97">
        <w:trPr>
          <w:jc w:val="center"/>
        </w:trPr>
        <w:tc>
          <w:tcPr>
            <w:tcW w:w="0" w:type="auto"/>
          </w:tcPr>
          <w:p w14:paraId="53F3679F"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Interquartile Range</w:t>
            </w:r>
          </w:p>
        </w:tc>
        <w:tc>
          <w:tcPr>
            <w:tcW w:w="0" w:type="auto"/>
          </w:tcPr>
          <w:p w14:paraId="3BDB2C4F"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0.03</w:t>
            </w:r>
          </w:p>
        </w:tc>
        <w:tc>
          <w:tcPr>
            <w:tcW w:w="0" w:type="auto"/>
          </w:tcPr>
          <w:p w14:paraId="623F9B9A"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w:t>
            </w:r>
          </w:p>
        </w:tc>
      </w:tr>
      <w:tr w:rsidR="00201A97" w:rsidRPr="00AC4BA8" w14:paraId="7A88F7E7" w14:textId="77777777" w:rsidTr="00201A97">
        <w:trPr>
          <w:jc w:val="center"/>
        </w:trPr>
        <w:tc>
          <w:tcPr>
            <w:tcW w:w="0" w:type="auto"/>
          </w:tcPr>
          <w:p w14:paraId="0F016BF0"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Skewness</w:t>
            </w:r>
          </w:p>
        </w:tc>
        <w:tc>
          <w:tcPr>
            <w:tcW w:w="0" w:type="auto"/>
          </w:tcPr>
          <w:p w14:paraId="44969C78"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-1.598</w:t>
            </w:r>
          </w:p>
        </w:tc>
        <w:tc>
          <w:tcPr>
            <w:tcW w:w="0" w:type="auto"/>
          </w:tcPr>
          <w:p w14:paraId="60FD8FF8"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0.309</w:t>
            </w:r>
          </w:p>
        </w:tc>
      </w:tr>
      <w:tr w:rsidR="00201A97" w:rsidRPr="00AC4BA8" w14:paraId="47544A61" w14:textId="77777777" w:rsidTr="009F79C7">
        <w:trPr>
          <w:jc w:val="center"/>
        </w:trPr>
        <w:tc>
          <w:tcPr>
            <w:tcW w:w="0" w:type="auto"/>
            <w:tcBorders>
              <w:bottom w:val="single" w:sz="4" w:space="0" w:color="auto"/>
            </w:tcBorders>
          </w:tcPr>
          <w:p w14:paraId="739B5ED0"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Kurtosis</w:t>
            </w:r>
          </w:p>
        </w:tc>
        <w:tc>
          <w:tcPr>
            <w:tcW w:w="0" w:type="auto"/>
            <w:tcBorders>
              <w:bottom w:val="single" w:sz="4" w:space="0" w:color="auto"/>
            </w:tcBorders>
          </w:tcPr>
          <w:p w14:paraId="2A91422E"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2.294</w:t>
            </w:r>
          </w:p>
        </w:tc>
        <w:tc>
          <w:tcPr>
            <w:tcW w:w="0" w:type="auto"/>
            <w:tcBorders>
              <w:bottom w:val="single" w:sz="4" w:space="0" w:color="auto"/>
            </w:tcBorders>
          </w:tcPr>
          <w:p w14:paraId="21A4B8DA"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0.608</w:t>
            </w:r>
          </w:p>
        </w:tc>
      </w:tr>
    </w:tbl>
    <w:p w14:paraId="07B63426" w14:textId="35DEC907" w:rsidR="00C65696" w:rsidRPr="001E03E4" w:rsidRDefault="001E03E4" w:rsidP="009F79C7">
      <w:pPr>
        <w:pStyle w:val="CommentText"/>
        <w:spacing w:line="360" w:lineRule="auto"/>
        <w:jc w:val="both"/>
        <w:rPr>
          <w:rFonts w:ascii="Times New Roman" w:hAnsi="Times New Roman" w:cs="Times New Roman"/>
          <w:sz w:val="24"/>
          <w:szCs w:val="24"/>
        </w:rPr>
      </w:pPr>
      <w:r w:rsidRPr="001E03E4">
        <w:rPr>
          <w:rFonts w:ascii="Times New Roman" w:hAnsi="Times New Roman" w:cs="Times New Roman"/>
          <w:sz w:val="24"/>
          <w:szCs w:val="24"/>
        </w:rPr>
        <w:t>Table (1) shows t</w:t>
      </w:r>
      <w:r w:rsidR="00D20787" w:rsidRPr="001E03E4">
        <w:rPr>
          <w:rFonts w:ascii="Times New Roman" w:hAnsi="Times New Roman" w:cs="Times New Roman"/>
          <w:color w:val="000000" w:themeColor="text1"/>
          <w:sz w:val="24"/>
          <w:szCs w:val="24"/>
        </w:rPr>
        <w:t xml:space="preserve">he health awareness scores among the 60 secondary school </w:t>
      </w:r>
      <w:r w:rsidR="00160D87">
        <w:rPr>
          <w:rFonts w:ascii="Times New Roman" w:hAnsi="Times New Roman" w:cs="Times New Roman"/>
          <w:color w:val="000000" w:themeColor="text1"/>
          <w:sz w:val="24"/>
          <w:szCs w:val="24"/>
        </w:rPr>
        <w:t>students</w:t>
      </w:r>
      <w:r w:rsidR="00193705" w:rsidRPr="001E03E4">
        <w:rPr>
          <w:rFonts w:ascii="Times New Roman" w:hAnsi="Times New Roman" w:cs="Times New Roman"/>
          <w:color w:val="000000" w:themeColor="text1"/>
          <w:sz w:val="24"/>
          <w:szCs w:val="24"/>
        </w:rPr>
        <w:t xml:space="preserve"> </w:t>
      </w:r>
      <w:r w:rsidR="00D20787" w:rsidRPr="001E03E4">
        <w:rPr>
          <w:rFonts w:ascii="Times New Roman" w:hAnsi="Times New Roman" w:cs="Times New Roman"/>
          <w:color w:val="000000" w:themeColor="text1"/>
          <w:sz w:val="24"/>
          <w:szCs w:val="24"/>
        </w:rPr>
        <w:t xml:space="preserve">showed a mean of </w:t>
      </w:r>
      <w:proofErr w:type="gramStart"/>
      <w:r w:rsidR="00D20787" w:rsidRPr="001E03E4">
        <w:rPr>
          <w:rFonts w:ascii="Times New Roman" w:hAnsi="Times New Roman" w:cs="Times New Roman"/>
          <w:color w:val="000000" w:themeColor="text1"/>
          <w:sz w:val="24"/>
          <w:szCs w:val="24"/>
        </w:rPr>
        <w:t>0.6</w:t>
      </w:r>
      <w:r>
        <w:rPr>
          <w:rFonts w:ascii="Times New Roman" w:hAnsi="Times New Roman" w:cs="Times New Roman"/>
          <w:color w:val="000000" w:themeColor="text1"/>
          <w:sz w:val="24"/>
          <w:szCs w:val="24"/>
        </w:rPr>
        <w:t>0</w:t>
      </w:r>
      <w:r w:rsidR="00D20787" w:rsidRPr="001E03E4">
        <w:rPr>
          <w:rFonts w:ascii="Times New Roman" w:hAnsi="Times New Roman" w:cs="Times New Roman"/>
          <w:color w:val="000000" w:themeColor="text1"/>
          <w:sz w:val="24"/>
          <w:szCs w:val="24"/>
        </w:rPr>
        <w:t xml:space="preserve"> ,</w:t>
      </w:r>
      <w:proofErr w:type="gramEnd"/>
      <w:r w:rsidR="00D20787" w:rsidRPr="001E03E4">
        <w:rPr>
          <w:rFonts w:ascii="Times New Roman" w:hAnsi="Times New Roman" w:cs="Times New Roman"/>
          <w:color w:val="000000" w:themeColor="text1"/>
          <w:sz w:val="24"/>
          <w:szCs w:val="24"/>
        </w:rPr>
        <w:t xml:space="preserve"> with a 95% confidence interval ranging from 0.60 to 0.62. The median score was 0.63, slightly higher than the mean, indicating a negatively skewed distribution. The scores ranged from a minimum of 0.47 to a maximum of 0.67, demonstrating relatively high health awareness levels overall with limited variability (interquartile range = 0.03).</w:t>
      </w:r>
    </w:p>
    <w:p w14:paraId="73FB3F2A"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The distribution characteristics revealed significant negative skewness (-1.598, SE = 0.309) and positive kurtosis (2.294, SE = 0.608), suggesting that the data were non-normally distributed with a concentration of scores toward the higher end and a relatively peaked distribution.</w:t>
      </w:r>
    </w:p>
    <w:p w14:paraId="08B3124A" w14:textId="77777777" w:rsidR="00C65696" w:rsidRPr="00AC4BA8" w:rsidRDefault="00D20787" w:rsidP="00B04A0A">
      <w:pPr>
        <w:pStyle w:val="Heading3"/>
        <w:spacing w:line="360" w:lineRule="auto"/>
        <w:jc w:val="both"/>
        <w:rPr>
          <w:rFonts w:ascii="Times New Roman" w:hAnsi="Times New Roman" w:cs="Times New Roman"/>
          <w:color w:val="000000" w:themeColor="text1"/>
        </w:rPr>
      </w:pPr>
      <w:bookmarkStart w:id="13" w:name="assessment-of-data-normality"/>
      <w:bookmarkEnd w:id="12"/>
      <w:r w:rsidRPr="00AC4BA8">
        <w:rPr>
          <w:rFonts w:ascii="Times New Roman" w:hAnsi="Times New Roman" w:cs="Times New Roman"/>
          <w:color w:val="000000" w:themeColor="text1"/>
        </w:rPr>
        <w:lastRenderedPageBreak/>
        <w:t>Assessment of Data Normality</w:t>
      </w:r>
    </w:p>
    <w:p w14:paraId="58D1673D" w14:textId="77777777" w:rsidR="00C65696" w:rsidRPr="00AC4BA8" w:rsidRDefault="00D20787" w:rsidP="00B04A0A">
      <w:pPr>
        <w:pStyle w:val="FirstParagraph"/>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t>Table 2: Tests of Normality</w:t>
      </w:r>
    </w:p>
    <w:tbl>
      <w:tblPr>
        <w:tblStyle w:val="Table"/>
        <w:tblW w:w="0" w:type="auto"/>
        <w:jc w:val="center"/>
        <w:tblLook w:val="0020" w:firstRow="1" w:lastRow="0" w:firstColumn="0" w:lastColumn="0" w:noHBand="0" w:noVBand="0"/>
      </w:tblPr>
      <w:tblGrid>
        <w:gridCol w:w="3463"/>
        <w:gridCol w:w="990"/>
        <w:gridCol w:w="456"/>
        <w:gridCol w:w="1416"/>
      </w:tblGrid>
      <w:tr w:rsidR="00201A97" w:rsidRPr="00AC4BA8" w14:paraId="3692E47E" w14:textId="77777777" w:rsidTr="000919B6">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4" w:space="0" w:color="auto"/>
            </w:tcBorders>
          </w:tcPr>
          <w:p w14:paraId="74727E80"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Test</w:t>
            </w:r>
          </w:p>
        </w:tc>
        <w:tc>
          <w:tcPr>
            <w:tcW w:w="0" w:type="auto"/>
            <w:tcBorders>
              <w:top w:val="single" w:sz="4" w:space="0" w:color="auto"/>
            </w:tcBorders>
          </w:tcPr>
          <w:p w14:paraId="676BF18E"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Statistic</w:t>
            </w:r>
          </w:p>
        </w:tc>
        <w:tc>
          <w:tcPr>
            <w:tcW w:w="0" w:type="auto"/>
            <w:tcBorders>
              <w:top w:val="single" w:sz="4" w:space="0" w:color="auto"/>
            </w:tcBorders>
          </w:tcPr>
          <w:p w14:paraId="331EB492"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df</w:t>
            </w:r>
          </w:p>
        </w:tc>
        <w:tc>
          <w:tcPr>
            <w:tcW w:w="0" w:type="auto"/>
            <w:tcBorders>
              <w:top w:val="single" w:sz="4" w:space="0" w:color="auto"/>
            </w:tcBorders>
          </w:tcPr>
          <w:p w14:paraId="3C0212AA"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Significance</w:t>
            </w:r>
          </w:p>
        </w:tc>
      </w:tr>
      <w:tr w:rsidR="00201A97" w:rsidRPr="00AC4BA8" w14:paraId="39CD830B" w14:textId="77777777" w:rsidTr="00201A97">
        <w:trPr>
          <w:jc w:val="center"/>
        </w:trPr>
        <w:tc>
          <w:tcPr>
            <w:tcW w:w="0" w:type="auto"/>
          </w:tcPr>
          <w:p w14:paraId="3C547C5B"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Kolmogorov-Smirnov (Lilliefors)</w:t>
            </w:r>
          </w:p>
        </w:tc>
        <w:tc>
          <w:tcPr>
            <w:tcW w:w="0" w:type="auto"/>
          </w:tcPr>
          <w:p w14:paraId="10338CF2"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0.318</w:t>
            </w:r>
          </w:p>
        </w:tc>
        <w:tc>
          <w:tcPr>
            <w:tcW w:w="0" w:type="auto"/>
          </w:tcPr>
          <w:p w14:paraId="24B2EA3F"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60</w:t>
            </w:r>
          </w:p>
        </w:tc>
        <w:tc>
          <w:tcPr>
            <w:tcW w:w="0" w:type="auto"/>
          </w:tcPr>
          <w:p w14:paraId="7ED12D8D"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0.000</w:t>
            </w:r>
          </w:p>
        </w:tc>
      </w:tr>
      <w:tr w:rsidR="00201A97" w:rsidRPr="00AC4BA8" w14:paraId="3CC8F4C4" w14:textId="77777777" w:rsidTr="000919B6">
        <w:trPr>
          <w:jc w:val="center"/>
        </w:trPr>
        <w:tc>
          <w:tcPr>
            <w:tcW w:w="0" w:type="auto"/>
            <w:tcBorders>
              <w:bottom w:val="single" w:sz="4" w:space="0" w:color="auto"/>
            </w:tcBorders>
          </w:tcPr>
          <w:p w14:paraId="1C290A8D"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Shapiro-Wilk</w:t>
            </w:r>
          </w:p>
        </w:tc>
        <w:tc>
          <w:tcPr>
            <w:tcW w:w="0" w:type="auto"/>
            <w:tcBorders>
              <w:bottom w:val="single" w:sz="4" w:space="0" w:color="auto"/>
            </w:tcBorders>
          </w:tcPr>
          <w:p w14:paraId="6D86769F"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0.761</w:t>
            </w:r>
          </w:p>
        </w:tc>
        <w:tc>
          <w:tcPr>
            <w:tcW w:w="0" w:type="auto"/>
            <w:tcBorders>
              <w:bottom w:val="single" w:sz="4" w:space="0" w:color="auto"/>
            </w:tcBorders>
          </w:tcPr>
          <w:p w14:paraId="5A81A2D4"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60</w:t>
            </w:r>
          </w:p>
        </w:tc>
        <w:tc>
          <w:tcPr>
            <w:tcW w:w="0" w:type="auto"/>
            <w:tcBorders>
              <w:bottom w:val="single" w:sz="4" w:space="0" w:color="auto"/>
            </w:tcBorders>
          </w:tcPr>
          <w:p w14:paraId="3A507C9A"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0.000</w:t>
            </w:r>
          </w:p>
        </w:tc>
      </w:tr>
    </w:tbl>
    <w:p w14:paraId="64C9D0A0" w14:textId="0E02C3C3" w:rsidR="000919B6" w:rsidRDefault="000919B6" w:rsidP="00B04A0A">
      <w:pPr>
        <w:pStyle w:val="BodyText"/>
        <w:spacing w:line="360" w:lineRule="auto"/>
        <w:jc w:val="both"/>
        <w:rPr>
          <w:rFonts w:ascii="Times New Roman" w:hAnsi="Times New Roman" w:cs="Times New Roman"/>
          <w:color w:val="000000" w:themeColor="text1"/>
        </w:rPr>
      </w:pPr>
      <w:r w:rsidRPr="000919B6">
        <w:rPr>
          <w:rFonts w:ascii="Times New Roman" w:hAnsi="Times New Roman" w:cs="Times New Roman"/>
          <w:color w:val="000000" w:themeColor="text1"/>
        </w:rPr>
        <w:t>Table 2 displays results from tests assessing whether health awareness scores followed a normal distribution. Both the Kolmogorov-Smirnov test with Lilliefors correction (statistic = 0.318) and the Shapiro-Wilk test (statistic = 0.761) yielded highly significant results (p &lt; 0.001), indicating that the data significantly deviated from normality. These findings justified the use of non-parametric statistical tests rather than parametric tests for all comparative analyses. Non-parametric tests do not assume normal distribution and are more robust when dealing with non-normally distributed data, making them appropriate for analyzing this dataset.</w:t>
      </w:r>
    </w:p>
    <w:p w14:paraId="5D935A04" w14:textId="038D74E3"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Given the violation of the normality assumption, non-parametric statistical tests were deemed appropriate for all subsequent comparative analyses, as these tests do not require the assumption of normal distribution and are more robust when dealing with ordinal or non-normally distributed continuous data.</w:t>
      </w:r>
    </w:p>
    <w:p w14:paraId="78F126F0" w14:textId="77777777" w:rsidR="00C65696" w:rsidRPr="00AC4BA8" w:rsidRDefault="00D20787" w:rsidP="00B04A0A">
      <w:pPr>
        <w:pStyle w:val="Heading3"/>
        <w:spacing w:line="360" w:lineRule="auto"/>
        <w:jc w:val="both"/>
        <w:rPr>
          <w:rFonts w:ascii="Times New Roman" w:hAnsi="Times New Roman" w:cs="Times New Roman"/>
          <w:color w:val="000000" w:themeColor="text1"/>
        </w:rPr>
      </w:pPr>
      <w:bookmarkStart w:id="14" w:name="X6d7ceb3cc4d1741a0a54463495d298eb2233935"/>
      <w:bookmarkEnd w:id="13"/>
      <w:r w:rsidRPr="00AC4BA8">
        <w:rPr>
          <w:rFonts w:ascii="Times New Roman" w:hAnsi="Times New Roman" w:cs="Times New Roman"/>
          <w:color w:val="000000" w:themeColor="text1"/>
        </w:rPr>
        <w:t>Health Awareness Differences Across Age Groups</w:t>
      </w:r>
    </w:p>
    <w:p w14:paraId="566FBD12" w14:textId="77777777" w:rsidR="00C65696" w:rsidRPr="00AC4BA8" w:rsidRDefault="00D20787" w:rsidP="00B04A0A">
      <w:pPr>
        <w:pStyle w:val="FirstParagraph"/>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t>Table 3: Health Awareness by Age Group</w:t>
      </w:r>
    </w:p>
    <w:tbl>
      <w:tblPr>
        <w:tblStyle w:val="Table"/>
        <w:tblW w:w="0" w:type="auto"/>
        <w:jc w:val="center"/>
        <w:tblLook w:val="0020" w:firstRow="1" w:lastRow="0" w:firstColumn="0" w:lastColumn="0" w:noHBand="0" w:noVBand="0"/>
      </w:tblPr>
      <w:tblGrid>
        <w:gridCol w:w="1290"/>
        <w:gridCol w:w="456"/>
        <w:gridCol w:w="1330"/>
      </w:tblGrid>
      <w:tr w:rsidR="00201A97" w:rsidRPr="00AC4BA8" w14:paraId="08C24F62" w14:textId="77777777" w:rsidTr="000919B6">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4" w:space="0" w:color="auto"/>
            </w:tcBorders>
          </w:tcPr>
          <w:p w14:paraId="17B54D5C"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Age Group</w:t>
            </w:r>
          </w:p>
        </w:tc>
        <w:tc>
          <w:tcPr>
            <w:tcW w:w="0" w:type="auto"/>
            <w:tcBorders>
              <w:top w:val="single" w:sz="4" w:space="0" w:color="auto"/>
            </w:tcBorders>
          </w:tcPr>
          <w:p w14:paraId="21657287"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N</w:t>
            </w:r>
          </w:p>
        </w:tc>
        <w:tc>
          <w:tcPr>
            <w:tcW w:w="0" w:type="auto"/>
            <w:tcBorders>
              <w:top w:val="single" w:sz="4" w:space="0" w:color="auto"/>
            </w:tcBorders>
          </w:tcPr>
          <w:p w14:paraId="4BE7700C"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Mean Rank</w:t>
            </w:r>
          </w:p>
        </w:tc>
      </w:tr>
      <w:tr w:rsidR="00201A97" w:rsidRPr="00AC4BA8" w14:paraId="445EA4C2" w14:textId="77777777" w:rsidTr="00201A97">
        <w:trPr>
          <w:jc w:val="center"/>
        </w:trPr>
        <w:tc>
          <w:tcPr>
            <w:tcW w:w="0" w:type="auto"/>
          </w:tcPr>
          <w:p w14:paraId="216C1FF8"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Below 15</w:t>
            </w:r>
          </w:p>
        </w:tc>
        <w:tc>
          <w:tcPr>
            <w:tcW w:w="0" w:type="auto"/>
          </w:tcPr>
          <w:p w14:paraId="4C133DDE"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20</w:t>
            </w:r>
          </w:p>
        </w:tc>
        <w:tc>
          <w:tcPr>
            <w:tcW w:w="0" w:type="auto"/>
          </w:tcPr>
          <w:p w14:paraId="19394026"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32.13</w:t>
            </w:r>
          </w:p>
        </w:tc>
      </w:tr>
      <w:tr w:rsidR="00201A97" w:rsidRPr="00AC4BA8" w14:paraId="64B912A3" w14:textId="77777777" w:rsidTr="00201A97">
        <w:trPr>
          <w:jc w:val="center"/>
        </w:trPr>
        <w:tc>
          <w:tcPr>
            <w:tcW w:w="0" w:type="auto"/>
          </w:tcPr>
          <w:p w14:paraId="7DE36DBB"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15</w:t>
            </w:r>
          </w:p>
        </w:tc>
        <w:tc>
          <w:tcPr>
            <w:tcW w:w="0" w:type="auto"/>
          </w:tcPr>
          <w:p w14:paraId="18F5952C"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20</w:t>
            </w:r>
          </w:p>
        </w:tc>
        <w:tc>
          <w:tcPr>
            <w:tcW w:w="0" w:type="auto"/>
          </w:tcPr>
          <w:p w14:paraId="206884BD"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37.15</w:t>
            </w:r>
          </w:p>
        </w:tc>
      </w:tr>
      <w:tr w:rsidR="00201A97" w:rsidRPr="00AC4BA8" w14:paraId="5D4FB3EF" w14:textId="77777777" w:rsidTr="00201A97">
        <w:trPr>
          <w:jc w:val="center"/>
        </w:trPr>
        <w:tc>
          <w:tcPr>
            <w:tcW w:w="0" w:type="auto"/>
          </w:tcPr>
          <w:p w14:paraId="2B0CD819"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Above 15</w:t>
            </w:r>
          </w:p>
        </w:tc>
        <w:tc>
          <w:tcPr>
            <w:tcW w:w="0" w:type="auto"/>
          </w:tcPr>
          <w:p w14:paraId="26CB0B9A"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20</w:t>
            </w:r>
          </w:p>
        </w:tc>
        <w:tc>
          <w:tcPr>
            <w:tcW w:w="0" w:type="auto"/>
          </w:tcPr>
          <w:p w14:paraId="5688E896"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22.23</w:t>
            </w:r>
          </w:p>
        </w:tc>
      </w:tr>
      <w:tr w:rsidR="00201A97" w:rsidRPr="00AC4BA8" w14:paraId="2B422454" w14:textId="77777777" w:rsidTr="000919B6">
        <w:trPr>
          <w:jc w:val="center"/>
        </w:trPr>
        <w:tc>
          <w:tcPr>
            <w:tcW w:w="0" w:type="auto"/>
            <w:tcBorders>
              <w:bottom w:val="single" w:sz="4" w:space="0" w:color="auto"/>
            </w:tcBorders>
          </w:tcPr>
          <w:p w14:paraId="55B6B1D0"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Total</w:t>
            </w:r>
          </w:p>
        </w:tc>
        <w:tc>
          <w:tcPr>
            <w:tcW w:w="0" w:type="auto"/>
            <w:tcBorders>
              <w:bottom w:val="single" w:sz="4" w:space="0" w:color="auto"/>
            </w:tcBorders>
          </w:tcPr>
          <w:p w14:paraId="5CD0582B"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60</w:t>
            </w:r>
          </w:p>
        </w:tc>
        <w:tc>
          <w:tcPr>
            <w:tcW w:w="0" w:type="auto"/>
            <w:tcBorders>
              <w:bottom w:val="single" w:sz="4" w:space="0" w:color="auto"/>
            </w:tcBorders>
          </w:tcPr>
          <w:p w14:paraId="3FD36122"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w:t>
            </w:r>
          </w:p>
        </w:tc>
      </w:tr>
    </w:tbl>
    <w:p w14:paraId="64255902" w14:textId="60ABD0BA" w:rsidR="000919B6" w:rsidRPr="000919B6" w:rsidRDefault="000919B6" w:rsidP="00B04A0A">
      <w:pPr>
        <w:pStyle w:val="BodyText"/>
        <w:spacing w:line="360" w:lineRule="auto"/>
        <w:jc w:val="both"/>
        <w:rPr>
          <w:rFonts w:ascii="Times New Roman" w:hAnsi="Times New Roman" w:cs="Times New Roman"/>
          <w:bCs/>
          <w:color w:val="000000" w:themeColor="text1"/>
        </w:rPr>
      </w:pPr>
      <w:r w:rsidRPr="000919B6">
        <w:rPr>
          <w:rFonts w:ascii="Times New Roman" w:hAnsi="Times New Roman" w:cs="Times New Roman"/>
          <w:bCs/>
          <w:color w:val="000000" w:themeColor="text1"/>
        </w:rPr>
        <w:t xml:space="preserve">Table 3 presents the distribution of 60 students across three age groups with their corresponding mean ranks. The sample was equally divided with 20 students in each group: those below 15 years, those aged 15 years, and those above 15 years. The mean ranks revealed a notable pattern: students </w:t>
      </w:r>
      <w:r w:rsidRPr="000919B6">
        <w:rPr>
          <w:rFonts w:ascii="Times New Roman" w:hAnsi="Times New Roman" w:cs="Times New Roman"/>
          <w:bCs/>
          <w:color w:val="000000" w:themeColor="text1"/>
        </w:rPr>
        <w:lastRenderedPageBreak/>
        <w:t>aged 15 years had the highest mean rank (37.15), followed by students below 15 years (32.13), while students above 15 years demonstrated the lowest mean rank (22.23). This pattern indicates that mid-adolescent students (age 15) showed the greatest health awareness, while older adolescents (above 15 years) demonstrated lower awareness levels. This distribution was subsequently tested for statistical significance using the Kruskal-Wallis H test.</w:t>
      </w:r>
    </w:p>
    <w:p w14:paraId="23786F3A" w14:textId="7130471F"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t>Table 4: Kruskal-Wallis Test Results for Age Group Differences</w:t>
      </w:r>
    </w:p>
    <w:tbl>
      <w:tblPr>
        <w:tblStyle w:val="Table"/>
        <w:tblW w:w="0" w:type="auto"/>
        <w:jc w:val="center"/>
        <w:tblLook w:val="0020" w:firstRow="1" w:lastRow="0" w:firstColumn="0" w:lastColumn="0" w:noHBand="0" w:noVBand="0"/>
      </w:tblPr>
      <w:tblGrid>
        <w:gridCol w:w="1463"/>
        <w:gridCol w:w="790"/>
      </w:tblGrid>
      <w:tr w:rsidR="00201A97" w:rsidRPr="00AC4BA8" w14:paraId="67DF9032" w14:textId="77777777" w:rsidTr="00AB4F6B">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4" w:space="0" w:color="auto"/>
            </w:tcBorders>
          </w:tcPr>
          <w:p w14:paraId="5E4FCD33"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Test Statistic</w:t>
            </w:r>
          </w:p>
        </w:tc>
        <w:tc>
          <w:tcPr>
            <w:tcW w:w="0" w:type="auto"/>
            <w:tcBorders>
              <w:top w:val="single" w:sz="4" w:space="0" w:color="auto"/>
            </w:tcBorders>
          </w:tcPr>
          <w:p w14:paraId="36800228"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Value</w:t>
            </w:r>
          </w:p>
        </w:tc>
      </w:tr>
      <w:tr w:rsidR="00201A97" w:rsidRPr="00AC4BA8" w14:paraId="408D3993" w14:textId="77777777" w:rsidTr="00201A97">
        <w:trPr>
          <w:jc w:val="center"/>
        </w:trPr>
        <w:tc>
          <w:tcPr>
            <w:tcW w:w="0" w:type="auto"/>
          </w:tcPr>
          <w:p w14:paraId="06ABBBF0"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Chi-Square</w:t>
            </w:r>
          </w:p>
        </w:tc>
        <w:tc>
          <w:tcPr>
            <w:tcW w:w="0" w:type="auto"/>
          </w:tcPr>
          <w:p w14:paraId="05559DA3"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9.170</w:t>
            </w:r>
          </w:p>
        </w:tc>
      </w:tr>
      <w:tr w:rsidR="00201A97" w:rsidRPr="00AC4BA8" w14:paraId="4596BF0B" w14:textId="77777777" w:rsidTr="00201A97">
        <w:trPr>
          <w:jc w:val="center"/>
        </w:trPr>
        <w:tc>
          <w:tcPr>
            <w:tcW w:w="0" w:type="auto"/>
          </w:tcPr>
          <w:p w14:paraId="04E6A18F"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df</w:t>
            </w:r>
          </w:p>
        </w:tc>
        <w:tc>
          <w:tcPr>
            <w:tcW w:w="0" w:type="auto"/>
          </w:tcPr>
          <w:p w14:paraId="1ED0A6AB"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2</w:t>
            </w:r>
          </w:p>
        </w:tc>
      </w:tr>
      <w:tr w:rsidR="00201A97" w:rsidRPr="00AC4BA8" w14:paraId="4DA00B46" w14:textId="77777777" w:rsidTr="00AB4F6B">
        <w:trPr>
          <w:jc w:val="center"/>
        </w:trPr>
        <w:tc>
          <w:tcPr>
            <w:tcW w:w="0" w:type="auto"/>
            <w:tcBorders>
              <w:bottom w:val="single" w:sz="4" w:space="0" w:color="auto"/>
            </w:tcBorders>
          </w:tcPr>
          <w:p w14:paraId="432BE96E"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proofErr w:type="spellStart"/>
            <w:r w:rsidRPr="00AC4BA8">
              <w:rPr>
                <w:rFonts w:ascii="Times New Roman" w:hAnsi="Times New Roman" w:cs="Times New Roman"/>
                <w:color w:val="000000" w:themeColor="text1"/>
              </w:rPr>
              <w:t>Asymp</w:t>
            </w:r>
            <w:proofErr w:type="spellEnd"/>
            <w:r w:rsidRPr="00AC4BA8">
              <w:rPr>
                <w:rFonts w:ascii="Times New Roman" w:hAnsi="Times New Roman" w:cs="Times New Roman"/>
                <w:color w:val="000000" w:themeColor="text1"/>
              </w:rPr>
              <w:t>. Sig.</w:t>
            </w:r>
          </w:p>
        </w:tc>
        <w:tc>
          <w:tcPr>
            <w:tcW w:w="0" w:type="auto"/>
            <w:tcBorders>
              <w:bottom w:val="single" w:sz="4" w:space="0" w:color="auto"/>
            </w:tcBorders>
          </w:tcPr>
          <w:p w14:paraId="06A6F20A"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0.010</w:t>
            </w:r>
          </w:p>
        </w:tc>
      </w:tr>
    </w:tbl>
    <w:p w14:paraId="0DE2A8C2" w14:textId="066C3871" w:rsidR="000919B6" w:rsidRDefault="000919B6" w:rsidP="00B04A0A">
      <w:pPr>
        <w:pStyle w:val="BodyText"/>
        <w:spacing w:line="360" w:lineRule="auto"/>
        <w:jc w:val="both"/>
        <w:rPr>
          <w:rFonts w:ascii="Times New Roman" w:hAnsi="Times New Roman" w:cs="Times New Roman"/>
          <w:color w:val="000000" w:themeColor="text1"/>
        </w:rPr>
      </w:pPr>
      <w:r w:rsidRPr="000919B6">
        <w:rPr>
          <w:rFonts w:ascii="Times New Roman" w:hAnsi="Times New Roman" w:cs="Times New Roman"/>
          <w:color w:val="000000" w:themeColor="text1"/>
        </w:rPr>
        <w:t>Table 4 reports the results of the Kruskal-Wallis H test comparing health awareness across the three age groups. The chi-square test statistic was 9.170 with 2 degrees of freedom, yielding a p-value of 0.010 (p &lt; 0.05), indicating a statistically significant difference in health awareness between age groups. This finding led to rejection of the null hypothesis that no significant differences exist between age groups. The significance level of 0.010 suggests strong evidence that age significantly influences secondary school students' health awareness in Barbaruah Block, with the pattern observed in Table 3 (highest awareness at age 15, declining afterward) being statistically reliable rather than due to chance.</w:t>
      </w:r>
    </w:p>
    <w:p w14:paraId="3C76A1E2" w14:textId="07F75EC9"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 xml:space="preserve">This finding suggests that </w:t>
      </w:r>
      <w:r w:rsidRPr="00AC4BA8">
        <w:rPr>
          <w:rFonts w:ascii="Times New Roman" w:hAnsi="Times New Roman" w:cs="Times New Roman"/>
          <w:b/>
          <w:bCs/>
          <w:color w:val="000000" w:themeColor="text1"/>
        </w:rPr>
        <w:t>Hypothesis H₀₁ is rejected</w:t>
      </w:r>
      <w:r w:rsidRPr="00AC4BA8">
        <w:rPr>
          <w:rFonts w:ascii="Times New Roman" w:hAnsi="Times New Roman" w:cs="Times New Roman"/>
          <w:color w:val="000000" w:themeColor="text1"/>
        </w:rPr>
        <w:t>.</w:t>
      </w:r>
      <w:r w:rsidR="00C67227" w:rsidRPr="00AC4BA8">
        <w:t xml:space="preserve"> </w:t>
      </w:r>
      <w:r w:rsidR="00C67227" w:rsidRPr="00AC4BA8">
        <w:rPr>
          <w:rFonts w:ascii="Times New Roman" w:hAnsi="Times New Roman" w:cs="Times New Roman"/>
          <w:color w:val="000000" w:themeColor="text1"/>
        </w:rPr>
        <w:t xml:space="preserve">In Barbaruah Block, age group has a major impact on secondary school </w:t>
      </w:r>
      <w:r w:rsidR="00160D87">
        <w:rPr>
          <w:rFonts w:ascii="Times New Roman" w:hAnsi="Times New Roman" w:cs="Times New Roman"/>
          <w:color w:val="000000" w:themeColor="text1"/>
        </w:rPr>
        <w:t>students</w:t>
      </w:r>
      <w:r w:rsidR="00C67227" w:rsidRPr="00AC4BA8">
        <w:rPr>
          <w:rFonts w:ascii="Times New Roman" w:hAnsi="Times New Roman" w:cs="Times New Roman"/>
          <w:color w:val="000000" w:themeColor="text1"/>
        </w:rPr>
        <w:t xml:space="preserve">' health knowledge, with older </w:t>
      </w:r>
      <w:proofErr w:type="gramStart"/>
      <w:r w:rsidR="00160D87">
        <w:rPr>
          <w:rFonts w:ascii="Times New Roman" w:hAnsi="Times New Roman" w:cs="Times New Roman"/>
          <w:color w:val="000000" w:themeColor="text1"/>
        </w:rPr>
        <w:t>students</w:t>
      </w:r>
      <w:r w:rsidR="00193705">
        <w:rPr>
          <w:rFonts w:ascii="Times New Roman" w:hAnsi="Times New Roman" w:cs="Times New Roman"/>
          <w:color w:val="000000" w:themeColor="text1"/>
        </w:rPr>
        <w:t xml:space="preserve"> </w:t>
      </w:r>
      <w:r w:rsidR="00C67227" w:rsidRPr="00AC4BA8">
        <w:rPr>
          <w:rFonts w:ascii="Times New Roman" w:hAnsi="Times New Roman" w:cs="Times New Roman"/>
          <w:color w:val="000000" w:themeColor="text1"/>
        </w:rPr>
        <w:t xml:space="preserve"> showing</w:t>
      </w:r>
      <w:proofErr w:type="gramEnd"/>
      <w:r w:rsidR="00C67227" w:rsidRPr="00AC4BA8">
        <w:rPr>
          <w:rFonts w:ascii="Times New Roman" w:hAnsi="Times New Roman" w:cs="Times New Roman"/>
          <w:color w:val="000000" w:themeColor="text1"/>
        </w:rPr>
        <w:t xml:space="preserve"> a markedly lower level of health awareness than younger ones.</w:t>
      </w:r>
    </w:p>
    <w:p w14:paraId="2E2D1CE4" w14:textId="656CBE59" w:rsidR="00C65696" w:rsidRPr="00AC4BA8" w:rsidRDefault="00996F26" w:rsidP="00B04A0A">
      <w:pPr>
        <w:pStyle w:val="Heading3"/>
        <w:spacing w:line="360" w:lineRule="auto"/>
        <w:jc w:val="both"/>
        <w:rPr>
          <w:rFonts w:ascii="Times New Roman" w:hAnsi="Times New Roman" w:cs="Times New Roman"/>
          <w:color w:val="000000" w:themeColor="text1"/>
        </w:rPr>
      </w:pPr>
      <w:bookmarkStart w:id="15" w:name="Xa7533ef4a72df3a9cdc47759239ebed541520fb"/>
      <w:bookmarkEnd w:id="14"/>
      <w:r>
        <w:rPr>
          <w:rFonts w:ascii="Times New Roman" w:hAnsi="Times New Roman" w:cs="Times New Roman"/>
          <w:color w:val="000000" w:themeColor="text1"/>
        </w:rPr>
        <w:t>Sex</w:t>
      </w:r>
      <w:r w:rsidR="00D20787" w:rsidRPr="00AC4BA8">
        <w:rPr>
          <w:rFonts w:ascii="Times New Roman" w:hAnsi="Times New Roman" w:cs="Times New Roman"/>
          <w:color w:val="000000" w:themeColor="text1"/>
        </w:rPr>
        <w:t>-Based Differences in Health Awareness</w:t>
      </w:r>
    </w:p>
    <w:p w14:paraId="13BA1CBD" w14:textId="06326712" w:rsidR="00C65696" w:rsidRPr="00AC4BA8" w:rsidRDefault="00D20787" w:rsidP="00B04A0A">
      <w:pPr>
        <w:pStyle w:val="FirstParagraph"/>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t xml:space="preserve">Table 5: Health Awareness by </w:t>
      </w:r>
      <w:r w:rsidR="00996F26">
        <w:rPr>
          <w:rFonts w:ascii="Times New Roman" w:hAnsi="Times New Roman" w:cs="Times New Roman"/>
          <w:b/>
          <w:bCs/>
          <w:color w:val="000000" w:themeColor="text1"/>
        </w:rPr>
        <w:t>Sex</w:t>
      </w:r>
    </w:p>
    <w:tbl>
      <w:tblPr>
        <w:tblStyle w:val="Table"/>
        <w:tblW w:w="0" w:type="auto"/>
        <w:jc w:val="center"/>
        <w:tblLook w:val="0020" w:firstRow="1" w:lastRow="0" w:firstColumn="0" w:lastColumn="0" w:noHBand="0" w:noVBand="0"/>
      </w:tblPr>
      <w:tblGrid>
        <w:gridCol w:w="923"/>
        <w:gridCol w:w="456"/>
        <w:gridCol w:w="1330"/>
        <w:gridCol w:w="1577"/>
      </w:tblGrid>
      <w:tr w:rsidR="00201A97" w:rsidRPr="00AC4BA8" w14:paraId="21711234" w14:textId="77777777" w:rsidTr="000919B6">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4" w:space="0" w:color="auto"/>
            </w:tcBorders>
          </w:tcPr>
          <w:p w14:paraId="65ED4431" w14:textId="24EE9D8F" w:rsidR="00C65696" w:rsidRPr="00AC4BA8" w:rsidRDefault="00996F26" w:rsidP="00B04A0A">
            <w:pPr>
              <w:pStyle w:val="Compact"/>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Sex</w:t>
            </w:r>
          </w:p>
        </w:tc>
        <w:tc>
          <w:tcPr>
            <w:tcW w:w="0" w:type="auto"/>
            <w:tcBorders>
              <w:top w:val="single" w:sz="4" w:space="0" w:color="auto"/>
            </w:tcBorders>
          </w:tcPr>
          <w:p w14:paraId="5A5DFB38"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N</w:t>
            </w:r>
          </w:p>
        </w:tc>
        <w:tc>
          <w:tcPr>
            <w:tcW w:w="0" w:type="auto"/>
            <w:tcBorders>
              <w:top w:val="single" w:sz="4" w:space="0" w:color="auto"/>
            </w:tcBorders>
          </w:tcPr>
          <w:p w14:paraId="627B7101"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Mean Rank</w:t>
            </w:r>
          </w:p>
        </w:tc>
        <w:tc>
          <w:tcPr>
            <w:tcW w:w="0" w:type="auto"/>
            <w:tcBorders>
              <w:top w:val="single" w:sz="4" w:space="0" w:color="auto"/>
            </w:tcBorders>
          </w:tcPr>
          <w:p w14:paraId="34AB0F27"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Sum of Ranks</w:t>
            </w:r>
          </w:p>
        </w:tc>
      </w:tr>
      <w:tr w:rsidR="00201A97" w:rsidRPr="00AC4BA8" w14:paraId="17611658" w14:textId="77777777" w:rsidTr="00201A97">
        <w:trPr>
          <w:jc w:val="center"/>
        </w:trPr>
        <w:tc>
          <w:tcPr>
            <w:tcW w:w="0" w:type="auto"/>
          </w:tcPr>
          <w:p w14:paraId="09D40FDD"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Male</w:t>
            </w:r>
          </w:p>
        </w:tc>
        <w:tc>
          <w:tcPr>
            <w:tcW w:w="0" w:type="auto"/>
          </w:tcPr>
          <w:p w14:paraId="277142E4"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30</w:t>
            </w:r>
          </w:p>
        </w:tc>
        <w:tc>
          <w:tcPr>
            <w:tcW w:w="0" w:type="auto"/>
          </w:tcPr>
          <w:p w14:paraId="3F1FE1BF"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33.83</w:t>
            </w:r>
          </w:p>
        </w:tc>
        <w:tc>
          <w:tcPr>
            <w:tcW w:w="0" w:type="auto"/>
          </w:tcPr>
          <w:p w14:paraId="452429B6"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1015.00</w:t>
            </w:r>
          </w:p>
        </w:tc>
      </w:tr>
      <w:tr w:rsidR="00201A97" w:rsidRPr="00AC4BA8" w14:paraId="75769269" w14:textId="77777777" w:rsidTr="00201A97">
        <w:trPr>
          <w:jc w:val="center"/>
        </w:trPr>
        <w:tc>
          <w:tcPr>
            <w:tcW w:w="0" w:type="auto"/>
          </w:tcPr>
          <w:p w14:paraId="02A2DEAD"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Female</w:t>
            </w:r>
          </w:p>
        </w:tc>
        <w:tc>
          <w:tcPr>
            <w:tcW w:w="0" w:type="auto"/>
          </w:tcPr>
          <w:p w14:paraId="3D4548DF"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30</w:t>
            </w:r>
          </w:p>
        </w:tc>
        <w:tc>
          <w:tcPr>
            <w:tcW w:w="0" w:type="auto"/>
          </w:tcPr>
          <w:p w14:paraId="26096B6E"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27.17</w:t>
            </w:r>
          </w:p>
        </w:tc>
        <w:tc>
          <w:tcPr>
            <w:tcW w:w="0" w:type="auto"/>
          </w:tcPr>
          <w:p w14:paraId="526B3254"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815.00</w:t>
            </w:r>
          </w:p>
        </w:tc>
      </w:tr>
      <w:tr w:rsidR="00201A97" w:rsidRPr="00AC4BA8" w14:paraId="4005FB2B" w14:textId="77777777" w:rsidTr="000919B6">
        <w:trPr>
          <w:jc w:val="center"/>
        </w:trPr>
        <w:tc>
          <w:tcPr>
            <w:tcW w:w="0" w:type="auto"/>
            <w:tcBorders>
              <w:bottom w:val="single" w:sz="4" w:space="0" w:color="auto"/>
            </w:tcBorders>
          </w:tcPr>
          <w:p w14:paraId="60DBB470"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lastRenderedPageBreak/>
              <w:t>Total</w:t>
            </w:r>
          </w:p>
        </w:tc>
        <w:tc>
          <w:tcPr>
            <w:tcW w:w="0" w:type="auto"/>
            <w:tcBorders>
              <w:bottom w:val="single" w:sz="4" w:space="0" w:color="auto"/>
            </w:tcBorders>
          </w:tcPr>
          <w:p w14:paraId="67A614E9"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60</w:t>
            </w:r>
          </w:p>
        </w:tc>
        <w:tc>
          <w:tcPr>
            <w:tcW w:w="0" w:type="auto"/>
            <w:tcBorders>
              <w:bottom w:val="single" w:sz="4" w:space="0" w:color="auto"/>
            </w:tcBorders>
          </w:tcPr>
          <w:p w14:paraId="697D21E2"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w:t>
            </w:r>
          </w:p>
        </w:tc>
        <w:tc>
          <w:tcPr>
            <w:tcW w:w="0" w:type="auto"/>
            <w:tcBorders>
              <w:bottom w:val="single" w:sz="4" w:space="0" w:color="auto"/>
            </w:tcBorders>
          </w:tcPr>
          <w:p w14:paraId="0089C2E2"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w:t>
            </w:r>
          </w:p>
        </w:tc>
      </w:tr>
    </w:tbl>
    <w:p w14:paraId="5D0F2B4E" w14:textId="16A1F3F8" w:rsidR="000919B6" w:rsidRPr="000919B6" w:rsidRDefault="000919B6" w:rsidP="00B04A0A">
      <w:pPr>
        <w:pStyle w:val="BodyText"/>
        <w:spacing w:line="360" w:lineRule="auto"/>
        <w:jc w:val="both"/>
        <w:rPr>
          <w:rFonts w:ascii="Times New Roman" w:hAnsi="Times New Roman" w:cs="Times New Roman"/>
          <w:bCs/>
          <w:color w:val="000000" w:themeColor="text1"/>
        </w:rPr>
      </w:pPr>
      <w:r w:rsidRPr="000919B6">
        <w:rPr>
          <w:rFonts w:ascii="Times New Roman" w:hAnsi="Times New Roman" w:cs="Times New Roman"/>
          <w:bCs/>
          <w:color w:val="000000" w:themeColor="text1"/>
        </w:rPr>
        <w:t>Table 5 displays health awareness scores separated by sex, with 30 male and 30 female students. Male students had a mean rank of 33.83, while female students had a mean rank of 27.17. Although males showed a moderately higher mean rank than females, suggesting slightly elevated health awareness among boys in this sample, the difference was not dramatic. These mean ranks were evaluated for statistical significance using the Mann-Whitney U test, which determined whether this observed difference was likely to reflect true sex differences or merely random variation attributable to sampling.</w:t>
      </w:r>
    </w:p>
    <w:p w14:paraId="40817AC3" w14:textId="0389EB29"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t xml:space="preserve">Table 6: Mann-Whitney U Test Results for </w:t>
      </w:r>
      <w:r w:rsidR="00996F26">
        <w:rPr>
          <w:rFonts w:ascii="Times New Roman" w:hAnsi="Times New Roman" w:cs="Times New Roman"/>
          <w:b/>
          <w:bCs/>
          <w:color w:val="000000" w:themeColor="text1"/>
        </w:rPr>
        <w:t>Sex</w:t>
      </w:r>
      <w:r w:rsidRPr="00AC4BA8">
        <w:rPr>
          <w:rFonts w:ascii="Times New Roman" w:hAnsi="Times New Roman" w:cs="Times New Roman"/>
          <w:b/>
          <w:bCs/>
          <w:color w:val="000000" w:themeColor="text1"/>
        </w:rPr>
        <w:t xml:space="preserve"> Differences</w:t>
      </w:r>
    </w:p>
    <w:tbl>
      <w:tblPr>
        <w:tblStyle w:val="Table"/>
        <w:tblW w:w="0" w:type="auto"/>
        <w:jc w:val="center"/>
        <w:tblLook w:val="0020" w:firstRow="1" w:lastRow="0" w:firstColumn="0" w:lastColumn="0" w:noHBand="0" w:noVBand="0"/>
      </w:tblPr>
      <w:tblGrid>
        <w:gridCol w:w="2363"/>
        <w:gridCol w:w="996"/>
      </w:tblGrid>
      <w:tr w:rsidR="00201A97" w:rsidRPr="00AC4BA8" w14:paraId="2CE959FD" w14:textId="77777777" w:rsidTr="003A08F3">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4" w:space="0" w:color="auto"/>
            </w:tcBorders>
          </w:tcPr>
          <w:p w14:paraId="424F5D7C"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Test Statistic</w:t>
            </w:r>
          </w:p>
        </w:tc>
        <w:tc>
          <w:tcPr>
            <w:tcW w:w="0" w:type="auto"/>
            <w:tcBorders>
              <w:top w:val="single" w:sz="4" w:space="0" w:color="auto"/>
            </w:tcBorders>
          </w:tcPr>
          <w:p w14:paraId="79C2454B"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Value</w:t>
            </w:r>
          </w:p>
        </w:tc>
      </w:tr>
      <w:tr w:rsidR="00201A97" w:rsidRPr="00AC4BA8" w14:paraId="72FD44F6" w14:textId="77777777" w:rsidTr="00FF5E33">
        <w:trPr>
          <w:jc w:val="center"/>
        </w:trPr>
        <w:tc>
          <w:tcPr>
            <w:tcW w:w="0" w:type="auto"/>
          </w:tcPr>
          <w:p w14:paraId="0F2E0F9C"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Mann-Whitney U</w:t>
            </w:r>
          </w:p>
        </w:tc>
        <w:tc>
          <w:tcPr>
            <w:tcW w:w="0" w:type="auto"/>
          </w:tcPr>
          <w:p w14:paraId="75199F32"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350.000</w:t>
            </w:r>
          </w:p>
        </w:tc>
      </w:tr>
      <w:tr w:rsidR="00201A97" w:rsidRPr="00AC4BA8" w14:paraId="45434601" w14:textId="77777777" w:rsidTr="00FF5E33">
        <w:trPr>
          <w:jc w:val="center"/>
        </w:trPr>
        <w:tc>
          <w:tcPr>
            <w:tcW w:w="0" w:type="auto"/>
          </w:tcPr>
          <w:p w14:paraId="794B7EAF"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Wilcoxon W</w:t>
            </w:r>
          </w:p>
        </w:tc>
        <w:tc>
          <w:tcPr>
            <w:tcW w:w="0" w:type="auto"/>
          </w:tcPr>
          <w:p w14:paraId="60480060"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815.000</w:t>
            </w:r>
          </w:p>
        </w:tc>
      </w:tr>
      <w:tr w:rsidR="00201A97" w:rsidRPr="00AC4BA8" w14:paraId="6FB83C51" w14:textId="77777777" w:rsidTr="00FF5E33">
        <w:trPr>
          <w:jc w:val="center"/>
        </w:trPr>
        <w:tc>
          <w:tcPr>
            <w:tcW w:w="0" w:type="auto"/>
          </w:tcPr>
          <w:p w14:paraId="40E17A1E"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Z</w:t>
            </w:r>
          </w:p>
        </w:tc>
        <w:tc>
          <w:tcPr>
            <w:tcW w:w="0" w:type="auto"/>
          </w:tcPr>
          <w:p w14:paraId="25169E00"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-1.628</w:t>
            </w:r>
          </w:p>
        </w:tc>
      </w:tr>
      <w:tr w:rsidR="00201A97" w:rsidRPr="00AC4BA8" w14:paraId="0DDB9925" w14:textId="77777777" w:rsidTr="003A08F3">
        <w:trPr>
          <w:jc w:val="center"/>
        </w:trPr>
        <w:tc>
          <w:tcPr>
            <w:tcW w:w="0" w:type="auto"/>
            <w:tcBorders>
              <w:bottom w:val="single" w:sz="4" w:space="0" w:color="auto"/>
            </w:tcBorders>
          </w:tcPr>
          <w:p w14:paraId="09EED2DC"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proofErr w:type="spellStart"/>
            <w:r w:rsidRPr="00AC4BA8">
              <w:rPr>
                <w:rFonts w:ascii="Times New Roman" w:hAnsi="Times New Roman" w:cs="Times New Roman"/>
                <w:color w:val="000000" w:themeColor="text1"/>
              </w:rPr>
              <w:t>Asymp</w:t>
            </w:r>
            <w:proofErr w:type="spellEnd"/>
            <w:r w:rsidRPr="00AC4BA8">
              <w:rPr>
                <w:rFonts w:ascii="Times New Roman" w:hAnsi="Times New Roman" w:cs="Times New Roman"/>
                <w:color w:val="000000" w:themeColor="text1"/>
              </w:rPr>
              <w:t>. Sig. (2-tailed)</w:t>
            </w:r>
          </w:p>
        </w:tc>
        <w:tc>
          <w:tcPr>
            <w:tcW w:w="0" w:type="auto"/>
            <w:tcBorders>
              <w:bottom w:val="single" w:sz="4" w:space="0" w:color="auto"/>
            </w:tcBorders>
          </w:tcPr>
          <w:p w14:paraId="2A1BF6E6"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0.104</w:t>
            </w:r>
          </w:p>
        </w:tc>
      </w:tr>
    </w:tbl>
    <w:p w14:paraId="1D2A5A3D" w14:textId="3C580C27" w:rsidR="000919B6" w:rsidRDefault="003A08F3" w:rsidP="00B04A0A">
      <w:pPr>
        <w:pStyle w:val="BodyText"/>
        <w:spacing w:line="360" w:lineRule="auto"/>
        <w:jc w:val="both"/>
        <w:rPr>
          <w:rFonts w:ascii="Times New Roman" w:hAnsi="Times New Roman" w:cs="Times New Roman"/>
          <w:color w:val="000000" w:themeColor="text1"/>
        </w:rPr>
      </w:pPr>
      <w:r w:rsidRPr="003A08F3">
        <w:rPr>
          <w:rFonts w:ascii="Times New Roman" w:hAnsi="Times New Roman" w:cs="Times New Roman"/>
          <w:color w:val="000000" w:themeColor="text1"/>
        </w:rPr>
        <w:t>Table 6 presents the Mann-Whitney U test comparing health awareness between male and female students. The Mann-Whitney U statistic was 350.000, with a Z-score of -1.628 and a two-tailed significance level of 0.104 (p &gt; 0.05). This non-significant result indicates no statistically significant difference in health awareness between male and female students. The p-value of 0.104 means there is approximately a 10.4% probability of observing this difference by chance alone if no true sex difference exists. Therefore, the hypothesis that sex significantly influences health awareness was not supported, suggesting that boys and girls in Barbaruah Block secondary schools have comparable levels of health knowledge and consciousness.</w:t>
      </w:r>
    </w:p>
    <w:p w14:paraId="4D78FAA6" w14:textId="47A6B9D3"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 xml:space="preserve">Therefore, </w:t>
      </w:r>
      <w:r w:rsidRPr="00AC4BA8">
        <w:rPr>
          <w:rFonts w:ascii="Times New Roman" w:hAnsi="Times New Roman" w:cs="Times New Roman"/>
          <w:b/>
          <w:bCs/>
          <w:color w:val="000000" w:themeColor="text1"/>
        </w:rPr>
        <w:t>Hypothesis H₀₂ is retained</w:t>
      </w:r>
      <w:r w:rsidRPr="00AC4BA8">
        <w:rPr>
          <w:rFonts w:ascii="Times New Roman" w:hAnsi="Times New Roman" w:cs="Times New Roman"/>
          <w:color w:val="000000" w:themeColor="text1"/>
        </w:rPr>
        <w:t xml:space="preserve">. </w:t>
      </w:r>
      <w:r w:rsidR="00C67227" w:rsidRPr="00AC4BA8">
        <w:rPr>
          <w:rFonts w:ascii="Times New Roman" w:hAnsi="Times New Roman" w:cs="Times New Roman"/>
          <w:color w:val="000000" w:themeColor="text1"/>
        </w:rPr>
        <w:t xml:space="preserve">In Barbaruah Block, there is no discernible difference in the level of health awareness between male and female Class XI </w:t>
      </w:r>
      <w:r w:rsidR="00160D87">
        <w:rPr>
          <w:rFonts w:ascii="Times New Roman" w:hAnsi="Times New Roman" w:cs="Times New Roman"/>
          <w:color w:val="000000" w:themeColor="text1"/>
        </w:rPr>
        <w:t>students</w:t>
      </w:r>
      <w:r w:rsidR="00C67227" w:rsidRPr="00AC4BA8">
        <w:rPr>
          <w:rFonts w:ascii="Times New Roman" w:hAnsi="Times New Roman" w:cs="Times New Roman"/>
          <w:color w:val="000000" w:themeColor="text1"/>
        </w:rPr>
        <w:t xml:space="preserve">. Secondary school </w:t>
      </w:r>
      <w:r w:rsidR="00160D87">
        <w:rPr>
          <w:rFonts w:ascii="Times New Roman" w:hAnsi="Times New Roman" w:cs="Times New Roman"/>
          <w:color w:val="000000" w:themeColor="text1"/>
        </w:rPr>
        <w:t>students</w:t>
      </w:r>
      <w:r w:rsidR="00C67227" w:rsidRPr="00AC4BA8">
        <w:rPr>
          <w:rFonts w:ascii="Times New Roman" w:hAnsi="Times New Roman" w:cs="Times New Roman"/>
          <w:color w:val="000000" w:themeColor="text1"/>
        </w:rPr>
        <w:t xml:space="preserve">' levels of health knowledge do not seem to be influenced by their </w:t>
      </w:r>
      <w:r w:rsidR="00996F26">
        <w:rPr>
          <w:rFonts w:ascii="Times New Roman" w:hAnsi="Times New Roman" w:cs="Times New Roman"/>
          <w:color w:val="000000" w:themeColor="text1"/>
        </w:rPr>
        <w:t>sex</w:t>
      </w:r>
      <w:r w:rsidR="00C67227" w:rsidRPr="00AC4BA8">
        <w:rPr>
          <w:rFonts w:ascii="Times New Roman" w:hAnsi="Times New Roman" w:cs="Times New Roman"/>
          <w:color w:val="000000" w:themeColor="text1"/>
        </w:rPr>
        <w:t>.</w:t>
      </w:r>
    </w:p>
    <w:p w14:paraId="3534845A" w14:textId="77777777" w:rsidR="00C65696" w:rsidRPr="00AC4BA8" w:rsidRDefault="00D20787" w:rsidP="00B04A0A">
      <w:pPr>
        <w:pStyle w:val="Heading3"/>
        <w:spacing w:line="360" w:lineRule="auto"/>
        <w:jc w:val="both"/>
        <w:rPr>
          <w:rFonts w:ascii="Times New Roman" w:hAnsi="Times New Roman" w:cs="Times New Roman"/>
          <w:color w:val="000000" w:themeColor="text1"/>
        </w:rPr>
      </w:pPr>
      <w:bookmarkStart w:id="16" w:name="Xa80e069dd41e1a9e5d11e41573c2560d77412e2"/>
      <w:bookmarkEnd w:id="15"/>
      <w:r w:rsidRPr="00AC4BA8">
        <w:rPr>
          <w:rFonts w:ascii="Times New Roman" w:hAnsi="Times New Roman" w:cs="Times New Roman"/>
          <w:color w:val="000000" w:themeColor="text1"/>
        </w:rPr>
        <w:lastRenderedPageBreak/>
        <w:t>Health Awareness Differences by Medium of Instruction</w:t>
      </w:r>
    </w:p>
    <w:p w14:paraId="3AC64690" w14:textId="77777777" w:rsidR="00C65696" w:rsidRPr="00AC4BA8" w:rsidRDefault="00D20787" w:rsidP="00B04A0A">
      <w:pPr>
        <w:pStyle w:val="FirstParagraph"/>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t>Table 7: Health Awareness by Medium of Teaching</w:t>
      </w:r>
    </w:p>
    <w:tbl>
      <w:tblPr>
        <w:tblStyle w:val="Table"/>
        <w:tblW w:w="0" w:type="auto"/>
        <w:jc w:val="center"/>
        <w:tblLook w:val="0020" w:firstRow="1" w:lastRow="0" w:firstColumn="0" w:lastColumn="0" w:noHBand="0" w:noVBand="0"/>
      </w:tblPr>
      <w:tblGrid>
        <w:gridCol w:w="2243"/>
        <w:gridCol w:w="456"/>
        <w:gridCol w:w="1330"/>
        <w:gridCol w:w="1577"/>
      </w:tblGrid>
      <w:tr w:rsidR="00201A97" w:rsidRPr="00AC4BA8" w14:paraId="5A9DB7CB" w14:textId="77777777" w:rsidTr="003A08F3">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4" w:space="0" w:color="auto"/>
            </w:tcBorders>
          </w:tcPr>
          <w:p w14:paraId="638DE24B"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Medium of Teaching</w:t>
            </w:r>
          </w:p>
        </w:tc>
        <w:tc>
          <w:tcPr>
            <w:tcW w:w="0" w:type="auto"/>
            <w:tcBorders>
              <w:top w:val="single" w:sz="4" w:space="0" w:color="auto"/>
            </w:tcBorders>
          </w:tcPr>
          <w:p w14:paraId="552F4B3C"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N</w:t>
            </w:r>
          </w:p>
        </w:tc>
        <w:tc>
          <w:tcPr>
            <w:tcW w:w="0" w:type="auto"/>
            <w:tcBorders>
              <w:top w:val="single" w:sz="4" w:space="0" w:color="auto"/>
            </w:tcBorders>
          </w:tcPr>
          <w:p w14:paraId="12661D88"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Mean Rank</w:t>
            </w:r>
          </w:p>
        </w:tc>
        <w:tc>
          <w:tcPr>
            <w:tcW w:w="0" w:type="auto"/>
            <w:tcBorders>
              <w:top w:val="single" w:sz="4" w:space="0" w:color="auto"/>
            </w:tcBorders>
          </w:tcPr>
          <w:p w14:paraId="7287B0FC"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Sum of Ranks</w:t>
            </w:r>
          </w:p>
        </w:tc>
      </w:tr>
      <w:tr w:rsidR="00201A97" w:rsidRPr="00AC4BA8" w14:paraId="4A0F5212" w14:textId="77777777" w:rsidTr="00FF5E33">
        <w:trPr>
          <w:jc w:val="center"/>
        </w:trPr>
        <w:tc>
          <w:tcPr>
            <w:tcW w:w="0" w:type="auto"/>
          </w:tcPr>
          <w:p w14:paraId="6FA0D783"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Assamese</w:t>
            </w:r>
          </w:p>
        </w:tc>
        <w:tc>
          <w:tcPr>
            <w:tcW w:w="0" w:type="auto"/>
          </w:tcPr>
          <w:p w14:paraId="0878A498"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30</w:t>
            </w:r>
          </w:p>
        </w:tc>
        <w:tc>
          <w:tcPr>
            <w:tcW w:w="0" w:type="auto"/>
          </w:tcPr>
          <w:p w14:paraId="174F1331"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33.83</w:t>
            </w:r>
          </w:p>
        </w:tc>
        <w:tc>
          <w:tcPr>
            <w:tcW w:w="0" w:type="auto"/>
          </w:tcPr>
          <w:p w14:paraId="4FA00C93"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1015.00</w:t>
            </w:r>
          </w:p>
        </w:tc>
      </w:tr>
      <w:tr w:rsidR="00201A97" w:rsidRPr="00AC4BA8" w14:paraId="1BA1D765" w14:textId="77777777" w:rsidTr="00FF5E33">
        <w:trPr>
          <w:jc w:val="center"/>
        </w:trPr>
        <w:tc>
          <w:tcPr>
            <w:tcW w:w="0" w:type="auto"/>
          </w:tcPr>
          <w:p w14:paraId="48CC613E"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English</w:t>
            </w:r>
          </w:p>
        </w:tc>
        <w:tc>
          <w:tcPr>
            <w:tcW w:w="0" w:type="auto"/>
          </w:tcPr>
          <w:p w14:paraId="63BB6628"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30</w:t>
            </w:r>
          </w:p>
        </w:tc>
        <w:tc>
          <w:tcPr>
            <w:tcW w:w="0" w:type="auto"/>
          </w:tcPr>
          <w:p w14:paraId="274AF62F"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27.17</w:t>
            </w:r>
          </w:p>
        </w:tc>
        <w:tc>
          <w:tcPr>
            <w:tcW w:w="0" w:type="auto"/>
          </w:tcPr>
          <w:p w14:paraId="01D320E6"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815.00</w:t>
            </w:r>
          </w:p>
        </w:tc>
      </w:tr>
      <w:tr w:rsidR="00201A97" w:rsidRPr="00AC4BA8" w14:paraId="691C1939" w14:textId="77777777" w:rsidTr="003A08F3">
        <w:trPr>
          <w:jc w:val="center"/>
        </w:trPr>
        <w:tc>
          <w:tcPr>
            <w:tcW w:w="0" w:type="auto"/>
            <w:tcBorders>
              <w:bottom w:val="single" w:sz="4" w:space="0" w:color="auto"/>
            </w:tcBorders>
          </w:tcPr>
          <w:p w14:paraId="2AD10E3E"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Total</w:t>
            </w:r>
          </w:p>
        </w:tc>
        <w:tc>
          <w:tcPr>
            <w:tcW w:w="0" w:type="auto"/>
            <w:tcBorders>
              <w:bottom w:val="single" w:sz="4" w:space="0" w:color="auto"/>
            </w:tcBorders>
          </w:tcPr>
          <w:p w14:paraId="311C351E"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60</w:t>
            </w:r>
          </w:p>
        </w:tc>
        <w:tc>
          <w:tcPr>
            <w:tcW w:w="0" w:type="auto"/>
            <w:tcBorders>
              <w:bottom w:val="single" w:sz="4" w:space="0" w:color="auto"/>
            </w:tcBorders>
          </w:tcPr>
          <w:p w14:paraId="222E9C83"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w:t>
            </w:r>
          </w:p>
        </w:tc>
        <w:tc>
          <w:tcPr>
            <w:tcW w:w="0" w:type="auto"/>
            <w:tcBorders>
              <w:bottom w:val="single" w:sz="4" w:space="0" w:color="auto"/>
            </w:tcBorders>
          </w:tcPr>
          <w:p w14:paraId="7137148B"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w:t>
            </w:r>
          </w:p>
        </w:tc>
      </w:tr>
    </w:tbl>
    <w:p w14:paraId="36F4691D" w14:textId="5D4740E2" w:rsidR="003A08F3" w:rsidRPr="003A08F3" w:rsidRDefault="003A08F3" w:rsidP="00B04A0A">
      <w:pPr>
        <w:pStyle w:val="BodyText"/>
        <w:spacing w:line="360" w:lineRule="auto"/>
        <w:jc w:val="both"/>
        <w:rPr>
          <w:rFonts w:ascii="Times New Roman" w:hAnsi="Times New Roman" w:cs="Times New Roman"/>
          <w:bCs/>
          <w:color w:val="000000" w:themeColor="text1"/>
        </w:rPr>
      </w:pPr>
      <w:r w:rsidRPr="003A08F3">
        <w:rPr>
          <w:rFonts w:ascii="Times New Roman" w:hAnsi="Times New Roman" w:cs="Times New Roman"/>
          <w:bCs/>
          <w:color w:val="000000" w:themeColor="text1"/>
        </w:rPr>
        <w:t>Table 7 compares health awareness scores between students from Assamese-medium and English-medium schools. Each group comprised 30 students. Students from Assamese-medium schools had a mean rank of 33.83, while those from English-medium schools had a mean rank of 27.17. Similar to the sex comparison, Assamese-medium students showed a numerically higher mean rank, but the practical difference was modest. These mean ranks were tested using the Mann-Whitney U test to determine whether the language of instruction created meaningful differences in students' ability to acquire health knowledge.</w:t>
      </w:r>
    </w:p>
    <w:p w14:paraId="76007BF1" w14:textId="7901039C"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t>Table 8: Mann-Whitney U Test Results for Medium of Instruction Differences</w:t>
      </w:r>
    </w:p>
    <w:tbl>
      <w:tblPr>
        <w:tblStyle w:val="Table"/>
        <w:tblW w:w="0" w:type="auto"/>
        <w:jc w:val="center"/>
        <w:tblLook w:val="0020" w:firstRow="1" w:lastRow="0" w:firstColumn="0" w:lastColumn="0" w:noHBand="0" w:noVBand="0"/>
      </w:tblPr>
      <w:tblGrid>
        <w:gridCol w:w="2363"/>
        <w:gridCol w:w="996"/>
      </w:tblGrid>
      <w:tr w:rsidR="00201A97" w:rsidRPr="00AC4BA8" w14:paraId="2B18C191" w14:textId="77777777" w:rsidTr="003A08F3">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4" w:space="0" w:color="auto"/>
            </w:tcBorders>
          </w:tcPr>
          <w:p w14:paraId="0B9FBD65"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Test Statistic</w:t>
            </w:r>
          </w:p>
        </w:tc>
        <w:tc>
          <w:tcPr>
            <w:tcW w:w="0" w:type="auto"/>
            <w:tcBorders>
              <w:top w:val="single" w:sz="4" w:space="0" w:color="auto"/>
            </w:tcBorders>
          </w:tcPr>
          <w:p w14:paraId="0A319473"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Value</w:t>
            </w:r>
          </w:p>
        </w:tc>
      </w:tr>
      <w:tr w:rsidR="00201A97" w:rsidRPr="00AC4BA8" w14:paraId="3A365A99" w14:textId="77777777" w:rsidTr="00FF5E33">
        <w:trPr>
          <w:jc w:val="center"/>
        </w:trPr>
        <w:tc>
          <w:tcPr>
            <w:tcW w:w="0" w:type="auto"/>
          </w:tcPr>
          <w:p w14:paraId="6FC69D95"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Mann-Whitney U</w:t>
            </w:r>
          </w:p>
        </w:tc>
        <w:tc>
          <w:tcPr>
            <w:tcW w:w="0" w:type="auto"/>
          </w:tcPr>
          <w:p w14:paraId="31984907"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350.000</w:t>
            </w:r>
          </w:p>
        </w:tc>
      </w:tr>
      <w:tr w:rsidR="00201A97" w:rsidRPr="00AC4BA8" w14:paraId="3421B718" w14:textId="77777777" w:rsidTr="00FF5E33">
        <w:trPr>
          <w:jc w:val="center"/>
        </w:trPr>
        <w:tc>
          <w:tcPr>
            <w:tcW w:w="0" w:type="auto"/>
          </w:tcPr>
          <w:p w14:paraId="523E7D3E"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Wilcoxon W</w:t>
            </w:r>
          </w:p>
        </w:tc>
        <w:tc>
          <w:tcPr>
            <w:tcW w:w="0" w:type="auto"/>
          </w:tcPr>
          <w:p w14:paraId="42578F50"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815.000</w:t>
            </w:r>
          </w:p>
        </w:tc>
      </w:tr>
      <w:tr w:rsidR="00201A97" w:rsidRPr="00AC4BA8" w14:paraId="42250238" w14:textId="77777777" w:rsidTr="00FF5E33">
        <w:trPr>
          <w:jc w:val="center"/>
        </w:trPr>
        <w:tc>
          <w:tcPr>
            <w:tcW w:w="0" w:type="auto"/>
          </w:tcPr>
          <w:p w14:paraId="0C79F50E"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Z</w:t>
            </w:r>
          </w:p>
        </w:tc>
        <w:tc>
          <w:tcPr>
            <w:tcW w:w="0" w:type="auto"/>
          </w:tcPr>
          <w:p w14:paraId="3DBACBB0"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-1.628</w:t>
            </w:r>
          </w:p>
        </w:tc>
      </w:tr>
      <w:tr w:rsidR="00201A97" w:rsidRPr="00AC4BA8" w14:paraId="02D6090A" w14:textId="77777777" w:rsidTr="003A08F3">
        <w:trPr>
          <w:jc w:val="center"/>
        </w:trPr>
        <w:tc>
          <w:tcPr>
            <w:tcW w:w="0" w:type="auto"/>
            <w:tcBorders>
              <w:bottom w:val="single" w:sz="4" w:space="0" w:color="auto"/>
            </w:tcBorders>
          </w:tcPr>
          <w:p w14:paraId="20D2EBAC"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proofErr w:type="spellStart"/>
            <w:r w:rsidRPr="00AC4BA8">
              <w:rPr>
                <w:rFonts w:ascii="Times New Roman" w:hAnsi="Times New Roman" w:cs="Times New Roman"/>
                <w:color w:val="000000" w:themeColor="text1"/>
              </w:rPr>
              <w:t>Asymp</w:t>
            </w:r>
            <w:proofErr w:type="spellEnd"/>
            <w:r w:rsidRPr="00AC4BA8">
              <w:rPr>
                <w:rFonts w:ascii="Times New Roman" w:hAnsi="Times New Roman" w:cs="Times New Roman"/>
                <w:color w:val="000000" w:themeColor="text1"/>
              </w:rPr>
              <w:t>. Sig. (2-tailed)</w:t>
            </w:r>
          </w:p>
        </w:tc>
        <w:tc>
          <w:tcPr>
            <w:tcW w:w="0" w:type="auto"/>
            <w:tcBorders>
              <w:bottom w:val="single" w:sz="4" w:space="0" w:color="auto"/>
            </w:tcBorders>
          </w:tcPr>
          <w:p w14:paraId="56A7EA58"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0.104</w:t>
            </w:r>
          </w:p>
        </w:tc>
      </w:tr>
    </w:tbl>
    <w:p w14:paraId="17CE5A8E" w14:textId="55DB2CEA" w:rsidR="003A08F3" w:rsidRDefault="003A08F3" w:rsidP="00B04A0A">
      <w:pPr>
        <w:pStyle w:val="BodyText"/>
        <w:spacing w:line="360" w:lineRule="auto"/>
        <w:jc w:val="both"/>
        <w:rPr>
          <w:rFonts w:ascii="Times New Roman" w:hAnsi="Times New Roman" w:cs="Times New Roman"/>
          <w:color w:val="000000" w:themeColor="text1"/>
        </w:rPr>
      </w:pPr>
      <w:r w:rsidRPr="003A08F3">
        <w:rPr>
          <w:rFonts w:ascii="Times New Roman" w:hAnsi="Times New Roman" w:cs="Times New Roman"/>
          <w:color w:val="000000" w:themeColor="text1"/>
        </w:rPr>
        <w:t>Table 8 displays Mann-Whitney U test results comparing health awareness between Assamese and English medium students. The Mann-Whitney U statistic equaled 350.000, the Z-score was -1.628, and the two-tailed p-value was 0.104 (p &gt; 0.05). This non-significant result indicates that medium of instruction does not significantly impact students' health awareness. The identical test statistics to Table 6 reflect identical sample sizes and similar distributions. The conclusion is that students learning in Assamese and English medium schools demonstrate comparable levels of health consciousness, suggesting that language of instruction does not create barriers to health education effectiveness in this setting.</w:t>
      </w:r>
    </w:p>
    <w:p w14:paraId="00DF5774" w14:textId="21819171"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lastRenderedPageBreak/>
        <w:t xml:space="preserve">Consequently, </w:t>
      </w:r>
      <w:r w:rsidRPr="00AC4BA8">
        <w:rPr>
          <w:rFonts w:ascii="Times New Roman" w:hAnsi="Times New Roman" w:cs="Times New Roman"/>
          <w:b/>
          <w:bCs/>
          <w:color w:val="000000" w:themeColor="text1"/>
        </w:rPr>
        <w:t>Hypothesis H₀₃ is retained</w:t>
      </w:r>
      <w:r w:rsidRPr="00AC4BA8">
        <w:rPr>
          <w:rFonts w:ascii="Times New Roman" w:hAnsi="Times New Roman" w:cs="Times New Roman"/>
          <w:color w:val="000000" w:themeColor="text1"/>
        </w:rPr>
        <w:t>. The medium of instruction does not significantly</w:t>
      </w:r>
      <w:r w:rsidR="00C6518B" w:rsidRPr="00AC4BA8">
        <w:t xml:space="preserve"> </w:t>
      </w:r>
      <w:r w:rsidR="00C6518B" w:rsidRPr="00AC4BA8">
        <w:rPr>
          <w:rFonts w:ascii="Times New Roman" w:hAnsi="Times New Roman" w:cs="Times New Roman"/>
          <w:color w:val="000000" w:themeColor="text1"/>
        </w:rPr>
        <w:t xml:space="preserve">impact secondary school </w:t>
      </w:r>
      <w:r w:rsidR="00160D87">
        <w:rPr>
          <w:rFonts w:ascii="Times New Roman" w:hAnsi="Times New Roman" w:cs="Times New Roman"/>
          <w:color w:val="000000" w:themeColor="text1"/>
        </w:rPr>
        <w:t>students</w:t>
      </w:r>
      <w:r w:rsidR="00C6518B" w:rsidRPr="00AC4BA8">
        <w:rPr>
          <w:rFonts w:ascii="Times New Roman" w:hAnsi="Times New Roman" w:cs="Times New Roman"/>
          <w:color w:val="000000" w:themeColor="text1"/>
        </w:rPr>
        <w:t>' health consciousness in Barbaruah Block</w:t>
      </w:r>
      <w:r w:rsidRPr="00AC4BA8">
        <w:rPr>
          <w:rFonts w:ascii="Times New Roman" w:hAnsi="Times New Roman" w:cs="Times New Roman"/>
          <w:color w:val="000000" w:themeColor="text1"/>
        </w:rPr>
        <w:t xml:space="preserve">. </w:t>
      </w:r>
      <w:r w:rsidR="00160D87">
        <w:rPr>
          <w:rFonts w:ascii="Times New Roman" w:hAnsi="Times New Roman" w:cs="Times New Roman"/>
          <w:color w:val="000000" w:themeColor="text1"/>
        </w:rPr>
        <w:t>Students</w:t>
      </w:r>
      <w:r w:rsidR="00AB4F6B">
        <w:rPr>
          <w:rFonts w:ascii="Times New Roman" w:hAnsi="Times New Roman" w:cs="Times New Roman"/>
          <w:color w:val="000000" w:themeColor="text1"/>
        </w:rPr>
        <w:t xml:space="preserve"> </w:t>
      </w:r>
      <w:r w:rsidR="00AB4F6B" w:rsidRPr="00AC4BA8">
        <w:rPr>
          <w:rFonts w:ascii="Times New Roman" w:hAnsi="Times New Roman" w:cs="Times New Roman"/>
          <w:color w:val="000000" w:themeColor="text1"/>
        </w:rPr>
        <w:t>studying</w:t>
      </w:r>
      <w:r w:rsidRPr="00AC4BA8">
        <w:rPr>
          <w:rFonts w:ascii="Times New Roman" w:hAnsi="Times New Roman" w:cs="Times New Roman"/>
          <w:color w:val="000000" w:themeColor="text1"/>
        </w:rPr>
        <w:t xml:space="preserve"> in Assamese medium and English medium schools demonstrate comparable levels of health awareness.</w:t>
      </w:r>
    </w:p>
    <w:p w14:paraId="132AAE26" w14:textId="15ADC68C" w:rsidR="00C65696" w:rsidRDefault="00D20787" w:rsidP="00B04A0A">
      <w:pPr>
        <w:pStyle w:val="Heading3"/>
        <w:spacing w:line="360" w:lineRule="auto"/>
        <w:jc w:val="both"/>
        <w:rPr>
          <w:rFonts w:ascii="Times New Roman" w:hAnsi="Times New Roman" w:cs="Times New Roman"/>
          <w:color w:val="000000" w:themeColor="text1"/>
        </w:rPr>
      </w:pPr>
      <w:bookmarkStart w:id="17" w:name="X5f09cf6423cd29aa7e8b69114f5ddaefb952f8c"/>
      <w:bookmarkEnd w:id="16"/>
      <w:r w:rsidRPr="00AC4BA8">
        <w:rPr>
          <w:rFonts w:ascii="Times New Roman" w:hAnsi="Times New Roman" w:cs="Times New Roman"/>
          <w:color w:val="000000" w:themeColor="text1"/>
        </w:rPr>
        <w:t>Urban-Rural Differences in Health Awareness</w:t>
      </w:r>
    </w:p>
    <w:p w14:paraId="46A6A5E3" w14:textId="4190772C" w:rsidR="003A08F3" w:rsidRPr="003A08F3" w:rsidRDefault="003A08F3" w:rsidP="003A08F3">
      <w:pPr>
        <w:pStyle w:val="BodyText"/>
        <w:spacing w:line="360" w:lineRule="auto"/>
        <w:jc w:val="both"/>
        <w:rPr>
          <w:rFonts w:ascii="Times New Roman" w:hAnsi="Times New Roman" w:cs="Times New Roman"/>
        </w:rPr>
      </w:pPr>
      <w:r w:rsidRPr="003A08F3">
        <w:rPr>
          <w:rFonts w:ascii="Times New Roman" w:hAnsi="Times New Roman" w:cs="Times New Roman"/>
        </w:rPr>
        <w:t>Table 9 presents health awareness distribution by geographic location. The sample included 30 urban students and 30 rural students. Urban students showed a mean rank of 32.95, while rural students had a mean rank of 28.05. This difference favored urban students but was relatively small in magnitude. These mean ranks were compared using the Mann-Whitney U test to determine whether living in urban versus rural areas influenced students' health awareness levels.</w:t>
      </w:r>
    </w:p>
    <w:p w14:paraId="67679356" w14:textId="77777777" w:rsidR="00C65696" w:rsidRPr="00AC4BA8" w:rsidRDefault="00D20787" w:rsidP="00B04A0A">
      <w:pPr>
        <w:pStyle w:val="FirstParagraph"/>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t>Table 9: Health Awareness by Locality</w:t>
      </w:r>
    </w:p>
    <w:tbl>
      <w:tblPr>
        <w:tblStyle w:val="Table"/>
        <w:tblW w:w="0" w:type="auto"/>
        <w:jc w:val="center"/>
        <w:tblLook w:val="0020" w:firstRow="1" w:lastRow="0" w:firstColumn="0" w:lastColumn="0" w:noHBand="0" w:noVBand="0"/>
      </w:tblPr>
      <w:tblGrid>
        <w:gridCol w:w="1016"/>
        <w:gridCol w:w="456"/>
        <w:gridCol w:w="1330"/>
        <w:gridCol w:w="1577"/>
      </w:tblGrid>
      <w:tr w:rsidR="00201A97" w:rsidRPr="00AC4BA8" w14:paraId="3EB2DD9E" w14:textId="77777777" w:rsidTr="003A08F3">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4" w:space="0" w:color="auto"/>
            </w:tcBorders>
          </w:tcPr>
          <w:p w14:paraId="0B8C440B"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Locality</w:t>
            </w:r>
          </w:p>
        </w:tc>
        <w:tc>
          <w:tcPr>
            <w:tcW w:w="0" w:type="auto"/>
            <w:tcBorders>
              <w:top w:val="single" w:sz="4" w:space="0" w:color="auto"/>
            </w:tcBorders>
          </w:tcPr>
          <w:p w14:paraId="1F1B041C"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N</w:t>
            </w:r>
          </w:p>
        </w:tc>
        <w:tc>
          <w:tcPr>
            <w:tcW w:w="0" w:type="auto"/>
            <w:tcBorders>
              <w:top w:val="single" w:sz="4" w:space="0" w:color="auto"/>
            </w:tcBorders>
          </w:tcPr>
          <w:p w14:paraId="6A795CCB"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Mean Rank</w:t>
            </w:r>
          </w:p>
        </w:tc>
        <w:tc>
          <w:tcPr>
            <w:tcW w:w="0" w:type="auto"/>
            <w:tcBorders>
              <w:top w:val="single" w:sz="4" w:space="0" w:color="auto"/>
            </w:tcBorders>
          </w:tcPr>
          <w:p w14:paraId="4CE9C18B"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Sum of Ranks</w:t>
            </w:r>
          </w:p>
        </w:tc>
      </w:tr>
      <w:tr w:rsidR="00201A97" w:rsidRPr="00AC4BA8" w14:paraId="30678AB0" w14:textId="77777777" w:rsidTr="00FF5E33">
        <w:trPr>
          <w:jc w:val="center"/>
        </w:trPr>
        <w:tc>
          <w:tcPr>
            <w:tcW w:w="0" w:type="auto"/>
          </w:tcPr>
          <w:p w14:paraId="6EECD45B"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Urban</w:t>
            </w:r>
          </w:p>
        </w:tc>
        <w:tc>
          <w:tcPr>
            <w:tcW w:w="0" w:type="auto"/>
          </w:tcPr>
          <w:p w14:paraId="0E9B9EB9"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30</w:t>
            </w:r>
          </w:p>
        </w:tc>
        <w:tc>
          <w:tcPr>
            <w:tcW w:w="0" w:type="auto"/>
          </w:tcPr>
          <w:p w14:paraId="0324D5D5"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32.95</w:t>
            </w:r>
          </w:p>
        </w:tc>
        <w:tc>
          <w:tcPr>
            <w:tcW w:w="0" w:type="auto"/>
          </w:tcPr>
          <w:p w14:paraId="372C0FD1"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988.50</w:t>
            </w:r>
          </w:p>
        </w:tc>
      </w:tr>
      <w:tr w:rsidR="00201A97" w:rsidRPr="00AC4BA8" w14:paraId="1AEE1BD1" w14:textId="77777777" w:rsidTr="00FF5E33">
        <w:trPr>
          <w:jc w:val="center"/>
        </w:trPr>
        <w:tc>
          <w:tcPr>
            <w:tcW w:w="0" w:type="auto"/>
          </w:tcPr>
          <w:p w14:paraId="0F40508A"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Rural</w:t>
            </w:r>
          </w:p>
        </w:tc>
        <w:tc>
          <w:tcPr>
            <w:tcW w:w="0" w:type="auto"/>
          </w:tcPr>
          <w:p w14:paraId="315E865D"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30</w:t>
            </w:r>
          </w:p>
        </w:tc>
        <w:tc>
          <w:tcPr>
            <w:tcW w:w="0" w:type="auto"/>
          </w:tcPr>
          <w:p w14:paraId="12557B86"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28.05</w:t>
            </w:r>
          </w:p>
        </w:tc>
        <w:tc>
          <w:tcPr>
            <w:tcW w:w="0" w:type="auto"/>
          </w:tcPr>
          <w:p w14:paraId="74708012"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841.50</w:t>
            </w:r>
          </w:p>
        </w:tc>
      </w:tr>
      <w:tr w:rsidR="00201A97" w:rsidRPr="00AC4BA8" w14:paraId="70AD54E6" w14:textId="77777777" w:rsidTr="003A08F3">
        <w:trPr>
          <w:jc w:val="center"/>
        </w:trPr>
        <w:tc>
          <w:tcPr>
            <w:tcW w:w="0" w:type="auto"/>
            <w:tcBorders>
              <w:bottom w:val="single" w:sz="4" w:space="0" w:color="auto"/>
            </w:tcBorders>
          </w:tcPr>
          <w:p w14:paraId="3BADDC58"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Total</w:t>
            </w:r>
          </w:p>
        </w:tc>
        <w:tc>
          <w:tcPr>
            <w:tcW w:w="0" w:type="auto"/>
            <w:tcBorders>
              <w:bottom w:val="single" w:sz="4" w:space="0" w:color="auto"/>
            </w:tcBorders>
          </w:tcPr>
          <w:p w14:paraId="17EAF762"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60</w:t>
            </w:r>
          </w:p>
        </w:tc>
        <w:tc>
          <w:tcPr>
            <w:tcW w:w="0" w:type="auto"/>
            <w:tcBorders>
              <w:bottom w:val="single" w:sz="4" w:space="0" w:color="auto"/>
            </w:tcBorders>
          </w:tcPr>
          <w:p w14:paraId="2C213528"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w:t>
            </w:r>
          </w:p>
        </w:tc>
        <w:tc>
          <w:tcPr>
            <w:tcW w:w="0" w:type="auto"/>
            <w:tcBorders>
              <w:bottom w:val="single" w:sz="4" w:space="0" w:color="auto"/>
            </w:tcBorders>
          </w:tcPr>
          <w:p w14:paraId="11010F1C"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w:t>
            </w:r>
          </w:p>
        </w:tc>
      </w:tr>
    </w:tbl>
    <w:p w14:paraId="7E417349" w14:textId="6ECD7F91" w:rsidR="003A08F3" w:rsidRPr="003A08F3" w:rsidRDefault="003A08F3" w:rsidP="00B04A0A">
      <w:pPr>
        <w:pStyle w:val="BodyText"/>
        <w:spacing w:line="360" w:lineRule="auto"/>
        <w:jc w:val="both"/>
        <w:rPr>
          <w:rFonts w:ascii="Times New Roman" w:hAnsi="Times New Roman" w:cs="Times New Roman"/>
          <w:bCs/>
          <w:color w:val="000000" w:themeColor="text1"/>
        </w:rPr>
      </w:pPr>
      <w:r w:rsidRPr="003A08F3">
        <w:rPr>
          <w:rFonts w:ascii="Times New Roman" w:hAnsi="Times New Roman" w:cs="Times New Roman"/>
          <w:bCs/>
          <w:color w:val="000000" w:themeColor="text1"/>
        </w:rPr>
        <w:t>Table 10 reports Mann-Whitney U test results comparing health awareness between urban and rural students. The Mann-Whitney U statistic was 376.500, with a Z-score of -1.197 and a two-tailed p-value of 0.231 (p &gt; 0.05). This non-significant result demonstrates that geographic location (urban versus rural residence) does not significantly influence secondary school students' health awareness in Barbaruah Block. The p-value of 0.231 indicates a 23.1% probability of observing this difference by chance if no true urban-rural difference exists. Therefore, students in urban and rural areas of this region demonstrate comparable levels of health consciousness, suggesting that health information reaches both groups relatively equitably through school-based and community initiatives.</w:t>
      </w:r>
    </w:p>
    <w:p w14:paraId="449EF071" w14:textId="29D57DA2"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t>Table 10: Mann-Whitney U Test Results for Locality Differences</w:t>
      </w:r>
    </w:p>
    <w:tbl>
      <w:tblPr>
        <w:tblStyle w:val="Table"/>
        <w:tblW w:w="0" w:type="auto"/>
        <w:jc w:val="center"/>
        <w:tblLook w:val="0020" w:firstRow="1" w:lastRow="0" w:firstColumn="0" w:lastColumn="0" w:noHBand="0" w:noVBand="0"/>
      </w:tblPr>
      <w:tblGrid>
        <w:gridCol w:w="2363"/>
        <w:gridCol w:w="996"/>
      </w:tblGrid>
      <w:tr w:rsidR="00201A97" w:rsidRPr="00AC4BA8" w14:paraId="08DA67C6" w14:textId="77777777" w:rsidTr="003A08F3">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4" w:space="0" w:color="auto"/>
            </w:tcBorders>
          </w:tcPr>
          <w:p w14:paraId="207B06AE"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Test Statistic</w:t>
            </w:r>
          </w:p>
        </w:tc>
        <w:tc>
          <w:tcPr>
            <w:tcW w:w="0" w:type="auto"/>
            <w:tcBorders>
              <w:top w:val="single" w:sz="4" w:space="0" w:color="auto"/>
            </w:tcBorders>
          </w:tcPr>
          <w:p w14:paraId="2ABBFCB5"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Value</w:t>
            </w:r>
          </w:p>
        </w:tc>
      </w:tr>
      <w:tr w:rsidR="00201A97" w:rsidRPr="00AC4BA8" w14:paraId="5673E6DE" w14:textId="77777777" w:rsidTr="00FF5E33">
        <w:trPr>
          <w:jc w:val="center"/>
        </w:trPr>
        <w:tc>
          <w:tcPr>
            <w:tcW w:w="0" w:type="auto"/>
          </w:tcPr>
          <w:p w14:paraId="3DCBDD5D"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Mann-Whitney U</w:t>
            </w:r>
          </w:p>
        </w:tc>
        <w:tc>
          <w:tcPr>
            <w:tcW w:w="0" w:type="auto"/>
          </w:tcPr>
          <w:p w14:paraId="50F808BC"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376.500</w:t>
            </w:r>
          </w:p>
        </w:tc>
      </w:tr>
      <w:tr w:rsidR="00201A97" w:rsidRPr="00AC4BA8" w14:paraId="436AD69E" w14:textId="77777777" w:rsidTr="00FF5E33">
        <w:trPr>
          <w:jc w:val="center"/>
        </w:trPr>
        <w:tc>
          <w:tcPr>
            <w:tcW w:w="0" w:type="auto"/>
          </w:tcPr>
          <w:p w14:paraId="376CB2EF"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lastRenderedPageBreak/>
              <w:t>Wilcoxon W</w:t>
            </w:r>
          </w:p>
        </w:tc>
        <w:tc>
          <w:tcPr>
            <w:tcW w:w="0" w:type="auto"/>
          </w:tcPr>
          <w:p w14:paraId="60193DF5"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841.500</w:t>
            </w:r>
          </w:p>
        </w:tc>
      </w:tr>
      <w:tr w:rsidR="00201A97" w:rsidRPr="00AC4BA8" w14:paraId="47F3EAC2" w14:textId="77777777" w:rsidTr="00FF5E33">
        <w:trPr>
          <w:jc w:val="center"/>
        </w:trPr>
        <w:tc>
          <w:tcPr>
            <w:tcW w:w="0" w:type="auto"/>
          </w:tcPr>
          <w:p w14:paraId="74B8337A"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Z</w:t>
            </w:r>
          </w:p>
        </w:tc>
        <w:tc>
          <w:tcPr>
            <w:tcW w:w="0" w:type="auto"/>
          </w:tcPr>
          <w:p w14:paraId="599BC57B"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-1.197</w:t>
            </w:r>
          </w:p>
        </w:tc>
      </w:tr>
      <w:tr w:rsidR="00201A97" w:rsidRPr="00AC4BA8" w14:paraId="47E339EE" w14:textId="77777777" w:rsidTr="003A08F3">
        <w:trPr>
          <w:jc w:val="center"/>
        </w:trPr>
        <w:tc>
          <w:tcPr>
            <w:tcW w:w="0" w:type="auto"/>
            <w:tcBorders>
              <w:bottom w:val="single" w:sz="4" w:space="0" w:color="auto"/>
            </w:tcBorders>
          </w:tcPr>
          <w:p w14:paraId="7381DD9B"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proofErr w:type="spellStart"/>
            <w:r w:rsidRPr="00AC4BA8">
              <w:rPr>
                <w:rFonts w:ascii="Times New Roman" w:hAnsi="Times New Roman" w:cs="Times New Roman"/>
                <w:color w:val="000000" w:themeColor="text1"/>
              </w:rPr>
              <w:t>Asymp</w:t>
            </w:r>
            <w:proofErr w:type="spellEnd"/>
            <w:r w:rsidRPr="00AC4BA8">
              <w:rPr>
                <w:rFonts w:ascii="Times New Roman" w:hAnsi="Times New Roman" w:cs="Times New Roman"/>
                <w:color w:val="000000" w:themeColor="text1"/>
              </w:rPr>
              <w:t>. Sig. (2-tailed)</w:t>
            </w:r>
          </w:p>
        </w:tc>
        <w:tc>
          <w:tcPr>
            <w:tcW w:w="0" w:type="auto"/>
            <w:tcBorders>
              <w:bottom w:val="single" w:sz="4" w:space="0" w:color="auto"/>
            </w:tcBorders>
          </w:tcPr>
          <w:p w14:paraId="581F67F0"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0.231</w:t>
            </w:r>
          </w:p>
        </w:tc>
      </w:tr>
    </w:tbl>
    <w:p w14:paraId="152709C0" w14:textId="77777777" w:rsidR="003A08F3" w:rsidRDefault="003A08F3" w:rsidP="00B04A0A">
      <w:pPr>
        <w:pStyle w:val="BodyText"/>
        <w:spacing w:line="360" w:lineRule="auto"/>
        <w:jc w:val="both"/>
        <w:rPr>
          <w:rFonts w:ascii="Times New Roman" w:hAnsi="Times New Roman" w:cs="Times New Roman"/>
          <w:color w:val="000000" w:themeColor="text1"/>
        </w:rPr>
      </w:pPr>
    </w:p>
    <w:p w14:paraId="6715446E" w14:textId="025F4CB5"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 xml:space="preserve">Thus, </w:t>
      </w:r>
      <w:r w:rsidRPr="00AC4BA8">
        <w:rPr>
          <w:rFonts w:ascii="Times New Roman" w:hAnsi="Times New Roman" w:cs="Times New Roman"/>
          <w:b/>
          <w:bCs/>
          <w:color w:val="000000" w:themeColor="text1"/>
        </w:rPr>
        <w:t>Hypothesis H₀₄ is retained</w:t>
      </w:r>
      <w:r w:rsidRPr="00AC4BA8">
        <w:rPr>
          <w:rFonts w:ascii="Times New Roman" w:hAnsi="Times New Roman" w:cs="Times New Roman"/>
          <w:color w:val="000000" w:themeColor="text1"/>
        </w:rPr>
        <w:t xml:space="preserve">. </w:t>
      </w:r>
      <w:r w:rsidR="000D20F2" w:rsidRPr="00AC4BA8">
        <w:rPr>
          <w:rFonts w:ascii="Times New Roman" w:hAnsi="Times New Roman" w:cs="Times New Roman"/>
          <w:color w:val="000000" w:themeColor="text1"/>
        </w:rPr>
        <w:t xml:space="preserve">In Barbaruah Block, there is no discernible variation in the level of health awareness between urban and rural secondary school </w:t>
      </w:r>
      <w:proofErr w:type="gramStart"/>
      <w:r w:rsidR="00160D87">
        <w:rPr>
          <w:rFonts w:ascii="Times New Roman" w:hAnsi="Times New Roman" w:cs="Times New Roman"/>
          <w:color w:val="000000" w:themeColor="text1"/>
        </w:rPr>
        <w:t>students</w:t>
      </w:r>
      <w:r w:rsidR="00193705">
        <w:rPr>
          <w:rFonts w:ascii="Times New Roman" w:hAnsi="Times New Roman" w:cs="Times New Roman"/>
          <w:color w:val="000000" w:themeColor="text1"/>
        </w:rPr>
        <w:t xml:space="preserve"> </w:t>
      </w:r>
      <w:r w:rsidR="000D20F2" w:rsidRPr="00AC4BA8">
        <w:rPr>
          <w:rFonts w:ascii="Times New Roman" w:hAnsi="Times New Roman" w:cs="Times New Roman"/>
          <w:color w:val="000000" w:themeColor="text1"/>
        </w:rPr>
        <w:t>.</w:t>
      </w:r>
      <w:proofErr w:type="gramEnd"/>
      <w:r w:rsidR="000D20F2" w:rsidRPr="00AC4BA8">
        <w:rPr>
          <w:rFonts w:ascii="Times New Roman" w:hAnsi="Times New Roman" w:cs="Times New Roman"/>
          <w:color w:val="000000" w:themeColor="text1"/>
        </w:rPr>
        <w:t xml:space="preserve"> The research population's degree of health awareness is not much impacted by geographic location (rural versus urban).</w:t>
      </w:r>
    </w:p>
    <w:p w14:paraId="6C0E3AD7" w14:textId="221CD7D3" w:rsidR="003A08F3" w:rsidRPr="003A08F3" w:rsidRDefault="00D20787" w:rsidP="003A08F3">
      <w:pPr>
        <w:pStyle w:val="Heading2"/>
        <w:spacing w:line="360" w:lineRule="auto"/>
        <w:jc w:val="both"/>
        <w:rPr>
          <w:rFonts w:ascii="Times New Roman" w:hAnsi="Times New Roman" w:cs="Times New Roman"/>
          <w:color w:val="000000" w:themeColor="text1"/>
          <w:sz w:val="24"/>
          <w:szCs w:val="24"/>
        </w:rPr>
      </w:pPr>
      <w:bookmarkStart w:id="18" w:name="discussion"/>
      <w:bookmarkEnd w:id="11"/>
      <w:bookmarkEnd w:id="17"/>
      <w:r w:rsidRPr="00AC4BA8">
        <w:rPr>
          <w:rFonts w:ascii="Times New Roman" w:hAnsi="Times New Roman" w:cs="Times New Roman"/>
          <w:color w:val="000000" w:themeColor="text1"/>
          <w:sz w:val="24"/>
          <w:szCs w:val="24"/>
        </w:rPr>
        <w:t>Discussion</w:t>
      </w:r>
    </w:p>
    <w:p w14:paraId="4AEB3773" w14:textId="5EC8AB60" w:rsidR="003A08F3" w:rsidRPr="003A08F3" w:rsidRDefault="003A08F3" w:rsidP="003A08F3">
      <w:pPr>
        <w:pStyle w:val="BodyText"/>
        <w:spacing w:line="360" w:lineRule="auto"/>
        <w:jc w:val="both"/>
        <w:rPr>
          <w:rFonts w:ascii="Times New Roman" w:hAnsi="Times New Roman" w:cs="Times New Roman"/>
        </w:rPr>
      </w:pPr>
      <w:r w:rsidRPr="003A08F3">
        <w:rPr>
          <w:rFonts w:ascii="Times New Roman" w:hAnsi="Times New Roman" w:cs="Times New Roman"/>
        </w:rPr>
        <w:t>The study examined health awareness among secondary school students in Barbaruah Block, Dibrugarh District, comparing levels across demographic variables (age group, sex, medium of instruction, and locality). The findings contribute to understanding adolescent health consciousness in a specific Indian context and reveal both achievements and areas requiring continued attention.</w:t>
      </w:r>
    </w:p>
    <w:p w14:paraId="3CBB25E6" w14:textId="77777777" w:rsidR="003A08F3" w:rsidRPr="003A08F3" w:rsidRDefault="003A08F3" w:rsidP="003A08F3">
      <w:pPr>
        <w:pStyle w:val="BodyText"/>
        <w:spacing w:line="360" w:lineRule="auto"/>
        <w:jc w:val="both"/>
        <w:rPr>
          <w:rFonts w:ascii="Times New Roman" w:hAnsi="Times New Roman" w:cs="Times New Roman"/>
          <w:b/>
          <w:i/>
        </w:rPr>
      </w:pPr>
      <w:r w:rsidRPr="003A08F3">
        <w:rPr>
          <w:rFonts w:ascii="Times New Roman" w:hAnsi="Times New Roman" w:cs="Times New Roman"/>
          <w:b/>
          <w:i/>
        </w:rPr>
        <w:t>Overall Health Awareness Levels</w:t>
      </w:r>
    </w:p>
    <w:p w14:paraId="71F8B7E0" w14:textId="1E9B18D3" w:rsidR="003A08F3" w:rsidRPr="003A08F3" w:rsidRDefault="003A08F3" w:rsidP="003A08F3">
      <w:pPr>
        <w:pStyle w:val="BodyText"/>
        <w:spacing w:line="360" w:lineRule="auto"/>
        <w:jc w:val="both"/>
        <w:rPr>
          <w:rFonts w:ascii="Times New Roman" w:hAnsi="Times New Roman" w:cs="Times New Roman"/>
        </w:rPr>
      </w:pPr>
      <w:r w:rsidRPr="003A08F3">
        <w:rPr>
          <w:rFonts w:ascii="Times New Roman" w:hAnsi="Times New Roman" w:cs="Times New Roman"/>
        </w:rPr>
        <w:t>Secondary school students in Barbaruah Block demonstrated relatively high overall health awareness, with a mean score of 0.6</w:t>
      </w:r>
      <w:r w:rsidR="0072666D">
        <w:rPr>
          <w:rFonts w:ascii="Times New Roman" w:hAnsi="Times New Roman" w:cs="Times New Roman"/>
        </w:rPr>
        <w:t>0</w:t>
      </w:r>
      <w:r w:rsidRPr="003A08F3">
        <w:rPr>
          <w:rFonts w:ascii="Times New Roman" w:hAnsi="Times New Roman" w:cs="Times New Roman"/>
        </w:rPr>
        <w:t xml:space="preserve"> (Table 1). This finding suggests that students possess substantial knowledge of health concepts and demonstrate reasonable consciousness regarding health matters. The high mean score aligns with Patel et al. (2019), who documented significant health knowledge among Indian secondary school students through school-based education programs. Similarly, </w:t>
      </w:r>
      <w:r w:rsidR="00B30F0C">
        <w:rPr>
          <w:rFonts w:ascii="Arial" w:hAnsi="Arial" w:cs="Arial"/>
          <w:color w:val="222222"/>
          <w:sz w:val="20"/>
          <w:szCs w:val="20"/>
          <w:shd w:val="clear" w:color="auto" w:fill="FFFFFF"/>
        </w:rPr>
        <w:t>Mann</w:t>
      </w:r>
      <w:r w:rsidR="00B30F0C">
        <w:rPr>
          <w:rFonts w:ascii="Arial" w:hAnsi="Arial" w:cs="Arial"/>
          <w:color w:val="222222"/>
          <w:sz w:val="20"/>
          <w:szCs w:val="20"/>
          <w:shd w:val="clear" w:color="auto" w:fill="FFFFFF"/>
        </w:rPr>
        <w:t xml:space="preserve"> </w:t>
      </w:r>
      <w:r w:rsidR="00B30F0C">
        <w:rPr>
          <w:rFonts w:ascii="Arial" w:hAnsi="Arial" w:cs="Arial"/>
          <w:color w:val="222222"/>
          <w:sz w:val="20"/>
          <w:szCs w:val="20"/>
          <w:shd w:val="clear" w:color="auto" w:fill="FFFFFF"/>
        </w:rPr>
        <w:t xml:space="preserve">&amp; </w:t>
      </w:r>
      <w:proofErr w:type="spellStart"/>
      <w:proofErr w:type="gramStart"/>
      <w:r w:rsidR="00B30F0C">
        <w:rPr>
          <w:rFonts w:ascii="Arial" w:hAnsi="Arial" w:cs="Arial"/>
          <w:color w:val="222222"/>
          <w:sz w:val="20"/>
          <w:szCs w:val="20"/>
          <w:shd w:val="clear" w:color="auto" w:fill="FFFFFF"/>
        </w:rPr>
        <w:t>Lohrmann</w:t>
      </w:r>
      <w:proofErr w:type="spellEnd"/>
      <w:r w:rsidR="00B30F0C" w:rsidRPr="003A08F3">
        <w:rPr>
          <w:rFonts w:ascii="Times New Roman" w:hAnsi="Times New Roman" w:cs="Times New Roman"/>
        </w:rPr>
        <w:t xml:space="preserve"> </w:t>
      </w:r>
      <w:r w:rsidRPr="003A08F3">
        <w:rPr>
          <w:rFonts w:ascii="Times New Roman" w:hAnsi="Times New Roman" w:cs="Times New Roman"/>
        </w:rPr>
        <w:t xml:space="preserve"> (</w:t>
      </w:r>
      <w:proofErr w:type="gramEnd"/>
      <w:r w:rsidR="00B30F0C">
        <w:rPr>
          <w:rFonts w:ascii="Times New Roman" w:hAnsi="Times New Roman" w:cs="Times New Roman"/>
        </w:rPr>
        <w:t>2019</w:t>
      </w:r>
      <w:r w:rsidRPr="003A08F3">
        <w:rPr>
          <w:rFonts w:ascii="Times New Roman" w:hAnsi="Times New Roman" w:cs="Times New Roman"/>
        </w:rPr>
        <w:t>) found that health awareness remains relatively elevated when schools implement comprehensive curricula addressing multiple health dimensions. The concentrated distribution around this mean (as evidenced by limited variance and negative skewness) indicates that most students achieved comparable awareness levels rather than displaying extreme variation. This consistency suggests effective dissemination of health information across the student population in this region.</w:t>
      </w:r>
    </w:p>
    <w:p w14:paraId="6DB2F858" w14:textId="77777777" w:rsidR="003A08F3" w:rsidRPr="003A08F3" w:rsidRDefault="003A08F3" w:rsidP="003A08F3">
      <w:pPr>
        <w:pStyle w:val="BodyText"/>
        <w:spacing w:line="360" w:lineRule="auto"/>
        <w:jc w:val="both"/>
        <w:rPr>
          <w:rFonts w:ascii="Times New Roman" w:hAnsi="Times New Roman" w:cs="Times New Roman"/>
          <w:b/>
          <w:i/>
        </w:rPr>
      </w:pPr>
      <w:r w:rsidRPr="003A08F3">
        <w:rPr>
          <w:rFonts w:ascii="Times New Roman" w:hAnsi="Times New Roman" w:cs="Times New Roman"/>
          <w:b/>
          <w:i/>
        </w:rPr>
        <w:t>Age-Related Differences in Health Awareness</w:t>
      </w:r>
    </w:p>
    <w:p w14:paraId="1FDDE28C" w14:textId="2909A764" w:rsidR="003A08F3" w:rsidRPr="003A08F3" w:rsidRDefault="003A08F3" w:rsidP="003A08F3">
      <w:pPr>
        <w:pStyle w:val="BodyText"/>
        <w:spacing w:line="360" w:lineRule="auto"/>
        <w:jc w:val="both"/>
        <w:rPr>
          <w:rFonts w:ascii="Times New Roman" w:hAnsi="Times New Roman" w:cs="Times New Roman"/>
        </w:rPr>
      </w:pPr>
      <w:r w:rsidRPr="003A08F3">
        <w:rPr>
          <w:rFonts w:ascii="Times New Roman" w:hAnsi="Times New Roman" w:cs="Times New Roman"/>
        </w:rPr>
        <w:lastRenderedPageBreak/>
        <w:t>The most significant finding emerged regarding age-related differences in health awareness. The Kruskal-Wallis test revealed statistically significant differences across age groups (χ² = 9.170, df = 2, p = 0.010) (Table 4), with health awareness displaying a notable pattern: it peaked among students aged 15 years (mean rank = 37.15), remained moderate in students below 15 years (mean rank = 32.13), and showed lowest levels in students above 15 years (mean rank = 22.23) (Table 3). This non-linear pattern challenges the common assumption that health consciousness increases progressively with age and cognitive development.</w:t>
      </w:r>
    </w:p>
    <w:p w14:paraId="6A00B3FD" w14:textId="430067BF" w:rsidR="003A08F3" w:rsidRPr="003A08F3" w:rsidRDefault="003A08F3" w:rsidP="003A08F3">
      <w:pPr>
        <w:pStyle w:val="BodyText"/>
        <w:spacing w:line="360" w:lineRule="auto"/>
        <w:jc w:val="both"/>
        <w:rPr>
          <w:rFonts w:ascii="Times New Roman" w:hAnsi="Times New Roman" w:cs="Times New Roman"/>
        </w:rPr>
      </w:pPr>
      <w:r w:rsidRPr="003A08F3">
        <w:rPr>
          <w:rFonts w:ascii="Times New Roman" w:hAnsi="Times New Roman" w:cs="Times New Roman"/>
        </w:rPr>
        <w:t xml:space="preserve">Steinberg (2008) proposed that adolescent risk-taking and health consciousness undergo developmental changes throughout the teen years, with increasing maturity bringing greater awareness. Our results partly contradict this expectation, as we observed declining awareness among older students. However, similar non-linear patterns were documented by Harrison et al. (2022), who found that social media engagement influences how different age groups trust and process health information, potentially affecting apparent awareness levels. </w:t>
      </w:r>
      <w:proofErr w:type="spellStart"/>
      <w:r w:rsidR="00B30F0C">
        <w:rPr>
          <w:rFonts w:ascii="Arial" w:hAnsi="Arial" w:cs="Arial"/>
          <w:color w:val="222222"/>
          <w:sz w:val="20"/>
          <w:szCs w:val="20"/>
          <w:shd w:val="clear" w:color="auto" w:fill="FFFFFF"/>
        </w:rPr>
        <w:t>Esmaeilzadeh</w:t>
      </w:r>
      <w:proofErr w:type="spellEnd"/>
      <w:r w:rsidR="00B30F0C" w:rsidRPr="003A08F3">
        <w:rPr>
          <w:rFonts w:ascii="Times New Roman" w:hAnsi="Times New Roman" w:cs="Times New Roman"/>
        </w:rPr>
        <w:t xml:space="preserve"> </w:t>
      </w:r>
      <w:r w:rsidR="00B30F0C">
        <w:rPr>
          <w:rFonts w:ascii="Times New Roman" w:hAnsi="Times New Roman" w:cs="Times New Roman"/>
        </w:rPr>
        <w:t xml:space="preserve">et al. </w:t>
      </w:r>
      <w:r w:rsidRPr="003A08F3">
        <w:rPr>
          <w:rFonts w:ascii="Times New Roman" w:hAnsi="Times New Roman" w:cs="Times New Roman"/>
        </w:rPr>
        <w:t>(</w:t>
      </w:r>
      <w:r w:rsidR="00B30F0C">
        <w:rPr>
          <w:rFonts w:ascii="Times New Roman" w:hAnsi="Times New Roman" w:cs="Times New Roman"/>
        </w:rPr>
        <w:t>2018</w:t>
      </w:r>
      <w:r w:rsidRPr="003A08F3">
        <w:rPr>
          <w:rFonts w:ascii="Times New Roman" w:hAnsi="Times New Roman" w:cs="Times New Roman"/>
        </w:rPr>
        <w:t>) found that while information-seeking sophistication increases with age, the motivation to engage with health topics may fluctuate based on life stage concerns and academic pressures.</w:t>
      </w:r>
    </w:p>
    <w:p w14:paraId="548FF345" w14:textId="05A57963" w:rsidR="003A08F3" w:rsidRPr="003A08F3" w:rsidRDefault="003A08F3" w:rsidP="003A08F3">
      <w:pPr>
        <w:pStyle w:val="BodyText"/>
        <w:spacing w:line="360" w:lineRule="auto"/>
        <w:jc w:val="both"/>
        <w:rPr>
          <w:rFonts w:ascii="Times New Roman" w:hAnsi="Times New Roman" w:cs="Times New Roman"/>
        </w:rPr>
      </w:pPr>
      <w:r w:rsidRPr="003A08F3">
        <w:rPr>
          <w:rFonts w:ascii="Times New Roman" w:hAnsi="Times New Roman" w:cs="Times New Roman"/>
        </w:rPr>
        <w:t>The decline in health awareness among students above 15 years may reflect several factors. Older secondary school students face intensified academic pressures related to board examinations and future planning, potentially reducing attention to health education content. Additionally, the transition from mid-adolescence to late adolescence may involve shifting priorities away from general health knowledge toward more immediate concerns. The peak at age 15 may represent an optimal developmental window when students possess sufficient cognitive maturity to comprehend health concepts while maintaining engagement with school-based health education before competing priorities diminish focus. These findings underscore the importance of sustained, reinforced health education throughout secondary schooling rather than assuming automatic improvement with maturation.</w:t>
      </w:r>
    </w:p>
    <w:p w14:paraId="3174835F" w14:textId="77777777" w:rsidR="003A08F3" w:rsidRPr="003A08F3" w:rsidRDefault="003A08F3" w:rsidP="003A08F3">
      <w:pPr>
        <w:pStyle w:val="BodyText"/>
        <w:spacing w:line="360" w:lineRule="auto"/>
        <w:jc w:val="both"/>
        <w:rPr>
          <w:rFonts w:ascii="Times New Roman" w:hAnsi="Times New Roman" w:cs="Times New Roman"/>
          <w:b/>
          <w:i/>
        </w:rPr>
      </w:pPr>
      <w:r w:rsidRPr="003A08F3">
        <w:rPr>
          <w:rFonts w:ascii="Times New Roman" w:hAnsi="Times New Roman" w:cs="Times New Roman"/>
          <w:b/>
          <w:i/>
        </w:rPr>
        <w:t>Sex-Based Differences in Health Awareness</w:t>
      </w:r>
    </w:p>
    <w:p w14:paraId="0CFA434E" w14:textId="6485B11A" w:rsidR="003A08F3" w:rsidRPr="003A08F3" w:rsidRDefault="003A08F3" w:rsidP="003A08F3">
      <w:pPr>
        <w:pStyle w:val="BodyText"/>
        <w:spacing w:line="360" w:lineRule="auto"/>
        <w:jc w:val="both"/>
        <w:rPr>
          <w:rFonts w:ascii="Times New Roman" w:hAnsi="Times New Roman" w:cs="Times New Roman"/>
        </w:rPr>
      </w:pPr>
      <w:r w:rsidRPr="003A08F3">
        <w:rPr>
          <w:rFonts w:ascii="Times New Roman" w:hAnsi="Times New Roman" w:cs="Times New Roman"/>
        </w:rPr>
        <w:t xml:space="preserve">The analysis revealed no statistically significant difference in health awareness between male and female students (Mann-Whitney U = 350.000, Z = -1.628, p = 0.104) (Table 6). Male students showed a slightly higher mean rank (33.83) compared to females (27.17) (Table 5), but this </w:t>
      </w:r>
      <w:r w:rsidRPr="003A08F3">
        <w:rPr>
          <w:rFonts w:ascii="Times New Roman" w:hAnsi="Times New Roman" w:cs="Times New Roman"/>
        </w:rPr>
        <w:lastRenderedPageBreak/>
        <w:t xml:space="preserve">difference was not statistically significant. This finding differs from </w:t>
      </w:r>
      <w:proofErr w:type="spellStart"/>
      <w:r w:rsidR="00986055">
        <w:rPr>
          <w:rFonts w:ascii="Arial" w:hAnsi="Arial" w:cs="Arial"/>
          <w:color w:val="222222"/>
          <w:sz w:val="20"/>
          <w:szCs w:val="20"/>
          <w:shd w:val="clear" w:color="auto" w:fill="FFFFFF"/>
        </w:rPr>
        <w:t>Maitz</w:t>
      </w:r>
      <w:proofErr w:type="spellEnd"/>
      <w:r w:rsidR="00986055" w:rsidRPr="003A08F3">
        <w:rPr>
          <w:rFonts w:ascii="Times New Roman" w:hAnsi="Times New Roman" w:cs="Times New Roman"/>
        </w:rPr>
        <w:t xml:space="preserve"> </w:t>
      </w:r>
      <w:r w:rsidR="00986055">
        <w:rPr>
          <w:rFonts w:ascii="Times New Roman" w:hAnsi="Times New Roman" w:cs="Times New Roman"/>
        </w:rPr>
        <w:t>et al</w:t>
      </w:r>
      <w:r w:rsidRPr="003A08F3">
        <w:rPr>
          <w:rFonts w:ascii="Times New Roman" w:hAnsi="Times New Roman" w:cs="Times New Roman"/>
        </w:rPr>
        <w:t xml:space="preserve"> (</w:t>
      </w:r>
      <w:r w:rsidR="00986055">
        <w:rPr>
          <w:rFonts w:ascii="Times New Roman" w:hAnsi="Times New Roman" w:cs="Times New Roman"/>
        </w:rPr>
        <w:t>2020</w:t>
      </w:r>
      <w:r w:rsidRPr="003A08F3">
        <w:rPr>
          <w:rFonts w:ascii="Times New Roman" w:hAnsi="Times New Roman" w:cs="Times New Roman"/>
        </w:rPr>
        <w:t>), who conducted a systematic review and identified noteworthy sex differences in health consciousness among adolescents, with girls sometimes demonstrating greater awareness of reproductive and mental health topics while boys showed better awareness regarding physical fitness and disease prevention.</w:t>
      </w:r>
    </w:p>
    <w:p w14:paraId="03C94290" w14:textId="69B8921A" w:rsidR="003A08F3" w:rsidRPr="003A08F3" w:rsidRDefault="003A08F3" w:rsidP="003A08F3">
      <w:pPr>
        <w:pStyle w:val="BodyText"/>
        <w:spacing w:line="360" w:lineRule="auto"/>
        <w:jc w:val="both"/>
        <w:rPr>
          <w:rFonts w:ascii="Times New Roman" w:hAnsi="Times New Roman" w:cs="Times New Roman"/>
        </w:rPr>
      </w:pPr>
      <w:r w:rsidRPr="003A08F3">
        <w:rPr>
          <w:rFonts w:ascii="Times New Roman" w:hAnsi="Times New Roman" w:cs="Times New Roman"/>
        </w:rPr>
        <w:t xml:space="preserve">However, our finding of no significant difference aligns with </w:t>
      </w:r>
      <w:proofErr w:type="spellStart"/>
      <w:r w:rsidRPr="003A08F3">
        <w:rPr>
          <w:rFonts w:ascii="Times New Roman" w:hAnsi="Times New Roman" w:cs="Times New Roman"/>
        </w:rPr>
        <w:t>Flisher</w:t>
      </w:r>
      <w:proofErr w:type="spellEnd"/>
      <w:r w:rsidRPr="003A08F3">
        <w:rPr>
          <w:rFonts w:ascii="Times New Roman" w:hAnsi="Times New Roman" w:cs="Times New Roman"/>
        </w:rPr>
        <w:t xml:space="preserve"> et al. (2006), who documented variable patterns of sex differences across different health domains, suggesting that sex differences are not universal but context-dependent. The equality in overall health awareness between boys and girls in our sample suggests greater equity in health education access and effectiveness in Barbaruah Block. This may reflect successful implementation of gender-equitable school policies, inclusion of diverse health topics relevant to all students, or the universal nature of basic health awareness content taught in secondary school curricula. The absence of significant sex differences is encouraging for health education planning, as it suggests that school-based interventions reach both boys and girls effectively.</w:t>
      </w:r>
    </w:p>
    <w:p w14:paraId="5B0B5378" w14:textId="77777777" w:rsidR="003A08F3" w:rsidRPr="003A08F3" w:rsidRDefault="003A08F3" w:rsidP="003A08F3">
      <w:pPr>
        <w:pStyle w:val="BodyText"/>
        <w:spacing w:line="360" w:lineRule="auto"/>
        <w:jc w:val="both"/>
        <w:rPr>
          <w:rFonts w:ascii="Times New Roman" w:hAnsi="Times New Roman" w:cs="Times New Roman"/>
          <w:b/>
          <w:i/>
        </w:rPr>
      </w:pPr>
      <w:r w:rsidRPr="003A08F3">
        <w:rPr>
          <w:rFonts w:ascii="Times New Roman" w:hAnsi="Times New Roman" w:cs="Times New Roman"/>
          <w:b/>
          <w:i/>
        </w:rPr>
        <w:t>Medium of Instruction and Health Awareness</w:t>
      </w:r>
    </w:p>
    <w:p w14:paraId="51DCF4AC" w14:textId="68C9DA37" w:rsidR="003A08F3" w:rsidRPr="003A08F3" w:rsidRDefault="003A08F3" w:rsidP="003A08F3">
      <w:pPr>
        <w:pStyle w:val="BodyText"/>
        <w:spacing w:line="360" w:lineRule="auto"/>
        <w:jc w:val="both"/>
        <w:rPr>
          <w:rFonts w:ascii="Times New Roman" w:hAnsi="Times New Roman" w:cs="Times New Roman"/>
        </w:rPr>
      </w:pPr>
      <w:r w:rsidRPr="003A08F3">
        <w:rPr>
          <w:rFonts w:ascii="Times New Roman" w:hAnsi="Times New Roman" w:cs="Times New Roman"/>
        </w:rPr>
        <w:t>The medium of instruction (Assamese versus English) showed no statistically significant association with health awareness levels (Mann-Whitney U = 350.000, Z = -1.628, p = 0.104) (Table 8). Students from Assamese-medium schools had a mean rank of 33.83, while English-medium students had a mean rank of 27.17 (Table 7), but this difference was not significant. This finding appears to contradict Sharma &amp; Gupta (2020), who identified language proficiency and medium of instruction as affecting health education efficacy in Indian schools, with students in English-medium schools sometimes demonstrating higher health knowledge due to access to English-language health resources.</w:t>
      </w:r>
    </w:p>
    <w:p w14:paraId="2683D5B2" w14:textId="22C569F7" w:rsidR="003A08F3" w:rsidRPr="003A08F3" w:rsidRDefault="003A08F3" w:rsidP="003A08F3">
      <w:pPr>
        <w:pStyle w:val="BodyText"/>
        <w:spacing w:line="360" w:lineRule="auto"/>
        <w:jc w:val="both"/>
        <w:rPr>
          <w:rFonts w:ascii="Times New Roman" w:hAnsi="Times New Roman" w:cs="Times New Roman"/>
        </w:rPr>
      </w:pPr>
      <w:r w:rsidRPr="003A08F3">
        <w:rPr>
          <w:rFonts w:ascii="Times New Roman" w:hAnsi="Times New Roman" w:cs="Times New Roman"/>
        </w:rPr>
        <w:t xml:space="preserve">Our results suggest that core health concepts taught in secondary school curricula transcend linguistic barriers in this setting. This may indicate that health education content represents relatively universal knowledge that does not depend heavily on linguistic nuance or that educators effectively bridge linguistic differences through context, visuals, and demonstrations. Alternatively, the professional training of health educators in both Assamese and English-medium schools may ensure comparable communication effectiveness regardless of teaching medium. The </w:t>
      </w:r>
      <w:r w:rsidRPr="003A08F3">
        <w:rPr>
          <w:rFonts w:ascii="Times New Roman" w:hAnsi="Times New Roman" w:cs="Times New Roman"/>
        </w:rPr>
        <w:lastRenderedPageBreak/>
        <w:t>finding is important for curriculum development, suggesting that comprehensive health education can be effectively delivered through either medium without creating knowledge barriers based on students' language of instruction.</w:t>
      </w:r>
    </w:p>
    <w:p w14:paraId="2AA9E2EF" w14:textId="77777777" w:rsidR="003A08F3" w:rsidRPr="003A08F3" w:rsidRDefault="003A08F3" w:rsidP="003A08F3">
      <w:pPr>
        <w:pStyle w:val="BodyText"/>
        <w:spacing w:line="360" w:lineRule="auto"/>
        <w:jc w:val="both"/>
        <w:rPr>
          <w:rFonts w:ascii="Times New Roman" w:hAnsi="Times New Roman" w:cs="Times New Roman"/>
          <w:b/>
          <w:i/>
        </w:rPr>
      </w:pPr>
      <w:r w:rsidRPr="003A08F3">
        <w:rPr>
          <w:rFonts w:ascii="Times New Roman" w:hAnsi="Times New Roman" w:cs="Times New Roman"/>
          <w:b/>
          <w:i/>
        </w:rPr>
        <w:t>Urban-Rural Differences in Health Awareness</w:t>
      </w:r>
    </w:p>
    <w:p w14:paraId="5273B96C" w14:textId="19B46ECA" w:rsidR="003A08F3" w:rsidRPr="003A08F3" w:rsidRDefault="003A08F3" w:rsidP="003A08F3">
      <w:pPr>
        <w:pStyle w:val="BodyText"/>
        <w:spacing w:line="360" w:lineRule="auto"/>
        <w:jc w:val="both"/>
        <w:rPr>
          <w:rFonts w:ascii="Times New Roman" w:hAnsi="Times New Roman" w:cs="Times New Roman"/>
        </w:rPr>
      </w:pPr>
      <w:r w:rsidRPr="003A08F3">
        <w:rPr>
          <w:rFonts w:ascii="Times New Roman" w:hAnsi="Times New Roman" w:cs="Times New Roman"/>
        </w:rPr>
        <w:t xml:space="preserve">The analysis found no statistically significant difference between urban and rural students (Mann-Whitney U = 376.500, Z = -1.197, p = 0.231) (Table 10). Urban students showed a slightly higher mean rank (32.95) compared to rural students (28.05) (Table 9), but the difference was minimal and non-significant. This finding aligns with </w:t>
      </w:r>
      <w:r w:rsidR="00986055">
        <w:rPr>
          <w:rFonts w:ascii="Arial" w:hAnsi="Arial" w:cs="Arial"/>
          <w:color w:val="222222"/>
          <w:sz w:val="20"/>
          <w:szCs w:val="20"/>
          <w:shd w:val="clear" w:color="auto" w:fill="FFFFFF"/>
        </w:rPr>
        <w:t>Karim</w:t>
      </w:r>
      <w:r w:rsidR="00986055" w:rsidRPr="003A08F3">
        <w:rPr>
          <w:rFonts w:ascii="Times New Roman" w:hAnsi="Times New Roman" w:cs="Times New Roman"/>
        </w:rPr>
        <w:t xml:space="preserve"> </w:t>
      </w:r>
      <w:r w:rsidRPr="003A08F3">
        <w:rPr>
          <w:rFonts w:ascii="Times New Roman" w:hAnsi="Times New Roman" w:cs="Times New Roman"/>
        </w:rPr>
        <w:t>et al. (</w:t>
      </w:r>
      <w:r w:rsidR="00986055">
        <w:rPr>
          <w:rFonts w:ascii="Times New Roman" w:hAnsi="Times New Roman" w:cs="Times New Roman"/>
        </w:rPr>
        <w:t>2021</w:t>
      </w:r>
      <w:r w:rsidRPr="003A08F3">
        <w:rPr>
          <w:rFonts w:ascii="Times New Roman" w:hAnsi="Times New Roman" w:cs="Times New Roman"/>
        </w:rPr>
        <w:t>), who found no significant urban-rural differences in adolescent health knowledge in Bangladesh and attributed this to school-based health education programs that reached both urban and rural populations equally.</w:t>
      </w:r>
    </w:p>
    <w:p w14:paraId="3C9D52D4" w14:textId="77777777" w:rsidR="003A08F3" w:rsidRPr="003A08F3" w:rsidRDefault="003A08F3" w:rsidP="003A08F3">
      <w:pPr>
        <w:pStyle w:val="BodyText"/>
        <w:spacing w:line="360" w:lineRule="auto"/>
        <w:jc w:val="both"/>
        <w:rPr>
          <w:rFonts w:ascii="Times New Roman" w:hAnsi="Times New Roman" w:cs="Times New Roman"/>
        </w:rPr>
      </w:pPr>
    </w:p>
    <w:p w14:paraId="057BE482" w14:textId="0A7EF77C" w:rsidR="003A08F3" w:rsidRPr="003A08F3" w:rsidRDefault="003A08F3" w:rsidP="003A08F3">
      <w:pPr>
        <w:pStyle w:val="BodyText"/>
        <w:spacing w:line="360" w:lineRule="auto"/>
        <w:jc w:val="both"/>
        <w:rPr>
          <w:rFonts w:ascii="Times New Roman" w:hAnsi="Times New Roman" w:cs="Times New Roman"/>
          <w:b/>
          <w:i/>
        </w:rPr>
      </w:pPr>
      <w:r w:rsidRPr="003A08F3">
        <w:rPr>
          <w:rFonts w:ascii="Times New Roman" w:hAnsi="Times New Roman" w:cs="Times New Roman"/>
        </w:rPr>
        <w:t>Similar to our results, Viswanath et al. (2018) noted that while urban and rural residents historically showed differences in health information access and use, contemporary school-based health education and improved communication infrastructure have reduced these disparities. The absence of significant urban-rural differences in our sample suggests that students in both geographic contexts have comparable access to health information through school curricula. This is an encouraging finding for health equity, indicating that health education initiatives in this region successfully reach both urban and rural secondary school populations without creating geographic disparities.</w:t>
      </w:r>
    </w:p>
    <w:p w14:paraId="7CFA1249" w14:textId="77777777" w:rsidR="003A08F3" w:rsidRPr="003A08F3" w:rsidRDefault="003A08F3" w:rsidP="003A08F3">
      <w:pPr>
        <w:pStyle w:val="BodyText"/>
        <w:spacing w:line="360" w:lineRule="auto"/>
        <w:jc w:val="both"/>
        <w:rPr>
          <w:rFonts w:ascii="Times New Roman" w:hAnsi="Times New Roman" w:cs="Times New Roman"/>
          <w:b/>
          <w:i/>
        </w:rPr>
      </w:pPr>
      <w:r w:rsidRPr="003A08F3">
        <w:rPr>
          <w:rFonts w:ascii="Times New Roman" w:hAnsi="Times New Roman" w:cs="Times New Roman"/>
          <w:b/>
          <w:i/>
        </w:rPr>
        <w:t>Implications for Health Education and Policy</w:t>
      </w:r>
    </w:p>
    <w:p w14:paraId="2BA1999C" w14:textId="00AAC0C9" w:rsidR="003A08F3" w:rsidRPr="003A08F3" w:rsidRDefault="003A08F3" w:rsidP="003A08F3">
      <w:pPr>
        <w:pStyle w:val="BodyText"/>
        <w:spacing w:line="360" w:lineRule="auto"/>
        <w:jc w:val="both"/>
        <w:rPr>
          <w:rFonts w:ascii="Times New Roman" w:hAnsi="Times New Roman" w:cs="Times New Roman"/>
        </w:rPr>
      </w:pPr>
      <w:r w:rsidRPr="003A08F3">
        <w:rPr>
          <w:rFonts w:ascii="Times New Roman" w:hAnsi="Times New Roman" w:cs="Times New Roman"/>
        </w:rPr>
        <w:t xml:space="preserve">The age-related pattern of health awareness carries important implications for schools and policy makers. Rather than assuming that health consciousness naturally improves with age, schools should implement sustained, reinforced health education throughout secondary schooling. Younger students may benefit from foundational health concepts, while older students might engage more deeply with applied decision-making and personal health planning. Regular reminders and updated health content delivered through interactive approaches could help maintain and strengthen awareness as </w:t>
      </w:r>
      <w:r w:rsidR="00160D87" w:rsidRPr="003A08F3">
        <w:rPr>
          <w:rFonts w:ascii="Times New Roman" w:hAnsi="Times New Roman" w:cs="Times New Roman"/>
        </w:rPr>
        <w:t>students’</w:t>
      </w:r>
      <w:r w:rsidRPr="003A08F3">
        <w:rPr>
          <w:rFonts w:ascii="Times New Roman" w:hAnsi="Times New Roman" w:cs="Times New Roman"/>
        </w:rPr>
        <w:t xml:space="preserve"> progress through secondary school.</w:t>
      </w:r>
    </w:p>
    <w:p w14:paraId="0F42C030" w14:textId="43E8FFDA" w:rsidR="003A08F3" w:rsidRPr="003A08F3" w:rsidRDefault="003A08F3" w:rsidP="003A08F3">
      <w:pPr>
        <w:pStyle w:val="BodyText"/>
        <w:spacing w:line="360" w:lineRule="auto"/>
        <w:jc w:val="both"/>
        <w:rPr>
          <w:rFonts w:ascii="Times New Roman" w:hAnsi="Times New Roman" w:cs="Times New Roman"/>
        </w:rPr>
      </w:pPr>
      <w:r w:rsidRPr="003A08F3">
        <w:rPr>
          <w:rFonts w:ascii="Times New Roman" w:hAnsi="Times New Roman" w:cs="Times New Roman"/>
        </w:rPr>
        <w:lastRenderedPageBreak/>
        <w:t>The equity demonstrated across sex, medium of instruction, and geographic location is an asset to the region, suggesting that current educational infrastructure effectively disseminates health information without creating systematic barriers. However, this does not warrant complacency. Continued monitoring is essential to ensure these equitable patterns persist, and targeted efforts should address any emerging gaps. School administrators, policy makers, and health educators should work collaboratively to sustain this equity while addressing the age-specific challenge of declining awareness among older students through targeted interventions.</w:t>
      </w:r>
    </w:p>
    <w:p w14:paraId="0ED3A2AB" w14:textId="77777777" w:rsidR="003A08F3" w:rsidRPr="003A08F3" w:rsidRDefault="003A08F3" w:rsidP="003A08F3">
      <w:pPr>
        <w:pStyle w:val="BodyText"/>
        <w:spacing w:line="360" w:lineRule="auto"/>
        <w:jc w:val="both"/>
        <w:rPr>
          <w:rFonts w:ascii="Times New Roman" w:hAnsi="Times New Roman" w:cs="Times New Roman"/>
          <w:b/>
        </w:rPr>
      </w:pPr>
      <w:r w:rsidRPr="003A08F3">
        <w:rPr>
          <w:rFonts w:ascii="Times New Roman" w:hAnsi="Times New Roman" w:cs="Times New Roman"/>
          <w:b/>
        </w:rPr>
        <w:t>Strengths, Limitations, and Future Directions</w:t>
      </w:r>
    </w:p>
    <w:p w14:paraId="01853AC7" w14:textId="68143A8F" w:rsidR="003A08F3" w:rsidRPr="003A08F3" w:rsidRDefault="003A08F3" w:rsidP="003A08F3">
      <w:pPr>
        <w:pStyle w:val="BodyText"/>
        <w:spacing w:line="360" w:lineRule="auto"/>
        <w:jc w:val="both"/>
        <w:rPr>
          <w:rFonts w:ascii="Times New Roman" w:hAnsi="Times New Roman" w:cs="Times New Roman"/>
        </w:rPr>
      </w:pPr>
      <w:r w:rsidRPr="003A08F3">
        <w:rPr>
          <w:rFonts w:ascii="Times New Roman" w:hAnsi="Times New Roman" w:cs="Times New Roman"/>
        </w:rPr>
        <w:t>This study contributes valuable data regarding health awareness among secondary school students in northeast India, a region where such research remains limited. The use of rigorous non-parametric statistical methods and adequate sample size enhances the reliability of findings. However, the cross-sectional design captured health awareness at a single point and cannot establish causal relationships or track development over time. Longitudinal studies following the same cohort would illuminate how health awareness changes during adolescence and which factors sustain or diminish it. Additionally, qualitative research exploring students' perspectives on health and the sources of their awareness would enrich understanding beyond numerical scores. Finally, investigating the relationship between health awareness and actual behavior would reveal whether knowledge translates into health-promoting actions, addressing the critical gap between knowing and doing.</w:t>
      </w:r>
    </w:p>
    <w:p w14:paraId="2FBD4FFD" w14:textId="77777777" w:rsidR="00887028" w:rsidRDefault="000E5F61" w:rsidP="00B04A0A">
      <w:pPr>
        <w:spacing w:line="360" w:lineRule="auto"/>
        <w:jc w:val="both"/>
        <w:rPr>
          <w:rFonts w:ascii="Times New Roman" w:hAnsi="Times New Roman" w:cs="Times New Roman"/>
          <w:color w:val="000000" w:themeColor="text1"/>
        </w:rPr>
      </w:pPr>
      <w:bookmarkStart w:id="19" w:name="directions-for-future-research"/>
      <w:r w:rsidRPr="00AC4BA8">
        <w:rPr>
          <w:rFonts w:ascii="Times New Roman" w:hAnsi="Times New Roman" w:cs="Times New Roman"/>
          <w:b/>
          <w:bCs/>
          <w:color w:val="000000" w:themeColor="text1"/>
        </w:rPr>
        <w:t>Conclusion:</w:t>
      </w:r>
      <w:r w:rsidRPr="00AC4BA8">
        <w:rPr>
          <w:rFonts w:ascii="Times New Roman" w:hAnsi="Times New Roman" w:cs="Times New Roman"/>
          <w:color w:val="000000" w:themeColor="text1"/>
        </w:rPr>
        <w:t xml:space="preserve"> </w:t>
      </w:r>
    </w:p>
    <w:p w14:paraId="32CBB2B2" w14:textId="71FF373C" w:rsidR="000E5F61" w:rsidRDefault="00887028" w:rsidP="00B04A0A">
      <w:pPr>
        <w:spacing w:line="360" w:lineRule="auto"/>
        <w:jc w:val="both"/>
        <w:rPr>
          <w:rFonts w:ascii="Times New Roman" w:hAnsi="Times New Roman" w:cs="Times New Roman"/>
          <w:color w:val="000000" w:themeColor="text1"/>
        </w:rPr>
      </w:pPr>
      <w:r w:rsidRPr="00887028">
        <w:rPr>
          <w:rFonts w:ascii="Times New Roman" w:hAnsi="Times New Roman" w:cs="Times New Roman"/>
          <w:color w:val="000000" w:themeColor="text1"/>
        </w:rPr>
        <w:t>Secondary school students in Barbaruah Block show high overall health awareness, though awareness varies significantly by age. The peak in awareness among mid-</w:t>
      </w:r>
      <w:proofErr w:type="gramStart"/>
      <w:r w:rsidR="00741109" w:rsidRPr="00887028">
        <w:rPr>
          <w:rFonts w:ascii="Times New Roman" w:hAnsi="Times New Roman" w:cs="Times New Roman"/>
          <w:color w:val="000000" w:themeColor="text1"/>
        </w:rPr>
        <w:t>adolescents’</w:t>
      </w:r>
      <w:proofErr w:type="gramEnd"/>
      <w:r w:rsidRPr="00887028">
        <w:rPr>
          <w:rFonts w:ascii="Times New Roman" w:hAnsi="Times New Roman" w:cs="Times New Roman"/>
          <w:color w:val="000000" w:themeColor="text1"/>
        </w:rPr>
        <w:t xml:space="preserve"> challenges assumptions about continuous improvement with age. The equitable awareness across demographic groups is encouraging. Future research should explore how awareness develops over time, what influences students' health perspectives, and whether awareness translates into actual behavior change. Schools need sustained, developmentally appropriate health education to build lasting health consciousness.</w:t>
      </w:r>
    </w:p>
    <w:p w14:paraId="66F6FEFE" w14:textId="43B4356C" w:rsidR="009E28C2" w:rsidRDefault="009E28C2" w:rsidP="00B04A0A">
      <w:pPr>
        <w:spacing w:line="360" w:lineRule="auto"/>
        <w:jc w:val="both"/>
        <w:rPr>
          <w:rFonts w:ascii="Times New Roman" w:hAnsi="Times New Roman" w:cs="Times New Roman"/>
          <w:color w:val="000000" w:themeColor="text1"/>
        </w:rPr>
      </w:pPr>
    </w:p>
    <w:p w14:paraId="0ECCE3AB" w14:textId="53E43986" w:rsidR="005C3B0E" w:rsidRPr="005C3B0E" w:rsidRDefault="005C3B0E" w:rsidP="005C3B0E">
      <w:pPr>
        <w:rPr>
          <w:b/>
        </w:rPr>
      </w:pPr>
      <w:r w:rsidRPr="005C3B0E">
        <w:rPr>
          <w:b/>
        </w:rPr>
        <w:lastRenderedPageBreak/>
        <w:t xml:space="preserve">Ethical Approval and Consent: </w:t>
      </w:r>
    </w:p>
    <w:p w14:paraId="7F787E54" w14:textId="6546C0A1" w:rsidR="005C3B0E" w:rsidRDefault="005C3B0E" w:rsidP="005C3B0E">
      <w:r>
        <w:t>Appropriate ethical approval was obtained prior to data collection. Informed consent was secured from school authorities and participants’ parents or guardians. Student participation was voluntary, and confidentiality of all collected data was maintained throughout the study.</w:t>
      </w:r>
    </w:p>
    <w:p w14:paraId="4C7B4F0A" w14:textId="77777777" w:rsidR="005C3B0E" w:rsidRDefault="005C3B0E" w:rsidP="009E28C2"/>
    <w:p w14:paraId="16FFF785" w14:textId="77777777" w:rsidR="005C3B0E" w:rsidRDefault="005C3B0E" w:rsidP="009E28C2"/>
    <w:p w14:paraId="0A9299EC" w14:textId="319407E7" w:rsidR="009E28C2" w:rsidRPr="005C3B0E" w:rsidRDefault="009E28C2" w:rsidP="009E28C2">
      <w:pPr>
        <w:rPr>
          <w:b/>
        </w:rPr>
      </w:pPr>
      <w:r w:rsidRPr="005C3B0E">
        <w:rPr>
          <w:b/>
        </w:rPr>
        <w:t>Disclaimer (Artificial intelligence)</w:t>
      </w:r>
    </w:p>
    <w:p w14:paraId="352797AD" w14:textId="77777777" w:rsidR="009E28C2" w:rsidRDefault="009E28C2" w:rsidP="009E28C2">
      <w:r>
        <w:t xml:space="preserve">Option 1: </w:t>
      </w:r>
    </w:p>
    <w:p w14:paraId="4AF29061" w14:textId="77777777" w:rsidR="009E28C2" w:rsidRDefault="009E28C2" w:rsidP="009E28C2">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699AC7C" w14:textId="77777777" w:rsidR="009E28C2" w:rsidRDefault="009E28C2" w:rsidP="009E28C2">
      <w:r>
        <w:t xml:space="preserve">Option 2: </w:t>
      </w:r>
    </w:p>
    <w:p w14:paraId="607AE351" w14:textId="77777777" w:rsidR="009E28C2" w:rsidRDefault="009E28C2" w:rsidP="009E28C2">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56F8532" w14:textId="77777777" w:rsidR="009E28C2" w:rsidRDefault="009E28C2" w:rsidP="009E28C2">
      <w:r>
        <w:t>Details of the AI usage are given below:</w:t>
      </w:r>
    </w:p>
    <w:p w14:paraId="0255C927" w14:textId="77777777" w:rsidR="009E28C2" w:rsidRDefault="009E28C2" w:rsidP="009E28C2">
      <w:r>
        <w:t>1.</w:t>
      </w:r>
    </w:p>
    <w:p w14:paraId="3012858E" w14:textId="77777777" w:rsidR="009E28C2" w:rsidRDefault="009E28C2" w:rsidP="009E28C2">
      <w:r>
        <w:t>2.</w:t>
      </w:r>
    </w:p>
    <w:p w14:paraId="519A6EC1" w14:textId="77777777" w:rsidR="009E28C2" w:rsidRPr="00D047BB" w:rsidRDefault="009E28C2" w:rsidP="009E28C2">
      <w:r>
        <w:t>3.</w:t>
      </w:r>
    </w:p>
    <w:p w14:paraId="2C97CE9C" w14:textId="77777777" w:rsidR="009E28C2" w:rsidRPr="0063354D" w:rsidRDefault="009E28C2" w:rsidP="009E28C2"/>
    <w:p w14:paraId="56DE111C" w14:textId="77777777" w:rsidR="009E28C2" w:rsidRPr="00F7241A" w:rsidRDefault="009E28C2" w:rsidP="009E28C2"/>
    <w:p w14:paraId="737239E3" w14:textId="77777777" w:rsidR="009E28C2" w:rsidRPr="00AC4BA8" w:rsidRDefault="009E28C2" w:rsidP="00B04A0A">
      <w:pPr>
        <w:spacing w:line="360" w:lineRule="auto"/>
        <w:jc w:val="both"/>
        <w:rPr>
          <w:rFonts w:ascii="Times New Roman" w:hAnsi="Times New Roman" w:cs="Times New Roman"/>
          <w:color w:val="000000" w:themeColor="text1"/>
        </w:rPr>
      </w:pPr>
    </w:p>
    <w:p w14:paraId="2C223FC1" w14:textId="339E8280" w:rsidR="00340C41" w:rsidRDefault="00340C41" w:rsidP="00340C41">
      <w:pPr>
        <w:pStyle w:val="Heading2"/>
        <w:spacing w:line="360" w:lineRule="auto"/>
        <w:jc w:val="both"/>
        <w:rPr>
          <w:rFonts w:ascii="Times New Roman" w:hAnsi="Times New Roman" w:cs="Times New Roman"/>
          <w:color w:val="000000" w:themeColor="text1"/>
          <w:sz w:val="24"/>
          <w:szCs w:val="24"/>
        </w:rPr>
      </w:pPr>
      <w:bookmarkStart w:id="20" w:name="references"/>
      <w:bookmarkEnd w:id="0"/>
      <w:bookmarkEnd w:id="18"/>
      <w:bookmarkEnd w:id="19"/>
      <w:r w:rsidRPr="00AC4BA8">
        <w:rPr>
          <w:rFonts w:ascii="Times New Roman" w:hAnsi="Times New Roman" w:cs="Times New Roman"/>
          <w:color w:val="000000" w:themeColor="text1"/>
          <w:sz w:val="24"/>
          <w:szCs w:val="24"/>
        </w:rPr>
        <w:t>References</w:t>
      </w:r>
    </w:p>
    <w:p w14:paraId="630140C4" w14:textId="398EC8F2" w:rsidR="00B30F0C" w:rsidRPr="00B30F0C" w:rsidRDefault="00B30F0C" w:rsidP="00B30F0C">
      <w:pPr>
        <w:pStyle w:val="BodyText"/>
      </w:pPr>
      <w:r>
        <w:rPr>
          <w:rFonts w:ascii="Arial" w:hAnsi="Arial" w:cs="Arial"/>
          <w:color w:val="222222"/>
          <w:sz w:val="20"/>
          <w:szCs w:val="20"/>
          <w:shd w:val="clear" w:color="auto" w:fill="FFFFFF"/>
        </w:rPr>
        <w:t xml:space="preserve">Mann, M. J., &amp; </w:t>
      </w:r>
      <w:proofErr w:type="spellStart"/>
      <w:r>
        <w:rPr>
          <w:rFonts w:ascii="Arial" w:hAnsi="Arial" w:cs="Arial"/>
          <w:color w:val="222222"/>
          <w:sz w:val="20"/>
          <w:szCs w:val="20"/>
          <w:shd w:val="clear" w:color="auto" w:fill="FFFFFF"/>
        </w:rPr>
        <w:t>Lohrmann</w:t>
      </w:r>
      <w:proofErr w:type="spellEnd"/>
      <w:r>
        <w:rPr>
          <w:rFonts w:ascii="Arial" w:hAnsi="Arial" w:cs="Arial"/>
          <w:color w:val="222222"/>
          <w:sz w:val="20"/>
          <w:szCs w:val="20"/>
          <w:shd w:val="clear" w:color="auto" w:fill="FFFFFF"/>
        </w:rPr>
        <w:t>, D. K. (2019). Addressing challenges to the reliable, large-scale implementation of effective school health education. </w:t>
      </w:r>
      <w:r>
        <w:rPr>
          <w:rFonts w:ascii="Arial" w:hAnsi="Arial" w:cs="Arial"/>
          <w:i/>
          <w:iCs/>
          <w:color w:val="222222"/>
          <w:sz w:val="20"/>
          <w:szCs w:val="20"/>
          <w:shd w:val="clear" w:color="auto" w:fill="FFFFFF"/>
        </w:rPr>
        <w:t>Health promotion practice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w:t>
      </w:r>
      <w:r>
        <w:rPr>
          <w:rFonts w:ascii="Arial" w:hAnsi="Arial" w:cs="Arial"/>
          <w:color w:val="222222"/>
          <w:sz w:val="20"/>
          <w:szCs w:val="20"/>
          <w:shd w:val="clear" w:color="auto" w:fill="FFFFFF"/>
        </w:rPr>
        <w:t>(6), 834-844.</w:t>
      </w:r>
    </w:p>
    <w:p w14:paraId="6402942E" w14:textId="012FADF5" w:rsidR="00267766" w:rsidRDefault="00267766" w:rsidP="00267766">
      <w:pPr>
        <w:pStyle w:val="BodyText"/>
        <w:ind w:left="720" w:hanging="720"/>
        <w:rPr>
          <w:rFonts w:ascii="Times New Roman" w:hAnsi="Times New Roman" w:cs="Times New Roman"/>
          <w:lang w:val="en-IN"/>
        </w:rPr>
      </w:pPr>
      <w:r w:rsidRPr="00B30F0C">
        <w:rPr>
          <w:rFonts w:ascii="Times New Roman" w:hAnsi="Times New Roman" w:cs="Times New Roman"/>
          <w:lang w:val="en-IN"/>
        </w:rPr>
        <w:t>Harrison, A., Dempsey, M., &amp; Cross, S. (2022). How adolescents trust health information on social media: A systematic review. </w:t>
      </w:r>
      <w:r w:rsidRPr="00B30F0C">
        <w:rPr>
          <w:rFonts w:ascii="Times New Roman" w:hAnsi="Times New Roman" w:cs="Times New Roman"/>
          <w:i/>
          <w:iCs/>
          <w:lang w:val="en-IN"/>
        </w:rPr>
        <w:t>Adolescent Medicine Review, 34</w:t>
      </w:r>
      <w:r w:rsidRPr="00B30F0C">
        <w:rPr>
          <w:rFonts w:ascii="Times New Roman" w:hAnsi="Times New Roman" w:cs="Times New Roman"/>
          <w:lang w:val="en-IN"/>
        </w:rPr>
        <w:t>(4), 287–302.</w:t>
      </w:r>
    </w:p>
    <w:p w14:paraId="3E740EC2" w14:textId="77777777" w:rsidR="00986055" w:rsidRDefault="00B30F0C" w:rsidP="00267766">
      <w:pPr>
        <w:pStyle w:val="BodyText"/>
        <w:ind w:left="720" w:hanging="720"/>
        <w:rPr>
          <w:rFonts w:ascii="Arial" w:hAnsi="Arial" w:cs="Arial"/>
          <w:color w:val="222222"/>
          <w:sz w:val="20"/>
          <w:szCs w:val="20"/>
        </w:rPr>
      </w:pPr>
      <w:proofErr w:type="spellStart"/>
      <w:r>
        <w:rPr>
          <w:rFonts w:ascii="Arial" w:hAnsi="Arial" w:cs="Arial"/>
          <w:color w:val="222222"/>
          <w:sz w:val="20"/>
          <w:szCs w:val="20"/>
          <w:shd w:val="clear" w:color="auto" w:fill="FFFFFF"/>
        </w:rPr>
        <w:t>Esmaeilzadeh</w:t>
      </w:r>
      <w:proofErr w:type="spellEnd"/>
      <w:r>
        <w:rPr>
          <w:rFonts w:ascii="Arial" w:hAnsi="Arial" w:cs="Arial"/>
          <w:color w:val="222222"/>
          <w:sz w:val="20"/>
          <w:szCs w:val="20"/>
          <w:shd w:val="clear" w:color="auto" w:fill="FFFFFF"/>
        </w:rPr>
        <w:t>, S., Ashrafi-</w:t>
      </w:r>
      <w:proofErr w:type="spellStart"/>
      <w:r>
        <w:rPr>
          <w:rFonts w:ascii="Arial" w:hAnsi="Arial" w:cs="Arial"/>
          <w:color w:val="222222"/>
          <w:sz w:val="20"/>
          <w:szCs w:val="20"/>
          <w:shd w:val="clear" w:color="auto" w:fill="FFFFFF"/>
        </w:rPr>
        <w:t>Rizi</w:t>
      </w:r>
      <w:proofErr w:type="spellEnd"/>
      <w:r>
        <w:rPr>
          <w:rFonts w:ascii="Arial" w:hAnsi="Arial" w:cs="Arial"/>
          <w:color w:val="222222"/>
          <w:sz w:val="20"/>
          <w:szCs w:val="20"/>
          <w:shd w:val="clear" w:color="auto" w:fill="FFFFFF"/>
        </w:rPr>
        <w:t xml:space="preserve">, H., </w:t>
      </w:r>
      <w:proofErr w:type="spellStart"/>
      <w:r>
        <w:rPr>
          <w:rFonts w:ascii="Arial" w:hAnsi="Arial" w:cs="Arial"/>
          <w:color w:val="222222"/>
          <w:sz w:val="20"/>
          <w:szCs w:val="20"/>
          <w:shd w:val="clear" w:color="auto" w:fill="FFFFFF"/>
        </w:rPr>
        <w:t>Shahrzadi</w:t>
      </w:r>
      <w:proofErr w:type="spellEnd"/>
      <w:r>
        <w:rPr>
          <w:rFonts w:ascii="Arial" w:hAnsi="Arial" w:cs="Arial"/>
          <w:color w:val="222222"/>
          <w:sz w:val="20"/>
          <w:szCs w:val="20"/>
          <w:shd w:val="clear" w:color="auto" w:fill="FFFFFF"/>
        </w:rPr>
        <w:t xml:space="preserve">, L., &amp; </w:t>
      </w:r>
      <w:proofErr w:type="spellStart"/>
      <w:r>
        <w:rPr>
          <w:rFonts w:ascii="Arial" w:hAnsi="Arial" w:cs="Arial"/>
          <w:color w:val="222222"/>
          <w:sz w:val="20"/>
          <w:szCs w:val="20"/>
          <w:shd w:val="clear" w:color="auto" w:fill="FFFFFF"/>
        </w:rPr>
        <w:t>Mostafavi</w:t>
      </w:r>
      <w:proofErr w:type="spellEnd"/>
      <w:r>
        <w:rPr>
          <w:rFonts w:ascii="Arial" w:hAnsi="Arial" w:cs="Arial"/>
          <w:color w:val="222222"/>
          <w:sz w:val="20"/>
          <w:szCs w:val="20"/>
          <w:shd w:val="clear" w:color="auto" w:fill="FFFFFF"/>
        </w:rPr>
        <w:t>, F. (2018). A survey on adolescent health information seeking behavior related to high-risk behaviors in a selected educational district in Isfahan. </w:t>
      </w:r>
      <w:proofErr w:type="spellStart"/>
      <w:r>
        <w:rPr>
          <w:rFonts w:ascii="Arial" w:hAnsi="Arial" w:cs="Arial"/>
          <w:i/>
          <w:iCs/>
          <w:color w:val="222222"/>
          <w:sz w:val="20"/>
          <w:szCs w:val="20"/>
          <w:shd w:val="clear" w:color="auto" w:fill="FFFFFF"/>
        </w:rPr>
        <w:t>PloS</w:t>
      </w:r>
      <w:proofErr w:type="spellEnd"/>
      <w:r>
        <w:rPr>
          <w:rFonts w:ascii="Arial" w:hAnsi="Arial" w:cs="Arial"/>
          <w:i/>
          <w:iCs/>
          <w:color w:val="222222"/>
          <w:sz w:val="20"/>
          <w:szCs w:val="20"/>
          <w:shd w:val="clear" w:color="auto" w:fill="FFFFFF"/>
        </w:rPr>
        <w:t xml:space="preserve"> one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(11), e0206647.</w:t>
      </w:r>
      <w:r w:rsidR="00986055" w:rsidRPr="00986055">
        <w:rPr>
          <w:rFonts w:ascii="Arial" w:hAnsi="Arial" w:cs="Arial"/>
          <w:color w:val="222222"/>
          <w:sz w:val="20"/>
          <w:szCs w:val="20"/>
        </w:rPr>
        <w:t xml:space="preserve"> </w:t>
      </w:r>
    </w:p>
    <w:p w14:paraId="1D313146" w14:textId="14DEB28A" w:rsidR="00B30F0C" w:rsidRPr="00267766" w:rsidRDefault="00986055" w:rsidP="00267766">
      <w:pPr>
        <w:pStyle w:val="BodyText"/>
        <w:ind w:left="720" w:hanging="720"/>
        <w:rPr>
          <w:rFonts w:ascii="Times New Roman" w:hAnsi="Times New Roman" w:cs="Times New Roman"/>
          <w:lang w:val="en-IN"/>
        </w:rPr>
      </w:pPr>
      <w:proofErr w:type="spellStart"/>
      <w:r>
        <w:rPr>
          <w:rFonts w:ascii="Arial" w:hAnsi="Arial" w:cs="Arial"/>
          <w:color w:val="222222"/>
          <w:sz w:val="20"/>
          <w:szCs w:val="20"/>
        </w:rPr>
        <w:lastRenderedPageBreak/>
        <w:t>Maitz</w:t>
      </w:r>
      <w:proofErr w:type="spellEnd"/>
      <w:r>
        <w:rPr>
          <w:rFonts w:ascii="Arial" w:hAnsi="Arial" w:cs="Arial"/>
          <w:color w:val="222222"/>
          <w:sz w:val="20"/>
          <w:szCs w:val="20"/>
        </w:rPr>
        <w:t xml:space="preserve">, E., </w:t>
      </w:r>
      <w:proofErr w:type="spellStart"/>
      <w:r>
        <w:rPr>
          <w:rFonts w:ascii="Arial" w:hAnsi="Arial" w:cs="Arial"/>
          <w:color w:val="222222"/>
          <w:sz w:val="20"/>
          <w:szCs w:val="20"/>
        </w:rPr>
        <w:t>Maitz</w:t>
      </w:r>
      <w:proofErr w:type="spellEnd"/>
      <w:r>
        <w:rPr>
          <w:rFonts w:ascii="Arial" w:hAnsi="Arial" w:cs="Arial"/>
          <w:color w:val="222222"/>
          <w:sz w:val="20"/>
          <w:szCs w:val="20"/>
        </w:rPr>
        <w:t xml:space="preserve">, K., </w:t>
      </w:r>
      <w:proofErr w:type="spellStart"/>
      <w:r>
        <w:rPr>
          <w:rFonts w:ascii="Arial" w:hAnsi="Arial" w:cs="Arial"/>
          <w:color w:val="222222"/>
          <w:sz w:val="20"/>
          <w:szCs w:val="20"/>
        </w:rPr>
        <w:t>Sendlhofer</w:t>
      </w:r>
      <w:proofErr w:type="spellEnd"/>
      <w:r>
        <w:rPr>
          <w:rFonts w:ascii="Arial" w:hAnsi="Arial" w:cs="Arial"/>
          <w:color w:val="222222"/>
          <w:sz w:val="20"/>
          <w:szCs w:val="20"/>
        </w:rPr>
        <w:t xml:space="preserve">, G., </w:t>
      </w:r>
      <w:proofErr w:type="spellStart"/>
      <w:r>
        <w:rPr>
          <w:rFonts w:ascii="Arial" w:hAnsi="Arial" w:cs="Arial"/>
          <w:color w:val="222222"/>
          <w:sz w:val="20"/>
          <w:szCs w:val="20"/>
        </w:rPr>
        <w:t>Wolfsberger</w:t>
      </w:r>
      <w:proofErr w:type="spellEnd"/>
      <w:r>
        <w:rPr>
          <w:rFonts w:ascii="Arial" w:hAnsi="Arial" w:cs="Arial"/>
          <w:color w:val="222222"/>
          <w:sz w:val="20"/>
          <w:szCs w:val="20"/>
        </w:rPr>
        <w:t xml:space="preserve">, C., Mautner, S., </w:t>
      </w:r>
      <w:proofErr w:type="spellStart"/>
      <w:r>
        <w:rPr>
          <w:rFonts w:ascii="Arial" w:hAnsi="Arial" w:cs="Arial"/>
          <w:color w:val="222222"/>
          <w:sz w:val="20"/>
          <w:szCs w:val="20"/>
        </w:rPr>
        <w:t>Kamolz</w:t>
      </w:r>
      <w:proofErr w:type="spellEnd"/>
      <w:r>
        <w:rPr>
          <w:rFonts w:ascii="Arial" w:hAnsi="Arial" w:cs="Arial"/>
          <w:color w:val="222222"/>
          <w:sz w:val="20"/>
          <w:szCs w:val="20"/>
        </w:rPr>
        <w:t xml:space="preserve">, L. P., &amp; </w:t>
      </w:r>
      <w:proofErr w:type="spellStart"/>
      <w:r>
        <w:rPr>
          <w:rFonts w:ascii="Arial" w:hAnsi="Arial" w:cs="Arial"/>
          <w:color w:val="222222"/>
          <w:sz w:val="20"/>
          <w:szCs w:val="20"/>
        </w:rPr>
        <w:t>Gasteiger-Klicpera</w:t>
      </w:r>
      <w:proofErr w:type="spellEnd"/>
      <w:r>
        <w:rPr>
          <w:rFonts w:ascii="Arial" w:hAnsi="Arial" w:cs="Arial"/>
          <w:color w:val="222222"/>
          <w:sz w:val="20"/>
          <w:szCs w:val="20"/>
        </w:rPr>
        <w:t>, B. (2020). Internet-based health information–seeking behavior of students aged 12 to 14 years: Mixed methods study. </w:t>
      </w:r>
      <w:r>
        <w:rPr>
          <w:rFonts w:ascii="Arial" w:hAnsi="Arial" w:cs="Arial"/>
          <w:i/>
          <w:iCs/>
          <w:color w:val="222222"/>
          <w:sz w:val="20"/>
          <w:szCs w:val="20"/>
        </w:rPr>
        <w:t>Journal of Medical Internet Research</w:t>
      </w:r>
      <w:r>
        <w:rPr>
          <w:rFonts w:ascii="Arial" w:hAnsi="Arial" w:cs="Arial"/>
          <w:color w:val="222222"/>
          <w:sz w:val="20"/>
          <w:szCs w:val="20"/>
        </w:rPr>
        <w:t>, </w:t>
      </w:r>
      <w:r>
        <w:rPr>
          <w:rFonts w:ascii="Arial" w:hAnsi="Arial" w:cs="Arial"/>
          <w:i/>
          <w:iCs/>
          <w:color w:val="222222"/>
          <w:sz w:val="20"/>
          <w:szCs w:val="20"/>
        </w:rPr>
        <w:t>22</w:t>
      </w:r>
      <w:r>
        <w:rPr>
          <w:rFonts w:ascii="Arial" w:hAnsi="Arial" w:cs="Arial"/>
          <w:color w:val="222222"/>
          <w:sz w:val="20"/>
          <w:szCs w:val="20"/>
        </w:rPr>
        <w:t>(5), e16281.</w:t>
      </w:r>
    </w:p>
    <w:p w14:paraId="42E4C0AB" w14:textId="77777777" w:rsidR="00267766" w:rsidRPr="00267766" w:rsidRDefault="00267766" w:rsidP="00267766">
      <w:pPr>
        <w:pStyle w:val="BodyText"/>
        <w:ind w:left="720" w:hanging="720"/>
        <w:rPr>
          <w:rFonts w:ascii="Times New Roman" w:hAnsi="Times New Roman" w:cs="Times New Roman"/>
          <w:lang w:val="en-IN"/>
        </w:rPr>
      </w:pPr>
      <w:r w:rsidRPr="00986055">
        <w:rPr>
          <w:rFonts w:ascii="Times New Roman" w:hAnsi="Times New Roman" w:cs="Times New Roman"/>
          <w:lang w:val="en-IN"/>
        </w:rPr>
        <w:t>Patel, R., Sharma, N., &amp; Verma, P. (2019). Sustaining adolescent health education: Evidence from Indian secondary schools. </w:t>
      </w:r>
      <w:r w:rsidRPr="00986055">
        <w:rPr>
          <w:rFonts w:ascii="Times New Roman" w:hAnsi="Times New Roman" w:cs="Times New Roman"/>
          <w:i/>
          <w:iCs/>
          <w:lang w:val="en-IN"/>
        </w:rPr>
        <w:t>Educational Health Review, 15</w:t>
      </w:r>
      <w:r w:rsidRPr="00986055">
        <w:rPr>
          <w:rFonts w:ascii="Times New Roman" w:hAnsi="Times New Roman" w:cs="Times New Roman"/>
          <w:lang w:val="en-IN"/>
        </w:rPr>
        <w:t>(1), 45–56.</w:t>
      </w:r>
    </w:p>
    <w:p w14:paraId="418D3391" w14:textId="77777777" w:rsidR="00986055" w:rsidRDefault="00986055" w:rsidP="00267766">
      <w:pPr>
        <w:pStyle w:val="BodyText"/>
        <w:ind w:left="720" w:hanging="720"/>
        <w:rPr>
          <w:rFonts w:ascii="Times New Roman" w:hAnsi="Times New Roman" w:cs="Times New Roman"/>
          <w:highlight w:val="red"/>
          <w:lang w:val="en-IN"/>
        </w:rPr>
      </w:pPr>
      <w:r>
        <w:rPr>
          <w:rFonts w:ascii="Arial" w:hAnsi="Arial" w:cs="Arial"/>
          <w:color w:val="222222"/>
          <w:sz w:val="20"/>
          <w:szCs w:val="20"/>
          <w:shd w:val="clear" w:color="auto" w:fill="FFFFFF"/>
        </w:rPr>
        <w:t>Karim, F., Zakaria, M., &amp; Hoque, N. S. (2021). Reproductive health knowledge, attitude, and practice among adolescent girls in urban and rural areas of Bangladesh. </w:t>
      </w:r>
      <w:r>
        <w:rPr>
          <w:rFonts w:ascii="Arial" w:hAnsi="Arial" w:cs="Arial"/>
          <w:i/>
          <w:iCs/>
          <w:color w:val="222222"/>
          <w:sz w:val="20"/>
          <w:szCs w:val="20"/>
          <w:shd w:val="clear" w:color="auto" w:fill="FFFFFF"/>
        </w:rPr>
        <w:t>Anthropos</w:t>
      </w:r>
      <w:r>
        <w:rPr>
          <w:rFonts w:ascii="Arial" w:hAnsi="Arial" w:cs="Arial"/>
          <w:color w:val="222222"/>
          <w:sz w:val="20"/>
          <w:szCs w:val="20"/>
          <w:shd w:val="clear" w:color="auto" w:fill="FFFFFF"/>
        </w:rPr>
        <w:t>, (H. 1), 55-66.</w:t>
      </w:r>
      <w:r w:rsidRPr="00F5513B">
        <w:rPr>
          <w:rFonts w:ascii="Times New Roman" w:hAnsi="Times New Roman" w:cs="Times New Roman"/>
          <w:highlight w:val="red"/>
          <w:lang w:val="en-IN"/>
        </w:rPr>
        <w:t xml:space="preserve"> </w:t>
      </w:r>
    </w:p>
    <w:p w14:paraId="55A78219" w14:textId="31F2900E" w:rsidR="00267766" w:rsidRPr="00267766" w:rsidRDefault="00267766" w:rsidP="00267766">
      <w:pPr>
        <w:pStyle w:val="BodyText"/>
        <w:ind w:left="720" w:hanging="720"/>
        <w:rPr>
          <w:rFonts w:ascii="Times New Roman" w:hAnsi="Times New Roman" w:cs="Times New Roman"/>
          <w:lang w:val="en-IN"/>
        </w:rPr>
      </w:pPr>
      <w:r w:rsidRPr="00986055">
        <w:rPr>
          <w:rFonts w:ascii="Times New Roman" w:hAnsi="Times New Roman" w:cs="Times New Roman"/>
          <w:lang w:val="en-IN"/>
        </w:rPr>
        <w:t>Sharma, A., &amp; Gupta, R. (2020). Language proficiency and health education efficacy in Indian schools. </w:t>
      </w:r>
      <w:r w:rsidRPr="00986055">
        <w:rPr>
          <w:rFonts w:ascii="Times New Roman" w:hAnsi="Times New Roman" w:cs="Times New Roman"/>
          <w:i/>
          <w:iCs/>
          <w:lang w:val="en-IN"/>
        </w:rPr>
        <w:t>International Journal of Educational Research, 101</w:t>
      </w:r>
      <w:r w:rsidRPr="00986055">
        <w:rPr>
          <w:rFonts w:ascii="Times New Roman" w:hAnsi="Times New Roman" w:cs="Times New Roman"/>
          <w:lang w:val="en-IN"/>
        </w:rPr>
        <w:t>, 101123. </w:t>
      </w:r>
      <w:hyperlink r:id="rId8" w:tgtFrame="_blank" w:history="1">
        <w:r w:rsidRPr="00986055">
          <w:rPr>
            <w:rStyle w:val="Hyperlink"/>
            <w:rFonts w:ascii="Times New Roman" w:hAnsi="Times New Roman" w:cs="Times New Roman"/>
            <w:lang w:val="en-IN"/>
          </w:rPr>
          <w:t>https://doi.org/10.1016/j.ijer.2020.101123</w:t>
        </w:r>
      </w:hyperlink>
    </w:p>
    <w:p w14:paraId="1636E163" w14:textId="77777777" w:rsidR="00267766" w:rsidRPr="00F5513B" w:rsidRDefault="00267766" w:rsidP="00267766">
      <w:pPr>
        <w:pStyle w:val="BodyText"/>
        <w:ind w:left="720" w:hanging="720"/>
        <w:rPr>
          <w:rFonts w:ascii="Times New Roman" w:hAnsi="Times New Roman" w:cs="Times New Roman"/>
          <w:lang w:val="pt-BR"/>
        </w:rPr>
      </w:pPr>
      <w:r w:rsidRPr="00F5513B">
        <w:rPr>
          <w:rFonts w:ascii="Times New Roman" w:hAnsi="Times New Roman" w:cs="Times New Roman"/>
          <w:highlight w:val="yellow"/>
          <w:lang w:val="en-IN"/>
        </w:rPr>
        <w:t>Steinberg, L. (2008). A social neuroscience perspective on adolescent risk-taking. </w:t>
      </w:r>
      <w:r w:rsidRPr="00F5513B">
        <w:rPr>
          <w:rFonts w:ascii="Times New Roman" w:hAnsi="Times New Roman" w:cs="Times New Roman"/>
          <w:i/>
          <w:iCs/>
          <w:highlight w:val="yellow"/>
          <w:lang w:val="en-IN"/>
        </w:rPr>
        <w:t>Developmental Review, 28</w:t>
      </w:r>
      <w:r w:rsidRPr="00F5513B">
        <w:rPr>
          <w:rFonts w:ascii="Times New Roman" w:hAnsi="Times New Roman" w:cs="Times New Roman"/>
          <w:highlight w:val="yellow"/>
          <w:lang w:val="en-IN"/>
        </w:rPr>
        <w:t>(1), 78–106. </w:t>
      </w:r>
      <w:hyperlink r:id="rId9" w:tgtFrame="_blank" w:history="1">
        <w:r w:rsidRPr="00F5513B">
          <w:rPr>
            <w:rStyle w:val="Hyperlink"/>
            <w:rFonts w:ascii="Times New Roman" w:hAnsi="Times New Roman" w:cs="Times New Roman"/>
            <w:highlight w:val="yellow"/>
            <w:lang w:val="pt-BR"/>
          </w:rPr>
          <w:t>https://doi.org/10.1016/j.dr.2007.08.002</w:t>
        </w:r>
      </w:hyperlink>
    </w:p>
    <w:p w14:paraId="52714072" w14:textId="77777777" w:rsidR="00267766" w:rsidRPr="00267766" w:rsidRDefault="00267766" w:rsidP="00267766">
      <w:pPr>
        <w:pStyle w:val="BodyText"/>
        <w:ind w:left="720" w:hanging="720"/>
        <w:rPr>
          <w:rFonts w:ascii="Times New Roman" w:hAnsi="Times New Roman" w:cs="Times New Roman"/>
          <w:lang w:val="en-IN"/>
        </w:rPr>
      </w:pPr>
      <w:r w:rsidRPr="00F5513B">
        <w:rPr>
          <w:rFonts w:ascii="Times New Roman" w:hAnsi="Times New Roman" w:cs="Times New Roman"/>
          <w:lang w:val="pt-BR"/>
        </w:rPr>
        <w:t xml:space="preserve">Viswanath, K., Ramanadhan, S., &amp; Kontos, E. Z. (2018). </w:t>
      </w:r>
      <w:r w:rsidRPr="00267766">
        <w:rPr>
          <w:rFonts w:ascii="Times New Roman" w:hAnsi="Times New Roman" w:cs="Times New Roman"/>
          <w:lang w:val="en-IN"/>
        </w:rPr>
        <w:t>Differences in rural and urban health information access and use: A sociolo</w:t>
      </w:r>
      <w:bookmarkStart w:id="21" w:name="_GoBack"/>
      <w:bookmarkEnd w:id="21"/>
      <w:r w:rsidRPr="00267766">
        <w:rPr>
          <w:rFonts w:ascii="Times New Roman" w:hAnsi="Times New Roman" w:cs="Times New Roman"/>
          <w:lang w:val="en-IN"/>
        </w:rPr>
        <w:t>gical perspective. </w:t>
      </w:r>
      <w:r w:rsidRPr="00267766">
        <w:rPr>
          <w:rFonts w:ascii="Times New Roman" w:hAnsi="Times New Roman" w:cs="Times New Roman"/>
          <w:i/>
          <w:iCs/>
          <w:lang w:val="en-IN"/>
        </w:rPr>
        <w:t>Health Communication, 33</w:t>
      </w:r>
      <w:r w:rsidRPr="00267766">
        <w:rPr>
          <w:rFonts w:ascii="Times New Roman" w:hAnsi="Times New Roman" w:cs="Times New Roman"/>
          <w:lang w:val="en-IN"/>
        </w:rPr>
        <w:t>(11), 1364–1373. </w:t>
      </w:r>
      <w:hyperlink r:id="rId10" w:tgtFrame="_blank" w:history="1">
        <w:r w:rsidRPr="00267766">
          <w:rPr>
            <w:rStyle w:val="Hyperlink"/>
            <w:rFonts w:ascii="Times New Roman" w:hAnsi="Times New Roman" w:cs="Times New Roman"/>
            <w:lang w:val="en-IN"/>
          </w:rPr>
          <w:t>https://doi.org/10.1080/10410236.2017.1350913</w:t>
        </w:r>
      </w:hyperlink>
    </w:p>
    <w:p w14:paraId="5DC23911" w14:textId="77777777" w:rsidR="00267766" w:rsidRPr="00267766" w:rsidRDefault="00267766" w:rsidP="00267766">
      <w:pPr>
        <w:pStyle w:val="BodyText"/>
        <w:ind w:left="720" w:hanging="720"/>
        <w:rPr>
          <w:rFonts w:ascii="Times New Roman" w:hAnsi="Times New Roman" w:cs="Times New Roman"/>
          <w:lang w:val="en-IN"/>
        </w:rPr>
      </w:pPr>
      <w:r w:rsidRPr="00986055">
        <w:rPr>
          <w:rFonts w:ascii="Times New Roman" w:hAnsi="Times New Roman" w:cs="Times New Roman"/>
          <w:lang w:val="en-IN"/>
        </w:rPr>
        <w:t>World Health Organization. (2020). </w:t>
      </w:r>
      <w:r w:rsidRPr="00986055">
        <w:rPr>
          <w:rFonts w:ascii="Times New Roman" w:hAnsi="Times New Roman" w:cs="Times New Roman"/>
          <w:i/>
          <w:iCs/>
          <w:lang w:val="en-IN"/>
        </w:rPr>
        <w:t>Adolescent health: Key facts and guidance</w:t>
      </w:r>
      <w:r w:rsidRPr="00986055">
        <w:rPr>
          <w:rFonts w:ascii="Times New Roman" w:hAnsi="Times New Roman" w:cs="Times New Roman"/>
          <w:lang w:val="en-IN"/>
        </w:rPr>
        <w:t>. WHO Publications. </w:t>
      </w:r>
      <w:hyperlink r:id="rId11" w:tgtFrame="_blank" w:history="1">
        <w:r w:rsidRPr="00986055">
          <w:rPr>
            <w:rStyle w:val="Hyperlink"/>
            <w:rFonts w:ascii="Times New Roman" w:hAnsi="Times New Roman" w:cs="Times New Roman"/>
            <w:lang w:val="en-IN"/>
          </w:rPr>
          <w:t>https://www.who.int/news-room/fact-sheets/detail/adolescents-health-risks-and-solutions</w:t>
        </w:r>
      </w:hyperlink>
    </w:p>
    <w:p w14:paraId="7F143157" w14:textId="77777777" w:rsidR="00267766" w:rsidRPr="00267766" w:rsidRDefault="00267766" w:rsidP="00267766">
      <w:pPr>
        <w:pStyle w:val="BodyText"/>
        <w:ind w:left="720" w:hanging="720"/>
        <w:rPr>
          <w:rFonts w:ascii="Times New Roman" w:hAnsi="Times New Roman" w:cs="Times New Roman"/>
          <w:lang w:val="en-IN"/>
        </w:rPr>
      </w:pPr>
      <w:r w:rsidRPr="00267766">
        <w:rPr>
          <w:rFonts w:ascii="Times New Roman" w:hAnsi="Times New Roman" w:cs="Times New Roman"/>
          <w:lang w:val="en-IN"/>
        </w:rPr>
        <w:t>Yoon, S., et al. (2021). Effects of health education on adolescents' non-cognitive skills and quality of life: A cluster-randomized controlled trial. </w:t>
      </w:r>
      <w:r w:rsidRPr="00267766">
        <w:rPr>
          <w:rFonts w:ascii="Times New Roman" w:hAnsi="Times New Roman" w:cs="Times New Roman"/>
          <w:i/>
          <w:iCs/>
          <w:lang w:val="en-IN"/>
        </w:rPr>
        <w:t>Social Science &amp; Medicine, 276</w:t>
      </w:r>
      <w:r w:rsidRPr="00267766">
        <w:rPr>
          <w:rFonts w:ascii="Times New Roman" w:hAnsi="Times New Roman" w:cs="Times New Roman"/>
          <w:lang w:val="en-IN"/>
        </w:rPr>
        <w:t>, 113852. </w:t>
      </w:r>
      <w:hyperlink r:id="rId12" w:tgtFrame="_blank" w:history="1">
        <w:r w:rsidRPr="00267766">
          <w:rPr>
            <w:rStyle w:val="Hyperlink"/>
            <w:rFonts w:ascii="Times New Roman" w:hAnsi="Times New Roman" w:cs="Times New Roman"/>
            <w:lang w:val="en-IN"/>
          </w:rPr>
          <w:t>https://doi.org/10.1016/j.socscimed.2021.113852</w:t>
        </w:r>
      </w:hyperlink>
    </w:p>
    <w:bookmarkEnd w:id="20"/>
    <w:p w14:paraId="03E7EB16" w14:textId="77777777" w:rsidR="00267766" w:rsidRPr="00267766" w:rsidRDefault="00267766" w:rsidP="00267766">
      <w:pPr>
        <w:pStyle w:val="BodyText"/>
      </w:pPr>
    </w:p>
    <w:sectPr w:rsidR="00267766" w:rsidRPr="0026776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5E06B8" w16cex:dateUtc="2025-11-06T11:10:00Z"/>
  <w16cex:commentExtensible w16cex:durableId="00C75C81" w16cex:dateUtc="2025-11-06T11:11:00Z"/>
  <w16cex:commentExtensible w16cex:durableId="6F0C777C" w16cex:dateUtc="2025-11-06T11:15:00Z"/>
  <w16cex:commentExtensible w16cex:durableId="7FC35336" w16cex:dateUtc="2025-11-06T11:16:00Z"/>
  <w16cex:commentExtensible w16cex:durableId="394D3E28" w16cex:dateUtc="2025-11-06T11:17:00Z"/>
  <w16cex:commentExtensible w16cex:durableId="398CFC94" w16cex:dateUtc="2025-11-06T11:19:00Z"/>
  <w16cex:commentExtensible w16cex:durableId="3CAB5C87" w16cex:dateUtc="2025-11-06T11:20:00Z"/>
  <w16cex:commentExtensible w16cex:durableId="757B04FC" w16cex:dateUtc="2025-11-06T11:21:00Z"/>
  <w16cex:commentExtensible w16cex:durableId="20BE1A35" w16cex:dateUtc="2025-11-06T11:24:00Z"/>
  <w16cex:commentExtensible w16cex:durableId="76C41AFD" w16cex:dateUtc="2025-11-06T11:24:00Z"/>
  <w16cex:commentExtensible w16cex:durableId="6553935A" w16cex:dateUtc="2025-11-06T11:25:00Z"/>
  <w16cex:commentExtensible w16cex:durableId="3C4F35EA" w16cex:dateUtc="2025-11-06T11:25:00Z"/>
  <w16cex:commentExtensible w16cex:durableId="53E48F0B" w16cex:dateUtc="2025-11-06T11:26:00Z"/>
  <w16cex:commentExtensible w16cex:durableId="75206FD0" w16cex:dateUtc="2025-11-06T11:26:00Z"/>
  <w16cex:commentExtensible w16cex:durableId="5E607C01" w16cex:dateUtc="2025-11-06T11:27:00Z"/>
  <w16cex:commentExtensible w16cex:durableId="007B28FF" w16cex:dateUtc="2025-11-06T11:28:00Z"/>
  <w16cex:commentExtensible w16cex:durableId="7A64487F" w16cex:dateUtc="2025-11-06T11:27:00Z"/>
  <w16cex:commentExtensible w16cex:durableId="6085506F" w16cex:dateUtc="2025-11-06T11:28:00Z"/>
  <w16cex:commentExtensible w16cex:durableId="18906B49" w16cex:dateUtc="2025-11-06T11:29:00Z"/>
  <w16cex:commentExtensible w16cex:durableId="10B59DB1" w16cex:dateUtc="2025-11-06T11:30:00Z"/>
  <w16cex:commentExtensible w16cex:durableId="4F28F27D" w16cex:dateUtc="2025-11-06T11:31:00Z"/>
  <w16cex:commentExtensible w16cex:durableId="2A32026B" w16cex:dateUtc="2025-11-06T11:32:00Z"/>
  <w16cex:commentExtensible w16cex:durableId="199F11B1" w16cex:dateUtc="2025-11-06T11:32:00Z"/>
  <w16cex:commentExtensible w16cex:durableId="33C604D5" w16cex:dateUtc="2025-11-06T11:33:00Z"/>
  <w16cex:commentExtensible w16cex:durableId="78CC2618" w16cex:dateUtc="2025-11-06T11:33:00Z"/>
  <w16cex:commentExtensible w16cex:durableId="48999CE1" w16cex:dateUtc="2025-11-06T11:34:00Z"/>
  <w16cex:commentExtensible w16cex:durableId="314198F9" w16cex:dateUtc="2025-11-06T11:35:00Z"/>
  <w16cex:commentExtensible w16cex:durableId="23BC099F" w16cex:dateUtc="2025-11-06T11:36:00Z"/>
  <w16cex:commentExtensible w16cex:durableId="2F6FC7DF" w16cex:dateUtc="2025-11-06T11:36:00Z"/>
  <w16cex:commentExtensible w16cex:durableId="3AC8A1FC" w16cex:dateUtc="2025-11-06T11:37:00Z"/>
  <w16cex:commentExtensible w16cex:durableId="6988E0B7" w16cex:dateUtc="2025-11-06T11:38:00Z"/>
  <w16cex:commentExtensible w16cex:durableId="48D291EA" w16cex:dateUtc="2025-11-06T11:39:00Z"/>
  <w16cex:commentExtensible w16cex:durableId="7123A821" w16cex:dateUtc="2025-11-06T11:40:00Z"/>
  <w16cex:commentExtensible w16cex:durableId="5ACA7F2A" w16cex:dateUtc="2025-11-06T11:41:00Z"/>
  <w16cex:commentExtensible w16cex:durableId="19A77143" w16cex:dateUtc="2025-11-06T11:44:00Z"/>
  <w16cex:commentExtensible w16cex:durableId="44411C41" w16cex:dateUtc="2025-11-06T11:42:00Z"/>
  <w16cex:commentExtensible w16cex:durableId="5700DBC6" w16cex:dateUtc="2025-11-06T11:43:00Z"/>
  <w16cex:commentExtensible w16cex:durableId="76E42D94" w16cex:dateUtc="2025-11-06T11:45:00Z"/>
  <w16cex:commentExtensible w16cex:durableId="5E5E893D" w16cex:dateUtc="2025-11-06T11:45:00Z"/>
  <w16cex:commentExtensible w16cex:durableId="3316C7E4" w16cex:dateUtc="2025-11-06T11:45:00Z"/>
  <w16cex:commentExtensible w16cex:durableId="5630EA66" w16cex:dateUtc="2025-11-06T11:46:00Z"/>
  <w16cex:commentExtensible w16cex:durableId="24E07197" w16cex:dateUtc="2025-11-06T11:47:00Z"/>
  <w16cex:commentExtensible w16cex:durableId="737B0088" w16cex:dateUtc="2025-11-06T11:49:00Z"/>
  <w16cex:commentExtensible w16cex:durableId="03924671" w16cex:dateUtc="2025-11-06T11:51:00Z"/>
  <w16cex:commentExtensible w16cex:durableId="71DB74AC" w16cex:dateUtc="2025-11-06T11:51:00Z"/>
  <w16cex:commentExtensible w16cex:durableId="71C21AAA" w16cex:dateUtc="2025-11-06T11:53:00Z"/>
  <w16cex:commentExtensible w16cex:durableId="137F450C" w16cex:dateUtc="2025-11-06T11:55:00Z"/>
  <w16cex:commentExtensible w16cex:durableId="3E0C2549" w16cex:dateUtc="2025-11-06T11:55:00Z"/>
  <w16cex:commentExtensible w16cex:durableId="2701C59D" w16cex:dateUtc="2025-11-06T11:58:00Z"/>
  <w16cex:commentExtensible w16cex:durableId="5AEEA9D2" w16cex:dateUtc="2025-11-06T11:57:00Z"/>
  <w16cex:commentExtensible w16cex:durableId="49F4C6EE" w16cex:dateUtc="2025-11-06T11:57:00Z"/>
  <w16cex:commentExtensible w16cex:durableId="66A45C8A" w16cex:dateUtc="2025-11-06T11: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33F19" w14:textId="77777777" w:rsidR="00FD7D6B" w:rsidRDefault="00FD7D6B">
      <w:pPr>
        <w:spacing w:after="0"/>
      </w:pPr>
      <w:r>
        <w:separator/>
      </w:r>
    </w:p>
  </w:endnote>
  <w:endnote w:type="continuationSeparator" w:id="0">
    <w:p w14:paraId="496760F0" w14:textId="77777777" w:rsidR="00FD7D6B" w:rsidRDefault="00FD7D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CAA7B" w14:textId="77777777" w:rsidR="00193705" w:rsidRDefault="0019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CE27A" w14:textId="77777777" w:rsidR="00193705" w:rsidRDefault="00193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4FF6" w14:textId="77777777" w:rsidR="00193705" w:rsidRDefault="0019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6A0A2" w14:textId="77777777" w:rsidR="00FD7D6B" w:rsidRDefault="00FD7D6B">
      <w:r>
        <w:separator/>
      </w:r>
    </w:p>
  </w:footnote>
  <w:footnote w:type="continuationSeparator" w:id="0">
    <w:p w14:paraId="7E00F446" w14:textId="77777777" w:rsidR="00FD7D6B" w:rsidRDefault="00FD7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E98E" w14:textId="1AEA45B3" w:rsidR="00193705" w:rsidRDefault="00986055">
    <w:pPr>
      <w:pStyle w:val="Header"/>
    </w:pPr>
    <w:r>
      <w:rPr>
        <w:noProof/>
      </w:rPr>
      <w:pict w14:anchorId="05048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8407" o:spid="_x0000_s2050" type="#_x0000_t136" style="position:absolute;margin-left:0;margin-top:0;width:585.35pt;height:74.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BDA91" w14:textId="6A4911F7" w:rsidR="00193705" w:rsidRDefault="00986055">
    <w:pPr>
      <w:pStyle w:val="Header"/>
      <w:jc w:val="right"/>
    </w:pPr>
    <w:r>
      <w:rPr>
        <w:noProof/>
      </w:rPr>
      <w:pict w14:anchorId="34924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8408" o:spid="_x0000_s2051" type="#_x0000_t136" style="position:absolute;left:0;text-align:left;margin-left:0;margin-top:0;width:585.35pt;height:74.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sdt>
      <w:sdtPr>
        <w:id w:val="-2093459000"/>
        <w:docPartObj>
          <w:docPartGallery w:val="Page Numbers (Top of Page)"/>
          <w:docPartUnique/>
        </w:docPartObj>
      </w:sdtPr>
      <w:sdtEndPr>
        <w:rPr>
          <w:noProof/>
        </w:rPr>
      </w:sdtEndPr>
      <w:sdtContent>
        <w:r w:rsidR="00193705">
          <w:fldChar w:fldCharType="begin"/>
        </w:r>
        <w:r w:rsidR="00193705">
          <w:instrText xml:space="preserve"> PAGE   \* MERGEFORMAT </w:instrText>
        </w:r>
        <w:r w:rsidR="00193705">
          <w:fldChar w:fldCharType="separate"/>
        </w:r>
        <w:r w:rsidR="00193705">
          <w:rPr>
            <w:noProof/>
          </w:rPr>
          <w:t>2</w:t>
        </w:r>
        <w:r w:rsidR="00193705">
          <w:rPr>
            <w:noProof/>
          </w:rPr>
          <w:fldChar w:fldCharType="end"/>
        </w:r>
      </w:sdtContent>
    </w:sdt>
  </w:p>
  <w:p w14:paraId="7ACCD2BA" w14:textId="77777777" w:rsidR="00193705" w:rsidRDefault="00193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9D743" w14:textId="7EC8B353" w:rsidR="00193705" w:rsidRDefault="00986055">
    <w:pPr>
      <w:pStyle w:val="Header"/>
    </w:pPr>
    <w:r>
      <w:rPr>
        <w:noProof/>
      </w:rPr>
      <w:pict w14:anchorId="3939F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8406" o:spid="_x0000_s2049" type="#_x0000_t136" style="position:absolute;margin-left:0;margin-top:0;width:585.35pt;height:74.4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1068E6D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CD8ADE3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C30C2C24"/>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28CB1E20"/>
    <w:multiLevelType w:val="multilevel"/>
    <w:tmpl w:val="CEB8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065581"/>
    <w:multiLevelType w:val="multilevel"/>
    <w:tmpl w:val="04C2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2tDQwsLSwNAYyLJR0lIJTi4sz8/NACgxrAb6cId8sAAAA"/>
  </w:docVars>
  <w:rsids>
    <w:rsidRoot w:val="00C65696"/>
    <w:rsid w:val="00004940"/>
    <w:rsid w:val="00046EDC"/>
    <w:rsid w:val="00090F54"/>
    <w:rsid w:val="000919B6"/>
    <w:rsid w:val="000D20F2"/>
    <w:rsid w:val="000E5F61"/>
    <w:rsid w:val="0011610A"/>
    <w:rsid w:val="00136D3E"/>
    <w:rsid w:val="00142B21"/>
    <w:rsid w:val="0015359B"/>
    <w:rsid w:val="00157445"/>
    <w:rsid w:val="00160D87"/>
    <w:rsid w:val="00165870"/>
    <w:rsid w:val="00193705"/>
    <w:rsid w:val="001A3F9C"/>
    <w:rsid w:val="001B664D"/>
    <w:rsid w:val="001E03E4"/>
    <w:rsid w:val="00200BA0"/>
    <w:rsid w:val="00201A97"/>
    <w:rsid w:val="00251B17"/>
    <w:rsid w:val="00267766"/>
    <w:rsid w:val="00280758"/>
    <w:rsid w:val="002817A6"/>
    <w:rsid w:val="002A6F52"/>
    <w:rsid w:val="002D53FB"/>
    <w:rsid w:val="002E191E"/>
    <w:rsid w:val="00302A73"/>
    <w:rsid w:val="00304C2B"/>
    <w:rsid w:val="00305C3A"/>
    <w:rsid w:val="00307B3F"/>
    <w:rsid w:val="003131B9"/>
    <w:rsid w:val="00340C41"/>
    <w:rsid w:val="003A08F3"/>
    <w:rsid w:val="003D1039"/>
    <w:rsid w:val="00433CF5"/>
    <w:rsid w:val="00485F03"/>
    <w:rsid w:val="004B02D1"/>
    <w:rsid w:val="004B4DBE"/>
    <w:rsid w:val="004D65A1"/>
    <w:rsid w:val="00512BCB"/>
    <w:rsid w:val="005254A9"/>
    <w:rsid w:val="00525527"/>
    <w:rsid w:val="005256A7"/>
    <w:rsid w:val="00546F8A"/>
    <w:rsid w:val="005A0CBA"/>
    <w:rsid w:val="005C3B0E"/>
    <w:rsid w:val="005D0AD4"/>
    <w:rsid w:val="005E67A9"/>
    <w:rsid w:val="006004EB"/>
    <w:rsid w:val="00603F47"/>
    <w:rsid w:val="006410A5"/>
    <w:rsid w:val="00643A08"/>
    <w:rsid w:val="00644578"/>
    <w:rsid w:val="006556B1"/>
    <w:rsid w:val="0066337F"/>
    <w:rsid w:val="0072666D"/>
    <w:rsid w:val="00735D80"/>
    <w:rsid w:val="00741109"/>
    <w:rsid w:val="00763BC8"/>
    <w:rsid w:val="007C444F"/>
    <w:rsid w:val="007E2AC9"/>
    <w:rsid w:val="00814D0F"/>
    <w:rsid w:val="008204C5"/>
    <w:rsid w:val="00851B0C"/>
    <w:rsid w:val="00887028"/>
    <w:rsid w:val="008A32DB"/>
    <w:rsid w:val="008C0E2E"/>
    <w:rsid w:val="00933DF4"/>
    <w:rsid w:val="0093699F"/>
    <w:rsid w:val="0094135C"/>
    <w:rsid w:val="00960E24"/>
    <w:rsid w:val="009701C1"/>
    <w:rsid w:val="00973A94"/>
    <w:rsid w:val="009842A2"/>
    <w:rsid w:val="00986055"/>
    <w:rsid w:val="00996F26"/>
    <w:rsid w:val="009C1792"/>
    <w:rsid w:val="009C6F0B"/>
    <w:rsid w:val="009E28C2"/>
    <w:rsid w:val="009F79C7"/>
    <w:rsid w:val="00A01D3A"/>
    <w:rsid w:val="00A478BF"/>
    <w:rsid w:val="00A826FC"/>
    <w:rsid w:val="00AB4F6B"/>
    <w:rsid w:val="00AC4BA8"/>
    <w:rsid w:val="00AD5CC2"/>
    <w:rsid w:val="00B04A0A"/>
    <w:rsid w:val="00B17974"/>
    <w:rsid w:val="00B30F0C"/>
    <w:rsid w:val="00BA4743"/>
    <w:rsid w:val="00BF66FA"/>
    <w:rsid w:val="00C33D9A"/>
    <w:rsid w:val="00C504E2"/>
    <w:rsid w:val="00C6518B"/>
    <w:rsid w:val="00C65696"/>
    <w:rsid w:val="00C67227"/>
    <w:rsid w:val="00C73236"/>
    <w:rsid w:val="00C9739C"/>
    <w:rsid w:val="00D20787"/>
    <w:rsid w:val="00D220AC"/>
    <w:rsid w:val="00D3036A"/>
    <w:rsid w:val="00D338E7"/>
    <w:rsid w:val="00D40CBA"/>
    <w:rsid w:val="00D8523A"/>
    <w:rsid w:val="00DF5194"/>
    <w:rsid w:val="00E3327B"/>
    <w:rsid w:val="00E76568"/>
    <w:rsid w:val="00EC1FCA"/>
    <w:rsid w:val="00EC3549"/>
    <w:rsid w:val="00EC471D"/>
    <w:rsid w:val="00F027D3"/>
    <w:rsid w:val="00F5513B"/>
    <w:rsid w:val="00F63F0A"/>
    <w:rsid w:val="00F845F3"/>
    <w:rsid w:val="00FD682E"/>
    <w:rsid w:val="00FD7D6B"/>
    <w:rsid w:val="00FE0195"/>
    <w:rsid w:val="00FE1485"/>
    <w:rsid w:val="00FE5B30"/>
    <w:rsid w:val="00FF1D0D"/>
    <w:rsid w:val="00FF427C"/>
    <w:rsid w:val="00FF5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29A7E7"/>
  <w15:docId w15:val="{5FE3885C-C533-48F6-8161-B17CE938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unhideWhenUsed/>
    <w:rsid w:val="00603F47"/>
    <w:pPr>
      <w:tabs>
        <w:tab w:val="center" w:pos="4513"/>
        <w:tab w:val="right" w:pos="9026"/>
      </w:tabs>
      <w:spacing w:after="0"/>
    </w:pPr>
  </w:style>
  <w:style w:type="character" w:customStyle="1" w:styleId="HeaderChar">
    <w:name w:val="Header Char"/>
    <w:basedOn w:val="DefaultParagraphFont"/>
    <w:link w:val="Header"/>
    <w:uiPriority w:val="99"/>
    <w:rsid w:val="00603F47"/>
  </w:style>
  <w:style w:type="paragraph" w:styleId="Footer">
    <w:name w:val="footer"/>
    <w:basedOn w:val="Normal"/>
    <w:link w:val="FooterChar"/>
    <w:unhideWhenUsed/>
    <w:rsid w:val="00603F47"/>
    <w:pPr>
      <w:tabs>
        <w:tab w:val="center" w:pos="4513"/>
        <w:tab w:val="right" w:pos="9026"/>
      </w:tabs>
      <w:spacing w:after="0"/>
    </w:pPr>
  </w:style>
  <w:style w:type="character" w:customStyle="1" w:styleId="FooterChar">
    <w:name w:val="Footer Char"/>
    <w:basedOn w:val="DefaultParagraphFont"/>
    <w:link w:val="Footer"/>
    <w:rsid w:val="00603F47"/>
  </w:style>
  <w:style w:type="character" w:styleId="UnresolvedMention">
    <w:name w:val="Unresolved Mention"/>
    <w:basedOn w:val="DefaultParagraphFont"/>
    <w:uiPriority w:val="99"/>
    <w:semiHidden/>
    <w:unhideWhenUsed/>
    <w:rsid w:val="00F027D3"/>
    <w:rPr>
      <w:color w:val="605E5C"/>
      <w:shd w:val="clear" w:color="auto" w:fill="E1DFDD"/>
    </w:rPr>
  </w:style>
  <w:style w:type="character" w:customStyle="1" w:styleId="BodyTextChar">
    <w:name w:val="Body Text Char"/>
    <w:basedOn w:val="DefaultParagraphFont"/>
    <w:link w:val="BodyText"/>
    <w:rsid w:val="00340C41"/>
  </w:style>
  <w:style w:type="character" w:styleId="CommentReference">
    <w:name w:val="annotation reference"/>
    <w:basedOn w:val="DefaultParagraphFont"/>
    <w:semiHidden/>
    <w:unhideWhenUsed/>
    <w:rsid w:val="00C9739C"/>
    <w:rPr>
      <w:sz w:val="16"/>
      <w:szCs w:val="16"/>
    </w:rPr>
  </w:style>
  <w:style w:type="paragraph" w:styleId="CommentText">
    <w:name w:val="annotation text"/>
    <w:basedOn w:val="Normal"/>
    <w:link w:val="CommentTextChar"/>
    <w:unhideWhenUsed/>
    <w:rsid w:val="00C9739C"/>
    <w:rPr>
      <w:sz w:val="20"/>
      <w:szCs w:val="20"/>
    </w:rPr>
  </w:style>
  <w:style w:type="character" w:customStyle="1" w:styleId="CommentTextChar">
    <w:name w:val="Comment Text Char"/>
    <w:basedOn w:val="DefaultParagraphFont"/>
    <w:link w:val="CommentText"/>
    <w:rsid w:val="00C9739C"/>
    <w:rPr>
      <w:sz w:val="20"/>
      <w:szCs w:val="20"/>
    </w:rPr>
  </w:style>
  <w:style w:type="paragraph" w:styleId="CommentSubject">
    <w:name w:val="annotation subject"/>
    <w:basedOn w:val="CommentText"/>
    <w:next w:val="CommentText"/>
    <w:link w:val="CommentSubjectChar"/>
    <w:semiHidden/>
    <w:unhideWhenUsed/>
    <w:rsid w:val="00C9739C"/>
    <w:rPr>
      <w:b/>
      <w:bCs/>
    </w:rPr>
  </w:style>
  <w:style w:type="character" w:customStyle="1" w:styleId="CommentSubjectChar">
    <w:name w:val="Comment Subject Char"/>
    <w:basedOn w:val="CommentTextChar"/>
    <w:link w:val="CommentSubject"/>
    <w:semiHidden/>
    <w:rsid w:val="00C9739C"/>
    <w:rPr>
      <w:b/>
      <w:bCs/>
      <w:sz w:val="20"/>
      <w:szCs w:val="20"/>
    </w:rPr>
  </w:style>
  <w:style w:type="paragraph" w:styleId="BalloonText">
    <w:name w:val="Balloon Text"/>
    <w:basedOn w:val="Normal"/>
    <w:link w:val="BalloonTextChar"/>
    <w:semiHidden/>
    <w:unhideWhenUsed/>
    <w:rsid w:val="00996F2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96F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46346">
      <w:bodyDiv w:val="1"/>
      <w:marLeft w:val="0"/>
      <w:marRight w:val="0"/>
      <w:marTop w:val="0"/>
      <w:marBottom w:val="0"/>
      <w:divBdr>
        <w:top w:val="none" w:sz="0" w:space="0" w:color="auto"/>
        <w:left w:val="none" w:sz="0" w:space="0" w:color="auto"/>
        <w:bottom w:val="none" w:sz="0" w:space="0" w:color="auto"/>
        <w:right w:val="none" w:sz="0" w:space="0" w:color="auto"/>
      </w:divBdr>
    </w:div>
    <w:div w:id="569581737">
      <w:bodyDiv w:val="1"/>
      <w:marLeft w:val="0"/>
      <w:marRight w:val="0"/>
      <w:marTop w:val="0"/>
      <w:marBottom w:val="0"/>
      <w:divBdr>
        <w:top w:val="none" w:sz="0" w:space="0" w:color="auto"/>
        <w:left w:val="none" w:sz="0" w:space="0" w:color="auto"/>
        <w:bottom w:val="none" w:sz="0" w:space="0" w:color="auto"/>
        <w:right w:val="none" w:sz="0" w:space="0" w:color="auto"/>
      </w:divBdr>
    </w:div>
    <w:div w:id="639772670">
      <w:bodyDiv w:val="1"/>
      <w:marLeft w:val="0"/>
      <w:marRight w:val="0"/>
      <w:marTop w:val="0"/>
      <w:marBottom w:val="0"/>
      <w:divBdr>
        <w:top w:val="none" w:sz="0" w:space="0" w:color="auto"/>
        <w:left w:val="none" w:sz="0" w:space="0" w:color="auto"/>
        <w:bottom w:val="none" w:sz="0" w:space="0" w:color="auto"/>
        <w:right w:val="none" w:sz="0" w:space="0" w:color="auto"/>
      </w:divBdr>
    </w:div>
    <w:div w:id="746541120">
      <w:bodyDiv w:val="1"/>
      <w:marLeft w:val="0"/>
      <w:marRight w:val="0"/>
      <w:marTop w:val="0"/>
      <w:marBottom w:val="0"/>
      <w:divBdr>
        <w:top w:val="none" w:sz="0" w:space="0" w:color="auto"/>
        <w:left w:val="none" w:sz="0" w:space="0" w:color="auto"/>
        <w:bottom w:val="none" w:sz="0" w:space="0" w:color="auto"/>
        <w:right w:val="none" w:sz="0" w:space="0" w:color="auto"/>
      </w:divBdr>
    </w:div>
    <w:div w:id="756293392">
      <w:bodyDiv w:val="1"/>
      <w:marLeft w:val="0"/>
      <w:marRight w:val="0"/>
      <w:marTop w:val="0"/>
      <w:marBottom w:val="0"/>
      <w:divBdr>
        <w:top w:val="none" w:sz="0" w:space="0" w:color="auto"/>
        <w:left w:val="none" w:sz="0" w:space="0" w:color="auto"/>
        <w:bottom w:val="none" w:sz="0" w:space="0" w:color="auto"/>
        <w:right w:val="none" w:sz="0" w:space="0" w:color="auto"/>
      </w:divBdr>
    </w:div>
    <w:div w:id="1059937667">
      <w:bodyDiv w:val="1"/>
      <w:marLeft w:val="0"/>
      <w:marRight w:val="0"/>
      <w:marTop w:val="0"/>
      <w:marBottom w:val="0"/>
      <w:divBdr>
        <w:top w:val="none" w:sz="0" w:space="0" w:color="auto"/>
        <w:left w:val="none" w:sz="0" w:space="0" w:color="auto"/>
        <w:bottom w:val="none" w:sz="0" w:space="0" w:color="auto"/>
        <w:right w:val="none" w:sz="0" w:space="0" w:color="auto"/>
      </w:divBdr>
    </w:div>
    <w:div w:id="1103569063">
      <w:bodyDiv w:val="1"/>
      <w:marLeft w:val="0"/>
      <w:marRight w:val="0"/>
      <w:marTop w:val="0"/>
      <w:marBottom w:val="0"/>
      <w:divBdr>
        <w:top w:val="none" w:sz="0" w:space="0" w:color="auto"/>
        <w:left w:val="none" w:sz="0" w:space="0" w:color="auto"/>
        <w:bottom w:val="none" w:sz="0" w:space="0" w:color="auto"/>
        <w:right w:val="none" w:sz="0" w:space="0" w:color="auto"/>
      </w:divBdr>
    </w:div>
    <w:div w:id="1185749707">
      <w:bodyDiv w:val="1"/>
      <w:marLeft w:val="0"/>
      <w:marRight w:val="0"/>
      <w:marTop w:val="0"/>
      <w:marBottom w:val="0"/>
      <w:divBdr>
        <w:top w:val="none" w:sz="0" w:space="0" w:color="auto"/>
        <w:left w:val="none" w:sz="0" w:space="0" w:color="auto"/>
        <w:bottom w:val="none" w:sz="0" w:space="0" w:color="auto"/>
        <w:right w:val="none" w:sz="0" w:space="0" w:color="auto"/>
      </w:divBdr>
    </w:div>
    <w:div w:id="1320770415">
      <w:bodyDiv w:val="1"/>
      <w:marLeft w:val="0"/>
      <w:marRight w:val="0"/>
      <w:marTop w:val="0"/>
      <w:marBottom w:val="0"/>
      <w:divBdr>
        <w:top w:val="none" w:sz="0" w:space="0" w:color="auto"/>
        <w:left w:val="none" w:sz="0" w:space="0" w:color="auto"/>
        <w:bottom w:val="none" w:sz="0" w:space="0" w:color="auto"/>
        <w:right w:val="none" w:sz="0" w:space="0" w:color="auto"/>
      </w:divBdr>
      <w:divsChild>
        <w:div w:id="1031342395">
          <w:marLeft w:val="0"/>
          <w:marRight w:val="0"/>
          <w:marTop w:val="0"/>
          <w:marBottom w:val="0"/>
          <w:divBdr>
            <w:top w:val="none" w:sz="0" w:space="0" w:color="auto"/>
            <w:left w:val="none" w:sz="0" w:space="0" w:color="auto"/>
            <w:bottom w:val="none" w:sz="0" w:space="0" w:color="auto"/>
            <w:right w:val="none" w:sz="0" w:space="0" w:color="auto"/>
          </w:divBdr>
        </w:div>
      </w:divsChild>
    </w:div>
    <w:div w:id="1429811249">
      <w:bodyDiv w:val="1"/>
      <w:marLeft w:val="0"/>
      <w:marRight w:val="0"/>
      <w:marTop w:val="0"/>
      <w:marBottom w:val="0"/>
      <w:divBdr>
        <w:top w:val="none" w:sz="0" w:space="0" w:color="auto"/>
        <w:left w:val="none" w:sz="0" w:space="0" w:color="auto"/>
        <w:bottom w:val="none" w:sz="0" w:space="0" w:color="auto"/>
        <w:right w:val="none" w:sz="0" w:space="0" w:color="auto"/>
      </w:divBdr>
      <w:divsChild>
        <w:div w:id="467820622">
          <w:marLeft w:val="0"/>
          <w:marRight w:val="0"/>
          <w:marTop w:val="0"/>
          <w:marBottom w:val="0"/>
          <w:divBdr>
            <w:top w:val="none" w:sz="0" w:space="0" w:color="auto"/>
            <w:left w:val="none" w:sz="0" w:space="0" w:color="auto"/>
            <w:bottom w:val="none" w:sz="0" w:space="0" w:color="auto"/>
            <w:right w:val="none" w:sz="0" w:space="0" w:color="auto"/>
          </w:divBdr>
        </w:div>
      </w:divsChild>
    </w:div>
    <w:div w:id="1497070742">
      <w:bodyDiv w:val="1"/>
      <w:marLeft w:val="0"/>
      <w:marRight w:val="0"/>
      <w:marTop w:val="0"/>
      <w:marBottom w:val="0"/>
      <w:divBdr>
        <w:top w:val="none" w:sz="0" w:space="0" w:color="auto"/>
        <w:left w:val="none" w:sz="0" w:space="0" w:color="auto"/>
        <w:bottom w:val="none" w:sz="0" w:space="0" w:color="auto"/>
        <w:right w:val="none" w:sz="0" w:space="0" w:color="auto"/>
      </w:divBdr>
    </w:div>
    <w:div w:id="1642930094">
      <w:bodyDiv w:val="1"/>
      <w:marLeft w:val="0"/>
      <w:marRight w:val="0"/>
      <w:marTop w:val="0"/>
      <w:marBottom w:val="0"/>
      <w:divBdr>
        <w:top w:val="none" w:sz="0" w:space="0" w:color="auto"/>
        <w:left w:val="none" w:sz="0" w:space="0" w:color="auto"/>
        <w:bottom w:val="none" w:sz="0" w:space="0" w:color="auto"/>
        <w:right w:val="none" w:sz="0" w:space="0" w:color="auto"/>
      </w:divBdr>
    </w:div>
    <w:div w:id="1747922020">
      <w:bodyDiv w:val="1"/>
      <w:marLeft w:val="0"/>
      <w:marRight w:val="0"/>
      <w:marTop w:val="0"/>
      <w:marBottom w:val="0"/>
      <w:divBdr>
        <w:top w:val="none" w:sz="0" w:space="0" w:color="auto"/>
        <w:left w:val="none" w:sz="0" w:space="0" w:color="auto"/>
        <w:bottom w:val="none" w:sz="0" w:space="0" w:color="auto"/>
        <w:right w:val="none" w:sz="0" w:space="0" w:color="auto"/>
      </w:divBdr>
      <w:divsChild>
        <w:div w:id="1895656507">
          <w:marLeft w:val="0"/>
          <w:marRight w:val="0"/>
          <w:marTop w:val="0"/>
          <w:marBottom w:val="0"/>
          <w:divBdr>
            <w:top w:val="none" w:sz="0" w:space="0" w:color="auto"/>
            <w:left w:val="none" w:sz="0" w:space="0" w:color="auto"/>
            <w:bottom w:val="none" w:sz="0" w:space="0" w:color="auto"/>
            <w:right w:val="none" w:sz="0" w:space="0" w:color="auto"/>
          </w:divBdr>
        </w:div>
      </w:divsChild>
    </w:div>
    <w:div w:id="1874225861">
      <w:bodyDiv w:val="1"/>
      <w:marLeft w:val="0"/>
      <w:marRight w:val="0"/>
      <w:marTop w:val="0"/>
      <w:marBottom w:val="0"/>
      <w:divBdr>
        <w:top w:val="none" w:sz="0" w:space="0" w:color="auto"/>
        <w:left w:val="none" w:sz="0" w:space="0" w:color="auto"/>
        <w:bottom w:val="none" w:sz="0" w:space="0" w:color="auto"/>
        <w:right w:val="none" w:sz="0" w:space="0" w:color="auto"/>
      </w:divBdr>
    </w:div>
    <w:div w:id="19622995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er.2020.10112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socscimed.2021.113852"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news-room/fact-sheets/detail/adolescents-health-risks-and-solutio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80/10410236.2017.135091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dr.2007.08.00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D5866-5265-4375-9DC8-E93D012BE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18</Pages>
  <Words>5179</Words>
  <Characters>29521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SDI PC New 16</cp:lastModifiedBy>
  <cp:revision>84</cp:revision>
  <cp:lastPrinted>2025-11-06T11:23:00Z</cp:lastPrinted>
  <dcterms:created xsi:type="dcterms:W3CDTF">2025-10-30T05:13:00Z</dcterms:created>
  <dcterms:modified xsi:type="dcterms:W3CDTF">2025-11-11T07:24:00Z</dcterms:modified>
</cp:coreProperties>
</file>